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1.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7.xml" ContentType="application/vnd.openxmlformats-officedocument.wordprocessingml.header+xml"/>
  <Override PartName="/word/footer44.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5.xml" ContentType="application/vnd.openxmlformats-officedocument.wordprocessingml.footer+xml"/>
  <Override PartName="/word/header50.xml" ContentType="application/vnd.openxmlformats-officedocument.wordprocessingml.header+xml"/>
  <Override PartName="/word/footer4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47.xml" ContentType="application/vnd.openxmlformats-officedocument.wordprocessingml.footer+xml"/>
  <Override PartName="/word/header54.xml" ContentType="application/vnd.openxmlformats-officedocument.wordprocessingml.header+xml"/>
  <Override PartName="/word/footer48.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49.xml" ContentType="application/vnd.openxmlformats-officedocument.wordprocessingml.footer+xml"/>
  <Override PartName="/word/header57.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62.xml" ContentType="application/vnd.openxmlformats-officedocument.wordprocessingml.header+xml"/>
  <Override PartName="/word/footer56.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73.xml" ContentType="application/vnd.openxmlformats-officedocument.wordprocessingml.header+xml"/>
  <Override PartName="/word/footer67.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90668">
      <w:pPr>
        <w:pStyle w:val="Title"/>
      </w:pPr>
      <w:bookmarkStart w:id="0" w:name="_Toc440182423"/>
      <w:bookmarkStart w:id="1" w:name="_Toc440182483"/>
      <w:bookmarkStart w:id="2" w:name="_Toc440182794"/>
      <w:bookmarkStart w:id="3" w:name="_Toc440187216"/>
      <w:bookmarkStart w:id="4" w:name="_Toc440187267"/>
      <w:bookmarkStart w:id="5" w:name="_Toc440187367"/>
      <w:bookmarkStart w:id="6" w:name="_Toc440187393"/>
      <w:bookmarkStart w:id="7" w:name="_Toc440187400"/>
      <w:bookmarkStart w:id="8" w:name="_GoBack"/>
      <w:bookmarkEnd w:id="8"/>
      <w:r>
        <w:t>Foreign Investment</w:t>
      </w:r>
    </w:p>
    <w:p w:rsidR="00000000" w:rsidRDefault="00590668">
      <w:pPr>
        <w:spacing w:line="240" w:lineRule="auto"/>
        <w:jc w:val="center"/>
        <w:rPr>
          <w:rFonts w:ascii="Century Schoolbook" w:hAnsi="Century Schoolbook" w:cs="Century Schoolbook"/>
          <w:b/>
          <w:bCs/>
          <w:sz w:val="44"/>
          <w:szCs w:val="44"/>
        </w:rPr>
      </w:pPr>
      <w:r>
        <w:rPr>
          <w:rFonts w:ascii="Century Schoolbook" w:hAnsi="Century Schoolbook" w:cs="Century Schoolbook"/>
          <w:b/>
          <w:bCs/>
          <w:sz w:val="44"/>
          <w:szCs w:val="44"/>
        </w:rPr>
        <w:t>Review Board</w:t>
      </w:r>
      <w:bookmarkEnd w:id="0"/>
      <w:bookmarkEnd w:id="1"/>
      <w:bookmarkEnd w:id="2"/>
      <w:bookmarkEnd w:id="3"/>
      <w:bookmarkEnd w:id="4"/>
      <w:bookmarkEnd w:id="5"/>
      <w:bookmarkEnd w:id="6"/>
      <w:bookmarkEnd w:id="7"/>
    </w:p>
    <w:p w:rsidR="00000000" w:rsidRDefault="00590668"/>
    <w:p w:rsidR="00000000" w:rsidRDefault="00590668"/>
    <w:p w:rsidR="00000000" w:rsidRDefault="00590668"/>
    <w:p w:rsidR="00000000" w:rsidRDefault="00590668"/>
    <w:p w:rsidR="00000000" w:rsidRDefault="00590668"/>
    <w:p w:rsidR="00000000" w:rsidRDefault="00590668"/>
    <w:p w:rsidR="00000000" w:rsidRDefault="00590668"/>
    <w:p w:rsidR="00000000" w:rsidRDefault="00590668">
      <w:pPr>
        <w:spacing w:line="240" w:lineRule="auto"/>
        <w:jc w:val="center"/>
        <w:rPr>
          <w:rFonts w:ascii="Century Schoolbook" w:hAnsi="Century Schoolbook" w:cs="Century Schoolbook"/>
          <w:b/>
          <w:bCs/>
          <w:sz w:val="44"/>
          <w:szCs w:val="44"/>
        </w:rPr>
      </w:pPr>
      <w:bookmarkStart w:id="9" w:name="_Toc440182424"/>
      <w:bookmarkStart w:id="10" w:name="_Toc440182484"/>
      <w:bookmarkStart w:id="11" w:name="_Toc440182795"/>
      <w:bookmarkStart w:id="12" w:name="_Toc440187217"/>
      <w:bookmarkStart w:id="13" w:name="_Toc440187268"/>
      <w:bookmarkStart w:id="14" w:name="_Toc440187368"/>
      <w:bookmarkStart w:id="15" w:name="_Toc440187394"/>
      <w:bookmarkStart w:id="16" w:name="_Toc440187401"/>
      <w:r>
        <w:rPr>
          <w:rFonts w:ascii="Century Schoolbook" w:hAnsi="Century Schoolbook" w:cs="Century Schoolbook"/>
          <w:b/>
          <w:bCs/>
          <w:sz w:val="44"/>
          <w:szCs w:val="44"/>
        </w:rPr>
        <w:t>Report</w:t>
      </w:r>
    </w:p>
    <w:bookmarkEnd w:id="9"/>
    <w:bookmarkEnd w:id="10"/>
    <w:bookmarkEnd w:id="11"/>
    <w:bookmarkEnd w:id="12"/>
    <w:bookmarkEnd w:id="13"/>
    <w:bookmarkEnd w:id="14"/>
    <w:bookmarkEnd w:id="15"/>
    <w:bookmarkEnd w:id="16"/>
    <w:p w:rsidR="00000000" w:rsidRDefault="00590668">
      <w:pPr>
        <w:spacing w:line="240" w:lineRule="auto"/>
        <w:jc w:val="center"/>
        <w:rPr>
          <w:rFonts w:ascii="Century Schoolbook" w:hAnsi="Century Schoolbook" w:cs="Century Schoolbook"/>
          <w:b/>
          <w:bCs/>
          <w:sz w:val="44"/>
          <w:szCs w:val="44"/>
        </w:rPr>
      </w:pPr>
      <w:r>
        <w:rPr>
          <w:rFonts w:ascii="Century Schoolbook" w:hAnsi="Century Schoolbook" w:cs="Century Schoolbook"/>
          <w:b/>
          <w:bCs/>
          <w:sz w:val="44"/>
          <w:szCs w:val="44"/>
        </w:rPr>
        <w:t>2001-02</w:t>
      </w:r>
    </w:p>
    <w:p w:rsidR="00000000" w:rsidRDefault="00590668">
      <w:pPr>
        <w:rPr>
          <w:sz w:val="26"/>
          <w:szCs w:val="26"/>
        </w:rPr>
        <w:sectPr w:rsidR="00000000">
          <w:headerReference w:type="even" r:id="rId7"/>
          <w:headerReference w:type="default" r:id="rId8"/>
          <w:footerReference w:type="even" r:id="rId9"/>
          <w:footerReference w:type="default" r:id="rId10"/>
          <w:headerReference w:type="first" r:id="rId11"/>
          <w:footerReference w:type="first" r:id="rId12"/>
          <w:pgSz w:w="11907" w:h="16840" w:code="9"/>
          <w:pgMar w:top="2466" w:right="2098" w:bottom="2466" w:left="2098" w:header="1899" w:footer="1899" w:gutter="0"/>
          <w:pgNumType w:fmt="lowerRoman" w:start="1"/>
          <w:cols w:space="709"/>
          <w:vAlign w:val="center"/>
          <w:titlePg/>
        </w:sectPr>
      </w:pPr>
    </w:p>
    <w:p w:rsidR="00000000" w:rsidRDefault="00590668">
      <w:r>
        <w:lastRenderedPageBreak/>
        <w:t>© Commonwealth of Australia 2002</w:t>
      </w:r>
    </w:p>
    <w:p w:rsidR="00000000" w:rsidRDefault="00590668">
      <w:pPr>
        <w:pStyle w:val="SingleParagraph"/>
        <w:spacing w:after="240"/>
      </w:pPr>
      <w:r>
        <w:t>ISBN 0 642 74182 4</w:t>
      </w:r>
    </w:p>
    <w:p w:rsidR="00000000" w:rsidRDefault="00590668">
      <w:pPr>
        <w:rPr>
          <w:rFonts w:ascii="Book Antiqua" w:hAnsi="Book Antiqua" w:cs="Book Antiqua"/>
          <w:snapToGrid w:val="0"/>
        </w:rPr>
      </w:pPr>
      <w:r>
        <w:rPr>
          <w:rFonts w:ascii="Book Antiqua" w:hAnsi="Book Antiqua" w:cs="Book Antiqua"/>
          <w:snapToGrid w:val="0"/>
        </w:rPr>
        <w:t xml:space="preserve">This work is copyright. Apart from any use as permitted under the </w:t>
      </w:r>
      <w:r>
        <w:rPr>
          <w:rFonts w:ascii="Book Antiqua" w:hAnsi="Book Antiqua" w:cs="Book Antiqua"/>
          <w:i/>
          <w:iCs/>
          <w:snapToGrid w:val="0"/>
        </w:rPr>
        <w:t>Copy</w:t>
      </w:r>
      <w:r>
        <w:rPr>
          <w:rFonts w:ascii="Book Antiqua" w:hAnsi="Book Antiqua" w:cs="Book Antiqua"/>
          <w:i/>
          <w:iCs/>
          <w:snapToGrid w:val="0"/>
        </w:rPr>
        <w:t>right Act 1968</w:t>
      </w:r>
      <w:r>
        <w:rPr>
          <w:rFonts w:ascii="Book Antiqua" w:hAnsi="Book Antiqua" w:cs="Book Antiqua"/>
          <w:snapToGrid w:val="0"/>
        </w:rPr>
        <w:t xml:space="preserve">, no part may be reproduced by any process without prior written permission from the Commonwealth available from the Department of Communications, Information Technology and the Arts. Requests and inquiries concerning reproduction and rights </w:t>
      </w:r>
      <w:r>
        <w:rPr>
          <w:rFonts w:ascii="Book Antiqua" w:hAnsi="Book Antiqua" w:cs="Book Antiqua"/>
          <w:snapToGrid w:val="0"/>
        </w:rPr>
        <w:t>should be addressed to:</w:t>
      </w:r>
    </w:p>
    <w:p w:rsidR="00000000" w:rsidRDefault="00590668">
      <w:pPr>
        <w:spacing w:after="0"/>
        <w:rPr>
          <w:rFonts w:ascii="Book Antiqua" w:hAnsi="Book Antiqua" w:cs="Book Antiqua"/>
          <w:snapToGrid w:val="0"/>
        </w:rPr>
      </w:pPr>
      <w:r>
        <w:rPr>
          <w:rFonts w:ascii="Book Antiqua" w:hAnsi="Book Antiqua" w:cs="Book Antiqua"/>
          <w:snapToGrid w:val="0"/>
        </w:rPr>
        <w:t>The Commonwealth Copyright Administration</w:t>
      </w:r>
    </w:p>
    <w:p w:rsidR="00000000" w:rsidRDefault="00590668">
      <w:pPr>
        <w:spacing w:after="0"/>
        <w:rPr>
          <w:rFonts w:ascii="Book Antiqua" w:hAnsi="Book Antiqua" w:cs="Book Antiqua"/>
          <w:snapToGrid w:val="0"/>
        </w:rPr>
      </w:pPr>
      <w:r>
        <w:rPr>
          <w:rFonts w:ascii="Book Antiqua" w:hAnsi="Book Antiqua" w:cs="Book Antiqua"/>
          <w:snapToGrid w:val="0"/>
        </w:rPr>
        <w:t>Intellectual Property Branch</w:t>
      </w:r>
    </w:p>
    <w:p w:rsidR="00000000" w:rsidRDefault="00590668">
      <w:pPr>
        <w:spacing w:after="0"/>
        <w:rPr>
          <w:rFonts w:ascii="Book Antiqua" w:hAnsi="Book Antiqua" w:cs="Book Antiqua"/>
          <w:snapToGrid w:val="0"/>
        </w:rPr>
      </w:pPr>
      <w:r>
        <w:rPr>
          <w:rFonts w:ascii="Book Antiqua" w:hAnsi="Book Antiqua" w:cs="Book Antiqua"/>
          <w:snapToGrid w:val="0"/>
        </w:rPr>
        <w:t>Department of Communications, Information Technology and the Arts</w:t>
      </w:r>
    </w:p>
    <w:p w:rsidR="00000000" w:rsidRDefault="00590668">
      <w:pPr>
        <w:spacing w:after="0"/>
        <w:rPr>
          <w:rFonts w:ascii="Book Antiqua" w:hAnsi="Book Antiqua" w:cs="Book Antiqua"/>
          <w:snapToGrid w:val="0"/>
        </w:rPr>
      </w:pPr>
      <w:r>
        <w:rPr>
          <w:rFonts w:ascii="Book Antiqua" w:hAnsi="Book Antiqua" w:cs="Book Antiqua"/>
          <w:snapToGrid w:val="0"/>
        </w:rPr>
        <w:t>GPO Box 2154</w:t>
      </w:r>
    </w:p>
    <w:p w:rsidR="00000000" w:rsidRDefault="00590668">
      <w:pPr>
        <w:rPr>
          <w:rFonts w:ascii="Book Antiqua" w:hAnsi="Book Antiqua" w:cs="Book Antiqua"/>
          <w:snapToGrid w:val="0"/>
        </w:rPr>
      </w:pPr>
      <w:r>
        <w:rPr>
          <w:rFonts w:ascii="Book Antiqua" w:hAnsi="Book Antiqua" w:cs="Book Antiqua"/>
          <w:snapToGrid w:val="0"/>
        </w:rPr>
        <w:t>CANBERRA   ACT   2601</w:t>
      </w:r>
    </w:p>
    <w:p w:rsidR="00000000" w:rsidRDefault="00590668">
      <w:pPr>
        <w:rPr>
          <w:rFonts w:ascii="Book Antiqua" w:hAnsi="Book Antiqua" w:cs="Book Antiqua"/>
          <w:snapToGrid w:val="0"/>
        </w:rPr>
      </w:pPr>
      <w:r>
        <w:rPr>
          <w:rFonts w:ascii="Book Antiqua" w:hAnsi="Book Antiqua" w:cs="Book Antiqua"/>
          <w:snapToGrid w:val="0"/>
        </w:rPr>
        <w:t>Or posted at:</w:t>
      </w:r>
    </w:p>
    <w:p w:rsidR="00000000" w:rsidRDefault="00590668">
      <w:pPr>
        <w:rPr>
          <w:rFonts w:ascii="Book Antiqua" w:hAnsi="Book Antiqua" w:cs="Book Antiqua"/>
          <w:snapToGrid w:val="0"/>
        </w:rPr>
      </w:pPr>
      <w:r>
        <w:rPr>
          <w:rFonts w:ascii="Book Antiqua" w:hAnsi="Book Antiqua" w:cs="Book Antiqua"/>
          <w:snapToGrid w:val="0"/>
        </w:rPr>
        <w:t>http://www.dcita.gov.au/cca</w:t>
      </w:r>
    </w:p>
    <w:p w:rsidR="00000000" w:rsidRDefault="00590668">
      <w:pPr>
        <w:pStyle w:val="SingleParagraph"/>
        <w:rPr>
          <w:sz w:val="20"/>
          <w:szCs w:val="20"/>
        </w:rPr>
      </w:pPr>
    </w:p>
    <w:p w:rsidR="00000000" w:rsidRDefault="00590668">
      <w:pPr>
        <w:pStyle w:val="SingleParagraph"/>
        <w:rPr>
          <w:sz w:val="20"/>
          <w:szCs w:val="20"/>
        </w:rPr>
      </w:pPr>
    </w:p>
    <w:p w:rsidR="00000000" w:rsidRDefault="00590668">
      <w:pPr>
        <w:pStyle w:val="SingleParagraph"/>
        <w:rPr>
          <w:sz w:val="20"/>
          <w:szCs w:val="20"/>
        </w:rPr>
      </w:pPr>
    </w:p>
    <w:p w:rsidR="00000000" w:rsidRDefault="00590668">
      <w:pPr>
        <w:pStyle w:val="SingleParagraph"/>
        <w:rPr>
          <w:sz w:val="20"/>
          <w:szCs w:val="20"/>
        </w:rPr>
      </w:pPr>
    </w:p>
    <w:p w:rsidR="00000000" w:rsidRDefault="00590668">
      <w:pPr>
        <w:pStyle w:val="SingleParagraph"/>
        <w:rPr>
          <w:sz w:val="20"/>
          <w:szCs w:val="20"/>
        </w:rPr>
      </w:pPr>
    </w:p>
    <w:p w:rsidR="00000000" w:rsidRDefault="00590668">
      <w:pPr>
        <w:pStyle w:val="SingleParagraph"/>
        <w:rPr>
          <w:sz w:val="20"/>
          <w:szCs w:val="20"/>
        </w:rPr>
      </w:pPr>
    </w:p>
    <w:p w:rsidR="00000000" w:rsidRDefault="00590668">
      <w:pPr>
        <w:pStyle w:val="SingleParagraph"/>
        <w:rPr>
          <w:sz w:val="20"/>
          <w:szCs w:val="20"/>
        </w:rPr>
      </w:pPr>
    </w:p>
    <w:p w:rsidR="00000000" w:rsidRDefault="00590668">
      <w:pPr>
        <w:pStyle w:val="SingleParagraph"/>
        <w:rPr>
          <w:sz w:val="20"/>
          <w:szCs w:val="20"/>
        </w:rPr>
      </w:pPr>
    </w:p>
    <w:p w:rsidR="00000000" w:rsidRDefault="00590668">
      <w:pPr>
        <w:pStyle w:val="SingleParagraph"/>
        <w:rPr>
          <w:sz w:val="20"/>
          <w:szCs w:val="20"/>
        </w:rPr>
      </w:pPr>
    </w:p>
    <w:p w:rsidR="00000000" w:rsidRDefault="00590668">
      <w:pPr>
        <w:pStyle w:val="SingleParagraph"/>
        <w:rPr>
          <w:sz w:val="20"/>
          <w:szCs w:val="20"/>
        </w:rPr>
      </w:pPr>
    </w:p>
    <w:p w:rsidR="00000000" w:rsidRDefault="00590668">
      <w:pPr>
        <w:pStyle w:val="SingleParagraph"/>
        <w:rPr>
          <w:sz w:val="20"/>
          <w:szCs w:val="20"/>
        </w:rPr>
      </w:pPr>
    </w:p>
    <w:p w:rsidR="00000000" w:rsidRDefault="00590668">
      <w:pPr>
        <w:pStyle w:val="SingleParagraph"/>
        <w:rPr>
          <w:sz w:val="20"/>
          <w:szCs w:val="20"/>
        </w:rPr>
      </w:pPr>
    </w:p>
    <w:p w:rsidR="00000000" w:rsidRDefault="00590668">
      <w:pPr>
        <w:rPr>
          <w:rFonts w:ascii="Book Antiqua" w:hAnsi="Book Antiqua" w:cs="Book Antiqua"/>
        </w:rPr>
      </w:pPr>
      <w:r>
        <w:rPr>
          <w:rFonts w:ascii="Book Antiqua" w:hAnsi="Book Antiqua" w:cs="Book Antiqua"/>
        </w:rPr>
        <w:t xml:space="preserve">A copy of this document appears on the Foreign Investment Review Board Website. The Foreign Investment Review Board Website address is:  </w:t>
      </w:r>
      <w:r>
        <w:rPr>
          <w:rFonts w:ascii="Book Antiqua" w:hAnsi="Book Antiqua" w:cs="Book Antiqua"/>
          <w:i/>
          <w:iCs/>
        </w:rPr>
        <w:t>www.firb.gov.au</w:t>
      </w:r>
    </w:p>
    <w:p w:rsidR="00000000" w:rsidRDefault="00590668">
      <w:pPr>
        <w:pStyle w:val="SingleParagraph"/>
        <w:rPr>
          <w:sz w:val="20"/>
          <w:szCs w:val="20"/>
        </w:rPr>
      </w:pPr>
    </w:p>
    <w:p w:rsidR="00000000" w:rsidRDefault="00590668">
      <w:pPr>
        <w:pStyle w:val="SingleParagraph"/>
        <w:rPr>
          <w:sz w:val="20"/>
          <w:szCs w:val="20"/>
        </w:rPr>
      </w:pPr>
    </w:p>
    <w:p w:rsidR="00000000" w:rsidRDefault="00590668">
      <w:pPr>
        <w:pStyle w:val="SingleParagraph"/>
        <w:spacing w:after="240"/>
        <w:rPr>
          <w:rFonts w:ascii="Book Antiqua" w:hAnsi="Book Antiqua" w:cs="Book Antiqua"/>
        </w:rPr>
      </w:pPr>
      <w:r>
        <w:rPr>
          <w:rFonts w:ascii="Book Antiqua" w:hAnsi="Book Antiqua" w:cs="Book Antiqua"/>
        </w:rPr>
        <w:t>Printed by National Capital Printing</w:t>
      </w:r>
    </w:p>
    <w:p w:rsidR="00000000" w:rsidRDefault="00590668">
      <w:pPr>
        <w:sectPr w:rsidR="00000000">
          <w:headerReference w:type="first" r:id="rId13"/>
          <w:footerReference w:type="first" r:id="rId14"/>
          <w:pgSz w:w="11907" w:h="16840" w:code="9"/>
          <w:pgMar w:top="2466" w:right="2098" w:bottom="2466" w:left="2098" w:header="1899" w:footer="1899" w:gutter="0"/>
          <w:pgNumType w:fmt="lowerRoman"/>
          <w:cols w:space="709"/>
          <w:titlePg/>
        </w:sectPr>
      </w:pPr>
    </w:p>
    <w:p w:rsidR="00000000" w:rsidRDefault="00590668">
      <w:pPr>
        <w:pStyle w:val="SingleParagraph"/>
        <w:spacing w:after="240" w:line="240" w:lineRule="auto"/>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34pt" fillcolor="window">
            <v:imagedata r:id="rId15" o:title="letter of transmission copy"/>
          </v:shape>
        </w:pict>
      </w:r>
    </w:p>
    <w:p w:rsidR="00000000" w:rsidRDefault="00590668">
      <w:pPr>
        <w:sectPr w:rsidR="00000000">
          <w:headerReference w:type="first" r:id="rId16"/>
          <w:footerReference w:type="first" r:id="rId17"/>
          <w:pgSz w:w="11907" w:h="16840" w:code="9"/>
          <w:pgMar w:top="2466" w:right="2098" w:bottom="2466" w:left="2098" w:header="1899" w:footer="1899" w:gutter="0"/>
          <w:pgNumType w:fmt="lowerRoman"/>
          <w:cols w:space="709"/>
          <w:titlePg/>
        </w:sectPr>
      </w:pPr>
    </w:p>
    <w:p w:rsidR="00000000" w:rsidRDefault="00590668"/>
    <w:p w:rsidR="00000000" w:rsidRDefault="00590668">
      <w:pPr>
        <w:sectPr w:rsidR="00000000">
          <w:headerReference w:type="first" r:id="rId18"/>
          <w:footerReference w:type="first" r:id="rId19"/>
          <w:pgSz w:w="11907" w:h="16840" w:code="9"/>
          <w:pgMar w:top="2466" w:right="2098" w:bottom="2466" w:left="2098" w:header="1899" w:footer="1899" w:gutter="0"/>
          <w:pgNumType w:fmt="lowerRoman"/>
          <w:cols w:space="709"/>
          <w:titlePg/>
        </w:sectPr>
      </w:pPr>
    </w:p>
    <w:bookmarkStart w:id="17" w:name="_Toc499110858"/>
    <w:p w:rsidR="00000000" w:rsidRDefault="00590668">
      <w:r>
        <w:lastRenderedPageBreak/>
        <w:fldChar w:fldCharType="begin"/>
      </w:r>
      <w:r>
        <w:instrText xml:space="preserve"> RD "Main Points (final 2002).d</w:instrText>
      </w:r>
      <w:r>
        <w:instrText xml:space="preserve">oc" </w:instrText>
      </w:r>
      <w:r>
        <w:fldChar w:fldCharType="end"/>
      </w:r>
      <w:r>
        <w:fldChar w:fldCharType="begin"/>
      </w:r>
      <w:r>
        <w:instrText xml:space="preserve"> RD "Chapter 1 (final 2002).doc" </w:instrText>
      </w:r>
      <w:r>
        <w:fldChar w:fldCharType="end"/>
      </w:r>
      <w:r>
        <w:fldChar w:fldCharType="begin"/>
      </w:r>
      <w:r>
        <w:instrText xml:space="preserve"> RD "Chapter 2 (final 2002).doc" </w:instrText>
      </w:r>
      <w:r>
        <w:fldChar w:fldCharType="end"/>
      </w:r>
      <w:r>
        <w:fldChar w:fldCharType="begin"/>
      </w:r>
      <w:r>
        <w:instrText xml:space="preserve"> RD "Chapter 3 (final 2002).doc" </w:instrText>
      </w:r>
      <w:r>
        <w:fldChar w:fldCharType="end"/>
      </w:r>
      <w:r>
        <w:fldChar w:fldCharType="begin"/>
      </w:r>
      <w:r>
        <w:instrText xml:space="preserve"> RD "Chapter 4 (final 2002).doc" </w:instrText>
      </w:r>
      <w:r>
        <w:fldChar w:fldCharType="end"/>
      </w:r>
      <w:r>
        <w:fldChar w:fldCharType="begin"/>
      </w:r>
      <w:r>
        <w:instrText xml:space="preserve"> RD "Appendix A (final 2002).doc" </w:instrText>
      </w:r>
      <w:r>
        <w:fldChar w:fldCharType="end"/>
      </w:r>
      <w:r>
        <w:fldChar w:fldCharType="begin"/>
      </w:r>
      <w:r>
        <w:instrText xml:space="preserve"> RD "Appendix B (final 2002).doc" </w:instrText>
      </w:r>
      <w:r>
        <w:fldChar w:fldCharType="end"/>
      </w:r>
      <w:r>
        <w:fldChar w:fldCharType="begin"/>
      </w:r>
      <w:r>
        <w:instrText xml:space="preserve"> RD "Appendix C (final 2002).doc" </w:instrText>
      </w:r>
      <w:r>
        <w:fldChar w:fldCharType="end"/>
      </w:r>
      <w:r>
        <w:fldChar w:fldCharType="begin"/>
      </w:r>
      <w:r>
        <w:instrText xml:space="preserve"> RD "Appendix D (final 2002).doc" </w:instrText>
      </w:r>
      <w:r>
        <w:fldChar w:fldCharType="end"/>
      </w:r>
      <w:r>
        <w:fldChar w:fldCharType="begin"/>
      </w:r>
      <w:r>
        <w:instrText xml:space="preserve"> RD "Appendix E (final 2002).doc" </w:instrText>
      </w:r>
      <w:r>
        <w:fldChar w:fldCharType="end"/>
      </w:r>
      <w:r>
        <w:fldChar w:fldCharType="begin"/>
      </w:r>
      <w:r>
        <w:instrText xml:space="preserve"> RD "Appendix F (final 2002).doc" </w:instrText>
      </w:r>
      <w:r>
        <w:fldChar w:fldCharType="end"/>
      </w:r>
      <w:r>
        <w:fldChar w:fldCharType="begin"/>
      </w:r>
      <w:r>
        <w:instrText xml:space="preserve"> RD "Appendix G (final 2002).doc" </w:instrText>
      </w:r>
      <w:r>
        <w:fldChar w:fldCharType="end"/>
      </w:r>
      <w:r>
        <w:fldChar w:fldCharType="begin"/>
      </w:r>
      <w:r>
        <w:instrText xml:space="preserve"> RD "Appendix H (final 2002).doc" </w:instrText>
      </w:r>
      <w:r>
        <w:fldChar w:fldCharType="end"/>
      </w:r>
    </w:p>
    <w:p w:rsidR="00000000" w:rsidRDefault="00590668">
      <w:pPr>
        <w:pStyle w:val="Heading1"/>
        <w:jc w:val="center"/>
      </w:pPr>
      <w:r>
        <w:t>Contents</w:t>
      </w:r>
    </w:p>
    <w:bookmarkEnd w:id="17"/>
    <w:p w:rsidR="00000000" w:rsidRDefault="00590668">
      <w:pPr>
        <w:pStyle w:val="TOC1"/>
      </w:pPr>
      <w:r>
        <w:fldChar w:fldCharType="begin"/>
      </w:r>
      <w:r>
        <w:instrText xml:space="preserve"> TOC \o "1-2" </w:instrText>
      </w:r>
      <w:r>
        <w:fldChar w:fldCharType="separate"/>
      </w:r>
      <w:r>
        <w:t>Main points</w:t>
      </w:r>
      <w:r>
        <w:tab/>
      </w:r>
      <w:r>
        <w:rPr>
          <w:sz w:val="20"/>
          <w:szCs w:val="20"/>
        </w:rPr>
        <w:t>vii</w:t>
      </w:r>
    </w:p>
    <w:p w:rsidR="00000000" w:rsidRDefault="00590668">
      <w:pPr>
        <w:pStyle w:val="TOC2"/>
      </w:pPr>
      <w:r>
        <w:t>2001</w:t>
      </w:r>
      <w:r>
        <w:noBreakHyphen/>
        <w:t>02 foreign investm</w:t>
      </w:r>
      <w:r>
        <w:t>ent proposals in summary</w:t>
      </w:r>
      <w:r>
        <w:tab/>
        <w:t>vii</w:t>
      </w:r>
    </w:p>
    <w:p w:rsidR="00000000" w:rsidRDefault="00590668">
      <w:pPr>
        <w:pStyle w:val="TOC2"/>
      </w:pPr>
      <w:r>
        <w:t>International investment issues</w:t>
      </w:r>
      <w:r>
        <w:tab/>
        <w:t>vii</w:t>
      </w:r>
    </w:p>
    <w:p w:rsidR="00000000" w:rsidRDefault="00590668">
      <w:pPr>
        <w:pStyle w:val="TOC1"/>
      </w:pPr>
      <w:r>
        <w:t>Chapter 1:  Foreign Investment Review Board</w:t>
      </w:r>
      <w:r>
        <w:tab/>
      </w:r>
      <w:r>
        <w:rPr>
          <w:sz w:val="20"/>
          <w:szCs w:val="20"/>
        </w:rPr>
        <w:t>1</w:t>
      </w:r>
    </w:p>
    <w:p w:rsidR="00000000" w:rsidRDefault="00590668">
      <w:pPr>
        <w:pStyle w:val="TOC2"/>
      </w:pPr>
      <w:r>
        <w:t>Functions of the Board</w:t>
      </w:r>
      <w:r>
        <w:tab/>
        <w:t>1</w:t>
      </w:r>
    </w:p>
    <w:p w:rsidR="00000000" w:rsidRDefault="00590668">
      <w:pPr>
        <w:pStyle w:val="TOC2"/>
      </w:pPr>
      <w:r>
        <w:t>Membership</w:t>
      </w:r>
      <w:r>
        <w:tab/>
        <w:t>2</w:t>
      </w:r>
    </w:p>
    <w:p w:rsidR="00000000" w:rsidRDefault="00590668">
      <w:pPr>
        <w:pStyle w:val="TOC2"/>
      </w:pPr>
      <w:r>
        <w:t>Relationship of the Division to the Board</w:t>
      </w:r>
      <w:r>
        <w:tab/>
        <w:t>3</w:t>
      </w:r>
    </w:p>
    <w:p w:rsidR="00000000" w:rsidRDefault="00590668">
      <w:pPr>
        <w:pStyle w:val="TOC2"/>
      </w:pPr>
      <w:r>
        <w:t>Administration of Foreign Investment Policy</w:t>
      </w:r>
      <w:r>
        <w:tab/>
        <w:t>3</w:t>
      </w:r>
    </w:p>
    <w:p w:rsidR="00000000" w:rsidRDefault="00590668">
      <w:pPr>
        <w:pStyle w:val="TOC2"/>
      </w:pPr>
      <w:r>
        <w:t>Cost of the Board's operations</w:t>
      </w:r>
      <w:r>
        <w:tab/>
        <w:t>4</w:t>
      </w:r>
    </w:p>
    <w:p w:rsidR="00000000" w:rsidRDefault="00590668">
      <w:pPr>
        <w:pStyle w:val="TOC2"/>
      </w:pPr>
      <w:r>
        <w:t>2001-02 outcomes</w:t>
      </w:r>
      <w:r>
        <w:tab/>
        <w:t>5</w:t>
      </w:r>
    </w:p>
    <w:p w:rsidR="00000000" w:rsidRDefault="00590668">
      <w:pPr>
        <w:pStyle w:val="TOC2"/>
      </w:pPr>
      <w:r>
        <w:t>Processing of proposals</w:t>
      </w:r>
      <w:r>
        <w:tab/>
        <w:t>5</w:t>
      </w:r>
    </w:p>
    <w:p w:rsidR="00000000" w:rsidRDefault="00590668">
      <w:pPr>
        <w:pStyle w:val="TOC2"/>
      </w:pPr>
      <w:r>
        <w:t>Consultation arrangements</w:t>
      </w:r>
      <w:r>
        <w:tab/>
        <w:t>7</w:t>
      </w:r>
    </w:p>
    <w:p w:rsidR="00000000" w:rsidRDefault="00590668">
      <w:pPr>
        <w:pStyle w:val="TOC2"/>
      </w:pPr>
      <w:r>
        <w:t>Handling of commercial-in-confidence and personal information</w:t>
      </w:r>
      <w:r>
        <w:tab/>
        <w:t>8</w:t>
      </w:r>
    </w:p>
    <w:p w:rsidR="00000000" w:rsidRDefault="00590668">
      <w:pPr>
        <w:pStyle w:val="TOC2"/>
      </w:pPr>
      <w:r>
        <w:t>Monitoring and compliance activity</w:t>
      </w:r>
      <w:r>
        <w:tab/>
        <w:t>9</w:t>
      </w:r>
    </w:p>
    <w:p w:rsidR="00000000" w:rsidRDefault="00590668">
      <w:pPr>
        <w:pStyle w:val="TOC2"/>
      </w:pPr>
      <w:r>
        <w:t>National interest</w:t>
      </w:r>
      <w:r>
        <w:tab/>
        <w:t>10</w:t>
      </w:r>
    </w:p>
    <w:p w:rsidR="00000000" w:rsidRDefault="00590668">
      <w:pPr>
        <w:pStyle w:val="TOC1"/>
      </w:pPr>
      <w:r>
        <w:t>Chapter 2:  Foreign investme</w:t>
      </w:r>
      <w:r>
        <w:t>nt proposals</w:t>
      </w:r>
      <w:r>
        <w:tab/>
      </w:r>
      <w:r>
        <w:rPr>
          <w:sz w:val="20"/>
          <w:szCs w:val="20"/>
        </w:rPr>
        <w:t>13</w:t>
      </w:r>
    </w:p>
    <w:p w:rsidR="00000000" w:rsidRDefault="00590668">
      <w:pPr>
        <w:pStyle w:val="TOC2"/>
      </w:pPr>
      <w:r>
        <w:t>Limitations of the Board’s data</w:t>
      </w:r>
      <w:r>
        <w:tab/>
        <w:t>13</w:t>
      </w:r>
    </w:p>
    <w:p w:rsidR="00000000" w:rsidRDefault="00590668">
      <w:pPr>
        <w:pStyle w:val="TOC2"/>
      </w:pPr>
      <w:r>
        <w:t>Applications decided in 2001</w:t>
      </w:r>
      <w:r>
        <w:noBreakHyphen/>
        <w:t>02</w:t>
      </w:r>
      <w:r>
        <w:tab/>
        <w:t>15</w:t>
      </w:r>
    </w:p>
    <w:p w:rsidR="00000000" w:rsidRDefault="00590668">
      <w:pPr>
        <w:pStyle w:val="TOC2"/>
      </w:pPr>
      <w:r>
        <w:t>Approvals by sector</w:t>
      </w:r>
      <w:r>
        <w:tab/>
        <w:t>17</w:t>
      </w:r>
    </w:p>
    <w:p w:rsidR="00000000" w:rsidRDefault="00590668">
      <w:pPr>
        <w:pStyle w:val="TOC2"/>
      </w:pPr>
      <w:r>
        <w:t>Residential real estate compliance</w:t>
      </w:r>
      <w:r>
        <w:tab/>
        <w:t>26</w:t>
      </w:r>
    </w:p>
    <w:p w:rsidR="00000000" w:rsidRDefault="00590668">
      <w:pPr>
        <w:pStyle w:val="TOC2"/>
      </w:pPr>
      <w:r>
        <w:t>Approvals by country of investor</w:t>
      </w:r>
      <w:r>
        <w:tab/>
        <w:t>28</w:t>
      </w:r>
    </w:p>
    <w:p w:rsidR="00000000" w:rsidRDefault="00590668">
      <w:pPr>
        <w:pStyle w:val="TOC1"/>
      </w:pPr>
      <w:r>
        <w:br w:type="page"/>
      </w:r>
      <w:r>
        <w:lastRenderedPageBreak/>
        <w:t>Chapter 3:  Overview of the Foreign Acquisitions and</w:t>
      </w:r>
      <w:r>
        <w:br/>
        <w:t>Takeovers Act 1975</w:t>
      </w:r>
      <w:r>
        <w:tab/>
      </w:r>
      <w:r>
        <w:rPr>
          <w:sz w:val="20"/>
          <w:szCs w:val="20"/>
        </w:rPr>
        <w:t>31</w:t>
      </w:r>
    </w:p>
    <w:p w:rsidR="00000000" w:rsidRDefault="00590668">
      <w:pPr>
        <w:pStyle w:val="TOC2"/>
      </w:pPr>
      <w:r>
        <w:t>Introduction</w:t>
      </w:r>
      <w:r>
        <w:tab/>
        <w:t>31</w:t>
      </w:r>
    </w:p>
    <w:p w:rsidR="00000000" w:rsidRDefault="00590668">
      <w:pPr>
        <w:pStyle w:val="TOC2"/>
      </w:pPr>
      <w:r>
        <w:t>Notification</w:t>
      </w:r>
      <w:r>
        <w:tab/>
        <w:t>31</w:t>
      </w:r>
    </w:p>
    <w:p w:rsidR="00000000" w:rsidRDefault="00590668">
      <w:pPr>
        <w:pStyle w:val="TOC2"/>
      </w:pPr>
      <w:r>
        <w:t>Examination</w:t>
      </w:r>
      <w:r>
        <w:tab/>
        <w:t>32</w:t>
      </w:r>
    </w:p>
    <w:p w:rsidR="00000000" w:rsidRDefault="00590668">
      <w:pPr>
        <w:pStyle w:val="TOC2"/>
      </w:pPr>
      <w:r>
        <w:t>Foreign to foreign transactions</w:t>
      </w:r>
      <w:r>
        <w:tab/>
        <w:t>33</w:t>
      </w:r>
    </w:p>
    <w:p w:rsidR="00000000" w:rsidRDefault="00590668">
      <w:pPr>
        <w:pStyle w:val="TOC2"/>
      </w:pPr>
      <w:r>
        <w:t>Prior approval for contractual arrangements</w:t>
      </w:r>
      <w:r>
        <w:tab/>
        <w:t>34</w:t>
      </w:r>
    </w:p>
    <w:p w:rsidR="00000000" w:rsidRDefault="00590668">
      <w:pPr>
        <w:pStyle w:val="TOC2"/>
      </w:pPr>
      <w:r>
        <w:t>Foreign control</w:t>
      </w:r>
      <w:r>
        <w:tab/>
        <w:t>34</w:t>
      </w:r>
    </w:p>
    <w:p w:rsidR="00000000" w:rsidRDefault="00590668">
      <w:pPr>
        <w:pStyle w:val="TOC2"/>
      </w:pPr>
      <w:r>
        <w:t>Other provisions of the Act</w:t>
      </w:r>
      <w:r>
        <w:tab/>
        <w:t>34</w:t>
      </w:r>
    </w:p>
    <w:p w:rsidR="00000000" w:rsidRDefault="00590668">
      <w:pPr>
        <w:pStyle w:val="TOC2"/>
      </w:pPr>
      <w:r>
        <w:t>Other aspects of Foreign Investment Policy</w:t>
      </w:r>
      <w:r>
        <w:tab/>
        <w:t>35</w:t>
      </w:r>
    </w:p>
    <w:p w:rsidR="00000000" w:rsidRDefault="00590668">
      <w:pPr>
        <w:pStyle w:val="TOC1"/>
      </w:pPr>
      <w:r>
        <w:t>Chapter 4:  International in</w:t>
      </w:r>
      <w:r>
        <w:t>vestment issues and Australia’s international investment position</w:t>
      </w:r>
      <w:r>
        <w:tab/>
      </w:r>
      <w:r>
        <w:rPr>
          <w:sz w:val="20"/>
          <w:szCs w:val="20"/>
        </w:rPr>
        <w:t>39</w:t>
      </w:r>
    </w:p>
    <w:p w:rsidR="00000000" w:rsidRDefault="00590668">
      <w:pPr>
        <w:pStyle w:val="TOC2"/>
      </w:pPr>
      <w:r>
        <w:t>Multilateral investment issues</w:t>
      </w:r>
      <w:r>
        <w:tab/>
        <w:t>40</w:t>
      </w:r>
    </w:p>
    <w:p w:rsidR="00000000" w:rsidRDefault="00590668">
      <w:pPr>
        <w:pStyle w:val="TOC2"/>
      </w:pPr>
      <w:r>
        <w:t>Bilateral investment issues</w:t>
      </w:r>
      <w:r>
        <w:tab/>
        <w:t>44</w:t>
      </w:r>
    </w:p>
    <w:p w:rsidR="00000000" w:rsidRDefault="00590668">
      <w:pPr>
        <w:pStyle w:val="TOC2"/>
      </w:pPr>
      <w:r>
        <w:t>International investment position</w:t>
      </w:r>
      <w:r>
        <w:tab/>
        <w:t>48</w:t>
      </w:r>
    </w:p>
    <w:p w:rsidR="00000000" w:rsidRDefault="00590668">
      <w:pPr>
        <w:pStyle w:val="TOC2"/>
      </w:pPr>
      <w:r>
        <w:t>Useful references on international investment issues</w:t>
      </w:r>
      <w:r>
        <w:tab/>
        <w:t>56</w:t>
      </w:r>
    </w:p>
    <w:p w:rsidR="00000000" w:rsidRDefault="00590668">
      <w:pPr>
        <w:pStyle w:val="TOC1"/>
      </w:pPr>
      <w:r>
        <w:t>Appendices</w:t>
      </w:r>
    </w:p>
    <w:p w:rsidR="00000000" w:rsidRDefault="00590668">
      <w:pPr>
        <w:pStyle w:val="TOC2"/>
        <w:tabs>
          <w:tab w:val="left" w:pos="1701"/>
        </w:tabs>
        <w:ind w:left="1701" w:hanging="1701"/>
      </w:pPr>
      <w:r>
        <w:t>Appendix A:</w:t>
      </w:r>
      <w:r>
        <w:tab/>
      </w:r>
      <w:r>
        <w:t>Summary of Australia’s Foreign Investment Policy as at 30 June 2001</w:t>
      </w:r>
      <w:r>
        <w:tab/>
        <w:t>59</w:t>
      </w:r>
    </w:p>
    <w:p w:rsidR="00000000" w:rsidRDefault="00590668">
      <w:pPr>
        <w:pStyle w:val="TOC2"/>
        <w:tabs>
          <w:tab w:val="left" w:pos="1701"/>
        </w:tabs>
      </w:pPr>
      <w:r>
        <w:t>Appendix B:</w:t>
      </w:r>
      <w:r>
        <w:tab/>
        <w:t>Legislation, Policy Statements and Publications</w:t>
      </w:r>
      <w:r>
        <w:tab/>
        <w:t>75</w:t>
      </w:r>
    </w:p>
    <w:p w:rsidR="00000000" w:rsidRDefault="00590668">
      <w:pPr>
        <w:pStyle w:val="TOC2"/>
        <w:tabs>
          <w:tab w:val="left" w:pos="1701"/>
        </w:tabs>
      </w:pPr>
      <w:r>
        <w:t>Appendix C:</w:t>
      </w:r>
      <w:r>
        <w:tab/>
        <w:t>Press Releases — 2001-02</w:t>
      </w:r>
      <w:r>
        <w:tab/>
        <w:t>81</w:t>
      </w:r>
    </w:p>
    <w:p w:rsidR="00000000" w:rsidRDefault="00590668">
      <w:pPr>
        <w:pStyle w:val="TOC2"/>
        <w:tabs>
          <w:tab w:val="left" w:pos="1701"/>
        </w:tabs>
      </w:pPr>
      <w:r>
        <w:t>Appendix D:</w:t>
      </w:r>
      <w:r>
        <w:tab/>
        <w:t>Chronology of Policy Measures</w:t>
      </w:r>
      <w:r>
        <w:tab/>
        <w:t>83</w:t>
      </w:r>
    </w:p>
    <w:p w:rsidR="00000000" w:rsidRDefault="00590668">
      <w:pPr>
        <w:pStyle w:val="TOC2"/>
        <w:tabs>
          <w:tab w:val="left" w:pos="1701"/>
        </w:tabs>
      </w:pPr>
      <w:r>
        <w:t>Appendix E:</w:t>
      </w:r>
      <w:r>
        <w:tab/>
      </w:r>
      <w:r>
        <w:rPr>
          <w:i/>
          <w:iCs/>
        </w:rPr>
        <w:t xml:space="preserve">Foreign Acquisitions and </w:t>
      </w:r>
      <w:r>
        <w:rPr>
          <w:i/>
          <w:iCs/>
        </w:rPr>
        <w:t>Takeovers Act 1975</w:t>
      </w:r>
      <w:r>
        <w:tab/>
        <w:t>83</w:t>
      </w:r>
    </w:p>
    <w:p w:rsidR="00000000" w:rsidRDefault="00590668">
      <w:pPr>
        <w:pStyle w:val="TOC2"/>
        <w:tabs>
          <w:tab w:val="left" w:pos="1701"/>
        </w:tabs>
        <w:ind w:left="1701" w:hanging="1701"/>
      </w:pPr>
      <w:r>
        <w:t>Appendix F:</w:t>
      </w:r>
      <w:r>
        <w:tab/>
        <w:t>Foreign Acquisitions and Takeovers Regulations 1989 and (Notices) Regulations</w:t>
      </w:r>
      <w:r>
        <w:tab/>
        <w:t>83</w:t>
      </w:r>
    </w:p>
    <w:p w:rsidR="00000000" w:rsidRDefault="00590668">
      <w:pPr>
        <w:pStyle w:val="TOC2"/>
        <w:tabs>
          <w:tab w:val="left" w:pos="1701"/>
        </w:tabs>
      </w:pPr>
      <w:r>
        <w:t>Appendix G:</w:t>
      </w:r>
      <w:r>
        <w:tab/>
        <w:t>OECD Guidelines for Multinational Enterprises</w:t>
      </w:r>
      <w:r>
        <w:tab/>
        <w:t>183</w:t>
      </w:r>
    </w:p>
    <w:p w:rsidR="00000000" w:rsidRDefault="00590668">
      <w:pPr>
        <w:pStyle w:val="TOC2"/>
        <w:tabs>
          <w:tab w:val="left" w:pos="1701"/>
        </w:tabs>
      </w:pPr>
      <w:r>
        <w:t>Appendix H:</w:t>
      </w:r>
      <w:r>
        <w:tab/>
        <w:t>Contact Details</w:t>
      </w:r>
      <w:r>
        <w:tab/>
        <w:t>203</w:t>
      </w:r>
    </w:p>
    <w:p w:rsidR="00000000" w:rsidRDefault="00590668">
      <w:pPr>
        <w:pStyle w:val="TOC3"/>
        <w:sectPr w:rsidR="00000000">
          <w:headerReference w:type="even" r:id="rId20"/>
          <w:footerReference w:type="even" r:id="rId21"/>
          <w:headerReference w:type="first" r:id="rId22"/>
          <w:footerReference w:type="first" r:id="rId23"/>
          <w:pgSz w:w="11907" w:h="16840" w:code="9"/>
          <w:pgMar w:top="2466" w:right="2098" w:bottom="2466" w:left="2098" w:header="1899" w:footer="1899" w:gutter="0"/>
          <w:pgNumType w:fmt="lowerRoman"/>
          <w:cols w:space="709"/>
          <w:titlePg/>
        </w:sectPr>
      </w:pPr>
      <w:r>
        <w:fldChar w:fldCharType="end"/>
      </w:r>
    </w:p>
    <w:p w:rsidR="00000000" w:rsidRDefault="00590668">
      <w:pPr>
        <w:pStyle w:val="Heading1"/>
        <w:spacing w:after="120"/>
        <w:rPr>
          <w:caps/>
        </w:rPr>
      </w:pPr>
      <w:bookmarkStart w:id="18" w:name="_Toc341070502"/>
      <w:bookmarkStart w:id="19" w:name="_Toc341498333"/>
      <w:bookmarkStart w:id="20" w:name="_Toc341498509"/>
      <w:bookmarkStart w:id="21" w:name="_Toc342795680"/>
      <w:bookmarkStart w:id="22" w:name="_Toc344015210"/>
      <w:bookmarkStart w:id="23" w:name="_Toc368474012"/>
      <w:bookmarkStart w:id="24" w:name="_Toc371135350"/>
      <w:bookmarkStart w:id="25" w:name="_Toc410717772"/>
      <w:bookmarkStart w:id="26" w:name="_Toc440182425"/>
      <w:bookmarkStart w:id="27" w:name="_Toc440182485"/>
      <w:bookmarkStart w:id="28" w:name="_Toc440182796"/>
      <w:bookmarkStart w:id="29" w:name="_Toc440187218"/>
      <w:bookmarkStart w:id="30" w:name="_Toc440187269"/>
      <w:bookmarkStart w:id="31" w:name="_Toc440187369"/>
      <w:bookmarkStart w:id="32" w:name="_Toc440187395"/>
      <w:bookmarkStart w:id="33" w:name="_Toc440187402"/>
      <w:r>
        <w:lastRenderedPageBreak/>
        <w:t>Main points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000000" w:rsidRDefault="00590668">
      <w:pPr>
        <w:pStyle w:val="Heading2"/>
        <w:numPr>
          <w:ilvl w:val="12"/>
          <w:numId w:val="0"/>
        </w:numPr>
      </w:pPr>
      <w:bookmarkStart w:id="34" w:name="_Toc410717774"/>
      <w:bookmarkStart w:id="35" w:name="_Toc440182427"/>
      <w:bookmarkStart w:id="36" w:name="_Toc440182487"/>
      <w:bookmarkStart w:id="37" w:name="_Toc440182798"/>
      <w:bookmarkStart w:id="38" w:name="_Toc440187220"/>
      <w:bookmarkStart w:id="39" w:name="_Toc440187271"/>
      <w:bookmarkStart w:id="40" w:name="_Toc440187371"/>
      <w:bookmarkStart w:id="41" w:name="_Toc440187397"/>
      <w:bookmarkStart w:id="42" w:name="_Toc440187404"/>
      <w:r>
        <w:t>2001</w:t>
      </w:r>
      <w:r>
        <w:noBreakHyphen/>
        <w:t>02 foreign investment proposals</w:t>
      </w:r>
      <w:bookmarkEnd w:id="34"/>
      <w:bookmarkEnd w:id="35"/>
      <w:bookmarkEnd w:id="36"/>
      <w:bookmarkEnd w:id="37"/>
      <w:bookmarkEnd w:id="38"/>
      <w:bookmarkEnd w:id="39"/>
      <w:bookmarkEnd w:id="40"/>
      <w:bookmarkEnd w:id="41"/>
      <w:bookmarkEnd w:id="42"/>
      <w:r>
        <w:t xml:space="preserve"> in summary</w:t>
      </w:r>
    </w:p>
    <w:p w:rsidR="00000000" w:rsidRDefault="00590668">
      <w:pPr>
        <w:pStyle w:val="Bullet"/>
        <w:spacing w:after="120"/>
      </w:pPr>
      <w:r>
        <w:t>Of the</w:t>
      </w:r>
      <w:r>
        <w:rPr>
          <w:rFonts w:ascii="Times" w:hAnsi="Times" w:cs="Times"/>
        </w:rPr>
        <w:t xml:space="preserve"> 4,520</w:t>
      </w:r>
      <w:r>
        <w:t xml:space="preserve"> proposals deci</w:t>
      </w:r>
      <w:r>
        <w:t>ded, 4,443 were approved (3,400 with conditions, mainly in the real estate sector) and 77 were rejected. There were 3,301 approvals (2,298 with conditions) and 46 rejections in 2000-01.</w:t>
      </w:r>
    </w:p>
    <w:p w:rsidR="00000000" w:rsidRDefault="00590668">
      <w:pPr>
        <w:pStyle w:val="Bullet"/>
        <w:spacing w:after="120"/>
      </w:pPr>
      <w:r>
        <w:t>There were 69 orders rejecting proposals, 7 orders to divest, and 7</w:t>
      </w:r>
      <w:r>
        <w:t>6 interim orders extending the deliberation period for up to a further 90 Days.</w:t>
      </w:r>
    </w:p>
    <w:p w:rsidR="00000000" w:rsidRDefault="00590668">
      <w:pPr>
        <w:pStyle w:val="Bullet"/>
        <w:spacing w:after="120"/>
      </w:pPr>
      <w:r>
        <w:t>Approvals involved proposed investment (either alone or in partnership with Australians) of around $118 </w:t>
      </w:r>
      <w:r>
        <w:t>billion. This represented an 11 per cent increase on the previous year’s approvals of $106.3 billion. Approvals do not necessarily mean investments proceed in either the time frames or the amounts proposed.</w:t>
      </w:r>
    </w:p>
    <w:p w:rsidR="00000000" w:rsidRDefault="00590668">
      <w:pPr>
        <w:pStyle w:val="Bullet"/>
        <w:spacing w:after="120"/>
      </w:pPr>
      <w:r>
        <w:t>The value of approvals increased in the servic</w:t>
      </w:r>
      <w:r>
        <w:t>es sector (excluding tourism) from $31.1 billion in 2000</w:t>
      </w:r>
      <w:r>
        <w:noBreakHyphen/>
        <w:t>01 to $49 billion in 2001-02. Approvals in the minerals exploration and development sector decreased from $23.7 billion to $19.1 billion and real estate increased from $12.7 billion to $14.3 billion.</w:t>
      </w:r>
    </w:p>
    <w:p w:rsidR="00000000" w:rsidRDefault="00590668">
      <w:pPr>
        <w:pStyle w:val="Bullet"/>
      </w:pPr>
      <w:bookmarkStart w:id="43" w:name="_Toc371135352"/>
      <w:r>
        <w:t>The United Kingdom was the largest source of proposed investment in Australia in 2001-02 considered under the Government’s foreign investment policy, contributing $19.4 billion or 16.4 per cent. The United States and Singapore were the oth</w:t>
      </w:r>
      <w:r>
        <w:t>er major sources of proposed investment during 2001</w:t>
      </w:r>
      <w:r>
        <w:noBreakHyphen/>
        <w:t>02 accounting for around 15.8 per cent and 15.4 per cent of the total respectively.</w:t>
      </w:r>
      <w:bookmarkEnd w:id="43"/>
    </w:p>
    <w:p w:rsidR="00000000" w:rsidRDefault="00590668">
      <w:pPr>
        <w:pStyle w:val="Heading2"/>
        <w:spacing w:before="120"/>
      </w:pPr>
      <w:r>
        <w:t>International investment issues</w:t>
      </w:r>
    </w:p>
    <w:p w:rsidR="00000000" w:rsidRDefault="00590668">
      <w:pPr>
        <w:pStyle w:val="Bullet"/>
      </w:pPr>
      <w:r>
        <w:t>Australia concluded a Free Trade Agreement with Singapore in October 200</w:t>
      </w:r>
      <w:r>
        <w:t>2. The Singapore-Australia FTA is Australia’s first FTA since the conclusion of the Australia-New Zealand Closer Economic Relations Agreement nearly twenty years ago.</w:t>
      </w:r>
    </w:p>
    <w:p w:rsidR="00000000" w:rsidRDefault="00590668">
      <w:pPr>
        <w:pStyle w:val="Bullet"/>
      </w:pPr>
      <w:r>
        <w:t>During the period, the Australian National Contact Point for the OECD Guidelines incre</w:t>
      </w:r>
      <w:r>
        <w:t>ased the awareness of, and involvement with, the Guidelines through its bi-annual consultations with other government agencies, labour, business and other non-government organisations.</w:t>
      </w:r>
    </w:p>
    <w:p w:rsidR="00000000" w:rsidRDefault="00590668">
      <w:pPr>
        <w:pStyle w:val="Bullet"/>
      </w:pPr>
      <w:r>
        <w:lastRenderedPageBreak/>
        <w:t>The trend over the five years to 30 June 2002 shows that flows of Au</w:t>
      </w:r>
      <w:r>
        <w:t>stralian direct investment abroad have increased by 173 per cent, from $7.4 billion in 1997-98 to $20.3 billion in 2001-02. The flows of FDI into Australia increased by 125 per cent, from $10.3 billion to $23.2 billion over the same period.</w:t>
      </w:r>
    </w:p>
    <w:p w:rsidR="00000000" w:rsidRDefault="00590668">
      <w:pPr>
        <w:pStyle w:val="TOC3"/>
        <w:sectPr w:rsidR="00000000">
          <w:headerReference w:type="even" r:id="rId24"/>
          <w:headerReference w:type="default" r:id="rId25"/>
          <w:footerReference w:type="even" r:id="rId26"/>
          <w:headerReference w:type="first" r:id="rId27"/>
          <w:footerReference w:type="first" r:id="rId28"/>
          <w:pgSz w:w="11907" w:h="16840" w:code="9"/>
          <w:pgMar w:top="2466" w:right="2098" w:bottom="2466" w:left="2098" w:header="1899" w:footer="1899" w:gutter="0"/>
          <w:pgNumType w:fmt="lowerRoman"/>
          <w:cols w:space="709"/>
          <w:titlePg/>
        </w:sectPr>
      </w:pPr>
    </w:p>
    <w:p w:rsidR="00000000" w:rsidRDefault="00590668">
      <w:pPr>
        <w:pStyle w:val="chattach"/>
      </w:pPr>
      <w:bookmarkStart w:id="44" w:name="_Toc340467517"/>
      <w:bookmarkStart w:id="45" w:name="_Toc341070506"/>
      <w:bookmarkStart w:id="46" w:name="_Toc341498337"/>
      <w:bookmarkStart w:id="47" w:name="_Toc341498513"/>
      <w:bookmarkStart w:id="48" w:name="_Toc342795684"/>
      <w:bookmarkStart w:id="49" w:name="_Toc344015215"/>
      <w:bookmarkStart w:id="50" w:name="_Toc368474016"/>
      <w:bookmarkStart w:id="51" w:name="_Toc371135354"/>
      <w:r>
        <w:lastRenderedPageBreak/>
        <w:t>CHAPTER 1</w:t>
      </w:r>
    </w:p>
    <w:p w:rsidR="00000000" w:rsidRDefault="00590668">
      <w:pPr>
        <w:pStyle w:val="Heading1"/>
        <w:spacing w:before="240"/>
      </w:pPr>
      <w:r>
        <w:t>Foreign Investment Review Board</w:t>
      </w:r>
      <w:bookmarkEnd w:id="44"/>
      <w:bookmarkEnd w:id="45"/>
      <w:bookmarkEnd w:id="46"/>
      <w:bookmarkEnd w:id="47"/>
      <w:bookmarkEnd w:id="48"/>
      <w:bookmarkEnd w:id="49"/>
      <w:bookmarkEnd w:id="50"/>
      <w:bookmarkEnd w:id="51"/>
    </w:p>
    <w:p w:rsidR="00000000" w:rsidRDefault="00590668">
      <w:pPr>
        <w:pStyle w:val="Heading2"/>
      </w:pPr>
      <w:bookmarkStart w:id="52" w:name="_Toc329156753"/>
      <w:bookmarkStart w:id="53" w:name="_Toc371135355"/>
      <w:r>
        <w:t>Functions of the Board</w:t>
      </w:r>
      <w:bookmarkEnd w:id="52"/>
      <w:bookmarkEnd w:id="53"/>
    </w:p>
    <w:p w:rsidR="00000000" w:rsidRDefault="00590668">
      <w:r>
        <w:t>The Foreign Investment</w:t>
      </w:r>
      <w:r>
        <w:t xml:space="preserve"> Review Board (FIRB or the Board) is a non</w:t>
      </w:r>
      <w:r>
        <w:noBreakHyphen/>
        <w:t>statutory body established in April 1976 to advise the Treasurer on foreign investment policy and its administration.</w:t>
      </w:r>
    </w:p>
    <w:p w:rsidR="00000000" w:rsidRDefault="00590668">
      <w:r>
        <w:t>The main functions of the Board are:</w:t>
      </w:r>
    </w:p>
    <w:p w:rsidR="00000000" w:rsidRDefault="00590668">
      <w:pPr>
        <w:pStyle w:val="Bullet"/>
      </w:pPr>
      <w:r>
        <w:t>to examine proposals by foreign interests for acquisiti</w:t>
      </w:r>
      <w:r>
        <w:t>ons and new investment projects in Australia and, against the background of the Government’s foreign investment policy, to make recommendations to the Treasurer on those proposals;</w:t>
      </w:r>
    </w:p>
    <w:p w:rsidR="00000000" w:rsidRDefault="00590668">
      <w:pPr>
        <w:pStyle w:val="Bullet"/>
      </w:pPr>
      <w:r>
        <w:t>to advise the Treasurer on foreign investment matters generally;</w:t>
      </w:r>
    </w:p>
    <w:p w:rsidR="00000000" w:rsidRDefault="00590668">
      <w:pPr>
        <w:pStyle w:val="Bullet"/>
      </w:pPr>
      <w:r>
        <w:t>to f</w:t>
      </w:r>
      <w:r>
        <w:t>oster an awareness and understanding, both in Australia and abroad, of the Government’s foreign investment policy;</w:t>
      </w:r>
    </w:p>
    <w:p w:rsidR="00000000" w:rsidRDefault="00590668">
      <w:pPr>
        <w:pStyle w:val="Bullet"/>
      </w:pPr>
      <w:r>
        <w:t>to provide guidance, where necessary, to foreign investors so that their proposals conform with the policy; and</w:t>
      </w:r>
    </w:p>
    <w:p w:rsidR="00000000" w:rsidRDefault="00590668">
      <w:pPr>
        <w:pStyle w:val="Bullet"/>
      </w:pPr>
      <w:r>
        <w:t>to monitor and ensure compliance with foreign investment policy.</w:t>
      </w:r>
    </w:p>
    <w:p w:rsidR="00000000" w:rsidRDefault="00590668">
      <w:r>
        <w:t>The Board’s functions are advisory only. Responsibility for the Government’s foreign investment policy and for making decisions on proposals rests with the Treasurer.</w:t>
      </w:r>
    </w:p>
    <w:p w:rsidR="00000000" w:rsidRDefault="00590668">
      <w:r>
        <w:t xml:space="preserve">The Executive member of </w:t>
      </w:r>
      <w:r>
        <w:t>the Board is also the Australian National Contact Point (ANCP) for the OECD Guidelines for Multinational Enterprises (the Guidelines). The ANCP is responsible for promoting the Guidelines, handling inquiries, for discussions with interested stakeholders an</w:t>
      </w:r>
      <w:r>
        <w:t>d for reporting its activities to the OECD Committee on International Investment and Multinational Enterprises.</w:t>
      </w:r>
    </w:p>
    <w:p w:rsidR="00000000" w:rsidRDefault="00590668">
      <w:pPr>
        <w:pStyle w:val="Heading2"/>
      </w:pPr>
      <w:bookmarkStart w:id="54" w:name="_Toc371135356"/>
      <w:r>
        <w:lastRenderedPageBreak/>
        <w:t>Membership</w:t>
      </w:r>
      <w:bookmarkEnd w:id="54"/>
    </w:p>
    <w:p w:rsidR="00000000" w:rsidRDefault="00590668">
      <w:r>
        <w:t>There were no changes to the composition of the Board during 2001</w:t>
      </w:r>
      <w:r>
        <w:noBreakHyphen/>
        <w:t>02. As at 30 June 2002 the Board comprise</w:t>
      </w:r>
      <w:r>
        <w:t>d three part</w:t>
      </w:r>
      <w:r>
        <w:noBreakHyphen/>
        <w:t>time members and a full</w:t>
      </w:r>
      <w:r>
        <w:noBreakHyphen/>
        <w:t>time Executive Member.</w:t>
      </w:r>
    </w:p>
    <w:p w:rsidR="00000000" w:rsidRDefault="00590668">
      <w:pPr>
        <w:rPr>
          <w:lang w:val="en-US"/>
        </w:rPr>
      </w:pPr>
      <w:r>
        <w:rPr>
          <w:rStyle w:val="NormalBold"/>
        </w:rPr>
        <w:t>Mr John Phillips, AM</w:t>
      </w:r>
      <w:r>
        <w:rPr>
          <w:lang w:val="en-US"/>
        </w:rPr>
        <w:t xml:space="preserve"> was re-appointed Chairman of the Board on 24</w:t>
      </w:r>
      <w:r>
        <w:t> </w:t>
      </w:r>
      <w:r>
        <w:rPr>
          <w:lang w:val="en-US"/>
        </w:rPr>
        <w:t>April 2002 for a further term of five years. He has extensive high level experience in the public, finance and business sectors in</w:t>
      </w:r>
      <w:r>
        <w:rPr>
          <w:lang w:val="en-US"/>
        </w:rPr>
        <w:t>cluding the position of Deputy Governor of the Reserve Bank of Australia. His present responsibilities include Chairman, The Australian Gas Light Company; Chairman, Australia Charities Fund; and Chancellor, University of Western Sydney.</w:t>
      </w:r>
    </w:p>
    <w:p w:rsidR="00000000" w:rsidRDefault="00590668">
      <w:r>
        <w:rPr>
          <w:rStyle w:val="NormalBold"/>
        </w:rPr>
        <w:t>Ms Lynn Wood</w:t>
      </w:r>
      <w:r>
        <w:t xml:space="preserve"> has be</w:t>
      </w:r>
      <w:r>
        <w:t>en a Board member since April 1995 and was re</w:t>
      </w:r>
      <w:r>
        <w:noBreakHyphen/>
        <w:t>appointed to the Board on 4 April 2000 for a further term of five years. Ms Wood has considerable business experience in financial services, including having been a Director of Schroders Australia Ltd, Sedgwick</w:t>
      </w:r>
      <w:r>
        <w:t xml:space="preserve"> (Holdings) Pty Ltd and the Investment Funds Association of Australia (now IFSA). Ms Wood is also a principal of LynnWood Research, a director of the Multiple Sclerosis Society of New South Wales, a member of the Macquarie Goodman Funds Management Complian</w:t>
      </w:r>
      <w:r>
        <w:t>ce Committee and Chairman of Hands Pty Ltd.</w:t>
      </w:r>
    </w:p>
    <w:p w:rsidR="00000000" w:rsidRDefault="00590668">
      <w:r>
        <w:rPr>
          <w:rStyle w:val="NormalBold"/>
        </w:rPr>
        <w:t>The Hon Chris Miles</w:t>
      </w:r>
      <w:r>
        <w:t xml:space="preserve"> was appointed to the Board on 8 June 1999 for a five year term. Between 1984 and 1998 Mr Miles represented the seat of Braddon, Tasmania, in the House of Representatives where from 1996 to 199</w:t>
      </w:r>
      <w:r>
        <w:t>8 he was the Parliamentary Secretary (Cabinet) to the Prime Minister. In that capacity, he had special responsibility for tax legislation in the House of Representatives. Prior to his distinguished parliamentary career, Mr Miles taught in the education sys</w:t>
      </w:r>
      <w:r>
        <w:t>tems of Tasmania, the ACT and NSW. Mr Miles is currently Director of Strategic Development, Pacific Hills Education Ltd.</w:t>
      </w:r>
    </w:p>
    <w:p w:rsidR="00000000" w:rsidRDefault="00590668">
      <w:r>
        <w:rPr>
          <w:rStyle w:val="NormalBold"/>
        </w:rPr>
        <w:t>Dr Jim Hagan</w:t>
      </w:r>
      <w:r>
        <w:rPr>
          <w:b/>
          <w:bCs/>
          <w:snapToGrid w:val="0"/>
        </w:rPr>
        <w:t xml:space="preserve"> </w:t>
      </w:r>
      <w:r>
        <w:rPr>
          <w:snapToGrid w:val="0"/>
        </w:rPr>
        <w:t>was the ex officio Executive Member of the Board from mid January 2001 to October 2002.  He joined the Commonwealth Treasu</w:t>
      </w:r>
      <w:r>
        <w:rPr>
          <w:snapToGrid w:val="0"/>
        </w:rPr>
        <w:t>ry in 1998 after working in the New Zealand Treasury for five years, and prior to that in the Productivity Commission. He has experience across a range of portfolio issues including taxation, labour markets, industry policy, agriculture, competition policy</w:t>
      </w:r>
      <w:r>
        <w:rPr>
          <w:snapToGrid w:val="0"/>
        </w:rPr>
        <w:t>, education and the environment.</w:t>
      </w:r>
    </w:p>
    <w:p w:rsidR="00000000" w:rsidRDefault="00590668">
      <w:pPr>
        <w:pStyle w:val="Heading2"/>
      </w:pPr>
      <w:bookmarkStart w:id="55" w:name="_Toc371135357"/>
      <w:r>
        <w:lastRenderedPageBreak/>
        <w:t>Relationship of the Division to the Board</w:t>
      </w:r>
      <w:bookmarkEnd w:id="55"/>
    </w:p>
    <w:p w:rsidR="00000000" w:rsidRDefault="00590668">
      <w:r>
        <w:t>Executive assistance to the Board is provided by the Foreign Investment Policy Division of the Treasury. The Division was headed by Dr Hagan as General Man</w:t>
      </w:r>
      <w:r>
        <w:t>ager. The Division provides secretariat services for the Board, prepares draft and final reports on proposals and is usually the first point of contact for foreign investment applicants.</w:t>
      </w:r>
    </w:p>
    <w:p w:rsidR="00000000" w:rsidRDefault="00590668">
      <w:pPr>
        <w:rPr>
          <w:highlight w:val="yellow"/>
        </w:rPr>
      </w:pPr>
      <w:r>
        <w:t>In addition to its function as a secretariat for the Board, the Divis</w:t>
      </w:r>
      <w:r>
        <w:t>ion also advises the Government on foreign investment policy matters. This includes providing advice on Australia’s international investment position in the context of multilateral fora, such as the Organisation for Economic Cooperation and Development (OE</w:t>
      </w:r>
      <w:r>
        <w:t>CD), the Worlds Trade Organisation (WTO) and the Asia-Pacific Economic Cooperation (APEC), and bilaterally through free trade and investment protection and promotion agreements. Chapter 4 covers these issues in more detail and also examines Australia’s int</w:t>
      </w:r>
      <w:r>
        <w:t>ernational investment position.</w:t>
      </w:r>
    </w:p>
    <w:p w:rsidR="00000000" w:rsidRDefault="00590668">
      <w:pPr>
        <w:pStyle w:val="Heading2"/>
        <w:jc w:val="both"/>
        <w:rPr>
          <w:highlight w:val="yellow"/>
        </w:rPr>
      </w:pPr>
      <w:bookmarkStart w:id="56" w:name="_Toc371135365"/>
      <w:bookmarkStart w:id="57" w:name="_Toc371135359"/>
      <w:r>
        <w:t>Administration of Foreign Investment Policy</w:t>
      </w:r>
    </w:p>
    <w:p w:rsidR="00000000" w:rsidRDefault="00590668">
      <w:r>
        <w:t>In 2001-02 4,922 cases were received, up from 3,665 in 2000</w:t>
      </w:r>
      <w:r>
        <w:noBreakHyphen/>
        <w:t>01. Of these, 4,520 were decided and 402 were withdrawn. Additionally, the Division handled ov</w:t>
      </w:r>
      <w:r>
        <w:t>er 40,000 incoming telephone calls, answered 208 letters (272 in 2000-01) and 1120 electronic mail messages (722 in 2000-01) in relation to specific potential proposals and the operation of foreign investment policy more generally.</w:t>
      </w:r>
    </w:p>
    <w:p w:rsidR="00000000" w:rsidRDefault="00590668">
      <w:r>
        <w:t>The Division welcomes di</w:t>
      </w:r>
      <w:r>
        <w:t>rect contact from persons seeking advice on foreign investment policy through its telephone inquiry line +61 2 6263 3795, electronic</w:t>
      </w:r>
      <w:r>
        <w:noBreakHyphen/>
        <w:t xml:space="preserve">mail address, </w:t>
      </w:r>
      <w:hyperlink r:id="rId29" w:history="1">
        <w:r>
          <w:t>firb@treasury.gov.a</w:t>
        </w:r>
        <w:bookmarkStart w:id="58" w:name="_Hlt531148898"/>
        <w:r>
          <w:t>u</w:t>
        </w:r>
        <w:bookmarkEnd w:id="58"/>
      </w:hyperlink>
      <w:r>
        <w:t>, or alternatively from its website at www.firb.gov.au.</w:t>
      </w:r>
    </w:p>
    <w:p w:rsidR="00000000" w:rsidRDefault="00590668">
      <w:r>
        <w:t xml:space="preserve">Under the </w:t>
      </w:r>
      <w:r>
        <w:rPr>
          <w:rStyle w:val="NormalItalic"/>
        </w:rPr>
        <w:t>Foreign Acquisitions and Takeovers Act 1975</w:t>
      </w:r>
      <w:r>
        <w:t xml:space="preserve"> (FATA) (a copy is at Appendix E) the statutory time limit </w:t>
      </w:r>
      <w:r>
        <w:t>for reaching a decision is 30 days, with up to a further ten days to notify the parties. There is scope for an interim order extending the period of examination for up to a further 90 days. In 2001</w:t>
      </w:r>
      <w:r>
        <w:noBreakHyphen/>
        <w:t>02, 76 interim orders, 7 divestiture orders and 69 final o</w:t>
      </w:r>
      <w:r>
        <w:t>rders</w:t>
      </w:r>
      <w:r>
        <w:rPr>
          <w:rStyle w:val="FootnoteReference"/>
        </w:rPr>
        <w:footnoteReference w:id="1"/>
      </w:r>
      <w:r>
        <w:t xml:space="preserve"> were published. Interim orders are usually sought where the applicant has failed to provide </w:t>
      </w:r>
      <w:r>
        <w:lastRenderedPageBreak/>
        <w:t>adequate information to assess the proposal against the national interest test within the 30 day statutory deadline or to provi</w:t>
      </w:r>
      <w:r>
        <w:t>de parties with the opportunity to address issues arising from the proposal. Final orders are issued where a proposal is inconsistent with Australia’s foreign investment policy and, therefore, not in the national interest.</w:t>
      </w:r>
    </w:p>
    <w:p w:rsidR="00000000" w:rsidRDefault="00590668">
      <w:r>
        <w:t>In keeping with the Board’s respo</w:t>
      </w:r>
      <w:r>
        <w:t>nsibility to foster an awareness and understanding of the Government’s policy and to provide guidance to investors, the Division is available to meet with both potential foreign investors and Australian businesses to explain foreign investment policy and i</w:t>
      </w:r>
      <w:r>
        <w:t>ts application to particular proposals.</w:t>
      </w:r>
    </w:p>
    <w:p w:rsidR="00000000" w:rsidRDefault="00590668">
      <w:pPr>
        <w:rPr>
          <w:highlight w:val="yellow"/>
        </w:rPr>
      </w:pPr>
      <w:r>
        <w:t xml:space="preserve">Major proposals will often be in the public domain and the Board welcomes submissions on them from third parties. Consideration of such submissions can be an important part of the Board’s examination process and its </w:t>
      </w:r>
      <w:r>
        <w:t>making of recommendations to the Treasurer or the Parliamentary Secretary to the Treasurer.</w:t>
      </w:r>
    </w:p>
    <w:p w:rsidR="00000000" w:rsidRDefault="00590668">
      <w:pPr>
        <w:pStyle w:val="Heading2"/>
      </w:pPr>
      <w:r>
        <w:t>Cost of the Board's operations</w:t>
      </w:r>
      <w:bookmarkEnd w:id="56"/>
    </w:p>
    <w:p w:rsidR="00000000" w:rsidRDefault="00590668">
      <w:r>
        <w:t>Consistent with the proper discharge of its functions, the Board is concerned to ensure that its operating costs are min</w:t>
      </w:r>
      <w:r>
        <w:t>imised. Total Board expenses in 2001</w:t>
      </w:r>
      <w:r>
        <w:noBreakHyphen/>
        <w:t>02 were $95,375 ($99,560 in 2000-01). Remuneration of Board members was around 92 per cent of total Board expenses, the remainder was for local travel, car hire, legal advice and incidentals. Board members’ fees are det</w:t>
      </w:r>
      <w:r>
        <w:t xml:space="preserve">ermined by the Remuneration Tribunal. Under the </w:t>
      </w:r>
      <w:r>
        <w:rPr>
          <w:i/>
          <w:iCs/>
        </w:rPr>
        <w:t>Remuneration Tribunal Act 1973</w:t>
      </w:r>
      <w:r>
        <w:t>, the Tribunal is required to make reports or determinations in respect of the remuneration and allowances of officers at intervals of not more than one year.</w:t>
      </w:r>
    </w:p>
    <w:p w:rsidR="00000000" w:rsidRDefault="00590668">
      <w:r>
        <w:t>Total expenses of t</w:t>
      </w:r>
      <w:r>
        <w:t xml:space="preserve">he Division were $2.16 million in 2001-02 compared with $1.95 million in 2000-01. These expenses were mainly for employees (including superannuation and accruing leave entitlements), with other expenses being incurred for travel, printing and advertising. </w:t>
      </w:r>
      <w:r>
        <w:t>The total cost of foreign investment screening would also include the expenses of other Government authorities and agencies, at the Commonwealth and State levels, that are consulted on proposals.</w:t>
      </w:r>
    </w:p>
    <w:p w:rsidR="00000000" w:rsidRDefault="00590668">
      <w:r>
        <w:t>At 30 June 2002, there were 24 staff members in the Division</w:t>
      </w:r>
      <w:r>
        <w:t>. This compares with 26 officers at the end of June 2001.</w:t>
      </w:r>
    </w:p>
    <w:p w:rsidR="00000000" w:rsidRDefault="00590668">
      <w:pPr>
        <w:pStyle w:val="Heading2"/>
        <w:jc w:val="both"/>
      </w:pPr>
      <w:r>
        <w:lastRenderedPageBreak/>
        <w:t>2001-02 outcomes</w:t>
      </w:r>
      <w:bookmarkEnd w:id="57"/>
    </w:p>
    <w:p w:rsidR="00000000" w:rsidRDefault="00590668">
      <w:r>
        <w:t>Minimising the impact on commercial decision making processes and ensuring proper consideration of cases against policy requirements continue to be important objectives</w:t>
      </w:r>
      <w:r>
        <w:t xml:space="preserve"> of the administration of foreign investment policy. The Board continues to ensure that proposals are dealt with quickly and efficiently and every effort is made to avoid unnecessary interference in business decision making.</w:t>
      </w:r>
    </w:p>
    <w:p w:rsidR="00000000" w:rsidRDefault="00590668">
      <w:r>
        <w:t>The information requirements fo</w:t>
      </w:r>
      <w:r>
        <w:t xml:space="preserve">r processing proposals have been designed to minimise the time taken (and hence the cost involved) in obtaining foreign investment approval. In 2001-02, 68 per cent of applications were decided within 10 days of receipt of a ‘completed’ application (refer </w:t>
      </w:r>
      <w:r>
        <w:t>Chart 1.1), with 92 per cent of these cases decided within 30 days. A ‘completed’ application is one incorporating all the information needed for a decision to be taken. Cases taking more than 30 days to process usually involve significant complexity or se</w:t>
      </w:r>
      <w:r>
        <w:t>nsitivity.</w:t>
      </w:r>
    </w:p>
    <w:p w:rsidR="00000000" w:rsidRDefault="00590668">
      <w:pPr>
        <w:pStyle w:val="ChartHeading"/>
        <w:numPr>
          <w:ilvl w:val="0"/>
          <w:numId w:val="0"/>
        </w:numPr>
      </w:pPr>
      <w:r>
        <w:t>Chart 1.1:  Processing time for cases decided</w:t>
      </w:r>
    </w:p>
    <w:p w:rsidR="00000000" w:rsidRDefault="00590668">
      <w:pPr>
        <w:pStyle w:val="Graphic"/>
        <w:rPr>
          <w:noProof/>
        </w:rPr>
      </w:pPr>
      <w:r>
        <w:rPr>
          <w:noProof/>
          <w:lang w:val="en-US"/>
        </w:rPr>
        <w:object w:dxaOrig="7380" w:dyaOrig="3974">
          <v:shape id="_x0000_i1026" type="#_x0000_t75" style="width:369pt;height:198.75pt" o:ole="" fillcolor="window">
            <v:imagedata r:id="rId30" o:title=""/>
          </v:shape>
          <o:OLEObject Type="Link" ProgID="Excel.Sheet.8" ShapeID="_x0000_i1026" DrawAspect="Content" r:id="rId31" UpdateMode="Always">
            <o:LinkType>Picture</o:LinkType>
            <o:LockedField>false</o:LockedField>
            <o:FieldCodes>\* MERGEFORMAT</o:FieldCodes>
          </o:OLEObject>
        </w:object>
      </w:r>
    </w:p>
    <w:p w:rsidR="00000000" w:rsidRDefault="00590668">
      <w:pPr>
        <w:pStyle w:val="Heading2"/>
        <w:jc w:val="both"/>
      </w:pPr>
      <w:bookmarkStart w:id="59" w:name="_Toc329156758"/>
      <w:bookmarkStart w:id="60" w:name="_Toc371135360"/>
      <w:r>
        <w:t>Processing of proposals</w:t>
      </w:r>
      <w:bookmarkEnd w:id="59"/>
      <w:bookmarkEnd w:id="60"/>
    </w:p>
    <w:p w:rsidR="00000000" w:rsidRDefault="00590668">
      <w:r>
        <w:t>After proposals have been submitted, the initial work is handled within the Division. Business proposals are allocated to one of two specialist units depending on the industry sect</w:t>
      </w:r>
      <w:r>
        <w:t xml:space="preserve">or involved, that is, the Primary and Secondary Industries Unit or the Tertiary Industries Unit. In the case of commercial and </w:t>
      </w:r>
      <w:r>
        <w:lastRenderedPageBreak/>
        <w:t xml:space="preserve">residential real estate, allocation is generally on the basis of the geographic location of the property being acquired. A third </w:t>
      </w:r>
      <w:r>
        <w:t>unit, the International and Compliance Unit, takes on some of these real estate cases.</w:t>
      </w:r>
    </w:p>
    <w:p w:rsidR="00000000" w:rsidRDefault="00590668">
      <w:r>
        <w:t>The Board considers reports prepared by the Division on a weekly basis concerning all non-real estate sector proposals, commercial real estate proposals valued at $100 m</w:t>
      </w:r>
      <w:r>
        <w:t>illion or more, and the more complex residential real estate proposals. Formal meetings are held approximately every four weeks, with a telephone discussion between the Executive Member and the other Board members in each of the intervening weeks. Followin</w:t>
      </w:r>
      <w:r>
        <w:t xml:space="preserve">g examination of the reports, the Board’s views and recommendations are submitted by the Executive Member to the Treasurer or the Parliamentary Secretary to the Treasurer. The Board’s views need not be unanimous. For the more sensitive cases, the Division </w:t>
      </w:r>
      <w:r>
        <w:t>usually meets with the Treasurer or the Parliamentary Secretary to the Treasurer to discuss the case. Should a proposal raise important considerations and/or impinge on other ministerial responsibilities, the Treasurer or the Parliamentary Secretary to the</w:t>
      </w:r>
      <w:r>
        <w:t xml:space="preserve"> Treasurer may consult his colleagues or seek Cabinet’s view.</w:t>
      </w:r>
    </w:p>
    <w:p w:rsidR="00000000" w:rsidRDefault="00590668">
      <w:r>
        <w:t>The nature of the Bard’s advice and the level to which it is submitted for decision are normally determined by the features of the foreign investment proposal. In the case of significant proposa</w:t>
      </w:r>
      <w:r>
        <w:t>ls (in terms of their size, complexity or the policy issues raised), a full background brief is usually prepared by the Division for consideration at a formal Board meeting prior to seeking the decision of the Treasurer or Parliamentary Secretary to the Tr</w:t>
      </w:r>
      <w:r>
        <w:t>easurer. Where time constraints make a formal meeting impracticable, the Board’s involvement will be by telephone.</w:t>
      </w:r>
    </w:p>
    <w:p w:rsidR="00000000" w:rsidRDefault="00590668">
      <w:r>
        <w:t>Arrangements are in place under which authority for decision making of certain types of proposals that do not involve issues of high sensitiv</w:t>
      </w:r>
      <w:r>
        <w:t>ity are delegated to senior staff of the Division. The majority of proposals (96 per cent in 2001-02) are decided under delegation. The types of proposals that are decided under delegation include acquisitions of urban land valued below $50 million ($100 m</w:t>
      </w:r>
      <w:r>
        <w:t xml:space="preserve">illion for commercial real estate and ‘off the plan’ proposals), acquisitions of exiting businesses or the establishment of new businesses valued at less than $100 million, and offshore takeovers where the Australian assets represent less than 50 per cent </w:t>
      </w:r>
      <w:r>
        <w:t>of the total assets. These delegations have been in place since September 1999.</w:t>
      </w:r>
    </w:p>
    <w:p w:rsidR="00000000" w:rsidRDefault="00590668">
      <w:r>
        <w:t>These arrangements, along with the release of the residential real estate application form in 2001 (the revised version was released in 2002 — R2 Form) and the advanced ‘off th</w:t>
      </w:r>
      <w:r>
        <w:t xml:space="preserve">e plan’ application form (D1 Form) in 2002, have contributed to the considerable streamlining of the application process over </w:t>
      </w:r>
      <w:r>
        <w:lastRenderedPageBreak/>
        <w:t xml:space="preserve">recent years. This is evidenced through the increased number of ‘complete’ applications received by the Division and the improved </w:t>
      </w:r>
      <w:r>
        <w:t>efficiency and speed in which applications are being assessed. In 2001-02, 4,338 cases were decided under delegation and 182 cases were decided by Ministers. Of these, 1,157 were seen by the Board in the weekly board reports.</w:t>
      </w:r>
    </w:p>
    <w:p w:rsidR="00000000" w:rsidRDefault="00590668">
      <w:r>
        <w:t>Proposals are examined to dete</w:t>
      </w:r>
      <w:r>
        <w:t>rmine whether they conform to the general and particular requirements of foreign investment policy, including the proponent’s fulfilment of conditions attached to past approvals. Proposals are blocked using foreign investment powers where the proposals are</w:t>
      </w:r>
      <w:r>
        <w:t xml:space="preserve"> inconsistent with policy and in circumstances involving national interest concerns. Reasons for rejecting substantial commercial proposals are usually published in the Treasurer’s press release.</w:t>
      </w:r>
    </w:p>
    <w:p w:rsidR="00000000" w:rsidRDefault="00590668">
      <w:pPr>
        <w:pStyle w:val="Heading2"/>
      </w:pPr>
      <w:r>
        <w:t>Consultation arrangements</w:t>
      </w:r>
    </w:p>
    <w:p w:rsidR="00000000" w:rsidRDefault="00590668">
      <w:r>
        <w:t>In examining large or otherwise si</w:t>
      </w:r>
      <w:r>
        <w:t xml:space="preserve">gnificant proposals, State and Commonwealth Government departments and authorities with responsibilities relevant to the proposed activity may be consulted. Consultation is undertaken on a strictly confidential basis to protect the information provided by </w:t>
      </w:r>
      <w:r>
        <w:t>the investor and usually takes about two weeks.</w:t>
      </w:r>
    </w:p>
    <w:p w:rsidR="00000000" w:rsidRDefault="00590668">
      <w:r>
        <w:t>The Board acknowledges the assistance received during 2001-02 from the Commonwealth and State departments and authorities whose advice and comments are important in assessing the implications of proposals. Th</w:t>
      </w:r>
      <w:r>
        <w:t>e Board regards its liaison with key stakeholders as an integral part of the administration of Australia’s foreign investment policy.</w:t>
      </w:r>
    </w:p>
    <w:p w:rsidR="00000000" w:rsidRDefault="00590668">
      <w:r>
        <w:t>Additionally, to increase familiarity with the Government's foreign investment policy and its requirements generally, a pr</w:t>
      </w:r>
      <w:r>
        <w:t>ogram of speech presentations has commenced and will continue across all States. Initial presentations have been directed to the real estate and conveyancing institutes. Additionally, contacts have been made with other relevant parties, including Governmen</w:t>
      </w:r>
      <w:r>
        <w:t>t and State authorities as well as private agencies, such as the law societies, to ensure foreign investment policy is both widely available and understood.</w:t>
      </w:r>
    </w:p>
    <w:p w:rsidR="00000000" w:rsidRDefault="00590668">
      <w:pPr>
        <w:pStyle w:val="Heading2"/>
      </w:pPr>
      <w:bookmarkStart w:id="61" w:name="_Toc329156761"/>
      <w:r>
        <w:lastRenderedPageBreak/>
        <w:t>Handling of commercial-in-confidence and personal information</w:t>
      </w:r>
    </w:p>
    <w:p w:rsidR="00000000" w:rsidRDefault="00590668">
      <w:r>
        <w:t>The Board fully recognis</w:t>
      </w:r>
      <w:r>
        <w:t>es that much of the information required to assess a proposal will be sensitive commercial-in-confidence information. The Government respects this confidential status and has appropriate security procedures in place to ensure that this status is fully prot</w:t>
      </w:r>
      <w:r>
        <w:t>ected.</w:t>
      </w:r>
    </w:p>
    <w:p w:rsidR="00000000" w:rsidRDefault="00590668">
      <w:r>
        <w:t xml:space="preserve">The Government is also obligated to respect the privacy of personal information that is provided by applicants to the Board, in accordance with the requirements of the </w:t>
      </w:r>
      <w:r>
        <w:rPr>
          <w:rStyle w:val="NormalItalic"/>
        </w:rPr>
        <w:t>Privacy Act 1988</w:t>
      </w:r>
      <w:r>
        <w:t xml:space="preserve">. In accordance with that Act, in situations where the applicant </w:t>
      </w:r>
      <w:r>
        <w:t>has breached, or is strongly suspected of having breached the FATA, the Board may seek the assistance of other government agencies in its efforts to ensure compliance. In seeking such assistance, the Board may pass relevant personal information to those ag</w:t>
      </w:r>
      <w:r>
        <w:t>encies. Most commonly these agencies will be the Department of Immigration and Multicultural and Indigenous Affairs, the Australian Taxation Office and/or the Australian Federal Police.</w:t>
      </w:r>
    </w:p>
    <w:p w:rsidR="00000000" w:rsidRDefault="00590668">
      <w:r>
        <w:t>In the event that action is taken by third parties to obtain access to</w:t>
      </w:r>
      <w:r>
        <w:t xml:space="preserve"> confidential information held by the Board, it will not be made available without the permission of the person(s) who provided the information to the Board, except upon order of a Court of a competent jurisdiction.</w:t>
      </w:r>
    </w:p>
    <w:p w:rsidR="00000000" w:rsidRDefault="00590668">
      <w:r>
        <w:t xml:space="preserve">In 2001-02, the Division directly dealt </w:t>
      </w:r>
      <w:r>
        <w:t xml:space="preserve">with eight applications under the </w:t>
      </w:r>
      <w:r>
        <w:rPr>
          <w:rStyle w:val="NormalItalic"/>
        </w:rPr>
        <w:t>Freedom of Information Act 1982</w:t>
      </w:r>
      <w:r>
        <w:t xml:space="preserve"> (FOI Act) seeking information concerning foreign investment matters. Of these applications, five were received during the course of 2001-02 while three applications were being processed as a</w:t>
      </w:r>
      <w:r>
        <w:t>t 30 June 2002</w:t>
      </w:r>
      <w:r>
        <w:rPr>
          <w:color w:val="FF00FF"/>
        </w:rPr>
        <w:t>.</w:t>
      </w:r>
    </w:p>
    <w:p w:rsidR="00000000" w:rsidRDefault="00590668">
      <w:r>
        <w:t>The FOI Act provides for the denial of access to commercially confidential documents. This has relevance to documents provided to the Board (or prepared by the Board or the Division) in its examination of proposals. It is the practice of th</w:t>
      </w:r>
      <w:r>
        <w:t>e Division to consult with the parties to a proposal about documents that are the subject of a FOI request to establish whether the parties are prepared to allow their release to an applicant or whether there are justifiable grounds to withhold documents.</w:t>
      </w:r>
    </w:p>
    <w:p w:rsidR="00000000" w:rsidRDefault="00590668">
      <w:pPr>
        <w:pStyle w:val="Heading2"/>
        <w:jc w:val="both"/>
      </w:pPr>
      <w:bookmarkStart w:id="62" w:name="_Toc371135363"/>
      <w:bookmarkEnd w:id="61"/>
      <w:r>
        <w:lastRenderedPageBreak/>
        <w:t>Monitoring and compliance activity</w:t>
      </w:r>
      <w:bookmarkEnd w:id="62"/>
    </w:p>
    <w:p w:rsidR="00000000" w:rsidRDefault="00590668">
      <w:r>
        <w:t>The FATA (at Appendix E) contains wide</w:t>
      </w:r>
      <w:r>
        <w:noBreakHyphen/>
        <w:t xml:space="preserve">ranging powers under which the Treasurer may take legal action to protect and enforce the intent of the Government’s foreign investment policy </w:t>
      </w:r>
      <w:r>
        <w:t>(at Appendix A). The powers include the ability to:</w:t>
      </w:r>
    </w:p>
    <w:p w:rsidR="00000000" w:rsidRDefault="00590668">
      <w:pPr>
        <w:pStyle w:val="Bullet"/>
      </w:pPr>
      <w:r>
        <w:t>unwind (by requiring the parties to sell shares, assets or property) transactions that have gone ahead, without prior foreign investment approval having been obtained, where that purchase is inconsiste</w:t>
      </w:r>
      <w:r>
        <w:t>nt with policy;</w:t>
      </w:r>
    </w:p>
    <w:p w:rsidR="00000000" w:rsidRDefault="00590668">
      <w:pPr>
        <w:pStyle w:val="Bullet"/>
      </w:pPr>
      <w:r>
        <w:t>prosecute persons and companies who fail to obtain prior approval;</w:t>
      </w:r>
    </w:p>
    <w:p w:rsidR="00000000" w:rsidRDefault="00590668">
      <w:pPr>
        <w:pStyle w:val="Bullet"/>
      </w:pPr>
      <w:r>
        <w:t>prosecute persons and companies who fail to comply with an order to sell shares, assets or property; and</w:t>
      </w:r>
    </w:p>
    <w:p w:rsidR="00000000" w:rsidRDefault="00590668">
      <w:pPr>
        <w:pStyle w:val="Bullet"/>
      </w:pPr>
      <w:r>
        <w:t>prosecute persons and companies who fail to comply with con</w:t>
      </w:r>
      <w:r>
        <w:t>ditions attached to any approval given under the foreign investment legislation.</w:t>
      </w:r>
    </w:p>
    <w:p w:rsidR="00000000" w:rsidRDefault="00590668">
      <w:r>
        <w:t>There are also general powers that make it an offence to provide false or misleading information, or to enter into any schemes for the purpose of avoiding the provisions of th</w:t>
      </w:r>
      <w:r>
        <w:t>e FATA.</w:t>
      </w:r>
    </w:p>
    <w:p w:rsidR="00000000" w:rsidRDefault="00590668">
      <w:r>
        <w:t>It is general policy to report breaches of the FATA to the Department of Immigration and Multicultural and Indigenous Affairs and other Government agencies as appropriate.</w:t>
      </w:r>
    </w:p>
    <w:p w:rsidR="00000000" w:rsidRDefault="00590668">
      <w:r>
        <w:t>Monitoring of compliance with foreign investment decisions continues to be a</w:t>
      </w:r>
      <w:r>
        <w:t xml:space="preserve"> significant activity. Close attention is given to the application of policy and/or the fulfilment of conditions attached to decisions.</w:t>
      </w:r>
    </w:p>
    <w:p w:rsidR="00000000" w:rsidRDefault="00590668">
      <w:r>
        <w:t>In examining proposals, the applicant’</w:t>
      </w:r>
      <w:r>
        <w:t>s compliance with any conditions relating to past proposals is taken into account. Instances of lack of compliance with conditions may result in future proposals being rejected.</w:t>
      </w:r>
    </w:p>
    <w:p w:rsidR="00000000" w:rsidRDefault="00590668">
      <w:r>
        <w:t>The International and Compliance Unit has an ongoing compliance program involv</w:t>
      </w:r>
      <w:r>
        <w:t xml:space="preserve">ing the systematic checking of whether foreign persons are complying with the conditions of their approvals. During 2001-02, the International and Compliance Unit examined around 1,000 past proposals to determine compliance with the conditions attached to </w:t>
      </w:r>
      <w:r>
        <w:t>foreign investment decisions. In addition, compliance activities focused on:</w:t>
      </w:r>
    </w:p>
    <w:p w:rsidR="00000000" w:rsidRDefault="00590668">
      <w:pPr>
        <w:pStyle w:val="Bullet"/>
      </w:pPr>
      <w:r>
        <w:lastRenderedPageBreak/>
        <w:t>settling outstanding matters; and</w:t>
      </w:r>
    </w:p>
    <w:p w:rsidR="00000000" w:rsidRDefault="00590668">
      <w:pPr>
        <w:pStyle w:val="Bullet"/>
      </w:pPr>
      <w:r>
        <w:t>separate investigations of instances of possible non</w:t>
      </w:r>
      <w:r>
        <w:noBreakHyphen/>
        <w:t>compliance brought to the Board’s attention by the members of the public.</w:t>
      </w:r>
    </w:p>
    <w:p w:rsidR="00000000" w:rsidRDefault="00590668">
      <w:r>
        <w:t>During the y</w:t>
      </w:r>
      <w:r>
        <w:t>ear, the Unit also spent time reviewing existing compliance and monitoring procedures and documentation with a view to ensuring consistent treatment of cases of non</w:t>
      </w:r>
      <w:r>
        <w:noBreakHyphen/>
        <w:t>compliance. Processes for handling cases which are in serious breach of FATA and/or the app</w:t>
      </w:r>
      <w:r>
        <w:t xml:space="preserve">roval conditions were also reviewed including how and when breaches are to be reported to the Department of Immigration and Multicultural and Indigenous Affairs and other Government agencies as appropriate. Some of these reports have resulted in delays in </w:t>
      </w:r>
      <w:r>
        <w:t>issuing new visas to offenders or in the refusal to issue a new visa.</w:t>
      </w:r>
    </w:p>
    <w:p w:rsidR="00000000" w:rsidRDefault="00590668">
      <w:r>
        <w:t xml:space="preserve">Links with the Australian Federal Police and other law enforcement agencies were strengthened with the exchange of information and advice within the limits allowed by the </w:t>
      </w:r>
      <w:r>
        <w:rPr>
          <w:rStyle w:val="NormalItalic"/>
        </w:rPr>
        <w:t>Privacy Act 198</w:t>
      </w:r>
      <w:r>
        <w:rPr>
          <w:rStyle w:val="NormalItalic"/>
        </w:rPr>
        <w:t>4</w:t>
      </w:r>
      <w:r>
        <w:t>.</w:t>
      </w:r>
    </w:p>
    <w:p w:rsidR="00000000" w:rsidRDefault="00590668">
      <w:r>
        <w:t>Further information on real estate compliance is contained in Chapter 2.</w:t>
      </w:r>
    </w:p>
    <w:p w:rsidR="00000000" w:rsidRDefault="00590668">
      <w:pPr>
        <w:pStyle w:val="Heading2"/>
        <w:jc w:val="both"/>
      </w:pPr>
      <w:bookmarkStart w:id="63" w:name="_Toc371135364"/>
      <w:r>
        <w:t>National interest</w:t>
      </w:r>
    </w:p>
    <w:p w:rsidR="00000000" w:rsidRDefault="00590668">
      <w:pPr>
        <w:rPr>
          <w:snapToGrid w:val="0"/>
        </w:rPr>
      </w:pPr>
      <w:r>
        <w:rPr>
          <w:snapToGrid w:val="0"/>
        </w:rPr>
        <w:t>Under the FATA, the Treasurer may reject applications to control an Australian business or acquire an interest in urban land if he considers the matt</w:t>
      </w:r>
      <w:r>
        <w:rPr>
          <w:snapToGrid w:val="0"/>
        </w:rPr>
        <w:t xml:space="preserve">er is ‘contrary to the national interest’. The presumption is that foreign investment proposals are generally in the national interest and should go ahead. This reflects the positive stance of successive Australian Governments to foreign investment. </w:t>
      </w:r>
    </w:p>
    <w:p w:rsidR="00000000" w:rsidRDefault="00590668">
      <w:pPr>
        <w:rPr>
          <w:snapToGrid w:val="0"/>
        </w:rPr>
      </w:pPr>
      <w:r>
        <w:rPr>
          <w:snapToGrid w:val="0"/>
        </w:rPr>
        <w:t>The B</w:t>
      </w:r>
      <w:r>
        <w:rPr>
          <w:snapToGrid w:val="0"/>
        </w:rPr>
        <w:t>oard provides advice to the Treasurer on large and sensitive proposals. However, it is the Treasurer, as the authority under the FATA, who decides whether an investment is contrary to the national interest.</w:t>
      </w:r>
    </w:p>
    <w:p w:rsidR="00000000" w:rsidRDefault="00590668">
      <w:pPr>
        <w:rPr>
          <w:snapToGrid w:val="0"/>
        </w:rPr>
      </w:pPr>
      <w:r>
        <w:rPr>
          <w:snapToGrid w:val="0"/>
        </w:rPr>
        <w:t>In preparing its advice to the Treasurer, the Boa</w:t>
      </w:r>
      <w:r>
        <w:rPr>
          <w:snapToGrid w:val="0"/>
        </w:rPr>
        <w:t>rd considers whether the proposal is inconsistent with:</w:t>
      </w:r>
    </w:p>
    <w:p w:rsidR="00000000" w:rsidRDefault="00590668">
      <w:pPr>
        <w:pStyle w:val="Bullet"/>
        <w:rPr>
          <w:snapToGrid w:val="0"/>
        </w:rPr>
      </w:pPr>
      <w:r>
        <w:rPr>
          <w:snapToGrid w:val="0"/>
        </w:rPr>
        <w:t xml:space="preserve">existing government policy and law </w:t>
      </w:r>
      <w:r>
        <w:rPr>
          <w:snapToGrid w:val="0"/>
        </w:rPr>
        <w:sym w:font="Symbol" w:char="F0BE"/>
      </w:r>
      <w:r>
        <w:rPr>
          <w:snapToGrid w:val="0"/>
        </w:rPr>
        <w:t xml:space="preserve"> taking the view that existing policy and law define important aspects of the national interest (for example, environmental regulat</w:t>
      </w:r>
      <w:r>
        <w:rPr>
          <w:snapToGrid w:val="0"/>
        </w:rPr>
        <w:t xml:space="preserve">ion and competition policy); </w:t>
      </w:r>
    </w:p>
    <w:p w:rsidR="00000000" w:rsidRDefault="00590668">
      <w:pPr>
        <w:pStyle w:val="Bullet"/>
        <w:rPr>
          <w:snapToGrid w:val="0"/>
        </w:rPr>
      </w:pPr>
      <w:r>
        <w:rPr>
          <w:snapToGrid w:val="0"/>
        </w:rPr>
        <w:t>national security interests; and</w:t>
      </w:r>
    </w:p>
    <w:p w:rsidR="00000000" w:rsidRDefault="00590668">
      <w:pPr>
        <w:pStyle w:val="Bullet"/>
        <w:rPr>
          <w:snapToGrid w:val="0"/>
        </w:rPr>
      </w:pPr>
      <w:r>
        <w:rPr>
          <w:snapToGrid w:val="0"/>
        </w:rPr>
        <w:lastRenderedPageBreak/>
        <w:t>economic development.</w:t>
      </w:r>
    </w:p>
    <w:p w:rsidR="00000000" w:rsidRDefault="00590668">
      <w:pPr>
        <w:rPr>
          <w:snapToGrid w:val="0"/>
        </w:rPr>
      </w:pPr>
      <w:r>
        <w:rPr>
          <w:snapToGrid w:val="0"/>
        </w:rPr>
        <w:t>The information required to formulate advice is obtained from a range of sources including consultation with the applicant, relevant Commonwealth and State governmen</w:t>
      </w:r>
      <w:r>
        <w:rPr>
          <w:snapToGrid w:val="0"/>
        </w:rPr>
        <w:t>t agencies and the target entity. Affected third parties may also be asked for information, and indeed, the Board welcomes comments from all interested parties.</w:t>
      </w:r>
    </w:p>
    <w:p w:rsidR="00000000" w:rsidRDefault="00590668">
      <w:pPr>
        <w:rPr>
          <w:snapToGrid w:val="0"/>
        </w:rPr>
      </w:pPr>
      <w:r>
        <w:rPr>
          <w:snapToGrid w:val="0"/>
        </w:rPr>
        <w:t>Where national interest concerns are identified, the Board may seek to formulate conditions tha</w:t>
      </w:r>
      <w:r>
        <w:rPr>
          <w:snapToGrid w:val="0"/>
        </w:rPr>
        <w:t>t address these concerns.</w:t>
      </w:r>
    </w:p>
    <w:bookmarkEnd w:id="63"/>
    <w:p w:rsidR="00000000" w:rsidRDefault="00590668">
      <w:pPr>
        <w:sectPr w:rsidR="00000000">
          <w:headerReference w:type="even" r:id="rId32"/>
          <w:headerReference w:type="default" r:id="rId33"/>
          <w:footerReference w:type="even" r:id="rId34"/>
          <w:footerReference w:type="default" r:id="rId35"/>
          <w:headerReference w:type="first" r:id="rId36"/>
          <w:footerReference w:type="first" r:id="rId37"/>
          <w:pgSz w:w="11907" w:h="16840" w:code="9"/>
          <w:pgMar w:top="2466" w:right="2098" w:bottom="2466" w:left="2098" w:header="1899" w:footer="1899" w:gutter="0"/>
          <w:pgNumType w:start="1"/>
          <w:cols w:space="709"/>
          <w:titlePg/>
        </w:sectPr>
      </w:pPr>
    </w:p>
    <w:p w:rsidR="00000000" w:rsidRDefault="00590668">
      <w:pPr>
        <w:pStyle w:val="chattach"/>
      </w:pPr>
      <w:r>
        <w:lastRenderedPageBreak/>
        <w:t>CHAPTER 2</w:t>
      </w:r>
    </w:p>
    <w:p w:rsidR="00000000" w:rsidRDefault="00590668">
      <w:pPr>
        <w:pStyle w:val="Heading1"/>
        <w:spacing w:before="240"/>
      </w:pPr>
      <w:bookmarkStart w:id="64" w:name="_Toc341070517"/>
      <w:bookmarkStart w:id="65" w:name="_Toc341498348"/>
      <w:bookmarkStart w:id="66" w:name="_Toc341498524"/>
      <w:bookmarkStart w:id="67" w:name="_Toc342795696"/>
      <w:bookmarkStart w:id="68" w:name="_Toc344015227"/>
      <w:bookmarkStart w:id="69" w:name="_Toc368474028"/>
      <w:bookmarkStart w:id="70" w:name="_Toc371135366"/>
      <w:bookmarkStart w:id="71" w:name="_Toc410717787"/>
      <w:r>
        <w:t>Foreign investment proposals</w:t>
      </w:r>
      <w:bookmarkEnd w:id="64"/>
      <w:bookmarkEnd w:id="65"/>
      <w:bookmarkEnd w:id="66"/>
      <w:bookmarkEnd w:id="67"/>
      <w:bookmarkEnd w:id="68"/>
      <w:bookmarkEnd w:id="69"/>
      <w:bookmarkEnd w:id="70"/>
      <w:bookmarkEnd w:id="71"/>
    </w:p>
    <w:p w:rsidR="00000000" w:rsidRDefault="00590668">
      <w:r>
        <w:t>This chapter provides statistical information on the propo</w:t>
      </w:r>
      <w:r>
        <w:t>sals submitted in 2001</w:t>
      </w:r>
      <w:r>
        <w:noBreakHyphen/>
        <w:t>02 for examination under Australia’s foreign investment policy and comments on some of the more significant cases. There is also a section covering the Board’s monitoring and compliance activities in respect of residential real estat</w:t>
      </w:r>
      <w:r>
        <w:t>e.</w:t>
      </w:r>
    </w:p>
    <w:p w:rsidR="00000000" w:rsidRDefault="00590668">
      <w:pPr>
        <w:pStyle w:val="Heading2"/>
        <w:numPr>
          <w:ilvl w:val="12"/>
          <w:numId w:val="0"/>
        </w:numPr>
        <w:jc w:val="both"/>
      </w:pPr>
      <w:bookmarkStart w:id="72" w:name="_Toc371135367"/>
      <w:bookmarkStart w:id="73" w:name="_Toc410717788"/>
      <w:r>
        <w:t>Limitations of the Board</w:t>
      </w:r>
      <w:r>
        <w:rPr>
          <w:rFonts w:ascii="Palatino" w:hAnsi="Palatino" w:cs="Palatino"/>
        </w:rPr>
        <w:t>’</w:t>
      </w:r>
      <w:r>
        <w:t>s data</w:t>
      </w:r>
      <w:bookmarkEnd w:id="72"/>
      <w:bookmarkEnd w:id="73"/>
    </w:p>
    <w:p w:rsidR="00000000" w:rsidRDefault="00590668">
      <w:r>
        <w:t>The Board urges particular caution in the use of FIRB statistics, including making comparisons with earlier years.</w:t>
      </w:r>
    </w:p>
    <w:p w:rsidR="00000000" w:rsidRDefault="00590668">
      <w:r>
        <w:rPr>
          <w:sz w:val="21"/>
          <w:szCs w:val="21"/>
        </w:rPr>
        <w:t xml:space="preserve">While FIRB statistics may appear at first glance to be a useful source for data on foreign direct investment in Australia, there are substantial differences between these statistics and </w:t>
      </w:r>
      <w:r>
        <w:t>Australian Bureau of Statistics’ (ABS)</w:t>
      </w:r>
      <w:r>
        <w:rPr>
          <w:sz w:val="21"/>
          <w:szCs w:val="21"/>
        </w:rPr>
        <w:t xml:space="preserve"> statistics.</w:t>
      </w:r>
      <w:r>
        <w:rPr>
          <w:rFonts w:ascii="Arial" w:hAnsi="Arial" w:cs="Arial"/>
        </w:rPr>
        <w:t xml:space="preserve"> </w:t>
      </w:r>
      <w:r>
        <w:t>The Board’s statist</w:t>
      </w:r>
      <w:r>
        <w:t>ics relate to the administration of foreign investment policy. ABS statistics, which are set out in Chapter 4 of this Report, seek to measure actual investment transactions between residents of Australia and non</w:t>
      </w:r>
      <w:r>
        <w:softHyphen/>
      </w:r>
      <w:r>
        <w:noBreakHyphen/>
        <w:t>residents.</w:t>
      </w:r>
    </w:p>
    <w:p w:rsidR="00000000" w:rsidRDefault="00590668">
      <w:r>
        <w:t>The term ‘proposed investment’ i</w:t>
      </w:r>
      <w:r>
        <w:t>s used widely throughout this Report. Total proposed investment is the aggregation of:</w:t>
      </w:r>
    </w:p>
    <w:p w:rsidR="00000000" w:rsidRDefault="00590668">
      <w:pPr>
        <w:pStyle w:val="Bullet"/>
      </w:pPr>
      <w:r>
        <w:t>the proposed cost of acquisition (including shares, real estate or other assets);</w:t>
      </w:r>
    </w:p>
    <w:p w:rsidR="00000000" w:rsidRDefault="00590668">
      <w:pPr>
        <w:pStyle w:val="Bullet"/>
      </w:pPr>
      <w:r>
        <w:t>the value of the Australian assets of merging companies;</w:t>
      </w:r>
    </w:p>
    <w:p w:rsidR="00000000" w:rsidRDefault="00590668">
      <w:pPr>
        <w:pStyle w:val="Bullet"/>
      </w:pPr>
      <w:r>
        <w:t xml:space="preserve">the proposed cost of </w:t>
      </w:r>
      <w:r>
        <w:t>development following acquisition; and</w:t>
      </w:r>
    </w:p>
    <w:p w:rsidR="00000000" w:rsidRDefault="00590668">
      <w:pPr>
        <w:pStyle w:val="Bullet"/>
      </w:pPr>
      <w:r>
        <w:t>in the case of a new business, the proposed cost of both establishment and development.</w:t>
      </w:r>
    </w:p>
    <w:p w:rsidR="00000000" w:rsidRDefault="00590668">
      <w:r>
        <w:t xml:space="preserve">The FIRB statistics are not a reliable indicator of </w:t>
      </w:r>
      <w:r>
        <w:rPr>
          <w:rStyle w:val="NormalBold"/>
        </w:rPr>
        <w:t>trends</w:t>
      </w:r>
      <w:r>
        <w:t xml:space="preserve"> in foreign investment inflows because:</w:t>
      </w:r>
    </w:p>
    <w:p w:rsidR="00000000" w:rsidRDefault="00590668">
      <w:pPr>
        <w:pStyle w:val="Bullet"/>
      </w:pPr>
      <w:r>
        <w:t>they are inherently ‘lump</w:t>
      </w:r>
      <w:r>
        <w:t>y’ (that is, the tendency for a few large investments to skew any one year’s figures);</w:t>
      </w:r>
    </w:p>
    <w:p w:rsidR="00000000" w:rsidRDefault="00590668">
      <w:pPr>
        <w:pStyle w:val="Bullet"/>
      </w:pPr>
      <w:r>
        <w:lastRenderedPageBreak/>
        <w:t>they include proposals approved, which may not be implemented or could be implemented over a number of years; and</w:t>
      </w:r>
    </w:p>
    <w:p w:rsidR="00000000" w:rsidRDefault="00590668">
      <w:pPr>
        <w:pStyle w:val="Bullet"/>
      </w:pPr>
      <w:r>
        <w:t>major liberalisations of foreign investment polic</w:t>
      </w:r>
      <w:r>
        <w:t>y that have occurred since the mid</w:t>
      </w:r>
      <w:r>
        <w:noBreakHyphen/>
        <w:t>1980s limit comparability over time.</w:t>
      </w:r>
    </w:p>
    <w:p w:rsidR="00000000" w:rsidRDefault="00590668">
      <w:pPr>
        <w:pStyle w:val="Dash"/>
        <w:ind w:left="851" w:hanging="425"/>
      </w:pPr>
      <w:r>
        <w:t>For example, the increase in the notification exemption thresholds from $5 million to $50 million on 10 September 1999 has acted to reduce the number of proposals and proposed inves</w:t>
      </w:r>
      <w:r>
        <w:t>tment values for existing business assets as well as commercial real estate in 2001</w:t>
      </w:r>
      <w:r>
        <w:noBreakHyphen/>
        <w:t>02 compared with previous years.</w:t>
      </w:r>
    </w:p>
    <w:p w:rsidR="00000000" w:rsidRDefault="00590668">
      <w:pPr>
        <w:pStyle w:val="Bullet"/>
        <w:tabs>
          <w:tab w:val="clear" w:pos="454"/>
          <w:tab w:val="clear" w:pos="567"/>
          <w:tab w:val="left" w:pos="426"/>
        </w:tabs>
        <w:ind w:left="426" w:hanging="426"/>
      </w:pPr>
      <w:r>
        <w:t>In addition, the statistics are not a comprehensive measure of all foreign investment inflow in any year, nor do they purport to measure</w:t>
      </w:r>
      <w:r>
        <w:t xml:space="preserve"> changes in levels of foreign ownership of particular industries.</w:t>
      </w:r>
    </w:p>
    <w:p w:rsidR="00000000" w:rsidRDefault="00590668">
      <w:pPr>
        <w:pStyle w:val="Bullet"/>
      </w:pPr>
      <w:r>
        <w:t>The data are restricted to investments within the scope of the FATA and the Government’s foreign investment policy. They do not cover foreign portfolio investments, direct foreign investm</w:t>
      </w:r>
      <w:r>
        <w:t>ents below the notification thresholds, new businesses below the notification thresholds, expansions of existing foreign</w:t>
      </w:r>
      <w:r>
        <w:noBreakHyphen/>
        <w:t>owned businesses in Australia (both in existing areas and into related areas) and sales by foreign investors to Australian residents. T</w:t>
      </w:r>
      <w:r>
        <w:t>he current notification/examination thresholds for the various sectors are specified in the policy summary at Appendix A.</w:t>
      </w:r>
    </w:p>
    <w:p w:rsidR="00000000" w:rsidRDefault="00590668">
      <w:pPr>
        <w:pStyle w:val="Bullet"/>
      </w:pPr>
      <w:r>
        <w:t>The figures provide no indication of the source of the funds for the investment. Some of the proposed funds to be invested would be</w:t>
      </w:r>
      <w:r>
        <w:t xml:space="preserve"> contributed by Australians where they are in partnership with foreign interests. The extent to which approved investment proposals will directly result in foreign capital inflows depends not only upon whether the proposals are implemented, but also upon t</w:t>
      </w:r>
      <w:r>
        <w:t>he proportion financed from foreign sources. In many cases, this proportion will be quite low. For example, the acquisition by a foreign interest of a business operating in Australia may involve no inflow of capital to Australia where the purchase is finan</w:t>
      </w:r>
      <w:r>
        <w:t>ced from existing Australian operations.</w:t>
      </w:r>
    </w:p>
    <w:p w:rsidR="00000000" w:rsidRDefault="00590668">
      <w:pPr>
        <w:pStyle w:val="Bullet"/>
      </w:pPr>
      <w:r>
        <w:t>The database that records all foreign investment proposals requires proposals to be categorised into sub</w:t>
      </w:r>
      <w:r>
        <w:noBreakHyphen/>
        <w:t>codes and does not allow for diversified companies.</w:t>
      </w:r>
    </w:p>
    <w:p w:rsidR="00000000" w:rsidRDefault="00590668">
      <w:pPr>
        <w:pStyle w:val="Bullet"/>
      </w:pPr>
      <w:r>
        <w:t>The figures do not necessarily reflect changes in fo</w:t>
      </w:r>
      <w:r>
        <w:t>reign ownership levels as, in some cases, both the vendor and purchaser are defined as a ‘foreign interest’.</w:t>
      </w:r>
    </w:p>
    <w:p w:rsidR="00000000" w:rsidRDefault="00590668">
      <w:pPr>
        <w:pStyle w:val="Heading2"/>
        <w:jc w:val="both"/>
      </w:pPr>
      <w:bookmarkStart w:id="74" w:name="_Toc329156765"/>
      <w:bookmarkStart w:id="75" w:name="_Toc371135368"/>
      <w:bookmarkStart w:id="76" w:name="_Toc410717789"/>
      <w:r>
        <w:lastRenderedPageBreak/>
        <w:t>Applications decided</w:t>
      </w:r>
      <w:bookmarkEnd w:id="74"/>
      <w:r>
        <w:t xml:space="preserve"> in 2001</w:t>
      </w:r>
      <w:r>
        <w:noBreakHyphen/>
        <w:t>02</w:t>
      </w:r>
      <w:r>
        <w:rPr>
          <w:rStyle w:val="FootnoteReference"/>
          <w:b/>
          <w:bCs/>
          <w:position w:val="12"/>
        </w:rPr>
        <w:footnoteReference w:id="2"/>
      </w:r>
      <w:bookmarkEnd w:id="75"/>
      <w:bookmarkEnd w:id="76"/>
    </w:p>
    <w:p w:rsidR="00000000" w:rsidRDefault="00590668">
      <w:r>
        <w:t>Chart 2.1 depicts the number of applications decided. Chart </w:t>
      </w:r>
      <w:r>
        <w:t>2.2 shows the value of proposed investment associated with applications decided for real estate and other sectors over the past seven years.</w:t>
      </w:r>
    </w:p>
    <w:p w:rsidR="00000000" w:rsidRDefault="00590668">
      <w:pPr>
        <w:pStyle w:val="ChartHeadingMain"/>
      </w:pPr>
      <w:r>
        <w:t xml:space="preserve">Chart 2.1:  Applications decided </w:t>
      </w:r>
      <w:r>
        <w:sym w:font="Symbol" w:char="F0BE"/>
      </w:r>
      <w:r>
        <w:t xml:space="preserve"> number</w:t>
      </w:r>
    </w:p>
    <w:p w:rsidR="00000000" w:rsidRDefault="00590668">
      <w:pPr>
        <w:pStyle w:val="Graphic"/>
      </w:pPr>
      <w:r>
        <w:object w:dxaOrig="7380" w:dyaOrig="3974">
          <v:shape id="_x0000_i1027" type="#_x0000_t75" style="width:369pt;height:198.75pt" o:ole="" fillcolor="window">
            <v:imagedata r:id="rId38" o:title=""/>
          </v:shape>
          <o:OLEObject Type="Link" ProgID="Excel.Sheet.8" ShapeID="_x0000_i1027" DrawAspect="Content" r:id="rId39" UpdateMode="Always">
            <o:LinkType>Picture</o:LinkType>
            <o:LockedField>false</o:LockedField>
            <o:FieldCodes>\* MERGEFORMAT</o:FieldCodes>
          </o:OLEObject>
        </w:object>
      </w:r>
    </w:p>
    <w:p w:rsidR="00000000" w:rsidRDefault="00590668">
      <w:pPr>
        <w:pStyle w:val="ChartHeadingMain"/>
      </w:pPr>
      <w:r>
        <w:br w:type="page"/>
      </w:r>
      <w:r>
        <w:lastRenderedPageBreak/>
        <w:t>Chart 2.2:  Applications d</w:t>
      </w:r>
      <w:r>
        <w:t xml:space="preserve">ecided </w:t>
      </w:r>
      <w:r>
        <w:sym w:font="Symbol" w:char="F0BE"/>
      </w:r>
      <w:r>
        <w:t xml:space="preserve"> proposed investment</w:t>
      </w:r>
    </w:p>
    <w:p w:rsidR="00000000" w:rsidRDefault="00590668">
      <w:pPr>
        <w:pStyle w:val="Graphic"/>
      </w:pPr>
      <w:r>
        <w:object w:dxaOrig="7409" w:dyaOrig="4080">
          <v:shape id="_x0000_i1028" type="#_x0000_t75" style="width:370.5pt;height:204pt" o:ole="" fillcolor="window">
            <v:imagedata r:id="rId40" o:title=""/>
          </v:shape>
          <o:OLEObject Type="Link" ProgID="Excel.Sheet.8" ShapeID="_x0000_i1028" DrawAspect="Content" r:id="rId41" UpdateMode="Always">
            <o:LinkType>Picture</o:LinkType>
            <o:LockedField>false</o:LockedField>
            <o:FieldCodes>\* MERGEFORMAT</o:FieldCodes>
          </o:OLEObject>
        </w:object>
      </w:r>
    </w:p>
    <w:p w:rsidR="00000000" w:rsidRDefault="00590668">
      <w:pPr>
        <w:pStyle w:val="SingleParagraph0"/>
      </w:pPr>
    </w:p>
    <w:p w:rsidR="00000000" w:rsidRDefault="00590668">
      <w:pPr>
        <w:rPr>
          <w:highlight w:val="yellow"/>
        </w:rPr>
      </w:pPr>
      <w:r>
        <w:t>The number of applications decided during 2001</w:t>
      </w:r>
      <w:r>
        <w:noBreakHyphen/>
        <w:t>02 was around 35 per cent higher than in 2000-01. The value of proposed foreign investment associated with those applications decided</w:t>
      </w:r>
      <w:r>
        <w:t xml:space="preserve"> in 2001</w:t>
      </w:r>
      <w:r>
        <w:noBreakHyphen/>
        <w:t>02 was almost 2 per cent higher than the level in 2000-01. A breakdown on the outcome for applications submitted over the last four years is provided in Table 2.1</w:t>
      </w:r>
      <w:r>
        <w:rPr>
          <w:b/>
          <w:bCs/>
        </w:rPr>
        <w:t>.</w:t>
      </w:r>
    </w:p>
    <w:p w:rsidR="00000000" w:rsidRDefault="00590668">
      <w:pPr>
        <w:pStyle w:val="TableHeading"/>
        <w:numPr>
          <w:ilvl w:val="0"/>
          <w:numId w:val="0"/>
        </w:numPr>
        <w:spacing w:before="240" w:after="0"/>
      </w:pPr>
      <w:r>
        <w:t>Table 2.1:  Applications considered (number and proposed investment)</w:t>
      </w:r>
      <w:r>
        <w:br/>
        <w:t>1998</w:t>
      </w:r>
      <w:r>
        <w:noBreakHyphen/>
      </w:r>
      <w:r>
        <w:t>99 to 2001</w:t>
      </w:r>
      <w:r>
        <w:noBreakHyphen/>
        <w:t>02</w:t>
      </w:r>
    </w:p>
    <w:p w:rsidR="00000000" w:rsidRDefault="00590668">
      <w:pPr>
        <w:pStyle w:val="Graphic"/>
      </w:pPr>
      <w:r>
        <w:object w:dxaOrig="7702" w:dyaOrig="2299">
          <v:shape id="_x0000_i1029" type="#_x0000_t75" style="width:384.75pt;height:114.75pt" o:ole="" fillcolor="window">
            <v:imagedata r:id="rId42" o:title=""/>
          </v:shape>
          <o:OLEObject Type="Link" ProgID="Excel.Sheet.8" ShapeID="_x0000_i1029" DrawAspect="Content" r:id="rId43" UpdateMode="Always">
            <o:LinkType>Picture</o:LinkType>
            <o:LockedField>false</o:LockedField>
          </o:OLEObject>
        </w:object>
      </w:r>
    </w:p>
    <w:p w:rsidR="00000000" w:rsidRDefault="00590668">
      <w:r>
        <w:t>Seventy-seven proposal</w:t>
      </w:r>
      <w:r>
        <w:t>s were rejected in 2001</w:t>
      </w:r>
      <w:r>
        <w:noBreakHyphen/>
        <w:t>02, or 1.7 per cent of all decided proposals. Of these, 76 were in the real estate sector.</w:t>
      </w:r>
    </w:p>
    <w:p w:rsidR="00000000" w:rsidRDefault="00590668">
      <w:r>
        <w:t>The only rejection in a non-real estate sector involved a strata title hotel application (which is categorised under Tourism) that did not me</w:t>
      </w:r>
      <w:r>
        <w:t>et the defined requirements as stated in the foreign investment policy.</w:t>
      </w:r>
    </w:p>
    <w:p w:rsidR="00000000" w:rsidRDefault="00590668">
      <w:r>
        <w:lastRenderedPageBreak/>
        <w:t>Foreign investors are encouraged to discuss potential or actual proposals with the Board to ensure the proposals are consistent with policy. As a result, proposals clearly inconsistent</w:t>
      </w:r>
      <w:r>
        <w:t xml:space="preserve"> with policy may not proceed to a decision, that is, they are not lodged or, if lodged, are withdrawn. Alternatively the proponent may modify a proposal to ensure it conforms to policy. The data for withdrawn cases reflect proposals that do not proceed for</w:t>
      </w:r>
      <w:r>
        <w:t xml:space="preserve"> commercial or personal reasons, as well as those cases that are withdrawn by the parties instead of proceeding to a formal rejection. The low rejection rate reflects the consultative approach taken in the administration of foreign investment policy, parti</w:t>
      </w:r>
      <w:r>
        <w:t>cularly in respect to real estate proposals.</w:t>
      </w:r>
    </w:p>
    <w:p w:rsidR="00000000" w:rsidRDefault="00590668">
      <w:r>
        <w:t>The great bulk of conditional approvals were in the real estate sector. Only 51 proposals outside the real estate sector were approved subject to conditions. The main kind of condition that was applied in the no</w:t>
      </w:r>
      <w:r>
        <w:t>n</w:t>
      </w:r>
      <w:r>
        <w:noBreakHyphen/>
        <w:t>real estate sectors was environmental. For real estate, 3,349 proposals were approved with conditions relating to the period during which development should commence</w:t>
      </w:r>
      <w:r>
        <w:rPr>
          <w:b/>
          <w:bCs/>
        </w:rPr>
        <w:t>,</w:t>
      </w:r>
      <w:r>
        <w:t xml:space="preserve"> the need for temporary residents to sell established properties when they cease to resi</w:t>
      </w:r>
      <w:r>
        <w:t>de in Australia, or the imposition of reporting requirements on ‘off the plan’ sales.</w:t>
      </w:r>
    </w:p>
    <w:p w:rsidR="00000000" w:rsidRDefault="00590668">
      <w:pPr>
        <w:pStyle w:val="Heading2"/>
        <w:numPr>
          <w:ilvl w:val="12"/>
          <w:numId w:val="0"/>
        </w:numPr>
        <w:jc w:val="both"/>
      </w:pPr>
      <w:bookmarkStart w:id="77" w:name="_Toc371135369"/>
      <w:bookmarkStart w:id="78" w:name="_Toc410717790"/>
      <w:r>
        <w:t>Approvals by sector</w:t>
      </w:r>
      <w:bookmarkEnd w:id="77"/>
      <w:bookmarkEnd w:id="78"/>
    </w:p>
    <w:p w:rsidR="00000000" w:rsidRDefault="00590668">
      <w:pPr>
        <w:pStyle w:val="Heading3"/>
      </w:pPr>
      <w:r>
        <w:t>General summary</w:t>
      </w:r>
    </w:p>
    <w:p w:rsidR="00000000" w:rsidRDefault="00590668">
      <w:r>
        <w:t>Table 2.2</w:t>
      </w:r>
      <w:r>
        <w:rPr>
          <w:b/>
          <w:bCs/>
        </w:rPr>
        <w:t xml:space="preserve"> </w:t>
      </w:r>
      <w:r>
        <w:t>provides details for 2001-02 of approved proposals for each sector and t</w:t>
      </w:r>
      <w:r>
        <w:t>he associated proposed investment on acquisitions and new businesses. The bulk of the total proposed investment is attributable to the proposed cost of acquisitions. The skewing of the foreign investment data towards acquisition costs is a consequence of t</w:t>
      </w:r>
      <w:r>
        <w:t>he notification requirements, as the expansion of existing businesses generally does not require foreign investment approval. Bearing in mind the limitations of the Board’s data noted at the beginning of this chapter, the following general points can be ma</w:t>
      </w:r>
      <w:r>
        <w:t>de:</w:t>
      </w:r>
    </w:p>
    <w:p w:rsidR="00000000" w:rsidRDefault="00590668">
      <w:pPr>
        <w:pStyle w:val="Bullet"/>
      </w:pPr>
      <w:r>
        <w:t>The services (excluding tourism) sector attracted the largest amount of proposed investment, with approvals totaling $49 billion; and</w:t>
      </w:r>
    </w:p>
    <w:p w:rsidR="00000000" w:rsidRDefault="00590668">
      <w:pPr>
        <w:pStyle w:val="Bullet"/>
      </w:pPr>
      <w:r>
        <w:t>Other major sectors were minerals exploration and development ($19.1 billion), manufacturing ($16.4 billion) rea</w:t>
      </w:r>
      <w:r>
        <w:t>l estate ($14.3 billion), and finance and insurance ($13.2 billion).</w:t>
      </w:r>
    </w:p>
    <w:p w:rsidR="00000000" w:rsidRDefault="00590668">
      <w:pPr>
        <w:pStyle w:val="TableHeading"/>
        <w:numPr>
          <w:ilvl w:val="0"/>
          <w:numId w:val="0"/>
        </w:numPr>
        <w:spacing w:after="0"/>
      </w:pPr>
      <w:r>
        <w:lastRenderedPageBreak/>
        <w:t>Table 2.2:  Total approvals by industry sector 2001</w:t>
      </w:r>
      <w:r>
        <w:noBreakHyphen/>
        <w:t>02 ($billion)</w:t>
      </w:r>
    </w:p>
    <w:p w:rsidR="00000000" w:rsidRDefault="00590668">
      <w:pPr>
        <w:pStyle w:val="Graphic"/>
        <w:spacing w:after="0"/>
        <w:ind w:right="-85"/>
        <w:jc w:val="left"/>
      </w:pPr>
      <w:r>
        <w:object w:dxaOrig="7716" w:dyaOrig="2784">
          <v:shape id="_x0000_i1030" type="#_x0000_t75" style="width:385.5pt;height:139.5pt" o:ole="" fillcolor="window">
            <v:imagedata r:id="rId44" o:title=""/>
          </v:shape>
          <o:OLEObject Type="Link" ProgID="Excel.Sheet.8" ShapeID="_x0000_i1030" DrawAspect="Content" r:id="rId45" UpdateMode="Always">
            <o:LinkType>Picture</o:LinkType>
            <o:LockedField>false</o:LockedField>
          </o:OLEObject>
        </w:object>
      </w:r>
    </w:p>
    <w:p w:rsidR="00000000" w:rsidRDefault="00590668">
      <w:pPr>
        <w:pStyle w:val="Note"/>
        <w:spacing w:after="0"/>
      </w:pPr>
      <w:r>
        <w:t>Note:</w:t>
      </w:r>
      <w:r>
        <w:tab/>
        <w:t>Totals may not add due to rounding.</w:t>
      </w:r>
    </w:p>
    <w:p w:rsidR="00000000" w:rsidRDefault="00590668">
      <w:pPr>
        <w:pStyle w:val="Note"/>
        <w:spacing w:after="0"/>
      </w:pPr>
      <w:r>
        <w:tab/>
        <w:t>‘..’ indicates an investment figure of less than $50 million.</w:t>
      </w:r>
    </w:p>
    <w:p w:rsidR="00000000" w:rsidRDefault="00590668">
      <w:pPr>
        <w:pStyle w:val="Note"/>
        <w:spacing w:after="0"/>
      </w:pPr>
      <w:r>
        <w:t>(a)</w:t>
      </w:r>
      <w:r>
        <w:tab/>
      </w:r>
      <w:r>
        <w:t>Data have been compiled by reference to the Australian and New Zealand Standard Industrial Classification published by the ABS, except proposals involving newspaper printing and publishing which have been allocated to service industries (the ABS classifies</w:t>
      </w:r>
      <w:r>
        <w:t xml:space="preserve"> these under manufacturing). Acquisitions of diversified company groups are classified according to the industry of the major activity of the group. Acquisitions of real estate to be used for purposes incidental to the main business activity of the purchas</w:t>
      </w:r>
      <w:r>
        <w:t>er are classified according to that activity.</w:t>
      </w:r>
    </w:p>
    <w:p w:rsidR="00000000" w:rsidRDefault="00590668">
      <w:pPr>
        <w:pStyle w:val="Note"/>
        <w:spacing w:after="0"/>
      </w:pPr>
      <w:r>
        <w:t>(b)</w:t>
      </w:r>
      <w:r>
        <w:tab/>
        <w:t>Excludes 94 proposals involving financing arrangements and corporate restructures.</w:t>
      </w:r>
    </w:p>
    <w:p w:rsidR="00000000" w:rsidRDefault="00590668">
      <w:pPr>
        <w:pStyle w:val="Note"/>
        <w:spacing w:after="0"/>
      </w:pPr>
      <w:r>
        <w:t>(c)</w:t>
      </w:r>
      <w:r>
        <w:tab/>
        <w:t>Total proposed investment in the real estate sector may be overstated as it includes expenditure for annual programs an</w:t>
      </w:r>
      <w:r>
        <w:t>d ‘off the plan’ approvals granted to real estate developers. Based on past experience, a significant proportion (possibly up to half) of these advance approvals are not utilised. In addition, no account is taken of real estate that is developed under an a</w:t>
      </w:r>
      <w:r>
        <w:t>nnual program by a foreign developer that is subsequently sold to Australian interests.</w:t>
      </w:r>
    </w:p>
    <w:p w:rsidR="00000000" w:rsidRDefault="00590668"/>
    <w:p w:rsidR="00000000" w:rsidRDefault="00590668">
      <w:r>
        <w:br w:type="page"/>
      </w:r>
    </w:p>
    <w:p w:rsidR="00000000" w:rsidRDefault="00590668">
      <w:pPr>
        <w:pStyle w:val="ChartHeadingMain"/>
      </w:pPr>
      <w:r>
        <w:t>Chart 2.3:  Approvals by industry sector 2001</w:t>
      </w:r>
      <w:r>
        <w:noBreakHyphen/>
        <w:t xml:space="preserve">02 </w:t>
      </w:r>
      <w:r>
        <w:br/>
        <w:t>(per cent of the value of proposed investment)</w:t>
      </w:r>
    </w:p>
    <w:p w:rsidR="00000000" w:rsidRDefault="00590668">
      <w:pPr>
        <w:pStyle w:val="Graphic"/>
        <w:rPr>
          <w:highlight w:val="yellow"/>
        </w:rPr>
      </w:pPr>
      <w:r>
        <w:object w:dxaOrig="6809" w:dyaOrig="4546">
          <v:shape id="_x0000_i1031" type="#_x0000_t75" style="width:340.5pt;height:227.25pt" o:ole="" fillcolor="window">
            <v:imagedata r:id="rId46" o:title=""/>
          </v:shape>
          <o:OLEObject Type="Link" ProgID="Excel.Sheet.8" ShapeID="_x0000_i1031" DrawAspect="Content" r:id="rId47" UpdateMode="Always">
            <o:LinkType>Picture</o:LinkType>
            <o:LockedField>false</o:LockedField>
            <o:FieldCodes>\* MERGEFORMAT</o:FieldCodes>
          </o:OLEObject>
        </w:object>
      </w:r>
    </w:p>
    <w:p w:rsidR="00000000" w:rsidRDefault="00590668">
      <w:pPr>
        <w:pStyle w:val="Heading3"/>
      </w:pPr>
      <w:r>
        <w:t>Agriculture</w:t>
      </w:r>
      <w:r>
        <w:rPr>
          <w:rFonts w:ascii="Palatino" w:hAnsi="Palatino" w:cs="Palatino"/>
        </w:rPr>
        <w:t>,</w:t>
      </w:r>
      <w:r>
        <w:t xml:space="preserve"> forestry and fishing</w:t>
      </w:r>
    </w:p>
    <w:p w:rsidR="00000000" w:rsidRDefault="00590668">
      <w:r>
        <w:rPr>
          <w:snapToGrid w:val="0"/>
          <w:lang w:val="en-US"/>
        </w:rPr>
        <w:t>The number of proposals to in</w:t>
      </w:r>
      <w:r>
        <w:rPr>
          <w:snapToGrid w:val="0"/>
          <w:lang w:val="en-US"/>
        </w:rPr>
        <w:t>vest in the agriculture, forestry and fishing sector decreased from 10 in 2000</w:t>
      </w:r>
      <w:r>
        <w:rPr>
          <w:snapToGrid w:val="0"/>
          <w:lang w:val="en-US"/>
        </w:rPr>
        <w:noBreakHyphen/>
        <w:t>01 to 5 in 2001</w:t>
      </w:r>
      <w:r>
        <w:rPr>
          <w:snapToGrid w:val="0"/>
          <w:lang w:val="en-US"/>
        </w:rPr>
        <w:noBreakHyphen/>
        <w:t>02. Total proposed investment was $178 million compared to $378 million in 2000</w:t>
      </w:r>
      <w:r>
        <w:rPr>
          <w:snapToGrid w:val="0"/>
          <w:lang w:val="en-US"/>
        </w:rPr>
        <w:noBreakHyphen/>
        <w:t xml:space="preserve">01. The acquisition by National Foods Limited of The King Island Company Limited </w:t>
      </w:r>
      <w:r>
        <w:rPr>
          <w:snapToGrid w:val="0"/>
          <w:lang w:val="en-US"/>
        </w:rPr>
        <w:t xml:space="preserve">for a consideration of $77 million was one of the largest proposals by value in this sector. While National Foods is predominately owned by Australian citizens it is considered foreign for the purposes of the </w:t>
      </w:r>
      <w:r>
        <w:rPr>
          <w:rStyle w:val="NormalItalic"/>
        </w:rPr>
        <w:t>Foreign Acquisition and Takeovers Act 1975</w:t>
      </w:r>
      <w:r>
        <w:rPr>
          <w:snapToGrid w:val="0"/>
          <w:lang w:val="en-US"/>
        </w:rPr>
        <w:t xml:space="preserve"> beca</w:t>
      </w:r>
      <w:r>
        <w:rPr>
          <w:snapToGrid w:val="0"/>
          <w:lang w:val="en-US"/>
        </w:rPr>
        <w:t>use the New Zealand company Fonterra Co</w:t>
      </w:r>
      <w:r>
        <w:rPr>
          <w:snapToGrid w:val="0"/>
          <w:lang w:val="en-US"/>
        </w:rPr>
        <w:noBreakHyphen/>
        <w:t>operative Group Limited holds a significant interest.</w:t>
      </w:r>
      <w:r>
        <w:t xml:space="preserve"> </w:t>
      </w:r>
    </w:p>
    <w:p w:rsidR="00000000" w:rsidRDefault="00590668">
      <w:pPr>
        <w:pStyle w:val="Heading3"/>
      </w:pPr>
      <w:r>
        <w:t>Finance and insurance</w:t>
      </w:r>
    </w:p>
    <w:p w:rsidR="00000000" w:rsidRDefault="00590668">
      <w:r>
        <w:t>Total proposed investment in the finance and insurance sector decreased from $14.8 billion in 2000</w:t>
      </w:r>
      <w:r>
        <w:noBreakHyphen/>
        <w:t>01 to $13.2 billion in 2001</w:t>
      </w:r>
      <w:r>
        <w:noBreakHyphen/>
        <w:t>02. There we</w:t>
      </w:r>
      <w:r>
        <w:t>re 31 proposals approved, of which 12 involved expected investment in excess of $100 million.</w:t>
      </w:r>
    </w:p>
    <w:p w:rsidR="00000000" w:rsidRDefault="00590668">
      <w:pPr>
        <w:pStyle w:val="BodyText2"/>
        <w:spacing w:after="240"/>
        <w:ind w:left="0"/>
      </w:pPr>
      <w:r>
        <w:lastRenderedPageBreak/>
        <w:t>One of the most significant proposals by value was the acquisition by GE Capital Finance Australasia Pty Ltd of Australian Guarantee Corporation Ltd for a conside</w:t>
      </w:r>
      <w:r>
        <w:t>ration of $1.7 billion.</w:t>
      </w:r>
    </w:p>
    <w:p w:rsidR="00000000" w:rsidRDefault="00590668">
      <w:pPr>
        <w:pStyle w:val="Heading3"/>
      </w:pPr>
      <w:r>
        <w:t>Manufacturing</w:t>
      </w:r>
    </w:p>
    <w:p w:rsidR="00000000" w:rsidRDefault="00590668">
      <w:pPr>
        <w:spacing w:line="300" w:lineRule="atLeast"/>
        <w:rPr>
          <w:snapToGrid w:val="0"/>
          <w:lang w:val="en-US"/>
        </w:rPr>
      </w:pPr>
      <w:r>
        <w:rPr>
          <w:snapToGrid w:val="0"/>
          <w:lang w:val="en-US"/>
        </w:rPr>
        <w:t>Total proposed investment associated with the manufacturing sector decreased significantly from $21.9 billion in 2000</w:t>
      </w:r>
      <w:r>
        <w:rPr>
          <w:snapToGrid w:val="0"/>
          <w:lang w:val="en-US"/>
        </w:rPr>
        <w:noBreakHyphen/>
        <w:t>01 to $16.4 billion in 2001</w:t>
      </w:r>
      <w:r>
        <w:rPr>
          <w:snapToGrid w:val="0"/>
          <w:lang w:val="en-US"/>
        </w:rPr>
        <w:noBreakHyphen/>
        <w:t>02.</w:t>
      </w:r>
    </w:p>
    <w:p w:rsidR="00000000" w:rsidRDefault="00590668">
      <w:r>
        <w:t>The outcome for particular industry sectors within manufacturing was</w:t>
      </w:r>
      <w:r>
        <w:t xml:space="preserve"> mixed. Total proposed investment associated with transport equipment companies was significantly lower at $0.6 billion, down from $9.4 billion in 2000</w:t>
      </w:r>
      <w:r>
        <w:noBreakHyphen/>
        <w:t>01. Proposed investment in the food, beverage and tobacco sector was also lower at $1.6 billion in 2001</w:t>
      </w:r>
      <w:r>
        <w:noBreakHyphen/>
      </w:r>
      <w:r>
        <w:t>02, down from $4.3 billion in 2000</w:t>
      </w:r>
      <w:r>
        <w:noBreakHyphen/>
        <w:t>01. However, proposed investment was higher in the electricity and gas sector, $8.4 billion compared with $5.2 billion in 2000</w:t>
      </w:r>
      <w:r>
        <w:noBreakHyphen/>
        <w:t xml:space="preserve">01. Foreign investment proposals associated with the manufacturing of wood and paper products </w:t>
      </w:r>
      <w:r>
        <w:t>remained at low levels.</w:t>
      </w:r>
    </w:p>
    <w:p w:rsidR="00000000" w:rsidRDefault="00590668">
      <w:r>
        <w:t>As has been the case for a number of years, proposed investment included a number of large acquisitions in the electricity and gas generation sector. A significant proposal was by the German company, E.ON AG to acquire all the issue</w:t>
      </w:r>
      <w:r>
        <w:t>d share capital of Powergen plc for a consideration of around $1.2 billion.</w:t>
      </w:r>
    </w:p>
    <w:p w:rsidR="00000000" w:rsidRDefault="00590668">
      <w:pPr>
        <w:pStyle w:val="Heading3"/>
      </w:pPr>
      <w:r>
        <w:t>Mineral exploration and development</w:t>
      </w:r>
    </w:p>
    <w:p w:rsidR="00000000" w:rsidRDefault="00590668">
      <w:pPr>
        <w:rPr>
          <w:snapToGrid w:val="0"/>
          <w:lang w:val="en-US"/>
        </w:rPr>
      </w:pPr>
      <w:r>
        <w:rPr>
          <w:snapToGrid w:val="0"/>
          <w:lang w:val="en-US"/>
        </w:rPr>
        <w:t>The total value of approved investment proposals in the minerals sector declined in 2001</w:t>
      </w:r>
      <w:r>
        <w:rPr>
          <w:snapToGrid w:val="0"/>
          <w:lang w:val="en-US"/>
        </w:rPr>
        <w:noBreakHyphen/>
        <w:t>02 from $23.7 billion in 2000-01 to $19.1 billion. Howe</w:t>
      </w:r>
      <w:r>
        <w:rPr>
          <w:snapToGrid w:val="0"/>
          <w:lang w:val="en-US"/>
        </w:rPr>
        <w:t>ver, this figure remains at historically high levels and account should be taken for the fact that the previous year’s figures included the merger of Australia’s largest resource company, BHP Limited with Billiton Plc.</w:t>
      </w:r>
    </w:p>
    <w:p w:rsidR="00000000" w:rsidRDefault="00590668">
      <w:pPr>
        <w:spacing w:line="300" w:lineRule="atLeast"/>
        <w:rPr>
          <w:snapToGrid w:val="0"/>
          <w:lang w:val="en-US"/>
        </w:rPr>
      </w:pPr>
      <w:r>
        <w:rPr>
          <w:snapToGrid w:val="0"/>
          <w:lang w:val="en-US"/>
        </w:rPr>
        <w:t>One of the most significant acquisiti</w:t>
      </w:r>
      <w:r>
        <w:rPr>
          <w:snapToGrid w:val="0"/>
          <w:lang w:val="en-US"/>
        </w:rPr>
        <w:t>ons of Australian assets in the minerals sector during 2001</w:t>
      </w:r>
      <w:r>
        <w:rPr>
          <w:snapToGrid w:val="0"/>
          <w:lang w:val="en-US"/>
        </w:rPr>
        <w:noBreakHyphen/>
        <w:t>02 involved the takeover of Australia’s largest gold group, Normandy Mining Limited, by Newmont Mining Corporation of the United States for a consideration of around $4.3 billion. In fact, the gol</w:t>
      </w:r>
      <w:r>
        <w:rPr>
          <w:snapToGrid w:val="0"/>
          <w:lang w:val="en-US"/>
        </w:rPr>
        <w:t>d sector featured heavily in foreign investment proposals in 2001</w:t>
      </w:r>
      <w:r>
        <w:rPr>
          <w:snapToGrid w:val="0"/>
          <w:lang w:val="en-US"/>
        </w:rPr>
        <w:noBreakHyphen/>
        <w:t>02 with total proposed foreign investment of the order of $11.7 billion compared with $0.6 billion in 2000</w:t>
      </w:r>
      <w:r>
        <w:rPr>
          <w:snapToGrid w:val="0"/>
          <w:lang w:val="en-US"/>
        </w:rPr>
        <w:noBreakHyphen/>
        <w:t>01.</w:t>
      </w:r>
    </w:p>
    <w:p w:rsidR="00000000" w:rsidRDefault="00590668">
      <w:pPr>
        <w:spacing w:line="300" w:lineRule="atLeast"/>
        <w:rPr>
          <w:snapToGrid w:val="0"/>
          <w:lang w:val="en-US"/>
        </w:rPr>
      </w:pPr>
      <w:r>
        <w:rPr>
          <w:snapToGrid w:val="0"/>
          <w:lang w:val="en-US"/>
        </w:rPr>
        <w:t>In other sectors, the level of total proposed investment tended to be lower tha</w:t>
      </w:r>
      <w:r>
        <w:rPr>
          <w:snapToGrid w:val="0"/>
          <w:lang w:val="en-US"/>
        </w:rPr>
        <w:t xml:space="preserve">n for the previous year. For example, in the oil and gas sector total proposed </w:t>
      </w:r>
      <w:r>
        <w:rPr>
          <w:snapToGrid w:val="0"/>
          <w:lang w:val="en-US"/>
        </w:rPr>
        <w:lastRenderedPageBreak/>
        <w:t>foreign investment was $1.3 billion compared to $12.1 billion in the previous year (a figure which included the BHP Limited merger with Billiton Plc). The coal sector also had l</w:t>
      </w:r>
      <w:r>
        <w:rPr>
          <w:snapToGrid w:val="0"/>
          <w:lang w:val="en-US"/>
        </w:rPr>
        <w:t>ower proposed investment of $3.6 billion compared to $4.2 billion in 2000</w:t>
      </w:r>
      <w:r>
        <w:rPr>
          <w:snapToGrid w:val="0"/>
          <w:lang w:val="en-US"/>
        </w:rPr>
        <w:noBreakHyphen/>
        <w:t>01.</w:t>
      </w:r>
    </w:p>
    <w:p w:rsidR="00000000" w:rsidRDefault="00590668">
      <w:pPr>
        <w:rPr>
          <w:highlight w:val="yellow"/>
        </w:rPr>
      </w:pPr>
      <w:r>
        <w:t>One of the significant coal cases was the acquisition of the Australian coal mines and business of Glencore International AG by Xstrata plc and the subsequent listing of that com</w:t>
      </w:r>
      <w:r>
        <w:t>pany on the London Stock Exchange.</w:t>
      </w:r>
    </w:p>
    <w:p w:rsidR="00000000" w:rsidRDefault="00590668">
      <w:pPr>
        <w:pStyle w:val="TableHeading"/>
        <w:numPr>
          <w:ilvl w:val="0"/>
          <w:numId w:val="0"/>
        </w:numPr>
      </w:pPr>
      <w:r>
        <w:t>Table 2.3:  Minerals sector approvals by number and total proposed investment: 2000-01 and 2001-02</w:t>
      </w:r>
    </w:p>
    <w:tbl>
      <w:tblPr>
        <w:tblW w:w="0" w:type="auto"/>
        <w:jc w:val="center"/>
        <w:tblLayout w:type="fixed"/>
        <w:tblCellMar>
          <w:left w:w="56" w:type="dxa"/>
          <w:right w:w="56" w:type="dxa"/>
        </w:tblCellMar>
        <w:tblLook w:val="0000" w:firstRow="0" w:lastRow="0" w:firstColumn="0" w:lastColumn="0" w:noHBand="0" w:noVBand="0"/>
      </w:tblPr>
      <w:tblGrid>
        <w:gridCol w:w="1072"/>
        <w:gridCol w:w="56"/>
        <w:gridCol w:w="314"/>
        <w:gridCol w:w="465"/>
        <w:gridCol w:w="309"/>
        <w:gridCol w:w="361"/>
        <w:gridCol w:w="294"/>
        <w:gridCol w:w="142"/>
        <w:gridCol w:w="710"/>
        <w:gridCol w:w="603"/>
        <w:gridCol w:w="142"/>
        <w:gridCol w:w="67"/>
        <w:gridCol w:w="137"/>
        <w:gridCol w:w="763"/>
        <w:gridCol w:w="184"/>
        <w:gridCol w:w="141"/>
        <w:gridCol w:w="223"/>
        <w:gridCol w:w="136"/>
        <w:gridCol w:w="117"/>
        <w:gridCol w:w="142"/>
        <w:gridCol w:w="709"/>
        <w:gridCol w:w="594"/>
        <w:gridCol w:w="115"/>
        <w:gridCol w:w="49"/>
        <w:gridCol w:w="1035"/>
        <w:gridCol w:w="364"/>
      </w:tblGrid>
      <w:tr w:rsidR="00000000">
        <w:tblPrEx>
          <w:tblCellMar>
            <w:top w:w="0" w:type="dxa"/>
            <w:bottom w:w="0" w:type="dxa"/>
          </w:tblCellMar>
        </w:tblPrEx>
        <w:trPr>
          <w:gridBefore w:val="1"/>
          <w:gridAfter w:val="1"/>
          <w:wBefore w:w="1072" w:type="dxa"/>
          <w:wAfter w:w="364" w:type="dxa"/>
          <w:cantSplit/>
          <w:jc w:val="center"/>
        </w:trPr>
        <w:tc>
          <w:tcPr>
            <w:tcW w:w="1144" w:type="dxa"/>
            <w:gridSpan w:val="4"/>
            <w:tcBorders>
              <w:top w:val="single" w:sz="2" w:space="0" w:color="000000"/>
              <w:left w:val="nil"/>
              <w:bottom w:val="nil"/>
              <w:right w:val="nil"/>
            </w:tcBorders>
          </w:tcPr>
          <w:p w:rsidR="00000000" w:rsidRDefault="00590668">
            <w:pPr>
              <w:pStyle w:val="TableText"/>
              <w:jc w:val="both"/>
              <w:rPr>
                <w:sz w:val="16"/>
                <w:szCs w:val="16"/>
              </w:rPr>
            </w:pPr>
          </w:p>
        </w:tc>
        <w:tc>
          <w:tcPr>
            <w:tcW w:w="3403" w:type="dxa"/>
            <w:gridSpan w:val="10"/>
            <w:tcBorders>
              <w:top w:val="single" w:sz="2" w:space="0" w:color="000000"/>
              <w:left w:val="nil"/>
              <w:bottom w:val="nil"/>
              <w:right w:val="nil"/>
            </w:tcBorders>
          </w:tcPr>
          <w:p w:rsidR="00000000" w:rsidRDefault="00590668">
            <w:pPr>
              <w:pStyle w:val="TableText"/>
              <w:jc w:val="center"/>
              <w:rPr>
                <w:sz w:val="16"/>
                <w:szCs w:val="16"/>
              </w:rPr>
            </w:pPr>
            <w:r>
              <w:rPr>
                <w:sz w:val="16"/>
                <w:szCs w:val="16"/>
              </w:rPr>
              <w:t>Acquisitions</w:t>
            </w:r>
          </w:p>
        </w:tc>
        <w:tc>
          <w:tcPr>
            <w:tcW w:w="141" w:type="dxa"/>
            <w:tcBorders>
              <w:top w:val="single" w:sz="2" w:space="0" w:color="000000"/>
              <w:left w:val="nil"/>
              <w:bottom w:val="nil"/>
              <w:right w:val="nil"/>
            </w:tcBorders>
          </w:tcPr>
          <w:p w:rsidR="00000000" w:rsidRDefault="00590668">
            <w:pPr>
              <w:pStyle w:val="TableText"/>
              <w:jc w:val="both"/>
              <w:rPr>
                <w:sz w:val="16"/>
                <w:szCs w:val="16"/>
                <w:u w:val="single"/>
              </w:rPr>
            </w:pPr>
          </w:p>
        </w:tc>
        <w:tc>
          <w:tcPr>
            <w:tcW w:w="3120" w:type="dxa"/>
            <w:gridSpan w:val="9"/>
            <w:tcBorders>
              <w:top w:val="single" w:sz="2" w:space="0" w:color="000000"/>
              <w:left w:val="nil"/>
              <w:bottom w:val="nil"/>
              <w:right w:val="nil"/>
            </w:tcBorders>
          </w:tcPr>
          <w:p w:rsidR="00000000" w:rsidRDefault="00590668">
            <w:pPr>
              <w:pStyle w:val="TableText"/>
              <w:jc w:val="center"/>
              <w:rPr>
                <w:sz w:val="16"/>
                <w:szCs w:val="16"/>
              </w:rPr>
            </w:pPr>
            <w:r>
              <w:rPr>
                <w:sz w:val="16"/>
                <w:szCs w:val="16"/>
              </w:rPr>
              <w:t>New Businesses</w:t>
            </w:r>
          </w:p>
        </w:tc>
      </w:tr>
      <w:tr w:rsidR="00000000">
        <w:tblPrEx>
          <w:tblCellMar>
            <w:top w:w="0" w:type="dxa"/>
            <w:bottom w:w="0" w:type="dxa"/>
          </w:tblCellMar>
        </w:tblPrEx>
        <w:trPr>
          <w:gridBefore w:val="3"/>
          <w:wBefore w:w="1442" w:type="dxa"/>
          <w:cantSplit/>
          <w:jc w:val="center"/>
        </w:trPr>
        <w:tc>
          <w:tcPr>
            <w:tcW w:w="1135" w:type="dxa"/>
            <w:gridSpan w:val="3"/>
            <w:tcBorders>
              <w:top w:val="nil"/>
              <w:left w:val="nil"/>
              <w:bottom w:val="nil"/>
              <w:right w:val="nil"/>
            </w:tcBorders>
          </w:tcPr>
          <w:p w:rsidR="00000000" w:rsidRDefault="00590668">
            <w:pPr>
              <w:pStyle w:val="TableText"/>
              <w:jc w:val="both"/>
              <w:rPr>
                <w:sz w:val="16"/>
                <w:szCs w:val="16"/>
              </w:rPr>
            </w:pPr>
            <w:r>
              <w:rPr>
                <w:sz w:val="16"/>
                <w:szCs w:val="16"/>
              </w:rPr>
              <w:t>Industry</w:t>
            </w:r>
          </w:p>
        </w:tc>
        <w:tc>
          <w:tcPr>
            <w:tcW w:w="1749" w:type="dxa"/>
            <w:gridSpan w:val="4"/>
            <w:tcBorders>
              <w:top w:val="nil"/>
              <w:left w:val="nil"/>
              <w:bottom w:val="single" w:sz="2" w:space="0" w:color="000000"/>
              <w:right w:val="nil"/>
            </w:tcBorders>
          </w:tcPr>
          <w:p w:rsidR="00000000" w:rsidRDefault="00590668">
            <w:pPr>
              <w:pStyle w:val="TableText"/>
              <w:jc w:val="center"/>
              <w:rPr>
                <w:sz w:val="16"/>
                <w:szCs w:val="16"/>
              </w:rPr>
            </w:pPr>
            <w:r>
              <w:rPr>
                <w:sz w:val="16"/>
                <w:szCs w:val="16"/>
              </w:rPr>
              <w:t>No of approvals</w:t>
            </w:r>
          </w:p>
        </w:tc>
        <w:tc>
          <w:tcPr>
            <w:tcW w:w="142" w:type="dxa"/>
            <w:tcBorders>
              <w:top w:val="nil"/>
              <w:left w:val="nil"/>
              <w:bottom w:val="nil"/>
              <w:right w:val="nil"/>
            </w:tcBorders>
          </w:tcPr>
          <w:p w:rsidR="00000000" w:rsidRDefault="00590668">
            <w:pPr>
              <w:pStyle w:val="TableText"/>
              <w:jc w:val="both"/>
              <w:rPr>
                <w:sz w:val="16"/>
                <w:szCs w:val="16"/>
              </w:rPr>
            </w:pPr>
          </w:p>
        </w:tc>
        <w:tc>
          <w:tcPr>
            <w:tcW w:w="1515" w:type="dxa"/>
            <w:gridSpan w:val="6"/>
            <w:tcBorders>
              <w:top w:val="nil"/>
              <w:left w:val="nil"/>
              <w:bottom w:val="single" w:sz="2" w:space="0" w:color="000000"/>
              <w:right w:val="nil"/>
            </w:tcBorders>
          </w:tcPr>
          <w:p w:rsidR="00000000" w:rsidRDefault="00590668">
            <w:pPr>
              <w:pStyle w:val="TableText"/>
              <w:jc w:val="center"/>
              <w:rPr>
                <w:sz w:val="16"/>
                <w:szCs w:val="16"/>
              </w:rPr>
            </w:pPr>
            <w:r>
              <w:rPr>
                <w:sz w:val="16"/>
                <w:szCs w:val="16"/>
              </w:rPr>
              <w:t>$million</w:t>
            </w:r>
          </w:p>
        </w:tc>
        <w:tc>
          <w:tcPr>
            <w:tcW w:w="136" w:type="dxa"/>
            <w:tcBorders>
              <w:top w:val="nil"/>
              <w:left w:val="nil"/>
              <w:bottom w:val="nil"/>
              <w:right w:val="nil"/>
            </w:tcBorders>
          </w:tcPr>
          <w:p w:rsidR="00000000" w:rsidRDefault="00590668">
            <w:pPr>
              <w:pStyle w:val="TableText"/>
              <w:jc w:val="both"/>
              <w:rPr>
                <w:sz w:val="16"/>
                <w:szCs w:val="16"/>
              </w:rPr>
            </w:pPr>
          </w:p>
        </w:tc>
        <w:tc>
          <w:tcPr>
            <w:tcW w:w="1562" w:type="dxa"/>
            <w:gridSpan w:val="4"/>
            <w:tcBorders>
              <w:top w:val="nil"/>
              <w:left w:val="nil"/>
              <w:bottom w:val="single" w:sz="2" w:space="0" w:color="000000"/>
              <w:right w:val="nil"/>
            </w:tcBorders>
          </w:tcPr>
          <w:p w:rsidR="00000000" w:rsidRDefault="00590668">
            <w:pPr>
              <w:pStyle w:val="TableText"/>
              <w:jc w:val="center"/>
              <w:rPr>
                <w:sz w:val="16"/>
                <w:szCs w:val="16"/>
              </w:rPr>
            </w:pPr>
            <w:r>
              <w:rPr>
                <w:sz w:val="16"/>
                <w:szCs w:val="16"/>
              </w:rPr>
              <w:t>No of approvals</w:t>
            </w:r>
          </w:p>
        </w:tc>
        <w:tc>
          <w:tcPr>
            <w:tcW w:w="164" w:type="dxa"/>
            <w:gridSpan w:val="2"/>
            <w:tcBorders>
              <w:top w:val="nil"/>
              <w:left w:val="nil"/>
              <w:bottom w:val="nil"/>
              <w:right w:val="nil"/>
            </w:tcBorders>
          </w:tcPr>
          <w:p w:rsidR="00000000" w:rsidRDefault="00590668">
            <w:pPr>
              <w:pStyle w:val="TableText"/>
              <w:jc w:val="both"/>
              <w:rPr>
                <w:sz w:val="16"/>
                <w:szCs w:val="16"/>
              </w:rPr>
            </w:pPr>
          </w:p>
        </w:tc>
        <w:tc>
          <w:tcPr>
            <w:tcW w:w="1399" w:type="dxa"/>
            <w:gridSpan w:val="2"/>
            <w:tcBorders>
              <w:top w:val="nil"/>
              <w:left w:val="nil"/>
              <w:bottom w:val="single" w:sz="2" w:space="0" w:color="000000"/>
              <w:right w:val="nil"/>
            </w:tcBorders>
          </w:tcPr>
          <w:p w:rsidR="00000000" w:rsidRDefault="00590668">
            <w:pPr>
              <w:pStyle w:val="TableText"/>
              <w:jc w:val="center"/>
              <w:rPr>
                <w:sz w:val="16"/>
                <w:szCs w:val="16"/>
              </w:rPr>
            </w:pPr>
            <w:r>
              <w:rPr>
                <w:sz w:val="16"/>
                <w:szCs w:val="16"/>
              </w:rPr>
              <w:t>$million</w:t>
            </w:r>
          </w:p>
        </w:tc>
      </w:tr>
      <w:tr w:rsidR="00000000">
        <w:tblPrEx>
          <w:tblCellMar>
            <w:top w:w="0" w:type="dxa"/>
            <w:bottom w:w="0" w:type="dxa"/>
          </w:tblCellMar>
        </w:tblPrEx>
        <w:trPr>
          <w:gridAfter w:val="3"/>
          <w:wAfter w:w="1448" w:type="dxa"/>
          <w:cantSplit/>
          <w:jc w:val="center"/>
        </w:trPr>
        <w:tc>
          <w:tcPr>
            <w:tcW w:w="1128" w:type="dxa"/>
            <w:gridSpan w:val="2"/>
            <w:tcBorders>
              <w:top w:val="nil"/>
              <w:left w:val="nil"/>
              <w:bottom w:val="nil"/>
              <w:right w:val="nil"/>
            </w:tcBorders>
          </w:tcPr>
          <w:p w:rsidR="00000000" w:rsidRDefault="00590668">
            <w:pPr>
              <w:pStyle w:val="TableText"/>
              <w:jc w:val="center"/>
              <w:rPr>
                <w:sz w:val="16"/>
                <w:szCs w:val="16"/>
              </w:rPr>
            </w:pPr>
          </w:p>
        </w:tc>
        <w:tc>
          <w:tcPr>
            <w:tcW w:w="779" w:type="dxa"/>
            <w:gridSpan w:val="2"/>
            <w:tcBorders>
              <w:top w:val="nil"/>
              <w:left w:val="nil"/>
              <w:bottom w:val="single" w:sz="2" w:space="0" w:color="000000"/>
              <w:right w:val="nil"/>
            </w:tcBorders>
          </w:tcPr>
          <w:p w:rsidR="00000000" w:rsidRDefault="00590668">
            <w:pPr>
              <w:pStyle w:val="TableText"/>
              <w:jc w:val="center"/>
              <w:rPr>
                <w:sz w:val="16"/>
                <w:szCs w:val="16"/>
              </w:rPr>
            </w:pPr>
            <w:r>
              <w:rPr>
                <w:sz w:val="16"/>
                <w:szCs w:val="16"/>
              </w:rPr>
              <w:t>2000-01</w:t>
            </w:r>
          </w:p>
        </w:tc>
        <w:tc>
          <w:tcPr>
            <w:tcW w:w="964" w:type="dxa"/>
            <w:gridSpan w:val="3"/>
            <w:tcBorders>
              <w:top w:val="nil"/>
              <w:left w:val="nil"/>
              <w:bottom w:val="single" w:sz="2" w:space="0" w:color="000000"/>
              <w:right w:val="nil"/>
            </w:tcBorders>
          </w:tcPr>
          <w:p w:rsidR="00000000" w:rsidRDefault="00590668">
            <w:pPr>
              <w:pStyle w:val="TableText"/>
              <w:jc w:val="center"/>
              <w:rPr>
                <w:sz w:val="16"/>
                <w:szCs w:val="16"/>
              </w:rPr>
            </w:pPr>
            <w:r>
              <w:rPr>
                <w:sz w:val="16"/>
                <w:szCs w:val="16"/>
              </w:rPr>
              <w:t>2001</w:t>
            </w:r>
            <w:r>
              <w:rPr>
                <w:sz w:val="16"/>
                <w:szCs w:val="16"/>
              </w:rPr>
              <w:noBreakHyphen/>
              <w:t>02</w:t>
            </w:r>
          </w:p>
        </w:tc>
        <w:tc>
          <w:tcPr>
            <w:tcW w:w="142" w:type="dxa"/>
            <w:tcBorders>
              <w:top w:val="nil"/>
              <w:left w:val="nil"/>
              <w:bottom w:val="nil"/>
              <w:right w:val="nil"/>
            </w:tcBorders>
          </w:tcPr>
          <w:p w:rsidR="00000000" w:rsidRDefault="00590668">
            <w:pPr>
              <w:pStyle w:val="TableText"/>
              <w:jc w:val="center"/>
              <w:rPr>
                <w:sz w:val="16"/>
                <w:szCs w:val="16"/>
              </w:rPr>
            </w:pPr>
          </w:p>
        </w:tc>
        <w:tc>
          <w:tcPr>
            <w:tcW w:w="710" w:type="dxa"/>
            <w:tcBorders>
              <w:top w:val="nil"/>
              <w:left w:val="nil"/>
              <w:bottom w:val="single" w:sz="2" w:space="0" w:color="000000"/>
              <w:right w:val="nil"/>
            </w:tcBorders>
          </w:tcPr>
          <w:p w:rsidR="00000000" w:rsidRDefault="00590668">
            <w:pPr>
              <w:pStyle w:val="TableText"/>
              <w:jc w:val="center"/>
              <w:rPr>
                <w:sz w:val="16"/>
                <w:szCs w:val="16"/>
              </w:rPr>
            </w:pPr>
            <w:r>
              <w:rPr>
                <w:sz w:val="16"/>
                <w:szCs w:val="16"/>
              </w:rPr>
              <w:t>2000-01</w:t>
            </w:r>
          </w:p>
        </w:tc>
        <w:tc>
          <w:tcPr>
            <w:tcW w:w="812" w:type="dxa"/>
            <w:gridSpan w:val="3"/>
            <w:tcBorders>
              <w:top w:val="nil"/>
              <w:left w:val="nil"/>
              <w:bottom w:val="single" w:sz="2" w:space="0" w:color="000000"/>
              <w:right w:val="nil"/>
            </w:tcBorders>
          </w:tcPr>
          <w:p w:rsidR="00000000" w:rsidRDefault="00590668">
            <w:pPr>
              <w:pStyle w:val="TableText"/>
              <w:jc w:val="center"/>
              <w:rPr>
                <w:sz w:val="16"/>
                <w:szCs w:val="16"/>
              </w:rPr>
            </w:pPr>
            <w:r>
              <w:rPr>
                <w:sz w:val="16"/>
                <w:szCs w:val="16"/>
              </w:rPr>
              <w:t>2001</w:t>
            </w:r>
            <w:r>
              <w:rPr>
                <w:sz w:val="16"/>
                <w:szCs w:val="16"/>
              </w:rPr>
              <w:noBreakHyphen/>
              <w:t>02</w:t>
            </w:r>
          </w:p>
        </w:tc>
        <w:tc>
          <w:tcPr>
            <w:tcW w:w="137" w:type="dxa"/>
            <w:tcBorders>
              <w:top w:val="nil"/>
              <w:left w:val="nil"/>
              <w:bottom w:val="nil"/>
              <w:right w:val="nil"/>
            </w:tcBorders>
          </w:tcPr>
          <w:p w:rsidR="00000000" w:rsidRDefault="00590668">
            <w:pPr>
              <w:pStyle w:val="TableText"/>
              <w:rPr>
                <w:sz w:val="16"/>
                <w:szCs w:val="16"/>
              </w:rPr>
            </w:pPr>
          </w:p>
        </w:tc>
        <w:tc>
          <w:tcPr>
            <w:tcW w:w="763" w:type="dxa"/>
            <w:tcBorders>
              <w:top w:val="single" w:sz="2" w:space="0" w:color="000000"/>
              <w:left w:val="nil"/>
              <w:bottom w:val="single" w:sz="2" w:space="0" w:color="000000"/>
              <w:right w:val="nil"/>
            </w:tcBorders>
          </w:tcPr>
          <w:p w:rsidR="00000000" w:rsidRDefault="00590668">
            <w:pPr>
              <w:pStyle w:val="TableText"/>
              <w:jc w:val="center"/>
              <w:rPr>
                <w:sz w:val="16"/>
                <w:szCs w:val="16"/>
              </w:rPr>
            </w:pPr>
            <w:r>
              <w:rPr>
                <w:sz w:val="16"/>
                <w:szCs w:val="16"/>
              </w:rPr>
              <w:t>2000-01</w:t>
            </w:r>
          </w:p>
        </w:tc>
        <w:tc>
          <w:tcPr>
            <w:tcW w:w="801" w:type="dxa"/>
            <w:gridSpan w:val="5"/>
            <w:tcBorders>
              <w:top w:val="single" w:sz="2" w:space="0" w:color="000000"/>
              <w:left w:val="nil"/>
              <w:bottom w:val="single" w:sz="2" w:space="0" w:color="000000"/>
              <w:right w:val="nil"/>
            </w:tcBorders>
          </w:tcPr>
          <w:p w:rsidR="00000000" w:rsidRDefault="00590668">
            <w:pPr>
              <w:pStyle w:val="TableText"/>
              <w:jc w:val="center"/>
              <w:rPr>
                <w:sz w:val="16"/>
                <w:szCs w:val="16"/>
              </w:rPr>
            </w:pPr>
            <w:r>
              <w:rPr>
                <w:sz w:val="16"/>
                <w:szCs w:val="16"/>
              </w:rPr>
              <w:t>2001</w:t>
            </w:r>
            <w:r>
              <w:rPr>
                <w:sz w:val="16"/>
                <w:szCs w:val="16"/>
              </w:rPr>
              <w:noBreakHyphen/>
              <w:t>02</w:t>
            </w:r>
          </w:p>
        </w:tc>
        <w:tc>
          <w:tcPr>
            <w:tcW w:w="142" w:type="dxa"/>
            <w:tcBorders>
              <w:top w:val="nil"/>
              <w:left w:val="nil"/>
              <w:bottom w:val="nil"/>
              <w:right w:val="nil"/>
            </w:tcBorders>
          </w:tcPr>
          <w:p w:rsidR="00000000" w:rsidRDefault="00590668">
            <w:pPr>
              <w:pStyle w:val="TableText"/>
              <w:jc w:val="center"/>
              <w:rPr>
                <w:sz w:val="16"/>
                <w:szCs w:val="16"/>
              </w:rPr>
            </w:pPr>
          </w:p>
        </w:tc>
        <w:tc>
          <w:tcPr>
            <w:tcW w:w="709" w:type="dxa"/>
            <w:tcBorders>
              <w:top w:val="single" w:sz="2" w:space="0" w:color="000000"/>
              <w:left w:val="nil"/>
              <w:bottom w:val="single" w:sz="2" w:space="0" w:color="000000"/>
              <w:right w:val="nil"/>
            </w:tcBorders>
          </w:tcPr>
          <w:p w:rsidR="00000000" w:rsidRDefault="00590668">
            <w:pPr>
              <w:pStyle w:val="TableText"/>
              <w:jc w:val="center"/>
              <w:rPr>
                <w:sz w:val="16"/>
                <w:szCs w:val="16"/>
              </w:rPr>
            </w:pPr>
            <w:r>
              <w:rPr>
                <w:sz w:val="16"/>
                <w:szCs w:val="16"/>
              </w:rPr>
              <w:t>2000-01</w:t>
            </w:r>
          </w:p>
        </w:tc>
        <w:tc>
          <w:tcPr>
            <w:tcW w:w="709" w:type="dxa"/>
            <w:gridSpan w:val="2"/>
            <w:tcBorders>
              <w:top w:val="single" w:sz="2" w:space="0" w:color="000000"/>
              <w:left w:val="nil"/>
              <w:bottom w:val="single" w:sz="2" w:space="0" w:color="000000"/>
              <w:right w:val="nil"/>
            </w:tcBorders>
          </w:tcPr>
          <w:p w:rsidR="00000000" w:rsidRDefault="00590668">
            <w:pPr>
              <w:pStyle w:val="TableText"/>
              <w:jc w:val="center"/>
              <w:rPr>
                <w:sz w:val="16"/>
                <w:szCs w:val="16"/>
              </w:rPr>
            </w:pPr>
            <w:r>
              <w:rPr>
                <w:sz w:val="16"/>
                <w:szCs w:val="16"/>
              </w:rPr>
              <w:t>2001</w:t>
            </w:r>
            <w:r>
              <w:rPr>
                <w:sz w:val="16"/>
                <w:szCs w:val="16"/>
              </w:rPr>
              <w:noBreakHyphen/>
              <w:t>02</w:t>
            </w:r>
          </w:p>
        </w:tc>
      </w:tr>
      <w:tr w:rsidR="00000000">
        <w:tblPrEx>
          <w:tblCellMar>
            <w:top w:w="0" w:type="dxa"/>
            <w:bottom w:w="0" w:type="dxa"/>
          </w:tblCellMar>
        </w:tblPrEx>
        <w:trPr>
          <w:gridAfter w:val="3"/>
          <w:wAfter w:w="1448" w:type="dxa"/>
          <w:cantSplit/>
          <w:jc w:val="center"/>
        </w:trPr>
        <w:tc>
          <w:tcPr>
            <w:tcW w:w="1128" w:type="dxa"/>
            <w:gridSpan w:val="2"/>
            <w:tcBorders>
              <w:top w:val="nil"/>
              <w:left w:val="nil"/>
              <w:bottom w:val="nil"/>
              <w:right w:val="nil"/>
            </w:tcBorders>
          </w:tcPr>
          <w:p w:rsidR="00000000" w:rsidRDefault="00590668">
            <w:pPr>
              <w:pStyle w:val="TableText"/>
              <w:jc w:val="both"/>
              <w:rPr>
                <w:sz w:val="16"/>
                <w:szCs w:val="16"/>
              </w:rPr>
            </w:pPr>
            <w:r>
              <w:rPr>
                <w:sz w:val="16"/>
                <w:szCs w:val="16"/>
              </w:rPr>
              <w:t>Gold</w:t>
            </w:r>
          </w:p>
        </w:tc>
        <w:tc>
          <w:tcPr>
            <w:tcW w:w="779" w:type="dxa"/>
            <w:gridSpan w:val="2"/>
            <w:tcBorders>
              <w:top w:val="nil"/>
              <w:left w:val="nil"/>
              <w:bottom w:val="nil"/>
              <w:right w:val="nil"/>
            </w:tcBorders>
          </w:tcPr>
          <w:p w:rsidR="00000000" w:rsidRDefault="00590668">
            <w:pPr>
              <w:pStyle w:val="TableText"/>
              <w:tabs>
                <w:tab w:val="decimal" w:pos="426"/>
              </w:tabs>
              <w:rPr>
                <w:sz w:val="16"/>
                <w:szCs w:val="16"/>
              </w:rPr>
            </w:pPr>
            <w:r>
              <w:rPr>
                <w:sz w:val="16"/>
                <w:szCs w:val="16"/>
              </w:rPr>
              <w:t>8</w:t>
            </w:r>
          </w:p>
        </w:tc>
        <w:tc>
          <w:tcPr>
            <w:tcW w:w="964" w:type="dxa"/>
            <w:gridSpan w:val="3"/>
            <w:tcBorders>
              <w:top w:val="nil"/>
              <w:left w:val="nil"/>
              <w:bottom w:val="nil"/>
              <w:right w:val="nil"/>
            </w:tcBorders>
          </w:tcPr>
          <w:p w:rsidR="00000000" w:rsidRDefault="00590668">
            <w:pPr>
              <w:pStyle w:val="TableText"/>
              <w:tabs>
                <w:tab w:val="decimal" w:pos="426"/>
              </w:tabs>
              <w:rPr>
                <w:sz w:val="16"/>
                <w:szCs w:val="16"/>
              </w:rPr>
            </w:pPr>
            <w:r>
              <w:rPr>
                <w:sz w:val="16"/>
                <w:szCs w:val="16"/>
              </w:rPr>
              <w:t>12</w:t>
            </w:r>
          </w:p>
        </w:tc>
        <w:tc>
          <w:tcPr>
            <w:tcW w:w="142" w:type="dxa"/>
            <w:tcBorders>
              <w:top w:val="nil"/>
              <w:left w:val="nil"/>
              <w:bottom w:val="nil"/>
              <w:right w:val="nil"/>
            </w:tcBorders>
          </w:tcPr>
          <w:p w:rsidR="00000000" w:rsidRDefault="00590668">
            <w:pPr>
              <w:pStyle w:val="TableText"/>
              <w:rPr>
                <w:sz w:val="16"/>
                <w:szCs w:val="16"/>
              </w:rPr>
            </w:pPr>
          </w:p>
        </w:tc>
        <w:tc>
          <w:tcPr>
            <w:tcW w:w="710" w:type="dxa"/>
            <w:tcBorders>
              <w:top w:val="nil"/>
              <w:left w:val="nil"/>
              <w:bottom w:val="nil"/>
              <w:right w:val="nil"/>
            </w:tcBorders>
          </w:tcPr>
          <w:p w:rsidR="00000000" w:rsidRDefault="00590668">
            <w:pPr>
              <w:pStyle w:val="TableText"/>
              <w:tabs>
                <w:tab w:val="decimal" w:pos="567"/>
              </w:tabs>
              <w:rPr>
                <w:sz w:val="16"/>
                <w:szCs w:val="16"/>
              </w:rPr>
            </w:pPr>
            <w:r>
              <w:rPr>
                <w:sz w:val="16"/>
                <w:szCs w:val="16"/>
              </w:rPr>
              <w:t>653</w:t>
            </w:r>
          </w:p>
        </w:tc>
        <w:tc>
          <w:tcPr>
            <w:tcW w:w="812" w:type="dxa"/>
            <w:gridSpan w:val="3"/>
            <w:tcBorders>
              <w:top w:val="nil"/>
              <w:left w:val="nil"/>
              <w:bottom w:val="nil"/>
              <w:right w:val="nil"/>
            </w:tcBorders>
          </w:tcPr>
          <w:p w:rsidR="00000000" w:rsidRDefault="00590668">
            <w:pPr>
              <w:pStyle w:val="TableText"/>
              <w:tabs>
                <w:tab w:val="decimal" w:pos="567"/>
              </w:tabs>
              <w:rPr>
                <w:sz w:val="16"/>
                <w:szCs w:val="16"/>
              </w:rPr>
            </w:pPr>
            <w:r>
              <w:rPr>
                <w:sz w:val="16"/>
                <w:szCs w:val="16"/>
              </w:rPr>
              <w:t>11,684</w:t>
            </w:r>
          </w:p>
        </w:tc>
        <w:tc>
          <w:tcPr>
            <w:tcW w:w="137" w:type="dxa"/>
            <w:tcBorders>
              <w:top w:val="nil"/>
              <w:left w:val="nil"/>
              <w:bottom w:val="nil"/>
              <w:right w:val="nil"/>
            </w:tcBorders>
          </w:tcPr>
          <w:p w:rsidR="00000000" w:rsidRDefault="00590668">
            <w:pPr>
              <w:pStyle w:val="TableText"/>
              <w:rPr>
                <w:sz w:val="16"/>
                <w:szCs w:val="16"/>
              </w:rPr>
            </w:pPr>
          </w:p>
        </w:tc>
        <w:tc>
          <w:tcPr>
            <w:tcW w:w="763" w:type="dxa"/>
            <w:tcBorders>
              <w:top w:val="nil"/>
              <w:left w:val="nil"/>
              <w:bottom w:val="nil"/>
              <w:right w:val="nil"/>
            </w:tcBorders>
          </w:tcPr>
          <w:p w:rsidR="00000000" w:rsidRDefault="00590668">
            <w:pPr>
              <w:pStyle w:val="TableText"/>
              <w:tabs>
                <w:tab w:val="decimal" w:pos="427"/>
              </w:tabs>
              <w:rPr>
                <w:sz w:val="16"/>
                <w:szCs w:val="16"/>
              </w:rPr>
            </w:pPr>
            <w:r>
              <w:rPr>
                <w:sz w:val="16"/>
                <w:szCs w:val="16"/>
              </w:rPr>
              <w:noBreakHyphen/>
            </w:r>
          </w:p>
        </w:tc>
        <w:tc>
          <w:tcPr>
            <w:tcW w:w="801" w:type="dxa"/>
            <w:gridSpan w:val="5"/>
            <w:tcBorders>
              <w:top w:val="nil"/>
              <w:left w:val="nil"/>
              <w:bottom w:val="nil"/>
              <w:right w:val="nil"/>
            </w:tcBorders>
          </w:tcPr>
          <w:p w:rsidR="00000000" w:rsidRDefault="00590668">
            <w:pPr>
              <w:pStyle w:val="TableText"/>
              <w:tabs>
                <w:tab w:val="decimal" w:pos="427"/>
              </w:tabs>
              <w:rPr>
                <w:sz w:val="16"/>
                <w:szCs w:val="16"/>
              </w:rPr>
            </w:pPr>
            <w:r>
              <w:rPr>
                <w:sz w:val="16"/>
                <w:szCs w:val="16"/>
              </w:rPr>
              <w:t>2</w:t>
            </w:r>
          </w:p>
        </w:tc>
        <w:tc>
          <w:tcPr>
            <w:tcW w:w="142" w:type="dxa"/>
            <w:tcBorders>
              <w:top w:val="nil"/>
              <w:left w:val="nil"/>
              <w:bottom w:val="nil"/>
              <w:right w:val="nil"/>
            </w:tcBorders>
          </w:tcPr>
          <w:p w:rsidR="00000000" w:rsidRDefault="00590668">
            <w:pPr>
              <w:pStyle w:val="TableText"/>
              <w:rPr>
                <w:sz w:val="16"/>
                <w:szCs w:val="16"/>
              </w:rPr>
            </w:pPr>
          </w:p>
        </w:tc>
        <w:tc>
          <w:tcPr>
            <w:tcW w:w="709" w:type="dxa"/>
            <w:tcBorders>
              <w:top w:val="nil"/>
              <w:left w:val="nil"/>
              <w:bottom w:val="nil"/>
              <w:right w:val="nil"/>
            </w:tcBorders>
          </w:tcPr>
          <w:p w:rsidR="00000000" w:rsidRDefault="00590668">
            <w:pPr>
              <w:pStyle w:val="TableText"/>
              <w:tabs>
                <w:tab w:val="decimal" w:pos="568"/>
              </w:tabs>
              <w:rPr>
                <w:sz w:val="16"/>
                <w:szCs w:val="16"/>
              </w:rPr>
            </w:pPr>
            <w:r>
              <w:rPr>
                <w:sz w:val="16"/>
                <w:szCs w:val="16"/>
              </w:rPr>
              <w:noBreakHyphen/>
            </w:r>
          </w:p>
        </w:tc>
        <w:tc>
          <w:tcPr>
            <w:tcW w:w="709" w:type="dxa"/>
            <w:gridSpan w:val="2"/>
            <w:tcBorders>
              <w:top w:val="nil"/>
              <w:left w:val="nil"/>
              <w:bottom w:val="nil"/>
              <w:right w:val="nil"/>
            </w:tcBorders>
          </w:tcPr>
          <w:p w:rsidR="00000000" w:rsidRDefault="00590668">
            <w:pPr>
              <w:pStyle w:val="TableText"/>
              <w:tabs>
                <w:tab w:val="decimal" w:pos="568"/>
              </w:tabs>
              <w:rPr>
                <w:sz w:val="16"/>
                <w:szCs w:val="16"/>
              </w:rPr>
            </w:pPr>
            <w:r>
              <w:rPr>
                <w:sz w:val="16"/>
                <w:szCs w:val="16"/>
              </w:rPr>
              <w:t>27</w:t>
            </w:r>
          </w:p>
        </w:tc>
      </w:tr>
      <w:tr w:rsidR="00000000">
        <w:tblPrEx>
          <w:tblCellMar>
            <w:top w:w="0" w:type="dxa"/>
            <w:bottom w:w="0" w:type="dxa"/>
          </w:tblCellMar>
        </w:tblPrEx>
        <w:trPr>
          <w:gridAfter w:val="3"/>
          <w:wAfter w:w="1448" w:type="dxa"/>
          <w:cantSplit/>
          <w:jc w:val="center"/>
        </w:trPr>
        <w:tc>
          <w:tcPr>
            <w:tcW w:w="1128" w:type="dxa"/>
            <w:gridSpan w:val="2"/>
            <w:tcBorders>
              <w:top w:val="nil"/>
              <w:left w:val="nil"/>
              <w:bottom w:val="nil"/>
              <w:right w:val="nil"/>
            </w:tcBorders>
          </w:tcPr>
          <w:p w:rsidR="00000000" w:rsidRDefault="00590668">
            <w:pPr>
              <w:pStyle w:val="TableText"/>
              <w:jc w:val="both"/>
              <w:rPr>
                <w:sz w:val="16"/>
                <w:szCs w:val="16"/>
              </w:rPr>
            </w:pPr>
            <w:r>
              <w:rPr>
                <w:sz w:val="16"/>
                <w:szCs w:val="16"/>
              </w:rPr>
              <w:t>Oil and gas</w:t>
            </w:r>
          </w:p>
        </w:tc>
        <w:tc>
          <w:tcPr>
            <w:tcW w:w="779" w:type="dxa"/>
            <w:gridSpan w:val="2"/>
            <w:tcBorders>
              <w:top w:val="nil"/>
              <w:left w:val="nil"/>
              <w:bottom w:val="nil"/>
              <w:right w:val="nil"/>
            </w:tcBorders>
          </w:tcPr>
          <w:p w:rsidR="00000000" w:rsidRDefault="00590668">
            <w:pPr>
              <w:pStyle w:val="TableText"/>
              <w:tabs>
                <w:tab w:val="decimal" w:pos="426"/>
              </w:tabs>
              <w:rPr>
                <w:sz w:val="16"/>
                <w:szCs w:val="16"/>
              </w:rPr>
            </w:pPr>
            <w:r>
              <w:rPr>
                <w:sz w:val="16"/>
                <w:szCs w:val="16"/>
              </w:rPr>
              <w:t>11</w:t>
            </w:r>
          </w:p>
        </w:tc>
        <w:tc>
          <w:tcPr>
            <w:tcW w:w="964" w:type="dxa"/>
            <w:gridSpan w:val="3"/>
            <w:tcBorders>
              <w:top w:val="nil"/>
              <w:left w:val="nil"/>
              <w:bottom w:val="nil"/>
              <w:right w:val="nil"/>
            </w:tcBorders>
          </w:tcPr>
          <w:p w:rsidR="00000000" w:rsidRDefault="00590668">
            <w:pPr>
              <w:pStyle w:val="TableText"/>
              <w:tabs>
                <w:tab w:val="decimal" w:pos="426"/>
              </w:tabs>
              <w:rPr>
                <w:sz w:val="16"/>
                <w:szCs w:val="16"/>
              </w:rPr>
            </w:pPr>
            <w:r>
              <w:rPr>
                <w:sz w:val="16"/>
                <w:szCs w:val="16"/>
              </w:rPr>
              <w:t>5</w:t>
            </w:r>
          </w:p>
        </w:tc>
        <w:tc>
          <w:tcPr>
            <w:tcW w:w="142" w:type="dxa"/>
            <w:tcBorders>
              <w:top w:val="nil"/>
              <w:left w:val="nil"/>
              <w:bottom w:val="nil"/>
              <w:right w:val="nil"/>
            </w:tcBorders>
          </w:tcPr>
          <w:p w:rsidR="00000000" w:rsidRDefault="00590668">
            <w:pPr>
              <w:pStyle w:val="TableText"/>
              <w:rPr>
                <w:sz w:val="16"/>
                <w:szCs w:val="16"/>
              </w:rPr>
            </w:pPr>
          </w:p>
        </w:tc>
        <w:tc>
          <w:tcPr>
            <w:tcW w:w="710" w:type="dxa"/>
            <w:tcBorders>
              <w:top w:val="nil"/>
              <w:left w:val="nil"/>
              <w:bottom w:val="nil"/>
              <w:right w:val="nil"/>
            </w:tcBorders>
          </w:tcPr>
          <w:p w:rsidR="00000000" w:rsidRDefault="00590668">
            <w:pPr>
              <w:pStyle w:val="TableText"/>
              <w:tabs>
                <w:tab w:val="decimal" w:pos="567"/>
              </w:tabs>
              <w:rPr>
                <w:sz w:val="16"/>
                <w:szCs w:val="16"/>
              </w:rPr>
            </w:pPr>
            <w:r>
              <w:rPr>
                <w:sz w:val="16"/>
                <w:szCs w:val="16"/>
              </w:rPr>
              <w:t>11,881</w:t>
            </w:r>
          </w:p>
        </w:tc>
        <w:tc>
          <w:tcPr>
            <w:tcW w:w="812" w:type="dxa"/>
            <w:gridSpan w:val="3"/>
            <w:tcBorders>
              <w:top w:val="nil"/>
              <w:left w:val="nil"/>
              <w:bottom w:val="nil"/>
              <w:right w:val="nil"/>
            </w:tcBorders>
          </w:tcPr>
          <w:p w:rsidR="00000000" w:rsidRDefault="00590668">
            <w:pPr>
              <w:pStyle w:val="TableText"/>
              <w:tabs>
                <w:tab w:val="decimal" w:pos="567"/>
              </w:tabs>
              <w:rPr>
                <w:sz w:val="16"/>
                <w:szCs w:val="16"/>
              </w:rPr>
            </w:pPr>
            <w:r>
              <w:rPr>
                <w:sz w:val="16"/>
                <w:szCs w:val="16"/>
              </w:rPr>
              <w:t>1,243</w:t>
            </w:r>
          </w:p>
        </w:tc>
        <w:tc>
          <w:tcPr>
            <w:tcW w:w="137" w:type="dxa"/>
            <w:tcBorders>
              <w:top w:val="nil"/>
              <w:left w:val="nil"/>
              <w:bottom w:val="nil"/>
              <w:right w:val="nil"/>
            </w:tcBorders>
          </w:tcPr>
          <w:p w:rsidR="00000000" w:rsidRDefault="00590668">
            <w:pPr>
              <w:pStyle w:val="TableText"/>
              <w:rPr>
                <w:sz w:val="16"/>
                <w:szCs w:val="16"/>
              </w:rPr>
            </w:pPr>
          </w:p>
        </w:tc>
        <w:tc>
          <w:tcPr>
            <w:tcW w:w="763" w:type="dxa"/>
            <w:tcBorders>
              <w:top w:val="nil"/>
              <w:left w:val="nil"/>
              <w:bottom w:val="nil"/>
              <w:right w:val="nil"/>
            </w:tcBorders>
          </w:tcPr>
          <w:p w:rsidR="00000000" w:rsidRDefault="00590668">
            <w:pPr>
              <w:pStyle w:val="TableText"/>
              <w:tabs>
                <w:tab w:val="decimal" w:pos="427"/>
              </w:tabs>
              <w:rPr>
                <w:sz w:val="16"/>
                <w:szCs w:val="16"/>
              </w:rPr>
            </w:pPr>
            <w:r>
              <w:rPr>
                <w:sz w:val="16"/>
                <w:szCs w:val="16"/>
              </w:rPr>
              <w:t>1</w:t>
            </w:r>
          </w:p>
        </w:tc>
        <w:tc>
          <w:tcPr>
            <w:tcW w:w="801" w:type="dxa"/>
            <w:gridSpan w:val="5"/>
            <w:tcBorders>
              <w:top w:val="nil"/>
              <w:left w:val="nil"/>
              <w:bottom w:val="nil"/>
              <w:right w:val="nil"/>
            </w:tcBorders>
          </w:tcPr>
          <w:p w:rsidR="00000000" w:rsidRDefault="00590668">
            <w:pPr>
              <w:pStyle w:val="TableText"/>
              <w:tabs>
                <w:tab w:val="decimal" w:pos="427"/>
              </w:tabs>
              <w:rPr>
                <w:sz w:val="16"/>
                <w:szCs w:val="16"/>
              </w:rPr>
            </w:pPr>
            <w:r>
              <w:rPr>
                <w:sz w:val="16"/>
                <w:szCs w:val="16"/>
              </w:rPr>
              <w:t>1</w:t>
            </w:r>
          </w:p>
        </w:tc>
        <w:tc>
          <w:tcPr>
            <w:tcW w:w="142" w:type="dxa"/>
            <w:tcBorders>
              <w:top w:val="nil"/>
              <w:left w:val="nil"/>
              <w:bottom w:val="nil"/>
              <w:right w:val="nil"/>
            </w:tcBorders>
          </w:tcPr>
          <w:p w:rsidR="00000000" w:rsidRDefault="00590668">
            <w:pPr>
              <w:pStyle w:val="TableText"/>
              <w:rPr>
                <w:sz w:val="16"/>
                <w:szCs w:val="16"/>
              </w:rPr>
            </w:pPr>
          </w:p>
        </w:tc>
        <w:tc>
          <w:tcPr>
            <w:tcW w:w="709" w:type="dxa"/>
            <w:tcBorders>
              <w:top w:val="nil"/>
              <w:left w:val="nil"/>
              <w:bottom w:val="nil"/>
              <w:right w:val="nil"/>
            </w:tcBorders>
          </w:tcPr>
          <w:p w:rsidR="00000000" w:rsidRDefault="00590668">
            <w:pPr>
              <w:pStyle w:val="TableText"/>
              <w:tabs>
                <w:tab w:val="decimal" w:pos="568"/>
              </w:tabs>
              <w:rPr>
                <w:sz w:val="16"/>
                <w:szCs w:val="16"/>
              </w:rPr>
            </w:pPr>
            <w:r>
              <w:rPr>
                <w:sz w:val="16"/>
                <w:szCs w:val="16"/>
              </w:rPr>
              <w:t>205</w:t>
            </w:r>
          </w:p>
        </w:tc>
        <w:tc>
          <w:tcPr>
            <w:tcW w:w="709" w:type="dxa"/>
            <w:gridSpan w:val="2"/>
            <w:tcBorders>
              <w:top w:val="nil"/>
              <w:left w:val="nil"/>
              <w:bottom w:val="nil"/>
              <w:right w:val="nil"/>
            </w:tcBorders>
          </w:tcPr>
          <w:p w:rsidR="00000000" w:rsidRDefault="00590668">
            <w:pPr>
              <w:pStyle w:val="TableText"/>
              <w:tabs>
                <w:tab w:val="decimal" w:pos="568"/>
              </w:tabs>
              <w:rPr>
                <w:sz w:val="16"/>
                <w:szCs w:val="16"/>
              </w:rPr>
            </w:pPr>
            <w:r>
              <w:rPr>
                <w:sz w:val="16"/>
                <w:szCs w:val="16"/>
              </w:rPr>
              <w:t>39</w:t>
            </w:r>
          </w:p>
        </w:tc>
      </w:tr>
      <w:tr w:rsidR="00000000">
        <w:tblPrEx>
          <w:tblCellMar>
            <w:top w:w="0" w:type="dxa"/>
            <w:bottom w:w="0" w:type="dxa"/>
          </w:tblCellMar>
        </w:tblPrEx>
        <w:trPr>
          <w:gridAfter w:val="3"/>
          <w:wAfter w:w="1448" w:type="dxa"/>
          <w:cantSplit/>
          <w:jc w:val="center"/>
        </w:trPr>
        <w:tc>
          <w:tcPr>
            <w:tcW w:w="1128" w:type="dxa"/>
            <w:gridSpan w:val="2"/>
            <w:tcBorders>
              <w:top w:val="nil"/>
              <w:left w:val="nil"/>
              <w:bottom w:val="nil"/>
              <w:right w:val="nil"/>
            </w:tcBorders>
          </w:tcPr>
          <w:p w:rsidR="00000000" w:rsidRDefault="00590668">
            <w:pPr>
              <w:pStyle w:val="TableText"/>
              <w:jc w:val="both"/>
              <w:rPr>
                <w:sz w:val="16"/>
                <w:szCs w:val="16"/>
              </w:rPr>
            </w:pPr>
            <w:r>
              <w:rPr>
                <w:sz w:val="16"/>
                <w:szCs w:val="16"/>
              </w:rPr>
              <w:t>Coal</w:t>
            </w:r>
          </w:p>
        </w:tc>
        <w:tc>
          <w:tcPr>
            <w:tcW w:w="779" w:type="dxa"/>
            <w:gridSpan w:val="2"/>
            <w:tcBorders>
              <w:top w:val="nil"/>
              <w:left w:val="nil"/>
              <w:bottom w:val="nil"/>
              <w:right w:val="nil"/>
            </w:tcBorders>
          </w:tcPr>
          <w:p w:rsidR="00000000" w:rsidRDefault="00590668">
            <w:pPr>
              <w:pStyle w:val="TableText"/>
              <w:tabs>
                <w:tab w:val="decimal" w:pos="426"/>
              </w:tabs>
              <w:rPr>
                <w:sz w:val="16"/>
                <w:szCs w:val="16"/>
              </w:rPr>
            </w:pPr>
            <w:r>
              <w:rPr>
                <w:sz w:val="16"/>
                <w:szCs w:val="16"/>
              </w:rPr>
              <w:t>27</w:t>
            </w:r>
          </w:p>
        </w:tc>
        <w:tc>
          <w:tcPr>
            <w:tcW w:w="964" w:type="dxa"/>
            <w:gridSpan w:val="3"/>
            <w:tcBorders>
              <w:top w:val="nil"/>
              <w:left w:val="nil"/>
              <w:bottom w:val="nil"/>
              <w:right w:val="nil"/>
            </w:tcBorders>
          </w:tcPr>
          <w:p w:rsidR="00000000" w:rsidRDefault="00590668">
            <w:pPr>
              <w:pStyle w:val="TableText"/>
              <w:tabs>
                <w:tab w:val="decimal" w:pos="426"/>
              </w:tabs>
              <w:rPr>
                <w:sz w:val="16"/>
                <w:szCs w:val="16"/>
              </w:rPr>
            </w:pPr>
            <w:r>
              <w:rPr>
                <w:sz w:val="16"/>
                <w:szCs w:val="16"/>
              </w:rPr>
              <w:t>17</w:t>
            </w:r>
          </w:p>
        </w:tc>
        <w:tc>
          <w:tcPr>
            <w:tcW w:w="142" w:type="dxa"/>
            <w:tcBorders>
              <w:top w:val="nil"/>
              <w:left w:val="nil"/>
              <w:bottom w:val="nil"/>
              <w:right w:val="nil"/>
            </w:tcBorders>
          </w:tcPr>
          <w:p w:rsidR="00000000" w:rsidRDefault="00590668">
            <w:pPr>
              <w:pStyle w:val="TableText"/>
              <w:rPr>
                <w:sz w:val="16"/>
                <w:szCs w:val="16"/>
              </w:rPr>
            </w:pPr>
          </w:p>
        </w:tc>
        <w:tc>
          <w:tcPr>
            <w:tcW w:w="710" w:type="dxa"/>
            <w:tcBorders>
              <w:top w:val="nil"/>
              <w:left w:val="nil"/>
              <w:bottom w:val="nil"/>
              <w:right w:val="nil"/>
            </w:tcBorders>
          </w:tcPr>
          <w:p w:rsidR="00000000" w:rsidRDefault="00590668">
            <w:pPr>
              <w:pStyle w:val="TableText"/>
              <w:tabs>
                <w:tab w:val="decimal" w:pos="567"/>
              </w:tabs>
              <w:rPr>
                <w:sz w:val="16"/>
                <w:szCs w:val="16"/>
              </w:rPr>
            </w:pPr>
            <w:r>
              <w:rPr>
                <w:sz w:val="16"/>
                <w:szCs w:val="16"/>
              </w:rPr>
              <w:t>4,108</w:t>
            </w:r>
          </w:p>
        </w:tc>
        <w:tc>
          <w:tcPr>
            <w:tcW w:w="812" w:type="dxa"/>
            <w:gridSpan w:val="3"/>
            <w:tcBorders>
              <w:top w:val="nil"/>
              <w:left w:val="nil"/>
              <w:bottom w:val="nil"/>
              <w:right w:val="nil"/>
            </w:tcBorders>
          </w:tcPr>
          <w:p w:rsidR="00000000" w:rsidRDefault="00590668">
            <w:pPr>
              <w:pStyle w:val="TableText"/>
              <w:tabs>
                <w:tab w:val="decimal" w:pos="567"/>
              </w:tabs>
              <w:rPr>
                <w:sz w:val="16"/>
                <w:szCs w:val="16"/>
              </w:rPr>
            </w:pPr>
            <w:r>
              <w:rPr>
                <w:sz w:val="16"/>
                <w:szCs w:val="16"/>
              </w:rPr>
              <w:t>3,344</w:t>
            </w:r>
          </w:p>
        </w:tc>
        <w:tc>
          <w:tcPr>
            <w:tcW w:w="137" w:type="dxa"/>
            <w:tcBorders>
              <w:top w:val="nil"/>
              <w:left w:val="nil"/>
              <w:bottom w:val="nil"/>
              <w:right w:val="nil"/>
            </w:tcBorders>
          </w:tcPr>
          <w:p w:rsidR="00000000" w:rsidRDefault="00590668">
            <w:pPr>
              <w:pStyle w:val="TableText"/>
              <w:rPr>
                <w:sz w:val="16"/>
                <w:szCs w:val="16"/>
              </w:rPr>
            </w:pPr>
          </w:p>
        </w:tc>
        <w:tc>
          <w:tcPr>
            <w:tcW w:w="763" w:type="dxa"/>
            <w:tcBorders>
              <w:top w:val="nil"/>
              <w:left w:val="nil"/>
              <w:bottom w:val="nil"/>
              <w:right w:val="nil"/>
            </w:tcBorders>
          </w:tcPr>
          <w:p w:rsidR="00000000" w:rsidRDefault="00590668">
            <w:pPr>
              <w:pStyle w:val="TableText"/>
              <w:tabs>
                <w:tab w:val="decimal" w:pos="427"/>
              </w:tabs>
              <w:rPr>
                <w:sz w:val="16"/>
                <w:szCs w:val="16"/>
              </w:rPr>
            </w:pPr>
            <w:r>
              <w:rPr>
                <w:sz w:val="16"/>
                <w:szCs w:val="16"/>
              </w:rPr>
              <w:t>1</w:t>
            </w:r>
          </w:p>
        </w:tc>
        <w:tc>
          <w:tcPr>
            <w:tcW w:w="801" w:type="dxa"/>
            <w:gridSpan w:val="5"/>
            <w:tcBorders>
              <w:top w:val="nil"/>
              <w:left w:val="nil"/>
              <w:bottom w:val="nil"/>
              <w:right w:val="nil"/>
            </w:tcBorders>
          </w:tcPr>
          <w:p w:rsidR="00000000" w:rsidRDefault="00590668">
            <w:pPr>
              <w:pStyle w:val="TableText"/>
              <w:tabs>
                <w:tab w:val="decimal" w:pos="427"/>
              </w:tabs>
              <w:rPr>
                <w:sz w:val="16"/>
                <w:szCs w:val="16"/>
              </w:rPr>
            </w:pPr>
            <w:r>
              <w:rPr>
                <w:sz w:val="16"/>
                <w:szCs w:val="16"/>
              </w:rPr>
              <w:t>1</w:t>
            </w:r>
          </w:p>
        </w:tc>
        <w:tc>
          <w:tcPr>
            <w:tcW w:w="142" w:type="dxa"/>
            <w:tcBorders>
              <w:top w:val="nil"/>
              <w:left w:val="nil"/>
              <w:bottom w:val="nil"/>
              <w:right w:val="nil"/>
            </w:tcBorders>
          </w:tcPr>
          <w:p w:rsidR="00000000" w:rsidRDefault="00590668">
            <w:pPr>
              <w:pStyle w:val="TableText"/>
              <w:rPr>
                <w:sz w:val="16"/>
                <w:szCs w:val="16"/>
              </w:rPr>
            </w:pPr>
          </w:p>
        </w:tc>
        <w:tc>
          <w:tcPr>
            <w:tcW w:w="709" w:type="dxa"/>
            <w:tcBorders>
              <w:top w:val="nil"/>
              <w:left w:val="nil"/>
              <w:bottom w:val="nil"/>
              <w:right w:val="nil"/>
            </w:tcBorders>
          </w:tcPr>
          <w:p w:rsidR="00000000" w:rsidRDefault="00590668">
            <w:pPr>
              <w:pStyle w:val="TableText"/>
              <w:tabs>
                <w:tab w:val="decimal" w:pos="568"/>
              </w:tabs>
              <w:rPr>
                <w:sz w:val="16"/>
                <w:szCs w:val="16"/>
              </w:rPr>
            </w:pPr>
            <w:r>
              <w:rPr>
                <w:sz w:val="16"/>
                <w:szCs w:val="16"/>
              </w:rPr>
              <w:t>75</w:t>
            </w:r>
          </w:p>
        </w:tc>
        <w:tc>
          <w:tcPr>
            <w:tcW w:w="709" w:type="dxa"/>
            <w:gridSpan w:val="2"/>
            <w:tcBorders>
              <w:top w:val="nil"/>
              <w:left w:val="nil"/>
              <w:bottom w:val="nil"/>
              <w:right w:val="nil"/>
            </w:tcBorders>
          </w:tcPr>
          <w:p w:rsidR="00000000" w:rsidRDefault="00590668">
            <w:pPr>
              <w:pStyle w:val="TableText"/>
              <w:tabs>
                <w:tab w:val="decimal" w:pos="568"/>
              </w:tabs>
              <w:rPr>
                <w:sz w:val="16"/>
                <w:szCs w:val="16"/>
              </w:rPr>
            </w:pPr>
            <w:r>
              <w:rPr>
                <w:sz w:val="16"/>
                <w:szCs w:val="16"/>
              </w:rPr>
              <w:t>230</w:t>
            </w:r>
          </w:p>
        </w:tc>
      </w:tr>
      <w:tr w:rsidR="00000000">
        <w:tblPrEx>
          <w:tblCellMar>
            <w:top w:w="0" w:type="dxa"/>
            <w:bottom w:w="0" w:type="dxa"/>
          </w:tblCellMar>
        </w:tblPrEx>
        <w:trPr>
          <w:gridAfter w:val="3"/>
          <w:wAfter w:w="1448" w:type="dxa"/>
          <w:cantSplit/>
          <w:jc w:val="center"/>
        </w:trPr>
        <w:tc>
          <w:tcPr>
            <w:tcW w:w="1128" w:type="dxa"/>
            <w:gridSpan w:val="2"/>
            <w:tcBorders>
              <w:top w:val="nil"/>
              <w:left w:val="nil"/>
              <w:bottom w:val="nil"/>
              <w:right w:val="nil"/>
            </w:tcBorders>
          </w:tcPr>
          <w:p w:rsidR="00000000" w:rsidRDefault="00590668">
            <w:pPr>
              <w:pStyle w:val="TableText"/>
              <w:jc w:val="both"/>
              <w:rPr>
                <w:sz w:val="16"/>
                <w:szCs w:val="16"/>
              </w:rPr>
            </w:pPr>
            <w:r>
              <w:rPr>
                <w:sz w:val="16"/>
                <w:szCs w:val="16"/>
              </w:rPr>
              <w:t>Base metals</w:t>
            </w:r>
          </w:p>
        </w:tc>
        <w:tc>
          <w:tcPr>
            <w:tcW w:w="779" w:type="dxa"/>
            <w:gridSpan w:val="2"/>
            <w:tcBorders>
              <w:top w:val="nil"/>
              <w:left w:val="nil"/>
              <w:bottom w:val="nil"/>
              <w:right w:val="nil"/>
            </w:tcBorders>
          </w:tcPr>
          <w:p w:rsidR="00000000" w:rsidRDefault="00590668">
            <w:pPr>
              <w:pStyle w:val="TableText"/>
              <w:tabs>
                <w:tab w:val="decimal" w:pos="426"/>
              </w:tabs>
              <w:rPr>
                <w:sz w:val="16"/>
                <w:szCs w:val="16"/>
              </w:rPr>
            </w:pPr>
            <w:r>
              <w:rPr>
                <w:sz w:val="16"/>
                <w:szCs w:val="16"/>
              </w:rPr>
              <w:t>9</w:t>
            </w:r>
          </w:p>
        </w:tc>
        <w:tc>
          <w:tcPr>
            <w:tcW w:w="964" w:type="dxa"/>
            <w:gridSpan w:val="3"/>
            <w:tcBorders>
              <w:top w:val="nil"/>
              <w:left w:val="nil"/>
              <w:bottom w:val="nil"/>
              <w:right w:val="nil"/>
            </w:tcBorders>
          </w:tcPr>
          <w:p w:rsidR="00000000" w:rsidRDefault="00590668">
            <w:pPr>
              <w:pStyle w:val="TableText"/>
              <w:tabs>
                <w:tab w:val="decimal" w:pos="426"/>
              </w:tabs>
              <w:rPr>
                <w:sz w:val="16"/>
                <w:szCs w:val="16"/>
              </w:rPr>
            </w:pPr>
            <w:r>
              <w:rPr>
                <w:sz w:val="16"/>
                <w:szCs w:val="16"/>
              </w:rPr>
              <w:t>1</w:t>
            </w:r>
          </w:p>
        </w:tc>
        <w:tc>
          <w:tcPr>
            <w:tcW w:w="142" w:type="dxa"/>
            <w:tcBorders>
              <w:top w:val="nil"/>
              <w:left w:val="nil"/>
              <w:bottom w:val="nil"/>
              <w:right w:val="nil"/>
            </w:tcBorders>
          </w:tcPr>
          <w:p w:rsidR="00000000" w:rsidRDefault="00590668">
            <w:pPr>
              <w:pStyle w:val="TableText"/>
              <w:rPr>
                <w:sz w:val="16"/>
                <w:szCs w:val="16"/>
              </w:rPr>
            </w:pPr>
          </w:p>
        </w:tc>
        <w:tc>
          <w:tcPr>
            <w:tcW w:w="710" w:type="dxa"/>
            <w:tcBorders>
              <w:top w:val="nil"/>
              <w:left w:val="nil"/>
              <w:bottom w:val="nil"/>
              <w:right w:val="nil"/>
            </w:tcBorders>
          </w:tcPr>
          <w:p w:rsidR="00000000" w:rsidRDefault="00590668">
            <w:pPr>
              <w:pStyle w:val="TableText"/>
              <w:tabs>
                <w:tab w:val="decimal" w:pos="567"/>
              </w:tabs>
              <w:rPr>
                <w:sz w:val="16"/>
                <w:szCs w:val="16"/>
              </w:rPr>
            </w:pPr>
            <w:r>
              <w:rPr>
                <w:sz w:val="16"/>
                <w:szCs w:val="16"/>
              </w:rPr>
              <w:t>341</w:t>
            </w:r>
          </w:p>
        </w:tc>
        <w:tc>
          <w:tcPr>
            <w:tcW w:w="812" w:type="dxa"/>
            <w:gridSpan w:val="3"/>
            <w:tcBorders>
              <w:top w:val="nil"/>
              <w:left w:val="nil"/>
              <w:bottom w:val="nil"/>
              <w:right w:val="nil"/>
            </w:tcBorders>
          </w:tcPr>
          <w:p w:rsidR="00000000" w:rsidRDefault="00590668">
            <w:pPr>
              <w:pStyle w:val="TableText"/>
              <w:tabs>
                <w:tab w:val="decimal" w:pos="567"/>
              </w:tabs>
              <w:rPr>
                <w:sz w:val="16"/>
                <w:szCs w:val="16"/>
              </w:rPr>
            </w:pPr>
            <w:r>
              <w:rPr>
                <w:sz w:val="16"/>
                <w:szCs w:val="16"/>
              </w:rPr>
              <w:t>750</w:t>
            </w:r>
          </w:p>
        </w:tc>
        <w:tc>
          <w:tcPr>
            <w:tcW w:w="137" w:type="dxa"/>
            <w:tcBorders>
              <w:top w:val="nil"/>
              <w:left w:val="nil"/>
              <w:bottom w:val="nil"/>
              <w:right w:val="nil"/>
            </w:tcBorders>
          </w:tcPr>
          <w:p w:rsidR="00000000" w:rsidRDefault="00590668">
            <w:pPr>
              <w:pStyle w:val="TableText"/>
              <w:rPr>
                <w:sz w:val="16"/>
                <w:szCs w:val="16"/>
              </w:rPr>
            </w:pPr>
          </w:p>
        </w:tc>
        <w:tc>
          <w:tcPr>
            <w:tcW w:w="763" w:type="dxa"/>
            <w:tcBorders>
              <w:top w:val="nil"/>
              <w:left w:val="nil"/>
              <w:bottom w:val="nil"/>
              <w:right w:val="nil"/>
            </w:tcBorders>
          </w:tcPr>
          <w:p w:rsidR="00000000" w:rsidRDefault="00590668">
            <w:pPr>
              <w:pStyle w:val="TableText"/>
              <w:tabs>
                <w:tab w:val="decimal" w:pos="427"/>
              </w:tabs>
              <w:rPr>
                <w:sz w:val="16"/>
                <w:szCs w:val="16"/>
              </w:rPr>
            </w:pPr>
            <w:r>
              <w:rPr>
                <w:sz w:val="16"/>
                <w:szCs w:val="16"/>
              </w:rPr>
              <w:t>2</w:t>
            </w:r>
          </w:p>
        </w:tc>
        <w:tc>
          <w:tcPr>
            <w:tcW w:w="801" w:type="dxa"/>
            <w:gridSpan w:val="5"/>
            <w:tcBorders>
              <w:top w:val="nil"/>
              <w:left w:val="nil"/>
              <w:bottom w:val="nil"/>
              <w:right w:val="nil"/>
            </w:tcBorders>
          </w:tcPr>
          <w:p w:rsidR="00000000" w:rsidRDefault="00590668">
            <w:pPr>
              <w:pStyle w:val="TableText"/>
              <w:tabs>
                <w:tab w:val="decimal" w:pos="427"/>
              </w:tabs>
              <w:rPr>
                <w:sz w:val="16"/>
                <w:szCs w:val="16"/>
              </w:rPr>
            </w:pPr>
            <w:r>
              <w:rPr>
                <w:sz w:val="16"/>
                <w:szCs w:val="16"/>
              </w:rPr>
              <w:t>0</w:t>
            </w:r>
          </w:p>
        </w:tc>
        <w:tc>
          <w:tcPr>
            <w:tcW w:w="142" w:type="dxa"/>
            <w:tcBorders>
              <w:top w:val="nil"/>
              <w:left w:val="nil"/>
              <w:bottom w:val="nil"/>
              <w:right w:val="nil"/>
            </w:tcBorders>
          </w:tcPr>
          <w:p w:rsidR="00000000" w:rsidRDefault="00590668">
            <w:pPr>
              <w:pStyle w:val="TableText"/>
              <w:rPr>
                <w:sz w:val="16"/>
                <w:szCs w:val="16"/>
              </w:rPr>
            </w:pPr>
          </w:p>
        </w:tc>
        <w:tc>
          <w:tcPr>
            <w:tcW w:w="709" w:type="dxa"/>
            <w:tcBorders>
              <w:top w:val="nil"/>
              <w:left w:val="nil"/>
              <w:bottom w:val="nil"/>
              <w:right w:val="nil"/>
            </w:tcBorders>
          </w:tcPr>
          <w:p w:rsidR="00000000" w:rsidRDefault="00590668">
            <w:pPr>
              <w:pStyle w:val="TableText"/>
              <w:tabs>
                <w:tab w:val="decimal" w:pos="568"/>
              </w:tabs>
              <w:rPr>
                <w:sz w:val="16"/>
                <w:szCs w:val="16"/>
              </w:rPr>
            </w:pPr>
            <w:r>
              <w:rPr>
                <w:sz w:val="16"/>
                <w:szCs w:val="16"/>
              </w:rPr>
              <w:t>145</w:t>
            </w:r>
          </w:p>
        </w:tc>
        <w:tc>
          <w:tcPr>
            <w:tcW w:w="709" w:type="dxa"/>
            <w:gridSpan w:val="2"/>
            <w:tcBorders>
              <w:top w:val="nil"/>
              <w:left w:val="nil"/>
              <w:bottom w:val="nil"/>
              <w:right w:val="nil"/>
            </w:tcBorders>
          </w:tcPr>
          <w:p w:rsidR="00000000" w:rsidRDefault="00590668">
            <w:pPr>
              <w:pStyle w:val="TableText"/>
              <w:tabs>
                <w:tab w:val="decimal" w:pos="568"/>
              </w:tabs>
              <w:rPr>
                <w:sz w:val="16"/>
                <w:szCs w:val="16"/>
              </w:rPr>
            </w:pPr>
            <w:r>
              <w:rPr>
                <w:sz w:val="16"/>
                <w:szCs w:val="16"/>
              </w:rPr>
              <w:t>-</w:t>
            </w:r>
          </w:p>
        </w:tc>
      </w:tr>
      <w:tr w:rsidR="00000000">
        <w:tblPrEx>
          <w:tblCellMar>
            <w:top w:w="0" w:type="dxa"/>
            <w:bottom w:w="0" w:type="dxa"/>
          </w:tblCellMar>
        </w:tblPrEx>
        <w:trPr>
          <w:gridAfter w:val="3"/>
          <w:wAfter w:w="1448" w:type="dxa"/>
          <w:cantSplit/>
          <w:jc w:val="center"/>
        </w:trPr>
        <w:tc>
          <w:tcPr>
            <w:tcW w:w="1128" w:type="dxa"/>
            <w:gridSpan w:val="2"/>
            <w:tcBorders>
              <w:top w:val="nil"/>
              <w:left w:val="nil"/>
              <w:bottom w:val="nil"/>
              <w:right w:val="nil"/>
            </w:tcBorders>
          </w:tcPr>
          <w:p w:rsidR="00000000" w:rsidRDefault="00590668">
            <w:pPr>
              <w:pStyle w:val="TableText"/>
              <w:jc w:val="both"/>
              <w:rPr>
                <w:sz w:val="16"/>
                <w:szCs w:val="16"/>
              </w:rPr>
            </w:pPr>
            <w:r>
              <w:rPr>
                <w:sz w:val="16"/>
                <w:szCs w:val="16"/>
              </w:rPr>
              <w:t>Other</w:t>
            </w:r>
          </w:p>
        </w:tc>
        <w:tc>
          <w:tcPr>
            <w:tcW w:w="779" w:type="dxa"/>
            <w:gridSpan w:val="2"/>
            <w:tcBorders>
              <w:top w:val="nil"/>
              <w:left w:val="nil"/>
              <w:bottom w:val="nil"/>
              <w:right w:val="nil"/>
            </w:tcBorders>
          </w:tcPr>
          <w:p w:rsidR="00000000" w:rsidRDefault="00590668">
            <w:pPr>
              <w:pStyle w:val="TableText"/>
              <w:tabs>
                <w:tab w:val="decimal" w:pos="426"/>
              </w:tabs>
              <w:rPr>
                <w:sz w:val="16"/>
                <w:szCs w:val="16"/>
              </w:rPr>
            </w:pPr>
            <w:r>
              <w:rPr>
                <w:sz w:val="16"/>
                <w:szCs w:val="16"/>
              </w:rPr>
              <w:t>14</w:t>
            </w:r>
          </w:p>
        </w:tc>
        <w:tc>
          <w:tcPr>
            <w:tcW w:w="964" w:type="dxa"/>
            <w:gridSpan w:val="3"/>
            <w:tcBorders>
              <w:top w:val="nil"/>
              <w:left w:val="nil"/>
              <w:bottom w:val="nil"/>
              <w:right w:val="nil"/>
            </w:tcBorders>
          </w:tcPr>
          <w:p w:rsidR="00000000" w:rsidRDefault="00590668">
            <w:pPr>
              <w:pStyle w:val="TableText"/>
              <w:tabs>
                <w:tab w:val="decimal" w:pos="426"/>
              </w:tabs>
              <w:rPr>
                <w:sz w:val="16"/>
                <w:szCs w:val="16"/>
              </w:rPr>
            </w:pPr>
            <w:r>
              <w:rPr>
                <w:sz w:val="16"/>
                <w:szCs w:val="16"/>
              </w:rPr>
              <w:t>9</w:t>
            </w:r>
          </w:p>
        </w:tc>
        <w:tc>
          <w:tcPr>
            <w:tcW w:w="142" w:type="dxa"/>
            <w:tcBorders>
              <w:top w:val="nil"/>
              <w:left w:val="nil"/>
              <w:bottom w:val="nil"/>
              <w:right w:val="nil"/>
            </w:tcBorders>
          </w:tcPr>
          <w:p w:rsidR="00000000" w:rsidRDefault="00590668">
            <w:pPr>
              <w:pStyle w:val="TableText"/>
              <w:rPr>
                <w:sz w:val="16"/>
                <w:szCs w:val="16"/>
              </w:rPr>
            </w:pPr>
          </w:p>
        </w:tc>
        <w:tc>
          <w:tcPr>
            <w:tcW w:w="710" w:type="dxa"/>
            <w:tcBorders>
              <w:top w:val="nil"/>
              <w:left w:val="nil"/>
              <w:bottom w:val="nil"/>
              <w:right w:val="nil"/>
            </w:tcBorders>
          </w:tcPr>
          <w:p w:rsidR="00000000" w:rsidRDefault="00590668">
            <w:pPr>
              <w:pStyle w:val="TableText"/>
              <w:tabs>
                <w:tab w:val="decimal" w:pos="567"/>
              </w:tabs>
              <w:rPr>
                <w:sz w:val="16"/>
                <w:szCs w:val="16"/>
              </w:rPr>
            </w:pPr>
            <w:r>
              <w:rPr>
                <w:sz w:val="16"/>
                <w:szCs w:val="16"/>
              </w:rPr>
              <w:t>4,672</w:t>
            </w:r>
          </w:p>
        </w:tc>
        <w:tc>
          <w:tcPr>
            <w:tcW w:w="812" w:type="dxa"/>
            <w:gridSpan w:val="3"/>
            <w:tcBorders>
              <w:top w:val="nil"/>
              <w:left w:val="nil"/>
              <w:bottom w:val="nil"/>
              <w:right w:val="nil"/>
            </w:tcBorders>
          </w:tcPr>
          <w:p w:rsidR="00000000" w:rsidRDefault="00590668">
            <w:pPr>
              <w:pStyle w:val="TableText"/>
              <w:tabs>
                <w:tab w:val="decimal" w:pos="567"/>
              </w:tabs>
              <w:rPr>
                <w:sz w:val="16"/>
                <w:szCs w:val="16"/>
              </w:rPr>
            </w:pPr>
            <w:r>
              <w:rPr>
                <w:sz w:val="16"/>
                <w:szCs w:val="16"/>
              </w:rPr>
              <w:t>787</w:t>
            </w:r>
          </w:p>
        </w:tc>
        <w:tc>
          <w:tcPr>
            <w:tcW w:w="137" w:type="dxa"/>
            <w:tcBorders>
              <w:top w:val="nil"/>
              <w:left w:val="nil"/>
              <w:bottom w:val="nil"/>
              <w:right w:val="nil"/>
            </w:tcBorders>
          </w:tcPr>
          <w:p w:rsidR="00000000" w:rsidRDefault="00590668">
            <w:pPr>
              <w:pStyle w:val="TableText"/>
              <w:rPr>
                <w:sz w:val="16"/>
                <w:szCs w:val="16"/>
              </w:rPr>
            </w:pPr>
          </w:p>
        </w:tc>
        <w:tc>
          <w:tcPr>
            <w:tcW w:w="763" w:type="dxa"/>
            <w:tcBorders>
              <w:top w:val="nil"/>
              <w:left w:val="nil"/>
              <w:bottom w:val="nil"/>
              <w:right w:val="nil"/>
            </w:tcBorders>
          </w:tcPr>
          <w:p w:rsidR="00000000" w:rsidRDefault="00590668">
            <w:pPr>
              <w:pStyle w:val="TableText"/>
              <w:tabs>
                <w:tab w:val="decimal" w:pos="427"/>
              </w:tabs>
              <w:rPr>
                <w:sz w:val="16"/>
                <w:szCs w:val="16"/>
              </w:rPr>
            </w:pPr>
            <w:r>
              <w:rPr>
                <w:sz w:val="16"/>
                <w:szCs w:val="16"/>
              </w:rPr>
              <w:t>2</w:t>
            </w:r>
          </w:p>
        </w:tc>
        <w:tc>
          <w:tcPr>
            <w:tcW w:w="801" w:type="dxa"/>
            <w:gridSpan w:val="5"/>
            <w:tcBorders>
              <w:top w:val="nil"/>
              <w:left w:val="nil"/>
              <w:bottom w:val="nil"/>
              <w:right w:val="nil"/>
            </w:tcBorders>
          </w:tcPr>
          <w:p w:rsidR="00000000" w:rsidRDefault="00590668">
            <w:pPr>
              <w:pStyle w:val="TableText"/>
              <w:tabs>
                <w:tab w:val="decimal" w:pos="427"/>
              </w:tabs>
              <w:rPr>
                <w:sz w:val="16"/>
                <w:szCs w:val="16"/>
              </w:rPr>
            </w:pPr>
            <w:r>
              <w:rPr>
                <w:sz w:val="16"/>
                <w:szCs w:val="16"/>
              </w:rPr>
              <w:t>1</w:t>
            </w:r>
          </w:p>
        </w:tc>
        <w:tc>
          <w:tcPr>
            <w:tcW w:w="142" w:type="dxa"/>
            <w:tcBorders>
              <w:top w:val="nil"/>
              <w:left w:val="nil"/>
              <w:bottom w:val="nil"/>
              <w:right w:val="nil"/>
            </w:tcBorders>
          </w:tcPr>
          <w:p w:rsidR="00000000" w:rsidRDefault="00590668">
            <w:pPr>
              <w:pStyle w:val="TableText"/>
              <w:rPr>
                <w:sz w:val="16"/>
                <w:szCs w:val="16"/>
              </w:rPr>
            </w:pPr>
          </w:p>
        </w:tc>
        <w:tc>
          <w:tcPr>
            <w:tcW w:w="709" w:type="dxa"/>
            <w:tcBorders>
              <w:top w:val="nil"/>
              <w:left w:val="nil"/>
              <w:bottom w:val="nil"/>
              <w:right w:val="nil"/>
            </w:tcBorders>
          </w:tcPr>
          <w:p w:rsidR="00000000" w:rsidRDefault="00590668">
            <w:pPr>
              <w:pStyle w:val="TableText"/>
              <w:tabs>
                <w:tab w:val="decimal" w:pos="568"/>
              </w:tabs>
              <w:rPr>
                <w:sz w:val="16"/>
                <w:szCs w:val="16"/>
              </w:rPr>
            </w:pPr>
            <w:r>
              <w:rPr>
                <w:sz w:val="16"/>
                <w:szCs w:val="16"/>
              </w:rPr>
              <w:t>10</w:t>
            </w:r>
          </w:p>
        </w:tc>
        <w:tc>
          <w:tcPr>
            <w:tcW w:w="709" w:type="dxa"/>
            <w:gridSpan w:val="2"/>
            <w:tcBorders>
              <w:top w:val="nil"/>
              <w:left w:val="nil"/>
              <w:bottom w:val="nil"/>
              <w:right w:val="nil"/>
            </w:tcBorders>
          </w:tcPr>
          <w:p w:rsidR="00000000" w:rsidRDefault="00590668">
            <w:pPr>
              <w:pStyle w:val="TableText"/>
              <w:tabs>
                <w:tab w:val="decimal" w:pos="568"/>
              </w:tabs>
              <w:rPr>
                <w:sz w:val="16"/>
                <w:szCs w:val="16"/>
              </w:rPr>
            </w:pPr>
            <w:r>
              <w:rPr>
                <w:sz w:val="16"/>
                <w:szCs w:val="16"/>
              </w:rPr>
              <w:t>1,000</w:t>
            </w:r>
          </w:p>
        </w:tc>
      </w:tr>
      <w:tr w:rsidR="00000000">
        <w:tblPrEx>
          <w:tblCellMar>
            <w:top w:w="0" w:type="dxa"/>
            <w:bottom w:w="0" w:type="dxa"/>
          </w:tblCellMar>
        </w:tblPrEx>
        <w:trPr>
          <w:gridAfter w:val="3"/>
          <w:wAfter w:w="1448" w:type="dxa"/>
          <w:cantSplit/>
          <w:trHeight w:hRule="exact" w:val="60"/>
          <w:jc w:val="center"/>
        </w:trPr>
        <w:tc>
          <w:tcPr>
            <w:tcW w:w="7796" w:type="dxa"/>
            <w:gridSpan w:val="23"/>
            <w:tcBorders>
              <w:top w:val="nil"/>
              <w:left w:val="nil"/>
              <w:bottom w:val="single" w:sz="2" w:space="0" w:color="000000"/>
              <w:right w:val="nil"/>
            </w:tcBorders>
          </w:tcPr>
          <w:p w:rsidR="00000000" w:rsidRDefault="00590668">
            <w:pPr>
              <w:pStyle w:val="TableText"/>
              <w:tabs>
                <w:tab w:val="decimal" w:pos="567"/>
              </w:tabs>
              <w:rPr>
                <w:sz w:val="16"/>
                <w:szCs w:val="16"/>
              </w:rPr>
            </w:pPr>
          </w:p>
        </w:tc>
      </w:tr>
      <w:tr w:rsidR="00000000">
        <w:tblPrEx>
          <w:tblCellMar>
            <w:top w:w="0" w:type="dxa"/>
            <w:bottom w:w="0" w:type="dxa"/>
          </w:tblCellMar>
        </w:tblPrEx>
        <w:trPr>
          <w:gridAfter w:val="3"/>
          <w:wAfter w:w="1448" w:type="dxa"/>
          <w:cantSplit/>
          <w:jc w:val="center"/>
        </w:trPr>
        <w:tc>
          <w:tcPr>
            <w:tcW w:w="1128" w:type="dxa"/>
            <w:gridSpan w:val="2"/>
            <w:tcBorders>
              <w:top w:val="single" w:sz="2" w:space="0" w:color="000000"/>
              <w:left w:val="nil"/>
              <w:bottom w:val="single" w:sz="2" w:space="0" w:color="000000"/>
              <w:right w:val="nil"/>
            </w:tcBorders>
          </w:tcPr>
          <w:p w:rsidR="00000000" w:rsidRDefault="00590668">
            <w:pPr>
              <w:pStyle w:val="TableText"/>
              <w:jc w:val="both"/>
              <w:rPr>
                <w:b/>
                <w:bCs/>
                <w:sz w:val="16"/>
                <w:szCs w:val="16"/>
              </w:rPr>
            </w:pPr>
            <w:r>
              <w:rPr>
                <w:b/>
                <w:bCs/>
                <w:sz w:val="16"/>
                <w:szCs w:val="16"/>
              </w:rPr>
              <w:t>Total</w:t>
            </w:r>
          </w:p>
        </w:tc>
        <w:tc>
          <w:tcPr>
            <w:tcW w:w="779" w:type="dxa"/>
            <w:gridSpan w:val="2"/>
            <w:tcBorders>
              <w:top w:val="single" w:sz="2" w:space="0" w:color="000000"/>
              <w:left w:val="nil"/>
              <w:bottom w:val="single" w:sz="2" w:space="0" w:color="000000"/>
              <w:right w:val="nil"/>
            </w:tcBorders>
          </w:tcPr>
          <w:p w:rsidR="00000000" w:rsidRDefault="00590668">
            <w:pPr>
              <w:pStyle w:val="TableText"/>
              <w:tabs>
                <w:tab w:val="decimal" w:pos="426"/>
              </w:tabs>
              <w:rPr>
                <w:b/>
                <w:bCs/>
                <w:sz w:val="16"/>
                <w:szCs w:val="16"/>
              </w:rPr>
            </w:pPr>
            <w:r>
              <w:rPr>
                <w:b/>
                <w:bCs/>
                <w:sz w:val="16"/>
                <w:szCs w:val="16"/>
              </w:rPr>
              <w:t>69</w:t>
            </w:r>
          </w:p>
        </w:tc>
        <w:tc>
          <w:tcPr>
            <w:tcW w:w="964" w:type="dxa"/>
            <w:gridSpan w:val="3"/>
            <w:tcBorders>
              <w:top w:val="single" w:sz="2" w:space="0" w:color="000000"/>
              <w:left w:val="nil"/>
              <w:bottom w:val="single" w:sz="2" w:space="0" w:color="000000"/>
              <w:right w:val="nil"/>
            </w:tcBorders>
          </w:tcPr>
          <w:p w:rsidR="00000000" w:rsidRDefault="00590668">
            <w:pPr>
              <w:pStyle w:val="TableText"/>
              <w:tabs>
                <w:tab w:val="decimal" w:pos="426"/>
              </w:tabs>
              <w:rPr>
                <w:b/>
                <w:bCs/>
                <w:sz w:val="16"/>
                <w:szCs w:val="16"/>
              </w:rPr>
            </w:pPr>
            <w:r>
              <w:rPr>
                <w:b/>
                <w:bCs/>
                <w:sz w:val="16"/>
                <w:szCs w:val="16"/>
              </w:rPr>
              <w:t>44</w:t>
            </w:r>
          </w:p>
        </w:tc>
        <w:tc>
          <w:tcPr>
            <w:tcW w:w="142" w:type="dxa"/>
            <w:tcBorders>
              <w:top w:val="single" w:sz="2" w:space="0" w:color="000000"/>
              <w:left w:val="nil"/>
              <w:bottom w:val="single" w:sz="2" w:space="0" w:color="000000"/>
              <w:right w:val="nil"/>
            </w:tcBorders>
          </w:tcPr>
          <w:p w:rsidR="00000000" w:rsidRDefault="00590668">
            <w:pPr>
              <w:pStyle w:val="TableText"/>
              <w:rPr>
                <w:b/>
                <w:bCs/>
                <w:sz w:val="16"/>
                <w:szCs w:val="16"/>
              </w:rPr>
            </w:pPr>
          </w:p>
        </w:tc>
        <w:tc>
          <w:tcPr>
            <w:tcW w:w="710" w:type="dxa"/>
            <w:tcBorders>
              <w:top w:val="single" w:sz="2" w:space="0" w:color="000000"/>
              <w:left w:val="nil"/>
              <w:bottom w:val="single" w:sz="2" w:space="0" w:color="000000"/>
              <w:right w:val="nil"/>
            </w:tcBorders>
          </w:tcPr>
          <w:p w:rsidR="00000000" w:rsidRDefault="00590668">
            <w:pPr>
              <w:pStyle w:val="TableText"/>
              <w:tabs>
                <w:tab w:val="decimal" w:pos="567"/>
              </w:tabs>
              <w:rPr>
                <w:b/>
                <w:bCs/>
                <w:sz w:val="16"/>
                <w:szCs w:val="16"/>
              </w:rPr>
            </w:pPr>
            <w:r>
              <w:rPr>
                <w:b/>
                <w:bCs/>
                <w:sz w:val="16"/>
                <w:szCs w:val="16"/>
              </w:rPr>
              <w:t>21,655</w:t>
            </w:r>
          </w:p>
        </w:tc>
        <w:tc>
          <w:tcPr>
            <w:tcW w:w="812" w:type="dxa"/>
            <w:gridSpan w:val="3"/>
            <w:tcBorders>
              <w:top w:val="single" w:sz="2" w:space="0" w:color="000000"/>
              <w:left w:val="nil"/>
              <w:bottom w:val="single" w:sz="2" w:space="0" w:color="000000"/>
              <w:right w:val="nil"/>
            </w:tcBorders>
          </w:tcPr>
          <w:p w:rsidR="00000000" w:rsidRDefault="00590668">
            <w:pPr>
              <w:pStyle w:val="TableText"/>
              <w:tabs>
                <w:tab w:val="decimal" w:pos="567"/>
              </w:tabs>
              <w:rPr>
                <w:b/>
                <w:bCs/>
                <w:sz w:val="16"/>
                <w:szCs w:val="16"/>
              </w:rPr>
            </w:pPr>
            <w:r>
              <w:rPr>
                <w:b/>
                <w:bCs/>
                <w:sz w:val="16"/>
                <w:szCs w:val="16"/>
              </w:rPr>
              <w:t>17,808</w:t>
            </w:r>
          </w:p>
        </w:tc>
        <w:tc>
          <w:tcPr>
            <w:tcW w:w="137" w:type="dxa"/>
            <w:tcBorders>
              <w:top w:val="single" w:sz="2" w:space="0" w:color="000000"/>
              <w:left w:val="nil"/>
              <w:bottom w:val="single" w:sz="2" w:space="0" w:color="000000"/>
              <w:right w:val="nil"/>
            </w:tcBorders>
          </w:tcPr>
          <w:p w:rsidR="00000000" w:rsidRDefault="00590668">
            <w:pPr>
              <w:pStyle w:val="TableText"/>
              <w:rPr>
                <w:b/>
                <w:bCs/>
                <w:sz w:val="16"/>
                <w:szCs w:val="16"/>
              </w:rPr>
            </w:pPr>
          </w:p>
        </w:tc>
        <w:tc>
          <w:tcPr>
            <w:tcW w:w="763" w:type="dxa"/>
            <w:tcBorders>
              <w:top w:val="single" w:sz="2" w:space="0" w:color="000000"/>
              <w:left w:val="nil"/>
              <w:bottom w:val="single" w:sz="2" w:space="0" w:color="000000"/>
              <w:right w:val="nil"/>
            </w:tcBorders>
          </w:tcPr>
          <w:p w:rsidR="00000000" w:rsidRDefault="00590668">
            <w:pPr>
              <w:pStyle w:val="TableText"/>
              <w:tabs>
                <w:tab w:val="decimal" w:pos="426"/>
              </w:tabs>
              <w:rPr>
                <w:b/>
                <w:bCs/>
                <w:sz w:val="16"/>
                <w:szCs w:val="16"/>
              </w:rPr>
            </w:pPr>
            <w:r>
              <w:rPr>
                <w:b/>
                <w:bCs/>
                <w:sz w:val="16"/>
                <w:szCs w:val="16"/>
              </w:rPr>
              <w:t>6</w:t>
            </w:r>
          </w:p>
        </w:tc>
        <w:tc>
          <w:tcPr>
            <w:tcW w:w="801" w:type="dxa"/>
            <w:gridSpan w:val="5"/>
            <w:tcBorders>
              <w:top w:val="single" w:sz="2" w:space="0" w:color="000000"/>
              <w:left w:val="nil"/>
              <w:bottom w:val="single" w:sz="2" w:space="0" w:color="000000"/>
              <w:right w:val="nil"/>
            </w:tcBorders>
          </w:tcPr>
          <w:p w:rsidR="00000000" w:rsidRDefault="00590668">
            <w:pPr>
              <w:pStyle w:val="TableText"/>
              <w:tabs>
                <w:tab w:val="decimal" w:pos="426"/>
              </w:tabs>
              <w:rPr>
                <w:b/>
                <w:bCs/>
                <w:sz w:val="16"/>
                <w:szCs w:val="16"/>
              </w:rPr>
            </w:pPr>
            <w:r>
              <w:rPr>
                <w:b/>
                <w:bCs/>
                <w:sz w:val="16"/>
                <w:szCs w:val="16"/>
              </w:rPr>
              <w:t>5</w:t>
            </w:r>
          </w:p>
        </w:tc>
        <w:tc>
          <w:tcPr>
            <w:tcW w:w="142" w:type="dxa"/>
            <w:tcBorders>
              <w:top w:val="single" w:sz="2" w:space="0" w:color="000000"/>
              <w:left w:val="nil"/>
              <w:bottom w:val="single" w:sz="2" w:space="0" w:color="000000"/>
              <w:right w:val="nil"/>
            </w:tcBorders>
          </w:tcPr>
          <w:p w:rsidR="00000000" w:rsidRDefault="00590668">
            <w:pPr>
              <w:pStyle w:val="TableText"/>
              <w:rPr>
                <w:b/>
                <w:bCs/>
                <w:sz w:val="16"/>
                <w:szCs w:val="16"/>
              </w:rPr>
            </w:pPr>
          </w:p>
        </w:tc>
        <w:tc>
          <w:tcPr>
            <w:tcW w:w="709" w:type="dxa"/>
            <w:tcBorders>
              <w:top w:val="single" w:sz="2" w:space="0" w:color="000000"/>
              <w:left w:val="nil"/>
              <w:bottom w:val="single" w:sz="2" w:space="0" w:color="000000"/>
              <w:right w:val="nil"/>
            </w:tcBorders>
          </w:tcPr>
          <w:p w:rsidR="00000000" w:rsidRDefault="00590668">
            <w:pPr>
              <w:pStyle w:val="TableText"/>
              <w:tabs>
                <w:tab w:val="decimal" w:pos="567"/>
              </w:tabs>
              <w:rPr>
                <w:b/>
                <w:bCs/>
                <w:sz w:val="16"/>
                <w:szCs w:val="16"/>
              </w:rPr>
            </w:pPr>
            <w:r>
              <w:rPr>
                <w:b/>
                <w:bCs/>
                <w:sz w:val="16"/>
                <w:szCs w:val="16"/>
              </w:rPr>
              <w:t>435</w:t>
            </w:r>
          </w:p>
        </w:tc>
        <w:tc>
          <w:tcPr>
            <w:tcW w:w="709" w:type="dxa"/>
            <w:gridSpan w:val="2"/>
            <w:tcBorders>
              <w:top w:val="single" w:sz="2" w:space="0" w:color="000000"/>
              <w:left w:val="nil"/>
              <w:bottom w:val="single" w:sz="2" w:space="0" w:color="000000"/>
              <w:right w:val="nil"/>
            </w:tcBorders>
          </w:tcPr>
          <w:p w:rsidR="00000000" w:rsidRDefault="00590668">
            <w:pPr>
              <w:pStyle w:val="TableText"/>
              <w:tabs>
                <w:tab w:val="decimal" w:pos="567"/>
              </w:tabs>
              <w:rPr>
                <w:b/>
                <w:bCs/>
                <w:sz w:val="16"/>
                <w:szCs w:val="16"/>
              </w:rPr>
            </w:pPr>
            <w:r>
              <w:rPr>
                <w:b/>
                <w:bCs/>
                <w:sz w:val="16"/>
                <w:szCs w:val="16"/>
              </w:rPr>
              <w:t>1,296</w:t>
            </w:r>
          </w:p>
        </w:tc>
      </w:tr>
    </w:tbl>
    <w:p w:rsidR="00000000" w:rsidRDefault="00590668"/>
    <w:p w:rsidR="00000000" w:rsidRDefault="00590668">
      <w:pPr>
        <w:pStyle w:val="Heading3"/>
      </w:pPr>
      <w:r>
        <w:t>Resource processing</w:t>
      </w:r>
    </w:p>
    <w:p w:rsidR="00000000" w:rsidRDefault="00590668">
      <w:r>
        <w:rPr>
          <w:snapToGrid w:val="0"/>
          <w:lang w:val="en-US"/>
        </w:rPr>
        <w:t>There were 12 approvals in the resource</w:t>
      </w:r>
      <w:r>
        <w:rPr>
          <w:snapToGrid w:val="0"/>
          <w:lang w:val="en-US"/>
        </w:rPr>
        <w:noBreakHyphen/>
        <w:t>processing sector during 2001</w:t>
      </w:r>
      <w:r>
        <w:rPr>
          <w:snapToGrid w:val="0"/>
          <w:lang w:val="en-US"/>
        </w:rPr>
        <w:noBreakHyphen/>
        <w:t>02, with a total proposed investment of $4.8 billion. In 2000</w:t>
      </w:r>
      <w:r>
        <w:rPr>
          <w:snapToGrid w:val="0"/>
          <w:lang w:val="en-US"/>
        </w:rPr>
        <w:noBreakHyphen/>
        <w:t>01 there were 7 approvals with a value of $0.9 </w:t>
      </w:r>
      <w:r>
        <w:rPr>
          <w:snapToGrid w:val="0"/>
          <w:lang w:val="en-US"/>
        </w:rPr>
        <w:t>billion. One of the largest proposals in 2001</w:t>
      </w:r>
      <w:r>
        <w:rPr>
          <w:snapToGrid w:val="0"/>
          <w:lang w:val="en-US"/>
        </w:rPr>
        <w:noBreakHyphen/>
        <w:t>02 was the overseas takeover of the German company V</w:t>
      </w:r>
      <w:r>
        <w:t>AW Aluminium AG by Norwegian company, Norsk Hydro ASA. The takeover resulted in Norsk Hydro ASA acquiring Australian assets including the Kurri Kurri Aluminiu</w:t>
      </w:r>
      <w:r>
        <w:t xml:space="preserve">m smelter and an interest in the Tomago Aluminium Project. In total, these Australian assets were valued at around $800 million. </w:t>
      </w:r>
    </w:p>
    <w:p w:rsidR="00000000" w:rsidRDefault="00590668">
      <w:pPr>
        <w:pStyle w:val="Heading3"/>
      </w:pPr>
      <w:r>
        <w:t>Service industries (excluding tourism)</w:t>
      </w:r>
    </w:p>
    <w:p w:rsidR="00000000" w:rsidRDefault="00590668">
      <w:r>
        <w:t>During 2001</w:t>
      </w:r>
      <w:r>
        <w:noBreakHyphen/>
        <w:t>02, there were 90 proposals approved for investment in the service industri</w:t>
      </w:r>
      <w:r>
        <w:t>es sector (excluding tourism), comprising seven proposals to establish new businesses and 83 proposed acquisitions of interests in existing businesses. The total, proposed investment for the establishment of new businesses and existing businesses was $49 b</w:t>
      </w:r>
      <w:r>
        <w:t>illion.</w:t>
      </w:r>
    </w:p>
    <w:p w:rsidR="00000000" w:rsidRDefault="00590668">
      <w:r>
        <w:lastRenderedPageBreak/>
        <w:t>There were 27 proposals involving investment of over $100 million, of these, eight were for more than $1 billion.</w:t>
      </w:r>
    </w:p>
    <w:p w:rsidR="00000000" w:rsidRDefault="00590668">
      <w:pPr>
        <w:rPr>
          <w:highlight w:val="yellow"/>
        </w:rPr>
      </w:pPr>
      <w:r>
        <w:t>The largest proposal by value in the communications industry was the acquisition of Cable &amp; Wireless Optus Ltd by Singapore Telecommunications Ltd for a consideration of $14 billion. The acquisition of the Sydney Airport by Southern Cross Airports Corporat</w:t>
      </w:r>
      <w:r>
        <w:t>ion Pty Ltd for a consideration of $5.6 billion was also a notable acquisition. The merger of Brambles Industries Plc and Brambles Industries Limited and the establishment of a dual listed company now know as Brambles Industries also occurred in 2001</w:t>
      </w:r>
      <w:r>
        <w:noBreakHyphen/>
        <w:t>02.</w:t>
      </w:r>
    </w:p>
    <w:p w:rsidR="00000000" w:rsidRDefault="00590668">
      <w:pPr>
        <w:pStyle w:val="Heading3"/>
      </w:pPr>
      <w:r>
        <w:t>T</w:t>
      </w:r>
      <w:r>
        <w:t>ourism</w:t>
      </w:r>
    </w:p>
    <w:p w:rsidR="00000000" w:rsidRDefault="00590668">
      <w:pPr>
        <w:rPr>
          <w:highlight w:val="yellow"/>
        </w:rPr>
      </w:pPr>
      <w:r>
        <w:t>There was an increase, from $800 million in 2000</w:t>
      </w:r>
      <w:r>
        <w:noBreakHyphen/>
        <w:t>01 to $950 million in 2001</w:t>
      </w:r>
      <w:r>
        <w:noBreakHyphen/>
        <w:t>02, in proposed investment in the tourism sector. Of the 46 proposals approved in this sector, 3 involved proposed investment in excess of $100 million.</w:t>
      </w:r>
    </w:p>
    <w:p w:rsidR="00000000" w:rsidRDefault="00590668">
      <w:pPr>
        <w:pStyle w:val="Heading3"/>
      </w:pPr>
      <w:r>
        <w:t>Urban real estate</w:t>
      </w:r>
    </w:p>
    <w:p w:rsidR="00000000" w:rsidRDefault="00590668">
      <w:r>
        <w:t>Ur</w:t>
      </w:r>
      <w:r>
        <w:t xml:space="preserve">ban land is defined under the </w:t>
      </w:r>
      <w:r>
        <w:rPr>
          <w:rStyle w:val="NormalItalic"/>
        </w:rPr>
        <w:t>Foreign Acquisitions and Takeovers Act 1975</w:t>
      </w:r>
      <w:r>
        <w:t xml:space="preserve"> to be all land that is not used wholly and exclusively for carrying on a business of primary production. Reflecting concerns over foreign ownership of urban land, the policy in relat</w:t>
      </w:r>
      <w:r>
        <w:t>ion to this sector is restrictive. As a result, all proposals relating to urban real estate need to be submitted for examination, unless explicitly exempted by regulation (see Appendix A).</w:t>
      </w:r>
    </w:p>
    <w:p w:rsidR="00000000" w:rsidRDefault="00590668">
      <w:pPr>
        <w:rPr>
          <w:highlight w:val="yellow"/>
        </w:rPr>
      </w:pPr>
      <w:r>
        <w:t>Table 2.4</w:t>
      </w:r>
      <w:r>
        <w:rPr>
          <w:b/>
          <w:bCs/>
        </w:rPr>
        <w:t xml:space="preserve"> </w:t>
      </w:r>
      <w:r>
        <w:t>gives a breakdown of approved investments in urban real e</w:t>
      </w:r>
      <w:r>
        <w:t>state. The number of approvals rose from 2,810 in 2000-2001 to 4,043 in 2001</w:t>
      </w:r>
      <w:r>
        <w:noBreakHyphen/>
        <w:t>02. Total proposed investment associated with these proposals rose from $12.7 billion in 2000</w:t>
      </w:r>
      <w:r>
        <w:noBreakHyphen/>
        <w:t>01 to $14.1 billion in 2001</w:t>
      </w:r>
      <w:r>
        <w:noBreakHyphen/>
        <w:t>02, reflecting higher levels of investment in development</w:t>
      </w:r>
      <w:r>
        <w:t>s.</w:t>
      </w:r>
    </w:p>
    <w:p w:rsidR="00000000" w:rsidRDefault="00590668">
      <w:pPr>
        <w:pStyle w:val="TableHeading"/>
        <w:numPr>
          <w:ilvl w:val="0"/>
          <w:numId w:val="0"/>
        </w:numPr>
        <w:spacing w:before="240" w:after="0"/>
      </w:pPr>
      <w:r>
        <w:lastRenderedPageBreak/>
        <w:t>Table 2.4:  Investment in urban real estate by type and number of proposals approved in 2001</w:t>
      </w:r>
      <w:r>
        <w:noBreakHyphen/>
        <w:t>02 ($ billion)</w:t>
      </w:r>
    </w:p>
    <w:p w:rsidR="00000000" w:rsidRDefault="00590668">
      <w:pPr>
        <w:pStyle w:val="Graphic"/>
        <w:tabs>
          <w:tab w:val="left" w:pos="7797"/>
        </w:tabs>
        <w:spacing w:after="0"/>
        <w:ind w:right="-85"/>
        <w:jc w:val="left"/>
      </w:pPr>
      <w:r>
        <w:rPr>
          <w:noProof/>
        </w:rPr>
        <w:object w:dxaOrig="7574" w:dyaOrig="4757">
          <v:shape id="_x0000_i1032" type="#_x0000_t75" style="width:378.75pt;height:237.75pt" o:ole="" fillcolor="window">
            <v:imagedata r:id="rId48" o:title=""/>
          </v:shape>
          <o:OLEObject Type="Link" ProgID="Excel.Sheet.8" ShapeID="_x0000_i1032" DrawAspect="Content" r:id="rId49" UpdateMode="Always">
            <o:LinkType>Picture</o:LinkType>
            <o:LockedField>false</o:LockedField>
          </o:OLEObject>
        </w:object>
      </w:r>
    </w:p>
    <w:p w:rsidR="00000000" w:rsidRDefault="00590668">
      <w:pPr>
        <w:pStyle w:val="Note"/>
        <w:spacing w:after="0"/>
      </w:pPr>
      <w:r>
        <w:t>Note:  Totals may not add due to rounding.</w:t>
      </w:r>
    </w:p>
    <w:p w:rsidR="00000000" w:rsidRDefault="00590668">
      <w:pPr>
        <w:pStyle w:val="Note"/>
        <w:spacing w:after="0"/>
      </w:pPr>
      <w:r>
        <w:rPr>
          <w:b/>
          <w:bCs/>
        </w:rPr>
        <w:t>‘..’</w:t>
      </w:r>
      <w:r>
        <w:tab/>
        <w:t>indicates an investment figure of less than $50 million.</w:t>
      </w:r>
    </w:p>
    <w:p w:rsidR="00000000" w:rsidRDefault="00590668">
      <w:pPr>
        <w:pStyle w:val="Heading4"/>
        <w:spacing w:before="240"/>
      </w:pPr>
      <w:r>
        <w:t>Real estate for development</w:t>
      </w:r>
    </w:p>
    <w:p w:rsidR="00000000" w:rsidRDefault="00590668">
      <w:r>
        <w:t>During 2001</w:t>
      </w:r>
      <w:r>
        <w:noBreakHyphen/>
        <w:t>02, there were 2036 proposals approved</w:t>
      </w:r>
      <w:r>
        <w:t xml:space="preserve"> for the acquisition of residential real estate for development (including eligible redevelopment), an increase from the 1416 proposals approved in 2000</w:t>
      </w:r>
      <w:r>
        <w:noBreakHyphen/>
        <w:t>01. Proposed development expenditure also increased from $1 billion to around $2 billion in 2001</w:t>
      </w:r>
      <w:r>
        <w:noBreakHyphen/>
        <w:t>02. As</w:t>
      </w:r>
      <w:r>
        <w:t xml:space="preserve"> a consequence of changes in the Government’s foreign investment policy applying from September 1999, the acquisition of house and land packages, where construction has not commenced, are treated as vacant land for development rather than under the ‘off th</w:t>
      </w:r>
      <w:r>
        <w:t>e plan’ category.</w:t>
      </w:r>
    </w:p>
    <w:p w:rsidR="00000000" w:rsidRDefault="00590668">
      <w:r>
        <w:rPr>
          <w:rStyle w:val="NormalBold"/>
        </w:rPr>
        <w:t>Ordinary approvals</w:t>
      </w:r>
      <w:r>
        <w:t xml:space="preserve"> comprise the purchase of broadacres for residential subdivision and vacant building blocks for single dwelling construction and for integrated residential developments (such as townhouse and high rise units). Some 1180 </w:t>
      </w:r>
      <w:r>
        <w:t>proposals (676 in 2000-2001) by foreign interests to acquire residential real estate for development were approved in 2001</w:t>
      </w:r>
      <w:r>
        <w:noBreakHyphen/>
        <w:t>02, with a total proposed investment of $2.8 billion ($1.2 billion 2000</w:t>
      </w:r>
      <w:r>
        <w:noBreakHyphen/>
        <w:t>01). Such approvals have a condition that continuous developm</w:t>
      </w:r>
      <w:r>
        <w:t xml:space="preserve">ent must commence on the land/site within 12 months of approval. In addition, the parties are required to report on the completion of development to demonstrate compliance with the development condition. The Government views seriously any breaches of </w:t>
      </w:r>
      <w:r>
        <w:lastRenderedPageBreak/>
        <w:t>these</w:t>
      </w:r>
      <w:r>
        <w:t xml:space="preserve"> development conditions (see section on Residential Real Estate Compliance).</w:t>
      </w:r>
    </w:p>
    <w:p w:rsidR="00000000" w:rsidRDefault="00590668">
      <w:r>
        <w:t>In 2001</w:t>
      </w:r>
      <w:r>
        <w:noBreakHyphen/>
        <w:t xml:space="preserve">02, 567 proposals from individuals were approved under the </w:t>
      </w:r>
      <w:r>
        <w:rPr>
          <w:rStyle w:val="NormalBold"/>
        </w:rPr>
        <w:t>‘off the plan arrangements’</w:t>
      </w:r>
      <w:r>
        <w:t>, involving proposed investment of around $200 million. In addition, there were 284 a</w:t>
      </w:r>
      <w:r>
        <w:t>pplications approved from real estate developers seeking ‘advance approval’ to sell property ‘off the plan’ to foreign persons (compared with 229 in the previous year). The value of such developments rose from $3.1 billion to $5.7 billion.</w:t>
      </w:r>
    </w:p>
    <w:p w:rsidR="00000000" w:rsidRDefault="00590668">
      <w:r>
        <w:t>Certain points s</w:t>
      </w:r>
      <w:r>
        <w:t>hould be noted in relation to the Board’s statistics dealing with ‘off the plan’ applications. First, the Board’s figures overstate the likely extent of foreign purchases as few developers with ‘off the plan’ approvals will sell 50 per cent of their develo</w:t>
      </w:r>
      <w:r>
        <w:t>pments to foreign purchasers. (There is necessarily a significant lag between the granting of approvals and receipt of reports due to construction time and completion of sales).</w:t>
      </w:r>
    </w:p>
    <w:p w:rsidR="00000000" w:rsidRDefault="00590668">
      <w:r>
        <w:t>Secondly, the ‘off the plan’ category has zero proposed development expenditur</w:t>
      </w:r>
      <w:r>
        <w:t>e recorded against it. In the case of ‘individual off the plan’ the consideration relates to the proposed amount payable by foreign interests for newly completed dwellings.</w:t>
      </w:r>
    </w:p>
    <w:p w:rsidR="00000000" w:rsidRDefault="00590668">
      <w:r>
        <w:t xml:space="preserve">The </w:t>
      </w:r>
      <w:r>
        <w:rPr>
          <w:rStyle w:val="NormalBold"/>
        </w:rPr>
        <w:t>annual program</w:t>
      </w:r>
      <w:r>
        <w:t xml:space="preserve"> arrangements are designed to avoid the need for established deve</w:t>
      </w:r>
      <w:r>
        <w:t>lopers to notify individual acquisitions of property. Such developers may be granted annual approvals to buy land up to specified limits on condition that they report to the Board at the end of the year on their acquisitions and the developments undertaken</w:t>
      </w:r>
      <w:r>
        <w:t>. The granting of an annual program for acquisitions of land for development does not relieve the developer of responsibility for complying with the general requirements of foreign investment policy. For example, additional investment in relation to acquis</w:t>
      </w:r>
      <w:r>
        <w:t>itions of existing businesses, or for the establishment of new businesses with total investment of $10 million or more, or acquisitions of heritage listed properties would require an additional application, separately submitted to the Board for examination</w:t>
      </w:r>
      <w:r>
        <w:t>. In 2001</w:t>
      </w:r>
      <w:r>
        <w:noBreakHyphen/>
        <w:t>02, 4 annual programs were approved. These arrangements involved residential and commercial real estate for development totalling broadly $100 million in proposed acquisition costs.</w:t>
      </w:r>
    </w:p>
    <w:p w:rsidR="00000000" w:rsidRDefault="00590668">
      <w:r>
        <w:t>Information on development expenditure in relation to annual pro</w:t>
      </w:r>
      <w:r>
        <w:t xml:space="preserve">grams is collected on an </w:t>
      </w:r>
      <w:r>
        <w:rPr>
          <w:i/>
          <w:iCs/>
        </w:rPr>
        <w:t>ex</w:t>
      </w:r>
      <w:r>
        <w:rPr>
          <w:i/>
          <w:iCs/>
        </w:rPr>
        <w:noBreakHyphen/>
        <w:t>post</w:t>
      </w:r>
      <w:r>
        <w:t xml:space="preserve"> basis, with developers required to report annually on actual acquisitions, development expenditures and details of any properties sold following development.</w:t>
      </w:r>
    </w:p>
    <w:p w:rsidR="00000000" w:rsidRDefault="00590668">
      <w:r>
        <w:lastRenderedPageBreak/>
        <w:t xml:space="preserve">Approval was given to 49 proposals to purchase land for </w:t>
      </w:r>
      <w:r>
        <w:rPr>
          <w:rStyle w:val="NormalBold"/>
        </w:rPr>
        <w:t>commercia</w:t>
      </w:r>
      <w:r>
        <w:rPr>
          <w:rStyle w:val="NormalBold"/>
        </w:rPr>
        <w:t>l development</w:t>
      </w:r>
      <w:r>
        <w:t xml:space="preserve"> involving total proposed investment of $2.3 billion. This was a decrease on the 56 proposals approved during 2000</w:t>
      </w:r>
      <w:r>
        <w:noBreakHyphen/>
        <w:t>01.</w:t>
      </w:r>
    </w:p>
    <w:p w:rsidR="00000000" w:rsidRDefault="00590668">
      <w:r>
        <w:t>There was no increase in the number of rejections (10 rejections) in 2000</w:t>
      </w:r>
      <w:r>
        <w:noBreakHyphen/>
        <w:t>01 to 2001</w:t>
      </w:r>
      <w:r>
        <w:noBreakHyphen/>
        <w:t>02 in relation to the proposed acquisit</w:t>
      </w:r>
      <w:r>
        <w:t>ion of residential real estate for development (including ‘off the plan’ dwellings). Usually there were one or more of the following reasons for these rejections:</w:t>
      </w:r>
    </w:p>
    <w:p w:rsidR="00000000" w:rsidRDefault="00590668">
      <w:pPr>
        <w:pStyle w:val="Bullet"/>
      </w:pPr>
      <w:r>
        <w:t>the planned development expenditures were not considered significant in relation to the ac</w:t>
      </w:r>
      <w:r>
        <w:t>quisition price for the property (there is an expectation that proposed development expenditure should be equivalent to at least 50 per cent of the acquisition price);</w:t>
      </w:r>
    </w:p>
    <w:p w:rsidR="00000000" w:rsidRDefault="00590668">
      <w:pPr>
        <w:pStyle w:val="Bullet"/>
      </w:pPr>
      <w:r>
        <w:t>the proposed timetables for development were unsatisfactory;</w:t>
      </w:r>
    </w:p>
    <w:p w:rsidR="00000000" w:rsidRDefault="00590668">
      <w:pPr>
        <w:pStyle w:val="Bullet"/>
      </w:pPr>
      <w:r>
        <w:t>the property proposed</w:t>
      </w:r>
      <w:r>
        <w:t xml:space="preserve"> to be acquired for the purpose of demolition and redevelopment was not considered to be at the end of its economic life, for example, it was rented out;</w:t>
      </w:r>
    </w:p>
    <w:p w:rsidR="00000000" w:rsidRDefault="00590668">
      <w:pPr>
        <w:pStyle w:val="Bullet"/>
      </w:pPr>
      <w:r>
        <w:t>the proposal did not add to the housing stock;</w:t>
      </w:r>
    </w:p>
    <w:p w:rsidR="00000000" w:rsidRDefault="00590668">
      <w:pPr>
        <w:pStyle w:val="Bullet"/>
      </w:pPr>
      <w:r>
        <w:t>the prospective foreign purchasers had not established, to the Government’s satisfaction, that they had the technical and financial capacity, nor the necessary planning approvals, to undertake the proposed development within an acceptable timeframe; and/or</w:t>
      </w:r>
    </w:p>
    <w:p w:rsidR="00000000" w:rsidRDefault="00590668">
      <w:pPr>
        <w:pStyle w:val="Bullet"/>
      </w:pPr>
      <w:r>
        <w:t>the applicant had breached conditions associated with a previously approved application.</w:t>
      </w:r>
    </w:p>
    <w:p w:rsidR="00000000" w:rsidRDefault="00590668">
      <w:pPr>
        <w:pStyle w:val="Heading4"/>
        <w:spacing w:line="480" w:lineRule="auto"/>
      </w:pPr>
      <w:r>
        <w:t>Acquisitions of developed real estate</w:t>
      </w:r>
    </w:p>
    <w:p w:rsidR="00000000" w:rsidRDefault="00590668">
      <w:r>
        <w:t xml:space="preserve">Generally, foreign investment policy enables the purchase of </w:t>
      </w:r>
      <w:r>
        <w:rPr>
          <w:b/>
          <w:bCs/>
        </w:rPr>
        <w:t>d</w:t>
      </w:r>
      <w:r>
        <w:rPr>
          <w:rStyle w:val="NormalBold"/>
        </w:rPr>
        <w:t>eveloped commercial real estate</w:t>
      </w:r>
      <w:r>
        <w:t xml:space="preserve"> by foreign persons. Conversely,</w:t>
      </w:r>
      <w:r>
        <w:t xml:space="preserve"> it restricts the purchase by foreign persons of </w:t>
      </w:r>
      <w:r>
        <w:rPr>
          <w:rStyle w:val="NormalBold"/>
        </w:rPr>
        <w:t>developed residential real estate</w:t>
      </w:r>
      <w:r>
        <w:t>. However, certain categories of foreigners are able to purchase developed residential real estate under particular conditions (see Appendix A). In 2001</w:t>
      </w:r>
      <w:r>
        <w:noBreakHyphen/>
        <w:t>02, 1909 proposals we</w:t>
      </w:r>
      <w:r>
        <w:t>re approved for developed residential real estate compared to 1283 in 2000</w:t>
      </w:r>
      <w:r>
        <w:noBreakHyphen/>
        <w:t>01.</w:t>
      </w:r>
    </w:p>
    <w:p w:rsidR="00000000" w:rsidRDefault="00590668">
      <w:r>
        <w:t>Reflecting the comparatively restrictive nature of the policy, there were 53 rejections in 2001</w:t>
      </w:r>
      <w:r>
        <w:noBreakHyphen/>
        <w:t>02 (31 in 2000-01) of proposed acquisitions of developed residential property. Th</w:t>
      </w:r>
      <w:r>
        <w:t xml:space="preserve">e total potential acquisition cost involved in these </w:t>
      </w:r>
      <w:r>
        <w:lastRenderedPageBreak/>
        <w:t>rejected proposals was $24.5 million. These proposals were rejected because the prospective buyers did not fall into an eligible category.</w:t>
      </w:r>
    </w:p>
    <w:p w:rsidR="00000000" w:rsidRDefault="00590668">
      <w:r>
        <w:t>In 2001</w:t>
      </w:r>
      <w:r>
        <w:noBreakHyphen/>
        <w:t xml:space="preserve">02 there were 45 approvals to purchase interests in </w:t>
      </w:r>
      <w:r>
        <w:rPr>
          <w:rStyle w:val="NormalBold"/>
        </w:rPr>
        <w:t>deve</w:t>
      </w:r>
      <w:r>
        <w:rPr>
          <w:rStyle w:val="NormalBold"/>
        </w:rPr>
        <w:t>loped commercial real estate</w:t>
      </w:r>
      <w:r>
        <w:t xml:space="preserve"> (for example, shopping centres, offices, warehouses, etc) involving total proposed investment of $1.7 billion. This represents a decrease on the 50 approvals in 2000</w:t>
      </w:r>
      <w:r>
        <w:noBreakHyphen/>
        <w:t>01. The fall in the number of approvals can be attributed par</w:t>
      </w:r>
      <w:r>
        <w:t>tly to the increase in the exemption threshold for commercial real estate from $5 million to $50 million that occurred in September 1999.</w:t>
      </w:r>
    </w:p>
    <w:p w:rsidR="00000000" w:rsidRDefault="00590668">
      <w:pPr>
        <w:pStyle w:val="Heading4"/>
        <w:spacing w:line="480" w:lineRule="auto"/>
      </w:pPr>
      <w:r>
        <w:t>Real estate by state</w:t>
      </w:r>
    </w:p>
    <w:p w:rsidR="00000000" w:rsidRDefault="00590668">
      <w:pPr>
        <w:spacing w:after="220"/>
      </w:pPr>
      <w:r>
        <w:t>Table 2.5 provides details of approved investment in all categories of urban real estate (that is</w:t>
      </w:r>
      <w:r>
        <w:t xml:space="preserve"> residential and commercial) for each State and Territory. New South Wales and Victoria were the main locations for proposed foreign investment in urban real estate by value, with 34.9  per cent and 29.4 per cent, respectively, of the total in 2001</w:t>
      </w:r>
      <w:r>
        <w:noBreakHyphen/>
        <w:t>02. Que</w:t>
      </w:r>
      <w:r>
        <w:t>ensland also had significant foreign investment approvals accounting for 15.9 per cent of the total value (up from 14.8 per cent in 2000</w:t>
      </w:r>
      <w:r>
        <w:noBreakHyphen/>
        <w:t>01).</w:t>
      </w:r>
    </w:p>
    <w:p w:rsidR="00000000" w:rsidRDefault="00590668">
      <w:pPr>
        <w:pStyle w:val="TableHeading"/>
        <w:numPr>
          <w:ilvl w:val="0"/>
          <w:numId w:val="0"/>
        </w:numPr>
        <w:spacing w:after="0"/>
      </w:pPr>
      <w:r>
        <w:t xml:space="preserve">Table 2.5:  Total proposed investment in urban real estate by category of real estate and location of investment, </w:t>
      </w:r>
      <w:r>
        <w:t>approved in 2001</w:t>
      </w:r>
      <w:r>
        <w:noBreakHyphen/>
        <w:t>02 ($ million)</w:t>
      </w:r>
    </w:p>
    <w:p w:rsidR="00000000" w:rsidRDefault="00590668">
      <w:pPr>
        <w:pStyle w:val="Graphic"/>
        <w:spacing w:after="0"/>
        <w:ind w:right="-85"/>
        <w:jc w:val="left"/>
        <w:rPr>
          <w:noProof/>
        </w:rPr>
      </w:pPr>
      <w:r>
        <w:rPr>
          <w:noProof/>
          <w:lang w:val="en-US"/>
        </w:rPr>
        <w:object w:dxaOrig="7714" w:dyaOrig="2049">
          <v:shape id="_x0000_i1033" type="#_x0000_t75" style="width:385.5pt;height:102.75pt" o:ole="" fillcolor="window">
            <v:imagedata r:id="rId50" o:title=""/>
          </v:shape>
          <o:OLEObject Type="Link" ProgID="Excel.Sheet.8" ShapeID="_x0000_i1033" DrawAspect="Content" r:id="rId51" UpdateMode="Always">
            <o:LinkType>Picture</o:LinkType>
            <o:LockedField>false</o:LockedField>
          </o:OLEObject>
        </w:object>
      </w:r>
    </w:p>
    <w:p w:rsidR="00000000" w:rsidRDefault="00590668">
      <w:pPr>
        <w:pStyle w:val="Note"/>
        <w:spacing w:after="0"/>
      </w:pPr>
      <w:r>
        <w:t>Note:  Totals may not add due to rounding.</w:t>
      </w:r>
    </w:p>
    <w:p w:rsidR="00000000" w:rsidRDefault="00590668">
      <w:pPr>
        <w:pStyle w:val="Note"/>
        <w:spacing w:after="0"/>
      </w:pPr>
      <w:r>
        <w:t>(a)</w:t>
      </w:r>
      <w:r>
        <w:tab/>
        <w:t>‘Other’ includes acquisitions of companies/trusts with real estate holdings in more than one State or Territory and proposals in the ACT, NT, Tasmania and South Australia.</w:t>
      </w:r>
    </w:p>
    <w:p w:rsidR="00000000" w:rsidRDefault="00590668">
      <w:pPr>
        <w:pStyle w:val="Heading2"/>
        <w:numPr>
          <w:ilvl w:val="12"/>
          <w:numId w:val="0"/>
        </w:numPr>
        <w:spacing w:before="480"/>
        <w:jc w:val="both"/>
      </w:pPr>
      <w:r>
        <w:t>Residential real estate compliance</w:t>
      </w:r>
    </w:p>
    <w:p w:rsidR="00000000" w:rsidRDefault="00590668">
      <w:r>
        <w:t>Un</w:t>
      </w:r>
      <w:r>
        <w:t>der policy, the purchase of developed residential real estate by foreign interests purely for the earning of rental income, for speculative purposes or where it may involve land banking is not permitted. Therefore, the Government seeks to ensure that where</w:t>
      </w:r>
      <w:r>
        <w:t xml:space="preserve"> foreign interests acquire residential real estate for development, any stated development is carried out within a </w:t>
      </w:r>
      <w:r>
        <w:lastRenderedPageBreak/>
        <w:t>reasonable time (this usually involves a requirement to commence continuous construction within 12 months).</w:t>
      </w:r>
    </w:p>
    <w:p w:rsidR="00000000" w:rsidRDefault="00590668">
      <w:r>
        <w:t>The policy is directed at maintai</w:t>
      </w:r>
      <w:r>
        <w:t>ning greater stability of house prices and the affordability of housing for the benefit of Australian residents (see </w:t>
      </w:r>
      <w:r>
        <w:rPr>
          <w:b/>
          <w:bCs/>
        </w:rPr>
        <w:t>Appendix A</w:t>
      </w:r>
      <w:r>
        <w:t xml:space="preserve">). Any failure by foreign interests to pursue stated development plans is considered to be a breach of policy. Section 25 of the </w:t>
      </w:r>
      <w:r>
        <w:t>FATA provides for financial penalties or imprisonment on conviction.</w:t>
      </w:r>
    </w:p>
    <w:p w:rsidR="00000000" w:rsidRDefault="00590668">
      <w:r>
        <w:t>There are a number of processes that assist in ensuring compliance with the residential real estate policy.</w:t>
      </w:r>
    </w:p>
    <w:p w:rsidR="00000000" w:rsidRDefault="00590668">
      <w:pPr>
        <w:pStyle w:val="Bullet"/>
      </w:pPr>
      <w:r>
        <w:t>Information on Australia’s foreign investment policy is disseminated directl</w:t>
      </w:r>
      <w:r>
        <w:t>y by the Board through publications, public presentations and in response to inquiries. In addition, information is provided by other government departments, such as by the Department of Immigration and Multicultural and Indigenous Affairs to applicants se</w:t>
      </w:r>
      <w:r>
        <w:t>eking temporary resident visas.</w:t>
      </w:r>
    </w:p>
    <w:p w:rsidR="00000000" w:rsidRDefault="00590668">
      <w:pPr>
        <w:pStyle w:val="Bullet"/>
      </w:pPr>
      <w:r>
        <w:t>In purchasing property, foreign persons may deal with a number of professionals and organisations, such as solicitors, financial institutions and real estate agents, who have an interest in ensuring that foreign purchaser</w:t>
      </w:r>
      <w:r>
        <w:t>s have information on the need to comply with foreign investment policy.</w:t>
      </w:r>
    </w:p>
    <w:p w:rsidR="00000000" w:rsidRDefault="00590668">
      <w:pPr>
        <w:pStyle w:val="Bullet"/>
      </w:pPr>
      <w:r>
        <w:t>There is a reporting requirement placed on approvals to improve compliance with conditions imposed, for example, on real estate for development.</w:t>
      </w:r>
    </w:p>
    <w:p w:rsidR="00000000" w:rsidRDefault="00590668">
      <w:pPr>
        <w:pStyle w:val="Bullet"/>
      </w:pPr>
      <w:r>
        <w:t>Assessment of new proposals incl</w:t>
      </w:r>
      <w:r>
        <w:t>udes examination of compliance.</w:t>
      </w:r>
    </w:p>
    <w:p w:rsidR="00000000" w:rsidRDefault="00590668">
      <w:pPr>
        <w:pStyle w:val="Bullet"/>
      </w:pPr>
      <w:r>
        <w:t>All allegations of possible non</w:t>
      </w:r>
      <w:r>
        <w:noBreakHyphen/>
        <w:t>compliance are fully investigated.</w:t>
      </w:r>
    </w:p>
    <w:p w:rsidR="00000000" w:rsidRDefault="00590668">
      <w:pPr>
        <w:pStyle w:val="Bullet"/>
      </w:pPr>
      <w:r>
        <w:t>Sample checks on compliance are made by the Division.</w:t>
      </w:r>
    </w:p>
    <w:p w:rsidR="00000000" w:rsidRDefault="00590668">
      <w:r>
        <w:t>The Treasurer has the power under Section 36 to serve a notice in writing requiring a person capa</w:t>
      </w:r>
      <w:r>
        <w:t>ble of giving information or producing documents relevant to the exercise of the FATA to supply the information within a specified time.</w:t>
      </w:r>
    </w:p>
    <w:p w:rsidR="00000000" w:rsidRDefault="00590668">
      <w:pPr>
        <w:pStyle w:val="Heading2"/>
        <w:numPr>
          <w:ilvl w:val="12"/>
          <w:numId w:val="0"/>
        </w:numPr>
        <w:jc w:val="both"/>
      </w:pPr>
      <w:r>
        <w:lastRenderedPageBreak/>
        <w:t>Approvals by country of investor</w:t>
      </w:r>
    </w:p>
    <w:p w:rsidR="00000000" w:rsidRDefault="00590668">
      <w:r>
        <w:t>Data on proposed investment associated with approvals in 2001</w:t>
      </w:r>
      <w:r>
        <w:noBreakHyphen/>
      </w:r>
      <w:r>
        <w:t>02 are shown by country, disaggregated by State in Table 2.6 and by industry sector in Table 2.7.</w:t>
      </w:r>
    </w:p>
    <w:p w:rsidR="00000000" w:rsidRDefault="00590668">
      <w:r>
        <w:t>The United Kingdom was the most important single source of proposed foreign investment in Australia during 2001</w:t>
      </w:r>
      <w:r>
        <w:noBreakHyphen/>
        <w:t>02. The other major sources of foreign investm</w:t>
      </w:r>
      <w:r>
        <w:t>ent were the United States, Singapore and Japan.</w:t>
      </w:r>
    </w:p>
    <w:p w:rsidR="00000000" w:rsidRDefault="00590668">
      <w:pPr>
        <w:pStyle w:val="Bullet"/>
      </w:pPr>
      <w:r>
        <w:t>Approved proposed investment from the UK fell from $22.7 billion in 2000</w:t>
      </w:r>
      <w:r>
        <w:noBreakHyphen/>
        <w:t>01 to $19.4 billion in 2001</w:t>
      </w:r>
      <w:r>
        <w:noBreakHyphen/>
        <w:t xml:space="preserve">02. This proposed investment was principally in the services (excluding tourism) sector accounting for </w:t>
      </w:r>
      <w:r>
        <w:t>59 per cent of total UK investment.</w:t>
      </w:r>
    </w:p>
    <w:p w:rsidR="00000000" w:rsidRDefault="00590668">
      <w:pPr>
        <w:pStyle w:val="Bullet"/>
      </w:pPr>
      <w:r>
        <w:t>Interestingly, approved proposed investment from the US was substantially lower at $18.6 billion (16 per cent of total investment) compared with $47.5 billion in 2001-01 (45 per cent of total investment). The majority</w:t>
      </w:r>
      <w:r>
        <w:t xml:space="preserve"> of US proposed investment for 2001</w:t>
      </w:r>
      <w:r>
        <w:noBreakHyphen/>
        <w:t>02 was in the mineral exploration and development sector. Refer to Chapter 4 for further discussion on the US/Australia foreign investment position.</w:t>
      </w:r>
    </w:p>
    <w:p w:rsidR="00000000" w:rsidRDefault="00590668">
      <w:pPr>
        <w:pStyle w:val="Bullet"/>
      </w:pPr>
      <w:r>
        <w:t>Singapore emerged as a significant investor in 2001</w:t>
      </w:r>
      <w:r>
        <w:noBreakHyphen/>
        <w:t xml:space="preserve">02 contributing </w:t>
      </w:r>
      <w:r>
        <w:t>$18.2 billion and Japan continued as major foreign investor with $10.4 billion ($2.7 billion in 2000</w:t>
      </w:r>
      <w:r>
        <w:noBreakHyphen/>
        <w:t>01).</w:t>
      </w:r>
    </w:p>
    <w:p w:rsidR="00000000" w:rsidRDefault="00590668">
      <w:pPr>
        <w:pStyle w:val="Bullet"/>
      </w:pPr>
      <w:r>
        <w:t>Canada continued as major foreign investors in 2001</w:t>
      </w:r>
      <w:r>
        <w:noBreakHyphen/>
        <w:t xml:space="preserve">02 with approved investment of $4.6 billion ($3.1 billion in 2000-01) </w:t>
      </w:r>
    </w:p>
    <w:p w:rsidR="00000000" w:rsidRDefault="00590668">
      <w:pPr>
        <w:pStyle w:val="TableHeading"/>
        <w:numPr>
          <w:ilvl w:val="0"/>
          <w:numId w:val="0"/>
        </w:numPr>
      </w:pPr>
      <w:r>
        <w:t>Table 2.6:  Proposed inv</w:t>
      </w:r>
      <w:r>
        <w:t>estments by country by state 2001</w:t>
      </w:r>
      <w:r>
        <w:noBreakHyphen/>
        <w:t>02 ($billion)</w:t>
      </w:r>
    </w:p>
    <w:p w:rsidR="00000000" w:rsidRDefault="00590668">
      <w:pPr>
        <w:pStyle w:val="TableGraphic"/>
      </w:pPr>
      <w:r>
        <w:object w:dxaOrig="7699" w:dyaOrig="2203">
          <v:shape id="_x0000_i1034" type="#_x0000_t75" style="width:384.75pt;height:110.25pt" o:ole="" fillcolor="window">
            <v:imagedata r:id="rId52" o:title=""/>
          </v:shape>
          <o:OLEObject Type="Link" ProgID="Excel.Sheet.8" ShapeID="_x0000_i1034" DrawAspect="Content" r:id="rId53" UpdateMode="Always">
            <o:LinkType>Picture</o:LinkType>
            <o:LockedField>false</o:LockedField>
          </o:OLEObject>
        </w:object>
      </w:r>
    </w:p>
    <w:p w:rsidR="00000000" w:rsidRDefault="00590668">
      <w:pPr>
        <w:pStyle w:val="Note"/>
        <w:spacing w:after="0"/>
        <w:rPr>
          <w:b/>
          <w:bCs/>
        </w:rPr>
      </w:pPr>
      <w:r>
        <w:t>Note:  Totals may not add due to rounding.</w:t>
      </w:r>
    </w:p>
    <w:p w:rsidR="00000000" w:rsidRDefault="00590668">
      <w:pPr>
        <w:pStyle w:val="Note"/>
        <w:spacing w:after="0"/>
      </w:pPr>
      <w:r>
        <w:t>(a)</w:t>
      </w:r>
      <w:r>
        <w:tab/>
        <w:t>Includes proposed investment from Australian controlled companies.</w:t>
      </w:r>
    </w:p>
    <w:p w:rsidR="00000000" w:rsidRDefault="00590668">
      <w:pPr>
        <w:pStyle w:val="Note"/>
        <w:spacing w:after="0"/>
      </w:pPr>
      <w:r>
        <w:t>(b)</w:t>
      </w:r>
      <w:r>
        <w:tab/>
        <w:t>Includes proposals where the investment is proposed to be undertaken in more than one State or Territory.</w:t>
      </w:r>
    </w:p>
    <w:p w:rsidR="00000000" w:rsidRDefault="00590668">
      <w:pPr>
        <w:pStyle w:val="Note"/>
        <w:spacing w:after="0"/>
      </w:pPr>
      <w:r>
        <w:t>(c)</w:t>
      </w:r>
      <w:r>
        <w:tab/>
        <w:t>Includes investme</w:t>
      </w:r>
      <w:r>
        <w:t>nt in the ACT, NT, Tasmania and South Australia.</w:t>
      </w:r>
    </w:p>
    <w:p w:rsidR="00000000" w:rsidRDefault="00590668">
      <w:pPr>
        <w:rPr>
          <w:highlight w:val="yellow"/>
        </w:rPr>
        <w:sectPr w:rsidR="00000000">
          <w:headerReference w:type="even" r:id="rId54"/>
          <w:headerReference w:type="default" r:id="rId55"/>
          <w:footerReference w:type="even" r:id="rId56"/>
          <w:footerReference w:type="default" r:id="rId57"/>
          <w:headerReference w:type="first" r:id="rId58"/>
          <w:footerReference w:type="first" r:id="rId59"/>
          <w:pgSz w:w="11907" w:h="16840" w:code="9"/>
          <w:pgMar w:top="2466" w:right="2098" w:bottom="2466" w:left="2098" w:header="1899" w:footer="1899" w:gutter="0"/>
          <w:cols w:space="709"/>
          <w:titlePg/>
        </w:sectPr>
      </w:pPr>
    </w:p>
    <w:p w:rsidR="00000000" w:rsidRDefault="00590668">
      <w:pPr>
        <w:pStyle w:val="TableHeading"/>
        <w:numPr>
          <w:ilvl w:val="0"/>
          <w:numId w:val="0"/>
        </w:numPr>
      </w:pPr>
      <w:r>
        <w:lastRenderedPageBreak/>
        <w:t>Table 2.7:  Total proposed investment associated with approved proposals, by country of inves</w:t>
      </w:r>
      <w:r>
        <w:t>tors and industry sector</w:t>
      </w:r>
      <w:r>
        <w:br/>
        <w:t>2001</w:t>
      </w:r>
      <w:r>
        <w:noBreakHyphen/>
        <w:t>02 ($million)</w:t>
      </w:r>
    </w:p>
    <w:p w:rsidR="00000000" w:rsidRDefault="00590668">
      <w:pPr>
        <w:pStyle w:val="Graphic"/>
        <w:spacing w:after="0"/>
        <w:jc w:val="left"/>
      </w:pPr>
      <w:r>
        <w:object w:dxaOrig="11801" w:dyaOrig="4757">
          <v:shape id="_x0000_i1035" type="#_x0000_t75" style="width:590.25pt;height:237.75pt" o:ole="" fillcolor="window">
            <v:imagedata r:id="rId60" o:title=""/>
          </v:shape>
          <o:OLEObject Type="Link" ProgID="Excel.Sheet.8" ShapeID="_x0000_i1035" DrawAspect="Content" r:id="rId61" UpdateMode="Always">
            <o:LinkType>Picture</o:LinkType>
            <o:LockedField>false</o:LockedField>
          </o:OLEObject>
        </w:object>
      </w:r>
    </w:p>
    <w:p w:rsidR="00000000" w:rsidRDefault="00590668">
      <w:pPr>
        <w:pStyle w:val="Note"/>
        <w:spacing w:after="0"/>
      </w:pPr>
      <w:r>
        <w:t>Note:  Totals may not add due to rounding.</w:t>
      </w:r>
    </w:p>
    <w:p w:rsidR="00000000" w:rsidRDefault="00590668">
      <w:pPr>
        <w:pStyle w:val="Note"/>
        <w:spacing w:after="0"/>
      </w:pPr>
      <w:r>
        <w:t>(a)</w:t>
      </w:r>
      <w:r>
        <w:tab/>
        <w:t>‘Off the plan’ approvals to real estate developers have been recorded as not allocated to country because the country of investors is not known in advance.</w:t>
      </w:r>
    </w:p>
    <w:p w:rsidR="00000000" w:rsidRDefault="00590668">
      <w:pPr>
        <w:pStyle w:val="Note"/>
        <w:spacing w:after="0"/>
      </w:pPr>
      <w:r>
        <w:t>(b)</w:t>
      </w:r>
      <w:r>
        <w:tab/>
      </w:r>
      <w:r>
        <w:t>The investment identified as originating from Australia represents the contribution by Australian</w:t>
      </w:r>
      <w:r>
        <w:noBreakHyphen/>
        <w:t>controlled companies and Australian residents to the total investment associated with foreign investment proposals in which they are in partnership with forei</w:t>
      </w:r>
      <w:r>
        <w:t>gn interests, but does not generally include the contribution attributable to minority Australian shareholders in companies with majority or controlling foreign shareholders.</w:t>
      </w:r>
    </w:p>
    <w:p w:rsidR="00000000" w:rsidRDefault="00590668">
      <w:pPr>
        <w:pStyle w:val="Note"/>
        <w:spacing w:after="0"/>
      </w:pPr>
      <w:r>
        <w:t>(c)</w:t>
      </w:r>
      <w:r>
        <w:tab/>
        <w:t xml:space="preserve">These figures indicate the total number of proposals in which investors from </w:t>
      </w:r>
      <w:r>
        <w:t>the particular country have an interest. Proposals involving investment from more than one country count as one proposal for each of the countries concerned. Therefore, this number is greater that the number reported in Table 2.1.</w:t>
      </w:r>
    </w:p>
    <w:p w:rsidR="00000000" w:rsidRDefault="00590668">
      <w:pPr>
        <w:sectPr w:rsidR="00000000">
          <w:headerReference w:type="even" r:id="rId62"/>
          <w:headerReference w:type="default" r:id="rId63"/>
          <w:footerReference w:type="even" r:id="rId64"/>
          <w:footerReference w:type="default" r:id="rId65"/>
          <w:type w:val="oddPage"/>
          <w:pgSz w:w="16840" w:h="11907" w:orient="landscape" w:code="9"/>
          <w:pgMar w:top="2098" w:right="2466" w:bottom="2098" w:left="2466" w:header="1899" w:footer="1899" w:gutter="0"/>
          <w:cols w:space="709"/>
        </w:sectPr>
      </w:pPr>
    </w:p>
    <w:p w:rsidR="00000000" w:rsidRDefault="00590668">
      <w:pPr>
        <w:pStyle w:val="chattach"/>
      </w:pPr>
      <w:r>
        <w:lastRenderedPageBreak/>
        <w:t>CHAPTER 3</w:t>
      </w:r>
    </w:p>
    <w:p w:rsidR="00000000" w:rsidRDefault="00590668">
      <w:pPr>
        <w:pStyle w:val="Heading1"/>
        <w:spacing w:before="240"/>
      </w:pPr>
      <w:r>
        <w:t xml:space="preserve">Overview of the </w:t>
      </w:r>
      <w:r>
        <w:rPr>
          <w:i/>
          <w:iCs/>
        </w:rPr>
        <w:t>Foreign Acquisitions and Takeovers Act 1975</w:t>
      </w:r>
    </w:p>
    <w:p w:rsidR="00000000" w:rsidRDefault="00590668">
      <w:pPr>
        <w:rPr>
          <w:snapToGrid w:val="0"/>
        </w:rPr>
      </w:pPr>
      <w:r>
        <w:rPr>
          <w:snapToGrid w:val="0"/>
          <w:lang w:val="en-US"/>
        </w:rPr>
        <w:t xml:space="preserve">The </w:t>
      </w:r>
      <w:r>
        <w:rPr>
          <w:rStyle w:val="NormalItalic"/>
        </w:rPr>
        <w:t>Foreign Acquisitions and Takeovers Act 1975</w:t>
      </w:r>
      <w:r>
        <w:rPr>
          <w:i/>
          <w:iCs/>
          <w:snapToGrid w:val="0"/>
          <w:lang w:val="en-US"/>
        </w:rPr>
        <w:t xml:space="preserve"> </w:t>
      </w:r>
      <w:r>
        <w:rPr>
          <w:snapToGrid w:val="0"/>
          <w:lang w:val="en-US"/>
        </w:rPr>
        <w:t>(the Act)</w:t>
      </w:r>
      <w:r>
        <w:rPr>
          <w:i/>
          <w:iCs/>
          <w:snapToGrid w:val="0"/>
          <w:lang w:val="en-US"/>
        </w:rPr>
        <w:t xml:space="preserve"> </w:t>
      </w:r>
      <w:r>
        <w:rPr>
          <w:snapToGrid w:val="0"/>
          <w:lang w:val="en-US"/>
        </w:rPr>
        <w:t xml:space="preserve">provides legislative backing for the Government’s foreign investment policy. A copy of the Act is at </w:t>
      </w:r>
      <w:r>
        <w:rPr>
          <w:rStyle w:val="NormalBold"/>
        </w:rPr>
        <w:t>Appendix E</w:t>
      </w:r>
      <w:r>
        <w:rPr>
          <w:b/>
          <w:bCs/>
          <w:snapToGrid w:val="0"/>
          <w:lang w:val="en-US"/>
        </w:rPr>
        <w:t>.</w:t>
      </w:r>
    </w:p>
    <w:p w:rsidR="00000000" w:rsidRDefault="00590668">
      <w:pPr>
        <w:pStyle w:val="Heading2"/>
      </w:pPr>
      <w:r>
        <w:t>Introduction</w:t>
      </w:r>
    </w:p>
    <w:p w:rsidR="00000000" w:rsidRDefault="00590668">
      <w:pPr>
        <w:rPr>
          <w:snapToGrid w:val="0"/>
          <w:lang w:val="en-US"/>
        </w:rPr>
      </w:pPr>
      <w:r>
        <w:rPr>
          <w:snapToGrid w:val="0"/>
          <w:lang w:val="en-US"/>
        </w:rPr>
        <w:t>The FATA empowers the Treasurer to examine proposals by foreign persons:</w:t>
      </w:r>
    </w:p>
    <w:p w:rsidR="00000000" w:rsidRDefault="00590668">
      <w:pPr>
        <w:pStyle w:val="Bullet"/>
        <w:rPr>
          <w:snapToGrid w:val="0"/>
        </w:rPr>
      </w:pPr>
      <w:r>
        <w:rPr>
          <w:snapToGrid w:val="0"/>
        </w:rPr>
        <w:t>to acquire interests in Australian urban land; and</w:t>
      </w:r>
    </w:p>
    <w:p w:rsidR="00000000" w:rsidRDefault="00590668">
      <w:pPr>
        <w:pStyle w:val="Bullet"/>
        <w:rPr>
          <w:snapToGrid w:val="0"/>
        </w:rPr>
      </w:pPr>
      <w:r>
        <w:rPr>
          <w:snapToGrid w:val="0"/>
        </w:rPr>
        <w:t>to acquire, or increase, an interest of 15 per cent or more in, or takeover an Australian business having total assets valued at more than $50 million.</w:t>
      </w:r>
    </w:p>
    <w:p w:rsidR="00000000" w:rsidRDefault="00590668">
      <w:pPr>
        <w:rPr>
          <w:snapToGrid w:val="0"/>
        </w:rPr>
      </w:pPr>
      <w:r>
        <w:rPr>
          <w:snapToGrid w:val="0"/>
          <w:lang w:val="en-US"/>
        </w:rPr>
        <w:t>The Act provides for the notification of proposals by the parties involved and for the prohibition of ce</w:t>
      </w:r>
      <w:r>
        <w:rPr>
          <w:snapToGrid w:val="0"/>
          <w:lang w:val="en-US"/>
        </w:rPr>
        <w:t>rtain types of proposals that, in the judgment of the Treasurer, are contrary to the national interest. Where proposals coming within the scope of the Act are implemented without prior notification, and are subsequently found to be contrary to the national</w:t>
      </w:r>
      <w:r>
        <w:rPr>
          <w:snapToGrid w:val="0"/>
          <w:lang w:val="en-US"/>
        </w:rPr>
        <w:t xml:space="preserve"> interest, the Treasurer may order divestment and the parties would be required to sell these assets.</w:t>
      </w:r>
    </w:p>
    <w:p w:rsidR="00000000" w:rsidRDefault="00590668">
      <w:pPr>
        <w:pStyle w:val="Heading2"/>
      </w:pPr>
      <w:r>
        <w:t>Notification</w:t>
      </w:r>
    </w:p>
    <w:p w:rsidR="00000000" w:rsidRDefault="00590668">
      <w:pPr>
        <w:rPr>
          <w:snapToGrid w:val="0"/>
        </w:rPr>
      </w:pPr>
      <w:r>
        <w:rPr>
          <w:rStyle w:val="NormalBold"/>
        </w:rPr>
        <w:t>Section 26</w:t>
      </w:r>
      <w:r>
        <w:rPr>
          <w:snapToGrid w:val="0"/>
          <w:lang w:val="en-US"/>
        </w:rPr>
        <w:t xml:space="preserve"> makes it compulsory for a foreign interest to notify a proposal to acquire, or increase, a substantial shareholding (that is, 15 p</w:t>
      </w:r>
      <w:r>
        <w:rPr>
          <w:snapToGrid w:val="0"/>
          <w:lang w:val="en-US"/>
        </w:rPr>
        <w:t>er cent or more) of an Australian corporation, unless the total assets are below the $50 million threshold.</w:t>
      </w:r>
    </w:p>
    <w:p w:rsidR="00000000" w:rsidRDefault="00590668">
      <w:pPr>
        <w:rPr>
          <w:snapToGrid w:val="0"/>
        </w:rPr>
      </w:pPr>
      <w:r>
        <w:rPr>
          <w:rStyle w:val="NormalBold"/>
        </w:rPr>
        <w:t>Section 26A</w:t>
      </w:r>
      <w:r>
        <w:rPr>
          <w:snapToGrid w:val="0"/>
          <w:lang w:val="en-US"/>
        </w:rPr>
        <w:t xml:space="preserve"> makes it compulsory for a foreign interest to notify a proposal to acquire an interest in Australian urban land.  The section does not a</w:t>
      </w:r>
      <w:r>
        <w:rPr>
          <w:snapToGrid w:val="0"/>
          <w:lang w:val="en-US"/>
        </w:rPr>
        <w:t xml:space="preserve">pply if the proposed acquisition is exempt under the Foreign Acquisitions and Takeovers Regulations (see </w:t>
      </w:r>
      <w:r>
        <w:rPr>
          <w:rStyle w:val="NormalBold"/>
        </w:rPr>
        <w:t>Appendix F</w:t>
      </w:r>
      <w:r>
        <w:rPr>
          <w:snapToGrid w:val="0"/>
          <w:lang w:val="en-US"/>
        </w:rPr>
        <w:t>).</w:t>
      </w:r>
    </w:p>
    <w:p w:rsidR="00000000" w:rsidRDefault="00590668">
      <w:r>
        <w:t>There are substantial penalties for non</w:t>
      </w:r>
      <w:r>
        <w:noBreakHyphen/>
        <w:t>compliance with the notification provisions of sections 26 and 26A.</w:t>
      </w:r>
    </w:p>
    <w:p w:rsidR="00000000" w:rsidRDefault="00590668">
      <w:pPr>
        <w:rPr>
          <w:snapToGrid w:val="0"/>
        </w:rPr>
      </w:pPr>
      <w:r>
        <w:rPr>
          <w:rStyle w:val="NormalBold"/>
        </w:rPr>
        <w:lastRenderedPageBreak/>
        <w:t>Section 25</w:t>
      </w:r>
      <w:r>
        <w:rPr>
          <w:snapToGrid w:val="0"/>
          <w:lang w:val="en-US"/>
        </w:rPr>
        <w:t xml:space="preserve"> provides for the no</w:t>
      </w:r>
      <w:r>
        <w:rPr>
          <w:snapToGrid w:val="0"/>
          <w:lang w:val="en-US"/>
        </w:rPr>
        <w:t>tification of other proposals that come within the scope of the Act but which are not subject to compulsory notification (for example, off-shore takeovers, takeovers of businesses by purchase of assets, or acquisitions of shares in Australian companies tha</w:t>
      </w:r>
      <w:r>
        <w:rPr>
          <w:snapToGrid w:val="0"/>
          <w:lang w:val="en-US"/>
        </w:rPr>
        <w:t>t are less than a substantial shareholding).</w:t>
      </w:r>
    </w:p>
    <w:p w:rsidR="00000000" w:rsidRDefault="00590668">
      <w:pPr>
        <w:rPr>
          <w:snapToGrid w:val="0"/>
        </w:rPr>
      </w:pPr>
      <w:r>
        <w:rPr>
          <w:snapToGrid w:val="0"/>
          <w:lang w:val="en-US"/>
        </w:rPr>
        <w:t xml:space="preserve">Formal notification of a proposal under sections 25, 26 or 26A (that is, in accordance with the forms prescribed in the Foreign Takeovers (Notices) Regulations refer to </w:t>
      </w:r>
      <w:r>
        <w:rPr>
          <w:rStyle w:val="NormalBold"/>
        </w:rPr>
        <w:t>Appendix F</w:t>
      </w:r>
      <w:r>
        <w:rPr>
          <w:snapToGrid w:val="0"/>
          <w:lang w:val="en-US"/>
        </w:rPr>
        <w:t>) activates a time clock and, if</w:t>
      </w:r>
      <w:r>
        <w:rPr>
          <w:snapToGrid w:val="0"/>
          <w:lang w:val="en-US"/>
        </w:rPr>
        <w:t xml:space="preserve"> the Treasurer does not take action within 30 days and notify the parties of this action within a further 10 days, the Treasurer loses the ability to either prohibit the proposal or to impose conditions. The normal 30 day examination period may be extended</w:t>
      </w:r>
      <w:r>
        <w:rPr>
          <w:snapToGrid w:val="0"/>
          <w:lang w:val="en-US"/>
        </w:rPr>
        <w:t xml:space="preserve"> by up to a further 90 days by the issue of an interim order (sections 22 and 25(3)).</w:t>
      </w:r>
    </w:p>
    <w:p w:rsidR="00000000" w:rsidRDefault="00590668">
      <w:pPr>
        <w:pStyle w:val="Heading2"/>
      </w:pPr>
      <w:r>
        <w:t>Examination</w:t>
      </w:r>
    </w:p>
    <w:p w:rsidR="00000000" w:rsidRDefault="00590668">
      <w:pPr>
        <w:rPr>
          <w:snapToGrid w:val="0"/>
        </w:rPr>
      </w:pPr>
      <w:r>
        <w:rPr>
          <w:snapToGrid w:val="0"/>
          <w:lang w:val="en-US"/>
        </w:rPr>
        <w:t xml:space="preserve">The Treasurer’s powers to examine proposals (and to take action against them in certain circumstances) are contained in </w:t>
      </w:r>
      <w:r>
        <w:rPr>
          <w:rStyle w:val="NormalBold"/>
        </w:rPr>
        <w:t>sections 18, 19, 20, 21 and 21A</w:t>
      </w:r>
      <w:r>
        <w:rPr>
          <w:snapToGrid w:val="0"/>
          <w:lang w:val="en-US"/>
        </w:rPr>
        <w:t>.</w:t>
      </w:r>
    </w:p>
    <w:p w:rsidR="00000000" w:rsidRDefault="00590668">
      <w:pPr>
        <w:rPr>
          <w:snapToGrid w:val="0"/>
        </w:rPr>
      </w:pPr>
      <w:r>
        <w:rPr>
          <w:rStyle w:val="NormalBold"/>
        </w:rPr>
        <w:t>Section 18</w:t>
      </w:r>
      <w:r>
        <w:rPr>
          <w:snapToGrid w:val="0"/>
          <w:lang w:val="en-US"/>
        </w:rPr>
        <w:t xml:space="preserve"> deals with proposals involving the acquisition or issue of shares in companies that carry on an Australian business (unless the total assets are below the $50 million threshold). Where a proposal under section 18 would lead to a change in contro</w:t>
      </w:r>
      <w:r>
        <w:rPr>
          <w:snapToGrid w:val="0"/>
          <w:lang w:val="en-US"/>
        </w:rPr>
        <w:t xml:space="preserve">l of the company with the resultant control being foreign, and the Treasurer concludes that it would be contrary to the national interest, the proposal may be prohibited by the issue of an order. The Treasurer’s powers under the section apply irrespective </w:t>
      </w:r>
      <w:r>
        <w:rPr>
          <w:snapToGrid w:val="0"/>
          <w:lang w:val="en-US"/>
        </w:rPr>
        <w:t>of whether control is changing from Australian to foreign or between two or more foreign persons.</w:t>
      </w:r>
    </w:p>
    <w:p w:rsidR="00000000" w:rsidRDefault="00590668">
      <w:pPr>
        <w:rPr>
          <w:snapToGrid w:val="0"/>
        </w:rPr>
      </w:pPr>
      <w:r>
        <w:rPr>
          <w:rStyle w:val="NormalBold"/>
        </w:rPr>
        <w:t>Sections 19, 20 and 21</w:t>
      </w:r>
      <w:r>
        <w:rPr>
          <w:snapToGrid w:val="0"/>
          <w:lang w:val="en-US"/>
        </w:rPr>
        <w:t xml:space="preserve"> confer upon the Treasurer essentially similar powers to section 18 but in respect of other kinds of takeovers. Section 19 deals with ta</w:t>
      </w:r>
      <w:r>
        <w:rPr>
          <w:snapToGrid w:val="0"/>
          <w:lang w:val="en-US"/>
        </w:rPr>
        <w:t>keovers of businesses by the purchase of assets, section 20 with takeovers achieved by board representation arrangements or alterations of such constituent documents as the articles of association, and section 21 with takeovers implemented through the leas</w:t>
      </w:r>
      <w:r>
        <w:rPr>
          <w:snapToGrid w:val="0"/>
          <w:lang w:val="en-US"/>
        </w:rPr>
        <w:t>ing or hiring of assets, management agreements or profit sharing arrangements.</w:t>
      </w:r>
    </w:p>
    <w:p w:rsidR="00000000" w:rsidRDefault="00590668">
      <w:pPr>
        <w:rPr>
          <w:snapToGrid w:val="0"/>
        </w:rPr>
      </w:pPr>
      <w:r>
        <w:rPr>
          <w:rStyle w:val="NormalBold"/>
        </w:rPr>
        <w:t>Section 21A</w:t>
      </w:r>
      <w:r>
        <w:rPr>
          <w:snapToGrid w:val="0"/>
          <w:lang w:val="en-US"/>
        </w:rPr>
        <w:t xml:space="preserve"> empowers the Treasurer to examine acquisitions by foreign persons of interests in Australian urban land, to prohibit proposed acquisitions that would be contrary to </w:t>
      </w:r>
      <w:r>
        <w:rPr>
          <w:snapToGrid w:val="0"/>
          <w:lang w:val="en-US"/>
        </w:rPr>
        <w:t xml:space="preserve">the national interest, and to order the divestment of </w:t>
      </w:r>
      <w:r>
        <w:rPr>
          <w:snapToGrid w:val="0"/>
          <w:lang w:val="en-US"/>
        </w:rPr>
        <w:lastRenderedPageBreak/>
        <w:t>interests in urban land that are purchased without prior notice and which the Treasurer subsequently concludes are contrary to the national interest.</w:t>
      </w:r>
    </w:p>
    <w:p w:rsidR="00000000" w:rsidRDefault="00590668">
      <w:r>
        <w:t>Because of the breadth of the definition of interest</w:t>
      </w:r>
      <w:r>
        <w:t>s in Australian urban land, section 21A applies not only to direct purchases of urban real estate, but also to the purchase of shares and units in companies and trusts that have more than half their assets in the form of Australian urban land. The $50 mill</w:t>
      </w:r>
      <w:r>
        <w:t>ion threshold does not apply to such companies and trusts.</w:t>
      </w:r>
    </w:p>
    <w:p w:rsidR="00000000" w:rsidRDefault="00590668">
      <w:r>
        <w:t>Another feature of section 21A is that there is no limit (in either dollar terms or in terms of the proportionate interest in the whole property) on the size of examinable acquisitions. However, th</w:t>
      </w:r>
      <w:r>
        <w:t>e regulations provide for an extensive range of exemptions for categories of urban real estate acquisitions (see the Government’s Urban Land Guidelines).</w:t>
      </w:r>
    </w:p>
    <w:p w:rsidR="00000000" w:rsidRDefault="00590668">
      <w:pPr>
        <w:rPr>
          <w:snapToGrid w:val="0"/>
        </w:rPr>
      </w:pPr>
      <w:r>
        <w:rPr>
          <w:snapToGrid w:val="0"/>
          <w:lang w:val="en-US"/>
        </w:rPr>
        <w:t>The Treasurer’s powers in section 21A to take action against foreign acquisitions of interests in Aust</w:t>
      </w:r>
      <w:r>
        <w:rPr>
          <w:snapToGrid w:val="0"/>
          <w:lang w:val="en-US"/>
        </w:rPr>
        <w:t>ralian urban land are not limited to acquisitions that result in a change in control of the property with the resultant control being foreign. As noted earlier, the powers of the Treasurer in sections 18 to 21 are restricted to such cases.</w:t>
      </w:r>
    </w:p>
    <w:p w:rsidR="00000000" w:rsidRDefault="00590668">
      <w:pPr>
        <w:pStyle w:val="Heading2"/>
      </w:pPr>
      <w:r>
        <w:t>Foreign to forei</w:t>
      </w:r>
      <w:r>
        <w:t>gn transactions</w:t>
      </w:r>
    </w:p>
    <w:p w:rsidR="00000000" w:rsidRDefault="00590668">
      <w:pPr>
        <w:rPr>
          <w:snapToGrid w:val="0"/>
        </w:rPr>
      </w:pPr>
      <w:r>
        <w:rPr>
          <w:snapToGrid w:val="0"/>
          <w:lang w:val="en-US"/>
        </w:rPr>
        <w:t>Transactions involving takeovers by foreign interests of businesses operating in Australia which are already foreign-owned and controlled are subject to examination and are subject to action under the Act, for example,</w:t>
      </w:r>
    </w:p>
    <w:p w:rsidR="00000000" w:rsidRDefault="00590668">
      <w:pPr>
        <w:pStyle w:val="Bullet"/>
        <w:rPr>
          <w:snapToGrid w:val="0"/>
        </w:rPr>
      </w:pPr>
      <w:r>
        <w:rPr>
          <w:snapToGrid w:val="0"/>
        </w:rPr>
        <w:t>‘foreign-to-foreig</w:t>
      </w:r>
      <w:r>
        <w:rPr>
          <w:snapToGrid w:val="0"/>
        </w:rPr>
        <w:t>n takeovers’ where a foreign-owned business operating in Australia is the target of a takeover by another foreign interest; and</w:t>
      </w:r>
    </w:p>
    <w:p w:rsidR="00000000" w:rsidRDefault="00590668">
      <w:pPr>
        <w:pStyle w:val="Bullet"/>
        <w:rPr>
          <w:snapToGrid w:val="0"/>
        </w:rPr>
      </w:pPr>
      <w:r>
        <w:rPr>
          <w:snapToGrid w:val="0"/>
        </w:rPr>
        <w:t>‘offshore takeovers’</w:t>
      </w:r>
      <w:r>
        <w:rPr>
          <w:snapToGrid w:val="0"/>
        </w:rPr>
        <w:t xml:space="preserve"> where an offshore company that conducts a business in Australia is acquired by another offshore company and the assets in Australia of the target company are valued at more than $50 million.</w:t>
      </w:r>
    </w:p>
    <w:p w:rsidR="00000000" w:rsidRDefault="00590668">
      <w:pPr>
        <w:rPr>
          <w:snapToGrid w:val="0"/>
        </w:rPr>
      </w:pPr>
      <w:r>
        <w:rPr>
          <w:snapToGrid w:val="0"/>
          <w:lang w:val="en-US"/>
        </w:rPr>
        <w:t>Foreign-to-foreign takeovers are assessed against the policy app</w:t>
      </w:r>
      <w:r>
        <w:rPr>
          <w:snapToGrid w:val="0"/>
          <w:lang w:val="en-US"/>
        </w:rPr>
        <w:t>licable to the relevant sector of the economy and having regard to the fact that they do not involve any reduction of Australian ownership and control. Offshore takeovers normally do not raise issues which would be contrary to the national interest. In cas</w:t>
      </w:r>
      <w:r>
        <w:rPr>
          <w:snapToGrid w:val="0"/>
          <w:lang w:val="en-US"/>
        </w:rPr>
        <w:t>es where such issues are raised, the Government would normally seek to resolve any concerns through consultations with the parties involved.</w:t>
      </w:r>
    </w:p>
    <w:p w:rsidR="00000000" w:rsidRDefault="00590668">
      <w:pPr>
        <w:pStyle w:val="Heading2"/>
      </w:pPr>
      <w:r>
        <w:lastRenderedPageBreak/>
        <w:t>Prior approval for contractual arrangements</w:t>
      </w:r>
    </w:p>
    <w:p w:rsidR="00000000" w:rsidRDefault="00590668">
      <w:pPr>
        <w:rPr>
          <w:snapToGrid w:val="0"/>
          <w:lang w:val="en-US"/>
        </w:rPr>
      </w:pPr>
      <w:r>
        <w:rPr>
          <w:snapToGrid w:val="0"/>
          <w:lang w:val="en-US"/>
        </w:rPr>
        <w:t>When parties propose to enter into transactions that are subject to the</w:t>
      </w:r>
      <w:r>
        <w:rPr>
          <w:snapToGrid w:val="0"/>
          <w:lang w:val="en-US"/>
        </w:rPr>
        <w:t xml:space="preserve"> provisions of the Act, including underwriting arrangements, the exercise of pre-emptive rights or transactions entered into by way of bids at auction or by tender, they should ensure that the contractual arrangements include a provision that makes their f</w:t>
      </w:r>
      <w:r>
        <w:rPr>
          <w:snapToGrid w:val="0"/>
          <w:lang w:val="en-US"/>
        </w:rPr>
        <w:t>ulfillment subject to approval under the Act. Failure to provide for such a condition may, in some cases, result in contractual arrangements being in contravention of the provisions of the Act and expose the acquiring party to divestiture.</w:t>
      </w:r>
    </w:p>
    <w:p w:rsidR="00000000" w:rsidRDefault="00590668">
      <w:pPr>
        <w:pStyle w:val="Heading2"/>
      </w:pPr>
      <w:r>
        <w:t>Foreign control</w:t>
      </w:r>
    </w:p>
    <w:p w:rsidR="00000000" w:rsidRDefault="00590668">
      <w:r>
        <w:t>Foreign investment policy does not rely upon a single all-embracing definition of control. There is a presumption that, unless the Treasurer is satisfied to the contrary, a ‘substantial interest’ that is, an interest of 15 per cent or more (for an individu</w:t>
      </w:r>
      <w:r>
        <w:t>al) and/or 40 per cent or more (in aggregate) in a corporation is a controlling interest. However, a variety of factors other than share ownership may be taken into account when determining where ultimate control of a corporation or venture lies. These inc</w:t>
      </w:r>
      <w:r>
        <w:t>lude:</w:t>
      </w:r>
    </w:p>
    <w:p w:rsidR="00000000" w:rsidRDefault="00590668">
      <w:pPr>
        <w:pStyle w:val="Bullet"/>
        <w:rPr>
          <w:snapToGrid w:val="0"/>
        </w:rPr>
      </w:pPr>
      <w:r>
        <w:rPr>
          <w:snapToGrid w:val="0"/>
        </w:rPr>
        <w:t>voting rights attached to shareholdings and the rights of shareholders to representation on the Board or controlling body;</w:t>
      </w:r>
    </w:p>
    <w:p w:rsidR="00000000" w:rsidRDefault="00590668">
      <w:pPr>
        <w:pStyle w:val="Bullet"/>
        <w:rPr>
          <w:snapToGrid w:val="0"/>
        </w:rPr>
      </w:pPr>
      <w:r>
        <w:rPr>
          <w:snapToGrid w:val="0"/>
        </w:rPr>
        <w:t>the distribution of share ownership; and</w:t>
      </w:r>
    </w:p>
    <w:p w:rsidR="00000000" w:rsidRDefault="00590668">
      <w:pPr>
        <w:pStyle w:val="Bullet"/>
        <w:rPr>
          <w:snapToGrid w:val="0"/>
        </w:rPr>
      </w:pPr>
      <w:r>
        <w:rPr>
          <w:snapToGrid w:val="0"/>
        </w:rPr>
        <w:t>arrangements or agreements between shareholders and a corporation or controll</w:t>
      </w:r>
      <w:r>
        <w:rPr>
          <w:snapToGrid w:val="0"/>
        </w:rPr>
        <w:t>ing body that would enable a shareholder to exercise control, such as through the provision of finance, technology, materials, markets and marketing or management expertise.</w:t>
      </w:r>
    </w:p>
    <w:p w:rsidR="00000000" w:rsidRDefault="00590668">
      <w:pPr>
        <w:rPr>
          <w:snapToGrid w:val="0"/>
        </w:rPr>
      </w:pPr>
      <w:r>
        <w:rPr>
          <w:snapToGrid w:val="0"/>
          <w:lang w:val="en-US"/>
        </w:rPr>
        <w:t>The extent to which each of these factors is relevant depends on the particular ci</w:t>
      </w:r>
      <w:r>
        <w:rPr>
          <w:snapToGrid w:val="0"/>
          <w:lang w:val="en-US"/>
        </w:rPr>
        <w:t>rcumstances of each case. These circumstances can vary widely and determination of control can, therefore, only be undertaken on a case-by-case basis.</w:t>
      </w:r>
    </w:p>
    <w:p w:rsidR="00000000" w:rsidRDefault="00590668">
      <w:pPr>
        <w:pStyle w:val="Heading2"/>
      </w:pPr>
      <w:r>
        <w:t>Other provisions of the Act</w:t>
      </w:r>
    </w:p>
    <w:p w:rsidR="00000000" w:rsidRDefault="00590668">
      <w:pPr>
        <w:rPr>
          <w:snapToGrid w:val="0"/>
        </w:rPr>
      </w:pPr>
      <w:r>
        <w:rPr>
          <w:snapToGrid w:val="0"/>
          <w:lang w:val="en-US"/>
        </w:rPr>
        <w:t>If the Treasurer approves a proposal subject to conditions and the parties im</w:t>
      </w:r>
      <w:r>
        <w:rPr>
          <w:snapToGrid w:val="0"/>
          <w:lang w:val="en-US"/>
        </w:rPr>
        <w:t xml:space="preserve">plement the proposal but do not comply with the conditions, they commit </w:t>
      </w:r>
      <w:r>
        <w:rPr>
          <w:snapToGrid w:val="0"/>
          <w:lang w:val="en-US"/>
        </w:rPr>
        <w:lastRenderedPageBreak/>
        <w:t>an offence (section 25(1C)). Failure to comply with an order made by the Treasurer is an offence (section 30) and provision of false or misleading information is also an offence (refer</w:t>
      </w:r>
      <w:r>
        <w:rPr>
          <w:snapToGrid w:val="0"/>
          <w:lang w:val="en-US"/>
        </w:rPr>
        <w:t xml:space="preserve"> to Chapter 7 of the </w:t>
      </w:r>
      <w:r>
        <w:rPr>
          <w:rStyle w:val="NormalItalic"/>
        </w:rPr>
        <w:t>Criminal Code Act 1995</w:t>
      </w:r>
      <w:r>
        <w:rPr>
          <w:snapToGrid w:val="0"/>
          <w:lang w:val="en-US"/>
        </w:rPr>
        <w:t>). The Treasurer may also make orders to prohibit or unwind any schemes entered into for the purpose of avoiding the provisions of the Act (section 38A).</w:t>
      </w:r>
    </w:p>
    <w:p w:rsidR="00000000" w:rsidRDefault="00590668">
      <w:pPr>
        <w:pStyle w:val="Heading2"/>
      </w:pPr>
      <w:r>
        <w:t>Other aspects of Foreign Investment Policy</w:t>
      </w:r>
    </w:p>
    <w:p w:rsidR="00000000" w:rsidRDefault="00590668">
      <w:pPr>
        <w:pStyle w:val="Heading3"/>
      </w:pPr>
      <w:r>
        <w:t>Foreign portfoli</w:t>
      </w:r>
      <w:r>
        <w:t>o shareholdings</w:t>
      </w:r>
    </w:p>
    <w:p w:rsidR="00000000" w:rsidRDefault="00590668">
      <w:pPr>
        <w:rPr>
          <w:snapToGrid w:val="0"/>
        </w:rPr>
      </w:pPr>
      <w:r>
        <w:rPr>
          <w:snapToGrid w:val="0"/>
          <w:lang w:val="en-US"/>
        </w:rPr>
        <w:t>The Act defines a holding of 15 per cent or more of the shares or voting power of a company by a single foreign interest, either alone or together with associates, to be a controlling interest unless the Treasurer is satisfied to the contra</w:t>
      </w:r>
      <w:r>
        <w:rPr>
          <w:snapToGrid w:val="0"/>
          <w:lang w:val="en-US"/>
        </w:rPr>
        <w:t>ry.</w:t>
      </w:r>
    </w:p>
    <w:p w:rsidR="00000000" w:rsidRDefault="00590668">
      <w:pPr>
        <w:rPr>
          <w:snapToGrid w:val="0"/>
        </w:rPr>
      </w:pPr>
      <w:r>
        <w:rPr>
          <w:snapToGrid w:val="0"/>
          <w:lang w:val="en-US"/>
        </w:rPr>
        <w:t>A holding of less than 15 per cent is normally regarded as being of a portfolio nature in determining levels of ownership for the purposes of foreign investment policy. There are, however, three exceptions to this approach.</w:t>
      </w:r>
    </w:p>
    <w:p w:rsidR="00000000" w:rsidRDefault="00590668">
      <w:pPr>
        <w:rPr>
          <w:snapToGrid w:val="0"/>
          <w:lang w:val="en-US"/>
        </w:rPr>
      </w:pPr>
      <w:r>
        <w:rPr>
          <w:snapToGrid w:val="0"/>
          <w:lang w:val="en-US"/>
        </w:rPr>
        <w:t>First, where a person with a</w:t>
      </w:r>
      <w:r>
        <w:rPr>
          <w:snapToGrid w:val="0"/>
          <w:lang w:val="en-US"/>
        </w:rPr>
        <w:t xml:space="preserve"> shareholding of less than 15 per cent is able to exert control through representation on the Board of the Company and/or is otherwise able to influence the operations through other means, for example, the provision of technology, finance or marketing link</w:t>
      </w:r>
      <w:r>
        <w:rPr>
          <w:snapToGrid w:val="0"/>
          <w:lang w:val="en-US"/>
        </w:rPr>
        <w:t>s, the shareholding may be taken into account in calculating the level of foreign ownership of the company. The person’s arrangements affecting control of the company may also come within the scope of the Act.</w:t>
      </w:r>
    </w:p>
    <w:p w:rsidR="00000000" w:rsidRDefault="00590668">
      <w:pPr>
        <w:rPr>
          <w:snapToGrid w:val="0"/>
        </w:rPr>
      </w:pPr>
      <w:r>
        <w:rPr>
          <w:snapToGrid w:val="0"/>
          <w:lang w:val="en-US"/>
        </w:rPr>
        <w:t>Second, where foreign shareholdings (including</w:t>
      </w:r>
      <w:r>
        <w:rPr>
          <w:snapToGrid w:val="0"/>
          <w:lang w:val="en-US"/>
        </w:rPr>
        <w:t xml:space="preserve"> foreign portfolio shareholdings) aggregate to 40</w:t>
      </w:r>
      <w:r>
        <w:t> </w:t>
      </w:r>
      <w:r>
        <w:rPr>
          <w:snapToGrid w:val="0"/>
          <w:lang w:val="en-US"/>
        </w:rPr>
        <w:t>per cent or more in a company or venture, the foreign portfolio shares are counted as foreign for the purposes of foreign investment policy and the company or venture would be regarded as a ‘foreign interes</w:t>
      </w:r>
      <w:r>
        <w:rPr>
          <w:snapToGrid w:val="0"/>
          <w:lang w:val="en-US"/>
        </w:rPr>
        <w:t>t’.</w:t>
      </w:r>
    </w:p>
    <w:p w:rsidR="00000000" w:rsidRDefault="00590668">
      <w:pPr>
        <w:rPr>
          <w:b/>
          <w:bCs/>
          <w:snapToGrid w:val="0"/>
        </w:rPr>
      </w:pPr>
      <w:r>
        <w:rPr>
          <w:snapToGrid w:val="0"/>
          <w:lang w:val="en-US"/>
        </w:rPr>
        <w:t xml:space="preserve">Third, where more than half the assets of a company are in the form of Australian urban land, proposed acquisitions by foreign interests of shareholdings of </w:t>
      </w:r>
      <w:r>
        <w:rPr>
          <w:snapToGrid w:val="0"/>
          <w:u w:val="single"/>
          <w:lang w:val="en-US"/>
        </w:rPr>
        <w:t>less than</w:t>
      </w:r>
      <w:r>
        <w:rPr>
          <w:snapToGrid w:val="0"/>
          <w:lang w:val="en-US"/>
        </w:rPr>
        <w:t xml:space="preserve"> 15 per cent are examinable, unless coming within one of the exempt categories outline</w:t>
      </w:r>
      <w:r>
        <w:rPr>
          <w:snapToGrid w:val="0"/>
          <w:lang w:val="en-US"/>
        </w:rPr>
        <w:t>d in the Urban Land Guidelines.</w:t>
      </w:r>
    </w:p>
    <w:p w:rsidR="00000000" w:rsidRDefault="00590668">
      <w:pPr>
        <w:pStyle w:val="Heading3"/>
      </w:pPr>
      <w:r>
        <w:lastRenderedPageBreak/>
        <w:t>Responsibilities of the foreign investor</w:t>
      </w:r>
    </w:p>
    <w:p w:rsidR="00000000" w:rsidRDefault="00590668">
      <w:pPr>
        <w:rPr>
          <w:snapToGrid w:val="0"/>
          <w:lang w:val="en-US"/>
        </w:rPr>
      </w:pPr>
      <w:r>
        <w:rPr>
          <w:snapToGrid w:val="0"/>
          <w:lang w:val="en-US"/>
        </w:rPr>
        <w:t>In the application of foreign investment policy, the Government seeks the co</w:t>
      </w:r>
      <w:r>
        <w:rPr>
          <w:snapToGrid w:val="0"/>
          <w:lang w:val="en-US"/>
        </w:rPr>
        <w:noBreakHyphen/>
        <w:t>operation of foreign investors. As part of this process of co-o</w:t>
      </w:r>
      <w:r>
        <w:rPr>
          <w:snapToGrid w:val="0"/>
          <w:lang w:val="en-US"/>
        </w:rPr>
        <w:t>peration, and in its role of maintaining awareness of the activities of foreign controlled corporations operating in Australia, the Board welcomes opportunities to discuss with foreign companies their operations and plans for investment in Australia.</w:t>
      </w:r>
    </w:p>
    <w:p w:rsidR="00000000" w:rsidRDefault="00590668">
      <w:pPr>
        <w:rPr>
          <w:snapToGrid w:val="0"/>
        </w:rPr>
      </w:pPr>
      <w:r>
        <w:rPr>
          <w:snapToGrid w:val="0"/>
          <w:lang w:val="en-US"/>
        </w:rPr>
        <w:t>The G</w:t>
      </w:r>
      <w:r>
        <w:rPr>
          <w:snapToGrid w:val="0"/>
          <w:lang w:val="en-US"/>
        </w:rPr>
        <w:t>overnment also directs the attention of foreign investors to the Organisation for Economic Co-operation and Development (OECD) guidelines for multinational enterprises (see </w:t>
      </w:r>
      <w:r>
        <w:rPr>
          <w:rStyle w:val="NormalBold"/>
        </w:rPr>
        <w:t>Appendix G</w:t>
      </w:r>
      <w:r>
        <w:rPr>
          <w:snapToGrid w:val="0"/>
          <w:lang w:val="en-US"/>
        </w:rPr>
        <w:t>). The guidelines form an integral part of the OECD Declaration on intern</w:t>
      </w:r>
      <w:r>
        <w:rPr>
          <w:snapToGrid w:val="0"/>
          <w:lang w:val="en-US"/>
        </w:rPr>
        <w:t>ational investment, with which Australia has associated itself. The Government seeks the co-operation of foreign companies operating in Australia to observe those guidelines.</w:t>
      </w:r>
    </w:p>
    <w:p w:rsidR="00000000" w:rsidRDefault="00590668">
      <w:pPr>
        <w:pStyle w:val="Heading3"/>
      </w:pPr>
      <w:r>
        <w:t>Taxation</w:t>
      </w:r>
    </w:p>
    <w:p w:rsidR="00000000" w:rsidRDefault="00590668">
      <w:pPr>
        <w:rPr>
          <w:snapToGrid w:val="0"/>
        </w:rPr>
      </w:pPr>
      <w:r>
        <w:rPr>
          <w:snapToGrid w:val="0"/>
          <w:lang w:val="en-US"/>
        </w:rPr>
        <w:t>Taxation revenue arising from foreign investment represents a significan</w:t>
      </w:r>
      <w:r>
        <w:rPr>
          <w:snapToGrid w:val="0"/>
          <w:lang w:val="en-US"/>
        </w:rPr>
        <w:t>t benefit to Australia. Special taxation controls apply to the financing of foreign investments in Australian companies and businesses to ensure that foreign investors do not, through the structuring of their investments, obtain a taxation advantage not av</w:t>
      </w:r>
      <w:r>
        <w:rPr>
          <w:snapToGrid w:val="0"/>
          <w:lang w:val="en-US"/>
        </w:rPr>
        <w:t>ailable to local investors.</w:t>
      </w:r>
    </w:p>
    <w:p w:rsidR="00000000" w:rsidRDefault="00590668">
      <w:r>
        <w:t>The provisions of the income tax legislation seek to ensure that financing arrangements associated with foreign investment reflect normal commercial practice. This is of particular relevance where funds for the implementation of</w:t>
      </w:r>
      <w:r>
        <w:t xml:space="preserve"> a proposal are to be provided by foreign associates of the parties to a proposal, for instance, by a foreign parent or associated company. In these circumstances, the Government is concerned to ensure that the capital structure employed, and especially th</w:t>
      </w:r>
      <w:r>
        <w:t xml:space="preserve">e proportion of debt to equity funds employed, reflects the commercial practices of the industry concerned. </w:t>
      </w:r>
    </w:p>
    <w:p w:rsidR="00000000" w:rsidRDefault="00590668">
      <w:pPr>
        <w:pStyle w:val="Heading3"/>
      </w:pPr>
      <w:r>
        <w:t>Foreign government investment in Australia</w:t>
      </w:r>
    </w:p>
    <w:p w:rsidR="00000000" w:rsidRDefault="00590668">
      <w:pPr>
        <w:rPr>
          <w:snapToGrid w:val="0"/>
          <w:lang w:val="en-US"/>
        </w:rPr>
      </w:pPr>
      <w:r>
        <w:rPr>
          <w:snapToGrid w:val="0"/>
          <w:lang w:val="en-US"/>
        </w:rPr>
        <w:t>Special taxation considerations can arise in respect of proposals by foreign governments or their agenci</w:t>
      </w:r>
      <w:r>
        <w:rPr>
          <w:snapToGrid w:val="0"/>
          <w:lang w:val="en-US"/>
        </w:rPr>
        <w:t>es to invest in Australia. The Government requires commercial investments in Australia by foreign governments or their agencies to be structured in a manner which enables all normal taxes and charges to be levied, and that questions of sovereign immunity d</w:t>
      </w:r>
      <w:r>
        <w:rPr>
          <w:snapToGrid w:val="0"/>
          <w:lang w:val="en-US"/>
        </w:rPr>
        <w:t>o not arise.</w:t>
      </w:r>
    </w:p>
    <w:p w:rsidR="00000000" w:rsidRDefault="00590668">
      <w:pPr>
        <w:pStyle w:val="Heading3"/>
      </w:pPr>
      <w:r>
        <w:lastRenderedPageBreak/>
        <w:t>Australian sources of finance</w:t>
      </w:r>
    </w:p>
    <w:p w:rsidR="00000000" w:rsidRDefault="00590668">
      <w:pPr>
        <w:rPr>
          <w:snapToGrid w:val="0"/>
          <w:lang w:val="en-US"/>
        </w:rPr>
      </w:pPr>
      <w:r>
        <w:rPr>
          <w:snapToGrid w:val="0"/>
          <w:lang w:val="en-US"/>
        </w:rPr>
        <w:t>Foreign-controlled companies incorporated in Australia or operating here as locally registered foreign companies may raise funds for their local requirements in the Australian capital market. Such foreign companie</w:t>
      </w:r>
      <w:r>
        <w:rPr>
          <w:snapToGrid w:val="0"/>
          <w:lang w:val="en-US"/>
        </w:rPr>
        <w:t>s proposing to borrow locally are, however, invited to consider alternative sources of financing including the raising of local equity by means of new share issues or other placements subject to normal stock exchange requirements.</w:t>
      </w:r>
    </w:p>
    <w:p w:rsidR="00000000" w:rsidRDefault="00590668">
      <w:pPr>
        <w:rPr>
          <w:snapToGrid w:val="0"/>
        </w:rPr>
        <w:sectPr w:rsidR="00000000">
          <w:headerReference w:type="even" r:id="rId66"/>
          <w:headerReference w:type="default" r:id="rId67"/>
          <w:footerReference w:type="even" r:id="rId68"/>
          <w:footerReference w:type="default" r:id="rId69"/>
          <w:pgSz w:w="11907" w:h="16840" w:code="9"/>
          <w:pgMar w:top="2466" w:right="2098" w:bottom="2466" w:left="2098" w:header="1899" w:footer="1899" w:gutter="0"/>
          <w:cols w:space="709"/>
        </w:sectPr>
      </w:pPr>
    </w:p>
    <w:p w:rsidR="00000000" w:rsidRDefault="00590668">
      <w:pPr>
        <w:pStyle w:val="chattach"/>
      </w:pPr>
      <w:r>
        <w:lastRenderedPageBreak/>
        <w:t>CHAPTER 4</w:t>
      </w:r>
    </w:p>
    <w:p w:rsidR="00000000" w:rsidRDefault="00590668">
      <w:pPr>
        <w:pStyle w:val="Heading1"/>
        <w:spacing w:before="240"/>
        <w:rPr>
          <w:highlight w:val="yellow"/>
        </w:rPr>
      </w:pPr>
      <w:r>
        <w:t>International investment issues and Australia’s international investment position</w:t>
      </w:r>
    </w:p>
    <w:p w:rsidR="00000000" w:rsidRDefault="00590668">
      <w:pPr>
        <w:rPr>
          <w:lang w:val="en-US"/>
        </w:rPr>
      </w:pPr>
      <w:r>
        <w:rPr>
          <w:lang w:val="en-US"/>
        </w:rPr>
        <w:t>One of the Governmen</w:t>
      </w:r>
      <w:r>
        <w:rPr>
          <w:lang w:val="en-US"/>
        </w:rPr>
        <w:t>t’s principal trade objectives is to capture the benefits of trade liberalisation and international investment for Australia by pursuing a multi-faceted trade policy of progressing complementary multilateral, regional and bilateral partnerships.</w:t>
      </w:r>
    </w:p>
    <w:p w:rsidR="00000000" w:rsidRDefault="00590668">
      <w:pPr>
        <w:rPr>
          <w:lang w:val="en-US"/>
        </w:rPr>
      </w:pPr>
      <w:r>
        <w:rPr>
          <w:lang w:val="en-US"/>
        </w:rPr>
        <w:t>The Foreig</w:t>
      </w:r>
      <w:r>
        <w:rPr>
          <w:lang w:val="en-US"/>
        </w:rPr>
        <w:t>n Investment Policy Division is responsible for international investment policy issues in multilateral forums, such as the Organisation for Economic Cooperation and Development (OECD) and the World Trade Organisation (WTO), in regional forums such as Asia-</w:t>
      </w:r>
      <w:r>
        <w:rPr>
          <w:lang w:val="en-US"/>
        </w:rPr>
        <w:t>Pacific Economic Cooperation (APEC), and bilaterally through free trade agreements, investment protection and promotion agreements and other bilateral partnerships.</w:t>
      </w:r>
    </w:p>
    <w:p w:rsidR="00000000" w:rsidRDefault="00590668">
      <w:pPr>
        <w:rPr>
          <w:sz w:val="21"/>
          <w:szCs w:val="21"/>
        </w:rPr>
      </w:pPr>
      <w:r>
        <w:rPr>
          <w:sz w:val="21"/>
          <w:szCs w:val="21"/>
        </w:rPr>
        <w:t>The capacity to invest in foreign economies is increasingly becoming as important to global</w:t>
      </w:r>
      <w:r>
        <w:rPr>
          <w:sz w:val="21"/>
          <w:szCs w:val="21"/>
        </w:rPr>
        <w:t xml:space="preserve"> growth as the capacity to trade. According to the United Nations</w:t>
      </w:r>
      <w:r>
        <w:rPr>
          <w:rStyle w:val="FootnoteReference"/>
        </w:rPr>
        <w:footnoteReference w:id="3"/>
      </w:r>
      <w:r>
        <w:rPr>
          <w:sz w:val="21"/>
          <w:szCs w:val="21"/>
        </w:rPr>
        <w:t>, there are 65,000 transnationals corporations, with approximately 850,000 foreign affiliates across the globe. Sales by foreign affiliates in 2001, of almost US$19 trillion, were more than twice as high as world exports, while they were roughly equal in 1</w:t>
      </w:r>
      <w:r>
        <w:rPr>
          <w:sz w:val="21"/>
          <w:szCs w:val="21"/>
        </w:rPr>
        <w:t>990.</w:t>
      </w:r>
    </w:p>
    <w:p w:rsidR="00000000" w:rsidRDefault="00590668">
      <w:pPr>
        <w:rPr>
          <w:sz w:val="21"/>
          <w:szCs w:val="21"/>
        </w:rPr>
      </w:pPr>
      <w:r>
        <w:rPr>
          <w:sz w:val="21"/>
          <w:szCs w:val="21"/>
        </w:rPr>
        <w:t>Accordingly, bilateral free trade agreements (and to some extent multilateral agreements) now perform a larger role than just the removal of trade barriers. They are an instrument to promote two-way investment and to define investment parameters.</w:t>
      </w:r>
    </w:p>
    <w:p w:rsidR="00000000" w:rsidRDefault="00590668">
      <w:pPr>
        <w:rPr>
          <w:sz w:val="21"/>
          <w:szCs w:val="21"/>
        </w:rPr>
      </w:pPr>
      <w:r>
        <w:rPr>
          <w:sz w:val="21"/>
          <w:szCs w:val="21"/>
        </w:rPr>
        <w:t>Over</w:t>
      </w:r>
      <w:r>
        <w:rPr>
          <w:sz w:val="21"/>
          <w:szCs w:val="21"/>
        </w:rPr>
        <w:t xml:space="preserve"> the past two decades, continued structural change within a maturing Australian economy has not only affected the trade mix, but has significantly changed the pattern and direction of investment flows including foreign direct investment (FDI). It is import</w:t>
      </w:r>
      <w:r>
        <w:rPr>
          <w:sz w:val="21"/>
          <w:szCs w:val="21"/>
        </w:rPr>
        <w:t>ant not to focus on any one year’s figures, but the trend over the five years to 30 June 2002 shows the flows of Australian direct investment abroad have increased by 173 per cent, from $7.4 billion in 1997</w:t>
      </w:r>
      <w:r>
        <w:rPr>
          <w:sz w:val="21"/>
          <w:szCs w:val="21"/>
        </w:rPr>
        <w:noBreakHyphen/>
        <w:t>98 to $20.3 billion in 2001</w:t>
      </w:r>
      <w:r>
        <w:rPr>
          <w:sz w:val="21"/>
          <w:szCs w:val="21"/>
        </w:rPr>
        <w:noBreakHyphen/>
        <w:t>02.</w:t>
      </w:r>
    </w:p>
    <w:p w:rsidR="00000000" w:rsidRDefault="00590668">
      <w:pPr>
        <w:rPr>
          <w:sz w:val="21"/>
          <w:szCs w:val="21"/>
        </w:rPr>
      </w:pPr>
      <w:r>
        <w:rPr>
          <w:sz w:val="21"/>
          <w:szCs w:val="21"/>
        </w:rPr>
        <w:lastRenderedPageBreak/>
        <w:t>Interestingly, on</w:t>
      </w:r>
      <w:r>
        <w:rPr>
          <w:sz w:val="21"/>
          <w:szCs w:val="21"/>
        </w:rPr>
        <w:t xml:space="preserve"> 30 June 2001, the stock of Australian direct investment in the US (Australia’s single largest source of inward FDI) was $95 billion, some $32 billion more than the stock of US direct investment in Australia on the same date. Overall, as at 30 June 2000 (o</w:t>
      </w:r>
      <w:r>
        <w:rPr>
          <w:sz w:val="21"/>
          <w:szCs w:val="21"/>
        </w:rPr>
        <w:t>n the basis of the most recent figures available from the OECD), Australia was the seventh largest importer of FDI among OECD countries and the twelfth largest exporter of FDI.</w:t>
      </w:r>
    </w:p>
    <w:p w:rsidR="00000000" w:rsidRDefault="00590668">
      <w:pPr>
        <w:rPr>
          <w:sz w:val="21"/>
          <w:szCs w:val="21"/>
        </w:rPr>
      </w:pPr>
      <w:r>
        <w:rPr>
          <w:sz w:val="21"/>
          <w:szCs w:val="21"/>
        </w:rPr>
        <w:t>Australia, therefore, has a significant stake in the negotiations of internatio</w:t>
      </w:r>
      <w:r>
        <w:rPr>
          <w:sz w:val="21"/>
          <w:szCs w:val="21"/>
        </w:rPr>
        <w:t>nal investment agreements, not only as a net importer of capital, but also as an important, and growing, source of capital for other economies.</w:t>
      </w:r>
    </w:p>
    <w:p w:rsidR="00000000" w:rsidRDefault="00590668">
      <w:pPr>
        <w:pStyle w:val="Heading2"/>
      </w:pPr>
      <w:r>
        <w:t>Multilateral investment issues</w:t>
      </w:r>
    </w:p>
    <w:p w:rsidR="00000000" w:rsidRDefault="00590668">
      <w:pPr>
        <w:rPr>
          <w:sz w:val="21"/>
          <w:szCs w:val="21"/>
        </w:rPr>
      </w:pPr>
      <w:r>
        <w:rPr>
          <w:sz w:val="21"/>
          <w:szCs w:val="21"/>
        </w:rPr>
        <w:t xml:space="preserve">In the multilateral context, substantially more Divisional resources are devoted </w:t>
      </w:r>
      <w:r>
        <w:rPr>
          <w:sz w:val="21"/>
          <w:szCs w:val="21"/>
        </w:rPr>
        <w:t xml:space="preserve">to OECD matters than other multilateral forums. This is principally because the Division represents Australia in two OECD committees, the Committee on International Investment and Multinational Enterprises (CIME) and the Committee on Capital Movements and </w:t>
      </w:r>
      <w:r>
        <w:rPr>
          <w:sz w:val="21"/>
          <w:szCs w:val="21"/>
        </w:rPr>
        <w:t>Invisible Transactions (CMIT).</w:t>
      </w:r>
    </w:p>
    <w:p w:rsidR="00000000" w:rsidRDefault="00590668">
      <w:r>
        <w:t>The Executive Member of the FIRB is also the Australian National Contact Point for the OECD Guidelines for Multinational Enterprises (the Guidelines) and is responsible for the a</w:t>
      </w:r>
      <w:r>
        <w:t>dministration and promotion of these Guidelines in Australia.</w:t>
      </w:r>
    </w:p>
    <w:p w:rsidR="00000000" w:rsidRDefault="00590668">
      <w:r>
        <w:t>In contrast to its involvement in OECD work, the Division is not directly responsible for the Government’s involvement in trade related forums like the WTO and APEC. The Department of Foreign Af</w:t>
      </w:r>
      <w:r>
        <w:t>fairs and Trade (DFAT) has primary responsibility for Australia’s involvement in these forums. The Division provides expert advice and briefings on foreign investment matters to DFAT.</w:t>
      </w:r>
    </w:p>
    <w:p w:rsidR="00000000" w:rsidRDefault="00590668">
      <w:pPr>
        <w:pStyle w:val="Heading3"/>
      </w:pPr>
      <w:r>
        <w:t>OECD matters</w:t>
      </w:r>
    </w:p>
    <w:p w:rsidR="00000000" w:rsidRDefault="00590668">
      <w:pPr>
        <w:pStyle w:val="Heading4"/>
        <w:rPr>
          <w:rFonts w:ascii="Palatino" w:hAnsi="Palatino" w:cs="Palatino"/>
        </w:rPr>
      </w:pPr>
      <w:r>
        <w:t>CIME</w:t>
      </w:r>
    </w:p>
    <w:p w:rsidR="00000000" w:rsidRDefault="00590668">
      <w:r>
        <w:t>CIME is the reporting post for national contact points</w:t>
      </w:r>
      <w:r>
        <w:t xml:space="preserve"> on their activities in relation to the OECD Guidelines for Multinational Enterprises (the Guidelines) and CIME oversees member countries’ adherence to the declaration on international investment and multinational enterprises.</w:t>
      </w:r>
    </w:p>
    <w:p w:rsidR="00000000" w:rsidRDefault="00590668">
      <w:r>
        <w:lastRenderedPageBreak/>
        <w:t>CIME meetings are held quarte</w:t>
      </w:r>
      <w:r>
        <w:t>rly with one annual roundtable discussion on a specific issue under the Guidelines. The 2002 roundtable was on the issue of supply chains.</w:t>
      </w:r>
    </w:p>
    <w:p w:rsidR="00000000" w:rsidRDefault="00590668">
      <w:r>
        <w:t>CIME undertook an extensive research program during the period, focusing on overarching issues of FDI for development</w:t>
      </w:r>
      <w:r>
        <w:t>. This work has paved the way for future work in the area including the development of a policy checklist for the development and use of FDI incentives.</w:t>
      </w:r>
    </w:p>
    <w:p w:rsidR="00000000" w:rsidRDefault="00590668">
      <w:pPr>
        <w:pStyle w:val="Heading4"/>
      </w:pPr>
      <w:r>
        <w:t>CMIT</w:t>
      </w:r>
    </w:p>
    <w:p w:rsidR="00000000" w:rsidRDefault="00590668">
      <w:pPr>
        <w:rPr>
          <w:lang w:val="en-US"/>
        </w:rPr>
      </w:pPr>
      <w:r>
        <w:t>OECD Member countries have committed themselves to maintaining and expanding the freedom for inter</w:t>
      </w:r>
      <w:r>
        <w:t>national capital movements and current invisible operations under the legally binding OECD Codes of Liberalisation.</w:t>
      </w:r>
    </w:p>
    <w:p w:rsidR="00000000" w:rsidRDefault="00590668">
      <w:pPr>
        <w:rPr>
          <w:sz w:val="21"/>
          <w:szCs w:val="21"/>
          <w:lang w:val="en-US"/>
        </w:rPr>
      </w:pPr>
      <w:r>
        <w:rPr>
          <w:sz w:val="21"/>
          <w:szCs w:val="21"/>
          <w:lang w:val="en-US"/>
        </w:rPr>
        <w:t>During 2001</w:t>
      </w:r>
      <w:r>
        <w:rPr>
          <w:sz w:val="21"/>
          <w:szCs w:val="21"/>
          <w:lang w:val="en-US"/>
        </w:rPr>
        <w:noBreakHyphen/>
        <w:t xml:space="preserve">02, CMIT developed a user’s guide to the codes of liberalisation. During the period it also considered such issues as reviewing </w:t>
      </w:r>
      <w:r>
        <w:rPr>
          <w:sz w:val="21"/>
          <w:szCs w:val="21"/>
          <w:lang w:val="en-US"/>
        </w:rPr>
        <w:t>restrictions in financial services and in the telecommunications industry.</w:t>
      </w:r>
    </w:p>
    <w:p w:rsidR="00000000" w:rsidRDefault="00590668">
      <w:pPr>
        <w:pStyle w:val="Heading3"/>
      </w:pPr>
      <w:r>
        <w:t>OECD Guidelines for Multinational Enterprises</w:t>
      </w:r>
    </w:p>
    <w:p w:rsidR="00000000" w:rsidRDefault="00590668">
      <w:pPr>
        <w:rPr>
          <w:sz w:val="21"/>
          <w:szCs w:val="21"/>
          <w:lang w:val="en-US"/>
        </w:rPr>
      </w:pPr>
      <w:r>
        <w:rPr>
          <w:sz w:val="21"/>
          <w:szCs w:val="21"/>
          <w:lang w:val="en-US"/>
        </w:rPr>
        <w:t>Australia is a signatory to a declaration on international investment and multinational enterprises and a number of procedural decision</w:t>
      </w:r>
      <w:r>
        <w:rPr>
          <w:sz w:val="21"/>
          <w:szCs w:val="21"/>
          <w:lang w:val="en-US"/>
        </w:rPr>
        <w:t xml:space="preserve">s made by the member countries of the OECD in June 1976. The text of the Declaration is </w:t>
      </w:r>
      <w:r>
        <w:rPr>
          <w:sz w:val="21"/>
          <w:szCs w:val="21"/>
        </w:rPr>
        <w:t xml:space="preserve">at </w:t>
      </w:r>
      <w:r>
        <w:rPr>
          <w:rStyle w:val="NormalBold"/>
        </w:rPr>
        <w:t>Appendix G</w:t>
      </w:r>
      <w:r>
        <w:rPr>
          <w:sz w:val="21"/>
          <w:szCs w:val="21"/>
          <w:lang w:val="en-US"/>
        </w:rPr>
        <w:t xml:space="preserve"> along with the Guidelines and a further annex to the Declaration, the General </w:t>
      </w:r>
      <w:r>
        <w:rPr>
          <w:sz w:val="21"/>
          <w:szCs w:val="21"/>
        </w:rPr>
        <w:t xml:space="preserve">Considerations and Practical Approaches to Conflicting Requirements Imposed </w:t>
      </w:r>
      <w:r>
        <w:rPr>
          <w:sz w:val="21"/>
          <w:szCs w:val="21"/>
        </w:rPr>
        <w:t>on Multinational Enterprises.</w:t>
      </w:r>
    </w:p>
    <w:p w:rsidR="00000000" w:rsidRDefault="00590668">
      <w:pPr>
        <w:rPr>
          <w:sz w:val="21"/>
          <w:szCs w:val="21"/>
        </w:rPr>
      </w:pPr>
      <w:r>
        <w:rPr>
          <w:sz w:val="21"/>
          <w:szCs w:val="21"/>
        </w:rPr>
        <w:t>The Guidelines are recommendations by governments to multinational enterprises operating in or from the 30 OECD member countries and non</w:t>
      </w:r>
      <w:r>
        <w:rPr>
          <w:sz w:val="21"/>
          <w:szCs w:val="21"/>
        </w:rPr>
        <w:noBreakHyphen/>
        <w:t>member adhering countries (Argentina, Brazil, Chile, Estonia, Lithuania and Slovenia). Th</w:t>
      </w:r>
      <w:r>
        <w:rPr>
          <w:sz w:val="21"/>
          <w:szCs w:val="21"/>
        </w:rPr>
        <w:t>ey are a voluntary code of ‘best practice’ standards for responsible business conduct. The Guidelines were reviewed in June 2000.</w:t>
      </w:r>
    </w:p>
    <w:p w:rsidR="00000000" w:rsidRDefault="00590668">
      <w:pPr>
        <w:rPr>
          <w:sz w:val="21"/>
          <w:szCs w:val="21"/>
        </w:rPr>
      </w:pPr>
      <w:r>
        <w:rPr>
          <w:sz w:val="21"/>
          <w:szCs w:val="21"/>
        </w:rPr>
        <w:t>The Australian National Contact Point’s (ANCP) main activities this year have been focusing efforts to increase the general pu</w:t>
      </w:r>
      <w:r>
        <w:rPr>
          <w:sz w:val="21"/>
          <w:szCs w:val="21"/>
        </w:rPr>
        <w:t>blic awareness of the Guidelines and to address issues raised with the ANCP. This has involved:</w:t>
      </w:r>
    </w:p>
    <w:p w:rsidR="00000000" w:rsidRDefault="00590668">
      <w:pPr>
        <w:pStyle w:val="Bullet"/>
        <w:tabs>
          <w:tab w:val="clear" w:pos="454"/>
        </w:tabs>
        <w:ind w:left="567" w:hanging="567"/>
        <w:rPr>
          <w:sz w:val="21"/>
          <w:szCs w:val="21"/>
        </w:rPr>
      </w:pPr>
      <w:r>
        <w:rPr>
          <w:sz w:val="21"/>
          <w:szCs w:val="21"/>
        </w:rPr>
        <w:t>Bi</w:t>
      </w:r>
      <w:r>
        <w:rPr>
          <w:sz w:val="21"/>
          <w:szCs w:val="21"/>
        </w:rPr>
        <w:noBreakHyphen/>
        <w:t>annual consultations with business, labour and other NGOs representing a wide range of interests. These sessions were held in Melbourne, Sydney and Canber</w:t>
      </w:r>
      <w:r>
        <w:rPr>
          <w:sz w:val="21"/>
          <w:szCs w:val="21"/>
        </w:rPr>
        <w:t xml:space="preserve">ra in November 2001, and in Melbourne and Canberra in April 2002. A special workshop on supply chains was also held in </w:t>
      </w:r>
      <w:r>
        <w:rPr>
          <w:sz w:val="21"/>
          <w:szCs w:val="21"/>
        </w:rPr>
        <w:lastRenderedPageBreak/>
        <w:t>Melbourne in June 2002 to provide input into the OECD roundtable on supply chains in Paris later that same month.</w:t>
      </w:r>
    </w:p>
    <w:p w:rsidR="00000000" w:rsidRDefault="00590668">
      <w:pPr>
        <w:pStyle w:val="Dash"/>
        <w:tabs>
          <w:tab w:val="clear" w:pos="907"/>
        </w:tabs>
        <w:ind w:left="1134" w:hanging="567"/>
      </w:pPr>
      <w:r>
        <w:t>On average, 25 agenc</w:t>
      </w:r>
      <w:r>
        <w:t>ies other than Treasury were represented at each of the bi-annual rounds. Of these, there were representatives from approximately two government agencies, five business, five unions, and seventeen other NGOs. The aim of these sessions was, among other thin</w:t>
      </w:r>
      <w:r>
        <w:t>gs, to seek the views of these organisations on the most effective way for the ANCP to promote the Guidelines, and to involve interested and relevant community groups more effectively in that process;</w:t>
      </w:r>
    </w:p>
    <w:p w:rsidR="00000000" w:rsidRDefault="00590668">
      <w:pPr>
        <w:pStyle w:val="Bullet"/>
        <w:tabs>
          <w:tab w:val="clear" w:pos="454"/>
        </w:tabs>
        <w:ind w:left="567" w:hanging="567"/>
        <w:rPr>
          <w:sz w:val="21"/>
          <w:szCs w:val="21"/>
        </w:rPr>
      </w:pPr>
      <w:r>
        <w:rPr>
          <w:sz w:val="21"/>
          <w:szCs w:val="21"/>
        </w:rPr>
        <w:t>Developing a formal consultative structure for the b</w:t>
      </w:r>
      <w:r>
        <w:rPr>
          <w:sz w:val="21"/>
          <w:szCs w:val="21"/>
        </w:rPr>
        <w:t xml:space="preserve">i-annual consultations. The aim is to provide a formal forum for business, labour, non-government organisations and the interested public to address issues under the Guidelines with the ANCP, facilitate discussion on OECD working papers, and provide ideas </w:t>
      </w:r>
      <w:r>
        <w:rPr>
          <w:sz w:val="21"/>
          <w:szCs w:val="21"/>
        </w:rPr>
        <w:t>for, and assistance with, promotion of the Guidelines;</w:t>
      </w:r>
    </w:p>
    <w:p w:rsidR="00000000" w:rsidRDefault="00590668">
      <w:pPr>
        <w:pStyle w:val="Bullet"/>
        <w:tabs>
          <w:tab w:val="clear" w:pos="454"/>
        </w:tabs>
        <w:ind w:left="567" w:hanging="567"/>
        <w:rPr>
          <w:sz w:val="21"/>
          <w:szCs w:val="21"/>
        </w:rPr>
      </w:pPr>
      <w:r>
        <w:rPr>
          <w:sz w:val="21"/>
          <w:szCs w:val="21"/>
        </w:rPr>
        <w:t>Sponsoring the attendance of Serena Lillywhite, Manager for Ethical Business, Brotherhood of St Laurence, at the OECD Round Table discussion in Paris on supply chains in June 2002; and</w:t>
      </w:r>
    </w:p>
    <w:p w:rsidR="00000000" w:rsidRDefault="00590668">
      <w:pPr>
        <w:pStyle w:val="Bullet"/>
        <w:tabs>
          <w:tab w:val="clear" w:pos="454"/>
        </w:tabs>
        <w:ind w:left="567" w:hanging="567"/>
        <w:rPr>
          <w:sz w:val="21"/>
          <w:szCs w:val="21"/>
        </w:rPr>
      </w:pPr>
      <w:r>
        <w:rPr>
          <w:sz w:val="21"/>
          <w:szCs w:val="21"/>
        </w:rPr>
        <w:t>The presen</w:t>
      </w:r>
      <w:r>
        <w:rPr>
          <w:sz w:val="21"/>
          <w:szCs w:val="21"/>
        </w:rPr>
        <w:t>tation in June 2002 of the second annual report on Australia’s NCP activities, for 2001</w:t>
      </w:r>
      <w:r>
        <w:rPr>
          <w:sz w:val="21"/>
          <w:szCs w:val="21"/>
        </w:rPr>
        <w:noBreakHyphen/>
        <w:t xml:space="preserve">02, to the OECD. Details are available on the ANCP website at </w:t>
      </w:r>
      <w:r>
        <w:t>www.ausncp.gov.au</w:t>
      </w:r>
      <w:r>
        <w:rPr>
          <w:sz w:val="21"/>
          <w:szCs w:val="21"/>
        </w:rPr>
        <w:t>.</w:t>
      </w:r>
    </w:p>
    <w:p w:rsidR="00000000" w:rsidRDefault="00590668">
      <w:r>
        <w:t>One prominent theme of the consultation process has been corporate social responsibilit</w:t>
      </w:r>
      <w:r>
        <w:t xml:space="preserve">y — or Triple Bottom Line (TBL). The TBL concept seeks to broaden the focus of corporations, small and medium enterprises, government and others to include not just their contribution to economic wellbeing, but also their potential impact on environmental </w:t>
      </w:r>
      <w:r>
        <w:t>and social conditions.</w:t>
      </w:r>
    </w:p>
    <w:p w:rsidR="00000000" w:rsidRDefault="00590668">
      <w:r>
        <w:t>The Guidelines include provisions encouraging greater corporate disclosure. The importance of this provision has been highlighted by recent high profile Australian and US corporate collapses.</w:t>
      </w:r>
    </w:p>
    <w:p w:rsidR="00000000" w:rsidRDefault="00590668">
      <w:r>
        <w:t>The ANCP also engaged parties in a discus</w:t>
      </w:r>
      <w:r>
        <w:t>sion on FDI for development, an issue to which the OECD is devoting considerable resources.</w:t>
      </w:r>
    </w:p>
    <w:p w:rsidR="00000000" w:rsidRDefault="00590668">
      <w:r>
        <w:t>No specific instance complaints have been raised with the ANCP in the past 12 months.</w:t>
      </w:r>
    </w:p>
    <w:p w:rsidR="00000000" w:rsidRDefault="00590668">
      <w:pPr>
        <w:pStyle w:val="Heading4"/>
      </w:pPr>
      <w:r>
        <w:lastRenderedPageBreak/>
        <w:t>Recent developments</w:t>
      </w:r>
    </w:p>
    <w:p w:rsidR="00000000" w:rsidRDefault="00590668">
      <w:r>
        <w:t xml:space="preserve">The ANCP is upgrading its website in response to comments </w:t>
      </w:r>
      <w:r>
        <w:t>made in the April round of consultation to grant participants greater access to OECD documents and to allow interested parties to register their interest and, as necessary, to update their contact details.</w:t>
      </w:r>
    </w:p>
    <w:p w:rsidR="00000000" w:rsidRDefault="00590668">
      <w:r>
        <w:t xml:space="preserve">The ANCP has developed a paper which outlines the </w:t>
      </w:r>
      <w:r>
        <w:t>formal structure of the ANCP, together with clarifying how it will deal with complaints, details on how parties can lodge complaints and answers to frequently asked questions. This documentation is available on the ANCP website.</w:t>
      </w:r>
    </w:p>
    <w:p w:rsidR="00000000" w:rsidRDefault="00590668">
      <w:r>
        <w:t>The ANCP is continuing to develop its work in promoting the Guidelines and, in particular, in ensuring that the Australian business sector is actively engaged in this process.</w:t>
      </w:r>
    </w:p>
    <w:p w:rsidR="00000000" w:rsidRDefault="00590668">
      <w:pPr>
        <w:pStyle w:val="Heading3"/>
      </w:pPr>
      <w:r>
        <w:t>World Trade Organisation (WTO)</w:t>
      </w:r>
    </w:p>
    <w:p w:rsidR="00000000" w:rsidRDefault="00590668">
      <w:r>
        <w:t xml:space="preserve">Australia also pursues its interests in relation </w:t>
      </w:r>
      <w:r>
        <w:t>to international investment through involvement in the WTO Working Group on the Relationship between Trade and Investment (Working Group). The Working Group was formed following the Uruguay Round at the WTO Ministerial Conference in Singapore in 1996 and i</w:t>
      </w:r>
      <w:r>
        <w:t xml:space="preserve">ts mandate was extended indefinitely in 1998. At the WTO Ministerial Meeting in Doha in November 2001, Ministers agreed to launch, subject to explicit consensus, multilateral rules for trade and investment after the Fifth Ministerial Conference to be held </w:t>
      </w:r>
      <w:r>
        <w:t>in Cancun, Mexico in September 2003. Negotiations on a multilateral framework for investment would be part of the ‘single undertaking’ underpinning the entire round of negotiations covered by the Doha Development Agenda by 1 January 2005.</w:t>
      </w:r>
    </w:p>
    <w:p w:rsidR="00000000" w:rsidRDefault="00590668">
      <w:r>
        <w:t>The Division prov</w:t>
      </w:r>
      <w:r>
        <w:t>ides expert advice and briefings to the Department of Foreign Affairs and Trade, which represents Australia at Working Group meetings. The agenda for 2002 involved four meetings covering seven key areas, as identified in the Doha Declaration, viz, scope an</w:t>
      </w:r>
      <w:r>
        <w:t xml:space="preserve">d definition; transparency; non-discrimination; modalities for pre-establishment commitments; development provisions; balance of payments safeguards; and settlement of disputes between members. Agenda items include the transfer and diffusion of technology </w:t>
      </w:r>
      <w:r>
        <w:t xml:space="preserve">and technical assistance to developing countries, as well as technical definitional and scope issues. The objective for the two meetings of the Working Group currently scheduled for 2003 will be to complete any unfinished discussions on the seven elements </w:t>
      </w:r>
      <w:r>
        <w:t xml:space="preserve">identified in the Doha Declaration, explore other issues that Members wish to pursue, and </w:t>
      </w:r>
      <w:r>
        <w:lastRenderedPageBreak/>
        <w:t>reach agreement on modalities of negotiation, which will be presented to Trade Ministers at the Ministerial Conference.</w:t>
      </w:r>
    </w:p>
    <w:p w:rsidR="00000000" w:rsidRDefault="00590668">
      <w:pPr>
        <w:pStyle w:val="Heading3"/>
      </w:pPr>
      <w:r>
        <w:t>Asia-Pacific Economic Cooperation (APEC)</w:t>
      </w:r>
    </w:p>
    <w:p w:rsidR="00000000" w:rsidRDefault="00590668">
      <w:pPr>
        <w:rPr>
          <w:highlight w:val="yellow"/>
        </w:rPr>
      </w:pPr>
      <w:r>
        <w:t>Austr</w:t>
      </w:r>
      <w:r>
        <w:t>alia continues to participate actively in the work of APEC, including in relation to foreign investment. Australia’s main investment interest in APEC is to encourage APEC members to enhance the environment for investment liberalisation in their economies a</w:t>
      </w:r>
      <w:r>
        <w:t>nd to improve transparency. This is done through Individual Action Plans (IAPs), peer reviews and collective action through the work of the Investment Experts Group (IEG).</w:t>
      </w:r>
    </w:p>
    <w:p w:rsidR="00000000" w:rsidRDefault="00590668">
      <w:r>
        <w:t>During 2001</w:t>
      </w:r>
      <w:r>
        <w:noBreakHyphen/>
        <w:t>02, the Division revised and updated the Investment Chapter of Australia</w:t>
      </w:r>
      <w:r>
        <w:t>’s annual IAP. This Chapter describes the investment environment and policies of APEC member economies, and is intended to give a clear view of progress in achieving the announced Bogor goal of free and open trade and investment between APEC member economi</w:t>
      </w:r>
      <w:r>
        <w:t>es. Australia’s IAP for 2001</w:t>
      </w:r>
      <w:r>
        <w:noBreakHyphen/>
        <w:t xml:space="preserve">02 included information on liberalisation of Australia’s foreign investment policy and investment related measures which have occurred in the past twelve months, as well as those which have been implemented since the base year </w:t>
      </w:r>
      <w:r>
        <w:t>of 1996. Copies of APEC IAPs are available on the APEC website at www.apecsec.org.sg.</w:t>
      </w:r>
    </w:p>
    <w:p w:rsidR="00000000" w:rsidRDefault="00590668">
      <w:pPr>
        <w:rPr>
          <w:highlight w:val="yellow"/>
        </w:rPr>
      </w:pPr>
      <w:r>
        <w:t>Australia agreed to be the subject of peer review in 2002 along with Canada and Thailand. This involves reporting on Australia’s progress in achieving trade and investmen</w:t>
      </w:r>
      <w:r>
        <w:t>t liberalisation as set out in its IAP</w:t>
      </w:r>
      <w:r>
        <w:rPr>
          <w:i/>
          <w:iCs/>
        </w:rPr>
        <w:t>.</w:t>
      </w:r>
      <w:r>
        <w:t xml:space="preserve"> It also involves Australia responding to questions addressed to it by other APEC member economies and the APEC Secretariat. The Division was responsible for all investment related questions.</w:t>
      </w:r>
    </w:p>
    <w:p w:rsidR="00000000" w:rsidRDefault="00590668">
      <w:r>
        <w:t>The Division provided tec</w:t>
      </w:r>
      <w:r>
        <w:t>hnical assistance to other areas of Treasury and to DFAT regarding attendance at meetings of the IEG.</w:t>
      </w:r>
    </w:p>
    <w:p w:rsidR="00000000" w:rsidRDefault="00590668">
      <w:pPr>
        <w:pStyle w:val="Heading2"/>
      </w:pPr>
      <w:r>
        <w:t>Bilateral investment issues</w:t>
      </w:r>
    </w:p>
    <w:p w:rsidR="00000000" w:rsidRDefault="00590668">
      <w:pPr>
        <w:pStyle w:val="Heading3"/>
      </w:pPr>
      <w:r>
        <w:t>Investment Promotion and Protection Agreements (IPPAs)</w:t>
      </w:r>
    </w:p>
    <w:p w:rsidR="00000000" w:rsidRDefault="00590668">
      <w:r>
        <w:t>Australia’s bilateral IPPAs provide a clear set of obligations relating</w:t>
      </w:r>
      <w:r>
        <w:t xml:space="preserve"> to the promotion and protection of investments of the signatory parties. By promoting confidence in the regulatory environment relating to foreign </w:t>
      </w:r>
      <w:r>
        <w:lastRenderedPageBreak/>
        <w:t>investment, IPPAs have the potential to enhance investment flows between Australia and other countries. IPPA</w:t>
      </w:r>
      <w:r>
        <w:t>s apply post</w:t>
      </w:r>
      <w:r>
        <w:noBreakHyphen/>
        <w:t>establishment, that is Australia’s sovereign right to admit investments (either through acquisitions or new businesses) is unaffected by the provisions of such agreements.</w:t>
      </w:r>
    </w:p>
    <w:p w:rsidR="00000000" w:rsidRDefault="00590668">
      <w:r>
        <w:t>A model IPPA text has been developed to provide the basis on which thes</w:t>
      </w:r>
      <w:r>
        <w:t>e agreements can be negotiated. The IPPAs provide ‘most favoured nation’ commitments relating to the treatment of foreign investment, give undertakings about expropriation/nationalisation (including the nature of compensation for such acts) and establish m</w:t>
      </w:r>
      <w:r>
        <w:t>echanisms for resolving disputes over investment matters.</w:t>
      </w:r>
    </w:p>
    <w:p w:rsidR="00000000" w:rsidRDefault="00590668">
      <w:r>
        <w:t>To date, Australia has signed IPPAs with Argentina, Chile, the Czech Republic, Hong Kong, Hungary, India, Indonesia, Laos, Lithuania, Pakistan, Papua New Guinea, the People’s Republic of China, Peru</w:t>
      </w:r>
      <w:r>
        <w:t>, the Philippines, Poland, Romania, and Vietnam. Agreements with Egypt, Sri Lanka, the United Arab Emirates and Uruguay have been signed but are not yet in force. Australia recently completed IPPA negotiations with Mexico and Turkey with an intention to si</w:t>
      </w:r>
      <w:r>
        <w:t>gn the agreements in coming months. Australia is currently negotiating IPPAs with a number of countries, including Thailand and Russia.</w:t>
      </w:r>
    </w:p>
    <w:p w:rsidR="00000000" w:rsidRDefault="00590668">
      <w:pPr>
        <w:pStyle w:val="Heading3"/>
      </w:pPr>
      <w:r>
        <w:t>Other agreements involving investment</w:t>
      </w:r>
    </w:p>
    <w:p w:rsidR="00000000" w:rsidRDefault="00590668">
      <w:pPr>
        <w:pStyle w:val="Heading4"/>
      </w:pPr>
      <w:r>
        <w:t xml:space="preserve">Australia — Singapore Free Trade Agreement </w:t>
      </w:r>
    </w:p>
    <w:p w:rsidR="00000000" w:rsidRDefault="00590668">
      <w:pPr>
        <w:rPr>
          <w:lang w:val="en-US"/>
        </w:rPr>
      </w:pPr>
      <w:r>
        <w:rPr>
          <w:lang w:val="en-US"/>
        </w:rPr>
        <w:t>Australia concluded a Free Trade Agree</w:t>
      </w:r>
      <w:r>
        <w:rPr>
          <w:lang w:val="en-US"/>
        </w:rPr>
        <w:t xml:space="preserve">ment (FTA) with Singapore in October 2002. </w:t>
      </w:r>
      <w:r>
        <w:t>The Singapore-Australia FTA (SAFTA) is Australia’s first FTA since the conclusion of the Australia</w:t>
      </w:r>
      <w:r>
        <w:noBreakHyphen/>
        <w:t>New Zealand Closer Economic Relations Agreement nearly twenty years ago.</w:t>
      </w:r>
      <w:r>
        <w:rPr>
          <w:lang w:val="en-US"/>
        </w:rPr>
        <w:t xml:space="preserve"> The SAFTA reflects a trend in recent year</w:t>
      </w:r>
      <w:r>
        <w:rPr>
          <w:lang w:val="en-US"/>
        </w:rPr>
        <w:t>s towards bilateral negotiations where the key objectives are the further liberalisation of trade in goods, services and investment between two countries.</w:t>
      </w:r>
    </w:p>
    <w:p w:rsidR="00000000" w:rsidRDefault="00590668">
      <w:r>
        <w:rPr>
          <w:lang w:val="en-US"/>
        </w:rPr>
        <w:t>DFAT has primary responsibility for negotiating FTAs and the Division contributes expert advice on in</w:t>
      </w:r>
      <w:r>
        <w:rPr>
          <w:lang w:val="en-US"/>
        </w:rPr>
        <w:t xml:space="preserve">ternational investment issues. </w:t>
      </w:r>
      <w:r>
        <w:t>In addition to eliminating tariffs on goods, SAFTA establishes a more open, predictable and transparent framework for bilateral trade and investment across a wide range of areas. These include trade in services, investment, t</w:t>
      </w:r>
      <w:r>
        <w:t>elecoms regulation, competition policy, government procurement, technical standards, intellectual property, electronic commerce and customs procedures.</w:t>
      </w:r>
    </w:p>
    <w:p w:rsidR="00000000" w:rsidRDefault="00590668">
      <w:pPr>
        <w:rPr>
          <w:snapToGrid w:val="0"/>
          <w:lang w:val="en-US"/>
        </w:rPr>
      </w:pPr>
      <w:r>
        <w:lastRenderedPageBreak/>
        <w:t>SAFTA will improve the environment for Australian investment in Singapore. Australian investors will rec</w:t>
      </w:r>
      <w:r>
        <w:t>eive national treatment placing them on a par with domestic investors except in areas specifically exempted. In the event that investors from another country are offered more favourable terms by Singapore under another agreement, Singapore has agreed to co</w:t>
      </w:r>
      <w:r>
        <w:t xml:space="preserve">nsider offering Australian investors treatment no less favourable than under this other agreement. Australian investors will also enjoy greater transparency in relation to investment restrictions in Singapore’s government-linked companies. They will enjoy </w:t>
      </w:r>
      <w:r>
        <w:t>protection against expropriation and will be entitled to compensation should expropriation or other loss occur. The agreement was concluded using the ‘negative list’ approach for scheduling exceptions to general principles. No changes are required to Austr</w:t>
      </w:r>
      <w:r>
        <w:t>alia’s foreign investment screening processes, nor to current restrictions on foreign ownership controls, for example, on institutions such as Telstra and Qantas.</w:t>
      </w:r>
    </w:p>
    <w:p w:rsidR="00000000" w:rsidRDefault="00590668">
      <w:pPr>
        <w:pStyle w:val="Heading4"/>
        <w:spacing w:after="240"/>
      </w:pPr>
      <w:r>
        <w:t>Australia — New Zealand Closer Economic Relations</w:t>
      </w:r>
    </w:p>
    <w:p w:rsidR="00000000" w:rsidRDefault="00590668">
      <w:r>
        <w:t>The Closer Economic Relations Agreement bet</w:t>
      </w:r>
      <w:r>
        <w:t>ween Australia and New Zealand entered into force in 1983. The objectives of CER are to expand free trade by eliminating barriers to trade and promoting fair competition. The agreement assisted in building up momentum for trade liberalisation. By 1990, fiv</w:t>
      </w:r>
      <w:r>
        <w:t>e years ahead of schedule, all tariffs and quantitative restrictions had been removed from trans</w:t>
      </w:r>
      <w:r>
        <w:noBreakHyphen/>
        <w:t>Tasman goods trade.</w:t>
      </w:r>
    </w:p>
    <w:p w:rsidR="00000000" w:rsidRDefault="00590668">
      <w:r>
        <w:t xml:space="preserve">Australia and New Zealand continue to enjoy a close relationship with high levels of investment flowing between the two countries. In 1999 </w:t>
      </w:r>
      <w:r>
        <w:t>The Joint Prime Ministerial Taskforce on Australia New Zealand Bilateral Economic Relations (ANZBER) was established to address a number of issues including impediments to trans-Tasman investment. The review resulted in significant liberalisations to the i</w:t>
      </w:r>
      <w:r>
        <w:t xml:space="preserve">nvestment regimes of Australia and New Zealand. Both countries have now met liberalisation commitments made in relation to investment under ANZBER. </w:t>
      </w:r>
    </w:p>
    <w:p w:rsidR="00000000" w:rsidRDefault="00590668">
      <w:pPr>
        <w:rPr>
          <w:lang w:val="en-US"/>
        </w:rPr>
      </w:pPr>
      <w:r>
        <w:t>In 2003, both countries will recognise the 20th anniversary of the CER Agreement. Australia aims to continu</w:t>
      </w:r>
      <w:r>
        <w:t>e to build on the considerable achievements already made to simplify laws and regulations that affect trans-Tasman business. There are no practical impediments to trans-Tasman investment, ongoing flows of new investment are high, and neither of our respect</w:t>
      </w:r>
      <w:r>
        <w:t>ive screening bodies has declined an investment proposal from the other country in the last ten years.</w:t>
      </w:r>
    </w:p>
    <w:p w:rsidR="00000000" w:rsidRDefault="00590668">
      <w:pPr>
        <w:pStyle w:val="Heading4"/>
      </w:pPr>
      <w:r>
        <w:lastRenderedPageBreak/>
        <w:t>Australia — US Free Trade Agreement</w:t>
      </w:r>
    </w:p>
    <w:p w:rsidR="00000000" w:rsidRDefault="00590668">
      <w:r>
        <w:t>The United States has announced its intention to begin negotiating a FTA with Australia. It is expected that the firs</w:t>
      </w:r>
      <w:r>
        <w:t>t negotiating round will take place soon after the required 90 day notification period to US Congress has elapsed, possibly in March 2003.</w:t>
      </w:r>
    </w:p>
    <w:p w:rsidR="00000000" w:rsidRDefault="00590668">
      <w:r>
        <w:t>Both countries have indicated their intention to negotiate a comprehensive agreement covering manufacturing, agricult</w:t>
      </w:r>
      <w:r>
        <w:t>ure and services, and the US administration has indicated its interest in discussing a number of issues relating to Australia’s foreign investment policy. Negotiations will present parties with major challenges. However, it is expected that a FTA will brin</w:t>
      </w:r>
      <w:r>
        <w:t>g substantial benefits to the Australian economy. It is also intended that a FTA will enable Australia and the United States to provide momentum to the current World Trade Organisation Doha Round of negotiations which remain Australia’s highest trade polic</w:t>
      </w:r>
      <w:r>
        <w:t>y priority.</w:t>
      </w:r>
    </w:p>
    <w:p w:rsidR="00000000" w:rsidRDefault="00590668">
      <w:r>
        <w:t>With regard to foreign investment policy, the Government considers that Australia’s existing arrangements are liberal and transparent and allow the Government to respond to genuine community concerns while welcoming worthwhile investment.</w:t>
      </w:r>
    </w:p>
    <w:p w:rsidR="00000000" w:rsidRDefault="00590668">
      <w:pPr>
        <w:pStyle w:val="Heading4"/>
        <w:spacing w:after="240"/>
      </w:pPr>
      <w:r>
        <w:t>Austr</w:t>
      </w:r>
      <w:r>
        <w:t>alia — Thailand Closer Economic Relations (Free Trade)</w:t>
      </w:r>
    </w:p>
    <w:p w:rsidR="00000000" w:rsidRDefault="00590668">
      <w:r>
        <w:t>Prime Minister Howard and Thailand’s Prime Minister Thaksin announced on 30 May 2002 that Australia and Thailand would begin negotiation</w:t>
      </w:r>
      <w:r>
        <w:t>s towards a closer economic relations free trade agreement. The Prime Ministers said that the agreement would be comprehensive in scope, covering liberalisation of trade in goods and services as well as cooperation in a broad range of areas that would enco</w:t>
      </w:r>
      <w:r>
        <w:t>urage strengthened trade and investment linkages.</w:t>
      </w:r>
    </w:p>
    <w:p w:rsidR="00000000" w:rsidRDefault="00590668">
      <w:r>
        <w:t xml:space="preserve">At the launch of the negotiations, the Prime Ministers noted that they expected an ‘early harvest’ within months, that is, a set of agreed measures that would be announced and implemented in advance of the </w:t>
      </w:r>
      <w:r>
        <w:t>final negotiated package. A joint statement regarding the elements of an ‘early harvest’ was made at ministerial level on 16 November 2002 and includes an in principle agreement to accelerate negotiations on the investment promotion and protection provisio</w:t>
      </w:r>
      <w:r>
        <w:t>ns of the final CER FTA agreement. The joint statement also set mid</w:t>
      </w:r>
      <w:r>
        <w:noBreakHyphen/>
        <w:t>2004 as a target for the completion of the negotiations.</w:t>
      </w:r>
    </w:p>
    <w:p w:rsidR="00000000" w:rsidRDefault="00590668">
      <w:r>
        <w:t>The Division is involved in negotiations relating to investment matters and has attended the two rounds of discussions held to date</w:t>
      </w:r>
      <w:r>
        <w:t>. The current focus is on facilitation of investment between the two countries.</w:t>
      </w:r>
    </w:p>
    <w:p w:rsidR="00000000" w:rsidRDefault="00590668">
      <w:pPr>
        <w:pStyle w:val="Heading4"/>
      </w:pPr>
      <w:r>
        <w:lastRenderedPageBreak/>
        <w:t>Australia — Japan economic partnership</w:t>
      </w:r>
    </w:p>
    <w:p w:rsidR="00000000" w:rsidRDefault="00590668">
      <w:r>
        <w:t>On 1 May 2002, Prime Minister Howard and Japanese Prime Minister Koizumi announced jointly that the two Governments would begin consultat</w:t>
      </w:r>
      <w:r>
        <w:t>ions to explore all options for deeper economic linkages between Australia and Japan.</w:t>
      </w:r>
    </w:p>
    <w:p w:rsidR="00000000" w:rsidRDefault="00590668">
      <w:r>
        <w:t>The first round of consultations was held in Tokyo on 2</w:t>
      </w:r>
      <w:r>
        <w:noBreakHyphen/>
        <w:t>3 September 2002 and the second in Canberra on 28</w:t>
      </w:r>
      <w:r>
        <w:noBreakHyphen/>
        <w:t>29 November 2002. These working group meetings are focussed larg</w:t>
      </w:r>
      <w:r>
        <w:t>ely on information sharing across a very wide range of issues relevant to both countries' trade and related policies and practices. The third, and final, working group session is scheduled for March 2003. Senior officials are expected to meet in mid</w:t>
      </w:r>
      <w:r>
        <w:noBreakHyphen/>
        <w:t>2003 t</w:t>
      </w:r>
      <w:r>
        <w:t>o agree on the outline of a report to both Prime Ministers on next steps. Australia’s objective is for the report to the Prime Ministers to lead to the conclusion of a wide</w:t>
      </w:r>
      <w:r>
        <w:noBreakHyphen/>
        <w:t>ranging trade and economic agreement between Australia and Japan.</w:t>
      </w:r>
    </w:p>
    <w:p w:rsidR="00000000" w:rsidRDefault="00590668">
      <w:r>
        <w:t xml:space="preserve">DFAT has primary </w:t>
      </w:r>
      <w:r>
        <w:t>responsibility for pursuing a trade and economic agreement with Japan. However, the Division is involved in the working group meetings and has provided analysis of Japan’s foreign investment regime and conducted preparatory work for consultations.</w:t>
      </w:r>
    </w:p>
    <w:p w:rsidR="00000000" w:rsidRDefault="00590668">
      <w:pPr>
        <w:pStyle w:val="Heading2"/>
        <w:rPr>
          <w:rStyle w:val="Heading2Char"/>
        </w:rPr>
      </w:pPr>
      <w:r>
        <w:rPr>
          <w:rStyle w:val="Heading2Char"/>
        </w:rPr>
        <w:t>Internat</w:t>
      </w:r>
      <w:r>
        <w:rPr>
          <w:rStyle w:val="Heading2Char"/>
        </w:rPr>
        <w:t>ional investment position</w:t>
      </w:r>
    </w:p>
    <w:p w:rsidR="00000000" w:rsidRDefault="00590668">
      <w:r>
        <w:t>This section summarises trends in foreign investment in Australia and Australian investment abroad using Australian Bureau of Statistics (ABS) data.</w:t>
      </w:r>
    </w:p>
    <w:p w:rsidR="00000000" w:rsidRDefault="00590668">
      <w:pPr>
        <w:rPr>
          <w:highlight w:val="yellow"/>
        </w:rPr>
      </w:pPr>
      <w:r>
        <w:t>Foreign investment in Australia refers to the stock of financial assets in Austra</w:t>
      </w:r>
      <w:r>
        <w:t>lia owned by non</w:t>
      </w:r>
      <w:r>
        <w:noBreakHyphen/>
        <w:t>residents and financial transactions that increase or decrease this stock. Conversely, Australian investment abroad refers to the stock of foreign financial assets owned by Australian residents and financial transactions that increase or d</w:t>
      </w:r>
      <w:r>
        <w:t>ecrease that stock.</w:t>
      </w:r>
    </w:p>
    <w:p w:rsidR="00000000" w:rsidRDefault="00590668">
      <w:r>
        <w:t>ABS data on Australia’s international investment, which are compiled in accordance with the relevant international statistical standards promulgated by the OECD and the International Monetary Fund, are based on different criteria from t</w:t>
      </w:r>
      <w:r>
        <w:t>hose used by the Board.</w:t>
      </w:r>
    </w:p>
    <w:p w:rsidR="00000000" w:rsidRDefault="00590668">
      <w:pPr>
        <w:rPr>
          <w:highlight w:val="yellow"/>
        </w:rPr>
      </w:pPr>
      <w:r>
        <w:t>There are substantial differences between the Board’s statistics and ABS statistics. These include differences in coverage, concepts and timing. ABS data are a measure of the actual cross</w:t>
      </w:r>
      <w:r>
        <w:noBreakHyphen/>
        <w:t>border transactions that have occurred and t</w:t>
      </w:r>
      <w:r>
        <w:t xml:space="preserve">he level of foreign investment held at a particular time. The Board’s figures are an aggregation of the proposals submitted for approval, regardless of the </w:t>
      </w:r>
      <w:r>
        <w:lastRenderedPageBreak/>
        <w:t>source of finance used, along with the proposed associated expenditures. The limitations of the Boar</w:t>
      </w:r>
      <w:r>
        <w:t>d’s data are explained in Chapter 2.</w:t>
      </w:r>
    </w:p>
    <w:p w:rsidR="00000000" w:rsidRDefault="00590668">
      <w:pPr>
        <w:pStyle w:val="Heading3"/>
        <w:jc w:val="both"/>
      </w:pPr>
      <w:r>
        <w:t>Foreign investment levels</w:t>
      </w:r>
    </w:p>
    <w:p w:rsidR="00000000" w:rsidRDefault="00590668">
      <w:r>
        <w:t>Foreign investment has made a significant contribution to the development of Australia. It provides scope for higher rates of economic activity and employment than could be achieved from domest</w:t>
      </w:r>
      <w:r>
        <w:t>ic levels of savings. FDI also provides access to new technology, management skills and overseas markets. According to ABS data, as at 30 June 2002, FDI accounted for 29.6 per cent of Australia’s Gross Domestic Product, an increase of 0.5 per cent over the</w:t>
      </w:r>
      <w:r>
        <w:t xml:space="preserve"> past three years.</w:t>
      </w:r>
    </w:p>
    <w:p w:rsidR="00000000" w:rsidRDefault="00590668">
      <w:pPr>
        <w:rPr>
          <w:highlight w:val="green"/>
        </w:rPr>
      </w:pPr>
      <w:r>
        <w:t>The ABS estimated level, or stock, of foreign investment in Australia as at 30 June 2002, was $845 billion. This represented an increase of $21 billion, or 3 per cent, over the level at 30 June 2001. FDI accounted for $212 billion of thi</w:t>
      </w:r>
      <w:r>
        <w:t>s.</w:t>
      </w:r>
    </w:p>
    <w:p w:rsidR="00000000" w:rsidRDefault="00590668">
      <w:pPr>
        <w:rPr>
          <w:highlight w:val="green"/>
        </w:rPr>
      </w:pPr>
      <w:r>
        <w:t>In comparison, the level of Australian investment abroad,</w:t>
      </w:r>
      <w:r>
        <w:rPr>
          <w:i/>
          <w:iCs/>
        </w:rPr>
        <w:t xml:space="preserve"> </w:t>
      </w:r>
      <w:r>
        <w:t>as at 30 June 2002, was $459 billion. This represented a decrease of $3 billion or 1 per cent, over the level at 30 June 2001. FDI accounted for $156 billion of this.</w:t>
      </w:r>
    </w:p>
    <w:p w:rsidR="00000000" w:rsidRDefault="00590668">
      <w:r>
        <w:t>Table 4.1 demonstrates that, while Australia’s stock of inward FDI remains relatively steady (albeit still increasing), Australia’s stock of outward FDI is increasing at a rapid rate. As this gap between Australia’s inward and outward FDI narrows, Australi</w:t>
      </w:r>
      <w:r>
        <w:t>a is no longer such a large net importer of capital as it has been in the past. As at 30 June 2000, Australia was the seventh largest importer of FDI among OECD countries and the twelfth largest exporter.</w:t>
      </w:r>
    </w:p>
    <w:p w:rsidR="00000000" w:rsidRDefault="00590668">
      <w:pPr>
        <w:rPr>
          <w:sz w:val="21"/>
          <w:szCs w:val="21"/>
        </w:rPr>
      </w:pPr>
    </w:p>
    <w:p w:rsidR="00000000" w:rsidRDefault="00590668">
      <w:pPr>
        <w:pStyle w:val="TableHeading"/>
        <w:jc w:val="both"/>
        <w:sectPr w:rsidR="00000000">
          <w:headerReference w:type="even" r:id="rId70"/>
          <w:headerReference w:type="default" r:id="rId71"/>
          <w:footerReference w:type="even" r:id="rId72"/>
          <w:footerReference w:type="default" r:id="rId73"/>
          <w:pgSz w:w="11907" w:h="16840" w:code="9"/>
          <w:pgMar w:top="2466" w:right="2098" w:bottom="2466" w:left="2098" w:header="1899" w:footer="1899" w:gutter="0"/>
          <w:cols w:space="709"/>
        </w:sectPr>
      </w:pPr>
    </w:p>
    <w:p w:rsidR="00000000" w:rsidRDefault="00590668">
      <w:pPr>
        <w:pStyle w:val="TableHeading"/>
        <w:numPr>
          <w:ilvl w:val="0"/>
          <w:numId w:val="0"/>
        </w:numPr>
        <w:jc w:val="both"/>
      </w:pPr>
      <w:r>
        <w:lastRenderedPageBreak/>
        <w:t>Table 4.1:  International direct investment position in OECD countries</w:t>
      </w:r>
    </w:p>
    <w:p w:rsidR="00000000" w:rsidRDefault="00590668">
      <w:pPr>
        <w:pStyle w:val="TableGraphic"/>
      </w:pPr>
      <w:r>
        <w:object w:dxaOrig="11798" w:dyaOrig="3514">
          <v:shape id="_x0000_i1036" type="#_x0000_t75" style="width:590.25pt;height:175.5pt" o:ole="" fillcolor="window">
            <v:imagedata r:id="rId74" o:title=""/>
          </v:shape>
          <o:OLEObject Type="Link" ProgID="Excel.Sheet.8" ShapeID="_x0000_i1036" DrawAspect="Content" r:id="rId75" UpdateMode="Always">
            <o:LinkType>Picture</o:LinkType>
            <o:LockedField>false</o:LockedField>
          </o:OLEObject>
        </w:object>
      </w:r>
    </w:p>
    <w:p w:rsidR="00000000" w:rsidRDefault="00590668">
      <w:pPr>
        <w:pStyle w:val="Note"/>
        <w:spacing w:after="0"/>
      </w:pPr>
      <w:r>
        <w:t>Source:  OECD/Financial Statistics Unit — based on national sources.</w:t>
      </w:r>
    </w:p>
    <w:p w:rsidR="00000000" w:rsidRDefault="00590668">
      <w:pPr>
        <w:pStyle w:val="Note"/>
        <w:spacing w:after="0"/>
      </w:pPr>
      <w:r>
        <w:t>P</w:t>
      </w:r>
      <w:r>
        <w:tab/>
        <w:t>Provis</w:t>
      </w:r>
      <w:r>
        <w:t>ion data.</w:t>
      </w:r>
    </w:p>
    <w:p w:rsidR="00000000" w:rsidRDefault="00590668">
      <w:pPr>
        <w:pStyle w:val="Note"/>
        <w:spacing w:after="0"/>
      </w:pPr>
      <w:r>
        <w:t>1</w:t>
      </w:r>
      <w:r>
        <w:tab/>
        <w:t>Based on fiscal years ending 31 March.</w:t>
      </w:r>
    </w:p>
    <w:p w:rsidR="00000000" w:rsidRDefault="00590668">
      <w:pPr>
        <w:pStyle w:val="Note"/>
        <w:spacing w:after="0"/>
      </w:pPr>
      <w:r>
        <w:rPr>
          <w:b/>
          <w:bCs/>
        </w:rPr>
        <w:t>..</w:t>
      </w:r>
      <w:r>
        <w:rPr>
          <w:b/>
          <w:bCs/>
        </w:rPr>
        <w:tab/>
      </w:r>
      <w:r>
        <w:t>Statistics unavailable.</w:t>
      </w:r>
    </w:p>
    <w:p w:rsidR="00000000" w:rsidRDefault="00590668">
      <w:pPr>
        <w:pStyle w:val="Note"/>
      </w:pPr>
      <w:r>
        <w:t>Note</w:t>
      </w:r>
      <w:r>
        <w:tab/>
        <w:t>2001 and 2002 OECD data was not available at the time of publishing.</w:t>
      </w:r>
    </w:p>
    <w:p w:rsidR="00000000" w:rsidRDefault="00590668">
      <w:pPr>
        <w:pStyle w:val="Heading3"/>
        <w:ind w:left="-1134"/>
        <w:jc w:val="both"/>
        <w:sectPr w:rsidR="00000000">
          <w:headerReference w:type="first" r:id="rId76"/>
          <w:footerReference w:type="first" r:id="rId77"/>
          <w:pgSz w:w="16840" w:h="11907" w:orient="landscape" w:code="9"/>
          <w:pgMar w:top="2098" w:right="2466" w:bottom="2098" w:left="2466" w:header="1899" w:footer="1899" w:gutter="0"/>
          <w:cols w:space="709"/>
          <w:titlePg/>
        </w:sectPr>
      </w:pPr>
    </w:p>
    <w:p w:rsidR="00000000" w:rsidRDefault="00590668">
      <w:pPr>
        <w:pStyle w:val="Heading3"/>
        <w:jc w:val="both"/>
        <w:rPr>
          <w:rStyle w:val="Heading4Char"/>
        </w:rPr>
      </w:pPr>
      <w:r>
        <w:rPr>
          <w:rStyle w:val="Heading4Char"/>
        </w:rPr>
        <w:lastRenderedPageBreak/>
        <w:t>Foreign investment</w:t>
      </w:r>
      <w:r>
        <w:rPr>
          <w:rStyle w:val="Heading4Char"/>
        </w:rPr>
        <w:t xml:space="preserve"> levels by country</w:t>
      </w:r>
    </w:p>
    <w:p w:rsidR="00000000" w:rsidRDefault="00590668">
      <w:r>
        <w:t>Chart 4.1 shows the level of FDI between Australia and other major sources of FDI, namely, the US, the UK, Japan, New Zealand and Singapore for the period 30 June 1997 to 30 June 2001.</w:t>
      </w:r>
    </w:p>
    <w:p w:rsidR="00000000" w:rsidRDefault="00590668">
      <w:pPr>
        <w:pStyle w:val="ChartHeading"/>
        <w:numPr>
          <w:ilvl w:val="0"/>
          <w:numId w:val="0"/>
        </w:numPr>
        <w:jc w:val="both"/>
      </w:pPr>
      <w:r>
        <w:t>Chart 4.1:  Level of foreign direct investment by co</w:t>
      </w:r>
      <w:r>
        <w:t>untry at 30 June 2001 ($billion)</w:t>
      </w:r>
    </w:p>
    <w:p w:rsidR="00000000" w:rsidRDefault="00590668">
      <w:pPr>
        <w:pStyle w:val="Chartgraphic"/>
        <w:spacing w:after="120"/>
      </w:pPr>
      <w:r>
        <w:object w:dxaOrig="6720" w:dyaOrig="5085">
          <v:shape id="_x0000_i1037" type="#_x0000_t75" style="width:336pt;height:254.25pt" o:ole="" fillcolor="window">
            <v:imagedata r:id="rId78" o:title=""/>
          </v:shape>
          <o:OLEObject Type="Link" ProgID="Excel.Sheet.8" ShapeID="_x0000_i1037" DrawAspect="Content" r:id="rId79" UpdateMode="Always">
            <o:LinkType>Picture</o:LinkType>
            <o:LockedField>false</o:LockedField>
          </o:OLEObject>
        </w:object>
      </w:r>
    </w:p>
    <w:p w:rsidR="00000000" w:rsidRDefault="00590668">
      <w:pPr>
        <w:pStyle w:val="Note"/>
        <w:tabs>
          <w:tab w:val="left" w:pos="0"/>
        </w:tabs>
        <w:spacing w:after="600"/>
        <w:ind w:left="0" w:firstLine="0"/>
      </w:pPr>
      <w:r>
        <w:t>Source:  ABS 5352.0 International Investment Position, Australia, Supplementary Country Statistics, 2000</w:t>
      </w:r>
      <w:r>
        <w:noBreakHyphen/>
        <w:t>01 June Qtr 2002.</w:t>
      </w:r>
    </w:p>
    <w:p w:rsidR="00000000" w:rsidRDefault="00590668">
      <w:r>
        <w:t>Interestingly, the stock of Australian direct investment in the US at 30 June 2001 was $95 billion, some $32 billion more than</w:t>
      </w:r>
      <w:r>
        <w:t xml:space="preserve"> the stock of US direct investment in Australia on the same date. In comparison, Australian direct investment in the US on 30 June 1997 was $20 billion less than the stock of US direct investment in Australia.</w:t>
      </w:r>
    </w:p>
    <w:p w:rsidR="00000000" w:rsidRDefault="00590668">
      <w:r>
        <w:t>The UK was the other major source of direct in</w:t>
      </w:r>
      <w:r>
        <w:t>vestment into Australia increasing by 49 per cent over the five year period from $39 billion to $58 billion.</w:t>
      </w:r>
    </w:p>
    <w:p w:rsidR="00000000" w:rsidRDefault="00590668">
      <w:r>
        <w:t>Investment in Australia by Singapore and Japan have steadily increased over the period from $1.9 billion to $2.7 billion (46 per cent) and $15.7 bi</w:t>
      </w:r>
      <w:r>
        <w:t xml:space="preserve">llion to </w:t>
      </w:r>
      <w:r>
        <w:lastRenderedPageBreak/>
        <w:t>$17 billion (8 per cent) respectively. While the level of direct investment from New Zealand fell from $6.9 billion at 30 June 1997 to $4.9 billion at 30 June 2001.</w:t>
      </w:r>
    </w:p>
    <w:p w:rsidR="00000000" w:rsidRDefault="00590668">
      <w:pPr>
        <w:pStyle w:val="Heading3"/>
        <w:jc w:val="both"/>
      </w:pPr>
      <w:r>
        <w:t>Foreign investment flows</w:t>
      </w:r>
    </w:p>
    <w:p w:rsidR="00000000" w:rsidRDefault="00590668">
      <w:pPr>
        <w:rPr>
          <w:snapToGrid w:val="0"/>
        </w:rPr>
      </w:pPr>
      <w:r>
        <w:rPr>
          <w:snapToGrid w:val="0"/>
        </w:rPr>
        <w:t>Foreign investment transactions involve changes in the levels of Australian foreign assets and liabilities (including the creation or extinction of foreign assets and liabilities). A current account deficit in Australia’s balance of payments is balanced by</w:t>
      </w:r>
      <w:r>
        <w:rPr>
          <w:snapToGrid w:val="0"/>
        </w:rPr>
        <w:t xml:space="preserve"> a surplus on the capital and financial account, after allowing for errors and omissions. The balance on the financial account represents net financial transactions with the rest of the world, that is, the inflow of foreign investment into Australia, minus</w:t>
      </w:r>
      <w:r>
        <w:rPr>
          <w:snapToGrid w:val="0"/>
        </w:rPr>
        <w:t xml:space="preserve"> the outflow of Australian investment abroad.</w:t>
      </w:r>
    </w:p>
    <w:p w:rsidR="00000000" w:rsidRDefault="00590668">
      <w:r>
        <w:t>International investment statistics are divided into ‘direct’, ‘portfolio’, ‘financial derivatives’, ‘other investment’ and ‘reserve assets’. Under the international standards used to compile ABS foreign invest</w:t>
      </w:r>
      <w:r>
        <w:t xml:space="preserve">ment statistics, </w:t>
      </w:r>
      <w:r>
        <w:rPr>
          <w:i/>
          <w:iCs/>
        </w:rPr>
        <w:t>direct investment</w:t>
      </w:r>
      <w:r>
        <w:t xml:space="preserve"> represents capital invested in an enterprise by an investor in another country which gives the investor a ‘significant influence’ (either potentially or actually exercised) over the key policies of the enterprise. Ownersh</w:t>
      </w:r>
      <w:r>
        <w:t xml:space="preserve">ip of 10 per cent or more of the ordinary shares or voting stock of an enterprise is considered, under the ABS framework, to indicate ‘significant influence’ by an investor. </w:t>
      </w:r>
      <w:r>
        <w:rPr>
          <w:i/>
          <w:iCs/>
        </w:rPr>
        <w:t>Portfolio investment</w:t>
      </w:r>
      <w:r>
        <w:t xml:space="preserve"> is the cross</w:t>
      </w:r>
      <w:r>
        <w:noBreakHyphen/>
        <w:t xml:space="preserve">border investment in equity and debt securities </w:t>
      </w:r>
      <w:r>
        <w:t xml:space="preserve">(other than direct investment). </w:t>
      </w:r>
      <w:r>
        <w:rPr>
          <w:rStyle w:val="NormalItalic"/>
        </w:rPr>
        <w:t>Other investment</w:t>
      </w:r>
      <w:r>
        <w:t xml:space="preserve"> is a residual group that comprises many different kinds of investment. </w:t>
      </w:r>
      <w:r>
        <w:rPr>
          <w:rStyle w:val="NormalItalic"/>
        </w:rPr>
        <w:t>Reserve assets</w:t>
      </w:r>
      <w:r>
        <w:t xml:space="preserve"> are those external financial assets available to and controlled by the Reserve Bank of Australia or the Commonwealth Trea</w:t>
      </w:r>
      <w:r>
        <w:t>sury for use in financing payment imbalances or intervention in foreign exchange markets.</w:t>
      </w:r>
    </w:p>
    <w:p w:rsidR="00000000" w:rsidRDefault="00590668">
      <w:pPr>
        <w:pStyle w:val="TableHeading"/>
        <w:numPr>
          <w:ilvl w:val="0"/>
          <w:numId w:val="0"/>
        </w:numPr>
        <w:jc w:val="both"/>
      </w:pPr>
      <w:r>
        <w:lastRenderedPageBreak/>
        <w:t>Table 4.2:  Foreign investment flows ($billion)</w:t>
      </w:r>
      <w:r>
        <w:rPr>
          <w:vertAlign w:val="superscript"/>
        </w:rPr>
        <w:t>(a)</w:t>
      </w:r>
    </w:p>
    <w:p w:rsidR="00000000" w:rsidRDefault="00590668">
      <w:pPr>
        <w:pStyle w:val="Graphic"/>
        <w:spacing w:after="0"/>
        <w:ind w:right="-85"/>
        <w:rPr>
          <w:snapToGrid w:val="0"/>
        </w:rPr>
      </w:pPr>
      <w:r>
        <w:rPr>
          <w:noProof/>
        </w:rPr>
        <w:object w:dxaOrig="7704" w:dyaOrig="5254">
          <v:shape id="_x0000_i1038" type="#_x0000_t75" style="width:385.5pt;height:262.5pt" o:ole="" fillcolor="window">
            <v:imagedata r:id="rId80" o:title=""/>
          </v:shape>
          <o:OLEObject Type="Link" ProgID="Excel.Sheet.8" ShapeID="_x0000_i1038" DrawAspect="Content" r:id="rId81" UpdateMode="Always">
            <o:LinkType>Picture</o:LinkType>
            <o:LockedField>false</o:LockedField>
          </o:OLEObject>
        </w:object>
      </w:r>
    </w:p>
    <w:p w:rsidR="00000000" w:rsidRDefault="00590668">
      <w:pPr>
        <w:pStyle w:val="Note"/>
        <w:spacing w:after="0"/>
      </w:pPr>
      <w:r>
        <w:t>Note:</w:t>
      </w:r>
      <w:r>
        <w:tab/>
        <w:t xml:space="preserve"> Figures may not add due to rounding.</w:t>
      </w:r>
    </w:p>
    <w:p w:rsidR="00000000" w:rsidRDefault="00590668">
      <w:pPr>
        <w:pStyle w:val="Note"/>
        <w:spacing w:after="0"/>
      </w:pPr>
      <w:r>
        <w:t>(a)</w:t>
      </w:r>
      <w:r>
        <w:tab/>
        <w:t xml:space="preserve">In keeping with balance of payment conventions, credit entries are shown without sign and debit items are shown </w:t>
      </w:r>
      <w:r>
        <w:t>as negative entries. Thus, investment flows going from Australia to offshore destinations are shown as a negative.</w:t>
      </w:r>
    </w:p>
    <w:p w:rsidR="00000000" w:rsidRDefault="00590668">
      <w:pPr>
        <w:pStyle w:val="Note"/>
        <w:spacing w:after="0"/>
      </w:pPr>
      <w:r>
        <w:t>(b)</w:t>
      </w:r>
      <w:r>
        <w:tab/>
        <w:t>Derivatives were included in Other Investments prior to 2000.</w:t>
      </w:r>
    </w:p>
    <w:p w:rsidR="00000000" w:rsidRDefault="00590668">
      <w:pPr>
        <w:pStyle w:val="Note"/>
        <w:spacing w:after="0"/>
      </w:pPr>
      <w:r>
        <w:t>(c)</w:t>
      </w:r>
      <w:r>
        <w:tab/>
        <w:t>Other Investment includes all other investment.</w:t>
      </w:r>
    </w:p>
    <w:p w:rsidR="00000000" w:rsidRDefault="00590668">
      <w:pPr>
        <w:pStyle w:val="Note"/>
        <w:ind w:left="0" w:firstLine="0"/>
      </w:pPr>
      <w:r>
        <w:t>Source: ABS 5302.0 Bala</w:t>
      </w:r>
      <w:r>
        <w:t>nce of Payments and International Investment Position, Australia, September Qtr 2002.</w:t>
      </w:r>
    </w:p>
    <w:p w:rsidR="00000000" w:rsidRDefault="00590668">
      <w:r>
        <w:t xml:space="preserve">Table 4.2 provides a breakdown of the flow of foreign investment over the past five years measured by ABS statistics. Chart 4.2 provides a summary of the major trends in </w:t>
      </w:r>
      <w:r>
        <w:t>foreign investment flows from the same data.</w:t>
      </w:r>
    </w:p>
    <w:p w:rsidR="00000000" w:rsidRDefault="00590668">
      <w:pPr>
        <w:pStyle w:val="ChartHeading"/>
        <w:numPr>
          <w:ilvl w:val="0"/>
          <w:numId w:val="0"/>
        </w:numPr>
        <w:jc w:val="both"/>
      </w:pPr>
      <w:r>
        <w:lastRenderedPageBreak/>
        <w:t>Chart 4.2:  Foreign investment flows</w:t>
      </w:r>
    </w:p>
    <w:p w:rsidR="00000000" w:rsidRDefault="00590668">
      <w:pPr>
        <w:spacing w:after="0" w:line="240" w:lineRule="auto"/>
        <w:jc w:val="center"/>
        <w:rPr>
          <w:snapToGrid w:val="0"/>
        </w:rPr>
      </w:pPr>
      <w:r>
        <w:rPr>
          <w:noProof/>
        </w:rPr>
        <w:object w:dxaOrig="7366" w:dyaOrig="4920">
          <v:shape id="_x0000_i1039" type="#_x0000_t75" style="width:368.25pt;height:246pt" o:ole="" fillcolor="window">
            <v:imagedata r:id="rId82" o:title=""/>
          </v:shape>
          <o:OLEObject Type="Link" ProgID="Excel.Sheet.8" ShapeID="_x0000_i1039" DrawAspect="Content" r:id="rId83" UpdateMode="Always">
            <o:LinkType>Picture</o:LinkType>
            <o:LockedField>false</o:LockedField>
            <o:FieldCodes>\* MERGEFORMAT</o:FieldCodes>
          </o:OLEObject>
        </w:object>
      </w:r>
    </w:p>
    <w:p w:rsidR="00000000" w:rsidRDefault="00590668">
      <w:pPr>
        <w:pStyle w:val="Note"/>
      </w:pPr>
      <w:r>
        <w:t>(a)</w:t>
      </w:r>
      <w:r>
        <w:tab/>
        <w:t xml:space="preserve">The net foreign investment figure has been derived from determining the difference between foreign investment in </w:t>
      </w:r>
      <w:r>
        <w:t>Australia and Australian investment abroad.</w:t>
      </w:r>
    </w:p>
    <w:p w:rsidR="00000000" w:rsidRDefault="00590668">
      <w:pPr>
        <w:pStyle w:val="Note"/>
        <w:tabs>
          <w:tab w:val="left" w:pos="0"/>
        </w:tabs>
        <w:spacing w:after="600"/>
        <w:ind w:left="0" w:firstLine="0"/>
      </w:pPr>
      <w:r>
        <w:t>Source: ABS 5302.0 Balance of Payments and International Investment Position, Australia, September Qtr 2002.</w:t>
      </w:r>
    </w:p>
    <w:p w:rsidR="00000000" w:rsidRDefault="00590668">
      <w:r>
        <w:rPr>
          <w:lang w:val="en-US"/>
        </w:rPr>
        <w:t xml:space="preserve">These highlight the annual fluctuations of </w:t>
      </w:r>
      <w:r>
        <w:t xml:space="preserve">foreign investment flows into and out of Australia </w:t>
      </w:r>
      <w:r>
        <w:rPr>
          <w:lang w:val="en-US"/>
        </w:rPr>
        <w:t xml:space="preserve">over the </w:t>
      </w:r>
      <w:r>
        <w:rPr>
          <w:lang w:val="en-US"/>
        </w:rPr>
        <w:t>past five financial years.</w:t>
      </w:r>
    </w:p>
    <w:p w:rsidR="00000000" w:rsidRDefault="00590668">
      <w:r>
        <w:t>Continued structural change within a maturing Australian economy over the past two decades has significantly changed the pattern and direction of investment flows, including direct investment. The trend over the five years to 30 </w:t>
      </w:r>
      <w:r>
        <w:t>June 2002 shows the flows of Australian direct investment abroad have increased by 173 per cent, from $7.4 billion invested during 1997-98 to $20.3 billion in 2001-02. Flows of FDI into Australia increased by 125 per cent, from $10.3 billion to $23.2 billi</w:t>
      </w:r>
      <w:r>
        <w:t>on over the same period.</w:t>
      </w:r>
    </w:p>
    <w:p w:rsidR="00000000" w:rsidRDefault="00590668">
      <w:r>
        <w:t>Flows of total investment abroad increased by 222 per cent over the five year period, from $16.6 billion to $53.3 billion at 30 June 2002. Flows of total investment in to Australia increased by 75 per cent, from $41.4 billion to $7</w:t>
      </w:r>
      <w:r>
        <w:t>2.5 billion.</w:t>
      </w:r>
    </w:p>
    <w:p w:rsidR="00000000" w:rsidRDefault="00590668">
      <w:pPr>
        <w:pStyle w:val="Heading3"/>
        <w:rPr>
          <w:rFonts w:ascii="Palatino" w:hAnsi="Palatino" w:cs="Palatino"/>
          <w:sz w:val="21"/>
          <w:szCs w:val="21"/>
        </w:rPr>
      </w:pPr>
      <w:r>
        <w:lastRenderedPageBreak/>
        <w:t>Foreign investment by sector</w:t>
      </w:r>
    </w:p>
    <w:p w:rsidR="00000000" w:rsidRDefault="00590668">
      <w:r>
        <w:t>Over the period 30 June 2001 to 30 June 2002 (Chart 4.3), the percentage of foreign ownership of Australian equity increased for financial intermediaries but remained steady or decreased marginally for all other se</w:t>
      </w:r>
      <w:r>
        <w:t>ctors.</w:t>
      </w:r>
    </w:p>
    <w:p w:rsidR="00000000" w:rsidRDefault="00590668">
      <w:r>
        <w:t>Foreign ownership of financial intermediaries nec increased by 4.5 per cent, from 6.2 per cent in 2000-01 to 10.7 per cent in 2001-02. Foreign ownership of banks remained steady, while life insurance corporat</w:t>
      </w:r>
      <w:r>
        <w:t>ions, private non-financial corporations and other insurance corporations decreased by 0.1 per cent, 0.5 per cent and 0.7 per cent, respectively.</w:t>
      </w:r>
    </w:p>
    <w:p w:rsidR="00000000" w:rsidRDefault="00590668">
      <w:pPr>
        <w:pStyle w:val="ChartHeading"/>
        <w:numPr>
          <w:ilvl w:val="0"/>
          <w:numId w:val="0"/>
        </w:numPr>
        <w:jc w:val="both"/>
      </w:pPr>
      <w:r>
        <w:t>Chart 4.3:  Foreign ownership of Australian equity by sector</w:t>
      </w:r>
    </w:p>
    <w:p w:rsidR="00000000" w:rsidRDefault="00590668">
      <w:pPr>
        <w:pStyle w:val="Chartgraphic"/>
        <w:jc w:val="left"/>
        <w:rPr>
          <w:lang w:val="en-US"/>
        </w:rPr>
      </w:pPr>
      <w:r>
        <w:rPr>
          <w:lang w:val="en-US"/>
        </w:rPr>
        <w:object w:dxaOrig="7380" w:dyaOrig="4771">
          <v:shape id="_x0000_i1040" type="#_x0000_t75" style="width:369pt;height:238.5pt" o:ole="" fillcolor="window">
            <v:imagedata r:id="rId84" o:title=""/>
          </v:shape>
          <o:OLEObject Type="Link" ProgID="Excel.Sheet.8" ShapeID="_x0000_i1040" DrawAspect="Content" r:id="rId85" UpdateMode="Always">
            <o:LinkType>Picture</o:LinkType>
            <o:LockedField>false</o:LockedField>
          </o:OLEObject>
        </w:object>
      </w:r>
    </w:p>
    <w:p w:rsidR="00000000" w:rsidRDefault="00590668">
      <w:pPr>
        <w:pStyle w:val="Note"/>
      </w:pPr>
      <w:r>
        <w:t>Source:  ABS 5232.0 Financial Accounts, Australia, June Qtr 2002.</w:t>
      </w:r>
    </w:p>
    <w:p w:rsidR="00000000" w:rsidRDefault="00590668">
      <w:r>
        <w:t>Of the to</w:t>
      </w:r>
      <w:r>
        <w:t>tal equity on issue at 30 June 2002, non</w:t>
      </w:r>
      <w:r>
        <w:noBreakHyphen/>
        <w:t>residents held equity valued at $339 billion (29 per cent), while residents held equity valued at $843 billion (71 per cent). Although the proportion of equity held by non</w:t>
      </w:r>
      <w:r>
        <w:noBreakHyphen/>
        <w:t>residents has remained steady at around 29 </w:t>
      </w:r>
      <w:r>
        <w:t>per cent over the period 30 June 2001 to 30 June 2002, the total value of equity on issue has decreased by 2.1 per cent from $1,206 billion to $1,181 billion.</w:t>
      </w:r>
    </w:p>
    <w:p w:rsidR="00000000" w:rsidRDefault="00590668">
      <w:pPr>
        <w:pStyle w:val="Heading2"/>
        <w:jc w:val="both"/>
      </w:pPr>
      <w:r>
        <w:lastRenderedPageBreak/>
        <w:t>Useful references on international investment issues</w:t>
      </w:r>
    </w:p>
    <w:p w:rsidR="00000000" w:rsidRDefault="00590668">
      <w:r>
        <w:t>Bellow is a list of useful websites and docu</w:t>
      </w:r>
      <w:r>
        <w:t>ments dealing with international investment issues.</w:t>
      </w:r>
    </w:p>
    <w:p w:rsidR="00000000" w:rsidRDefault="00590668">
      <w:pPr>
        <w:pStyle w:val="Heading3"/>
      </w:pPr>
      <w:r>
        <w:t>Websites</w:t>
      </w:r>
    </w:p>
    <w:tbl>
      <w:tblPr>
        <w:tblW w:w="0" w:type="auto"/>
        <w:tblLayout w:type="fixed"/>
        <w:tblLook w:val="0000" w:firstRow="0" w:lastRow="0" w:firstColumn="0" w:lastColumn="0" w:noHBand="0" w:noVBand="0"/>
      </w:tblPr>
      <w:tblGrid>
        <w:gridCol w:w="3936"/>
        <w:gridCol w:w="3991"/>
      </w:tblGrid>
      <w:tr w:rsidR="00000000">
        <w:tblPrEx>
          <w:tblCellMar>
            <w:top w:w="0" w:type="dxa"/>
            <w:bottom w:w="0" w:type="dxa"/>
          </w:tblCellMar>
        </w:tblPrEx>
        <w:tc>
          <w:tcPr>
            <w:tcW w:w="3936" w:type="dxa"/>
            <w:tcBorders>
              <w:top w:val="nil"/>
              <w:left w:val="nil"/>
              <w:bottom w:val="nil"/>
              <w:right w:val="nil"/>
            </w:tcBorders>
          </w:tcPr>
          <w:p w:rsidR="00000000" w:rsidRDefault="00590668">
            <w:pPr>
              <w:spacing w:before="120" w:after="120"/>
              <w:jc w:val="left"/>
              <w:rPr>
                <w:b/>
                <w:bCs/>
                <w:sz w:val="21"/>
                <w:szCs w:val="21"/>
              </w:rPr>
            </w:pPr>
            <w:r>
              <w:rPr>
                <w:b/>
                <w:bCs/>
                <w:sz w:val="21"/>
                <w:szCs w:val="21"/>
              </w:rPr>
              <w:t>Organisation</w:t>
            </w:r>
          </w:p>
        </w:tc>
        <w:tc>
          <w:tcPr>
            <w:tcW w:w="3991" w:type="dxa"/>
            <w:tcBorders>
              <w:top w:val="nil"/>
              <w:left w:val="nil"/>
              <w:bottom w:val="nil"/>
              <w:right w:val="nil"/>
            </w:tcBorders>
          </w:tcPr>
          <w:p w:rsidR="00000000" w:rsidRDefault="00590668">
            <w:pPr>
              <w:spacing w:before="120" w:after="120"/>
              <w:rPr>
                <w:b/>
                <w:bCs/>
                <w:sz w:val="21"/>
                <w:szCs w:val="21"/>
              </w:rPr>
            </w:pPr>
            <w:r>
              <w:rPr>
                <w:b/>
                <w:bCs/>
                <w:sz w:val="21"/>
                <w:szCs w:val="21"/>
              </w:rPr>
              <w:t>Address</w:t>
            </w:r>
          </w:p>
        </w:tc>
      </w:tr>
      <w:tr w:rsidR="00000000">
        <w:tblPrEx>
          <w:tblCellMar>
            <w:top w:w="0" w:type="dxa"/>
            <w:bottom w:w="0" w:type="dxa"/>
          </w:tblCellMar>
        </w:tblPrEx>
        <w:tc>
          <w:tcPr>
            <w:tcW w:w="3936" w:type="dxa"/>
            <w:tcBorders>
              <w:top w:val="nil"/>
              <w:left w:val="nil"/>
              <w:bottom w:val="nil"/>
              <w:right w:val="nil"/>
            </w:tcBorders>
          </w:tcPr>
          <w:p w:rsidR="00000000" w:rsidRDefault="00590668">
            <w:pPr>
              <w:spacing w:before="120" w:after="120"/>
              <w:jc w:val="left"/>
              <w:rPr>
                <w:sz w:val="21"/>
                <w:szCs w:val="21"/>
              </w:rPr>
            </w:pPr>
            <w:r>
              <w:rPr>
                <w:sz w:val="21"/>
                <w:szCs w:val="21"/>
              </w:rPr>
              <w:t>Asia-Pacific Economic Cooperation (APEC)</w:t>
            </w:r>
          </w:p>
        </w:tc>
        <w:tc>
          <w:tcPr>
            <w:tcW w:w="3991" w:type="dxa"/>
            <w:tcBorders>
              <w:top w:val="nil"/>
              <w:left w:val="nil"/>
              <w:bottom w:val="nil"/>
              <w:right w:val="nil"/>
            </w:tcBorders>
          </w:tcPr>
          <w:p w:rsidR="00000000" w:rsidRDefault="00590668">
            <w:pPr>
              <w:pStyle w:val="Graphic"/>
              <w:spacing w:before="120" w:after="120" w:line="280" w:lineRule="exact"/>
              <w:rPr>
                <w:sz w:val="21"/>
                <w:szCs w:val="21"/>
              </w:rPr>
            </w:pPr>
            <w:r>
              <w:t>www.apec.org.sg</w:t>
            </w:r>
          </w:p>
        </w:tc>
      </w:tr>
      <w:tr w:rsidR="00000000">
        <w:tblPrEx>
          <w:tblCellMar>
            <w:top w:w="0" w:type="dxa"/>
            <w:bottom w:w="0" w:type="dxa"/>
          </w:tblCellMar>
        </w:tblPrEx>
        <w:tc>
          <w:tcPr>
            <w:tcW w:w="3936" w:type="dxa"/>
            <w:tcBorders>
              <w:top w:val="nil"/>
              <w:left w:val="nil"/>
              <w:bottom w:val="nil"/>
              <w:right w:val="nil"/>
            </w:tcBorders>
          </w:tcPr>
          <w:p w:rsidR="00000000" w:rsidRDefault="00590668">
            <w:pPr>
              <w:spacing w:before="120" w:after="120"/>
              <w:jc w:val="left"/>
              <w:rPr>
                <w:sz w:val="21"/>
                <w:szCs w:val="21"/>
              </w:rPr>
            </w:pPr>
            <w:r>
              <w:rPr>
                <w:sz w:val="21"/>
                <w:szCs w:val="21"/>
              </w:rPr>
              <w:t>Attorney-General’s Department</w:t>
            </w:r>
          </w:p>
        </w:tc>
        <w:tc>
          <w:tcPr>
            <w:tcW w:w="3991" w:type="dxa"/>
            <w:tcBorders>
              <w:top w:val="nil"/>
              <w:left w:val="nil"/>
              <w:bottom w:val="nil"/>
              <w:right w:val="nil"/>
            </w:tcBorders>
          </w:tcPr>
          <w:p w:rsidR="00000000" w:rsidRDefault="00590668">
            <w:pPr>
              <w:spacing w:before="120" w:after="120"/>
              <w:rPr>
                <w:sz w:val="21"/>
                <w:szCs w:val="21"/>
              </w:rPr>
            </w:pPr>
            <w:r>
              <w:t>www.ag.gov.au</w:t>
            </w:r>
          </w:p>
        </w:tc>
      </w:tr>
      <w:tr w:rsidR="00000000">
        <w:tblPrEx>
          <w:tblCellMar>
            <w:top w:w="0" w:type="dxa"/>
            <w:bottom w:w="0" w:type="dxa"/>
          </w:tblCellMar>
        </w:tblPrEx>
        <w:tc>
          <w:tcPr>
            <w:tcW w:w="3936" w:type="dxa"/>
            <w:tcBorders>
              <w:top w:val="nil"/>
              <w:left w:val="nil"/>
              <w:bottom w:val="nil"/>
              <w:right w:val="nil"/>
            </w:tcBorders>
          </w:tcPr>
          <w:p w:rsidR="00000000" w:rsidRDefault="00590668">
            <w:pPr>
              <w:spacing w:before="120" w:after="120"/>
              <w:jc w:val="left"/>
              <w:rPr>
                <w:sz w:val="21"/>
                <w:szCs w:val="21"/>
              </w:rPr>
            </w:pPr>
            <w:r>
              <w:rPr>
                <w:sz w:val="21"/>
                <w:szCs w:val="21"/>
              </w:rPr>
              <w:t>Australian Bureau of Statistics</w:t>
            </w:r>
          </w:p>
        </w:tc>
        <w:tc>
          <w:tcPr>
            <w:tcW w:w="3991" w:type="dxa"/>
            <w:tcBorders>
              <w:top w:val="nil"/>
              <w:left w:val="nil"/>
              <w:bottom w:val="nil"/>
              <w:right w:val="nil"/>
            </w:tcBorders>
          </w:tcPr>
          <w:p w:rsidR="00000000" w:rsidRDefault="00590668">
            <w:pPr>
              <w:spacing w:before="120" w:after="120"/>
              <w:rPr>
                <w:sz w:val="21"/>
                <w:szCs w:val="21"/>
              </w:rPr>
            </w:pPr>
            <w:r>
              <w:t>www.abs.gov.au</w:t>
            </w:r>
          </w:p>
        </w:tc>
      </w:tr>
      <w:tr w:rsidR="00000000">
        <w:tblPrEx>
          <w:tblCellMar>
            <w:top w:w="0" w:type="dxa"/>
            <w:bottom w:w="0" w:type="dxa"/>
          </w:tblCellMar>
        </w:tblPrEx>
        <w:trPr>
          <w:trHeight w:val="271"/>
        </w:trPr>
        <w:tc>
          <w:tcPr>
            <w:tcW w:w="3936" w:type="dxa"/>
            <w:tcBorders>
              <w:top w:val="nil"/>
              <w:left w:val="nil"/>
              <w:bottom w:val="nil"/>
              <w:right w:val="nil"/>
            </w:tcBorders>
          </w:tcPr>
          <w:p w:rsidR="00000000" w:rsidRDefault="00590668">
            <w:pPr>
              <w:spacing w:before="120" w:after="120"/>
              <w:jc w:val="left"/>
              <w:rPr>
                <w:sz w:val="21"/>
                <w:szCs w:val="21"/>
              </w:rPr>
            </w:pPr>
            <w:r>
              <w:rPr>
                <w:sz w:val="21"/>
                <w:szCs w:val="21"/>
              </w:rPr>
              <w:t>Australian Competition and Consumer Commission</w:t>
            </w:r>
          </w:p>
        </w:tc>
        <w:tc>
          <w:tcPr>
            <w:tcW w:w="3991" w:type="dxa"/>
            <w:tcBorders>
              <w:top w:val="nil"/>
              <w:left w:val="nil"/>
              <w:bottom w:val="nil"/>
              <w:right w:val="nil"/>
            </w:tcBorders>
          </w:tcPr>
          <w:p w:rsidR="00000000" w:rsidRDefault="00590668">
            <w:pPr>
              <w:spacing w:before="120" w:after="120"/>
              <w:rPr>
                <w:color w:val="008000"/>
                <w:sz w:val="21"/>
                <w:szCs w:val="21"/>
              </w:rPr>
            </w:pPr>
            <w:r>
              <w:t>www.accc.gov.au</w:t>
            </w:r>
          </w:p>
        </w:tc>
      </w:tr>
      <w:tr w:rsidR="00000000">
        <w:tblPrEx>
          <w:tblCellMar>
            <w:top w:w="0" w:type="dxa"/>
            <w:bottom w:w="0" w:type="dxa"/>
          </w:tblCellMar>
        </w:tblPrEx>
        <w:tc>
          <w:tcPr>
            <w:tcW w:w="3936" w:type="dxa"/>
            <w:tcBorders>
              <w:top w:val="nil"/>
              <w:left w:val="nil"/>
              <w:bottom w:val="nil"/>
              <w:right w:val="nil"/>
            </w:tcBorders>
          </w:tcPr>
          <w:p w:rsidR="00000000" w:rsidRDefault="00590668">
            <w:pPr>
              <w:spacing w:before="120" w:after="120"/>
              <w:jc w:val="left"/>
              <w:rPr>
                <w:sz w:val="21"/>
                <w:szCs w:val="21"/>
              </w:rPr>
            </w:pPr>
            <w:r>
              <w:rPr>
                <w:sz w:val="21"/>
                <w:szCs w:val="21"/>
              </w:rPr>
              <w:t>Australian National Contact Point for the OECD Guidelines for Multinational Enterprises</w:t>
            </w:r>
          </w:p>
        </w:tc>
        <w:tc>
          <w:tcPr>
            <w:tcW w:w="3991" w:type="dxa"/>
            <w:tcBorders>
              <w:top w:val="nil"/>
              <w:left w:val="nil"/>
              <w:bottom w:val="nil"/>
              <w:right w:val="nil"/>
            </w:tcBorders>
          </w:tcPr>
          <w:p w:rsidR="00000000" w:rsidRDefault="00590668">
            <w:pPr>
              <w:spacing w:before="120" w:after="120"/>
              <w:rPr>
                <w:sz w:val="21"/>
                <w:szCs w:val="21"/>
              </w:rPr>
            </w:pPr>
            <w:r>
              <w:t>www.ausncp.gov.au</w:t>
            </w:r>
          </w:p>
        </w:tc>
      </w:tr>
      <w:tr w:rsidR="00000000">
        <w:tblPrEx>
          <w:tblCellMar>
            <w:top w:w="0" w:type="dxa"/>
            <w:bottom w:w="0" w:type="dxa"/>
          </w:tblCellMar>
        </w:tblPrEx>
        <w:trPr>
          <w:trHeight w:val="271"/>
        </w:trPr>
        <w:tc>
          <w:tcPr>
            <w:tcW w:w="3936" w:type="dxa"/>
            <w:tcBorders>
              <w:top w:val="nil"/>
              <w:left w:val="nil"/>
              <w:bottom w:val="nil"/>
              <w:right w:val="nil"/>
            </w:tcBorders>
          </w:tcPr>
          <w:p w:rsidR="00000000" w:rsidRDefault="00590668">
            <w:pPr>
              <w:spacing w:before="120" w:after="120"/>
              <w:jc w:val="left"/>
              <w:rPr>
                <w:sz w:val="21"/>
                <w:szCs w:val="21"/>
              </w:rPr>
            </w:pPr>
            <w:r>
              <w:rPr>
                <w:sz w:val="21"/>
                <w:szCs w:val="21"/>
              </w:rPr>
              <w:t>Australian Prudential Regulatory Authority</w:t>
            </w:r>
          </w:p>
        </w:tc>
        <w:tc>
          <w:tcPr>
            <w:tcW w:w="3991" w:type="dxa"/>
            <w:tcBorders>
              <w:top w:val="nil"/>
              <w:left w:val="nil"/>
              <w:bottom w:val="nil"/>
              <w:right w:val="nil"/>
            </w:tcBorders>
          </w:tcPr>
          <w:p w:rsidR="00000000" w:rsidRDefault="00590668">
            <w:pPr>
              <w:spacing w:before="120" w:after="120"/>
              <w:jc w:val="left"/>
              <w:rPr>
                <w:color w:val="008000"/>
                <w:sz w:val="21"/>
                <w:szCs w:val="21"/>
              </w:rPr>
            </w:pPr>
            <w:r>
              <w:t>www.apra.gov.au</w:t>
            </w:r>
          </w:p>
        </w:tc>
      </w:tr>
      <w:tr w:rsidR="00000000">
        <w:tblPrEx>
          <w:tblCellMar>
            <w:top w:w="0" w:type="dxa"/>
            <w:bottom w:w="0" w:type="dxa"/>
          </w:tblCellMar>
        </w:tblPrEx>
        <w:trPr>
          <w:trHeight w:val="271"/>
        </w:trPr>
        <w:tc>
          <w:tcPr>
            <w:tcW w:w="3936" w:type="dxa"/>
            <w:tcBorders>
              <w:top w:val="nil"/>
              <w:left w:val="nil"/>
              <w:bottom w:val="nil"/>
              <w:right w:val="nil"/>
            </w:tcBorders>
          </w:tcPr>
          <w:p w:rsidR="00000000" w:rsidRDefault="00590668">
            <w:pPr>
              <w:spacing w:before="120" w:after="120"/>
              <w:jc w:val="left"/>
              <w:rPr>
                <w:sz w:val="21"/>
                <w:szCs w:val="21"/>
              </w:rPr>
            </w:pPr>
            <w:r>
              <w:rPr>
                <w:sz w:val="21"/>
                <w:szCs w:val="21"/>
              </w:rPr>
              <w:t>Australian Securities and</w:t>
            </w:r>
            <w:r>
              <w:rPr>
                <w:sz w:val="21"/>
                <w:szCs w:val="21"/>
              </w:rPr>
              <w:t xml:space="preserve"> Investment Commission</w:t>
            </w:r>
          </w:p>
        </w:tc>
        <w:tc>
          <w:tcPr>
            <w:tcW w:w="3991" w:type="dxa"/>
            <w:tcBorders>
              <w:top w:val="nil"/>
              <w:left w:val="nil"/>
              <w:bottom w:val="nil"/>
              <w:right w:val="nil"/>
            </w:tcBorders>
          </w:tcPr>
          <w:p w:rsidR="00000000" w:rsidRDefault="00590668">
            <w:pPr>
              <w:spacing w:before="120" w:after="120"/>
              <w:rPr>
                <w:color w:val="008000"/>
                <w:sz w:val="21"/>
                <w:szCs w:val="21"/>
              </w:rPr>
            </w:pPr>
            <w:r>
              <w:t>www.asic.gov.au</w:t>
            </w:r>
          </w:p>
        </w:tc>
      </w:tr>
      <w:tr w:rsidR="00000000">
        <w:tblPrEx>
          <w:tblCellMar>
            <w:top w:w="0" w:type="dxa"/>
            <w:bottom w:w="0" w:type="dxa"/>
          </w:tblCellMar>
        </w:tblPrEx>
        <w:tc>
          <w:tcPr>
            <w:tcW w:w="3936" w:type="dxa"/>
            <w:tcBorders>
              <w:top w:val="nil"/>
              <w:left w:val="nil"/>
              <w:bottom w:val="nil"/>
              <w:right w:val="nil"/>
            </w:tcBorders>
          </w:tcPr>
          <w:p w:rsidR="00000000" w:rsidRDefault="00590668">
            <w:pPr>
              <w:spacing w:before="120" w:after="120"/>
              <w:jc w:val="left"/>
              <w:rPr>
                <w:sz w:val="21"/>
                <w:szCs w:val="21"/>
              </w:rPr>
            </w:pPr>
            <w:r>
              <w:rPr>
                <w:sz w:val="21"/>
                <w:szCs w:val="21"/>
              </w:rPr>
              <w:t>Business and Industry Advisory Committee to the OECD</w:t>
            </w:r>
          </w:p>
        </w:tc>
        <w:tc>
          <w:tcPr>
            <w:tcW w:w="3991" w:type="dxa"/>
            <w:tcBorders>
              <w:top w:val="nil"/>
              <w:left w:val="nil"/>
              <w:bottom w:val="nil"/>
              <w:right w:val="nil"/>
            </w:tcBorders>
          </w:tcPr>
          <w:p w:rsidR="00000000" w:rsidRDefault="00590668">
            <w:pPr>
              <w:spacing w:before="120" w:after="120"/>
              <w:rPr>
                <w:sz w:val="21"/>
                <w:szCs w:val="21"/>
              </w:rPr>
            </w:pPr>
            <w:r>
              <w:t>www.biac.org</w:t>
            </w:r>
          </w:p>
        </w:tc>
      </w:tr>
      <w:tr w:rsidR="00000000">
        <w:tblPrEx>
          <w:tblCellMar>
            <w:top w:w="0" w:type="dxa"/>
            <w:bottom w:w="0" w:type="dxa"/>
          </w:tblCellMar>
        </w:tblPrEx>
        <w:tc>
          <w:tcPr>
            <w:tcW w:w="3936" w:type="dxa"/>
            <w:tcBorders>
              <w:top w:val="nil"/>
              <w:left w:val="nil"/>
              <w:bottom w:val="nil"/>
              <w:right w:val="nil"/>
            </w:tcBorders>
          </w:tcPr>
          <w:p w:rsidR="00000000" w:rsidRDefault="00590668">
            <w:pPr>
              <w:spacing w:before="120" w:after="120"/>
              <w:jc w:val="left"/>
              <w:rPr>
                <w:sz w:val="21"/>
                <w:szCs w:val="21"/>
              </w:rPr>
            </w:pPr>
            <w:r>
              <w:rPr>
                <w:sz w:val="21"/>
                <w:szCs w:val="21"/>
              </w:rPr>
              <w:t>Commonwealth Treasurer</w:t>
            </w:r>
          </w:p>
        </w:tc>
        <w:tc>
          <w:tcPr>
            <w:tcW w:w="3991" w:type="dxa"/>
            <w:tcBorders>
              <w:top w:val="nil"/>
              <w:left w:val="nil"/>
              <w:bottom w:val="nil"/>
              <w:right w:val="nil"/>
            </w:tcBorders>
          </w:tcPr>
          <w:p w:rsidR="00000000" w:rsidRDefault="00590668">
            <w:pPr>
              <w:spacing w:before="120" w:after="120"/>
              <w:rPr>
                <w:sz w:val="21"/>
                <w:szCs w:val="21"/>
              </w:rPr>
            </w:pPr>
            <w:r>
              <w:t>www.treasurer.gov.au</w:t>
            </w:r>
          </w:p>
        </w:tc>
      </w:tr>
      <w:tr w:rsidR="00000000">
        <w:tblPrEx>
          <w:tblCellMar>
            <w:top w:w="0" w:type="dxa"/>
            <w:bottom w:w="0" w:type="dxa"/>
          </w:tblCellMar>
        </w:tblPrEx>
        <w:tc>
          <w:tcPr>
            <w:tcW w:w="3936" w:type="dxa"/>
            <w:tcBorders>
              <w:top w:val="nil"/>
              <w:left w:val="nil"/>
              <w:bottom w:val="nil"/>
              <w:right w:val="nil"/>
            </w:tcBorders>
          </w:tcPr>
          <w:p w:rsidR="00000000" w:rsidRDefault="00590668">
            <w:pPr>
              <w:spacing w:before="120" w:after="120"/>
              <w:jc w:val="left"/>
              <w:rPr>
                <w:sz w:val="21"/>
                <w:szCs w:val="21"/>
              </w:rPr>
            </w:pPr>
            <w:r>
              <w:rPr>
                <w:sz w:val="21"/>
                <w:szCs w:val="21"/>
              </w:rPr>
              <w:t>Department of Foreign Affairs and Trade</w:t>
            </w:r>
          </w:p>
        </w:tc>
        <w:tc>
          <w:tcPr>
            <w:tcW w:w="3991" w:type="dxa"/>
            <w:tcBorders>
              <w:top w:val="nil"/>
              <w:left w:val="nil"/>
              <w:bottom w:val="nil"/>
              <w:right w:val="nil"/>
            </w:tcBorders>
          </w:tcPr>
          <w:p w:rsidR="00000000" w:rsidRDefault="00590668">
            <w:pPr>
              <w:spacing w:before="120" w:after="120"/>
              <w:rPr>
                <w:sz w:val="21"/>
                <w:szCs w:val="21"/>
              </w:rPr>
            </w:pPr>
            <w:r>
              <w:t>www.dfat.gov.au</w:t>
            </w:r>
          </w:p>
        </w:tc>
      </w:tr>
      <w:tr w:rsidR="00000000">
        <w:tblPrEx>
          <w:tblCellMar>
            <w:top w:w="0" w:type="dxa"/>
            <w:bottom w:w="0" w:type="dxa"/>
          </w:tblCellMar>
        </w:tblPrEx>
        <w:trPr>
          <w:trHeight w:val="271"/>
        </w:trPr>
        <w:tc>
          <w:tcPr>
            <w:tcW w:w="3936" w:type="dxa"/>
            <w:tcBorders>
              <w:top w:val="nil"/>
              <w:left w:val="nil"/>
              <w:bottom w:val="nil"/>
              <w:right w:val="nil"/>
            </w:tcBorders>
          </w:tcPr>
          <w:p w:rsidR="00000000" w:rsidRDefault="00590668">
            <w:pPr>
              <w:spacing w:before="120" w:after="120"/>
              <w:jc w:val="left"/>
              <w:rPr>
                <w:sz w:val="21"/>
                <w:szCs w:val="21"/>
              </w:rPr>
            </w:pPr>
            <w:r>
              <w:rPr>
                <w:sz w:val="21"/>
                <w:szCs w:val="21"/>
              </w:rPr>
              <w:t>Department of immigration and Multicultural and Indigenous Affairs</w:t>
            </w:r>
          </w:p>
        </w:tc>
        <w:tc>
          <w:tcPr>
            <w:tcW w:w="3991" w:type="dxa"/>
            <w:tcBorders>
              <w:top w:val="nil"/>
              <w:left w:val="nil"/>
              <w:bottom w:val="nil"/>
              <w:right w:val="nil"/>
            </w:tcBorders>
          </w:tcPr>
          <w:p w:rsidR="00000000" w:rsidRDefault="00590668">
            <w:pPr>
              <w:spacing w:before="120" w:after="120"/>
              <w:rPr>
                <w:color w:val="008000"/>
                <w:sz w:val="21"/>
                <w:szCs w:val="21"/>
              </w:rPr>
            </w:pPr>
            <w:r>
              <w:t>www.immi.gov.au</w:t>
            </w:r>
          </w:p>
        </w:tc>
      </w:tr>
      <w:tr w:rsidR="00000000">
        <w:tblPrEx>
          <w:tblCellMar>
            <w:top w:w="0" w:type="dxa"/>
            <w:bottom w:w="0" w:type="dxa"/>
          </w:tblCellMar>
        </w:tblPrEx>
        <w:tc>
          <w:tcPr>
            <w:tcW w:w="3936" w:type="dxa"/>
            <w:tcBorders>
              <w:top w:val="nil"/>
              <w:left w:val="nil"/>
              <w:bottom w:val="nil"/>
              <w:right w:val="nil"/>
            </w:tcBorders>
          </w:tcPr>
          <w:p w:rsidR="00000000" w:rsidRDefault="00590668">
            <w:pPr>
              <w:spacing w:before="120" w:after="120"/>
              <w:jc w:val="left"/>
              <w:rPr>
                <w:sz w:val="21"/>
                <w:szCs w:val="21"/>
              </w:rPr>
            </w:pPr>
            <w:r>
              <w:rPr>
                <w:sz w:val="21"/>
                <w:szCs w:val="21"/>
              </w:rPr>
              <w:t>Department of Treasury</w:t>
            </w:r>
          </w:p>
        </w:tc>
        <w:tc>
          <w:tcPr>
            <w:tcW w:w="3991" w:type="dxa"/>
            <w:tcBorders>
              <w:top w:val="nil"/>
              <w:left w:val="nil"/>
              <w:bottom w:val="nil"/>
              <w:right w:val="nil"/>
            </w:tcBorders>
          </w:tcPr>
          <w:p w:rsidR="00000000" w:rsidRDefault="00590668">
            <w:pPr>
              <w:spacing w:before="120" w:after="120"/>
              <w:rPr>
                <w:sz w:val="21"/>
                <w:szCs w:val="21"/>
              </w:rPr>
            </w:pPr>
            <w:r>
              <w:t>www.treasury.gov.au</w:t>
            </w:r>
          </w:p>
        </w:tc>
      </w:tr>
      <w:tr w:rsidR="00000000">
        <w:tblPrEx>
          <w:tblCellMar>
            <w:top w:w="0" w:type="dxa"/>
            <w:bottom w:w="0" w:type="dxa"/>
          </w:tblCellMar>
        </w:tblPrEx>
        <w:tc>
          <w:tcPr>
            <w:tcW w:w="3936" w:type="dxa"/>
            <w:tcBorders>
              <w:top w:val="nil"/>
              <w:left w:val="nil"/>
              <w:bottom w:val="nil"/>
              <w:right w:val="nil"/>
            </w:tcBorders>
          </w:tcPr>
          <w:p w:rsidR="00000000" w:rsidRDefault="00590668">
            <w:pPr>
              <w:spacing w:before="120" w:after="120"/>
              <w:jc w:val="left"/>
              <w:rPr>
                <w:sz w:val="21"/>
                <w:szCs w:val="21"/>
              </w:rPr>
            </w:pPr>
            <w:r>
              <w:rPr>
                <w:sz w:val="21"/>
                <w:szCs w:val="21"/>
              </w:rPr>
              <w:lastRenderedPageBreak/>
              <w:t>Foreign Investment Review Board</w:t>
            </w:r>
          </w:p>
        </w:tc>
        <w:tc>
          <w:tcPr>
            <w:tcW w:w="3991" w:type="dxa"/>
            <w:tcBorders>
              <w:top w:val="nil"/>
              <w:left w:val="nil"/>
              <w:bottom w:val="nil"/>
              <w:right w:val="nil"/>
            </w:tcBorders>
          </w:tcPr>
          <w:p w:rsidR="00000000" w:rsidRDefault="00590668">
            <w:pPr>
              <w:spacing w:before="120" w:after="120"/>
              <w:rPr>
                <w:sz w:val="21"/>
                <w:szCs w:val="21"/>
              </w:rPr>
            </w:pPr>
            <w:r>
              <w:t>www.firb.gov.au</w:t>
            </w:r>
          </w:p>
        </w:tc>
      </w:tr>
      <w:tr w:rsidR="00000000">
        <w:tblPrEx>
          <w:tblCellMar>
            <w:top w:w="0" w:type="dxa"/>
            <w:bottom w:w="0" w:type="dxa"/>
          </w:tblCellMar>
        </w:tblPrEx>
        <w:tc>
          <w:tcPr>
            <w:tcW w:w="3936" w:type="dxa"/>
            <w:tcBorders>
              <w:top w:val="nil"/>
              <w:left w:val="nil"/>
              <w:bottom w:val="nil"/>
              <w:right w:val="nil"/>
            </w:tcBorders>
          </w:tcPr>
          <w:p w:rsidR="00000000" w:rsidRDefault="00590668">
            <w:pPr>
              <w:spacing w:before="120" w:after="120"/>
              <w:jc w:val="left"/>
              <w:rPr>
                <w:sz w:val="21"/>
                <w:szCs w:val="21"/>
              </w:rPr>
            </w:pPr>
            <w:r>
              <w:rPr>
                <w:sz w:val="21"/>
                <w:szCs w:val="21"/>
              </w:rPr>
              <w:t>International Monetary Fund</w:t>
            </w:r>
          </w:p>
        </w:tc>
        <w:tc>
          <w:tcPr>
            <w:tcW w:w="3991" w:type="dxa"/>
            <w:tcBorders>
              <w:top w:val="nil"/>
              <w:left w:val="nil"/>
              <w:bottom w:val="nil"/>
              <w:right w:val="nil"/>
            </w:tcBorders>
          </w:tcPr>
          <w:p w:rsidR="00000000" w:rsidRDefault="00590668">
            <w:pPr>
              <w:spacing w:before="120" w:after="120"/>
              <w:rPr>
                <w:sz w:val="21"/>
                <w:szCs w:val="21"/>
              </w:rPr>
            </w:pPr>
            <w:r>
              <w:t>www.imf.org</w:t>
            </w:r>
          </w:p>
        </w:tc>
      </w:tr>
      <w:tr w:rsidR="00000000">
        <w:tblPrEx>
          <w:tblCellMar>
            <w:top w:w="0" w:type="dxa"/>
            <w:bottom w:w="0" w:type="dxa"/>
          </w:tblCellMar>
        </w:tblPrEx>
        <w:tc>
          <w:tcPr>
            <w:tcW w:w="3936" w:type="dxa"/>
            <w:tcBorders>
              <w:top w:val="nil"/>
              <w:left w:val="nil"/>
              <w:bottom w:val="nil"/>
              <w:right w:val="nil"/>
            </w:tcBorders>
          </w:tcPr>
          <w:p w:rsidR="00000000" w:rsidRDefault="00590668">
            <w:pPr>
              <w:spacing w:before="120" w:after="120"/>
              <w:jc w:val="left"/>
              <w:rPr>
                <w:sz w:val="21"/>
                <w:szCs w:val="21"/>
              </w:rPr>
            </w:pPr>
            <w:r>
              <w:rPr>
                <w:sz w:val="21"/>
                <w:szCs w:val="21"/>
              </w:rPr>
              <w:t>Invest Australia</w:t>
            </w:r>
          </w:p>
        </w:tc>
        <w:tc>
          <w:tcPr>
            <w:tcW w:w="3991" w:type="dxa"/>
            <w:tcBorders>
              <w:top w:val="nil"/>
              <w:left w:val="nil"/>
              <w:bottom w:val="nil"/>
              <w:right w:val="nil"/>
            </w:tcBorders>
          </w:tcPr>
          <w:p w:rsidR="00000000" w:rsidRDefault="00590668">
            <w:pPr>
              <w:spacing w:before="120" w:after="120"/>
              <w:rPr>
                <w:color w:val="008000"/>
                <w:sz w:val="21"/>
                <w:szCs w:val="21"/>
              </w:rPr>
            </w:pPr>
            <w:r>
              <w:t>www.investaustralia.gov.au</w:t>
            </w:r>
          </w:p>
        </w:tc>
      </w:tr>
      <w:tr w:rsidR="00000000">
        <w:tblPrEx>
          <w:tblCellMar>
            <w:top w:w="0" w:type="dxa"/>
            <w:bottom w:w="0" w:type="dxa"/>
          </w:tblCellMar>
        </w:tblPrEx>
        <w:tc>
          <w:tcPr>
            <w:tcW w:w="3936" w:type="dxa"/>
            <w:tcBorders>
              <w:top w:val="nil"/>
              <w:left w:val="nil"/>
              <w:bottom w:val="nil"/>
              <w:right w:val="nil"/>
            </w:tcBorders>
          </w:tcPr>
          <w:p w:rsidR="00000000" w:rsidRDefault="00590668">
            <w:pPr>
              <w:spacing w:before="120" w:after="120"/>
              <w:jc w:val="left"/>
              <w:rPr>
                <w:sz w:val="21"/>
                <w:szCs w:val="21"/>
              </w:rPr>
            </w:pPr>
            <w:r>
              <w:rPr>
                <w:sz w:val="21"/>
                <w:szCs w:val="21"/>
              </w:rPr>
              <w:t>OECD Guidelines for Multinational Enterprises</w:t>
            </w:r>
          </w:p>
        </w:tc>
        <w:tc>
          <w:tcPr>
            <w:tcW w:w="3991" w:type="dxa"/>
            <w:tcBorders>
              <w:top w:val="nil"/>
              <w:left w:val="nil"/>
              <w:bottom w:val="nil"/>
              <w:right w:val="nil"/>
            </w:tcBorders>
          </w:tcPr>
          <w:p w:rsidR="00000000" w:rsidRDefault="00590668">
            <w:pPr>
              <w:spacing w:before="120" w:after="120"/>
              <w:rPr>
                <w:sz w:val="21"/>
                <w:szCs w:val="21"/>
              </w:rPr>
            </w:pPr>
            <w:r>
              <w:t>www.multinationalguidelines.org/csr</w:t>
            </w:r>
          </w:p>
        </w:tc>
      </w:tr>
      <w:tr w:rsidR="00000000">
        <w:tblPrEx>
          <w:tblCellMar>
            <w:top w:w="0" w:type="dxa"/>
            <w:bottom w:w="0" w:type="dxa"/>
          </w:tblCellMar>
        </w:tblPrEx>
        <w:tc>
          <w:tcPr>
            <w:tcW w:w="3936" w:type="dxa"/>
            <w:tcBorders>
              <w:top w:val="nil"/>
              <w:left w:val="nil"/>
              <w:bottom w:val="nil"/>
              <w:right w:val="nil"/>
            </w:tcBorders>
          </w:tcPr>
          <w:p w:rsidR="00000000" w:rsidRDefault="00590668">
            <w:pPr>
              <w:spacing w:before="120" w:after="120"/>
              <w:jc w:val="left"/>
              <w:rPr>
                <w:sz w:val="21"/>
                <w:szCs w:val="21"/>
              </w:rPr>
            </w:pPr>
            <w:r>
              <w:rPr>
                <w:sz w:val="21"/>
                <w:szCs w:val="21"/>
              </w:rPr>
              <w:t>Organisation for Economic Co</w:t>
            </w:r>
            <w:r>
              <w:rPr>
                <w:sz w:val="21"/>
                <w:szCs w:val="21"/>
              </w:rPr>
              <w:noBreakHyphen/>
              <w:t>operation and Development (OECD)</w:t>
            </w:r>
          </w:p>
        </w:tc>
        <w:tc>
          <w:tcPr>
            <w:tcW w:w="3991" w:type="dxa"/>
            <w:tcBorders>
              <w:top w:val="nil"/>
              <w:left w:val="nil"/>
              <w:bottom w:val="nil"/>
              <w:right w:val="nil"/>
            </w:tcBorders>
          </w:tcPr>
          <w:p w:rsidR="00000000" w:rsidRDefault="00590668">
            <w:pPr>
              <w:spacing w:before="120" w:after="120"/>
              <w:rPr>
                <w:sz w:val="21"/>
                <w:szCs w:val="21"/>
              </w:rPr>
            </w:pPr>
            <w:r>
              <w:t>www.oecd.org</w:t>
            </w:r>
          </w:p>
        </w:tc>
      </w:tr>
      <w:tr w:rsidR="00000000">
        <w:tblPrEx>
          <w:tblCellMar>
            <w:top w:w="0" w:type="dxa"/>
            <w:bottom w:w="0" w:type="dxa"/>
          </w:tblCellMar>
        </w:tblPrEx>
        <w:trPr>
          <w:trHeight w:val="271"/>
        </w:trPr>
        <w:tc>
          <w:tcPr>
            <w:tcW w:w="3936" w:type="dxa"/>
            <w:tcBorders>
              <w:top w:val="nil"/>
              <w:left w:val="nil"/>
              <w:bottom w:val="nil"/>
              <w:right w:val="nil"/>
            </w:tcBorders>
          </w:tcPr>
          <w:p w:rsidR="00000000" w:rsidRDefault="00590668">
            <w:pPr>
              <w:spacing w:before="120" w:after="120"/>
              <w:jc w:val="left"/>
              <w:rPr>
                <w:sz w:val="21"/>
                <w:szCs w:val="21"/>
              </w:rPr>
            </w:pPr>
            <w:r>
              <w:rPr>
                <w:sz w:val="21"/>
                <w:szCs w:val="21"/>
              </w:rPr>
              <w:t>Scale Plus (Australian law online)</w:t>
            </w:r>
          </w:p>
        </w:tc>
        <w:tc>
          <w:tcPr>
            <w:tcW w:w="3991" w:type="dxa"/>
            <w:tcBorders>
              <w:top w:val="nil"/>
              <w:left w:val="nil"/>
              <w:bottom w:val="nil"/>
              <w:right w:val="nil"/>
            </w:tcBorders>
          </w:tcPr>
          <w:p w:rsidR="00000000" w:rsidRDefault="00590668">
            <w:pPr>
              <w:spacing w:before="120" w:after="120"/>
              <w:rPr>
                <w:color w:val="008000"/>
                <w:sz w:val="21"/>
                <w:szCs w:val="21"/>
              </w:rPr>
            </w:pPr>
            <w:r>
              <w:t>www.scaleplus.law.gov.au</w:t>
            </w:r>
          </w:p>
        </w:tc>
      </w:tr>
      <w:tr w:rsidR="00000000">
        <w:tblPrEx>
          <w:tblCellMar>
            <w:top w:w="0" w:type="dxa"/>
            <w:bottom w:w="0" w:type="dxa"/>
          </w:tblCellMar>
        </w:tblPrEx>
        <w:tc>
          <w:tcPr>
            <w:tcW w:w="3936" w:type="dxa"/>
            <w:tcBorders>
              <w:top w:val="nil"/>
              <w:left w:val="nil"/>
              <w:bottom w:val="nil"/>
              <w:right w:val="nil"/>
            </w:tcBorders>
          </w:tcPr>
          <w:p w:rsidR="00000000" w:rsidRDefault="00590668">
            <w:pPr>
              <w:spacing w:before="120" w:after="120"/>
              <w:jc w:val="left"/>
              <w:rPr>
                <w:sz w:val="21"/>
                <w:szCs w:val="21"/>
              </w:rPr>
            </w:pPr>
            <w:r>
              <w:rPr>
                <w:sz w:val="21"/>
                <w:szCs w:val="21"/>
              </w:rPr>
              <w:t>Trade Un</w:t>
            </w:r>
            <w:r>
              <w:rPr>
                <w:sz w:val="21"/>
                <w:szCs w:val="21"/>
              </w:rPr>
              <w:t>ion Advisory Committee to the OECD</w:t>
            </w:r>
          </w:p>
        </w:tc>
        <w:tc>
          <w:tcPr>
            <w:tcW w:w="3991" w:type="dxa"/>
            <w:tcBorders>
              <w:top w:val="nil"/>
              <w:left w:val="nil"/>
              <w:bottom w:val="nil"/>
              <w:right w:val="nil"/>
            </w:tcBorders>
          </w:tcPr>
          <w:p w:rsidR="00000000" w:rsidRDefault="00590668">
            <w:pPr>
              <w:spacing w:before="120" w:after="120"/>
              <w:rPr>
                <w:sz w:val="21"/>
                <w:szCs w:val="21"/>
              </w:rPr>
            </w:pPr>
            <w:r>
              <w:t>www.tuac.org</w:t>
            </w:r>
          </w:p>
        </w:tc>
      </w:tr>
      <w:tr w:rsidR="00000000">
        <w:tblPrEx>
          <w:tblCellMar>
            <w:top w:w="0" w:type="dxa"/>
            <w:bottom w:w="0" w:type="dxa"/>
          </w:tblCellMar>
        </w:tblPrEx>
        <w:tc>
          <w:tcPr>
            <w:tcW w:w="3936" w:type="dxa"/>
            <w:tcBorders>
              <w:top w:val="nil"/>
              <w:left w:val="nil"/>
              <w:bottom w:val="nil"/>
              <w:right w:val="nil"/>
            </w:tcBorders>
          </w:tcPr>
          <w:p w:rsidR="00000000" w:rsidRDefault="00590668">
            <w:pPr>
              <w:spacing w:before="120" w:after="120"/>
              <w:jc w:val="left"/>
              <w:rPr>
                <w:sz w:val="21"/>
                <w:szCs w:val="21"/>
              </w:rPr>
            </w:pPr>
            <w:r>
              <w:rPr>
                <w:sz w:val="21"/>
                <w:szCs w:val="21"/>
              </w:rPr>
              <w:t>United Nations</w:t>
            </w:r>
          </w:p>
        </w:tc>
        <w:tc>
          <w:tcPr>
            <w:tcW w:w="3991" w:type="dxa"/>
            <w:tcBorders>
              <w:top w:val="nil"/>
              <w:left w:val="nil"/>
              <w:bottom w:val="nil"/>
              <w:right w:val="nil"/>
            </w:tcBorders>
          </w:tcPr>
          <w:p w:rsidR="00000000" w:rsidRDefault="00590668">
            <w:pPr>
              <w:spacing w:before="120" w:after="120"/>
              <w:rPr>
                <w:sz w:val="21"/>
                <w:szCs w:val="21"/>
              </w:rPr>
            </w:pPr>
            <w:r>
              <w:t>www.un.org</w:t>
            </w:r>
          </w:p>
        </w:tc>
      </w:tr>
      <w:tr w:rsidR="00000000">
        <w:tblPrEx>
          <w:tblCellMar>
            <w:top w:w="0" w:type="dxa"/>
            <w:bottom w:w="0" w:type="dxa"/>
          </w:tblCellMar>
        </w:tblPrEx>
        <w:tc>
          <w:tcPr>
            <w:tcW w:w="3936" w:type="dxa"/>
            <w:tcBorders>
              <w:top w:val="nil"/>
              <w:left w:val="nil"/>
              <w:bottom w:val="nil"/>
              <w:right w:val="nil"/>
            </w:tcBorders>
          </w:tcPr>
          <w:p w:rsidR="00000000" w:rsidRDefault="00590668">
            <w:pPr>
              <w:spacing w:before="120" w:after="120"/>
              <w:jc w:val="left"/>
              <w:rPr>
                <w:sz w:val="21"/>
                <w:szCs w:val="21"/>
              </w:rPr>
            </w:pPr>
            <w:r>
              <w:rPr>
                <w:sz w:val="21"/>
                <w:szCs w:val="21"/>
              </w:rPr>
              <w:t>World Trade Organisation (WTO)</w:t>
            </w:r>
          </w:p>
        </w:tc>
        <w:tc>
          <w:tcPr>
            <w:tcW w:w="3991" w:type="dxa"/>
            <w:tcBorders>
              <w:top w:val="nil"/>
              <w:left w:val="nil"/>
              <w:bottom w:val="nil"/>
              <w:right w:val="nil"/>
            </w:tcBorders>
          </w:tcPr>
          <w:p w:rsidR="00000000" w:rsidRDefault="00590668">
            <w:pPr>
              <w:spacing w:before="120" w:after="120"/>
              <w:rPr>
                <w:sz w:val="21"/>
                <w:szCs w:val="21"/>
              </w:rPr>
            </w:pPr>
            <w:r>
              <w:t>www.wto.org</w:t>
            </w:r>
          </w:p>
        </w:tc>
      </w:tr>
    </w:tbl>
    <w:p w:rsidR="00000000" w:rsidRDefault="00590668">
      <w:pPr>
        <w:pStyle w:val="Heading3"/>
        <w:spacing w:before="360"/>
      </w:pPr>
      <w:r>
        <w:t>Specific documents</w:t>
      </w:r>
    </w:p>
    <w:tbl>
      <w:tblPr>
        <w:tblW w:w="0" w:type="auto"/>
        <w:tblLayout w:type="fixed"/>
        <w:tblLook w:val="0000" w:firstRow="0" w:lastRow="0" w:firstColumn="0" w:lastColumn="0" w:noHBand="0" w:noVBand="0"/>
      </w:tblPr>
      <w:tblGrid>
        <w:gridCol w:w="4219"/>
        <w:gridCol w:w="3708"/>
      </w:tblGrid>
      <w:tr w:rsidR="00000000">
        <w:tblPrEx>
          <w:tblCellMar>
            <w:top w:w="0" w:type="dxa"/>
            <w:bottom w:w="0" w:type="dxa"/>
          </w:tblCellMar>
        </w:tblPrEx>
        <w:tc>
          <w:tcPr>
            <w:tcW w:w="4219" w:type="dxa"/>
            <w:tcBorders>
              <w:top w:val="nil"/>
              <w:left w:val="nil"/>
              <w:bottom w:val="nil"/>
              <w:right w:val="nil"/>
            </w:tcBorders>
          </w:tcPr>
          <w:p w:rsidR="00000000" w:rsidRDefault="00590668">
            <w:pPr>
              <w:spacing w:before="120" w:after="120"/>
              <w:ind w:right="-108"/>
              <w:jc w:val="left"/>
              <w:rPr>
                <w:b/>
                <w:bCs/>
                <w:sz w:val="21"/>
                <w:szCs w:val="21"/>
              </w:rPr>
            </w:pPr>
            <w:r>
              <w:rPr>
                <w:b/>
                <w:bCs/>
                <w:sz w:val="21"/>
                <w:szCs w:val="21"/>
              </w:rPr>
              <w:t>Document title</w:t>
            </w:r>
          </w:p>
        </w:tc>
        <w:tc>
          <w:tcPr>
            <w:tcW w:w="3708" w:type="dxa"/>
            <w:tcBorders>
              <w:top w:val="nil"/>
              <w:left w:val="nil"/>
              <w:bottom w:val="nil"/>
              <w:right w:val="nil"/>
            </w:tcBorders>
          </w:tcPr>
          <w:p w:rsidR="00000000" w:rsidRDefault="00590668">
            <w:pPr>
              <w:spacing w:before="120" w:after="120"/>
              <w:rPr>
                <w:b/>
                <w:bCs/>
                <w:sz w:val="21"/>
                <w:szCs w:val="21"/>
              </w:rPr>
            </w:pPr>
            <w:r>
              <w:rPr>
                <w:b/>
                <w:bCs/>
                <w:sz w:val="21"/>
                <w:szCs w:val="21"/>
              </w:rPr>
              <w:t>Available at:</w:t>
            </w:r>
          </w:p>
        </w:tc>
      </w:tr>
      <w:tr w:rsidR="00000000">
        <w:tblPrEx>
          <w:tblCellMar>
            <w:top w:w="0" w:type="dxa"/>
            <w:bottom w:w="0" w:type="dxa"/>
          </w:tblCellMar>
        </w:tblPrEx>
        <w:tc>
          <w:tcPr>
            <w:tcW w:w="4219" w:type="dxa"/>
            <w:tcBorders>
              <w:top w:val="nil"/>
              <w:left w:val="nil"/>
              <w:bottom w:val="nil"/>
              <w:right w:val="nil"/>
            </w:tcBorders>
          </w:tcPr>
          <w:p w:rsidR="00000000" w:rsidRDefault="00590668">
            <w:pPr>
              <w:spacing w:before="120" w:after="120"/>
              <w:ind w:right="-108"/>
              <w:jc w:val="left"/>
              <w:rPr>
                <w:sz w:val="21"/>
                <w:szCs w:val="21"/>
              </w:rPr>
            </w:pPr>
            <w:r>
              <w:rPr>
                <w:sz w:val="21"/>
                <w:szCs w:val="21"/>
              </w:rPr>
              <w:t>Code of Liberalisation of Capital Movements</w:t>
            </w:r>
          </w:p>
        </w:tc>
        <w:tc>
          <w:tcPr>
            <w:tcW w:w="3708" w:type="dxa"/>
            <w:tcBorders>
              <w:top w:val="nil"/>
              <w:left w:val="nil"/>
              <w:bottom w:val="nil"/>
              <w:right w:val="nil"/>
            </w:tcBorders>
          </w:tcPr>
          <w:p w:rsidR="00000000" w:rsidRDefault="00590668">
            <w:pPr>
              <w:spacing w:before="120" w:after="120"/>
              <w:rPr>
                <w:sz w:val="21"/>
                <w:szCs w:val="21"/>
              </w:rPr>
            </w:pPr>
            <w:r>
              <w:t>www.oecd.org</w:t>
            </w:r>
          </w:p>
        </w:tc>
      </w:tr>
      <w:tr w:rsidR="00000000">
        <w:tblPrEx>
          <w:tblCellMar>
            <w:top w:w="0" w:type="dxa"/>
            <w:bottom w:w="0" w:type="dxa"/>
          </w:tblCellMar>
        </w:tblPrEx>
        <w:tc>
          <w:tcPr>
            <w:tcW w:w="4219" w:type="dxa"/>
            <w:tcBorders>
              <w:top w:val="nil"/>
              <w:left w:val="nil"/>
              <w:bottom w:val="nil"/>
              <w:right w:val="nil"/>
            </w:tcBorders>
          </w:tcPr>
          <w:p w:rsidR="00000000" w:rsidRDefault="00590668">
            <w:pPr>
              <w:spacing w:before="120" w:after="120"/>
              <w:ind w:right="-108"/>
              <w:jc w:val="left"/>
              <w:rPr>
                <w:sz w:val="21"/>
                <w:szCs w:val="21"/>
              </w:rPr>
            </w:pPr>
            <w:r>
              <w:rPr>
                <w:sz w:val="21"/>
                <w:szCs w:val="21"/>
              </w:rPr>
              <w:t>Economic Round Up (Treasury series)</w:t>
            </w:r>
          </w:p>
        </w:tc>
        <w:tc>
          <w:tcPr>
            <w:tcW w:w="3708" w:type="dxa"/>
            <w:tcBorders>
              <w:top w:val="nil"/>
              <w:left w:val="nil"/>
              <w:bottom w:val="nil"/>
              <w:right w:val="nil"/>
            </w:tcBorders>
          </w:tcPr>
          <w:p w:rsidR="00000000" w:rsidRDefault="00590668">
            <w:pPr>
              <w:spacing w:before="120" w:after="120"/>
              <w:rPr>
                <w:sz w:val="21"/>
                <w:szCs w:val="21"/>
              </w:rPr>
            </w:pPr>
            <w:r>
              <w:t>www.treasury.gov.au</w:t>
            </w:r>
          </w:p>
        </w:tc>
      </w:tr>
      <w:tr w:rsidR="00000000">
        <w:tblPrEx>
          <w:tblCellMar>
            <w:top w:w="0" w:type="dxa"/>
            <w:bottom w:w="0" w:type="dxa"/>
          </w:tblCellMar>
        </w:tblPrEx>
        <w:tc>
          <w:tcPr>
            <w:tcW w:w="4219" w:type="dxa"/>
            <w:tcBorders>
              <w:top w:val="nil"/>
              <w:left w:val="nil"/>
              <w:bottom w:val="nil"/>
              <w:right w:val="nil"/>
            </w:tcBorders>
          </w:tcPr>
          <w:p w:rsidR="00000000" w:rsidRDefault="00590668">
            <w:pPr>
              <w:spacing w:before="120" w:after="120"/>
              <w:ind w:right="-108"/>
              <w:jc w:val="left"/>
              <w:rPr>
                <w:sz w:val="21"/>
                <w:szCs w:val="21"/>
              </w:rPr>
            </w:pPr>
            <w:r>
              <w:rPr>
                <w:sz w:val="21"/>
                <w:szCs w:val="21"/>
              </w:rPr>
              <w:t>General Agreement on Tariffs in Trade (GATT)</w:t>
            </w:r>
          </w:p>
        </w:tc>
        <w:tc>
          <w:tcPr>
            <w:tcW w:w="3708" w:type="dxa"/>
            <w:tcBorders>
              <w:top w:val="nil"/>
              <w:left w:val="nil"/>
              <w:bottom w:val="nil"/>
              <w:right w:val="nil"/>
            </w:tcBorders>
          </w:tcPr>
          <w:p w:rsidR="00000000" w:rsidRDefault="00590668">
            <w:pPr>
              <w:spacing w:before="120" w:after="120"/>
              <w:rPr>
                <w:sz w:val="21"/>
                <w:szCs w:val="21"/>
              </w:rPr>
            </w:pPr>
            <w:r>
              <w:t>www.wto.org</w:t>
            </w:r>
          </w:p>
        </w:tc>
      </w:tr>
      <w:tr w:rsidR="00000000">
        <w:tblPrEx>
          <w:tblCellMar>
            <w:top w:w="0" w:type="dxa"/>
            <w:bottom w:w="0" w:type="dxa"/>
          </w:tblCellMar>
        </w:tblPrEx>
        <w:tc>
          <w:tcPr>
            <w:tcW w:w="4219" w:type="dxa"/>
            <w:tcBorders>
              <w:top w:val="nil"/>
              <w:left w:val="nil"/>
              <w:bottom w:val="nil"/>
              <w:right w:val="nil"/>
            </w:tcBorders>
          </w:tcPr>
          <w:p w:rsidR="00000000" w:rsidRDefault="00590668">
            <w:pPr>
              <w:spacing w:before="120" w:after="120"/>
              <w:ind w:right="-108"/>
              <w:jc w:val="left"/>
              <w:rPr>
                <w:sz w:val="21"/>
                <w:szCs w:val="21"/>
              </w:rPr>
            </w:pPr>
            <w:r>
              <w:rPr>
                <w:sz w:val="21"/>
                <w:szCs w:val="21"/>
              </w:rPr>
              <w:t>General Agreement on Trade in Services (GATS)</w:t>
            </w:r>
          </w:p>
        </w:tc>
        <w:tc>
          <w:tcPr>
            <w:tcW w:w="3708" w:type="dxa"/>
            <w:tcBorders>
              <w:top w:val="nil"/>
              <w:left w:val="nil"/>
              <w:bottom w:val="nil"/>
              <w:right w:val="nil"/>
            </w:tcBorders>
          </w:tcPr>
          <w:p w:rsidR="00000000" w:rsidRDefault="00590668">
            <w:pPr>
              <w:spacing w:before="120" w:after="120"/>
              <w:rPr>
                <w:sz w:val="21"/>
                <w:szCs w:val="21"/>
              </w:rPr>
            </w:pPr>
            <w:r>
              <w:t>www.wto.org</w:t>
            </w:r>
          </w:p>
        </w:tc>
      </w:tr>
      <w:tr w:rsidR="00000000">
        <w:tblPrEx>
          <w:tblCellMar>
            <w:top w:w="0" w:type="dxa"/>
            <w:bottom w:w="0" w:type="dxa"/>
          </w:tblCellMar>
        </w:tblPrEx>
        <w:tc>
          <w:tcPr>
            <w:tcW w:w="4219" w:type="dxa"/>
            <w:tcBorders>
              <w:top w:val="nil"/>
              <w:left w:val="nil"/>
              <w:bottom w:val="nil"/>
              <w:right w:val="nil"/>
            </w:tcBorders>
          </w:tcPr>
          <w:p w:rsidR="00000000" w:rsidRDefault="00590668">
            <w:pPr>
              <w:spacing w:before="120" w:after="120"/>
              <w:ind w:right="-108"/>
              <w:jc w:val="left"/>
              <w:rPr>
                <w:sz w:val="21"/>
                <w:szCs w:val="21"/>
              </w:rPr>
            </w:pPr>
            <w:r>
              <w:rPr>
                <w:sz w:val="21"/>
                <w:szCs w:val="21"/>
              </w:rPr>
              <w:t>Guide to the Investment Regimes of the APEC Member Economies</w:t>
            </w:r>
          </w:p>
        </w:tc>
        <w:tc>
          <w:tcPr>
            <w:tcW w:w="3708" w:type="dxa"/>
            <w:tcBorders>
              <w:top w:val="nil"/>
              <w:left w:val="nil"/>
              <w:bottom w:val="nil"/>
              <w:right w:val="nil"/>
            </w:tcBorders>
          </w:tcPr>
          <w:p w:rsidR="00000000" w:rsidRDefault="00590668">
            <w:pPr>
              <w:spacing w:before="120" w:after="120"/>
              <w:rPr>
                <w:sz w:val="21"/>
                <w:szCs w:val="21"/>
              </w:rPr>
            </w:pPr>
            <w:r>
              <w:t>www.apec.org.sg</w:t>
            </w:r>
          </w:p>
        </w:tc>
      </w:tr>
      <w:tr w:rsidR="00000000">
        <w:tblPrEx>
          <w:tblCellMar>
            <w:top w:w="0" w:type="dxa"/>
            <w:bottom w:w="0" w:type="dxa"/>
          </w:tblCellMar>
        </w:tblPrEx>
        <w:tc>
          <w:tcPr>
            <w:tcW w:w="4219" w:type="dxa"/>
            <w:tcBorders>
              <w:top w:val="nil"/>
              <w:left w:val="nil"/>
              <w:bottom w:val="nil"/>
              <w:right w:val="nil"/>
            </w:tcBorders>
          </w:tcPr>
          <w:p w:rsidR="00000000" w:rsidRDefault="00590668">
            <w:pPr>
              <w:spacing w:before="120" w:after="120"/>
              <w:ind w:right="-108"/>
              <w:jc w:val="left"/>
              <w:rPr>
                <w:sz w:val="21"/>
                <w:szCs w:val="21"/>
              </w:rPr>
            </w:pPr>
            <w:r>
              <w:rPr>
                <w:sz w:val="21"/>
                <w:szCs w:val="21"/>
              </w:rPr>
              <w:t>International Direct Investment Statistics Yearbook</w:t>
            </w:r>
          </w:p>
        </w:tc>
        <w:tc>
          <w:tcPr>
            <w:tcW w:w="3708" w:type="dxa"/>
            <w:tcBorders>
              <w:top w:val="nil"/>
              <w:left w:val="nil"/>
              <w:bottom w:val="nil"/>
              <w:right w:val="nil"/>
            </w:tcBorders>
          </w:tcPr>
          <w:p w:rsidR="00000000" w:rsidRDefault="00590668">
            <w:pPr>
              <w:spacing w:before="120" w:after="120"/>
              <w:rPr>
                <w:sz w:val="21"/>
                <w:szCs w:val="21"/>
              </w:rPr>
            </w:pPr>
            <w:r>
              <w:t>www.oecd.org</w:t>
            </w:r>
          </w:p>
        </w:tc>
      </w:tr>
      <w:tr w:rsidR="00000000">
        <w:tblPrEx>
          <w:tblCellMar>
            <w:top w:w="0" w:type="dxa"/>
            <w:bottom w:w="0" w:type="dxa"/>
          </w:tblCellMar>
        </w:tblPrEx>
        <w:tc>
          <w:tcPr>
            <w:tcW w:w="4219" w:type="dxa"/>
            <w:tcBorders>
              <w:top w:val="nil"/>
              <w:left w:val="nil"/>
              <w:bottom w:val="nil"/>
              <w:right w:val="nil"/>
            </w:tcBorders>
          </w:tcPr>
          <w:p w:rsidR="00000000" w:rsidRDefault="00590668">
            <w:pPr>
              <w:spacing w:before="120" w:after="120"/>
              <w:ind w:right="-108"/>
              <w:jc w:val="left"/>
              <w:rPr>
                <w:sz w:val="21"/>
                <w:szCs w:val="21"/>
              </w:rPr>
            </w:pPr>
            <w:r>
              <w:rPr>
                <w:sz w:val="21"/>
                <w:szCs w:val="21"/>
              </w:rPr>
              <w:lastRenderedPageBreak/>
              <w:t>International Investment Agreements (UNCTAD series)</w:t>
            </w:r>
          </w:p>
        </w:tc>
        <w:tc>
          <w:tcPr>
            <w:tcW w:w="3708" w:type="dxa"/>
            <w:tcBorders>
              <w:top w:val="nil"/>
              <w:left w:val="nil"/>
              <w:bottom w:val="nil"/>
              <w:right w:val="nil"/>
            </w:tcBorders>
          </w:tcPr>
          <w:p w:rsidR="00000000" w:rsidRDefault="00590668">
            <w:pPr>
              <w:spacing w:before="120" w:after="120"/>
              <w:rPr>
                <w:sz w:val="21"/>
                <w:szCs w:val="21"/>
              </w:rPr>
            </w:pPr>
            <w:r>
              <w:t>www.un.org</w:t>
            </w:r>
          </w:p>
        </w:tc>
      </w:tr>
      <w:tr w:rsidR="00000000">
        <w:tblPrEx>
          <w:tblCellMar>
            <w:top w:w="0" w:type="dxa"/>
            <w:bottom w:w="0" w:type="dxa"/>
          </w:tblCellMar>
        </w:tblPrEx>
        <w:tc>
          <w:tcPr>
            <w:tcW w:w="4219" w:type="dxa"/>
            <w:tcBorders>
              <w:top w:val="nil"/>
              <w:left w:val="nil"/>
              <w:bottom w:val="nil"/>
              <w:right w:val="nil"/>
            </w:tcBorders>
          </w:tcPr>
          <w:p w:rsidR="00000000" w:rsidRDefault="00590668">
            <w:pPr>
              <w:spacing w:before="120" w:after="120"/>
              <w:ind w:right="-108"/>
              <w:jc w:val="left"/>
              <w:rPr>
                <w:sz w:val="21"/>
                <w:szCs w:val="21"/>
              </w:rPr>
            </w:pPr>
            <w:r>
              <w:rPr>
                <w:sz w:val="21"/>
                <w:szCs w:val="21"/>
              </w:rPr>
              <w:t xml:space="preserve">OCED </w:t>
            </w:r>
            <w:r>
              <w:rPr>
                <w:sz w:val="21"/>
                <w:szCs w:val="21"/>
                <w:lang w:val="en-US"/>
              </w:rPr>
              <w:t>Declaration on International Investment and Multinational Enterprises</w:t>
            </w:r>
          </w:p>
        </w:tc>
        <w:tc>
          <w:tcPr>
            <w:tcW w:w="3708" w:type="dxa"/>
            <w:tcBorders>
              <w:top w:val="nil"/>
              <w:left w:val="nil"/>
              <w:bottom w:val="nil"/>
              <w:right w:val="nil"/>
            </w:tcBorders>
          </w:tcPr>
          <w:p w:rsidR="00000000" w:rsidRDefault="00590668">
            <w:pPr>
              <w:spacing w:before="120" w:after="120"/>
              <w:rPr>
                <w:sz w:val="21"/>
                <w:szCs w:val="21"/>
              </w:rPr>
            </w:pPr>
            <w:r>
              <w:t>www.ausncp.gov.au</w:t>
            </w:r>
          </w:p>
        </w:tc>
      </w:tr>
      <w:tr w:rsidR="00000000">
        <w:tblPrEx>
          <w:tblCellMar>
            <w:top w:w="0" w:type="dxa"/>
            <w:bottom w:w="0" w:type="dxa"/>
          </w:tblCellMar>
        </w:tblPrEx>
        <w:tc>
          <w:tcPr>
            <w:tcW w:w="4219" w:type="dxa"/>
            <w:tcBorders>
              <w:top w:val="nil"/>
              <w:left w:val="nil"/>
              <w:bottom w:val="nil"/>
              <w:right w:val="nil"/>
            </w:tcBorders>
          </w:tcPr>
          <w:p w:rsidR="00000000" w:rsidRDefault="00590668">
            <w:pPr>
              <w:spacing w:before="120" w:after="120"/>
              <w:ind w:right="-108"/>
              <w:jc w:val="left"/>
              <w:rPr>
                <w:sz w:val="21"/>
                <w:szCs w:val="21"/>
              </w:rPr>
            </w:pPr>
            <w:r>
              <w:rPr>
                <w:sz w:val="21"/>
                <w:szCs w:val="21"/>
              </w:rPr>
              <w:t>OECD Code of Liberalisation of C</w:t>
            </w:r>
            <w:r>
              <w:rPr>
                <w:sz w:val="21"/>
                <w:szCs w:val="21"/>
              </w:rPr>
              <w:t>urrent Invisible Operations</w:t>
            </w:r>
          </w:p>
        </w:tc>
        <w:tc>
          <w:tcPr>
            <w:tcW w:w="3708" w:type="dxa"/>
            <w:tcBorders>
              <w:top w:val="nil"/>
              <w:left w:val="nil"/>
              <w:bottom w:val="nil"/>
              <w:right w:val="nil"/>
            </w:tcBorders>
          </w:tcPr>
          <w:p w:rsidR="00000000" w:rsidRDefault="00590668">
            <w:pPr>
              <w:spacing w:before="120" w:after="120"/>
              <w:rPr>
                <w:sz w:val="21"/>
                <w:szCs w:val="21"/>
              </w:rPr>
            </w:pPr>
            <w:r>
              <w:t>www.oecd.org</w:t>
            </w:r>
          </w:p>
          <w:p w:rsidR="00000000" w:rsidRDefault="00590668">
            <w:pPr>
              <w:spacing w:before="120" w:after="120"/>
              <w:rPr>
                <w:sz w:val="21"/>
                <w:szCs w:val="21"/>
              </w:rPr>
            </w:pPr>
          </w:p>
        </w:tc>
      </w:tr>
      <w:tr w:rsidR="00000000">
        <w:tblPrEx>
          <w:tblCellMar>
            <w:top w:w="0" w:type="dxa"/>
            <w:bottom w:w="0" w:type="dxa"/>
          </w:tblCellMar>
        </w:tblPrEx>
        <w:tc>
          <w:tcPr>
            <w:tcW w:w="4219" w:type="dxa"/>
            <w:tcBorders>
              <w:top w:val="nil"/>
              <w:left w:val="nil"/>
              <w:bottom w:val="nil"/>
              <w:right w:val="nil"/>
            </w:tcBorders>
          </w:tcPr>
          <w:p w:rsidR="00000000" w:rsidRDefault="00590668">
            <w:pPr>
              <w:spacing w:before="120" w:after="120"/>
              <w:ind w:right="-108"/>
              <w:jc w:val="left"/>
              <w:rPr>
                <w:sz w:val="21"/>
                <w:szCs w:val="21"/>
              </w:rPr>
            </w:pPr>
            <w:r>
              <w:rPr>
                <w:sz w:val="21"/>
                <w:szCs w:val="21"/>
              </w:rPr>
              <w:t>OECD Guidelines for Multinational Enterprises</w:t>
            </w:r>
          </w:p>
        </w:tc>
        <w:tc>
          <w:tcPr>
            <w:tcW w:w="3708" w:type="dxa"/>
            <w:tcBorders>
              <w:top w:val="nil"/>
              <w:left w:val="nil"/>
              <w:bottom w:val="nil"/>
              <w:right w:val="nil"/>
            </w:tcBorders>
          </w:tcPr>
          <w:p w:rsidR="00000000" w:rsidRDefault="00590668">
            <w:pPr>
              <w:spacing w:before="120" w:after="120"/>
              <w:rPr>
                <w:sz w:val="21"/>
                <w:szCs w:val="21"/>
              </w:rPr>
            </w:pPr>
            <w:r>
              <w:t>www.ausncp.gov.au</w:t>
            </w:r>
          </w:p>
        </w:tc>
      </w:tr>
      <w:tr w:rsidR="00000000">
        <w:tblPrEx>
          <w:tblCellMar>
            <w:top w:w="0" w:type="dxa"/>
            <w:bottom w:w="0" w:type="dxa"/>
          </w:tblCellMar>
        </w:tblPrEx>
        <w:tc>
          <w:tcPr>
            <w:tcW w:w="4219" w:type="dxa"/>
            <w:tcBorders>
              <w:top w:val="nil"/>
              <w:left w:val="nil"/>
              <w:bottom w:val="nil"/>
              <w:right w:val="nil"/>
            </w:tcBorders>
          </w:tcPr>
          <w:p w:rsidR="00000000" w:rsidRDefault="00590668">
            <w:pPr>
              <w:spacing w:before="120" w:after="120"/>
              <w:ind w:right="-108"/>
              <w:jc w:val="left"/>
              <w:rPr>
                <w:sz w:val="21"/>
                <w:szCs w:val="21"/>
              </w:rPr>
            </w:pPr>
            <w:r>
              <w:rPr>
                <w:sz w:val="21"/>
                <w:szCs w:val="21"/>
              </w:rPr>
              <w:t>Treasury Annual Report</w:t>
            </w:r>
          </w:p>
        </w:tc>
        <w:tc>
          <w:tcPr>
            <w:tcW w:w="3708" w:type="dxa"/>
            <w:tcBorders>
              <w:top w:val="nil"/>
              <w:left w:val="nil"/>
              <w:bottom w:val="nil"/>
              <w:right w:val="nil"/>
            </w:tcBorders>
          </w:tcPr>
          <w:p w:rsidR="00000000" w:rsidRDefault="00590668">
            <w:pPr>
              <w:spacing w:before="120" w:after="120"/>
              <w:rPr>
                <w:sz w:val="21"/>
                <w:szCs w:val="21"/>
              </w:rPr>
            </w:pPr>
            <w:r>
              <w:t>www.treasury.gov.au</w:t>
            </w:r>
          </w:p>
        </w:tc>
      </w:tr>
      <w:tr w:rsidR="00000000">
        <w:tblPrEx>
          <w:tblCellMar>
            <w:top w:w="0" w:type="dxa"/>
            <w:bottom w:w="0" w:type="dxa"/>
          </w:tblCellMar>
        </w:tblPrEx>
        <w:tc>
          <w:tcPr>
            <w:tcW w:w="4219" w:type="dxa"/>
            <w:tcBorders>
              <w:top w:val="nil"/>
              <w:left w:val="nil"/>
              <w:bottom w:val="nil"/>
              <w:right w:val="nil"/>
            </w:tcBorders>
          </w:tcPr>
          <w:p w:rsidR="00000000" w:rsidRDefault="00590668">
            <w:pPr>
              <w:spacing w:before="120" w:after="120"/>
              <w:ind w:right="-108"/>
              <w:jc w:val="left"/>
              <w:rPr>
                <w:sz w:val="21"/>
                <w:szCs w:val="21"/>
              </w:rPr>
            </w:pPr>
            <w:r>
              <w:rPr>
                <w:sz w:val="21"/>
                <w:szCs w:val="21"/>
              </w:rPr>
              <w:t>World Investment Directory</w:t>
            </w:r>
          </w:p>
        </w:tc>
        <w:tc>
          <w:tcPr>
            <w:tcW w:w="3708" w:type="dxa"/>
            <w:tcBorders>
              <w:top w:val="nil"/>
              <w:left w:val="nil"/>
              <w:bottom w:val="nil"/>
              <w:right w:val="nil"/>
            </w:tcBorders>
          </w:tcPr>
          <w:p w:rsidR="00000000" w:rsidRDefault="00590668">
            <w:pPr>
              <w:spacing w:before="120" w:after="120"/>
              <w:rPr>
                <w:sz w:val="21"/>
                <w:szCs w:val="21"/>
              </w:rPr>
            </w:pPr>
            <w:r>
              <w:t>www.un.org</w:t>
            </w:r>
          </w:p>
        </w:tc>
      </w:tr>
      <w:tr w:rsidR="00000000">
        <w:tblPrEx>
          <w:tblCellMar>
            <w:top w:w="0" w:type="dxa"/>
            <w:bottom w:w="0" w:type="dxa"/>
          </w:tblCellMar>
        </w:tblPrEx>
        <w:tc>
          <w:tcPr>
            <w:tcW w:w="4219" w:type="dxa"/>
            <w:tcBorders>
              <w:top w:val="nil"/>
              <w:left w:val="nil"/>
              <w:bottom w:val="nil"/>
              <w:right w:val="nil"/>
            </w:tcBorders>
          </w:tcPr>
          <w:p w:rsidR="00000000" w:rsidRDefault="00590668">
            <w:pPr>
              <w:spacing w:before="120" w:after="120"/>
              <w:ind w:right="-108"/>
              <w:jc w:val="left"/>
              <w:rPr>
                <w:sz w:val="21"/>
                <w:szCs w:val="21"/>
              </w:rPr>
            </w:pPr>
            <w:r>
              <w:rPr>
                <w:sz w:val="21"/>
                <w:szCs w:val="21"/>
              </w:rPr>
              <w:t>World Investment Report</w:t>
            </w:r>
          </w:p>
        </w:tc>
        <w:tc>
          <w:tcPr>
            <w:tcW w:w="3708" w:type="dxa"/>
            <w:tcBorders>
              <w:top w:val="nil"/>
              <w:left w:val="nil"/>
              <w:bottom w:val="nil"/>
              <w:right w:val="nil"/>
            </w:tcBorders>
          </w:tcPr>
          <w:p w:rsidR="00000000" w:rsidRDefault="00590668">
            <w:pPr>
              <w:spacing w:before="120" w:after="120"/>
              <w:rPr>
                <w:sz w:val="21"/>
                <w:szCs w:val="21"/>
              </w:rPr>
            </w:pPr>
            <w:r>
              <w:t>www.un.org</w:t>
            </w:r>
          </w:p>
        </w:tc>
      </w:tr>
    </w:tbl>
    <w:p w:rsidR="00000000" w:rsidRDefault="00590668">
      <w:pPr>
        <w:rPr>
          <w:sz w:val="21"/>
          <w:szCs w:val="21"/>
        </w:rPr>
      </w:pPr>
    </w:p>
    <w:p w:rsidR="00000000" w:rsidRDefault="00590668">
      <w:pPr>
        <w:pStyle w:val="TOC3"/>
        <w:sectPr w:rsidR="00000000">
          <w:headerReference w:type="even" r:id="rId86"/>
          <w:headerReference w:type="default" r:id="rId87"/>
          <w:footerReference w:type="even" r:id="rId88"/>
          <w:footerReference w:type="default" r:id="rId89"/>
          <w:headerReference w:type="first" r:id="rId90"/>
          <w:footerReference w:type="first" r:id="rId91"/>
          <w:pgSz w:w="11907" w:h="16840" w:code="9"/>
          <w:pgMar w:top="2466" w:right="2098" w:bottom="2466" w:left="2098" w:header="1899" w:footer="1899" w:gutter="0"/>
          <w:cols w:space="709"/>
          <w:titlePg/>
        </w:sectPr>
      </w:pPr>
    </w:p>
    <w:p w:rsidR="00000000" w:rsidRDefault="00590668">
      <w:pPr>
        <w:pStyle w:val="chattach"/>
      </w:pPr>
      <w:r>
        <w:lastRenderedPageBreak/>
        <w:t>APPENDIX A</w:t>
      </w:r>
    </w:p>
    <w:p w:rsidR="00000000" w:rsidRDefault="00590668">
      <w:pPr>
        <w:pStyle w:val="Heading1"/>
        <w:spacing w:before="240"/>
      </w:pPr>
      <w:r>
        <w:t>Summary of Australia</w:t>
      </w:r>
      <w:r>
        <w:rPr>
          <w:rFonts w:ascii="Palatino" w:hAnsi="Palatino" w:cs="Palatino"/>
        </w:rPr>
        <w:t>’</w:t>
      </w:r>
      <w:r>
        <w:t>s Foreign Investment Policy as at 30 June 2001</w:t>
      </w:r>
    </w:p>
    <w:p w:rsidR="00000000" w:rsidRDefault="00590668">
      <w:pPr>
        <w:pStyle w:val="Heading2"/>
      </w:pPr>
      <w:r>
        <w:t>General</w:t>
      </w:r>
    </w:p>
    <w:p w:rsidR="00000000" w:rsidRDefault="00590668">
      <w:r>
        <w:t>The Government’s approach to foreign investment policy is to encourage foreign investment consistent with community interests. In recognition of the contribution that foreign investment has made and co</w:t>
      </w:r>
      <w:r>
        <w:t>ntinues to make to the development of Australia, the general stance of policy is to welcome foreign investment. Foreign investment provides scope for higher rates of economic activity and employment than could be achieved from domestic levels of savings. F</w:t>
      </w:r>
      <w:r>
        <w:t>oreign direct investment also provides access to new technology, management skills and overseas markets.</w:t>
      </w:r>
    </w:p>
    <w:p w:rsidR="00000000" w:rsidRDefault="00590668">
      <w:r>
        <w:t>2.</w:t>
      </w:r>
      <w:r>
        <w:tab/>
        <w:t>The Government recognises community concerns about foreign ownership of Australian assets. One of the objectives of the Government’s foreign investm</w:t>
      </w:r>
      <w:r>
        <w:t>ent policy is to balance these concerns against the strong economic benefits to Australia that arise from foreign investment.</w:t>
      </w:r>
    </w:p>
    <w:p w:rsidR="00000000" w:rsidRDefault="00590668">
      <w:r>
        <w:t>3.</w:t>
      </w:r>
      <w:r>
        <w:tab/>
        <w:t xml:space="preserve">The foreign investment policy provides for Government scrutiny of many proposed foreign purchases of Australian businesses and </w:t>
      </w:r>
      <w:r>
        <w:t xml:space="preserve">properties. The Government has the power under the </w:t>
      </w:r>
      <w:r>
        <w:rPr>
          <w:rStyle w:val="NormalItalic"/>
        </w:rPr>
        <w:t xml:space="preserve">Foreign Acquisitions and Takeovers Act 1975 </w:t>
      </w:r>
      <w:r>
        <w:t xml:space="preserve">(the Act) to block proposals that are determined to be contrary to the national interest. The Act also provides legislative backing for ensuring compliance with </w:t>
      </w:r>
      <w:r>
        <w:t>the policy.</w:t>
      </w:r>
    </w:p>
    <w:p w:rsidR="00000000" w:rsidRDefault="00590668">
      <w:r>
        <w:t>4.</w:t>
      </w:r>
      <w:r>
        <w:tab/>
        <w:t>In August and September 1999, the Government announced a number of changes to its foreign investment policy (and the Foreign Acquisitions and Takeovers Regulations), designed to reduce notification obligations on business and to streamline t</w:t>
      </w:r>
      <w:r>
        <w:t>he administration of foreign investment policy, while continuing to ensure that foreign investment is consistent with the interests of the Australian community. These changes are outlined in the Treasurer’s Press Release of 3 September 1999 which is availa</w:t>
      </w:r>
      <w:r>
        <w:t>ble through the Treasury website. The changes have been incorporated in this policy statement.</w:t>
      </w:r>
    </w:p>
    <w:p w:rsidR="00000000" w:rsidRDefault="00590668">
      <w:r>
        <w:t>5.</w:t>
      </w:r>
      <w:r>
        <w:tab/>
        <w:t xml:space="preserve">In the majority of industry sectors, smaller proposals are exempt from notification and larger proposals are approved unless judged contrary to the </w:t>
      </w:r>
      <w:r>
        <w:lastRenderedPageBreak/>
        <w:t>national i</w:t>
      </w:r>
      <w:r>
        <w:t>nterest. The screening process undertaken by the Foreign Investment Review Board (FIRB) enables comments to be obtained from relevant parties and other Government agencies in considering whether larger or more sensitive foreign investment proposals are con</w:t>
      </w:r>
      <w:r>
        <w:t>trary to the national interest.</w:t>
      </w:r>
    </w:p>
    <w:p w:rsidR="00000000" w:rsidRDefault="00590668">
      <w:r>
        <w:t>6.</w:t>
      </w:r>
      <w:r>
        <w:tab/>
        <w:t>The Government determines what is ‘contrary to the national interest’ by having regard to the widely held community concerns of Australians. Reflecting community concerns, specific restrictions on foreign investment are i</w:t>
      </w:r>
      <w:r>
        <w:t>n force in more sensitive sectors such as the media and developed residential real estate. The screening process provides a clear and simple mechanism for reviewing the operations of foreign investors in Australia whenever they seek to establish or acquire</w:t>
      </w:r>
      <w:r>
        <w:t xml:space="preserve"> new business interests or purchase additional properties. In this way the Government is able to put pressure on foreign investors to operate in Australia as good corporate citizens if they wish to extend their activities in Australia.</w:t>
      </w:r>
    </w:p>
    <w:p w:rsidR="00000000" w:rsidRDefault="00590668">
      <w:r>
        <w:t>7.</w:t>
      </w:r>
      <w:r>
        <w:tab/>
        <w:t>By far the larges</w:t>
      </w:r>
      <w:r>
        <w:t>t number of foreign investment proposals involves the purchase of real estate. The Government seeks to ensure that foreign investment in residential real estate increases the supply of residences and is not speculative in nature. The Government’s foreign i</w:t>
      </w:r>
      <w:r>
        <w:t xml:space="preserve">nvestment policy, therefore, seeks to channel foreign investment in the housing sector into activity that directly increases the supply of new housing (that is, new developments </w:t>
      </w:r>
      <w:r>
        <w:sym w:font="Symbol" w:char="F0BE"/>
      </w:r>
      <w:r>
        <w:t xml:space="preserve"> house and land, home units, townhouses, etc) a</w:t>
      </w:r>
      <w:r>
        <w:t>nd brings benefits to the local building industry and their suppliers.</w:t>
      </w:r>
    </w:p>
    <w:p w:rsidR="00000000" w:rsidRDefault="00590668">
      <w:r>
        <w:t>8.</w:t>
      </w:r>
      <w:r>
        <w:tab/>
        <w:t>The effect of the more restrictive policy measures on developed residential real estate is twofold. First, it helps reduce the possibility of excess demand building up in the existin</w:t>
      </w:r>
      <w:r>
        <w:t>g housing market and secondly, it aims to encourage the supply of new dwellings, many of which would become available to Australian residents, either for purchase or rent. The cumulative effect should therefore be to maintain greater stability of house pri</w:t>
      </w:r>
      <w:r>
        <w:t>ces and the affordability of housing for the benefit of Australian residents.</w:t>
      </w:r>
    </w:p>
    <w:p w:rsidR="00000000" w:rsidRDefault="00590668">
      <w:pPr>
        <w:pStyle w:val="Heading2"/>
      </w:pPr>
      <w:r>
        <w:t>Prior approval</w:t>
      </w:r>
    </w:p>
    <w:p w:rsidR="00000000" w:rsidRDefault="00590668">
      <w:pPr>
        <w:spacing w:line="240" w:lineRule="atLeast"/>
      </w:pPr>
      <w:r>
        <w:t>9.</w:t>
      </w:r>
      <w:r>
        <w:tab/>
        <w:t>The types of proposals by foreign interests to invest in Australia, which require prior approval and therefore should be notified to the Government, are as foll</w:t>
      </w:r>
      <w:r>
        <w:t>ows:</w:t>
      </w:r>
    </w:p>
    <w:p w:rsidR="00000000" w:rsidRDefault="00590668">
      <w:pPr>
        <w:pStyle w:val="Bullet"/>
        <w:tabs>
          <w:tab w:val="num" w:pos="567"/>
        </w:tabs>
      </w:pPr>
      <w:r>
        <w:lastRenderedPageBreak/>
        <w:t>acquisitions of substantial interests in existing Australian businesses with total assets over $50 million or where the proposal values the business at over $50 million;</w:t>
      </w:r>
    </w:p>
    <w:p w:rsidR="00000000" w:rsidRDefault="00590668">
      <w:pPr>
        <w:pStyle w:val="Bullet"/>
        <w:tabs>
          <w:tab w:val="num" w:pos="567"/>
        </w:tabs>
      </w:pPr>
      <w:r>
        <w:t>proposals to establish new businesses involving a total investment of $10 m</w:t>
      </w:r>
      <w:r>
        <w:t>illion or more;</w:t>
      </w:r>
    </w:p>
    <w:p w:rsidR="00000000" w:rsidRDefault="00590668">
      <w:pPr>
        <w:pStyle w:val="Bullet"/>
        <w:tabs>
          <w:tab w:val="num" w:pos="567"/>
        </w:tabs>
      </w:pPr>
      <w:r>
        <w:t>portfolio investments in the media of 5 per cent or more and all non</w:t>
      </w:r>
      <w:r>
        <w:noBreakHyphen/>
        <w:t>portfolio investments irrespective of size;</w:t>
      </w:r>
    </w:p>
    <w:p w:rsidR="00000000" w:rsidRDefault="00590668">
      <w:pPr>
        <w:pStyle w:val="Bullet"/>
        <w:tabs>
          <w:tab w:val="num" w:pos="567"/>
        </w:tabs>
      </w:pPr>
      <w:r>
        <w:t>takeovers of offshore companies whose Australian subsidiaries or assets are valued at $50 million or more, or account for</w:t>
      </w:r>
      <w:r>
        <w:t xml:space="preserve"> more than 50 per cent of the target company’s global assets;</w:t>
      </w:r>
    </w:p>
    <w:p w:rsidR="00000000" w:rsidRDefault="00590668">
      <w:pPr>
        <w:pStyle w:val="Bullet"/>
        <w:tabs>
          <w:tab w:val="num" w:pos="567"/>
        </w:tabs>
      </w:pPr>
      <w:r>
        <w:t>direct investments by foreign governments or their agencies irrespective of size;</w:t>
      </w:r>
    </w:p>
    <w:p w:rsidR="00000000" w:rsidRDefault="00590668">
      <w:pPr>
        <w:pStyle w:val="Bullet"/>
        <w:tabs>
          <w:tab w:val="num" w:pos="567"/>
        </w:tabs>
      </w:pPr>
      <w:r>
        <w:t>acquisitions of interests in urban land (including interests that arise via leases, financing and profit s</w:t>
      </w:r>
      <w:r>
        <w:t>haring arrangements and the acquisition of interests in urban land corporations and trusts) that involve the:</w:t>
      </w:r>
    </w:p>
    <w:p w:rsidR="00000000" w:rsidRDefault="00590668">
      <w:pPr>
        <w:pStyle w:val="Dash"/>
        <w:tabs>
          <w:tab w:val="clear" w:pos="907"/>
          <w:tab w:val="left" w:pos="1134"/>
        </w:tabs>
        <w:ind w:left="1134" w:hanging="567"/>
      </w:pPr>
      <w:r>
        <w:t>acquisition of developed non-residential commercial real estate, where the property is subject to heritage listing, valued at $5 </w:t>
      </w:r>
      <w:r>
        <w:t>million or more;</w:t>
      </w:r>
    </w:p>
    <w:p w:rsidR="00000000" w:rsidRDefault="00590668">
      <w:pPr>
        <w:pStyle w:val="Dash"/>
        <w:tabs>
          <w:tab w:val="clear" w:pos="907"/>
          <w:tab w:val="left" w:pos="1134"/>
        </w:tabs>
        <w:ind w:left="1134" w:hanging="567"/>
      </w:pPr>
      <w:r>
        <w:t>acquisition of developed non-residential commercial real estate, where the property is not subject to heritage listing, valued at $50 million or more;</w:t>
      </w:r>
    </w:p>
    <w:p w:rsidR="00000000" w:rsidRDefault="00590668">
      <w:pPr>
        <w:pStyle w:val="Dash"/>
        <w:tabs>
          <w:tab w:val="clear" w:pos="907"/>
          <w:tab w:val="left" w:pos="1134"/>
        </w:tabs>
        <w:ind w:left="1134" w:hanging="567"/>
      </w:pPr>
      <w:r>
        <w:t>acquisition of accommodation facilities irrespective of value;</w:t>
      </w:r>
    </w:p>
    <w:p w:rsidR="00000000" w:rsidRDefault="00590668">
      <w:pPr>
        <w:pStyle w:val="Dash"/>
        <w:tabs>
          <w:tab w:val="clear" w:pos="907"/>
          <w:tab w:val="left" w:pos="1134"/>
        </w:tabs>
        <w:ind w:left="1134" w:hanging="567"/>
      </w:pPr>
      <w:r>
        <w:t>acquisition of vacant urban real estate irrespective of value;</w:t>
      </w:r>
    </w:p>
    <w:p w:rsidR="00000000" w:rsidRDefault="00590668">
      <w:pPr>
        <w:pStyle w:val="Dash"/>
        <w:tabs>
          <w:tab w:val="clear" w:pos="907"/>
          <w:tab w:val="left" w:pos="1134"/>
        </w:tabs>
        <w:ind w:left="1134" w:hanging="567"/>
      </w:pPr>
      <w:r>
        <w:t>acquisition of residential real estate irrespective of value; or</w:t>
      </w:r>
    </w:p>
    <w:p w:rsidR="00000000" w:rsidRDefault="00590668">
      <w:pPr>
        <w:pStyle w:val="Bullet"/>
        <w:tabs>
          <w:tab w:val="num" w:pos="567"/>
        </w:tabs>
      </w:pPr>
      <w:r>
        <w:t>proposals where any doubt exists as to whether they are notifiable. (Funding arrangements that include debt instruments ha</w:t>
      </w:r>
      <w:r>
        <w:t>ving quasi</w:t>
      </w:r>
      <w:r>
        <w:noBreakHyphen/>
        <w:t>equity characteristics will be treated as direct foreign investment.)</w:t>
      </w:r>
    </w:p>
    <w:p w:rsidR="00000000" w:rsidRDefault="00590668">
      <w:pPr>
        <w:keepNext/>
        <w:spacing w:line="240" w:lineRule="atLeast"/>
      </w:pPr>
      <w:r>
        <w:t>10.</w:t>
      </w:r>
      <w:r>
        <w:tab/>
        <w:t>A foreign interest is defined as:</w:t>
      </w:r>
    </w:p>
    <w:p w:rsidR="00000000" w:rsidRDefault="00590668">
      <w:pPr>
        <w:pStyle w:val="Bullet"/>
      </w:pPr>
      <w:r>
        <w:t xml:space="preserve">a natural person not ordinarily resident in Australia; </w:t>
      </w:r>
    </w:p>
    <w:p w:rsidR="00000000" w:rsidRDefault="00590668">
      <w:pPr>
        <w:pStyle w:val="Bullet"/>
      </w:pPr>
      <w:r>
        <w:lastRenderedPageBreak/>
        <w:t>a corporation in which a natural person not ordinarily resident in Australi</w:t>
      </w:r>
      <w:r>
        <w:t>a or a foreign corporation holds a controlling interest;</w:t>
      </w:r>
    </w:p>
    <w:p w:rsidR="00000000" w:rsidRDefault="00590668">
      <w:pPr>
        <w:pStyle w:val="Bullet"/>
      </w:pPr>
      <w:r>
        <w:t>a corporation in which 2 or more persons, each of whom is either a natural person not ordinarily resident in Australia or a foreign corporation, hold an aggregate controlling interest;</w:t>
      </w:r>
    </w:p>
    <w:p w:rsidR="00000000" w:rsidRDefault="00590668">
      <w:pPr>
        <w:pStyle w:val="Bullet"/>
      </w:pPr>
      <w:r>
        <w:t>the trus</w:t>
      </w:r>
      <w:r>
        <w:t>tee of a trust estate in which a natural person not ordinarily resident in Australia or a foreign corporation holds a substantial interest; or</w:t>
      </w:r>
    </w:p>
    <w:p w:rsidR="00000000" w:rsidRDefault="00590668">
      <w:pPr>
        <w:pStyle w:val="Bullet"/>
      </w:pPr>
      <w:r>
        <w:t>the trustee of a trust estate in which 2 or more persons, each of whom is either a natural person not ordinari</w:t>
      </w:r>
      <w:r>
        <w:t>ly resident in Australia or a foreign corporation, hold an aggregate substantial interest.</w:t>
      </w:r>
    </w:p>
    <w:p w:rsidR="00000000" w:rsidRDefault="00590668">
      <w:r>
        <w:t>A substantial foreign interest occurs when a single foreigner (and any associates) has 15 per cent or more of the ownership or several foreigners (and any associates</w:t>
      </w:r>
      <w:r>
        <w:t>) have 40 per cent or more in aggregate of the ownership of any corporation, business or trust.</w:t>
      </w:r>
    </w:p>
    <w:p w:rsidR="00000000" w:rsidRDefault="00590668">
      <w:r>
        <w:t>11.</w:t>
      </w:r>
      <w:r>
        <w:tab/>
        <w:t>Below is an outline of the Government’s foreign investment policy and the examination guidelines for the various industry sectors. The majority of proposals</w:t>
      </w:r>
      <w:r>
        <w:t xml:space="preserve"> will fall within these guidelines. However, some may not. The latter proposals will be examined on a case-by-case basis.</w:t>
      </w:r>
    </w:p>
    <w:p w:rsidR="00000000" w:rsidRDefault="00590668">
      <w:pPr>
        <w:pStyle w:val="Heading2"/>
      </w:pPr>
      <w:r>
        <w:t>Examination by sector</w:t>
      </w:r>
    </w:p>
    <w:p w:rsidR="00000000" w:rsidRDefault="00590668">
      <w:pPr>
        <w:spacing w:line="240" w:lineRule="atLeast"/>
      </w:pPr>
      <w:r>
        <w:t>12.</w:t>
      </w:r>
      <w:r>
        <w:tab/>
        <w:t xml:space="preserve">The </w:t>
      </w:r>
      <w:r>
        <w:rPr>
          <w:rStyle w:val="NormalItalic"/>
        </w:rPr>
        <w:t>Foreign Acquisitions and Takeovers Act 1975</w:t>
      </w:r>
      <w:r>
        <w:t xml:space="preserve"> (FATA) applies to most examinable proposals and provides pen</w:t>
      </w:r>
      <w:r>
        <w:t>alties for non-compliance.</w:t>
      </w:r>
    </w:p>
    <w:p w:rsidR="00000000" w:rsidRDefault="00590668">
      <w:pPr>
        <w:ind w:left="567"/>
        <w:rPr>
          <w:rStyle w:val="NormalItalic"/>
        </w:rPr>
      </w:pPr>
      <w:r>
        <w:rPr>
          <w:rStyle w:val="NormalItalic"/>
        </w:rPr>
        <w:t>Rural Businesses and Rural Land, Agriculture, Forestry, Fishing, Resource Processing, Oil &amp; Gas, Mining, Manufacturing, Non-Bank Financial Institutions, Insurance, Sharebroking, Tourism, Most Other Services.</w:t>
      </w:r>
    </w:p>
    <w:p w:rsidR="00000000" w:rsidRDefault="00590668">
      <w:pPr>
        <w:numPr>
          <w:ilvl w:val="12"/>
          <w:numId w:val="0"/>
        </w:numPr>
        <w:ind w:left="567"/>
        <w:rPr>
          <w:rStyle w:val="NormalItalic"/>
        </w:rPr>
      </w:pPr>
      <w:r>
        <w:rPr>
          <w:rStyle w:val="NormalItalic"/>
        </w:rPr>
        <w:t>(Rural Land is define</w:t>
      </w:r>
      <w:r>
        <w:rPr>
          <w:rStyle w:val="NormalItalic"/>
        </w:rPr>
        <w:t>d as land that is used wholly and exclusively for carrying on a substantial business of primary production. Acquisitions of vacant land that has a rural zoning, ‘hobby farms’ and ‘rural residential’ blocks by foreign interests are included within the urban</w:t>
      </w:r>
      <w:r>
        <w:rPr>
          <w:rStyle w:val="NormalItalic"/>
        </w:rPr>
        <w:t xml:space="preserve"> land category.)</w:t>
      </w:r>
    </w:p>
    <w:p w:rsidR="00000000" w:rsidRDefault="00590668">
      <w:r>
        <w:t>13.</w:t>
      </w:r>
      <w:r>
        <w:tab/>
        <w:t xml:space="preserve">In relation to investments by foreign interests in these sectors, all proposals above certain thresholds need prior approval and therefore need to be notified. Notification thresholds are over $50 million for acquisitions of </w:t>
      </w:r>
      <w:r>
        <w:lastRenderedPageBreak/>
        <w:t>substantia</w:t>
      </w:r>
      <w:r>
        <w:t>l interests in all existing businesses, $10 million or more for the establishment of new businesses and $50 million or more for offshore takeovers.</w:t>
      </w:r>
    </w:p>
    <w:p w:rsidR="00000000" w:rsidRDefault="00590668">
      <w:r>
        <w:t>14.</w:t>
      </w:r>
      <w:r>
        <w:tab/>
        <w:t>All tourism proposals, which incorporate an accommodation facility, irrespective of value, need to be no</w:t>
      </w:r>
      <w:r>
        <w:t>tified.</w:t>
      </w:r>
    </w:p>
    <w:p w:rsidR="00000000" w:rsidRDefault="00590668">
      <w:r>
        <w:t>15.</w:t>
      </w:r>
      <w:r>
        <w:tab/>
        <w:t xml:space="preserve">The Government registers, but normally raises no objections to, proposals above the notification thresholds where the relevant total assets/total investment falls below $100 million. However, proposals in sensitive sectors or those which raise </w:t>
      </w:r>
      <w:r>
        <w:t>specific national interest issues may be subject to more detailed examination.</w:t>
      </w:r>
    </w:p>
    <w:p w:rsidR="00000000" w:rsidRDefault="00590668">
      <w:r>
        <w:t>16.</w:t>
      </w:r>
      <w:r>
        <w:tab/>
        <w:t>The Government fully examines proposals to acquire existing businesses (with total assets of $100 million or more) or establish new businesses (with a total investment of $1</w:t>
      </w:r>
      <w:r>
        <w:t>00 million or more) and raises no objections to those proposals unless they are contrary to the national interest.</w:t>
      </w:r>
    </w:p>
    <w:p w:rsidR="00000000" w:rsidRDefault="00590668">
      <w:r>
        <w:t>17.</w:t>
      </w:r>
      <w:r>
        <w:tab/>
        <w:t>Approvals of proposals may be made subject to the parties meeting certain conditions. In practice, such conditions relate almost entirely</w:t>
      </w:r>
      <w:r>
        <w:t xml:space="preserve"> to the time period for real estate development or to environmental requirements.</w:t>
      </w:r>
    </w:p>
    <w:p w:rsidR="00000000" w:rsidRDefault="00590668">
      <w:pPr>
        <w:pStyle w:val="Heading3"/>
      </w:pPr>
      <w:r>
        <w:t>Urban land</w:t>
      </w:r>
      <w:r>
        <w:rPr>
          <w:vertAlign w:val="superscript"/>
        </w:rPr>
        <w:footnoteReference w:customMarkFollows="1" w:id="4"/>
        <w:t>1</w:t>
      </w:r>
    </w:p>
    <w:p w:rsidR="00000000" w:rsidRDefault="00590668">
      <w:r>
        <w:t>18.</w:t>
      </w:r>
      <w:r>
        <w:tab/>
        <w:t>Proposed acquisitions of residential real estate are exempt from examination in the case of:</w:t>
      </w:r>
    </w:p>
    <w:p w:rsidR="00000000" w:rsidRDefault="00590668">
      <w:pPr>
        <w:pStyle w:val="Bullet"/>
      </w:pPr>
      <w:r>
        <w:t>Australian citizens living abroad purchasing either</w:t>
      </w:r>
      <w:r>
        <w:t xml:space="preserve"> in their own name or through an Australian corporation or trust;</w:t>
      </w:r>
    </w:p>
    <w:p w:rsidR="00000000" w:rsidRDefault="00590668">
      <w:pPr>
        <w:pStyle w:val="Bullet"/>
      </w:pPr>
      <w:r>
        <w:t>foreign nationals purchasing (as joint tenants) with their Australian citizen spouse; and</w:t>
      </w:r>
    </w:p>
    <w:p w:rsidR="00000000" w:rsidRDefault="00590668">
      <w:pPr>
        <w:pStyle w:val="Bullet"/>
      </w:pPr>
      <w:r>
        <w:t>foreign nationals who are the holders of permanent resident visas or are holders, or are entit</w:t>
      </w:r>
      <w:r>
        <w:t>led to hold, a ‘special category visa’ purchasing either in their own name or through an Australian corporation or trust.</w:t>
      </w:r>
    </w:p>
    <w:p w:rsidR="00000000" w:rsidRDefault="00590668">
      <w:r>
        <w:t>19.</w:t>
      </w:r>
      <w:r>
        <w:tab/>
        <w:t>Proposed acquisitions of real estate for development are normally approved subject to a specific condition requiring continuous su</w:t>
      </w:r>
      <w:r>
        <w:t xml:space="preserve">bstantial </w:t>
      </w:r>
      <w:r>
        <w:lastRenderedPageBreak/>
        <w:t>construction to commence within 12 months. Once construction is complete, the parties are required to provide the completion date and actual development expenditure.</w:t>
      </w:r>
    </w:p>
    <w:p w:rsidR="00000000" w:rsidRDefault="00590668">
      <w:r>
        <w:t>20.</w:t>
      </w:r>
      <w:r>
        <w:tab/>
        <w:t>Foreign interests are normally given approval to buy:</w:t>
      </w:r>
    </w:p>
    <w:p w:rsidR="00000000" w:rsidRDefault="00590668">
      <w:pPr>
        <w:pStyle w:val="Bullet"/>
      </w:pPr>
      <w:r>
        <w:t xml:space="preserve">vacant residential </w:t>
      </w:r>
      <w:r>
        <w:t>land, including house and land packages where construction has not commenced, (on condition that continuous construction of a dwelling is commenced within 12 months); and</w:t>
      </w:r>
    </w:p>
    <w:p w:rsidR="00000000" w:rsidRDefault="00590668">
      <w:pPr>
        <w:pStyle w:val="Bullet"/>
      </w:pPr>
      <w:r>
        <w:t xml:space="preserve">house and land packages where construction has commenced, home units, townhouses, </w:t>
      </w:r>
      <w:r>
        <w:t>etc ‘off the plan’, under construction or newly constructed but never occupied or previously sold. ‘Off the plan’ sales to foreigners are only permitted for new development projects or extensively refurbished commercial structures, which have been converte</w:t>
      </w:r>
      <w:r>
        <w:t>d to residential, on condition that no more than half the dwellings in any one development are sold to foreign interests.</w:t>
      </w:r>
    </w:p>
    <w:p w:rsidR="00000000" w:rsidRDefault="00590668">
      <w:r>
        <w:t>21.</w:t>
      </w:r>
      <w:r>
        <w:tab/>
        <w:t>Proposed acquisitions of residential property (both vacant land and existing dwellings) which are within the bounds of a resort th</w:t>
      </w:r>
      <w:r>
        <w:t xml:space="preserve">at the Treasurer had designated as an ‘Integrated Tourism Resort’ (ITR) prior to September 1999 are exempt from examination. For resorts designated as ITRs from September 1999, the exemption only applies to developed residential property, which is subject </w:t>
      </w:r>
      <w:r>
        <w:t>to a long term (10 years or more) lease to the resort/hotel operator, making it available for tourist accommodation when not occupied by the owner. All other property, including vacant land for development, within the ITR would be subject to the normal for</w:t>
      </w:r>
      <w:r>
        <w:t>eign investment restrictions. Strict conditions must be fully met to qualify for Integrated Tourism Resort status.</w:t>
      </w:r>
    </w:p>
    <w:p w:rsidR="00000000" w:rsidRDefault="00590668">
      <w:r>
        <w:t>22.</w:t>
      </w:r>
      <w:r>
        <w:tab/>
        <w:t>Certain categories of foreign nationals, temporarily resident in Australia continuously for more than 12 months, may be given approval to</w:t>
      </w:r>
      <w:r>
        <w:t xml:space="preserve"> purchase developed residential real estate for use as their principal place of residence (that is, not for rental purposes) while in Australia. This category includes long</w:t>
      </w:r>
      <w:r>
        <w:noBreakHyphen/>
        <w:t>stay retirees. A condition of such purchases is that the residence must be sold whe</w:t>
      </w:r>
      <w:r>
        <w:t>n the foreign nationals’ temporary resident visas expire, they leave Australia, or the property is no longer used as their principal place of residence.</w:t>
      </w:r>
    </w:p>
    <w:p w:rsidR="00000000" w:rsidRDefault="00590668">
      <w:r>
        <w:t>23.</w:t>
      </w:r>
      <w:r>
        <w:tab/>
        <w:t>All other proposals by foreign interests to acquire developed residential real estate are examinabl</w:t>
      </w:r>
      <w:r>
        <w:t xml:space="preserve">e and are not normally approved, except in the case of foreign companies, with an established substantial business in Australia, buying for named senior executives resident in Australia for periods longer </w:t>
      </w:r>
      <w:r>
        <w:lastRenderedPageBreak/>
        <w:t xml:space="preserve">than 12 months, provided the accommodation is sold </w:t>
      </w:r>
      <w:r>
        <w:t>when no longer required for this purpose. Whether a company is eligible, and the number of properties that may be acquired under this category, will depend upon the extent of the foreign company’s operations and assets in Australia. Unless there are specia</w:t>
      </w:r>
      <w:r>
        <w:t>l circumstances, foreign companies normally will not be permitted to buy more than two houses under this category. Foreign companies would not be eligible under this category where the property would represent a significant proportion of its assets in Aust</w:t>
      </w:r>
      <w:r>
        <w:t>ralia.</w:t>
      </w:r>
    </w:p>
    <w:p w:rsidR="00000000" w:rsidRDefault="00590668">
      <w:r>
        <w:t>24.</w:t>
      </w:r>
      <w:r>
        <w:tab/>
        <w:t>Proposed acquisitions of developed non</w:t>
      </w:r>
      <w:r>
        <w:noBreakHyphen/>
        <w:t>residential commercial real estate are normally approved unless they are contrary to the national interest.</w:t>
      </w:r>
    </w:p>
    <w:p w:rsidR="00000000" w:rsidRDefault="00590668">
      <w:r>
        <w:t>25.</w:t>
      </w:r>
      <w:r>
        <w:tab/>
        <w:t>Proposed acquisitions of hotels and motels operating under one title are normally approved (un</w:t>
      </w:r>
      <w:r>
        <w:t>less considered contrary to the national interest) under the tourism sector policy. Proposed acquisitions of strata titled hotel accommodation may be approved in certain designated hotels. Full details of the requirements for designated hotels are containe</w:t>
      </w:r>
      <w:r>
        <w:t>d in the Australian urban land policy summary. Other accommodation facilities such as guesthouses, holiday flats and undesignated strata titled hotels and motels are examined under policy applying to the residential real estate sector.</w:t>
      </w:r>
    </w:p>
    <w:p w:rsidR="00000000" w:rsidRDefault="00590668">
      <w:pPr>
        <w:pStyle w:val="Heading4"/>
      </w:pPr>
      <w:r>
        <w:t>Banking</w:t>
      </w:r>
    </w:p>
    <w:p w:rsidR="00000000" w:rsidRDefault="00590668">
      <w:r>
        <w:t>26.</w:t>
      </w:r>
      <w:r>
        <w:tab/>
        <w:t xml:space="preserve">Foreign </w:t>
      </w:r>
      <w:r>
        <w:t xml:space="preserve">investment in the banking sector needs to be consistent with the </w:t>
      </w:r>
      <w:r>
        <w:rPr>
          <w:rStyle w:val="NormalItalic"/>
        </w:rPr>
        <w:t>Banking Act 1959</w:t>
      </w:r>
      <w:r>
        <w:t xml:space="preserve">, the </w:t>
      </w:r>
      <w:r>
        <w:rPr>
          <w:rStyle w:val="NormalItalic"/>
        </w:rPr>
        <w:t>Financial Sector (Shareholdings) Act 1998</w:t>
      </w:r>
      <w:r>
        <w:t xml:space="preserve"> and banking policy, including prudential requirements. Any proposed foreign takeover or acquisition of an Australian bank will </w:t>
      </w:r>
      <w:r>
        <w:t>be considered on a case</w:t>
      </w:r>
      <w:r>
        <w:noBreakHyphen/>
        <w:t>by</w:t>
      </w:r>
      <w:r>
        <w:noBreakHyphen/>
        <w:t>case basis and judged on its merits.</w:t>
      </w:r>
    </w:p>
    <w:p w:rsidR="00000000" w:rsidRDefault="00590668">
      <w:r>
        <w:t>27.</w:t>
      </w:r>
      <w:r>
        <w:tab/>
        <w:t>The Government will permit the issue of new banking authorities to foreign owned banks where the Australian Prudential Regulation Authority (APRA) is satisfied the bank and its home superv</w:t>
      </w:r>
      <w:r>
        <w:t>isor are of sufficient standing, and where the bank agrees to comply with APRA’s prudential supervision arrangements.</w:t>
      </w:r>
    </w:p>
    <w:p w:rsidR="00000000" w:rsidRDefault="00590668">
      <w:pPr>
        <w:pStyle w:val="Heading4"/>
        <w:spacing w:after="0"/>
      </w:pPr>
      <w:r>
        <w:t>Civil aviation</w:t>
      </w:r>
    </w:p>
    <w:p w:rsidR="00000000" w:rsidRDefault="00590668">
      <w:pPr>
        <w:pStyle w:val="Heading5"/>
      </w:pPr>
      <w:r>
        <w:t>Domestic services</w:t>
      </w:r>
    </w:p>
    <w:p w:rsidR="00000000" w:rsidRDefault="00590668">
      <w:r>
        <w:t>28.</w:t>
      </w:r>
      <w:r>
        <w:tab/>
        <w:t>Foreign persons (including foreign airlines) can generally expect approval to acquire up to 100 per c</w:t>
      </w:r>
      <w:r>
        <w:t>ent of the equity in an Australian domestic airline, unless this is contrary to the national interest.</w:t>
      </w:r>
    </w:p>
    <w:p w:rsidR="00000000" w:rsidRDefault="00590668">
      <w:pPr>
        <w:pStyle w:val="Heading5"/>
      </w:pPr>
      <w:r>
        <w:lastRenderedPageBreak/>
        <w:t>International services</w:t>
      </w:r>
    </w:p>
    <w:p w:rsidR="00000000" w:rsidRDefault="00590668">
      <w:r>
        <w:t>29.</w:t>
      </w:r>
      <w:r>
        <w:tab/>
        <w:t>Foreign persons (including foreign airlines) can generally expect approval to acquire up to 49 per cent of the equity in an Au</w:t>
      </w:r>
      <w:r>
        <w:t>stralian international carrier (other than Qantas) individually or in aggregate provided the proposal is not contrary to the national interest. In the case of Qantas, total foreign ownership is restricted to a maximum of 49 per cent in aggregate, with indi</w:t>
      </w:r>
      <w:r>
        <w:t>vidual holdings limited to 25 per cent and aggregate ownership by foreign airlines limited to 35 per cent. In addition, a number of national interest criteria must be satisfied, relating to the nationality of Board members and operational location of the e</w:t>
      </w:r>
      <w:r>
        <w:t>nterprise.</w:t>
      </w:r>
    </w:p>
    <w:p w:rsidR="00000000" w:rsidRDefault="00590668">
      <w:pPr>
        <w:pStyle w:val="Heading4"/>
      </w:pPr>
      <w:r>
        <w:t>Airports</w:t>
      </w:r>
    </w:p>
    <w:p w:rsidR="00000000" w:rsidRDefault="00590668">
      <w:pPr>
        <w:numPr>
          <w:ilvl w:val="12"/>
          <w:numId w:val="0"/>
        </w:numPr>
      </w:pPr>
      <w:r>
        <w:t>30.</w:t>
      </w:r>
      <w:r>
        <w:tab/>
        <w:t>Foreign investment proposals for acquisitions of interests in Australian airports are subject to case-by-case examination in accordance with the standard notification requirements. In relation to the airports offered for sale by the</w:t>
      </w:r>
      <w:r>
        <w:t xml:space="preserve"> Commonwealth, the </w:t>
      </w:r>
      <w:r>
        <w:rPr>
          <w:rStyle w:val="NormalItalic"/>
        </w:rPr>
        <w:t>Airports Act 1996</w:t>
      </w:r>
      <w:r>
        <w:t xml:space="preserve"> stipulates a 49 per cent foreign ownership limit, a 5 per cent airline ownership limit and cross ownership limits between Sydney airport (together with Sydney West) and Melbourne, Brisbane and Perth airports.</w:t>
      </w:r>
    </w:p>
    <w:p w:rsidR="00000000" w:rsidRDefault="00590668">
      <w:pPr>
        <w:pStyle w:val="Heading4"/>
      </w:pPr>
      <w:r>
        <w:t>Shipping</w:t>
      </w:r>
    </w:p>
    <w:p w:rsidR="00000000" w:rsidRDefault="00590668">
      <w:pPr>
        <w:numPr>
          <w:ilvl w:val="12"/>
          <w:numId w:val="0"/>
        </w:numPr>
      </w:pPr>
      <w:r>
        <w:t>3</w:t>
      </w:r>
      <w:r>
        <w:t>1.</w:t>
      </w:r>
      <w:r>
        <w:tab/>
        <w:t xml:space="preserve">The </w:t>
      </w:r>
      <w:r>
        <w:rPr>
          <w:rStyle w:val="NormalItalic"/>
        </w:rPr>
        <w:t>Shipping Registration Act 1981</w:t>
      </w:r>
      <w:r>
        <w:t xml:space="preserve"> requires that, for a ship to be registered in Australia, it must be majority Australian</w:t>
      </w:r>
      <w:r>
        <w:noBreakHyphen/>
        <w:t xml:space="preserve">owned (that is, owned by an Australian citizen, a body corporate established by or under law of the Commonwealth or of a State or </w:t>
      </w:r>
      <w:r>
        <w:t>Territory of Australia), unless the ship is designated as chartered by an Australian operator.</w:t>
      </w:r>
    </w:p>
    <w:p w:rsidR="00000000" w:rsidRDefault="00590668">
      <w:pPr>
        <w:pStyle w:val="Heading4"/>
      </w:pPr>
      <w:r>
        <w:t>Media</w:t>
      </w:r>
    </w:p>
    <w:p w:rsidR="00000000" w:rsidRDefault="00590668">
      <w:pPr>
        <w:numPr>
          <w:ilvl w:val="12"/>
          <w:numId w:val="0"/>
        </w:numPr>
      </w:pPr>
      <w:r>
        <w:t>32.</w:t>
      </w:r>
      <w:r>
        <w:tab/>
        <w:t>All direct (that is, non-portfolio) proposals by foreign interests to invest in the media sector irrespective of size are subject to prior approval und</w:t>
      </w:r>
      <w:r>
        <w:t>er the Government’s foreign investment policy. Proposals involving portfolio share holdings of 5 per cent or more must also be submitted for examination.</w:t>
      </w:r>
    </w:p>
    <w:p w:rsidR="00000000" w:rsidRDefault="00590668">
      <w:pPr>
        <w:pStyle w:val="Heading4"/>
      </w:pPr>
      <w:r>
        <w:t>Broadcasting</w:t>
      </w:r>
    </w:p>
    <w:p w:rsidR="00000000" w:rsidRDefault="00590668">
      <w:pPr>
        <w:numPr>
          <w:ilvl w:val="12"/>
          <w:numId w:val="0"/>
        </w:numPr>
      </w:pPr>
      <w:r>
        <w:t>33.</w:t>
      </w:r>
      <w:r>
        <w:tab/>
      </w:r>
      <w:r>
        <w:t xml:space="preserve">While proposals for a foreign person to acquire an interest in an existing broadcasting service or to establish a new broadcasting service are subject to case-by-case examination under foreign investment policy, the following </w:t>
      </w:r>
      <w:r>
        <w:lastRenderedPageBreak/>
        <w:t>criteria also must be satisfie</w:t>
      </w:r>
      <w:r>
        <w:t xml:space="preserve">d. A broadcasting regulatory regime, enacted through the </w:t>
      </w:r>
      <w:r>
        <w:rPr>
          <w:rStyle w:val="NormalItalic"/>
        </w:rPr>
        <w:t>Broadcasting Services Act 1992</w:t>
      </w:r>
      <w:r>
        <w:t xml:space="preserve"> (BSA), stipulates that:</w:t>
      </w:r>
    </w:p>
    <w:p w:rsidR="00000000" w:rsidRDefault="00590668">
      <w:pPr>
        <w:pStyle w:val="Bullet"/>
      </w:pPr>
      <w:r>
        <w:t>Foreign interests in commercial television broadcasting services continue to be limited to a 15 per cent company interest for individuals and</w:t>
      </w:r>
      <w:r>
        <w:t xml:space="preserve"> a 20 per cent company interest in aggregate. A foreign person may not be in a position to exercise control of a commercial television broadcasting licence. No more than 20 per cent of directors may be foreign persons.</w:t>
      </w:r>
    </w:p>
    <w:p w:rsidR="00000000" w:rsidRDefault="00590668">
      <w:pPr>
        <w:pStyle w:val="Bullet"/>
      </w:pPr>
      <w:r>
        <w:t>For all subscription television br</w:t>
      </w:r>
      <w:r>
        <w:t>oadcasting services licences, foreign interests are limited to a 20 per cent company interest for an individual and a 35 per cent company interest in aggregate.</w:t>
      </w:r>
    </w:p>
    <w:p w:rsidR="00000000" w:rsidRDefault="00590668">
      <w:pPr>
        <w:numPr>
          <w:ilvl w:val="12"/>
          <w:numId w:val="0"/>
        </w:numPr>
      </w:pPr>
      <w:r>
        <w:t>34.</w:t>
      </w:r>
      <w:r>
        <w:tab/>
        <w:t>There are no foreign ownership and control limits on commercial radio or on other broadcast</w:t>
      </w:r>
      <w:r>
        <w:t>ing services under the BSA.</w:t>
      </w:r>
    </w:p>
    <w:p w:rsidR="00000000" w:rsidRDefault="00590668">
      <w:pPr>
        <w:pStyle w:val="Heading4"/>
      </w:pPr>
      <w:r>
        <w:t>Newspapers</w:t>
      </w:r>
    </w:p>
    <w:p w:rsidR="00000000" w:rsidRDefault="00590668">
      <w:pPr>
        <w:numPr>
          <w:ilvl w:val="12"/>
          <w:numId w:val="0"/>
        </w:numPr>
      </w:pPr>
      <w:r>
        <w:t>35.</w:t>
      </w:r>
      <w:r>
        <w:tab/>
        <w:t>Foreign investment in mass circulation national, metropolitan, suburban and provincial newspapers is restricted. All proposals by foreign interests to acquire an interest of 5 per cent or more in an existing newsp</w:t>
      </w:r>
      <w:r>
        <w:t>aper or to establish a new newspaper in Australia are subject to case</w:t>
      </w:r>
      <w:r>
        <w:noBreakHyphen/>
        <w:t>by</w:t>
      </w:r>
      <w:r>
        <w:noBreakHyphen/>
        <w:t>case examination. The maximum permitted aggregate foreign interest (non</w:t>
      </w:r>
      <w:r>
        <w:noBreakHyphen/>
        <w:t>portfolio) investment/involvement in national and metropolitan newspapers is 30 per cent with any single foreig</w:t>
      </w:r>
      <w:r>
        <w:t>n shareholder limited to a maximum interest of 25 per cent (and in that instance unrelated foreign interests would be allowed to have aggregate (non-portfolio) shareholdings of a further five per cent). Aggregate foreign interest direct involvement in prov</w:t>
      </w:r>
      <w:r>
        <w:t>incial and suburban newspapers is limited to less than 50 per cent for non</w:t>
      </w:r>
      <w:r>
        <w:noBreakHyphen/>
        <w:t>portfolio shareholdings.</w:t>
      </w:r>
    </w:p>
    <w:p w:rsidR="00000000" w:rsidRDefault="00590668">
      <w:pPr>
        <w:pStyle w:val="Heading4"/>
      </w:pPr>
      <w:r>
        <w:t>Telecommunications</w:t>
      </w:r>
    </w:p>
    <w:p w:rsidR="00000000" w:rsidRDefault="00590668">
      <w:pPr>
        <w:numPr>
          <w:ilvl w:val="12"/>
          <w:numId w:val="0"/>
        </w:numPr>
      </w:pPr>
      <w:r>
        <w:t>36.</w:t>
      </w:r>
      <w:r>
        <w:tab/>
        <w:t>Telstra Corporation Ltd (Telstra) is predominantly owned by the Commonwealth of Australia. Since October 1997, the Government has par</w:t>
      </w:r>
      <w:r>
        <w:t>tially privatised Telstra through the sale of 49.9 per cent of its equity to institutional and individual investors. Aggregate foreign ownership of Telstra is restricted to 35 per cent of that privatised equity and individual foreign investors are only all</w:t>
      </w:r>
      <w:r>
        <w:t>owed to acquire a holding of no more than 5 per cent of that privatised equity.</w:t>
      </w:r>
    </w:p>
    <w:p w:rsidR="00000000" w:rsidRDefault="00590668">
      <w:pPr>
        <w:numPr>
          <w:ilvl w:val="12"/>
          <w:numId w:val="0"/>
        </w:numPr>
      </w:pPr>
      <w:r>
        <w:t>37.</w:t>
      </w:r>
      <w:r>
        <w:tab/>
        <w:t xml:space="preserve">Prior approval is required for foreign involvement in the establishment of new entrants to the telecommunications sector or investment in existing </w:t>
      </w:r>
      <w:r>
        <w:lastRenderedPageBreak/>
        <w:t>businesses in the telecom</w:t>
      </w:r>
      <w:r>
        <w:t>munications sector. Proposals above the notification thresholds will be dealt with on a case</w:t>
      </w:r>
      <w:r>
        <w:noBreakHyphen/>
        <w:t>by</w:t>
      </w:r>
      <w:r>
        <w:noBreakHyphen/>
        <w:t>case basis and will normally be approved unless judged contrary to the national interest.</w:t>
      </w:r>
    </w:p>
    <w:p w:rsidR="00000000" w:rsidRDefault="00590668">
      <w:pPr>
        <w:pStyle w:val="Heading3"/>
      </w:pPr>
      <w:r>
        <w:t>Approval period</w:t>
      </w:r>
    </w:p>
    <w:p w:rsidR="00000000" w:rsidRDefault="00590668">
      <w:r>
        <w:t>38.</w:t>
      </w:r>
      <w:r>
        <w:tab/>
        <w:t>Approval under the Government’s foreign investment</w:t>
      </w:r>
      <w:r>
        <w:t xml:space="preserve"> policy is normally only given for a specific transaction which is expected to be completed in a timely manner. If an approved transaction does not proceed at that time and/or the parties enter into new agreements at a later date, or if a transaction is no</w:t>
      </w:r>
      <w:r>
        <w:t>t completed within 12 months, further approval must be sought for the transaction.</w:t>
      </w:r>
    </w:p>
    <w:p w:rsidR="00000000" w:rsidRDefault="00590668">
      <w:r>
        <w:t>39.</w:t>
      </w:r>
      <w:r>
        <w:tab/>
        <w:t>Approvals for share acquisitions involving a full or partial bid under Corporations Law only apply to the shares acquired during the bid period. For example, if approval</w:t>
      </w:r>
      <w:r>
        <w:t xml:space="preserve"> is given for a full bid and the bidder only acquires 60 per cent of the shares, but then subsequently wishes to proceed to acquire further shares on market using the creep provisions of Corporations Law or to acquire the balance of the shares through a su</w:t>
      </w:r>
      <w:r>
        <w:t>bsequent bid, further prior approval must be sought.</w:t>
      </w:r>
    </w:p>
    <w:p w:rsidR="00000000" w:rsidRDefault="00590668">
      <w:r>
        <w:t>40.</w:t>
      </w:r>
      <w:r>
        <w:tab/>
        <w:t xml:space="preserve">Where a proposal involves option agreements for the purchase of shares, assets or property, prior approval is required to acquire the options. Normally, approvals for options will also extend to the </w:t>
      </w:r>
      <w:r>
        <w:t>exercise of those options, provided the option is exercised within 12 months of approval. Subsequent approval for the exercise of the options may be sought on an annual basis.</w:t>
      </w:r>
    </w:p>
    <w:p w:rsidR="00000000" w:rsidRDefault="00590668">
      <w:r>
        <w:t>41.</w:t>
      </w:r>
      <w:r>
        <w:tab/>
        <w:t xml:space="preserve">The time period for an approval may be varied where it can be shown that an </w:t>
      </w:r>
      <w:r>
        <w:t>extended period is fundamental to the success of a proposal and that extending the timing of the proposal does not involve an activity (for example, real estate speculation) that would be contrary to the national interest. In this situation the extended pe</w:t>
      </w:r>
      <w:r>
        <w:t>riod will be stated in the approval.</w:t>
      </w:r>
    </w:p>
    <w:p w:rsidR="00000000" w:rsidRDefault="00590668">
      <w:pPr>
        <w:pStyle w:val="Heading3"/>
      </w:pPr>
      <w:r>
        <w:t>Applications</w:t>
      </w:r>
    </w:p>
    <w:p w:rsidR="00000000" w:rsidRDefault="00590668">
      <w:r>
        <w:t>42.</w:t>
      </w:r>
      <w:r>
        <w:tab/>
        <w:t>The information normally required to enable foreign investment proposals to be processed is set out below. Copies of relevant annual reports for the most recent financial year should accompany the appli</w:t>
      </w:r>
      <w:r>
        <w:t>cation. There is no statutory charge for processing applications.</w:t>
      </w:r>
    </w:p>
    <w:p w:rsidR="00000000" w:rsidRDefault="00590668">
      <w:r>
        <w:t>43.</w:t>
      </w:r>
      <w:r>
        <w:tab/>
        <w:t>All applications should be addressed in writing to:</w:t>
      </w:r>
    </w:p>
    <w:p w:rsidR="00000000" w:rsidRDefault="00590668">
      <w:pPr>
        <w:pStyle w:val="NormalIndent"/>
        <w:ind w:left="567"/>
      </w:pPr>
      <w:r>
        <w:lastRenderedPageBreak/>
        <w:t xml:space="preserve">The Executive Member </w:t>
      </w:r>
      <w:r>
        <w:br/>
        <w:t>Foreign Investment Review Board</w:t>
      </w:r>
      <w:r>
        <w:br/>
        <w:t>c/- The Treasury</w:t>
      </w:r>
      <w:r>
        <w:br/>
        <w:t>CANBERRA   ACT   2600</w:t>
      </w:r>
    </w:p>
    <w:p w:rsidR="00000000" w:rsidRDefault="00590668">
      <w:r>
        <w:t>44.</w:t>
      </w:r>
      <w:r>
        <w:tab/>
        <w:t>The Government recognises the commerc</w:t>
      </w:r>
      <w:r>
        <w:t>ial-in-confidence sensitivity of much of the information provided to the Board. The Government respects this confidential status and ensures that appropriate security is given to it. Where third parties outside of Government seek to obtain access to confid</w:t>
      </w:r>
      <w:r>
        <w:t>ential information held by the Government, it will not be made available without the permission of the applicant, except upon the order of a court of competent jurisdiction. In this respect, the Government will pursue the defence of this policy through the</w:t>
      </w:r>
      <w:r>
        <w:t xml:space="preserve"> judicial system.</w:t>
      </w:r>
    </w:p>
    <w:p w:rsidR="00000000" w:rsidRDefault="00590668">
      <w:r>
        <w:t>45.</w:t>
      </w:r>
      <w:r>
        <w:tab/>
        <w:t xml:space="preserve">In addition, the Government is obligated to respect the privacy of personal information that is provided by applicants to the Foreign Investment Review Board in accordance with the requirements of the </w:t>
      </w:r>
      <w:r>
        <w:rPr>
          <w:rStyle w:val="NormalItalic"/>
        </w:rPr>
        <w:t>Privacy Act 1988.</w:t>
      </w:r>
      <w:r>
        <w:t xml:space="preserve"> In accordance w</w:t>
      </w:r>
      <w:r>
        <w:t>ith that Act, the Government advises that in situations where the applicant has breached, or is strongly suspected of having breached the FATA, the Board may seek the assistance of other Government agencies in its efforts to ensure applicants comply with t</w:t>
      </w:r>
      <w:r>
        <w:t>he FATA. In seeking such assistance, the Board may pass relevant personal information to those government agencies. Most commonly these agencies will be the Department of Immigration and Multicultural Affairs, the Australian Tax Office or the Australian Fe</w:t>
      </w:r>
      <w:r>
        <w:t>deral Police.</w:t>
      </w:r>
    </w:p>
    <w:p w:rsidR="00000000" w:rsidRDefault="00590668">
      <w:r>
        <w:t>46.</w:t>
      </w:r>
      <w:r>
        <w:tab/>
        <w:t xml:space="preserve">The requirements set out below are supplementary to those of the notification provisions of sections 25, 26 and 26A of the FATA (for which there are </w:t>
      </w:r>
      <w:hyperlink r:id="rId92" w:history="1">
        <w:r>
          <w:t>prescribed forms</w:t>
        </w:r>
      </w:hyperlink>
      <w:r>
        <w:t>).</w:t>
      </w:r>
    </w:p>
    <w:p w:rsidR="00000000" w:rsidRDefault="00590668">
      <w:pPr>
        <w:pStyle w:val="Heading3"/>
        <w:spacing w:after="0"/>
      </w:pPr>
      <w:r>
        <w:t>Takeovers of enterprises with total assets of (or valued at)</w:t>
      </w:r>
      <w:r>
        <w:br/>
        <w:t>$100 million and over</w:t>
      </w:r>
    </w:p>
    <w:p w:rsidR="00000000" w:rsidRDefault="00590668">
      <w:pPr>
        <w:pStyle w:val="Heading5"/>
      </w:pPr>
      <w:r>
        <w:t>A.</w:t>
      </w:r>
      <w:r>
        <w:tab/>
      </w:r>
      <w:r>
        <w:t>Parties to the proposal</w:t>
      </w:r>
    </w:p>
    <w:p w:rsidR="00000000" w:rsidRDefault="00590668">
      <w:pPr>
        <w:pStyle w:val="Graphic"/>
        <w:spacing w:after="120" w:line="280" w:lineRule="exact"/>
      </w:pPr>
      <w:r>
        <w:t>For both the purchaser and target business</w:t>
      </w:r>
    </w:p>
    <w:p w:rsidR="00000000" w:rsidRDefault="00590668">
      <w:pPr>
        <w:pStyle w:val="Bullet"/>
      </w:pPr>
      <w:r>
        <w:t>name</w:t>
      </w:r>
    </w:p>
    <w:p w:rsidR="00000000" w:rsidRDefault="00590668">
      <w:pPr>
        <w:pStyle w:val="Bullet"/>
      </w:pPr>
      <w:r>
        <w:t>location of major establishments</w:t>
      </w:r>
    </w:p>
    <w:p w:rsidR="00000000" w:rsidRDefault="00590668">
      <w:pPr>
        <w:pStyle w:val="Bullet"/>
      </w:pPr>
      <w:r>
        <w:t>major activities</w:t>
      </w:r>
    </w:p>
    <w:p w:rsidR="00000000" w:rsidRDefault="00590668">
      <w:pPr>
        <w:pStyle w:val="Bullet"/>
      </w:pPr>
      <w:r>
        <w:t>major subsidiaries and associated companies</w:t>
      </w:r>
    </w:p>
    <w:p w:rsidR="00000000" w:rsidRDefault="00590668">
      <w:pPr>
        <w:pStyle w:val="Bullet"/>
      </w:pPr>
      <w:r>
        <w:lastRenderedPageBreak/>
        <w:t>financial details for the most recent year, namely, total assets, net tangible assets and pre-tax profits (with the most recent financial statements)</w:t>
      </w:r>
    </w:p>
    <w:p w:rsidR="00000000" w:rsidRDefault="00590668">
      <w:pPr>
        <w:pStyle w:val="Bullet"/>
      </w:pPr>
      <w:r>
        <w:t>details of Australian/overseas ownership (including identity of ultimate or beneficial owners)</w:t>
      </w:r>
    </w:p>
    <w:p w:rsidR="00000000" w:rsidRDefault="00590668">
      <w:pPr>
        <w:pStyle w:val="Bullet"/>
      </w:pPr>
      <w:r>
        <w:t>count</w:t>
      </w:r>
      <w:r>
        <w:t>ry of ultimate control of purchaser</w:t>
      </w:r>
    </w:p>
    <w:p w:rsidR="00000000" w:rsidRDefault="00590668">
      <w:pPr>
        <w:pStyle w:val="Heading5"/>
      </w:pPr>
      <w:r>
        <w:t>B.</w:t>
      </w:r>
      <w:r>
        <w:tab/>
        <w:t>Type of proposal</w:t>
      </w:r>
    </w:p>
    <w:p w:rsidR="00000000" w:rsidRDefault="00590668">
      <w:pPr>
        <w:pStyle w:val="Bullet"/>
      </w:pPr>
      <w:r>
        <w:t>acquisition/issue of shares</w:t>
      </w:r>
    </w:p>
    <w:p w:rsidR="00000000" w:rsidRDefault="00590668">
      <w:pPr>
        <w:pStyle w:val="Dash"/>
        <w:tabs>
          <w:tab w:val="clear" w:pos="907"/>
          <w:tab w:val="left" w:pos="1134"/>
        </w:tabs>
        <w:ind w:left="1134" w:hanging="567"/>
      </w:pPr>
      <w:r>
        <w:t>the number, class and voting rights of shares, including the percentage of the total equity involved</w:t>
      </w:r>
    </w:p>
    <w:p w:rsidR="00000000" w:rsidRDefault="00590668">
      <w:pPr>
        <w:pStyle w:val="Bullet"/>
      </w:pPr>
      <w:r>
        <w:t>acquisition of assets</w:t>
      </w:r>
    </w:p>
    <w:p w:rsidR="00000000" w:rsidRDefault="00590668">
      <w:pPr>
        <w:pStyle w:val="Dash"/>
        <w:tabs>
          <w:tab w:val="clear" w:pos="907"/>
          <w:tab w:val="left" w:pos="1134"/>
        </w:tabs>
        <w:ind w:left="1134" w:hanging="567"/>
      </w:pPr>
      <w:r>
        <w:t>description of the assets involved</w:t>
      </w:r>
    </w:p>
    <w:p w:rsidR="00000000" w:rsidRDefault="00590668">
      <w:pPr>
        <w:pStyle w:val="Bullet"/>
      </w:pPr>
      <w:r>
        <w:t>agreements/arrangements entered into or terminated; alteration of a constituent document</w:t>
      </w:r>
    </w:p>
    <w:p w:rsidR="00000000" w:rsidRDefault="00590668">
      <w:pPr>
        <w:pStyle w:val="Dash"/>
        <w:tabs>
          <w:tab w:val="clear" w:pos="907"/>
          <w:tab w:val="left" w:pos="1134"/>
        </w:tabs>
        <w:ind w:left="1134" w:hanging="567"/>
      </w:pPr>
      <w:r>
        <w:t>full details, supported by copies of appropriate documents or relevant extracts therefrom</w:t>
      </w:r>
    </w:p>
    <w:p w:rsidR="00000000" w:rsidRDefault="00590668">
      <w:pPr>
        <w:pStyle w:val="Heading5"/>
      </w:pPr>
      <w:r>
        <w:t>C.</w:t>
      </w:r>
      <w:r>
        <w:tab/>
        <w:t>Consideration</w:t>
      </w:r>
    </w:p>
    <w:p w:rsidR="00000000" w:rsidRDefault="00590668">
      <w:pPr>
        <w:pStyle w:val="Bullet"/>
      </w:pPr>
      <w:r>
        <w:t>amounts involved</w:t>
      </w:r>
    </w:p>
    <w:p w:rsidR="00000000" w:rsidRDefault="00590668">
      <w:pPr>
        <w:pStyle w:val="Bullet"/>
      </w:pPr>
      <w:r>
        <w:t>type of funds (equity/loan), sour</w:t>
      </w:r>
      <w:r>
        <w:t>ce of funds (from overseas associate companies, from Australian capital market, etc)</w:t>
      </w:r>
    </w:p>
    <w:p w:rsidR="00000000" w:rsidRDefault="00590668">
      <w:pPr>
        <w:pStyle w:val="Heading5"/>
      </w:pPr>
      <w:r>
        <w:t>D.</w:t>
      </w:r>
      <w:r>
        <w:tab/>
        <w:t>Reason(s) for the proposal</w:t>
      </w:r>
    </w:p>
    <w:p w:rsidR="00000000" w:rsidRDefault="00590668">
      <w:pPr>
        <w:pStyle w:val="Bullet"/>
      </w:pPr>
      <w:r>
        <w:t>from viewpoints of the vendor, target and purchaser</w:t>
      </w:r>
    </w:p>
    <w:p w:rsidR="00000000" w:rsidRDefault="00590668">
      <w:pPr>
        <w:pStyle w:val="Heading5"/>
        <w:ind w:left="567" w:hanging="567"/>
      </w:pPr>
      <w:r>
        <w:lastRenderedPageBreak/>
        <w:t>E.</w:t>
      </w:r>
      <w:r>
        <w:tab/>
        <w:t xml:space="preserve">Brief description of the purchaser's future intentions for the business, including </w:t>
      </w:r>
      <w:r>
        <w:t>amount of development expenditure proposed</w:t>
      </w:r>
    </w:p>
    <w:p w:rsidR="00000000" w:rsidRDefault="00590668">
      <w:pPr>
        <w:pStyle w:val="Heading3"/>
        <w:spacing w:after="0"/>
      </w:pPr>
      <w:r>
        <w:t>Takeovers of enterprises with total assets of (or valued at) less than $100 million</w:t>
      </w:r>
    </w:p>
    <w:p w:rsidR="00000000" w:rsidRDefault="00590668">
      <w:pPr>
        <w:pStyle w:val="Heading5"/>
      </w:pPr>
      <w:r>
        <w:t>A.</w:t>
      </w:r>
      <w:r>
        <w:tab/>
        <w:t>Parties to the proposal</w:t>
      </w:r>
    </w:p>
    <w:p w:rsidR="00000000" w:rsidRDefault="00590668">
      <w:pPr>
        <w:pStyle w:val="Graphic"/>
        <w:spacing w:after="120" w:line="280" w:lineRule="exact"/>
      </w:pPr>
      <w:r>
        <w:t>For both the purchaser and target business</w:t>
      </w:r>
    </w:p>
    <w:p w:rsidR="00000000" w:rsidRDefault="00590668">
      <w:pPr>
        <w:pStyle w:val="Bullet"/>
      </w:pPr>
      <w:r>
        <w:t>name</w:t>
      </w:r>
    </w:p>
    <w:p w:rsidR="00000000" w:rsidRDefault="00590668">
      <w:pPr>
        <w:pStyle w:val="Bullet"/>
      </w:pPr>
      <w:r>
        <w:t>location of major establishments</w:t>
      </w:r>
    </w:p>
    <w:p w:rsidR="00000000" w:rsidRDefault="00590668">
      <w:pPr>
        <w:pStyle w:val="Bullet"/>
      </w:pPr>
      <w:r>
        <w:t>major activi</w:t>
      </w:r>
      <w:r>
        <w:t>ties</w:t>
      </w:r>
    </w:p>
    <w:p w:rsidR="00000000" w:rsidRDefault="00590668">
      <w:pPr>
        <w:pStyle w:val="Bullet"/>
      </w:pPr>
      <w:r>
        <w:t>details of total assets (with relevant balance sheets)</w:t>
      </w:r>
    </w:p>
    <w:p w:rsidR="00000000" w:rsidRDefault="00590668">
      <w:pPr>
        <w:pStyle w:val="Bullet"/>
      </w:pPr>
      <w:r>
        <w:t>country of ultimate control of purchaser</w:t>
      </w:r>
    </w:p>
    <w:p w:rsidR="00000000" w:rsidRDefault="00590668">
      <w:pPr>
        <w:pStyle w:val="Heading5"/>
      </w:pPr>
      <w:r>
        <w:t>B.</w:t>
      </w:r>
      <w:r>
        <w:tab/>
        <w:t>Type of proposal</w:t>
      </w:r>
    </w:p>
    <w:p w:rsidR="00000000" w:rsidRDefault="00590668">
      <w:pPr>
        <w:pStyle w:val="Bullet"/>
      </w:pPr>
      <w:r>
        <w:t xml:space="preserve">describe whether it involves shares or assets of an existing business </w:t>
      </w:r>
    </w:p>
    <w:p w:rsidR="00000000" w:rsidRDefault="00590668">
      <w:pPr>
        <w:pStyle w:val="Bullet"/>
      </w:pPr>
      <w:r>
        <w:t>if it is a reorganisation of shares/assets or other arrangements within a corporate group</w:t>
      </w:r>
    </w:p>
    <w:p w:rsidR="00000000" w:rsidRDefault="00590668">
      <w:pPr>
        <w:pStyle w:val="Bullet"/>
      </w:pPr>
      <w:r>
        <w:t>if it is a rural property, and, if so, the number of hectares, current and proposed use of the property</w:t>
      </w:r>
    </w:p>
    <w:p w:rsidR="00000000" w:rsidRDefault="00590668">
      <w:pPr>
        <w:pStyle w:val="Heading5"/>
      </w:pPr>
      <w:r>
        <w:t>C.</w:t>
      </w:r>
      <w:r>
        <w:tab/>
        <w:t>Consideration and proposed expenditure</w:t>
      </w:r>
    </w:p>
    <w:p w:rsidR="00000000" w:rsidRDefault="00590668">
      <w:pPr>
        <w:pStyle w:val="Bullet"/>
      </w:pPr>
      <w:r>
        <w:t>amounts involv</w:t>
      </w:r>
      <w:r>
        <w:t>ed including proposed development expenditure, if any</w:t>
      </w:r>
    </w:p>
    <w:p w:rsidR="00000000" w:rsidRDefault="00590668">
      <w:pPr>
        <w:pStyle w:val="Heading3"/>
        <w:spacing w:after="0"/>
      </w:pPr>
      <w:r>
        <w:t>New business or project involving total investment (including debt) during the establishment phase of $100 million and above</w:t>
      </w:r>
    </w:p>
    <w:p w:rsidR="00000000" w:rsidRDefault="00590668">
      <w:pPr>
        <w:pStyle w:val="Heading5"/>
      </w:pPr>
      <w:r>
        <w:t>A.</w:t>
      </w:r>
      <w:r>
        <w:tab/>
        <w:t>Parties to the proposal</w:t>
      </w:r>
    </w:p>
    <w:p w:rsidR="00000000" w:rsidRDefault="00590668">
      <w:pPr>
        <w:pStyle w:val="Bullet"/>
      </w:pPr>
      <w:r>
        <w:t>name, location, major activities and scale of e</w:t>
      </w:r>
      <w:r>
        <w:t>ach, major affiliates (Australian/overseas)</w:t>
      </w:r>
    </w:p>
    <w:p w:rsidR="00000000" w:rsidRDefault="00590668">
      <w:pPr>
        <w:pStyle w:val="Bullet"/>
      </w:pPr>
      <w:r>
        <w:t>financial details for the most recent year, namely, total assets, net tangible assets and pre-tax profits together with relevant balance sheets and profit and loss and trading accounts</w:t>
      </w:r>
    </w:p>
    <w:p w:rsidR="00000000" w:rsidRDefault="00590668">
      <w:pPr>
        <w:pStyle w:val="Heading5"/>
      </w:pPr>
      <w:r>
        <w:lastRenderedPageBreak/>
        <w:t>B.</w:t>
      </w:r>
      <w:r>
        <w:tab/>
        <w:t>The proposal</w:t>
      </w:r>
    </w:p>
    <w:p w:rsidR="00000000" w:rsidRDefault="00590668">
      <w:pPr>
        <w:pStyle w:val="Bullet"/>
      </w:pPr>
      <w:r>
        <w:t>descr</w:t>
      </w:r>
      <w:r>
        <w:t>iption of proposal: total funds to be invested and the proportion of these to be provided as equity capital, the sources of the loan and equity capital (from overseas associates, Australian capital market, etc), the proposed location of the investment, the</w:t>
      </w:r>
      <w:r>
        <w:t xml:space="preserve"> purpose of the investment</w:t>
      </w:r>
    </w:p>
    <w:p w:rsidR="00000000" w:rsidRDefault="00590668">
      <w:pPr>
        <w:pStyle w:val="Heading5"/>
      </w:pPr>
      <w:r>
        <w:t>C.</w:t>
      </w:r>
      <w:r>
        <w:tab/>
        <w:t>Ownership of the proposed business</w:t>
      </w:r>
    </w:p>
    <w:p w:rsidR="00000000" w:rsidRDefault="00590668">
      <w:pPr>
        <w:pStyle w:val="Bullet"/>
      </w:pPr>
      <w:r>
        <w:t>details of proposed beneficial ownership (identify shareholdings by associated interests) and the corresponding pattern of voting rights held, board representation rights, and other rights</w:t>
      </w:r>
      <w:r>
        <w:t xml:space="preserve"> concerning management and control</w:t>
      </w:r>
    </w:p>
    <w:p w:rsidR="00000000" w:rsidRDefault="00590668">
      <w:pPr>
        <w:pStyle w:val="Heading5"/>
      </w:pPr>
      <w:r>
        <w:t>D.</w:t>
      </w:r>
      <w:r>
        <w:tab/>
        <w:t>Industry information</w:t>
      </w:r>
    </w:p>
    <w:p w:rsidR="00000000" w:rsidRDefault="00590668">
      <w:pPr>
        <w:pStyle w:val="Bullet"/>
      </w:pPr>
      <w:r>
        <w:t>a description of the industry in which the new venture will be engaged and its expected position in the industry, other significant members of the industry, their ownership and respective shares</w:t>
      </w:r>
      <w:r>
        <w:t xml:space="preserve"> of the market</w:t>
      </w:r>
    </w:p>
    <w:p w:rsidR="00000000" w:rsidRDefault="00590668">
      <w:pPr>
        <w:pStyle w:val="Heading5"/>
      </w:pPr>
      <w:r>
        <w:t>E.</w:t>
      </w:r>
      <w:r>
        <w:tab/>
        <w:t>Other considerations</w:t>
      </w:r>
    </w:p>
    <w:p w:rsidR="00000000" w:rsidRDefault="00590668">
      <w:pPr>
        <w:pStyle w:val="Bullet"/>
      </w:pPr>
      <w:r>
        <w:t>information should also be provided on any patents, royalty and licensing arrangements and export franchises held by the applicant and which might be made available to the local firm and the b</w:t>
      </w:r>
      <w:r>
        <w:t>asis on which these would be made available; what restrictions, if any, will be placed on the new venture together with any plans for local research and development</w:t>
      </w:r>
    </w:p>
    <w:p w:rsidR="00000000" w:rsidRDefault="00590668">
      <w:pPr>
        <w:pStyle w:val="Bullet"/>
      </w:pPr>
      <w:r>
        <w:t>describe the environmental impact, if any, of the proposal, and provide details of any e</w:t>
      </w:r>
      <w:r>
        <w:t>nvironmental studies undertaken</w:t>
      </w:r>
    </w:p>
    <w:p w:rsidR="00000000" w:rsidRDefault="00590668">
      <w:pPr>
        <w:pStyle w:val="Bullet"/>
      </w:pPr>
      <w:r>
        <w:t>describe efforts, if any, made to obtain Australian participation in the proposal</w:t>
      </w:r>
    </w:p>
    <w:p w:rsidR="00000000" w:rsidRDefault="00590668">
      <w:pPr>
        <w:pStyle w:val="Bullet"/>
      </w:pPr>
      <w:r>
        <w:t>for mining proposals, describe plans, if any, for value adding activity in Australia or any value adding opportunities which may flow fr</w:t>
      </w:r>
      <w:r>
        <w:t>om the project</w:t>
      </w:r>
    </w:p>
    <w:p w:rsidR="00000000" w:rsidRDefault="00590668">
      <w:pPr>
        <w:pStyle w:val="Heading3"/>
        <w:spacing w:after="0"/>
      </w:pPr>
      <w:r>
        <w:lastRenderedPageBreak/>
        <w:t>New business or project involving total investment (including debt) during the establishment phase of less than $100 million</w:t>
      </w:r>
    </w:p>
    <w:p w:rsidR="00000000" w:rsidRDefault="00590668">
      <w:pPr>
        <w:pStyle w:val="Heading5"/>
      </w:pPr>
      <w:r>
        <w:t>A.</w:t>
      </w:r>
      <w:r>
        <w:tab/>
        <w:t>Parties to the proposal</w:t>
      </w:r>
    </w:p>
    <w:p w:rsidR="00000000" w:rsidRDefault="00590668">
      <w:pPr>
        <w:pStyle w:val="Bullet"/>
      </w:pPr>
      <w:r>
        <w:t>name, location, major activities and scale of each, major affiliates (Australian/overs</w:t>
      </w:r>
      <w:r>
        <w:t>eas)</w:t>
      </w:r>
    </w:p>
    <w:p w:rsidR="00000000" w:rsidRDefault="00590668">
      <w:pPr>
        <w:pStyle w:val="Bullet"/>
      </w:pPr>
      <w:r>
        <w:t>financial details for the most recent year, that is, total assets, together with relevant balance sheets</w:t>
      </w:r>
    </w:p>
    <w:p w:rsidR="00000000" w:rsidRDefault="00590668">
      <w:pPr>
        <w:pStyle w:val="Heading5"/>
      </w:pPr>
      <w:r>
        <w:t>B.</w:t>
      </w:r>
      <w:r>
        <w:tab/>
        <w:t>The proposal</w:t>
      </w:r>
    </w:p>
    <w:p w:rsidR="00000000" w:rsidRDefault="00590668">
      <w:pPr>
        <w:pStyle w:val="Bullet"/>
      </w:pPr>
      <w:r>
        <w:t>description of proposal: total funds to be invested and a description of the industry in which the new venture will be engaged</w:t>
      </w:r>
    </w:p>
    <w:p w:rsidR="00000000" w:rsidRDefault="00590668">
      <w:pPr>
        <w:pStyle w:val="Heading5"/>
      </w:pPr>
      <w:r>
        <w:t>C.</w:t>
      </w:r>
      <w:r>
        <w:tab/>
        <w:t>Ownership of the proposed business</w:t>
      </w:r>
    </w:p>
    <w:p w:rsidR="00000000" w:rsidRDefault="00590668">
      <w:pPr>
        <w:pStyle w:val="Bullet"/>
      </w:pPr>
      <w:r>
        <w:t>details of proposed beneficial ownership (identify shareholdings by associated interests</w:t>
      </w:r>
      <w:r>
        <w:t>)</w:t>
      </w:r>
    </w:p>
    <w:p w:rsidR="00000000" w:rsidRDefault="00590668">
      <w:pPr>
        <w:pStyle w:val="Heading3"/>
        <w:spacing w:after="180"/>
      </w:pPr>
      <w:r>
        <w:t>Urban real estate acquisitions</w:t>
      </w:r>
    </w:p>
    <w:p w:rsidR="00000000" w:rsidRDefault="00590668">
      <w:r>
        <w:t>Please refer to the separate summary of the policy applying to the acquisition of interests in Australian urban land (available at http://www.firb.gov.au).</w:t>
      </w:r>
    </w:p>
    <w:p w:rsidR="00000000" w:rsidRDefault="00590668">
      <w:pPr>
        <w:pStyle w:val="Heading3"/>
      </w:pPr>
      <w:r>
        <w:t>Further enquiries</w:t>
      </w:r>
    </w:p>
    <w:p w:rsidR="00000000" w:rsidRDefault="00590668">
      <w:pPr>
        <w:pStyle w:val="SinglePara"/>
        <w:spacing w:after="120"/>
        <w:jc w:val="left"/>
      </w:pPr>
      <w:r>
        <w:t>Should you have any further enquiries contact ple</w:t>
      </w:r>
      <w:r>
        <w:t>ase contact the Executive on:</w:t>
      </w:r>
    </w:p>
    <w:tbl>
      <w:tblPr>
        <w:tblW w:w="0" w:type="auto"/>
        <w:tblLayout w:type="fixed"/>
        <w:tblLook w:val="0000" w:firstRow="0" w:lastRow="0" w:firstColumn="0" w:lastColumn="0" w:noHBand="0" w:noVBand="0"/>
      </w:tblPr>
      <w:tblGrid>
        <w:gridCol w:w="2943"/>
        <w:gridCol w:w="4768"/>
      </w:tblGrid>
      <w:tr w:rsidR="00000000">
        <w:tblPrEx>
          <w:tblCellMar>
            <w:top w:w="0" w:type="dxa"/>
            <w:bottom w:w="0" w:type="dxa"/>
          </w:tblCellMar>
        </w:tblPrEx>
        <w:tc>
          <w:tcPr>
            <w:tcW w:w="2943" w:type="dxa"/>
            <w:tcBorders>
              <w:top w:val="nil"/>
              <w:left w:val="nil"/>
              <w:bottom w:val="nil"/>
              <w:right w:val="nil"/>
            </w:tcBorders>
          </w:tcPr>
          <w:p w:rsidR="00000000" w:rsidRDefault="00590668">
            <w:pPr>
              <w:pStyle w:val="SingleParagraph"/>
              <w:spacing w:before="60" w:after="60" w:line="240" w:lineRule="auto"/>
            </w:pPr>
            <w:r>
              <w:t>General enquiries</w:t>
            </w:r>
          </w:p>
        </w:tc>
        <w:tc>
          <w:tcPr>
            <w:tcW w:w="4763" w:type="dxa"/>
            <w:tcBorders>
              <w:top w:val="nil"/>
              <w:left w:val="nil"/>
              <w:bottom w:val="nil"/>
              <w:right w:val="nil"/>
            </w:tcBorders>
          </w:tcPr>
          <w:p w:rsidR="00000000" w:rsidRDefault="00590668">
            <w:pPr>
              <w:spacing w:before="60" w:after="60"/>
            </w:pPr>
            <w:r>
              <w:t>(02) 6263 3795</w:t>
            </w:r>
          </w:p>
        </w:tc>
      </w:tr>
      <w:tr w:rsidR="00000000">
        <w:tblPrEx>
          <w:tblCellMar>
            <w:top w:w="0" w:type="dxa"/>
            <w:bottom w:w="0" w:type="dxa"/>
          </w:tblCellMar>
        </w:tblPrEx>
        <w:tc>
          <w:tcPr>
            <w:tcW w:w="2943" w:type="dxa"/>
            <w:tcBorders>
              <w:top w:val="nil"/>
              <w:left w:val="nil"/>
              <w:bottom w:val="nil"/>
              <w:right w:val="nil"/>
            </w:tcBorders>
          </w:tcPr>
          <w:p w:rsidR="00000000" w:rsidRDefault="00590668">
            <w:pPr>
              <w:spacing w:before="60" w:after="60" w:line="240" w:lineRule="auto"/>
            </w:pPr>
            <w:r>
              <w:t>Fax</w:t>
            </w:r>
          </w:p>
        </w:tc>
        <w:tc>
          <w:tcPr>
            <w:tcW w:w="4763" w:type="dxa"/>
            <w:tcBorders>
              <w:top w:val="nil"/>
              <w:left w:val="nil"/>
              <w:bottom w:val="nil"/>
              <w:right w:val="nil"/>
            </w:tcBorders>
          </w:tcPr>
          <w:p w:rsidR="00000000" w:rsidRDefault="00590668">
            <w:pPr>
              <w:spacing w:before="60" w:after="60"/>
            </w:pPr>
            <w:r>
              <w:t>(02) 6263 2940</w:t>
            </w:r>
          </w:p>
        </w:tc>
      </w:tr>
      <w:tr w:rsidR="00000000">
        <w:tblPrEx>
          <w:tblCellMar>
            <w:top w:w="0" w:type="dxa"/>
            <w:bottom w:w="0" w:type="dxa"/>
          </w:tblCellMar>
        </w:tblPrEx>
        <w:tc>
          <w:tcPr>
            <w:tcW w:w="2943" w:type="dxa"/>
            <w:tcBorders>
              <w:top w:val="nil"/>
              <w:left w:val="nil"/>
              <w:bottom w:val="nil"/>
              <w:right w:val="nil"/>
            </w:tcBorders>
          </w:tcPr>
          <w:p w:rsidR="00000000" w:rsidRDefault="00590668">
            <w:pPr>
              <w:spacing w:before="60" w:after="60" w:line="240" w:lineRule="auto"/>
            </w:pPr>
            <w:r>
              <w:t>From overseas</w:t>
            </w:r>
          </w:p>
        </w:tc>
        <w:tc>
          <w:tcPr>
            <w:tcW w:w="4763" w:type="dxa"/>
            <w:tcBorders>
              <w:top w:val="nil"/>
              <w:left w:val="nil"/>
              <w:bottom w:val="nil"/>
              <w:right w:val="nil"/>
            </w:tcBorders>
          </w:tcPr>
          <w:p w:rsidR="00000000" w:rsidRDefault="00590668">
            <w:pPr>
              <w:spacing w:before="60" w:after="60"/>
            </w:pPr>
          </w:p>
        </w:tc>
      </w:tr>
      <w:tr w:rsidR="00000000">
        <w:tblPrEx>
          <w:tblCellMar>
            <w:top w:w="0" w:type="dxa"/>
            <w:bottom w:w="0" w:type="dxa"/>
          </w:tblCellMar>
        </w:tblPrEx>
        <w:tc>
          <w:tcPr>
            <w:tcW w:w="2943" w:type="dxa"/>
            <w:tcBorders>
              <w:top w:val="nil"/>
              <w:left w:val="nil"/>
              <w:bottom w:val="nil"/>
              <w:right w:val="nil"/>
            </w:tcBorders>
          </w:tcPr>
          <w:p w:rsidR="00000000" w:rsidRDefault="00590668">
            <w:pPr>
              <w:spacing w:before="60" w:after="60" w:line="240" w:lineRule="auto"/>
            </w:pPr>
            <w:r>
              <w:t>General enquiries</w:t>
            </w:r>
          </w:p>
        </w:tc>
        <w:tc>
          <w:tcPr>
            <w:tcW w:w="4763" w:type="dxa"/>
            <w:tcBorders>
              <w:top w:val="nil"/>
              <w:left w:val="nil"/>
              <w:bottom w:val="nil"/>
              <w:right w:val="nil"/>
            </w:tcBorders>
          </w:tcPr>
          <w:p w:rsidR="00000000" w:rsidRDefault="00590668">
            <w:pPr>
              <w:spacing w:before="60" w:after="60"/>
            </w:pPr>
            <w:r>
              <w:t>61 — 2 — 6263 3795</w:t>
            </w:r>
          </w:p>
        </w:tc>
      </w:tr>
      <w:tr w:rsidR="00000000">
        <w:tblPrEx>
          <w:tblCellMar>
            <w:top w:w="0" w:type="dxa"/>
            <w:bottom w:w="0" w:type="dxa"/>
          </w:tblCellMar>
        </w:tblPrEx>
        <w:tc>
          <w:tcPr>
            <w:tcW w:w="2943" w:type="dxa"/>
            <w:tcBorders>
              <w:top w:val="nil"/>
              <w:left w:val="nil"/>
              <w:bottom w:val="nil"/>
              <w:right w:val="nil"/>
            </w:tcBorders>
          </w:tcPr>
          <w:p w:rsidR="00000000" w:rsidRDefault="00590668">
            <w:pPr>
              <w:spacing w:before="60" w:after="60" w:line="240" w:lineRule="auto"/>
            </w:pPr>
            <w:r>
              <w:t>Fax</w:t>
            </w:r>
          </w:p>
        </w:tc>
        <w:tc>
          <w:tcPr>
            <w:tcW w:w="4763" w:type="dxa"/>
            <w:tcBorders>
              <w:top w:val="nil"/>
              <w:left w:val="nil"/>
              <w:bottom w:val="nil"/>
              <w:right w:val="nil"/>
            </w:tcBorders>
          </w:tcPr>
          <w:p w:rsidR="00000000" w:rsidRDefault="00590668">
            <w:pPr>
              <w:spacing w:before="60" w:after="60"/>
            </w:pPr>
            <w:r>
              <w:t>61 — 2 — 6263 2940</w:t>
            </w:r>
          </w:p>
        </w:tc>
      </w:tr>
      <w:tr w:rsidR="00000000">
        <w:tblPrEx>
          <w:tblCellMar>
            <w:top w:w="0" w:type="dxa"/>
            <w:bottom w:w="0" w:type="dxa"/>
          </w:tblCellMar>
        </w:tblPrEx>
        <w:tc>
          <w:tcPr>
            <w:tcW w:w="2943" w:type="dxa"/>
            <w:tcBorders>
              <w:top w:val="nil"/>
              <w:left w:val="nil"/>
              <w:bottom w:val="nil"/>
              <w:right w:val="nil"/>
            </w:tcBorders>
          </w:tcPr>
          <w:p w:rsidR="00000000" w:rsidRDefault="00590668">
            <w:pPr>
              <w:spacing w:before="60" w:after="60" w:line="240" w:lineRule="auto"/>
            </w:pPr>
            <w:r>
              <w:t>E-mail</w:t>
            </w:r>
          </w:p>
        </w:tc>
        <w:tc>
          <w:tcPr>
            <w:tcW w:w="4763" w:type="dxa"/>
            <w:tcBorders>
              <w:top w:val="nil"/>
              <w:left w:val="nil"/>
              <w:bottom w:val="nil"/>
              <w:right w:val="nil"/>
            </w:tcBorders>
          </w:tcPr>
          <w:p w:rsidR="00000000" w:rsidRDefault="00590668">
            <w:pPr>
              <w:spacing w:before="60" w:after="60"/>
            </w:pPr>
            <w:r>
              <w:t>firb@treasury.gov.au</w:t>
            </w:r>
          </w:p>
        </w:tc>
      </w:tr>
      <w:tr w:rsidR="00000000">
        <w:tblPrEx>
          <w:tblCellMar>
            <w:top w:w="0" w:type="dxa"/>
            <w:bottom w:w="0" w:type="dxa"/>
          </w:tblCellMar>
        </w:tblPrEx>
        <w:trPr>
          <w:cantSplit/>
        </w:trPr>
        <w:tc>
          <w:tcPr>
            <w:tcW w:w="7711" w:type="dxa"/>
            <w:gridSpan w:val="2"/>
            <w:tcBorders>
              <w:top w:val="nil"/>
              <w:left w:val="nil"/>
              <w:bottom w:val="nil"/>
              <w:right w:val="nil"/>
            </w:tcBorders>
          </w:tcPr>
          <w:p w:rsidR="00000000" w:rsidRDefault="00590668">
            <w:pPr>
              <w:spacing w:after="120" w:line="240" w:lineRule="auto"/>
            </w:pPr>
            <w:r>
              <w:t>Further information on Australia’</w:t>
            </w:r>
            <w:r>
              <w:t>s foreign investment policy may be found at: http://www.firb.gov.au</w:t>
            </w:r>
          </w:p>
        </w:tc>
      </w:tr>
    </w:tbl>
    <w:p w:rsidR="00000000" w:rsidRDefault="00590668"/>
    <w:p w:rsidR="00000000" w:rsidRDefault="00590668">
      <w:pPr>
        <w:sectPr w:rsidR="00000000">
          <w:headerReference w:type="even" r:id="rId93"/>
          <w:headerReference w:type="default" r:id="rId94"/>
          <w:footerReference w:type="even" r:id="rId95"/>
          <w:footerReference w:type="default" r:id="rId96"/>
          <w:headerReference w:type="first" r:id="rId97"/>
          <w:footerReference w:type="first" r:id="rId98"/>
          <w:pgSz w:w="11907" w:h="16840" w:code="9"/>
          <w:pgMar w:top="2466" w:right="2098" w:bottom="2466" w:left="2098" w:header="1899" w:footer="1899" w:gutter="0"/>
          <w:cols w:space="709"/>
          <w:titlePg/>
        </w:sectPr>
      </w:pPr>
    </w:p>
    <w:p w:rsidR="00000000" w:rsidRDefault="00590668">
      <w:pPr>
        <w:pStyle w:val="chattach"/>
        <w:rPr>
          <w:i w:val="0"/>
          <w:iCs w:val="0"/>
        </w:rPr>
      </w:pPr>
      <w:r>
        <w:rPr>
          <w:i w:val="0"/>
          <w:iCs w:val="0"/>
        </w:rPr>
        <w:lastRenderedPageBreak/>
        <w:t>APPENDIX B</w:t>
      </w:r>
    </w:p>
    <w:p w:rsidR="00000000" w:rsidRDefault="00590668">
      <w:pPr>
        <w:pStyle w:val="Heading1"/>
        <w:spacing w:before="240"/>
      </w:pPr>
      <w:r>
        <w:t>Legislation, policy statements and publications</w:t>
      </w:r>
    </w:p>
    <w:p w:rsidR="00000000" w:rsidRDefault="00590668">
      <w:pPr>
        <w:pStyle w:val="Heading2"/>
        <w:spacing w:before="120"/>
      </w:pPr>
      <w:r>
        <w:t>Legislation</w:t>
      </w:r>
    </w:p>
    <w:p w:rsidR="00000000" w:rsidRDefault="00590668" w:rsidP="00AF7DF0">
      <w:pPr>
        <w:numPr>
          <w:ilvl w:val="0"/>
          <w:numId w:val="35"/>
        </w:numPr>
        <w:spacing w:after="200"/>
      </w:pPr>
      <w:r>
        <w:t xml:space="preserve">Foreign Acquisitions and Takeovers Regulations (Amendment), No 199 — </w:t>
      </w:r>
      <w:r>
        <w:rPr>
          <w:rStyle w:val="NormalBold"/>
        </w:rPr>
        <w:t>10 September 1999</w:t>
      </w:r>
      <w:r>
        <w:t>.</w:t>
      </w:r>
    </w:p>
    <w:p w:rsidR="00000000" w:rsidRDefault="00590668" w:rsidP="00AF7DF0">
      <w:pPr>
        <w:numPr>
          <w:ilvl w:val="0"/>
          <w:numId w:val="35"/>
        </w:numPr>
        <w:spacing w:after="200"/>
      </w:pPr>
      <w:r>
        <w:t xml:space="preserve">Foreign Acquisitions and Takeovers Regulations (Amendment), No 416 — </w:t>
      </w:r>
      <w:r>
        <w:rPr>
          <w:rStyle w:val="NormalBold"/>
        </w:rPr>
        <w:t>17 Jan</w:t>
      </w:r>
      <w:r>
        <w:rPr>
          <w:rStyle w:val="NormalBold"/>
        </w:rPr>
        <w:t>uary 1996</w:t>
      </w:r>
      <w:r>
        <w:t>.</w:t>
      </w:r>
    </w:p>
    <w:p w:rsidR="00000000" w:rsidRDefault="00590668" w:rsidP="00AF7DF0">
      <w:pPr>
        <w:numPr>
          <w:ilvl w:val="0"/>
          <w:numId w:val="35"/>
        </w:numPr>
        <w:spacing w:after="200"/>
      </w:pPr>
      <w:r>
        <w:t xml:space="preserve">Foreign Acquisitions and Takeovers Regulations (Amendment), No 295 — </w:t>
      </w:r>
      <w:r>
        <w:rPr>
          <w:rStyle w:val="NormalBold"/>
        </w:rPr>
        <w:t>31 August 1994</w:t>
      </w:r>
      <w:r>
        <w:t>.</w:t>
      </w:r>
    </w:p>
    <w:p w:rsidR="00000000" w:rsidRDefault="00590668" w:rsidP="00AF7DF0">
      <w:pPr>
        <w:numPr>
          <w:ilvl w:val="0"/>
          <w:numId w:val="35"/>
        </w:numPr>
        <w:spacing w:after="200"/>
      </w:pPr>
      <w:r>
        <w:t xml:space="preserve">Foreign Acquisitions and Takeovers Regulations (Amendment), No 302 — </w:t>
      </w:r>
      <w:r>
        <w:rPr>
          <w:rStyle w:val="NormalBold"/>
        </w:rPr>
        <w:t>24 September 1991</w:t>
      </w:r>
      <w:r>
        <w:t>.</w:t>
      </w:r>
    </w:p>
    <w:p w:rsidR="00000000" w:rsidRDefault="00590668" w:rsidP="00AF7DF0">
      <w:pPr>
        <w:numPr>
          <w:ilvl w:val="0"/>
          <w:numId w:val="35"/>
        </w:numPr>
        <w:spacing w:after="200"/>
      </w:pPr>
      <w:r>
        <w:rPr>
          <w:rStyle w:val="NormalItalic"/>
        </w:rPr>
        <w:t>Foreign Takeovers Amendment Act 1989</w:t>
      </w:r>
      <w:r>
        <w:t xml:space="preserve">, No 14 of 1989 — </w:t>
      </w:r>
      <w:r>
        <w:rPr>
          <w:rStyle w:val="NormalBold"/>
        </w:rPr>
        <w:t>August</w:t>
      </w:r>
      <w:r>
        <w:rPr>
          <w:rStyle w:val="NormalBold"/>
        </w:rPr>
        <w:t> 1989</w:t>
      </w:r>
      <w:r>
        <w:t>.</w:t>
      </w:r>
    </w:p>
    <w:p w:rsidR="00000000" w:rsidRDefault="00590668" w:rsidP="00AF7DF0">
      <w:pPr>
        <w:numPr>
          <w:ilvl w:val="0"/>
          <w:numId w:val="35"/>
        </w:numPr>
        <w:spacing w:after="200"/>
      </w:pPr>
      <w:r>
        <w:rPr>
          <w:rStyle w:val="NormalItalic"/>
        </w:rPr>
        <w:t>Commonwealth Functions (Statutes Review) Act 1981</w:t>
      </w:r>
      <w:r>
        <w:t xml:space="preserve">, No 74 of 1981 — </w:t>
      </w:r>
      <w:r>
        <w:rPr>
          <w:rStyle w:val="NormalBold"/>
        </w:rPr>
        <w:t>June 1981</w:t>
      </w:r>
      <w:r>
        <w:t>.</w:t>
      </w:r>
    </w:p>
    <w:p w:rsidR="00000000" w:rsidRDefault="00590668" w:rsidP="00AF7DF0">
      <w:pPr>
        <w:numPr>
          <w:ilvl w:val="0"/>
          <w:numId w:val="35"/>
        </w:numPr>
        <w:spacing w:after="200"/>
      </w:pPr>
      <w:r>
        <w:t xml:space="preserve">Statutory Rules 1976, No 203 — </w:t>
      </w:r>
      <w:r>
        <w:rPr>
          <w:rStyle w:val="NormalBold"/>
        </w:rPr>
        <w:t>September 1976</w:t>
      </w:r>
      <w:r>
        <w:t>.</w:t>
      </w:r>
    </w:p>
    <w:p w:rsidR="00000000" w:rsidRDefault="00590668" w:rsidP="00AF7DF0">
      <w:pPr>
        <w:numPr>
          <w:ilvl w:val="0"/>
          <w:numId w:val="35"/>
        </w:numPr>
        <w:spacing w:after="200"/>
      </w:pPr>
      <w:r>
        <w:rPr>
          <w:rStyle w:val="NormalItalic"/>
        </w:rPr>
        <w:t>Foreign Takeovers Amendment Act 1976</w:t>
      </w:r>
      <w:r>
        <w:t xml:space="preserve">, No 93 of 1976 — </w:t>
      </w:r>
      <w:r>
        <w:rPr>
          <w:rStyle w:val="NormalBold"/>
        </w:rPr>
        <w:t>September 1976</w:t>
      </w:r>
      <w:r>
        <w:t>.</w:t>
      </w:r>
    </w:p>
    <w:p w:rsidR="00000000" w:rsidRDefault="00590668" w:rsidP="00AF7DF0">
      <w:pPr>
        <w:numPr>
          <w:ilvl w:val="0"/>
          <w:numId w:val="35"/>
        </w:numPr>
        <w:spacing w:after="200"/>
      </w:pPr>
      <w:r>
        <w:t>Statutory Rules 1</w:t>
      </w:r>
      <w:r>
        <w:rPr>
          <w:i/>
          <w:iCs/>
        </w:rPr>
        <w:t>975</w:t>
      </w:r>
      <w:r>
        <w:t xml:space="preserve">, No 226 — </w:t>
      </w:r>
      <w:r>
        <w:rPr>
          <w:rStyle w:val="NormalBold"/>
        </w:rPr>
        <w:t>December 1975</w:t>
      </w:r>
      <w:r>
        <w:t>.</w:t>
      </w:r>
    </w:p>
    <w:p w:rsidR="00000000" w:rsidRDefault="00590668" w:rsidP="00AF7DF0">
      <w:pPr>
        <w:numPr>
          <w:ilvl w:val="0"/>
          <w:numId w:val="35"/>
        </w:numPr>
        <w:spacing w:after="200"/>
      </w:pPr>
      <w:r>
        <w:rPr>
          <w:rStyle w:val="NormalItalic"/>
        </w:rPr>
        <w:t>Foreign Takeovers Act 1975</w:t>
      </w:r>
      <w:r>
        <w:t xml:space="preserve">, No 92 of 1975 — </w:t>
      </w:r>
      <w:r>
        <w:rPr>
          <w:rStyle w:val="NormalBold"/>
        </w:rPr>
        <w:t>August 1975</w:t>
      </w:r>
      <w:r>
        <w:t xml:space="preserve"> (now known as the </w:t>
      </w:r>
      <w:r>
        <w:rPr>
          <w:rStyle w:val="NormalItalic"/>
        </w:rPr>
        <w:t>Foreign Acquisitions and Takeovers Act 1975</w:t>
      </w:r>
      <w:r>
        <w:t xml:space="preserve"> as amended).</w:t>
      </w:r>
    </w:p>
    <w:p w:rsidR="00000000" w:rsidRDefault="00590668" w:rsidP="00AF7DF0">
      <w:pPr>
        <w:numPr>
          <w:ilvl w:val="0"/>
          <w:numId w:val="35"/>
        </w:numPr>
        <w:spacing w:after="200"/>
      </w:pPr>
      <w:r>
        <w:rPr>
          <w:rStyle w:val="NormalItalic"/>
        </w:rPr>
        <w:t>Companies (Foreign Take-overs) Act 1973</w:t>
      </w:r>
      <w:r>
        <w:t xml:space="preserve">, No 199 of 1973 — </w:t>
      </w:r>
      <w:r>
        <w:rPr>
          <w:rStyle w:val="NormalBold"/>
        </w:rPr>
        <w:t>December 1973</w:t>
      </w:r>
      <w:r>
        <w:t>.</w:t>
      </w:r>
    </w:p>
    <w:p w:rsidR="00000000" w:rsidRDefault="00590668" w:rsidP="00AF7DF0">
      <w:pPr>
        <w:numPr>
          <w:ilvl w:val="0"/>
          <w:numId w:val="35"/>
        </w:numPr>
        <w:spacing w:after="200"/>
      </w:pPr>
      <w:r>
        <w:rPr>
          <w:rStyle w:val="NormalItalic"/>
        </w:rPr>
        <w:t>Companies (Foreign Tak</w:t>
      </w:r>
      <w:r>
        <w:rPr>
          <w:rStyle w:val="NormalItalic"/>
        </w:rPr>
        <w:t>e-overs) Act 1972</w:t>
      </w:r>
      <w:r>
        <w:t xml:space="preserve">, No 134 of 1972 — </w:t>
      </w:r>
      <w:r>
        <w:rPr>
          <w:rStyle w:val="NormalBold"/>
        </w:rPr>
        <w:t>November 1972</w:t>
      </w:r>
      <w:r>
        <w:t>.</w:t>
      </w:r>
    </w:p>
    <w:p w:rsidR="00000000" w:rsidRDefault="00590668">
      <w:pPr>
        <w:pStyle w:val="Heading2"/>
        <w:tabs>
          <w:tab w:val="left" w:pos="567"/>
        </w:tabs>
        <w:ind w:left="567" w:hanging="567"/>
      </w:pPr>
      <w:r>
        <w:t>Policy statements</w:t>
      </w:r>
    </w:p>
    <w:p w:rsidR="00000000" w:rsidRDefault="00590668" w:rsidP="00AF7DF0">
      <w:pPr>
        <w:numPr>
          <w:ilvl w:val="0"/>
          <w:numId w:val="36"/>
        </w:numPr>
      </w:pPr>
      <w:r>
        <w:t>Statement by the Treasurer, the Hon. P. Costello, MP </w:t>
      </w:r>
      <w:r>
        <w:sym w:font="Symbol" w:char="F0BE"/>
      </w:r>
      <w:r>
        <w:t xml:space="preserve"> Singapore Telecommunications Limited </w:t>
      </w:r>
      <w:r>
        <w:sym w:font="Symbol" w:char="F0BE"/>
      </w:r>
      <w:r>
        <w:t xml:space="preserve"> Acquisition of Cable &amp; Wirele</w:t>
      </w:r>
      <w:r>
        <w:t>ss Optus Limited </w:t>
      </w:r>
      <w:r>
        <w:sym w:font="Symbol" w:char="F0BE"/>
      </w:r>
      <w:r>
        <w:t xml:space="preserve"> </w:t>
      </w:r>
      <w:r>
        <w:rPr>
          <w:rStyle w:val="NormalBold"/>
        </w:rPr>
        <w:t>28 August 2001</w:t>
      </w:r>
      <w:r>
        <w:t>.</w:t>
      </w:r>
    </w:p>
    <w:p w:rsidR="00000000" w:rsidRDefault="00590668" w:rsidP="00AF7DF0">
      <w:pPr>
        <w:numPr>
          <w:ilvl w:val="0"/>
          <w:numId w:val="36"/>
        </w:numPr>
      </w:pPr>
      <w:r>
        <w:lastRenderedPageBreak/>
        <w:t>Statement by the Treasurer, the Hon. P. Costello, MP </w:t>
      </w:r>
      <w:r>
        <w:sym w:font="Symbol" w:char="F0BE"/>
      </w:r>
      <w:r>
        <w:t xml:space="preserve"> Singapore Telecommunications Limited </w:t>
      </w:r>
      <w:r>
        <w:sym w:font="Symbol" w:char="F0BE"/>
      </w:r>
      <w:r>
        <w:t xml:space="preserve"> Application for Foreign Investmen</w:t>
      </w:r>
      <w:r>
        <w:t>t Approval to Acquire Cable &amp; Wireless Optus Limited </w:t>
      </w:r>
      <w:r>
        <w:sym w:font="Symbol" w:char="F0BE"/>
      </w:r>
      <w:r>
        <w:t xml:space="preserve"> </w:t>
      </w:r>
      <w:r>
        <w:rPr>
          <w:rStyle w:val="NormalBold"/>
        </w:rPr>
        <w:t>22 August 2001</w:t>
      </w:r>
    </w:p>
    <w:p w:rsidR="00000000" w:rsidRDefault="00590668" w:rsidP="00AF7DF0">
      <w:pPr>
        <w:numPr>
          <w:ilvl w:val="0"/>
          <w:numId w:val="36"/>
        </w:numPr>
      </w:pPr>
      <w:r>
        <w:t>Statement by the Treasurer, the Hon. P. Costello, MP </w:t>
      </w:r>
      <w:r>
        <w:sym w:font="Symbol" w:char="F0BE"/>
      </w:r>
      <w:r>
        <w:t xml:space="preserve"> Foreign Investment Approval of Brambles Industries Limited </w:t>
      </w:r>
      <w:r>
        <w:sym w:font="Symbol" w:char="F0BE"/>
      </w:r>
      <w:r>
        <w:t xml:space="preserve"> GKN Plc </w:t>
      </w:r>
      <w:r>
        <w:sym w:font="Symbol" w:char="F0BE"/>
      </w:r>
      <w:r>
        <w:t xml:space="preserve"> </w:t>
      </w:r>
      <w:r>
        <w:rPr>
          <w:rStyle w:val="NormalBold"/>
        </w:rPr>
        <w:t>26 July 2001</w:t>
      </w:r>
      <w:r>
        <w:t>.</w:t>
      </w:r>
    </w:p>
    <w:p w:rsidR="00000000" w:rsidRDefault="00590668" w:rsidP="00AF7DF0">
      <w:pPr>
        <w:numPr>
          <w:ilvl w:val="0"/>
          <w:numId w:val="36"/>
        </w:numPr>
      </w:pPr>
      <w:r>
        <w:t>Statement by the Treasurer, the Hon. P. Costello, MP — Foreign Investment Approval of BHP Limited-Billiton Plc Merger </w:t>
      </w:r>
      <w:r>
        <w:sym w:font="Symbol" w:char="F0BE"/>
      </w:r>
      <w:r>
        <w:t xml:space="preserve"> </w:t>
      </w:r>
      <w:r>
        <w:rPr>
          <w:rStyle w:val="NormalBold"/>
        </w:rPr>
        <w:t>4 June 2001</w:t>
      </w:r>
      <w:r>
        <w:t>.</w:t>
      </w:r>
    </w:p>
    <w:p w:rsidR="00000000" w:rsidRDefault="00590668" w:rsidP="00AF7DF0">
      <w:pPr>
        <w:numPr>
          <w:ilvl w:val="0"/>
          <w:numId w:val="36"/>
        </w:numPr>
      </w:pPr>
      <w:r>
        <w:t>Statement by the Treasurer, the Hon. P. Costello, MP — Foreign Investment Proposal </w:t>
      </w:r>
      <w:r>
        <w:sym w:font="Symbol" w:char="F0BE"/>
      </w:r>
      <w:r>
        <w:t xml:space="preserve"> Shell Australia Investments Limited’s Acquisition of Woodside Petroleum Limited </w:t>
      </w:r>
      <w:r>
        <w:sym w:font="Symbol" w:char="F0BE"/>
      </w:r>
      <w:r>
        <w:t xml:space="preserve"> </w:t>
      </w:r>
      <w:r>
        <w:rPr>
          <w:rStyle w:val="NormalBold"/>
        </w:rPr>
        <w:t>23 April 2001</w:t>
      </w:r>
      <w:r>
        <w:t>.</w:t>
      </w:r>
    </w:p>
    <w:p w:rsidR="00000000" w:rsidRDefault="00590668" w:rsidP="00AF7DF0">
      <w:pPr>
        <w:numPr>
          <w:ilvl w:val="0"/>
          <w:numId w:val="36"/>
        </w:numPr>
      </w:pPr>
      <w:r>
        <w:t xml:space="preserve">Statement </w:t>
      </w:r>
      <w:r>
        <w:t>by the Treasurer, the Hon.</w:t>
      </w:r>
      <w:r>
        <w:rPr>
          <w:rStyle w:val="NormalBold"/>
        </w:rPr>
        <w:t> </w:t>
      </w:r>
      <w:r>
        <w:t>P.</w:t>
      </w:r>
      <w:r>
        <w:rPr>
          <w:rStyle w:val="NormalBold"/>
        </w:rPr>
        <w:t> </w:t>
      </w:r>
      <w:r>
        <w:t>Costello, MP</w:t>
      </w:r>
      <w:r>
        <w:rPr>
          <w:rStyle w:val="NormalBold"/>
        </w:rPr>
        <w:t> </w:t>
      </w:r>
      <w:r>
        <w:t>— Foreign Investment Case: Acquisition by Air New Zealand Limited of the News Corporation’s 50</w:t>
      </w:r>
      <w:r>
        <w:rPr>
          <w:rStyle w:val="NormalBold"/>
        </w:rPr>
        <w:t> </w:t>
      </w:r>
      <w:r>
        <w:t>per</w:t>
      </w:r>
      <w:r>
        <w:rPr>
          <w:rStyle w:val="NormalBold"/>
        </w:rPr>
        <w:t> </w:t>
      </w:r>
      <w:r>
        <w:t>cent interest in Ansett Holdings Limited</w:t>
      </w:r>
      <w:r>
        <w:rPr>
          <w:rStyle w:val="NormalBold"/>
        </w:rPr>
        <w:t> </w:t>
      </w:r>
      <w:r>
        <w:sym w:font="Symbol" w:char="F0BE"/>
      </w:r>
      <w:r>
        <w:t xml:space="preserve"> </w:t>
      </w:r>
      <w:r>
        <w:rPr>
          <w:rStyle w:val="NormalBold"/>
        </w:rPr>
        <w:t>13 June 2000</w:t>
      </w:r>
      <w:r>
        <w:t>.</w:t>
      </w:r>
    </w:p>
    <w:p w:rsidR="00000000" w:rsidRDefault="00590668" w:rsidP="00AF7DF0">
      <w:pPr>
        <w:numPr>
          <w:ilvl w:val="0"/>
          <w:numId w:val="36"/>
        </w:numPr>
      </w:pPr>
      <w:r>
        <w:t>Statement by the Assist</w:t>
      </w:r>
      <w:r>
        <w:t>ant Treasurer, Senator the Hon. Rod Kemp — Virgin receives Foreign Investment Approval</w:t>
      </w:r>
      <w:r>
        <w:rPr>
          <w:rStyle w:val="NormalBold"/>
        </w:rPr>
        <w:t> </w:t>
      </w:r>
      <w:r>
        <w:t xml:space="preserve">— </w:t>
      </w:r>
      <w:r>
        <w:rPr>
          <w:rStyle w:val="NormalBold"/>
        </w:rPr>
        <w:t>7 December 1999</w:t>
      </w:r>
      <w:r>
        <w:t>.</w:t>
      </w:r>
    </w:p>
    <w:p w:rsidR="00000000" w:rsidRDefault="00590668" w:rsidP="00AF7DF0">
      <w:pPr>
        <w:numPr>
          <w:ilvl w:val="0"/>
          <w:numId w:val="36"/>
        </w:numPr>
      </w:pPr>
      <w:r>
        <w:t>Statement by the Treasurer, the Hon.</w:t>
      </w:r>
      <w:r>
        <w:rPr>
          <w:rStyle w:val="NormalBold"/>
        </w:rPr>
        <w:t> </w:t>
      </w:r>
      <w:r>
        <w:t>P.</w:t>
      </w:r>
      <w:r>
        <w:rPr>
          <w:rStyle w:val="NormalBold"/>
        </w:rPr>
        <w:t> </w:t>
      </w:r>
      <w:r>
        <w:t>Costello, MP</w:t>
      </w:r>
      <w:r>
        <w:rPr>
          <w:rStyle w:val="NormalBold"/>
        </w:rPr>
        <w:t> </w:t>
      </w:r>
      <w:r>
        <w:t xml:space="preserve">— Foreign Investment Policy Changes </w:t>
      </w:r>
      <w:r>
        <w:sym w:font="Symbol" w:char="F0BE"/>
      </w:r>
      <w:r>
        <w:t xml:space="preserve"> </w:t>
      </w:r>
      <w:r>
        <w:rPr>
          <w:rStyle w:val="NormalBold"/>
        </w:rPr>
        <w:t>3 September 1999</w:t>
      </w:r>
      <w:r>
        <w:t xml:space="preserve">. </w:t>
      </w:r>
    </w:p>
    <w:p w:rsidR="00000000" w:rsidRDefault="00590668" w:rsidP="00AF7DF0">
      <w:pPr>
        <w:numPr>
          <w:ilvl w:val="0"/>
          <w:numId w:val="36"/>
        </w:numPr>
      </w:pPr>
      <w:r>
        <w:t>St</w:t>
      </w:r>
      <w:r>
        <w:t>atement by the Treasurer, the Hon.</w:t>
      </w:r>
      <w:r>
        <w:rPr>
          <w:rStyle w:val="NormalBold"/>
        </w:rPr>
        <w:t> </w:t>
      </w:r>
      <w:r>
        <w:t>P.</w:t>
      </w:r>
      <w:r>
        <w:rPr>
          <w:rStyle w:val="NormalBold"/>
        </w:rPr>
        <w:t> </w:t>
      </w:r>
      <w:r>
        <w:t>Costello, MP</w:t>
      </w:r>
      <w:r>
        <w:rPr>
          <w:rStyle w:val="NormalBold"/>
        </w:rPr>
        <w:t> </w:t>
      </w:r>
      <w:r>
        <w:t>— Foreign Investment Case: Tyndall Australia Ltd’s Portfolio Investment in John Fairfax Holdings Ltd</w:t>
      </w:r>
      <w:r>
        <w:rPr>
          <w:rStyle w:val="NormalBold"/>
        </w:rPr>
        <w:t> </w:t>
      </w:r>
      <w:r>
        <w:sym w:font="Symbol" w:char="F0BE"/>
      </w:r>
      <w:r>
        <w:t xml:space="preserve"> </w:t>
      </w:r>
      <w:r>
        <w:rPr>
          <w:rStyle w:val="NormalBold"/>
        </w:rPr>
        <w:t>4 August 1998</w:t>
      </w:r>
      <w:r>
        <w:t>.</w:t>
      </w:r>
    </w:p>
    <w:p w:rsidR="00000000" w:rsidRDefault="00590668" w:rsidP="00AF7DF0">
      <w:pPr>
        <w:numPr>
          <w:ilvl w:val="0"/>
          <w:numId w:val="36"/>
        </w:numPr>
      </w:pPr>
      <w:r>
        <w:t>Statement by the Treasurer, the Hon.</w:t>
      </w:r>
      <w:r>
        <w:rPr>
          <w:rStyle w:val="NormalBold"/>
        </w:rPr>
        <w:t> </w:t>
      </w:r>
      <w:r>
        <w:t>P.</w:t>
      </w:r>
      <w:r>
        <w:rPr>
          <w:rStyle w:val="NormalBold"/>
        </w:rPr>
        <w:t> </w:t>
      </w:r>
      <w:r>
        <w:t>Costello, MP</w:t>
      </w:r>
      <w:r>
        <w:rPr>
          <w:rStyle w:val="NormalBold"/>
        </w:rPr>
        <w:t> </w:t>
      </w:r>
      <w:r>
        <w:t xml:space="preserve"> — Foreign Investment Policy: Ownership structure for the Ten Group Ltd (TGL) </w:t>
      </w:r>
      <w:r>
        <w:sym w:font="Symbol" w:char="F0BE"/>
      </w:r>
      <w:r>
        <w:t xml:space="preserve"> Canwest/TNQ Float Proposal</w:t>
      </w:r>
      <w:r>
        <w:rPr>
          <w:rStyle w:val="NormalBold"/>
        </w:rPr>
        <w:t> </w:t>
      </w:r>
      <w:r>
        <w:sym w:font="Symbol" w:char="F0BE"/>
      </w:r>
      <w:r>
        <w:t xml:space="preserve"> </w:t>
      </w:r>
      <w:r>
        <w:rPr>
          <w:rStyle w:val="NormalBold"/>
        </w:rPr>
        <w:t>6 March 1998</w:t>
      </w:r>
      <w:r>
        <w:t>.</w:t>
      </w:r>
    </w:p>
    <w:p w:rsidR="00000000" w:rsidRDefault="00590668" w:rsidP="00AF7DF0">
      <w:pPr>
        <w:numPr>
          <w:ilvl w:val="0"/>
          <w:numId w:val="36"/>
        </w:numPr>
      </w:pPr>
      <w:r>
        <w:t>Statement by the Treasurer, the Hon.</w:t>
      </w:r>
      <w:r>
        <w:rPr>
          <w:rStyle w:val="NormalBold"/>
        </w:rPr>
        <w:t> </w:t>
      </w:r>
      <w:r>
        <w:t>P.</w:t>
      </w:r>
      <w:r>
        <w:rPr>
          <w:rStyle w:val="NormalBold"/>
        </w:rPr>
        <w:t> </w:t>
      </w:r>
      <w:r>
        <w:t>Costello, MP</w:t>
      </w:r>
      <w:r>
        <w:rPr>
          <w:rStyle w:val="NormalBold"/>
        </w:rPr>
        <w:t> </w:t>
      </w:r>
      <w:r>
        <w:t>—</w:t>
      </w:r>
      <w:r>
        <w:t xml:space="preserve"> Release of the Report of the Financial System Inquiry and Initial Government Response on Mergers Policy</w:t>
      </w:r>
      <w:r>
        <w:rPr>
          <w:rStyle w:val="NormalBold"/>
        </w:rPr>
        <w:t> </w:t>
      </w:r>
      <w:r>
        <w:t xml:space="preserve">— </w:t>
      </w:r>
      <w:r>
        <w:rPr>
          <w:rStyle w:val="NormalBold"/>
        </w:rPr>
        <w:t>9 April 1997</w:t>
      </w:r>
      <w:r>
        <w:t>.</w:t>
      </w:r>
    </w:p>
    <w:p w:rsidR="00000000" w:rsidRDefault="00590668" w:rsidP="00AF7DF0">
      <w:pPr>
        <w:numPr>
          <w:ilvl w:val="0"/>
          <w:numId w:val="36"/>
        </w:numPr>
      </w:pPr>
      <w:r>
        <w:t>Statement by the Assistant Treasurer, Senator the Hon.</w:t>
      </w:r>
      <w:r>
        <w:rPr>
          <w:rStyle w:val="NormalBold"/>
        </w:rPr>
        <w:t> </w:t>
      </w:r>
      <w:r>
        <w:t>Rod</w:t>
      </w:r>
      <w:r>
        <w:rPr>
          <w:rStyle w:val="NormalBold"/>
        </w:rPr>
        <w:t> </w:t>
      </w:r>
      <w:r>
        <w:t>Kemp,</w:t>
      </w:r>
      <w:r>
        <w:rPr>
          <w:rStyle w:val="NormalBold"/>
        </w:rPr>
        <w:t> </w:t>
      </w:r>
      <w:r>
        <w:t>— Foreign Investment Policy: Forced Divestiture of Residential Re</w:t>
      </w:r>
      <w:r>
        <w:t xml:space="preserve">al Estate involving Australian Trustee — </w:t>
      </w:r>
      <w:r>
        <w:rPr>
          <w:rStyle w:val="NormalBold"/>
        </w:rPr>
        <w:t>11 December 1996</w:t>
      </w:r>
      <w:r>
        <w:t>.</w:t>
      </w:r>
    </w:p>
    <w:p w:rsidR="00000000" w:rsidRDefault="00590668" w:rsidP="00AF7DF0">
      <w:pPr>
        <w:numPr>
          <w:ilvl w:val="0"/>
          <w:numId w:val="36"/>
        </w:numPr>
      </w:pPr>
      <w:r>
        <w:t>Statement by the Treasurer, the Hon.</w:t>
      </w:r>
      <w:r>
        <w:rPr>
          <w:rStyle w:val="NormalBold"/>
        </w:rPr>
        <w:t> </w:t>
      </w:r>
      <w:r>
        <w:t>P.</w:t>
      </w:r>
      <w:r>
        <w:rPr>
          <w:rStyle w:val="NormalBold"/>
        </w:rPr>
        <w:t> </w:t>
      </w:r>
      <w:r>
        <w:t>Costello, MP</w:t>
      </w:r>
      <w:r>
        <w:rPr>
          <w:rStyle w:val="NormalBold"/>
        </w:rPr>
        <w:t> </w:t>
      </w:r>
      <w:r>
        <w:t xml:space="preserve">— Uranium Sector — </w:t>
      </w:r>
      <w:r>
        <w:rPr>
          <w:rStyle w:val="NormalBold"/>
        </w:rPr>
        <w:t>19 November 1996</w:t>
      </w:r>
      <w:r>
        <w:t>.</w:t>
      </w:r>
    </w:p>
    <w:p w:rsidR="00000000" w:rsidRDefault="00590668" w:rsidP="00AF7DF0">
      <w:pPr>
        <w:numPr>
          <w:ilvl w:val="0"/>
          <w:numId w:val="36"/>
        </w:numPr>
      </w:pPr>
      <w:r>
        <w:lastRenderedPageBreak/>
        <w:t>Statement by the Treasurer, the Hon.</w:t>
      </w:r>
      <w:r>
        <w:rPr>
          <w:rStyle w:val="NormalBold"/>
        </w:rPr>
        <w:t> </w:t>
      </w:r>
      <w:r>
        <w:t>P.</w:t>
      </w:r>
      <w:r>
        <w:rPr>
          <w:rStyle w:val="NormalBold"/>
        </w:rPr>
        <w:t> </w:t>
      </w:r>
      <w:r>
        <w:t>Costello, MP</w:t>
      </w:r>
      <w:r>
        <w:rPr>
          <w:rStyle w:val="NormalBold"/>
        </w:rPr>
        <w:t> </w:t>
      </w:r>
      <w:r>
        <w:t>— Rationalisation of Notification Thresholds</w:t>
      </w:r>
      <w:r>
        <w:t xml:space="preserve"> for Portfolio Investments in the Media Sector — </w:t>
      </w:r>
      <w:r>
        <w:rPr>
          <w:rStyle w:val="NormalBold"/>
        </w:rPr>
        <w:t>18 September 1996</w:t>
      </w:r>
      <w:r>
        <w:t>.</w:t>
      </w:r>
    </w:p>
    <w:p w:rsidR="00000000" w:rsidRDefault="00590668" w:rsidP="00AF7DF0">
      <w:pPr>
        <w:numPr>
          <w:ilvl w:val="0"/>
          <w:numId w:val="36"/>
        </w:numPr>
      </w:pPr>
      <w:r>
        <w:t>Statement by the Treasurer, the Hon.</w:t>
      </w:r>
      <w:r>
        <w:rPr>
          <w:rStyle w:val="NormalBold"/>
        </w:rPr>
        <w:t> </w:t>
      </w:r>
      <w:r>
        <w:t>R.</w:t>
      </w:r>
      <w:r>
        <w:rPr>
          <w:rStyle w:val="NormalBold"/>
        </w:rPr>
        <w:t> </w:t>
      </w:r>
      <w:r>
        <w:t>Willis, MP</w:t>
      </w:r>
      <w:r>
        <w:rPr>
          <w:rStyle w:val="NormalBold"/>
        </w:rPr>
        <w:t> </w:t>
      </w:r>
      <w:r>
        <w:t>— Government Response to the Reports by the Senate Select Committee on Certain Aspects of Foreign Ownership Decisions in Relation to</w:t>
      </w:r>
      <w:r>
        <w:t xml:space="preserve"> the Print Media — </w:t>
      </w:r>
      <w:r>
        <w:rPr>
          <w:rStyle w:val="NormalBold"/>
        </w:rPr>
        <w:t>26 September 1995</w:t>
      </w:r>
      <w:r>
        <w:t>.</w:t>
      </w:r>
    </w:p>
    <w:p w:rsidR="00000000" w:rsidRDefault="00590668" w:rsidP="00AF7DF0">
      <w:pPr>
        <w:numPr>
          <w:ilvl w:val="0"/>
          <w:numId w:val="36"/>
        </w:numPr>
      </w:pPr>
      <w:r>
        <w:t xml:space="preserve">Statement by the Treasurer, the Hon. J. Dawkins, MP — Foreign Investment Policy:  Mass Circulation Newspapers — </w:t>
      </w:r>
      <w:r>
        <w:rPr>
          <w:rStyle w:val="NormalBold"/>
        </w:rPr>
        <w:t>20</w:t>
      </w:r>
      <w:r>
        <w:t> </w:t>
      </w:r>
      <w:r>
        <w:rPr>
          <w:rStyle w:val="NormalBold"/>
        </w:rPr>
        <w:t>April</w:t>
      </w:r>
      <w:r>
        <w:t> </w:t>
      </w:r>
      <w:r>
        <w:rPr>
          <w:rStyle w:val="NormalBold"/>
        </w:rPr>
        <w:t>1993</w:t>
      </w:r>
      <w:r>
        <w:t>.</w:t>
      </w:r>
    </w:p>
    <w:p w:rsidR="00000000" w:rsidRDefault="00590668" w:rsidP="00AF7DF0">
      <w:pPr>
        <w:numPr>
          <w:ilvl w:val="0"/>
          <w:numId w:val="36"/>
        </w:numPr>
      </w:pPr>
      <w:r>
        <w:t>Statement by the Treasurer, the Hon. J. Dawkins, MP — Modification to Foreign Inv</w:t>
      </w:r>
      <w:r>
        <w:t>estment Policy. Residential Real Estate and Developed Non</w:t>
      </w:r>
      <w:r>
        <w:noBreakHyphen/>
        <w:t>Commercial Real Estate </w:t>
      </w:r>
      <w:r>
        <w:sym w:font="Symbol" w:char="F0BE"/>
      </w:r>
      <w:r>
        <w:t xml:space="preserve"> </w:t>
      </w:r>
      <w:r>
        <w:rPr>
          <w:rStyle w:val="NormalBold"/>
        </w:rPr>
        <w:t>1 April 1993</w:t>
      </w:r>
      <w:r>
        <w:t>.</w:t>
      </w:r>
    </w:p>
    <w:p w:rsidR="00000000" w:rsidRDefault="00590668" w:rsidP="00AF7DF0">
      <w:pPr>
        <w:numPr>
          <w:ilvl w:val="0"/>
          <w:numId w:val="36"/>
        </w:numPr>
      </w:pPr>
      <w:r>
        <w:t xml:space="preserve">Statement by the Treasurer, the Hon. J. Dawkins, MP — Economic Statement: Foreign Investment Policy Changes </w:t>
      </w:r>
      <w:r>
        <w:sym w:font="Symbol" w:char="F0BE"/>
      </w:r>
      <w:r>
        <w:t xml:space="preserve"> </w:t>
      </w:r>
      <w:r>
        <w:rPr>
          <w:rStyle w:val="NormalBold"/>
        </w:rPr>
        <w:t>26</w:t>
      </w:r>
      <w:r>
        <w:t> </w:t>
      </w:r>
      <w:r>
        <w:rPr>
          <w:rStyle w:val="NormalBold"/>
        </w:rPr>
        <w:t>February</w:t>
      </w:r>
      <w:r>
        <w:t> </w:t>
      </w:r>
      <w:r>
        <w:rPr>
          <w:rStyle w:val="NormalBold"/>
        </w:rPr>
        <w:t>1992</w:t>
      </w:r>
      <w:r>
        <w:t>.</w:t>
      </w:r>
    </w:p>
    <w:p w:rsidR="00000000" w:rsidRDefault="00590668" w:rsidP="00AF7DF0">
      <w:pPr>
        <w:numPr>
          <w:ilvl w:val="0"/>
          <w:numId w:val="36"/>
        </w:numPr>
      </w:pPr>
      <w:r>
        <w:t xml:space="preserve">Statement by the Treasurer, the Hon. J. Kerin, </w:t>
      </w:r>
      <w:r>
        <w:rPr>
          <w:smallCaps/>
        </w:rPr>
        <w:t>MP</w:t>
      </w:r>
      <w:r>
        <w:t xml:space="preserve"> — </w:t>
      </w:r>
      <w:r>
        <w:rPr>
          <w:smallCaps/>
        </w:rPr>
        <w:t>F</w:t>
      </w:r>
      <w:r>
        <w:t xml:space="preserve">oreign Investment in the Print Media — </w:t>
      </w:r>
      <w:r>
        <w:rPr>
          <w:rStyle w:val="NormalBold"/>
        </w:rPr>
        <w:t>10</w:t>
      </w:r>
      <w:r>
        <w:t> </w:t>
      </w:r>
      <w:r>
        <w:rPr>
          <w:rStyle w:val="NormalBold"/>
        </w:rPr>
        <w:t>October</w:t>
      </w:r>
      <w:r>
        <w:t> </w:t>
      </w:r>
      <w:r>
        <w:rPr>
          <w:rStyle w:val="NormalBold"/>
        </w:rPr>
        <w:t>1991</w:t>
      </w:r>
      <w:r>
        <w:t>.</w:t>
      </w:r>
    </w:p>
    <w:p w:rsidR="00000000" w:rsidRDefault="00590668" w:rsidP="00AF7DF0">
      <w:pPr>
        <w:numPr>
          <w:ilvl w:val="0"/>
          <w:numId w:val="36"/>
        </w:numPr>
      </w:pPr>
      <w:r>
        <w:t>Statement by the Treasurer, the Hon. J. Kerin, MP — Foreign Investment Policy:  Integrated Tourism Reso</w:t>
      </w:r>
      <w:r>
        <w:t xml:space="preserve">rts — </w:t>
      </w:r>
      <w:r>
        <w:rPr>
          <w:rStyle w:val="NormalBold"/>
        </w:rPr>
        <w:t>25 July</w:t>
      </w:r>
      <w:r>
        <w:t> </w:t>
      </w:r>
      <w:r>
        <w:rPr>
          <w:rStyle w:val="NormalBold"/>
        </w:rPr>
        <w:t>1991</w:t>
      </w:r>
      <w:r>
        <w:t>.</w:t>
      </w:r>
    </w:p>
    <w:p w:rsidR="00000000" w:rsidRDefault="00590668" w:rsidP="00AF7DF0">
      <w:pPr>
        <w:numPr>
          <w:ilvl w:val="0"/>
          <w:numId w:val="36"/>
        </w:numPr>
      </w:pPr>
      <w:r>
        <w:t xml:space="preserve">Statement by the Treasurer, the Hon. Paul Keating, MP — Proclamation of Foreign Takeovers Amendment Act 1989 and Gazettal of Foreign Acquisitions and Takeovers Regulations — </w:t>
      </w:r>
      <w:r>
        <w:rPr>
          <w:rStyle w:val="NormalBold"/>
        </w:rPr>
        <w:t>6 July 1989</w:t>
      </w:r>
      <w:r>
        <w:t>.</w:t>
      </w:r>
    </w:p>
    <w:p w:rsidR="00000000" w:rsidRDefault="00590668" w:rsidP="00AF7DF0">
      <w:pPr>
        <w:numPr>
          <w:ilvl w:val="0"/>
          <w:numId w:val="36"/>
        </w:numPr>
      </w:pPr>
      <w:r>
        <w:t xml:space="preserve">Statement by the Treasurer, the Hon. Paul Keating, MP — Foreign Investment Policy:  New Oil and Gas Developments </w:t>
      </w:r>
      <w:r>
        <w:sym w:font="Symbol" w:char="F0BE"/>
      </w:r>
      <w:r>
        <w:t xml:space="preserve"> </w:t>
      </w:r>
      <w:r>
        <w:rPr>
          <w:rStyle w:val="NormalBold"/>
        </w:rPr>
        <w:t>20 January 1988</w:t>
      </w:r>
      <w:r>
        <w:t>.</w:t>
      </w:r>
    </w:p>
    <w:p w:rsidR="00000000" w:rsidRDefault="00590668" w:rsidP="00AF7DF0">
      <w:pPr>
        <w:numPr>
          <w:ilvl w:val="0"/>
          <w:numId w:val="36"/>
        </w:numPr>
      </w:pPr>
      <w:r>
        <w:t>Statement by the Treasurer, the Hon. Paul Keating, MP — Foreign Investment Policy: Develo</w:t>
      </w:r>
      <w:r>
        <w:t>ped Residential Real Estate </w:t>
      </w:r>
      <w:r>
        <w:sym w:font="Symbol" w:char="F0BE"/>
      </w:r>
      <w:r>
        <w:t xml:space="preserve"> </w:t>
      </w:r>
      <w:r>
        <w:rPr>
          <w:rStyle w:val="NormalBold"/>
        </w:rPr>
        <w:t>29 September 1987</w:t>
      </w:r>
      <w:r>
        <w:t>.</w:t>
      </w:r>
    </w:p>
    <w:p w:rsidR="00000000" w:rsidRDefault="00590668" w:rsidP="00AF7DF0">
      <w:pPr>
        <w:numPr>
          <w:ilvl w:val="0"/>
          <w:numId w:val="36"/>
        </w:numPr>
      </w:pPr>
      <w:r>
        <w:t xml:space="preserve">Statement by the Treasurer, the Hon. Paul Keating, MP — Thin Capitalisation and Corporate Restructures in relation to Foreign Investment Policy — </w:t>
      </w:r>
      <w:r>
        <w:rPr>
          <w:rStyle w:val="NormalBold"/>
        </w:rPr>
        <w:t>30 April 1987</w:t>
      </w:r>
      <w:r>
        <w:t>.</w:t>
      </w:r>
    </w:p>
    <w:p w:rsidR="00000000" w:rsidRDefault="00590668" w:rsidP="00AF7DF0">
      <w:pPr>
        <w:numPr>
          <w:ilvl w:val="0"/>
          <w:numId w:val="36"/>
        </w:numPr>
      </w:pPr>
      <w:r>
        <w:t>Statem</w:t>
      </w:r>
      <w:r>
        <w:t xml:space="preserve">ent by the Treasurer, the Hon. Paul Keating, MP — Further Liberalisation of Foreign Investment Policy — </w:t>
      </w:r>
      <w:r>
        <w:rPr>
          <w:rStyle w:val="NormalBold"/>
        </w:rPr>
        <w:t>30</w:t>
      </w:r>
      <w:r>
        <w:t> </w:t>
      </w:r>
      <w:r>
        <w:rPr>
          <w:rStyle w:val="NormalBold"/>
        </w:rPr>
        <w:t>April</w:t>
      </w:r>
      <w:r>
        <w:t> </w:t>
      </w:r>
      <w:r>
        <w:rPr>
          <w:rStyle w:val="NormalBold"/>
        </w:rPr>
        <w:t>1987</w:t>
      </w:r>
      <w:r>
        <w:t>.</w:t>
      </w:r>
    </w:p>
    <w:p w:rsidR="00000000" w:rsidRDefault="00590668" w:rsidP="00AF7DF0">
      <w:pPr>
        <w:numPr>
          <w:ilvl w:val="0"/>
          <w:numId w:val="36"/>
        </w:numPr>
      </w:pPr>
      <w:r>
        <w:lastRenderedPageBreak/>
        <w:t xml:space="preserve">Statement by the Treasurer, the Hon. Paul Keating, MP — Foreign Investment Policy Relaxations — </w:t>
      </w:r>
      <w:r>
        <w:rPr>
          <w:rStyle w:val="NormalBold"/>
        </w:rPr>
        <w:t>28 July</w:t>
      </w:r>
      <w:r>
        <w:t> </w:t>
      </w:r>
      <w:r>
        <w:rPr>
          <w:rStyle w:val="NormalBold"/>
        </w:rPr>
        <w:t>1986</w:t>
      </w:r>
      <w:r>
        <w:t>.</w:t>
      </w:r>
    </w:p>
    <w:p w:rsidR="00000000" w:rsidRDefault="00590668" w:rsidP="00AF7DF0">
      <w:pPr>
        <w:numPr>
          <w:ilvl w:val="0"/>
          <w:numId w:val="36"/>
        </w:numPr>
      </w:pPr>
      <w:r>
        <w:t xml:space="preserve">Statement by the </w:t>
      </w:r>
      <w:r>
        <w:t xml:space="preserve">Acting Treasurer, the Hon. Chris Hurford, MP — Economic and Rural Policy Statement — </w:t>
      </w:r>
      <w:r>
        <w:rPr>
          <w:rStyle w:val="NormalBold"/>
        </w:rPr>
        <w:t>15 April</w:t>
      </w:r>
      <w:r>
        <w:t> </w:t>
      </w:r>
      <w:r>
        <w:rPr>
          <w:rStyle w:val="NormalBold"/>
        </w:rPr>
        <w:t>1986</w:t>
      </w:r>
      <w:r>
        <w:t>.</w:t>
      </w:r>
    </w:p>
    <w:p w:rsidR="00000000" w:rsidRDefault="00590668" w:rsidP="00AF7DF0">
      <w:pPr>
        <w:numPr>
          <w:ilvl w:val="0"/>
          <w:numId w:val="36"/>
        </w:numPr>
      </w:pPr>
      <w:r>
        <w:t xml:space="preserve">Statement by the Acting Treasurer, the Hon. Chris Hurford, MP — Review of Foreign Investment Policy — </w:t>
      </w:r>
      <w:r>
        <w:rPr>
          <w:rStyle w:val="NormalBold"/>
        </w:rPr>
        <w:t>29 October</w:t>
      </w:r>
      <w:r>
        <w:t> </w:t>
      </w:r>
      <w:r>
        <w:rPr>
          <w:rStyle w:val="NormalBold"/>
        </w:rPr>
        <w:t>1985</w:t>
      </w:r>
      <w:r>
        <w:t>.</w:t>
      </w:r>
    </w:p>
    <w:p w:rsidR="00000000" w:rsidRDefault="00590668" w:rsidP="00AF7DF0">
      <w:pPr>
        <w:numPr>
          <w:ilvl w:val="0"/>
          <w:numId w:val="36"/>
        </w:numPr>
      </w:pPr>
      <w:r>
        <w:t>Statement by the Treasurer,</w:t>
      </w:r>
      <w:r>
        <w:t xml:space="preserve"> the Hon. Paul Keating, MP — New Banking Authorities — </w:t>
      </w:r>
      <w:r>
        <w:rPr>
          <w:rStyle w:val="NormalBold"/>
        </w:rPr>
        <w:t>27 February</w:t>
      </w:r>
      <w:r>
        <w:t> </w:t>
      </w:r>
      <w:r>
        <w:rPr>
          <w:rStyle w:val="NormalBold"/>
        </w:rPr>
        <w:t>1985</w:t>
      </w:r>
      <w:r>
        <w:t>.</w:t>
      </w:r>
    </w:p>
    <w:p w:rsidR="00000000" w:rsidRDefault="00590668" w:rsidP="00AF7DF0">
      <w:pPr>
        <w:numPr>
          <w:ilvl w:val="0"/>
          <w:numId w:val="36"/>
        </w:numPr>
      </w:pPr>
      <w:r>
        <w:t xml:space="preserve">Statement by the Treasurer, the Hon. Paul Keating, MP — Foreign Investment Policy and Stockbroking — </w:t>
      </w:r>
      <w:r>
        <w:rPr>
          <w:rStyle w:val="NormalBold"/>
        </w:rPr>
        <w:t>18 December</w:t>
      </w:r>
      <w:r>
        <w:t> </w:t>
      </w:r>
      <w:r>
        <w:rPr>
          <w:rStyle w:val="NormalBold"/>
        </w:rPr>
        <w:t>1984</w:t>
      </w:r>
      <w:r>
        <w:t>.</w:t>
      </w:r>
    </w:p>
    <w:p w:rsidR="00000000" w:rsidRDefault="00590668" w:rsidP="00AF7DF0">
      <w:pPr>
        <w:numPr>
          <w:ilvl w:val="0"/>
          <w:numId w:val="36"/>
        </w:numPr>
      </w:pPr>
      <w:r>
        <w:t>Statement by the Treasurer, the Hon. Paul Keating, MP </w:t>
      </w:r>
      <w:r>
        <w:t xml:space="preserve">— Participation in Banking in Australia and Other Issues of Financial Deregulation — </w:t>
      </w:r>
      <w:r>
        <w:rPr>
          <w:rStyle w:val="NormalBold"/>
        </w:rPr>
        <w:t>10 September 1984</w:t>
      </w:r>
      <w:r>
        <w:t>.</w:t>
      </w:r>
    </w:p>
    <w:p w:rsidR="00000000" w:rsidRDefault="00590668" w:rsidP="00AF7DF0">
      <w:pPr>
        <w:numPr>
          <w:ilvl w:val="0"/>
          <w:numId w:val="36"/>
        </w:numPr>
      </w:pPr>
      <w:r>
        <w:t xml:space="preserve">Statement by the Treasurer, the Hon. Paul Keating, MP — Foreign Investment Policy and Stockbroking — </w:t>
      </w:r>
      <w:r>
        <w:rPr>
          <w:rStyle w:val="NormalBold"/>
        </w:rPr>
        <w:t>18 April</w:t>
      </w:r>
      <w:r>
        <w:t> </w:t>
      </w:r>
      <w:r>
        <w:rPr>
          <w:rStyle w:val="NormalBold"/>
        </w:rPr>
        <w:t>1984</w:t>
      </w:r>
      <w:r>
        <w:t>.</w:t>
      </w:r>
    </w:p>
    <w:p w:rsidR="00000000" w:rsidRDefault="00590668" w:rsidP="00AF7DF0">
      <w:pPr>
        <w:numPr>
          <w:ilvl w:val="0"/>
          <w:numId w:val="36"/>
        </w:numPr>
      </w:pPr>
      <w:r>
        <w:t xml:space="preserve">Statement by the Treasurer, the Hon. Paul Keating, MP — Review of Foreign Investment Policy — </w:t>
      </w:r>
      <w:r>
        <w:rPr>
          <w:rStyle w:val="NormalBold"/>
        </w:rPr>
        <w:t>20 December</w:t>
      </w:r>
      <w:r>
        <w:t> </w:t>
      </w:r>
      <w:r>
        <w:rPr>
          <w:rStyle w:val="NormalBold"/>
        </w:rPr>
        <w:t>1983</w:t>
      </w:r>
      <w:r>
        <w:t>.</w:t>
      </w:r>
    </w:p>
    <w:p w:rsidR="00000000" w:rsidRDefault="00590668">
      <w:pPr>
        <w:pStyle w:val="Heading2"/>
      </w:pPr>
      <w:r>
        <w:br w:type="page"/>
      </w:r>
      <w:r>
        <w:lastRenderedPageBreak/>
        <w:t>Publications</w:t>
      </w:r>
    </w:p>
    <w:p w:rsidR="00000000" w:rsidRDefault="00590668">
      <w:pPr>
        <w:pStyle w:val="Bullet"/>
      </w:pPr>
      <w:r>
        <w:t>Foreign Investment Review Board Reports: 1977 to 2002.</w:t>
      </w:r>
    </w:p>
    <w:p w:rsidR="00000000" w:rsidRDefault="00590668">
      <w:pPr>
        <w:pStyle w:val="Bullet"/>
      </w:pPr>
      <w:r>
        <w:t>Australia’s Foreign Investment Policy — A Guide for Investors, Revise</w:t>
      </w:r>
      <w:r>
        <w:t>d September 1992.</w:t>
      </w:r>
    </w:p>
    <w:p w:rsidR="00000000" w:rsidRDefault="00590668">
      <w:pPr>
        <w:pStyle w:val="Bullet"/>
      </w:pPr>
      <w:r>
        <w:t>Foreign Investment Policy and Administration — Outline for Conference of Australian Institute of Company Directors held in Adelaide 13</w:t>
      </w:r>
      <w:r>
        <w:noBreakHyphen/>
        <w:t>14 May 1999.</w:t>
      </w:r>
    </w:p>
    <w:p w:rsidR="00000000" w:rsidRDefault="00590668">
      <w:pPr>
        <w:pStyle w:val="Bullet"/>
      </w:pPr>
      <w:r>
        <w:t>Guidelines relating to Australia’s Foreign Investment Policy:</w:t>
      </w:r>
    </w:p>
    <w:p w:rsidR="00000000" w:rsidRDefault="00590668" w:rsidP="00AF7DF0">
      <w:pPr>
        <w:numPr>
          <w:ilvl w:val="0"/>
          <w:numId w:val="33"/>
        </w:numPr>
        <w:spacing w:after="120"/>
        <w:jc w:val="left"/>
      </w:pPr>
      <w:r>
        <w:t>General Summary;</w:t>
      </w:r>
    </w:p>
    <w:p w:rsidR="00000000" w:rsidRDefault="00590668" w:rsidP="00AF7DF0">
      <w:pPr>
        <w:numPr>
          <w:ilvl w:val="0"/>
          <w:numId w:val="34"/>
        </w:numPr>
        <w:spacing w:after="120"/>
        <w:jc w:val="left"/>
      </w:pPr>
      <w:r>
        <w:t>Urban Land; and</w:t>
      </w:r>
    </w:p>
    <w:p w:rsidR="00000000" w:rsidRDefault="00590668" w:rsidP="00AF7DF0">
      <w:pPr>
        <w:numPr>
          <w:ilvl w:val="0"/>
          <w:numId w:val="34"/>
        </w:numPr>
        <w:spacing w:after="120"/>
        <w:jc w:val="left"/>
      </w:pPr>
      <w:r>
        <w:t>Primary Production Businesses and Rural Land</w:t>
      </w:r>
    </w:p>
    <w:p w:rsidR="00000000" w:rsidRDefault="00590668">
      <w:pPr>
        <w:numPr>
          <w:ilvl w:val="12"/>
          <w:numId w:val="0"/>
        </w:numPr>
        <w:jc w:val="left"/>
      </w:pPr>
      <w:r>
        <w:t>(updated regularly)</w:t>
      </w:r>
    </w:p>
    <w:p w:rsidR="00000000" w:rsidRDefault="00590668">
      <w:r>
        <w:t>Current information on Australia’s foreign investment policy is available on the internet at: http://www.firb.gov.au.</w:t>
      </w:r>
    </w:p>
    <w:p w:rsidR="00000000" w:rsidRDefault="00590668">
      <w:pPr>
        <w:sectPr w:rsidR="00000000">
          <w:headerReference w:type="even" r:id="rId99"/>
          <w:headerReference w:type="default" r:id="rId100"/>
          <w:footerReference w:type="even" r:id="rId101"/>
          <w:footerReference w:type="default" r:id="rId102"/>
          <w:headerReference w:type="first" r:id="rId103"/>
          <w:footerReference w:type="first" r:id="rId104"/>
          <w:pgSz w:w="11907" w:h="16840" w:code="9"/>
          <w:pgMar w:top="2466" w:right="2098" w:bottom="2466" w:left="2098" w:header="1899" w:footer="1899" w:gutter="0"/>
          <w:cols w:space="709"/>
          <w:titlePg/>
        </w:sectPr>
      </w:pPr>
    </w:p>
    <w:p w:rsidR="00000000" w:rsidRDefault="00590668">
      <w:pPr>
        <w:pStyle w:val="chattach"/>
        <w:rPr>
          <w:i w:val="0"/>
          <w:iCs w:val="0"/>
        </w:rPr>
      </w:pPr>
      <w:r>
        <w:rPr>
          <w:i w:val="0"/>
          <w:iCs w:val="0"/>
        </w:rPr>
        <w:lastRenderedPageBreak/>
        <w:t>APPENDIX C</w:t>
      </w:r>
    </w:p>
    <w:p w:rsidR="00000000" w:rsidRDefault="00590668">
      <w:pPr>
        <w:pStyle w:val="Heading1"/>
        <w:spacing w:before="240"/>
      </w:pPr>
      <w:r>
        <w:t>Press releases — 2001-02</w:t>
      </w:r>
    </w:p>
    <w:p w:rsidR="00000000" w:rsidRDefault="00590668">
      <w:pPr>
        <w:ind w:left="1701" w:hanging="1701"/>
      </w:pPr>
      <w:r>
        <w:t>No. 2002/018</w:t>
      </w:r>
      <w:r>
        <w:tab/>
        <w:t>Statement by the Treasurer, the Hon. P. Costello, MP </w:t>
      </w:r>
      <w:r>
        <w:sym w:font="Symbol" w:char="F0BE"/>
      </w:r>
      <w:r>
        <w:t xml:space="preserve"> Foreign Investment Review Board: Re-Appointment of Mr John Phillips, AM </w:t>
      </w:r>
      <w:r>
        <w:sym w:font="Symbol" w:char="F0BE"/>
      </w:r>
      <w:r>
        <w:t xml:space="preserve"> </w:t>
      </w:r>
      <w:r>
        <w:rPr>
          <w:rStyle w:val="NormalBold"/>
        </w:rPr>
        <w:t>24</w:t>
      </w:r>
      <w:r>
        <w:t> </w:t>
      </w:r>
      <w:r>
        <w:rPr>
          <w:rStyle w:val="NormalBold"/>
        </w:rPr>
        <w:t>April</w:t>
      </w:r>
      <w:r>
        <w:t> </w:t>
      </w:r>
      <w:r>
        <w:rPr>
          <w:rStyle w:val="NormalBold"/>
        </w:rPr>
        <w:t>2002</w:t>
      </w:r>
      <w:r>
        <w:t>.</w:t>
      </w:r>
    </w:p>
    <w:p w:rsidR="00000000" w:rsidRDefault="00590668">
      <w:pPr>
        <w:ind w:left="1701" w:hanging="1701"/>
      </w:pPr>
      <w:r>
        <w:t>No. 2002/015</w:t>
      </w:r>
      <w:r>
        <w:tab/>
        <w:t>S</w:t>
      </w:r>
      <w:r>
        <w:t>tatement by the Treasurer, the Hon. P. Costello, MP </w:t>
      </w:r>
      <w:r>
        <w:sym w:font="Symbol" w:char="F0BE"/>
      </w:r>
      <w:r>
        <w:t xml:space="preserve"> No Objections Raised to Mitsui’s Acquisition of Remaining Interest in Moura Mine </w:t>
      </w:r>
      <w:r>
        <w:sym w:font="Symbol" w:char="F0BE"/>
      </w:r>
      <w:r>
        <w:t xml:space="preserve"> </w:t>
      </w:r>
      <w:r>
        <w:rPr>
          <w:rStyle w:val="NormalBold"/>
        </w:rPr>
        <w:t>12</w:t>
      </w:r>
      <w:r>
        <w:t> </w:t>
      </w:r>
      <w:r>
        <w:rPr>
          <w:rStyle w:val="NormalBold"/>
        </w:rPr>
        <w:t>April</w:t>
      </w:r>
      <w:r>
        <w:t> </w:t>
      </w:r>
      <w:r>
        <w:rPr>
          <w:rStyle w:val="NormalBold"/>
        </w:rPr>
        <w:t>2002</w:t>
      </w:r>
      <w:r>
        <w:t>.</w:t>
      </w:r>
    </w:p>
    <w:p w:rsidR="00000000" w:rsidRDefault="00590668">
      <w:pPr>
        <w:ind w:left="1701" w:hanging="1701"/>
      </w:pPr>
      <w:r>
        <w:t>No. 2001/001</w:t>
      </w:r>
      <w:r>
        <w:tab/>
        <w:t xml:space="preserve">Statement by the Parliamentary </w:t>
      </w:r>
      <w:r>
        <w:t>Secretary to the Treasurer, Senator the Hon. Ian Campbell </w:t>
      </w:r>
      <w:r>
        <w:sym w:font="Symbol" w:char="F0BE"/>
      </w:r>
      <w:r>
        <w:t xml:space="preserve"> Foreign Investment Review Board Report: 2000</w:t>
      </w:r>
      <w:r>
        <w:noBreakHyphen/>
        <w:t>2001 </w:t>
      </w:r>
      <w:r>
        <w:sym w:font="Symbol" w:char="F0BE"/>
      </w:r>
      <w:r>
        <w:t xml:space="preserve"> </w:t>
      </w:r>
      <w:r>
        <w:rPr>
          <w:rStyle w:val="NormalBold"/>
        </w:rPr>
        <w:t>19</w:t>
      </w:r>
      <w:r>
        <w:t> </w:t>
      </w:r>
      <w:r>
        <w:rPr>
          <w:rStyle w:val="NormalBold"/>
        </w:rPr>
        <w:t>December</w:t>
      </w:r>
      <w:r>
        <w:t> </w:t>
      </w:r>
      <w:r>
        <w:rPr>
          <w:rStyle w:val="NormalBold"/>
        </w:rPr>
        <w:t>2001</w:t>
      </w:r>
      <w:r>
        <w:t>.</w:t>
      </w:r>
    </w:p>
    <w:p w:rsidR="00000000" w:rsidRDefault="00590668">
      <w:pPr>
        <w:ind w:left="1701" w:hanging="1701"/>
      </w:pPr>
      <w:r>
        <w:t>No. 2001/063</w:t>
      </w:r>
      <w:r>
        <w:tab/>
        <w:t>Statement by the Treasurer, the Hon. P. Costello, MP </w:t>
      </w:r>
      <w:r>
        <w:sym w:font="Symbol" w:char="F0BE"/>
      </w:r>
      <w:r>
        <w:t xml:space="preserve"> Singapore Telecommunications Limited </w:t>
      </w:r>
      <w:r>
        <w:sym w:font="Symbol" w:char="F0BE"/>
      </w:r>
      <w:r>
        <w:t xml:space="preserve"> Acquisition of Cable &amp; Wireless Optus Limited </w:t>
      </w:r>
      <w:r>
        <w:sym w:font="Symbol" w:char="F0BE"/>
      </w:r>
      <w:r>
        <w:t xml:space="preserve"> </w:t>
      </w:r>
      <w:r>
        <w:rPr>
          <w:rStyle w:val="NormalBold"/>
        </w:rPr>
        <w:t>28</w:t>
      </w:r>
      <w:r>
        <w:t> </w:t>
      </w:r>
      <w:r>
        <w:rPr>
          <w:rStyle w:val="NormalBold"/>
        </w:rPr>
        <w:t>August</w:t>
      </w:r>
      <w:r>
        <w:t> </w:t>
      </w:r>
      <w:r>
        <w:rPr>
          <w:rStyle w:val="NormalBold"/>
        </w:rPr>
        <w:t>2001</w:t>
      </w:r>
      <w:r>
        <w:t>.</w:t>
      </w:r>
    </w:p>
    <w:p w:rsidR="00000000" w:rsidRDefault="00590668">
      <w:pPr>
        <w:ind w:left="1701" w:hanging="1701"/>
      </w:pPr>
      <w:r>
        <w:t>No. 2001/060</w:t>
      </w:r>
      <w:r>
        <w:tab/>
        <w:t>Statement by the Treasurer, the Hon. P. Costello</w:t>
      </w:r>
      <w:r>
        <w:t>, MP </w:t>
      </w:r>
      <w:r>
        <w:sym w:font="Symbol" w:char="F0BE"/>
      </w:r>
      <w:r>
        <w:t xml:space="preserve"> Singapore Telecommunications Limited </w:t>
      </w:r>
      <w:r>
        <w:sym w:font="Symbol" w:char="F0BE"/>
      </w:r>
      <w:r>
        <w:t xml:space="preserve"> Application for Foreign Investment Approval to Acquire Cable &amp; Wireless Optus Limited </w:t>
      </w:r>
      <w:r>
        <w:sym w:font="Symbol" w:char="F0BE"/>
      </w:r>
      <w:r>
        <w:t xml:space="preserve"> </w:t>
      </w:r>
      <w:r>
        <w:rPr>
          <w:rStyle w:val="NormalBold"/>
        </w:rPr>
        <w:t>22</w:t>
      </w:r>
      <w:r>
        <w:t> </w:t>
      </w:r>
      <w:r>
        <w:rPr>
          <w:rStyle w:val="NormalBold"/>
        </w:rPr>
        <w:t>August</w:t>
      </w:r>
      <w:r>
        <w:t> </w:t>
      </w:r>
      <w:r>
        <w:rPr>
          <w:rStyle w:val="NormalBold"/>
        </w:rPr>
        <w:t>2001</w:t>
      </w:r>
      <w:r>
        <w:t>.</w:t>
      </w:r>
    </w:p>
    <w:p w:rsidR="00000000" w:rsidRDefault="00590668">
      <w:pPr>
        <w:ind w:left="1701" w:hanging="1701"/>
      </w:pPr>
      <w:r>
        <w:t>No. 2001/055</w:t>
      </w:r>
      <w:r>
        <w:tab/>
      </w:r>
      <w:r>
        <w:t>Statement by the Treasurer, the Hon. P. Costello, MP </w:t>
      </w:r>
      <w:r>
        <w:sym w:font="Symbol" w:char="F0BE"/>
      </w:r>
      <w:r>
        <w:t xml:space="preserve"> Foreign Investment Approval of Brambles Industries Limited </w:t>
      </w:r>
      <w:r>
        <w:sym w:font="Symbol" w:char="F0BE"/>
      </w:r>
      <w:r>
        <w:t xml:space="preserve"> GKN Plc </w:t>
      </w:r>
      <w:r>
        <w:sym w:font="Symbol" w:char="F0BE"/>
      </w:r>
      <w:r>
        <w:t xml:space="preserve"> </w:t>
      </w:r>
      <w:r>
        <w:rPr>
          <w:rStyle w:val="NormalBold"/>
        </w:rPr>
        <w:t>26 July 2001</w:t>
      </w:r>
      <w:r>
        <w:t>.</w:t>
      </w:r>
    </w:p>
    <w:p w:rsidR="00000000" w:rsidRDefault="00590668">
      <w:pPr>
        <w:ind w:left="1701" w:hanging="1701"/>
        <w:sectPr w:rsidR="00000000">
          <w:headerReference w:type="default" r:id="rId105"/>
          <w:footerReference w:type="default" r:id="rId106"/>
          <w:pgSz w:w="11907" w:h="16840" w:code="9"/>
          <w:pgMar w:top="2466" w:right="2098" w:bottom="2466" w:left="2098" w:header="1899" w:footer="1899" w:gutter="0"/>
          <w:cols w:space="709"/>
        </w:sectPr>
      </w:pPr>
    </w:p>
    <w:p w:rsidR="00000000" w:rsidRDefault="00590668">
      <w:pPr>
        <w:pStyle w:val="chattach"/>
        <w:rPr>
          <w:i w:val="0"/>
          <w:iCs w:val="0"/>
        </w:rPr>
      </w:pPr>
      <w:r>
        <w:rPr>
          <w:i w:val="0"/>
          <w:iCs w:val="0"/>
        </w:rPr>
        <w:lastRenderedPageBreak/>
        <w:t>APPENDIX D</w:t>
      </w:r>
    </w:p>
    <w:p w:rsidR="00000000" w:rsidRDefault="00590668">
      <w:pPr>
        <w:pStyle w:val="Heading1"/>
        <w:spacing w:before="240"/>
      </w:pPr>
      <w:r>
        <w:t>Chronology of policy measures</w:t>
      </w:r>
    </w:p>
    <w:p w:rsidR="00000000" w:rsidRDefault="00590668">
      <w:pPr>
        <w:pStyle w:val="Heading3"/>
      </w:pPr>
      <w:r>
        <w:t>3 May 2000</w:t>
      </w:r>
    </w:p>
    <w:p w:rsidR="00000000" w:rsidRDefault="00590668">
      <w:r>
        <w:t>The Aviation Legislation Amendment Bill (No. 1) 2000 increased the maximum percentage of equity permitted by a foreign airline in an Au</w:t>
      </w:r>
      <w:r>
        <w:t>stralian international carrier (other than Qantas) to 49 per cent. Previously a foreign airline was permitted to own up to 25 per cent.</w:t>
      </w:r>
    </w:p>
    <w:p w:rsidR="00000000" w:rsidRDefault="00590668">
      <w:r>
        <w:t>Note: In the case of Qantas, total foreign ownership is restricted to a maximum of 49 per cent in aggregate, with indivi</w:t>
      </w:r>
      <w:r>
        <w:t>dual holdings limited to 25 per cent and aggregate ownership by foreign airlines limited to 35 per cent. In addition, a number of national interest criteria must be satisfied, relating to the nationality of Board members and operational location of the ent</w:t>
      </w:r>
      <w:r>
        <w:t>erprise.</w:t>
      </w:r>
    </w:p>
    <w:p w:rsidR="00000000" w:rsidRDefault="00590668">
      <w:pPr>
        <w:pStyle w:val="Heading3"/>
      </w:pPr>
      <w:r>
        <w:t>29 October 1999</w:t>
      </w:r>
    </w:p>
    <w:p w:rsidR="00000000" w:rsidRDefault="00590668">
      <w:r>
        <w:t>The Government amended the policy concerning domestic civil aviation to allow foreign persons, including foreign airlines, to acquire up to 100 per cent of the equity of an Australian domestic airline, unless the acquisition is con</w:t>
      </w:r>
      <w:r>
        <w:t>trary to the national interest. Previously, foreign airlines flying to Australia were permitted to own up to 25 per cent of the equity in a domestic carrier individually or up to 40 per cent in aggregate.</w:t>
      </w:r>
    </w:p>
    <w:p w:rsidR="00000000" w:rsidRDefault="00590668">
      <w:pPr>
        <w:pStyle w:val="Heading3"/>
      </w:pPr>
      <w:r>
        <w:t>10 September 1999</w:t>
      </w:r>
    </w:p>
    <w:p w:rsidR="00000000" w:rsidRDefault="00590668">
      <w:r>
        <w:t>Numerous changes were made to the</w:t>
      </w:r>
      <w:r>
        <w:t xml:space="preserve"> </w:t>
      </w:r>
      <w:r>
        <w:rPr>
          <w:rStyle w:val="NormalItalic"/>
        </w:rPr>
        <w:t>Foreign Acquisitions and Takeovers Regulations 1989</w:t>
      </w:r>
      <w:r>
        <w:t>. These included changes to the notification thresholds, that is:</w:t>
      </w:r>
    </w:p>
    <w:p w:rsidR="00000000" w:rsidRDefault="00590668">
      <w:pPr>
        <w:pStyle w:val="Bullet"/>
      </w:pPr>
      <w:r>
        <w:t>increases in the notification threshold for foreign investment in existing businesses from $5 million ($3 million for rural businesses)</w:t>
      </w:r>
      <w:r>
        <w:t xml:space="preserve"> to $50 million;</w:t>
      </w:r>
    </w:p>
    <w:p w:rsidR="00000000" w:rsidRDefault="00590668">
      <w:pPr>
        <w:pStyle w:val="Bullet"/>
      </w:pPr>
      <w:r>
        <w:t>an increase in the notification threshold from $20 million to $50 million for the Australian assets of an offshore company where it is to be acquired by another offshore company;</w:t>
      </w:r>
    </w:p>
    <w:p w:rsidR="00000000" w:rsidRDefault="00590668">
      <w:pPr>
        <w:pStyle w:val="Bullet"/>
      </w:pPr>
      <w:r>
        <w:t xml:space="preserve">an increase in the notification threshold applying to </w:t>
      </w:r>
      <w:r>
        <w:t>the acquisition of developed non</w:t>
      </w:r>
      <w:r>
        <w:noBreakHyphen/>
        <w:t xml:space="preserve">residential commercial real estate (including certain lease arrangements) from $5 million to $50 million except where such </w:t>
      </w:r>
      <w:r>
        <w:lastRenderedPageBreak/>
        <w:t>properties are subject to heritage listing (in that case the threshold remains at $5 million).</w:t>
      </w:r>
    </w:p>
    <w:p w:rsidR="00000000" w:rsidRDefault="00590668">
      <w:pPr>
        <w:keepNext/>
        <w:spacing w:after="120"/>
      </w:pPr>
      <w:r>
        <w:t>Other</w:t>
      </w:r>
      <w:r>
        <w:t xml:space="preserve"> amendments to regulations specify:</w:t>
      </w:r>
    </w:p>
    <w:p w:rsidR="00000000" w:rsidRDefault="00590668">
      <w:pPr>
        <w:pStyle w:val="Bullet"/>
      </w:pPr>
      <w:r>
        <w:t>an exemption so that Australian citizens and their foreign spouses purchasing as joint tenants are no longer required to seek approval for purchases of residential real estate in Australia;</w:t>
      </w:r>
    </w:p>
    <w:p w:rsidR="00000000" w:rsidRDefault="00590668">
      <w:pPr>
        <w:pStyle w:val="Bullet"/>
      </w:pPr>
      <w:r>
        <w:t>an exemption to remove f</w:t>
      </w:r>
      <w:r>
        <w:t>oreign investment approval requirements for individuals who hold, or are entitled to hold, a special category visa, or who hold a permanent visa and invest in Australian residential real estate through Australian companies and trusts;</w:t>
      </w:r>
    </w:p>
    <w:p w:rsidR="00000000" w:rsidRDefault="00590668">
      <w:pPr>
        <w:pStyle w:val="Bullet"/>
      </w:pPr>
      <w:r>
        <w:t>an exemption for t</w:t>
      </w:r>
      <w:r>
        <w:t>he acquisition of interests in Australian urban land by foreign owned responsible entities of managed investment funds (under section 601EB of the Corporations Law) provided such investment is primarily for the benefit of scheme members ordinarily resident</w:t>
      </w:r>
      <w:r>
        <w:t xml:space="preserve"> in Australia;</w:t>
      </w:r>
    </w:p>
    <w:p w:rsidR="00000000" w:rsidRDefault="00590668">
      <w:pPr>
        <w:pStyle w:val="Bullet"/>
      </w:pPr>
      <w:r>
        <w:t>rules to permit the acquisition by foreign interests of strata</w:t>
      </w:r>
      <w:r>
        <w:noBreakHyphen/>
        <w:t>titled hotel rooms in designated hotels where each room is subject to a long</w:t>
      </w:r>
      <w:r>
        <w:noBreakHyphen/>
        <w:t>term (10 years or more) hotel management agreement and where management retains ownership of the c</w:t>
      </w:r>
      <w:r>
        <w:t>ommon property;</w:t>
      </w:r>
    </w:p>
    <w:p w:rsidR="00000000" w:rsidRDefault="00590668">
      <w:pPr>
        <w:pStyle w:val="Bullet"/>
      </w:pPr>
      <w:r>
        <w:t>rules to limit the exemption provided by newly designated Integrated Tourist Resorts so that the exemption from the normal foreign investment restrictions only applies to foreign purchasers of developed property which is subject to a lon</w:t>
      </w:r>
      <w:r>
        <w:t>g term lease to the resort/hotel operator making it available for tourist accommodation when not occupied by the owner; and</w:t>
      </w:r>
    </w:p>
    <w:p w:rsidR="00000000" w:rsidRDefault="00590668">
      <w:pPr>
        <w:pStyle w:val="Bullet"/>
      </w:pPr>
      <w:r>
        <w:t>rules to clarify the scope of a certificate of exemption issued by the Treasurer for foreign interests acquiring real estate off</w:t>
      </w:r>
      <w:r>
        <w:noBreakHyphen/>
      </w:r>
      <w:r>
        <w:t>the</w:t>
      </w:r>
      <w:r>
        <w:noBreakHyphen/>
        <w:t>plan, as provided in the existing regulation 3(e).</w:t>
      </w:r>
    </w:p>
    <w:p w:rsidR="00000000" w:rsidRDefault="00590668">
      <w:pPr>
        <w:pStyle w:val="Heading3"/>
      </w:pPr>
      <w:r>
        <w:t>1 April 1999</w:t>
      </w:r>
    </w:p>
    <w:p w:rsidR="00000000" w:rsidRDefault="00590668">
      <w:pPr>
        <w:rPr>
          <w:b/>
          <w:bCs/>
        </w:rPr>
      </w:pPr>
      <w:r>
        <w:t>The policy relating to applications by developers seeking advanced approval to sell up to 50 per </w:t>
      </w:r>
      <w:r>
        <w:t>cent of a development to foreign investors was altered so that only developers with ten or more (previously four or more) dwellings could apply for advanced approval (in special circumstances, advance approval may be given for developments consisting of be</w:t>
      </w:r>
      <w:r>
        <w:t xml:space="preserve">tween four and ten dwellings). The other change affecting this category was that the reporting </w:t>
      </w:r>
      <w:r>
        <w:lastRenderedPageBreak/>
        <w:t>requirements were relaxed so that developers are required to report all sales (that is, Australian and foreign) to the Board every twelve months (previously ever</w:t>
      </w:r>
      <w:r>
        <w:t>y six months) until all the dwellings in the development have been sold or occupied.</w:t>
      </w:r>
    </w:p>
    <w:p w:rsidR="00000000" w:rsidRDefault="00590668">
      <w:pPr>
        <w:pStyle w:val="Heading3"/>
      </w:pPr>
      <w:r>
        <w:t>14 August 1997</w:t>
      </w:r>
    </w:p>
    <w:p w:rsidR="00000000" w:rsidRDefault="00590668">
      <w:r>
        <w:t>The Treasurer announced the removal of foreign ownership restrictions that were specific to Optus and Vodafone. From 14 August 1997, all proposals by foreig</w:t>
      </w:r>
      <w:r>
        <w:t>n interests to invest in Optus and Vodafone are subject only to the generally applicable provisions of foreign investment policy. These general provisions also apply to new entrants to the telecommunications sector or investment in existing businesses in t</w:t>
      </w:r>
      <w:r>
        <w:t>hat sector. The announcement did not affect in any way the ownership restrictions in relation to Telstra.</w:t>
      </w:r>
    </w:p>
    <w:p w:rsidR="00000000" w:rsidRDefault="00590668">
      <w:pPr>
        <w:pStyle w:val="Heading3"/>
      </w:pPr>
      <w:r>
        <w:t>9 April 1997</w:t>
      </w:r>
    </w:p>
    <w:p w:rsidR="00000000" w:rsidRDefault="00590668">
      <w:r>
        <w:t>In releasing the Final Report of the Financial System Inquiry, the Treasurer announced the removal of the blanket prohibition on a foreig</w:t>
      </w:r>
      <w:r>
        <w:t xml:space="preserve">n takeover of any of the major banks and that any proposed foreign takeover or acquisition will need to be assessed, like any other proposed foreign takeover or acquisition, on the basis of its merits in accordance with the </w:t>
      </w:r>
      <w:r>
        <w:rPr>
          <w:rStyle w:val="NormalItalic"/>
        </w:rPr>
        <w:t>Foreign Acquisitions and Takeove</w:t>
      </w:r>
      <w:r>
        <w:rPr>
          <w:rStyle w:val="NormalItalic"/>
        </w:rPr>
        <w:t>rs Act 1975</w:t>
      </w:r>
      <w:r>
        <w:t>. In making these assessments, however, the Government will apply the principle (as concluded by the Inquiry) that any large scale transfer of Australian ownership of the financial system to foreign hands would be contrary to the national intere</w:t>
      </w:r>
      <w:r>
        <w:t>st.</w:t>
      </w:r>
    </w:p>
    <w:p w:rsidR="00000000" w:rsidRDefault="00590668">
      <w:pPr>
        <w:pStyle w:val="Heading3"/>
      </w:pPr>
      <w:r>
        <w:t>19 December 1996</w:t>
      </w:r>
    </w:p>
    <w:p w:rsidR="00000000" w:rsidRDefault="00590668">
      <w:r>
        <w:t xml:space="preserve">The </w:t>
      </w:r>
      <w:r>
        <w:rPr>
          <w:rStyle w:val="NormalItalic"/>
        </w:rPr>
        <w:t>Telstra (Dilution of Public Ownership) Act 1996</w:t>
      </w:r>
      <w:r>
        <w:t xml:space="preserve"> was assented to. The Act places limits on foreign ownership. Aggregate foreign ownership is to be restricted to 35 per cent of the one third equity to be sold and individual foreign i</w:t>
      </w:r>
      <w:r>
        <w:t>nvestors will be allowed to acquire a holding of no more than 5 per cent of that one third equity.</w:t>
      </w:r>
    </w:p>
    <w:p w:rsidR="00000000" w:rsidRDefault="00590668">
      <w:pPr>
        <w:pStyle w:val="Heading3"/>
      </w:pPr>
      <w:r>
        <w:t>19 November 1996</w:t>
      </w:r>
    </w:p>
    <w:p w:rsidR="00000000" w:rsidRDefault="00590668">
      <w:r>
        <w:t>The Treasurer announced the Government’s decision that foreign investment policy in relation to the uranium sector will be the policy that c</w:t>
      </w:r>
      <w:r>
        <w:t xml:space="preserve">urrently applies to the mining sector generally. This means that foreign investment above the notification thresholds in the uranium sector, such as the establishment of a </w:t>
      </w:r>
      <w:r>
        <w:lastRenderedPageBreak/>
        <w:t>new mine, will be subjected to the well established ‘contrary to the national intere</w:t>
      </w:r>
      <w:r>
        <w:t>st’ test and that no specific investment restrictions will apply.</w:t>
      </w:r>
    </w:p>
    <w:p w:rsidR="00000000" w:rsidRDefault="00590668">
      <w:pPr>
        <w:pStyle w:val="Heading3"/>
      </w:pPr>
      <w:r>
        <w:t>9 October 1996</w:t>
      </w:r>
    </w:p>
    <w:p w:rsidR="00000000" w:rsidRDefault="00590668">
      <w:r>
        <w:t xml:space="preserve">The </w:t>
      </w:r>
      <w:r>
        <w:rPr>
          <w:rStyle w:val="NormalItalic"/>
        </w:rPr>
        <w:t>Airports Act 1996</w:t>
      </w:r>
      <w:r>
        <w:t xml:space="preserve"> was assented to on 9 October 1996. This Act limits foreign ownership of airport operator companies to 49 per cent.</w:t>
      </w:r>
    </w:p>
    <w:p w:rsidR="00000000" w:rsidRDefault="00590668">
      <w:pPr>
        <w:pStyle w:val="Heading3"/>
      </w:pPr>
      <w:r>
        <w:t>18 September 1996</w:t>
      </w:r>
    </w:p>
    <w:p w:rsidR="00000000" w:rsidRDefault="00590668">
      <w:r>
        <w:t>The Treasurer announ</w:t>
      </w:r>
      <w:r>
        <w:t>ced the Government’s decision to lift to 5 per cent, with immediate effect, the notification threshold that applies to portfolio investments by foreign interests in the media sector. This change rationalised the notification thresholds for the media sector</w:t>
      </w:r>
      <w:r>
        <w:t xml:space="preserve"> so that all portfolio investments, not only in John Fairfax Holdings Ltd, are subject to the same 5 per cent notification threshold.</w:t>
      </w:r>
    </w:p>
    <w:p w:rsidR="00000000" w:rsidRDefault="00590668">
      <w:pPr>
        <w:pStyle w:val="Heading3"/>
      </w:pPr>
      <w:r>
        <w:t>26 September 1995</w:t>
      </w:r>
    </w:p>
    <w:p w:rsidR="00000000" w:rsidRDefault="00590668">
      <w:r>
        <w:t>The Treasurer announced that the limit on foreign ownership of provincial and suburban newspapers had be</w:t>
      </w:r>
      <w:r>
        <w:t>en increased from 30 per cent to less than 50 per cent for non</w:t>
      </w:r>
      <w:r>
        <w:noBreakHyphen/>
        <w:t>portfolio shareholdings.</w:t>
      </w:r>
    </w:p>
    <w:p w:rsidR="00000000" w:rsidRDefault="00590668">
      <w:pPr>
        <w:pStyle w:val="Heading3"/>
      </w:pPr>
      <w:r>
        <w:t>20 April 1993</w:t>
      </w:r>
    </w:p>
    <w:p w:rsidR="00000000" w:rsidRDefault="00590668">
      <w:r>
        <w:t xml:space="preserve">The Treasurer announced the Government’s decision to increase the maximum permitted aggregate foreign interest direct investment (that is, non portfolio) </w:t>
      </w:r>
      <w:r>
        <w:t>involvement in national and metropolitan newspapers to 30 per cent with any single foreign shareholder limited to a maximum of 25 per cent (and in that instance unrelated foreign interests would be allowed to have aggregate (non</w:t>
      </w:r>
      <w:r>
        <w:noBreakHyphen/>
        <w:t>portfolio) shareholdings of</w:t>
      </w:r>
      <w:r>
        <w:t xml:space="preserve"> a further 5 per cent).</w:t>
      </w:r>
    </w:p>
    <w:p w:rsidR="00000000" w:rsidRDefault="00590668">
      <w:pPr>
        <w:pStyle w:val="Heading3"/>
      </w:pPr>
      <w:r>
        <w:t>1 April 1993</w:t>
      </w:r>
    </w:p>
    <w:p w:rsidR="00000000" w:rsidRDefault="00590668">
      <w:pPr>
        <w:spacing w:after="120"/>
      </w:pPr>
      <w:r>
        <w:t>The Treasurer announced two changes to foreign investment policy:</w:t>
      </w:r>
    </w:p>
    <w:p w:rsidR="00000000" w:rsidRDefault="00590668">
      <w:pPr>
        <w:pStyle w:val="Bullet"/>
      </w:pPr>
      <w:r>
        <w:t>‘off the plan’ acquisitions to include acquisitions that are part of extensively refurbished buildings subject to the building’s use changing from non</w:t>
      </w:r>
      <w:r>
        <w:noBreakHyphen/>
        <w:t>residential to residential and the costs of refurbishment to be at least 50 per cent of total acquisition costs; and</w:t>
      </w:r>
    </w:p>
    <w:p w:rsidR="00000000" w:rsidRDefault="00590668">
      <w:pPr>
        <w:pStyle w:val="Bullet"/>
      </w:pPr>
      <w:r>
        <w:lastRenderedPageBreak/>
        <w:t>proposals by foreign interests to acquire developed non</w:t>
      </w:r>
      <w:r>
        <w:noBreakHyphen/>
        <w:t xml:space="preserve">residential commercial real estate were no longer required to have 50 per cent </w:t>
      </w:r>
      <w:r>
        <w:t>Australian equity. Prior to this change, acquisitions by foreign interests of developed non</w:t>
      </w:r>
      <w:r>
        <w:noBreakHyphen/>
        <w:t>residential commercial real estate were normally approved, unless judged contrary to the national interest, on the condition that the acquisition was being made wit</w:t>
      </w:r>
      <w:r>
        <w:t>h 50 per cent Australian equity participation. Where it could be demonstrated that 50 per cent Australian equity was not available on reasonable terms and conditions, proposals providing up to 100 per cent were approved.</w:t>
      </w:r>
    </w:p>
    <w:p w:rsidR="00000000" w:rsidRDefault="00590668">
      <w:pPr>
        <w:pStyle w:val="Heading3"/>
      </w:pPr>
      <w:r>
        <w:t>26 February 1992</w:t>
      </w:r>
    </w:p>
    <w:p w:rsidR="00000000" w:rsidRDefault="00590668">
      <w:r>
        <w:t>As part of the Gov</w:t>
      </w:r>
      <w:r>
        <w:t>ernment’s One Nation Economic Statement, further policy liberalisations were announced, namely:</w:t>
      </w:r>
    </w:p>
    <w:p w:rsidR="00000000" w:rsidRDefault="00590668">
      <w:pPr>
        <w:pStyle w:val="Bullet"/>
      </w:pPr>
      <w:r>
        <w:t>the Government would register, but normally raise no objections to proposals above the notification thresholds where the relevant total assets/total investme</w:t>
      </w:r>
      <w:r>
        <w:t>nt falls below $50 million. Notification thresholds are $3 million for purchases of rural properties, $5 million for acquisitions of substantial interests in other existing businesses, $10 million for the establishment of new businesses and $20 million for</w:t>
      </w:r>
      <w:r>
        <w:t xml:space="preserve"> offshore takeovers;</w:t>
      </w:r>
    </w:p>
    <w:p w:rsidR="00000000" w:rsidRDefault="00590668">
      <w:pPr>
        <w:pStyle w:val="Bullet"/>
      </w:pPr>
      <w:r>
        <w:t>the 50 per cent Australian equity and control guideline for participation in new mining projects, and the economic benefits test for takeovers of existing mining businesses, were abolished; and</w:t>
      </w:r>
    </w:p>
    <w:p w:rsidR="00000000" w:rsidRDefault="00590668">
      <w:pPr>
        <w:pStyle w:val="Bullet"/>
      </w:pPr>
      <w:r>
        <w:t xml:space="preserve">that new banking authorities would </w:t>
      </w:r>
      <w:r>
        <w:t>be issued to foreign owned banks where the Reserve Bank is satisfied the bank and its home supervisor are of sufficient standing, and where the bank agrees to comply with Reserve Bank prudential supervision and arrangements. Moreover, foreign owned banks w</w:t>
      </w:r>
      <w:r>
        <w:t>ill be allowed to bid for the smaller banks (if available for sale), that is, for banks other than the four majors.</w:t>
      </w:r>
    </w:p>
    <w:p w:rsidR="00000000" w:rsidRDefault="00590668">
      <w:pPr>
        <w:pStyle w:val="Heading3"/>
      </w:pPr>
      <w:r>
        <w:t>25 July 1991</w:t>
      </w:r>
    </w:p>
    <w:p w:rsidR="00000000" w:rsidRDefault="00590668">
      <w:r>
        <w:t xml:space="preserve">The Government decided that foreign investors may acquire any residential real estate (vacant land for development, units off </w:t>
      </w:r>
      <w:r>
        <w:t>the plan, or established properties) within a designated Integrated Tourism Resort (ITR) without the need to seek approval under the Foreign Acquisitions and Takeovers Act. The ITR exemption would only apply to residential real estate within resorts that h</w:t>
      </w:r>
      <w:r>
        <w:t>ave applied for and been designated exempt by the Treasurer.</w:t>
      </w:r>
    </w:p>
    <w:p w:rsidR="00000000" w:rsidRDefault="00590668">
      <w:pPr>
        <w:pStyle w:val="Heading3"/>
      </w:pPr>
      <w:r>
        <w:lastRenderedPageBreak/>
        <w:t>6 July 1989</w:t>
      </w:r>
    </w:p>
    <w:p w:rsidR="00000000" w:rsidRDefault="00590668">
      <w:r>
        <w:t xml:space="preserve">The Treasurer announced the proclamation, on 1 August 1989, of the </w:t>
      </w:r>
      <w:r>
        <w:rPr>
          <w:rStyle w:val="NormalItalic"/>
        </w:rPr>
        <w:t>Foreign Takeovers Amendment Act 1975</w:t>
      </w:r>
      <w:r>
        <w:t xml:space="preserve"> and the gazettal of the </w:t>
      </w:r>
      <w:r>
        <w:rPr>
          <w:rStyle w:val="NormalItalic"/>
        </w:rPr>
        <w:t>Foreign Acquisitions and Takeovers Regulations</w:t>
      </w:r>
      <w:r>
        <w:t>. The ame</w:t>
      </w:r>
      <w:r>
        <w:t>nded legislation, to be known as the Foreign Acquisitions and Takeovers Act, gave legislative effect to the changes to residential real estate policy announced in September 1987.</w:t>
      </w:r>
    </w:p>
    <w:p w:rsidR="00000000" w:rsidRDefault="00590668">
      <w:pPr>
        <w:pStyle w:val="Heading3"/>
      </w:pPr>
      <w:r>
        <w:t>20 January 1988</w:t>
      </w:r>
    </w:p>
    <w:p w:rsidR="00000000" w:rsidRDefault="00590668">
      <w:r>
        <w:t>The Government announced that the Australian participation gu</w:t>
      </w:r>
      <w:r>
        <w:t>idelines for foreign investment in respect of new mining projects over $10 million would no longer apply to new oil and gas developments which could now be approved with 100 per cent foreign equity, provided they were not considered contrary to the nationa</w:t>
      </w:r>
      <w:r>
        <w:t>l interest.</w:t>
      </w:r>
    </w:p>
    <w:p w:rsidR="00000000" w:rsidRDefault="00590668">
      <w:pPr>
        <w:pStyle w:val="Heading3"/>
      </w:pPr>
      <w:r>
        <w:t>29 September 1987</w:t>
      </w:r>
    </w:p>
    <w:p w:rsidR="00000000" w:rsidRDefault="00590668">
      <w:r>
        <w:t>The Government decided to restrict substantially foreign acquisitions of developed residential real estate and to introduce legislation to require compliance with the amended policy. The $600,000 examination threshold was abol</w:t>
      </w:r>
      <w:r>
        <w:t>ished and approvals of developed residential real estate were to be restricted to Australian citizens resident abroad, intending migrants and foreign companies buying for their senior executives resident in Australia.</w:t>
      </w:r>
    </w:p>
    <w:p w:rsidR="00000000" w:rsidRDefault="00590668">
      <w:pPr>
        <w:pStyle w:val="Heading3"/>
      </w:pPr>
      <w:r>
        <w:t>30 April 1987</w:t>
      </w:r>
    </w:p>
    <w:p w:rsidR="00000000" w:rsidRDefault="00590668">
      <w:r>
        <w:t xml:space="preserve">The Treasurer announced </w:t>
      </w:r>
      <w:r>
        <w:t>a number of further liberalisations including:</w:t>
      </w:r>
    </w:p>
    <w:p w:rsidR="00000000" w:rsidRDefault="00590668">
      <w:pPr>
        <w:pStyle w:val="Bullet"/>
      </w:pPr>
      <w:r>
        <w:t xml:space="preserve">passing amendments to the </w:t>
      </w:r>
      <w:r>
        <w:rPr>
          <w:rStyle w:val="NormalItalic"/>
        </w:rPr>
        <w:t>Foreign Takeovers Act 1975</w:t>
      </w:r>
      <w:r>
        <w:t xml:space="preserve"> providing for the exemption from notification of takeovers below $5 million ($3 million for rural businesses);</w:t>
      </w:r>
    </w:p>
    <w:p w:rsidR="00000000" w:rsidRDefault="00590668">
      <w:pPr>
        <w:pStyle w:val="Bullet"/>
      </w:pPr>
      <w:r>
        <w:t>extending the national interest based t</w:t>
      </w:r>
      <w:r>
        <w:t>est (applied to manufacturing, tourism and non</w:t>
      </w:r>
      <w:r>
        <w:noBreakHyphen/>
        <w:t>bank finance sectors since July 1986) to other sectors namely resource processing, services, insurance, sharebroking and rural properties; and</w:t>
      </w:r>
    </w:p>
    <w:p w:rsidR="00000000" w:rsidRDefault="00590668">
      <w:pPr>
        <w:pStyle w:val="Bullet"/>
      </w:pPr>
      <w:r>
        <w:t>improvements to the benefits associated with naturalised or nat</w:t>
      </w:r>
      <w:r>
        <w:t xml:space="preserve">uralising status, namely, that all takeovers or new businesses involving naturalised or naturalising companies (including new mines where at least 50 per cent </w:t>
      </w:r>
      <w:r>
        <w:lastRenderedPageBreak/>
        <w:t>is owned by the naturalised or naturalising company) would be approved unless contrary to the nat</w:t>
      </w:r>
      <w:r>
        <w:t>ional interest.</w:t>
      </w:r>
    </w:p>
    <w:p w:rsidR="00000000" w:rsidRDefault="00590668">
      <w:r>
        <w:t>The Government also announced that it would introduce legislation to replace the thin capitalisation and corporate restructuring conditions of approval that had been imposed on foreign investors under foreign investment policy.</w:t>
      </w:r>
    </w:p>
    <w:p w:rsidR="00000000" w:rsidRDefault="00590668">
      <w:pPr>
        <w:pStyle w:val="Heading3"/>
      </w:pPr>
      <w:r>
        <w:t>28 July 1986</w:t>
      </w:r>
    </w:p>
    <w:p w:rsidR="00000000" w:rsidRDefault="00590668">
      <w:r>
        <w:t>The Treasurer announced a number of significant relaxations to policy including:</w:t>
      </w:r>
    </w:p>
    <w:p w:rsidR="00000000" w:rsidRDefault="00590668">
      <w:pPr>
        <w:pStyle w:val="Bullet"/>
      </w:pPr>
      <w:r>
        <w:t>the net economic benefits test and Australian equity requirements for takeovers and new businesses in the manufacturing, tourism and non</w:t>
      </w:r>
      <w:r>
        <w:noBreakHyphen/>
        <w:t>bank finance sectors were suspende</w:t>
      </w:r>
      <w:r>
        <w:t>d and proposals were to be automatically approved unless contrary to the national interest;</w:t>
      </w:r>
    </w:p>
    <w:p w:rsidR="00000000" w:rsidRDefault="00590668">
      <w:pPr>
        <w:pStyle w:val="Bullet"/>
      </w:pPr>
      <w:r>
        <w:t>the minimum Australian equity requirements for real estate for development (both for retention or resale), and service industry real estate (hotels and motels, t</w:t>
      </w:r>
      <w:r>
        <w:t>ourism resorts) were abolished;</w:t>
      </w:r>
    </w:p>
    <w:p w:rsidR="00000000" w:rsidRDefault="00590668">
      <w:pPr>
        <w:pStyle w:val="Bullet"/>
      </w:pPr>
      <w:r>
        <w:t>acquisitions of developed commercial real estate were to be allowed provided there was 50 per cent Australian equity (previously there was a virtual prohibition); and</w:t>
      </w:r>
    </w:p>
    <w:p w:rsidR="00000000" w:rsidRDefault="00590668">
      <w:pPr>
        <w:pStyle w:val="Bullet"/>
      </w:pPr>
      <w:r>
        <w:t>the policy test on rural property acquisitions over</w:t>
      </w:r>
      <w:r>
        <w:t xml:space="preserve"> $3 million was relaxed such that approval would now be granted where it could be demonstrated by the intending investor that proposed on</w:t>
      </w:r>
      <w:r>
        <w:noBreakHyphen/>
        <w:t>farm development expenditure would be at least one </w:t>
      </w:r>
      <w:r>
        <w:sym w:font="Symbol" w:char="F0BE"/>
      </w:r>
      <w:r>
        <w:t xml:space="preserve"> third of the acquisition price.</w:t>
      </w:r>
    </w:p>
    <w:p w:rsidR="00000000" w:rsidRDefault="00590668">
      <w:pPr>
        <w:pStyle w:val="Heading3"/>
      </w:pPr>
      <w:r>
        <w:t xml:space="preserve">15 </w:t>
      </w:r>
      <w:r>
        <w:t>April 1986</w:t>
      </w:r>
    </w:p>
    <w:p w:rsidR="00000000" w:rsidRDefault="00590668">
      <w:r>
        <w:t>As part of the Government’s Economic and Rural Policy Statement, it announced the relaxation of the rules applying to foreign investment in rural land such that only proposals over $3 million (previously $1 million) would be subject to the stric</w:t>
      </w:r>
      <w:r>
        <w:t>ter test of providing effective Australian participation or benefits of national or regional significance to gain approval.</w:t>
      </w:r>
    </w:p>
    <w:p w:rsidR="00000000" w:rsidRDefault="00590668">
      <w:pPr>
        <w:pStyle w:val="Heading3"/>
      </w:pPr>
      <w:r>
        <w:t>29 October 1985</w:t>
      </w:r>
    </w:p>
    <w:p w:rsidR="00000000" w:rsidRDefault="00590668">
      <w:r>
        <w:t>The Acting Treasurer announced a number of modifications to policy aimed at streamlining existing procedures, the mo</w:t>
      </w:r>
      <w:r>
        <w:t>st significant of which were:</w:t>
      </w:r>
    </w:p>
    <w:p w:rsidR="00000000" w:rsidRDefault="00590668">
      <w:pPr>
        <w:pStyle w:val="Bullet"/>
      </w:pPr>
      <w:r>
        <w:lastRenderedPageBreak/>
        <w:t>the practice of requiring the demonstration of specific opportunities for Australians to purchase interests available for sale (the ‘opportunities test’) was discontinued;</w:t>
      </w:r>
    </w:p>
    <w:p w:rsidR="00000000" w:rsidRDefault="00590668">
      <w:pPr>
        <w:pStyle w:val="Bullet"/>
      </w:pPr>
      <w:r>
        <w:t>the administrative threshold below which takeove</w:t>
      </w:r>
      <w:r>
        <w:t>rs were normally approved, in the absence of special circumstances, was increased from $2 million to $5 million;</w:t>
      </w:r>
    </w:p>
    <w:p w:rsidR="00000000" w:rsidRDefault="00590668">
      <w:pPr>
        <w:pStyle w:val="Bullet"/>
      </w:pPr>
      <w:r>
        <w:t>the notification threshold for new businesses (except in the media or civil aviation) was increased from $5 million to $10 million;</w:t>
      </w:r>
    </w:p>
    <w:p w:rsidR="00000000" w:rsidRDefault="00590668">
      <w:pPr>
        <w:pStyle w:val="Bullet"/>
      </w:pPr>
      <w:r>
        <w:t>the n</w:t>
      </w:r>
      <w:r>
        <w:t>otification threshold for foreign investment in real estate was increased from $350,000 to $600,000;</w:t>
      </w:r>
    </w:p>
    <w:p w:rsidR="00000000" w:rsidRDefault="00590668">
      <w:pPr>
        <w:pStyle w:val="Bullet"/>
      </w:pPr>
      <w:r>
        <w:t>the liberalised stance in relation to merchant banks was extended to other non</w:t>
      </w:r>
      <w:r>
        <w:noBreakHyphen/>
        <w:t>bank financial intermediaries;</w:t>
      </w:r>
    </w:p>
    <w:p w:rsidR="00000000" w:rsidRDefault="00590668">
      <w:pPr>
        <w:pStyle w:val="Bullet"/>
      </w:pPr>
      <w:r>
        <w:t>the need for 50 per cent Australian equ</w:t>
      </w:r>
      <w:r>
        <w:t>ity for land bought for development and subsequent resale was to be applied only to developments costing $10 million or more; and</w:t>
      </w:r>
    </w:p>
    <w:p w:rsidR="00000000" w:rsidRDefault="00590668">
      <w:pPr>
        <w:pStyle w:val="Bullet"/>
      </w:pPr>
      <w:r>
        <w:t>the exemption threshold for offshore takeovers was increased from $3 million to $20 million.</w:t>
      </w:r>
    </w:p>
    <w:p w:rsidR="00000000" w:rsidRDefault="00590668">
      <w:pPr>
        <w:pStyle w:val="Heading3"/>
      </w:pPr>
      <w:r>
        <w:t>22 May 1985</w:t>
      </w:r>
    </w:p>
    <w:p w:rsidR="00000000" w:rsidRDefault="00590668">
      <w:r>
        <w:t xml:space="preserve">The </w:t>
      </w:r>
      <w:r>
        <w:rPr>
          <w:rStyle w:val="NormalItalic"/>
        </w:rPr>
        <w:t>Banks (Shareholdings) Act 1972</w:t>
      </w:r>
      <w:r>
        <w:rPr>
          <w:i/>
          <w:iCs/>
        </w:rPr>
        <w:t xml:space="preserve"> </w:t>
      </w:r>
      <w:r>
        <w:t xml:space="preserve">(which limits the size of shareholdings in banks authorised under the </w:t>
      </w:r>
      <w:r>
        <w:rPr>
          <w:rStyle w:val="NormalItalic"/>
        </w:rPr>
        <w:t>Banking Act 1959</w:t>
      </w:r>
      <w:r>
        <w:t>) was amended in order to facilitate the establishment of new banks in Australia. The major amendments were an increase in the size of indi</w:t>
      </w:r>
      <w:r>
        <w:t>vidual shareholdings in a bank which might be held without the Governor</w:t>
      </w:r>
      <w:r>
        <w:noBreakHyphen/>
        <w:t>General’s approval from 10 to 15 per cent, and allowing the Governor</w:t>
      </w:r>
      <w:r>
        <w:noBreakHyphen/>
        <w:t>General to grant exemptions from the new higher limit in the national interest.</w:t>
      </w:r>
    </w:p>
    <w:p w:rsidR="00000000" w:rsidRDefault="00590668">
      <w:pPr>
        <w:pStyle w:val="Heading3"/>
      </w:pPr>
      <w:r>
        <w:t>27 February 1985</w:t>
      </w:r>
    </w:p>
    <w:p w:rsidR="00000000" w:rsidRDefault="00590668">
      <w:r>
        <w:t>The Treasurer anno</w:t>
      </w:r>
      <w:r>
        <w:t>unced that the Government had selected 16 new banks which would be invited to establish operations in Australia. Each would be required to proceed with discussions with the Reserve Bank and the Treasury with a view to developing their proposals.</w:t>
      </w:r>
    </w:p>
    <w:p w:rsidR="00000000" w:rsidRDefault="00590668">
      <w:pPr>
        <w:pStyle w:val="Heading3"/>
      </w:pPr>
      <w:r>
        <w:lastRenderedPageBreak/>
        <w:t>18 Decembe</w:t>
      </w:r>
      <w:r>
        <w:t>r 1984</w:t>
      </w:r>
    </w:p>
    <w:p w:rsidR="00000000" w:rsidRDefault="00590668">
      <w:r>
        <w:t>The Treasurer announced the Government’s decision to increase to 50 per cent the maximum permitted shareholding in Australian stockbroking businesses that might be held by foreign interests. This revised the previous limitations announced on 18 Apri</w:t>
      </w:r>
      <w:r>
        <w:t>l 1984.</w:t>
      </w:r>
    </w:p>
    <w:p w:rsidR="00000000" w:rsidRDefault="00590668">
      <w:pPr>
        <w:pStyle w:val="Heading3"/>
      </w:pPr>
      <w:r>
        <w:t>10 September 1984</w:t>
      </w:r>
    </w:p>
    <w:p w:rsidR="00000000" w:rsidRDefault="00590668">
      <w:r>
        <w:t>The Government invited applications from domestic or foreign interests for a limited number of banking authorities and decided to initiate proceedings to enable the Bank of China to open a branch in Australia.</w:t>
      </w:r>
    </w:p>
    <w:p w:rsidR="00000000" w:rsidRDefault="00590668">
      <w:r>
        <w:t>The Treasurer also a</w:t>
      </w:r>
      <w:r>
        <w:t>nnounced the temporary waiving (for one year) of some sections of its foreign investment policy relating to the merchant banking sector. The ‘Australian opportunities test’ (that is, the requirement that Australians be given the opportunity to bid on marke</w:t>
      </w:r>
      <w:r>
        <w:t>t terms for interests available for sale) and the ‘substantial economic benefits’ test of foreign investment policy were to be set aside for a period of 12 months in respect of merchant bank restructuring proposals.</w:t>
      </w:r>
    </w:p>
    <w:p w:rsidR="00000000" w:rsidRDefault="00590668">
      <w:pPr>
        <w:pStyle w:val="Heading3"/>
      </w:pPr>
      <w:r>
        <w:t>18 April 1984</w:t>
      </w:r>
    </w:p>
    <w:p w:rsidR="00000000" w:rsidRDefault="00590668">
      <w:r>
        <w:t>Following a Trade Practice</w:t>
      </w:r>
      <w:r>
        <w:t>s Commission (TPC) ruling that allowed stockbroking firms to incorporate, the Treasurer announced the results of a review of foreign investment policy as applied to the stockbroking industry (prior to the TPC ruling, non</w:t>
      </w:r>
      <w:r>
        <w:noBreakHyphen/>
        <w:t>residents were precluded from havin</w:t>
      </w:r>
      <w:r>
        <w:t>g an interest in unincorporated stockbroking firms). Under the revised policy, proposals by foreign interests to acquire shareholdings in stockbroking businesses would only be allowed to proceed, where they involved the acquisition of less than 15 per cent</w:t>
      </w:r>
      <w:r>
        <w:t xml:space="preserve"> of shares by a single foreign interest or of less than 40 per cent by two or more foreign interests.</w:t>
      </w:r>
    </w:p>
    <w:p w:rsidR="00000000" w:rsidRDefault="00590668">
      <w:pPr>
        <w:sectPr w:rsidR="00000000">
          <w:headerReference w:type="even" r:id="rId107"/>
          <w:headerReference w:type="default" r:id="rId108"/>
          <w:footerReference w:type="even" r:id="rId109"/>
          <w:footerReference w:type="default" r:id="rId110"/>
          <w:pgSz w:w="11907" w:h="16840" w:code="9"/>
          <w:pgMar w:top="2466" w:right="2098" w:bottom="2466" w:left="2098" w:header="1899" w:footer="1899" w:gutter="0"/>
          <w:cols w:space="709"/>
        </w:sectPr>
      </w:pPr>
    </w:p>
    <w:p w:rsidR="00000000" w:rsidRDefault="00590668">
      <w:pPr>
        <w:pStyle w:val="chattach"/>
      </w:pPr>
      <w:r>
        <w:lastRenderedPageBreak/>
        <w:t>APPENDIX E</w:t>
      </w:r>
    </w:p>
    <w:p w:rsidR="00000000" w:rsidRDefault="00590668">
      <w:pPr>
        <w:spacing w:before="240" w:line="240" w:lineRule="auto"/>
      </w:pPr>
      <w:r>
        <w:rPr>
          <w:sz w:val="20"/>
          <w:szCs w:val="20"/>
        </w:rPr>
        <w:pict>
          <v:shape id="_x0000_i1041" type="#_x0000_t75" style="width:138.75pt;height:102pt" fillcolor="window">
            <v:imagedata r:id="rId111" o:title=""/>
          </v:shape>
        </w:pict>
      </w:r>
    </w:p>
    <w:p w:rsidR="00000000" w:rsidRDefault="00590668">
      <w:pPr>
        <w:pStyle w:val="ShortT"/>
        <w:spacing w:before="240"/>
        <w:rPr>
          <w:i/>
          <w:iCs/>
        </w:rPr>
      </w:pPr>
      <w:r>
        <w:rPr>
          <w:i/>
          <w:iCs/>
        </w:rPr>
        <w:t>Foreign Acquisitions and Takeovers Act 1975</w:t>
      </w:r>
    </w:p>
    <w:p w:rsidR="00000000" w:rsidRDefault="00590668">
      <w:pPr>
        <w:pStyle w:val="Actno"/>
      </w:pPr>
      <w:r>
        <w:t>Act No. 92 of 1975 as amended</w:t>
      </w:r>
    </w:p>
    <w:p w:rsidR="00000000" w:rsidRDefault="00590668">
      <w:pPr>
        <w:pStyle w:val="UpdateDate"/>
      </w:pPr>
      <w:r>
        <w:t>This compilation was prepared on 15 December 2001 taking into account amendmen</w:t>
      </w:r>
      <w:r>
        <w:t>ts up to Act No. 31 of 2001</w:t>
      </w:r>
    </w:p>
    <w:p w:rsidR="00000000" w:rsidRDefault="00590668">
      <w:pPr>
        <w:pStyle w:val="UpdateDate"/>
      </w:pPr>
      <w:r>
        <w:t>The text of any of those amendments not in force on that date is appended in the Notes section</w:t>
      </w:r>
    </w:p>
    <w:p w:rsidR="00000000" w:rsidRDefault="00590668">
      <w:pPr>
        <w:pStyle w:val="UpdateDate"/>
      </w:pPr>
      <w:r>
        <w:t>Prepared by the Office of Legislative Drafting, Attorney</w:t>
      </w:r>
      <w:r>
        <w:noBreakHyphen/>
        <w:t>General’s Department, Canberra</w:t>
      </w:r>
    </w:p>
    <w:p w:rsidR="00000000" w:rsidRDefault="00590668">
      <w:pPr>
        <w:pStyle w:val="Header"/>
        <w:sectPr w:rsidR="00000000">
          <w:headerReference w:type="even" r:id="rId112"/>
          <w:headerReference w:type="default" r:id="rId113"/>
          <w:footerReference w:type="even" r:id="rId114"/>
          <w:footerReference w:type="default" r:id="rId115"/>
          <w:pgSz w:w="11907" w:h="16840" w:code="9"/>
          <w:pgMar w:top="2466" w:right="2098" w:bottom="2466" w:left="2098" w:header="1899" w:footer="1899" w:gutter="0"/>
          <w:cols w:space="709"/>
        </w:sectPr>
      </w:pPr>
    </w:p>
    <w:p w:rsidR="00000000" w:rsidRDefault="00590668">
      <w:pPr>
        <w:pStyle w:val="Header"/>
      </w:pPr>
    </w:p>
    <w:p w:rsidR="00000000" w:rsidRDefault="00590668">
      <w:pPr>
        <w:sectPr w:rsidR="00000000">
          <w:headerReference w:type="even" r:id="rId116"/>
          <w:headerReference w:type="default" r:id="rId117"/>
          <w:footerReference w:type="even" r:id="rId118"/>
          <w:pgSz w:w="11907" w:h="16840" w:code="9"/>
          <w:pgMar w:top="2466" w:right="2098" w:bottom="2466" w:left="2098" w:header="1899" w:footer="1899" w:gutter="0"/>
          <w:cols w:space="709"/>
        </w:sectPr>
      </w:pPr>
    </w:p>
    <w:p w:rsidR="00000000" w:rsidRDefault="00590668">
      <w:pPr>
        <w:pStyle w:val="Contents"/>
      </w:pPr>
      <w:r>
        <w:lastRenderedPageBreak/>
        <w:t>Contents</w:t>
      </w:r>
    </w:p>
    <w:p w:rsidR="00000000" w:rsidRDefault="00590668">
      <w:pPr>
        <w:pStyle w:val="TOC2"/>
        <w:tabs>
          <w:tab w:val="clear" w:pos="7700"/>
          <w:tab w:val="right" w:leader="dot" w:pos="7655"/>
        </w:tabs>
        <w:ind w:right="55"/>
      </w:pPr>
      <w:r>
        <w:fldChar w:fldCharType="begin"/>
      </w:r>
      <w:r>
        <w:instrText xml:space="preserve"> TOC \o "1-9" \</w:instrText>
      </w:r>
      <w:r>
        <w:instrText xml:space="preserve">t "Heading 1,2,Heading 2,2,Heading 3,3,Heading 4,4,Heading 5,5, Schedule,2, Schedule Text,3, NotesSection,6" </w:instrText>
      </w:r>
      <w:r>
        <w:fldChar w:fldCharType="separate"/>
      </w:r>
      <w:r>
        <w:t>Part I—Preliminary</w:t>
      </w:r>
    </w:p>
    <w:p w:rsidR="00000000" w:rsidRDefault="00590668">
      <w:pPr>
        <w:pStyle w:val="TOC5"/>
      </w:pPr>
      <w:r>
        <w:t>1</w:t>
      </w:r>
      <w:r>
        <w:tab/>
        <w:t>Short title [s</w:t>
      </w:r>
      <w:r>
        <w:rPr>
          <w:i/>
          <w:iCs/>
        </w:rPr>
        <w:t>ee</w:t>
      </w:r>
      <w:r>
        <w:t xml:space="preserve"> Note 1]</w:t>
      </w:r>
    </w:p>
    <w:p w:rsidR="00000000" w:rsidRDefault="00590668">
      <w:pPr>
        <w:pStyle w:val="TOC5"/>
      </w:pPr>
      <w:r>
        <w:t>2</w:t>
      </w:r>
      <w:r>
        <w:tab/>
        <w:t>Commencement [</w:t>
      </w:r>
      <w:r>
        <w:rPr>
          <w:i/>
          <w:iCs/>
        </w:rPr>
        <w:t>see</w:t>
      </w:r>
      <w:r>
        <w:t xml:space="preserve"> Note 1]</w:t>
      </w:r>
    </w:p>
    <w:p w:rsidR="00000000" w:rsidRDefault="00590668">
      <w:pPr>
        <w:pStyle w:val="TOC5"/>
      </w:pPr>
      <w:r>
        <w:t>3</w:t>
      </w:r>
      <w:r>
        <w:tab/>
        <w:t>Transitional provisions</w:t>
      </w:r>
    </w:p>
    <w:p w:rsidR="00000000" w:rsidRDefault="00590668">
      <w:pPr>
        <w:pStyle w:val="TOC5"/>
      </w:pPr>
      <w:r>
        <w:t>4</w:t>
      </w:r>
      <w:r>
        <w:tab/>
        <w:t>Additional operation of Act</w:t>
      </w:r>
    </w:p>
    <w:p w:rsidR="00000000" w:rsidRDefault="00590668">
      <w:pPr>
        <w:pStyle w:val="TOC5"/>
      </w:pPr>
      <w:r>
        <w:t>5</w:t>
      </w:r>
      <w:r>
        <w:tab/>
        <w:t>Interpretation</w:t>
      </w:r>
    </w:p>
    <w:p w:rsidR="00000000" w:rsidRDefault="00590668">
      <w:pPr>
        <w:pStyle w:val="TOC5"/>
      </w:pPr>
      <w:r>
        <w:t>5A</w:t>
      </w:r>
      <w:r>
        <w:tab/>
        <w:t>Ordinarily resident non</w:t>
      </w:r>
      <w:r>
        <w:noBreakHyphen/>
        <w:t>citizens</w:t>
      </w:r>
    </w:p>
    <w:p w:rsidR="00000000" w:rsidRDefault="00590668">
      <w:pPr>
        <w:pStyle w:val="TOC5"/>
      </w:pPr>
      <w:r>
        <w:t>6</w:t>
      </w:r>
      <w:r>
        <w:tab/>
        <w:t>Associates</w:t>
      </w:r>
    </w:p>
    <w:p w:rsidR="00000000" w:rsidRDefault="00590668">
      <w:pPr>
        <w:pStyle w:val="TOC5"/>
      </w:pPr>
      <w:r>
        <w:t>7</w:t>
      </w:r>
      <w:r>
        <w:tab/>
        <w:t>Australian business</w:t>
      </w:r>
    </w:p>
    <w:p w:rsidR="00000000" w:rsidRDefault="00590668">
      <w:pPr>
        <w:pStyle w:val="TOC5"/>
      </w:pPr>
      <w:r>
        <w:t>8</w:t>
      </w:r>
      <w:r>
        <w:tab/>
        <w:t>Control of voting power</w:t>
      </w:r>
    </w:p>
    <w:p w:rsidR="00000000" w:rsidRDefault="00590668">
      <w:pPr>
        <w:pStyle w:val="TOC5"/>
      </w:pPr>
      <w:r>
        <w:t>9</w:t>
      </w:r>
      <w:r>
        <w:tab/>
        <w:t>Substantial and controlling interests in corporations</w:t>
      </w:r>
    </w:p>
    <w:p w:rsidR="00000000" w:rsidRDefault="00590668">
      <w:pPr>
        <w:pStyle w:val="TOC5"/>
      </w:pPr>
      <w:r>
        <w:t>9A</w:t>
      </w:r>
      <w:r>
        <w:tab/>
        <w:t>Substantial interests in trust estates</w:t>
      </w:r>
    </w:p>
    <w:p w:rsidR="00000000" w:rsidRDefault="00590668">
      <w:pPr>
        <w:pStyle w:val="TOC5"/>
      </w:pPr>
      <w:r>
        <w:t>10</w:t>
      </w:r>
      <w:r>
        <w:tab/>
        <w:t>Holding corporations and subsidiaries</w:t>
      </w:r>
    </w:p>
    <w:p w:rsidR="00000000" w:rsidRDefault="00590668">
      <w:pPr>
        <w:pStyle w:val="TOC5"/>
      </w:pPr>
      <w:r>
        <w:t>11</w:t>
      </w:r>
      <w:r>
        <w:tab/>
      </w:r>
      <w:r>
        <w:t>Interests in shares</w:t>
      </w:r>
    </w:p>
    <w:p w:rsidR="00000000" w:rsidRDefault="00590668">
      <w:pPr>
        <w:pStyle w:val="TOC5"/>
      </w:pPr>
      <w:r>
        <w:t>12</w:t>
      </w:r>
      <w:r>
        <w:tab/>
        <w:t>Interests in assets</w:t>
      </w:r>
    </w:p>
    <w:p w:rsidR="00000000" w:rsidRDefault="00590668">
      <w:pPr>
        <w:pStyle w:val="TOC5"/>
      </w:pPr>
      <w:r>
        <w:t>12A</w:t>
      </w:r>
      <w:r>
        <w:tab/>
        <w:t>Interests in Australian urban land</w:t>
      </w:r>
    </w:p>
    <w:p w:rsidR="00000000" w:rsidRDefault="00590668">
      <w:pPr>
        <w:pStyle w:val="TOC5"/>
      </w:pPr>
      <w:r>
        <w:t>12B</w:t>
      </w:r>
      <w:r>
        <w:tab/>
        <w:t>Interests in trust estates</w:t>
      </w:r>
    </w:p>
    <w:p w:rsidR="00000000" w:rsidRDefault="00590668">
      <w:pPr>
        <w:pStyle w:val="TOC5"/>
      </w:pPr>
      <w:r>
        <w:t>12C</w:t>
      </w:r>
      <w:r>
        <w:tab/>
        <w:t>Tracing of substantial interests in corporations and trust estates</w:t>
      </w:r>
    </w:p>
    <w:p w:rsidR="00000000" w:rsidRDefault="00590668">
      <w:pPr>
        <w:pStyle w:val="TOC5"/>
      </w:pPr>
      <w:r>
        <w:t>13</w:t>
      </w:r>
      <w:r>
        <w:tab/>
        <w:t>Prescribed corporations</w:t>
      </w:r>
    </w:p>
    <w:p w:rsidR="00000000" w:rsidRDefault="00590668">
      <w:pPr>
        <w:pStyle w:val="TOC5"/>
      </w:pPr>
      <w:r>
        <w:t>13A</w:t>
      </w:r>
      <w:r>
        <w:tab/>
        <w:t>Exempt dealings</w:t>
      </w:r>
    </w:p>
    <w:p w:rsidR="00000000" w:rsidRDefault="00590668">
      <w:pPr>
        <w:pStyle w:val="TOC5"/>
      </w:pPr>
      <w:r>
        <w:t>13B</w:t>
      </w:r>
      <w:r>
        <w:tab/>
        <w:t>Valuation of assets f</w:t>
      </w:r>
      <w:r>
        <w:t>or purposes of section 13A</w:t>
      </w:r>
    </w:p>
    <w:p w:rsidR="00000000" w:rsidRDefault="00590668">
      <w:pPr>
        <w:pStyle w:val="TOC5"/>
      </w:pPr>
      <w:r>
        <w:t>13C</w:t>
      </w:r>
      <w:r>
        <w:tab/>
        <w:t>Australian urban land corporations</w:t>
      </w:r>
    </w:p>
    <w:p w:rsidR="00000000" w:rsidRDefault="00590668">
      <w:pPr>
        <w:pStyle w:val="TOC5"/>
      </w:pPr>
      <w:r>
        <w:t>13D</w:t>
      </w:r>
      <w:r>
        <w:tab/>
        <w:t>Australian urban land trust estates</w:t>
      </w:r>
    </w:p>
    <w:p w:rsidR="00000000" w:rsidRDefault="00590668">
      <w:pPr>
        <w:pStyle w:val="TOC5"/>
      </w:pPr>
      <w:r>
        <w:t>14</w:t>
      </w:r>
      <w:r>
        <w:tab/>
        <w:t>Voting power</w:t>
      </w:r>
    </w:p>
    <w:p w:rsidR="00000000" w:rsidRDefault="00590668">
      <w:pPr>
        <w:pStyle w:val="TOC5"/>
      </w:pPr>
      <w:r>
        <w:t>15</w:t>
      </w:r>
      <w:r>
        <w:tab/>
        <w:t>Application of Act</w:t>
      </w:r>
    </w:p>
    <w:p w:rsidR="00000000" w:rsidRDefault="00590668">
      <w:pPr>
        <w:pStyle w:val="TOC5"/>
      </w:pPr>
      <w:r>
        <w:t>16</w:t>
      </w:r>
      <w:r>
        <w:tab/>
        <w:t>Extra</w:t>
      </w:r>
      <w:r>
        <w:noBreakHyphen/>
        <w:t>territorial operation of Act</w:t>
      </w:r>
    </w:p>
    <w:p w:rsidR="00000000" w:rsidRDefault="00590668">
      <w:pPr>
        <w:pStyle w:val="TOC5"/>
      </w:pPr>
      <w:r>
        <w:t>17</w:t>
      </w:r>
      <w:r>
        <w:tab/>
        <w:t>Persons obliged to comply with Act</w:t>
      </w:r>
    </w:p>
    <w:p w:rsidR="00000000" w:rsidRDefault="00590668">
      <w:pPr>
        <w:pStyle w:val="TOC2"/>
        <w:tabs>
          <w:tab w:val="clear" w:pos="7700"/>
          <w:tab w:val="right" w:leader="dot" w:pos="7655"/>
        </w:tabs>
        <w:ind w:right="55"/>
      </w:pPr>
      <w:r>
        <w:lastRenderedPageBreak/>
        <w:t>Part II—Control of takeovers and oth</w:t>
      </w:r>
      <w:r>
        <w:t>er transactions</w:t>
      </w:r>
    </w:p>
    <w:p w:rsidR="00000000" w:rsidRDefault="00590668">
      <w:pPr>
        <w:pStyle w:val="TOC5"/>
      </w:pPr>
      <w:r>
        <w:t>18</w:t>
      </w:r>
      <w:r>
        <w:tab/>
        <w:t>Acquisitions of shares</w:t>
      </w:r>
    </w:p>
    <w:p w:rsidR="00000000" w:rsidRDefault="00590668">
      <w:pPr>
        <w:pStyle w:val="TOC5"/>
      </w:pPr>
      <w:r>
        <w:t>19</w:t>
      </w:r>
      <w:r>
        <w:tab/>
        <w:t>Acquisitions of assets</w:t>
      </w:r>
    </w:p>
    <w:p w:rsidR="00000000" w:rsidRDefault="00590668">
      <w:pPr>
        <w:pStyle w:val="TOC5"/>
      </w:pPr>
      <w:r>
        <w:t>20</w:t>
      </w:r>
      <w:r>
        <w:tab/>
        <w:t>Arrangements relating to directorate of corporations</w:t>
      </w:r>
    </w:p>
    <w:p w:rsidR="00000000" w:rsidRDefault="00590668">
      <w:pPr>
        <w:pStyle w:val="TOC5"/>
      </w:pPr>
      <w:r>
        <w:t>21</w:t>
      </w:r>
      <w:r>
        <w:tab/>
        <w:t>Arrangements relating to control of Australian businesses</w:t>
      </w:r>
    </w:p>
    <w:p w:rsidR="00000000" w:rsidRDefault="00590668">
      <w:pPr>
        <w:pStyle w:val="TOC5"/>
      </w:pPr>
      <w:r>
        <w:t>21A</w:t>
      </w:r>
      <w:r>
        <w:tab/>
        <w:t>Acquisitions of interests in Australian urban land</w:t>
      </w:r>
    </w:p>
    <w:p w:rsidR="00000000" w:rsidRDefault="00590668">
      <w:pPr>
        <w:pStyle w:val="TOC5"/>
      </w:pPr>
      <w:r>
        <w:t>22</w:t>
      </w:r>
      <w:r>
        <w:tab/>
        <w:t>Interim order</w:t>
      </w:r>
      <w:r>
        <w:t>s</w:t>
      </w:r>
    </w:p>
    <w:p w:rsidR="00000000" w:rsidRDefault="00590668">
      <w:pPr>
        <w:pStyle w:val="TOC5"/>
      </w:pPr>
      <w:r>
        <w:t>23</w:t>
      </w:r>
      <w:r>
        <w:tab/>
        <w:t>Revocation of orders</w:t>
      </w:r>
    </w:p>
    <w:p w:rsidR="00000000" w:rsidRDefault="00590668">
      <w:pPr>
        <w:pStyle w:val="TOC5"/>
      </w:pPr>
      <w:r>
        <w:t>24</w:t>
      </w:r>
      <w:r>
        <w:tab/>
        <w:t>Publication of orders</w:t>
      </w:r>
    </w:p>
    <w:p w:rsidR="00000000" w:rsidRDefault="00590668">
      <w:pPr>
        <w:pStyle w:val="TOC5"/>
      </w:pPr>
      <w:r>
        <w:t>25</w:t>
      </w:r>
      <w:r>
        <w:tab/>
        <w:t>Effect of notification of transactions</w:t>
      </w:r>
    </w:p>
    <w:p w:rsidR="00000000" w:rsidRDefault="00590668">
      <w:pPr>
        <w:pStyle w:val="TOC5"/>
      </w:pPr>
      <w:r>
        <w:t>26</w:t>
      </w:r>
      <w:r>
        <w:tab/>
        <w:t>Compulsory notification of certain section 18 transactions</w:t>
      </w:r>
    </w:p>
    <w:p w:rsidR="00000000" w:rsidRDefault="00590668">
      <w:pPr>
        <w:pStyle w:val="TOC5"/>
      </w:pPr>
      <w:r>
        <w:t>26A</w:t>
      </w:r>
      <w:r>
        <w:tab/>
        <w:t>Compulsory notification of certain section 21A transactions</w:t>
      </w:r>
    </w:p>
    <w:p w:rsidR="00000000" w:rsidRDefault="00590668">
      <w:pPr>
        <w:pStyle w:val="TOC5"/>
      </w:pPr>
      <w:r>
        <w:t>27</w:t>
      </w:r>
      <w:r>
        <w:tab/>
        <w:t>Form of notification</w:t>
      </w:r>
    </w:p>
    <w:p w:rsidR="00000000" w:rsidRDefault="00590668">
      <w:pPr>
        <w:pStyle w:val="TOC5"/>
      </w:pPr>
      <w:r>
        <w:t>28</w:t>
      </w:r>
      <w:r>
        <w:tab/>
        <w:t>Notificati</w:t>
      </w:r>
      <w:r>
        <w:t>on of options</w:t>
      </w:r>
    </w:p>
    <w:p w:rsidR="00000000" w:rsidRDefault="00590668">
      <w:pPr>
        <w:pStyle w:val="TOC2"/>
        <w:tabs>
          <w:tab w:val="clear" w:pos="7700"/>
          <w:tab w:val="right" w:leader="dot" w:pos="7655"/>
        </w:tabs>
        <w:ind w:right="55"/>
      </w:pPr>
      <w:r>
        <w:br w:type="page"/>
      </w:r>
      <w:r>
        <w:lastRenderedPageBreak/>
        <w:t>Part III—Miscellaneous</w:t>
      </w:r>
    </w:p>
    <w:p w:rsidR="00000000" w:rsidRDefault="00590668">
      <w:pPr>
        <w:pStyle w:val="TOC5"/>
      </w:pPr>
      <w:r>
        <w:t>30</w:t>
      </w:r>
      <w:r>
        <w:tab/>
        <w:t>Offences</w:t>
      </w:r>
    </w:p>
    <w:p w:rsidR="00000000" w:rsidRDefault="00590668">
      <w:pPr>
        <w:pStyle w:val="TOC5"/>
      </w:pPr>
      <w:r>
        <w:t>31</w:t>
      </w:r>
      <w:r>
        <w:tab/>
        <w:t>Offences by officers of corporations</w:t>
      </w:r>
    </w:p>
    <w:p w:rsidR="00000000" w:rsidRDefault="00590668">
      <w:pPr>
        <w:pStyle w:val="TOC5"/>
      </w:pPr>
      <w:r>
        <w:t>35</w:t>
      </w:r>
      <w:r>
        <w:tab/>
        <w:t>Powers of court to enforce Treasurer’s orders</w:t>
      </w:r>
    </w:p>
    <w:p w:rsidR="00000000" w:rsidRDefault="00590668">
      <w:pPr>
        <w:pStyle w:val="TOC5"/>
      </w:pPr>
      <w:r>
        <w:t>36</w:t>
      </w:r>
      <w:r>
        <w:tab/>
        <w:t>Treasurer may require information</w:t>
      </w:r>
    </w:p>
    <w:p w:rsidR="00000000" w:rsidRDefault="00590668">
      <w:pPr>
        <w:pStyle w:val="TOC5"/>
      </w:pPr>
      <w:r>
        <w:t>37</w:t>
      </w:r>
      <w:r>
        <w:tab/>
        <w:t>Effect of Act on other laws</w:t>
      </w:r>
    </w:p>
    <w:p w:rsidR="00000000" w:rsidRDefault="00590668">
      <w:pPr>
        <w:pStyle w:val="TOC5"/>
      </w:pPr>
      <w:r>
        <w:t>38</w:t>
      </w:r>
      <w:r>
        <w:tab/>
        <w:t>Validity of acts done in contravention of Act</w:t>
      </w:r>
    </w:p>
    <w:p w:rsidR="00000000" w:rsidRDefault="00590668">
      <w:pPr>
        <w:pStyle w:val="TOC5"/>
      </w:pPr>
      <w:r>
        <w:t>38A</w:t>
      </w:r>
      <w:r>
        <w:tab/>
        <w:t>Anti</w:t>
      </w:r>
      <w:r>
        <w:noBreakHyphen/>
        <w:t>avoidance</w:t>
      </w:r>
    </w:p>
    <w:p w:rsidR="00000000" w:rsidRDefault="00590668">
      <w:pPr>
        <w:pStyle w:val="TOC5"/>
      </w:pPr>
      <w:r>
        <w:t>39</w:t>
      </w:r>
      <w:r>
        <w:tab/>
        <w:t>Regulations</w:t>
      </w:r>
    </w:p>
    <w:p w:rsidR="00000000" w:rsidRDefault="00590668">
      <w:pPr>
        <w:pStyle w:val="TOC6"/>
        <w:tabs>
          <w:tab w:val="right" w:leader="dot" w:pos="7655"/>
        </w:tabs>
        <w:ind w:right="55"/>
        <w:rPr>
          <w:b/>
          <w:bCs/>
          <w:noProof/>
          <w:sz w:val="18"/>
          <w:szCs w:val="18"/>
        </w:rPr>
      </w:pPr>
      <w:r>
        <w:rPr>
          <w:noProof/>
        </w:rPr>
        <w:t>Notes</w:t>
      </w:r>
    </w:p>
    <w:p w:rsidR="00000000" w:rsidRDefault="00590668">
      <w:pPr>
        <w:sectPr w:rsidR="00000000">
          <w:headerReference w:type="even" r:id="rId119"/>
          <w:headerReference w:type="default" r:id="rId120"/>
          <w:footerReference w:type="even" r:id="rId121"/>
          <w:footerReference w:type="default" r:id="rId122"/>
          <w:pgSz w:w="11906" w:h="16838" w:code="9"/>
          <w:pgMar w:top="2466" w:right="2098" w:bottom="2466" w:left="2098" w:header="1899" w:footer="1899" w:gutter="0"/>
          <w:cols w:space="709"/>
        </w:sectPr>
      </w:pPr>
    </w:p>
    <w:p w:rsidR="00000000" w:rsidRDefault="00590668">
      <w:pPr>
        <w:pStyle w:val="Graphic"/>
        <w:spacing w:line="280" w:lineRule="exact"/>
      </w:pPr>
    </w:p>
    <w:p w:rsidR="00000000" w:rsidRDefault="00590668">
      <w:pPr>
        <w:tabs>
          <w:tab w:val="right" w:leader="dot" w:pos="7655"/>
        </w:tabs>
        <w:ind w:right="55"/>
        <w:sectPr w:rsidR="00000000">
          <w:headerReference w:type="even" r:id="rId123"/>
          <w:headerReference w:type="default" r:id="rId124"/>
          <w:footerReference w:type="even" r:id="rId125"/>
          <w:pgSz w:w="11906" w:h="16838" w:code="9"/>
          <w:pgMar w:top="2466" w:right="2098" w:bottom="2466" w:left="2098" w:header="1899" w:footer="1899" w:gutter="0"/>
          <w:cols w:space="709"/>
        </w:sectPr>
      </w:pPr>
      <w:r>
        <w:fldChar w:fldCharType="end"/>
      </w:r>
    </w:p>
    <w:p w:rsidR="00000000" w:rsidRDefault="00590668">
      <w:pPr>
        <w:pStyle w:val="LongT"/>
      </w:pPr>
      <w:r>
        <w:lastRenderedPageBreak/>
        <w:t>An Act relating to the foreign acquisition of certain land interests and to the foreign control of certain business enterprises and mineral rights</w:t>
      </w:r>
    </w:p>
    <w:p w:rsidR="00000000" w:rsidRDefault="00590668">
      <w:pPr>
        <w:pStyle w:val="Heading2"/>
      </w:pPr>
      <w:r>
        <w:rPr>
          <w:rStyle w:val="CharPartNo"/>
        </w:rPr>
        <w:t>Part I</w:t>
      </w:r>
      <w:r>
        <w:t>—</w:t>
      </w:r>
      <w:r>
        <w:rPr>
          <w:rStyle w:val="CharPartText"/>
        </w:rPr>
        <w:t>Preliminary</w:t>
      </w:r>
    </w:p>
    <w:p w:rsidR="00000000" w:rsidRDefault="00590668">
      <w:pPr>
        <w:pStyle w:val="Heading5"/>
      </w:pPr>
      <w:r>
        <w:rPr>
          <w:rStyle w:val="CharSectno"/>
        </w:rPr>
        <w:t>1</w:t>
      </w:r>
      <w:r>
        <w:t xml:space="preserve">  Short title</w:t>
      </w:r>
      <w:r>
        <w:rPr>
          <w:b/>
          <w:bCs/>
          <w:sz w:val="18"/>
          <w:szCs w:val="18"/>
        </w:rPr>
        <w:t xml:space="preserve"> [</w:t>
      </w:r>
      <w:r>
        <w:rPr>
          <w:b/>
          <w:bCs/>
          <w:i w:val="0"/>
          <w:iCs w:val="0"/>
          <w:sz w:val="18"/>
          <w:szCs w:val="18"/>
        </w:rPr>
        <w:t>see</w:t>
      </w:r>
      <w:r>
        <w:rPr>
          <w:b/>
          <w:bCs/>
          <w:sz w:val="18"/>
          <w:szCs w:val="18"/>
        </w:rPr>
        <w:t xml:space="preserve"> Note 1]</w:t>
      </w:r>
    </w:p>
    <w:p w:rsidR="00000000" w:rsidRDefault="00590668">
      <w:pPr>
        <w:pStyle w:val="Subsection"/>
      </w:pPr>
      <w:r>
        <w:tab/>
      </w:r>
      <w:r>
        <w:tab/>
      </w:r>
      <w:r>
        <w:t xml:space="preserve">This Act may be cited as the </w:t>
      </w:r>
      <w:r>
        <w:rPr>
          <w:i/>
          <w:iCs/>
        </w:rPr>
        <w:t>Foreign Acquisitions and Takeovers Act 1975</w:t>
      </w:r>
      <w:r>
        <w:t>.</w:t>
      </w:r>
    </w:p>
    <w:p w:rsidR="00000000" w:rsidRDefault="00590668">
      <w:pPr>
        <w:pStyle w:val="Heading5"/>
      </w:pPr>
      <w:r>
        <w:rPr>
          <w:rStyle w:val="CharSectno"/>
        </w:rPr>
        <w:t>2</w:t>
      </w:r>
      <w:r>
        <w:t xml:space="preserve">  Commencement</w:t>
      </w:r>
      <w:r>
        <w:rPr>
          <w:b/>
          <w:bCs/>
          <w:sz w:val="18"/>
          <w:szCs w:val="18"/>
        </w:rPr>
        <w:t xml:space="preserve"> [</w:t>
      </w:r>
      <w:r>
        <w:rPr>
          <w:b/>
          <w:bCs/>
          <w:i w:val="0"/>
          <w:iCs w:val="0"/>
          <w:sz w:val="18"/>
          <w:szCs w:val="18"/>
        </w:rPr>
        <w:t>see</w:t>
      </w:r>
      <w:r>
        <w:rPr>
          <w:b/>
          <w:bCs/>
          <w:sz w:val="18"/>
          <w:szCs w:val="18"/>
        </w:rPr>
        <w:t xml:space="preserve"> Note 1]</w:t>
      </w:r>
    </w:p>
    <w:p w:rsidR="00000000" w:rsidRDefault="00590668">
      <w:pPr>
        <w:pStyle w:val="Subsection"/>
      </w:pPr>
      <w:r>
        <w:tab/>
      </w:r>
      <w:r>
        <w:tab/>
        <w:t>This Act shall come into operation on a date to be fixed by Proclamation.</w:t>
      </w:r>
    </w:p>
    <w:p w:rsidR="00000000" w:rsidRDefault="00590668">
      <w:pPr>
        <w:pStyle w:val="Heading5"/>
      </w:pPr>
      <w:r>
        <w:rPr>
          <w:rStyle w:val="CharSectno"/>
        </w:rPr>
        <w:t>3</w:t>
      </w:r>
      <w:r>
        <w:t xml:space="preserve">  Transitional provisions</w:t>
      </w:r>
    </w:p>
    <w:p w:rsidR="00000000" w:rsidRDefault="00590668">
      <w:pPr>
        <w:pStyle w:val="Subsection"/>
      </w:pPr>
      <w:r>
        <w:tab/>
        <w:t>(1)</w:t>
      </w:r>
      <w:r>
        <w:tab/>
        <w:t xml:space="preserve">The </w:t>
      </w:r>
      <w:r>
        <w:rPr>
          <w:i/>
          <w:iCs/>
        </w:rPr>
        <w:t>Companies (Foreign Take</w:t>
      </w:r>
      <w:r>
        <w:rPr>
          <w:i/>
          <w:iCs/>
        </w:rPr>
        <w:noBreakHyphen/>
        <w:t>overs) Act 1972</w:t>
      </w:r>
      <w:r>
        <w:t xml:space="preserve">, </w:t>
      </w:r>
      <w:r>
        <w:t xml:space="preserve">the </w:t>
      </w:r>
      <w:r>
        <w:rPr>
          <w:i/>
          <w:iCs/>
        </w:rPr>
        <w:t>Companies (Foreign Take</w:t>
      </w:r>
      <w:r>
        <w:rPr>
          <w:i/>
          <w:iCs/>
        </w:rPr>
        <w:noBreakHyphen/>
        <w:t>overs) Act 1973</w:t>
      </w:r>
      <w:r>
        <w:t xml:space="preserve"> and the </w:t>
      </w:r>
      <w:r>
        <w:rPr>
          <w:i/>
          <w:iCs/>
        </w:rPr>
        <w:t>Companies (Foreign Take</w:t>
      </w:r>
      <w:r>
        <w:rPr>
          <w:i/>
          <w:iCs/>
        </w:rPr>
        <w:noBreakHyphen/>
        <w:t xml:space="preserve">overs) Act 1974 </w:t>
      </w:r>
      <w:r>
        <w:t>are repealed.</w:t>
      </w:r>
    </w:p>
    <w:p w:rsidR="00000000" w:rsidRDefault="00590668">
      <w:pPr>
        <w:pStyle w:val="Subsection"/>
      </w:pPr>
      <w:r>
        <w:tab/>
        <w:t>(2)</w:t>
      </w:r>
      <w:r>
        <w:tab/>
        <w:t xml:space="preserve"> Notwithstanding the repeal of the </w:t>
      </w:r>
      <w:r>
        <w:rPr>
          <w:i/>
          <w:iCs/>
        </w:rPr>
        <w:t>Companies (Foreign Take</w:t>
      </w:r>
      <w:r>
        <w:rPr>
          <w:i/>
          <w:iCs/>
        </w:rPr>
        <w:noBreakHyphen/>
        <w:t>overs) Act 1972</w:t>
      </w:r>
      <w:r>
        <w:rPr>
          <w:i/>
          <w:iCs/>
        </w:rPr>
        <w:noBreakHyphen/>
        <w:t>1974</w:t>
      </w:r>
      <w:r>
        <w:t>, that Act, other than section 17 shall be deemed to continue in f</w:t>
      </w:r>
      <w:r>
        <w:t>orce in relation to:</w:t>
      </w:r>
    </w:p>
    <w:p w:rsidR="00000000" w:rsidRDefault="00590668">
      <w:pPr>
        <w:pStyle w:val="indenta"/>
        <w:tabs>
          <w:tab w:val="clear" w:pos="1531"/>
          <w:tab w:val="right" w:pos="1418"/>
        </w:tabs>
      </w:pPr>
      <w:r>
        <w:tab/>
        <w:t>(a)</w:t>
      </w:r>
      <w:r>
        <w:tab/>
        <w:t>an offer (including an offer constituting, or made in pursuance of an invitation constituting, a take</w:t>
      </w:r>
      <w:r>
        <w:noBreakHyphen/>
        <w:t>over offer) to sell or purchase shares that was accepted before the date of commencement of this Act; and</w:t>
      </w:r>
    </w:p>
    <w:p w:rsidR="00000000" w:rsidRDefault="00590668">
      <w:pPr>
        <w:pStyle w:val="indenta"/>
        <w:tabs>
          <w:tab w:val="clear" w:pos="1531"/>
          <w:tab w:val="right" w:pos="1418"/>
        </w:tabs>
      </w:pPr>
      <w:r>
        <w:tab/>
        <w:t>(b)</w:t>
      </w:r>
      <w:r>
        <w:tab/>
        <w:t>an issue of share</w:t>
      </w:r>
      <w:r>
        <w:t>s that occurred before that date.</w:t>
      </w:r>
    </w:p>
    <w:p w:rsidR="00000000" w:rsidRDefault="00590668">
      <w:pPr>
        <w:pStyle w:val="Subsection"/>
      </w:pPr>
      <w:r>
        <w:tab/>
        <w:t>(3)</w:t>
      </w:r>
      <w:r>
        <w:tab/>
        <w:t>Without limiting the generality of subsection (2), orders may be made under sections 14 and 15 of the repealed Act in pursuance of that subsection.</w:t>
      </w:r>
    </w:p>
    <w:p w:rsidR="00000000" w:rsidRDefault="00590668">
      <w:pPr>
        <w:pStyle w:val="Subsection"/>
        <w:keepNext/>
      </w:pPr>
      <w:r>
        <w:tab/>
        <w:t>(4)</w:t>
      </w:r>
      <w:r>
        <w:tab/>
        <w:t>For the purposes of this Act, but without limiting the operation</w:t>
      </w:r>
      <w:r>
        <w:t xml:space="preserve"> of subsection (2):</w:t>
      </w:r>
    </w:p>
    <w:p w:rsidR="00000000" w:rsidRDefault="00590668">
      <w:pPr>
        <w:pStyle w:val="indenta"/>
        <w:tabs>
          <w:tab w:val="clear" w:pos="1531"/>
          <w:tab w:val="right" w:pos="1418"/>
        </w:tabs>
      </w:pPr>
      <w:r>
        <w:tab/>
        <w:t>(b)</w:t>
      </w:r>
      <w:r>
        <w:tab/>
        <w:t>an order in force under subsection 13(6) of the repealed Act immediately before that date has effect on and after that date as if it were an order made under section 22 of this Act;</w:t>
      </w:r>
    </w:p>
    <w:p w:rsidR="00000000" w:rsidRDefault="00590668">
      <w:pPr>
        <w:pStyle w:val="indenta"/>
        <w:tabs>
          <w:tab w:val="clear" w:pos="1531"/>
          <w:tab w:val="right" w:pos="1418"/>
        </w:tabs>
      </w:pPr>
      <w:r>
        <w:tab/>
        <w:t>(c)</w:t>
      </w:r>
      <w:r>
        <w:tab/>
        <w:t>an order in force under paragraph 13(2)(c) o</w:t>
      </w:r>
      <w:r>
        <w:t>r (3)(c) of the repealed Act immediately before that date has effect on and after that date as if it were an order made under subsection 18(2) of this Act; and</w:t>
      </w:r>
    </w:p>
    <w:p w:rsidR="00000000" w:rsidRDefault="00590668">
      <w:pPr>
        <w:pStyle w:val="indenta"/>
        <w:tabs>
          <w:tab w:val="clear" w:pos="1531"/>
          <w:tab w:val="right" w:pos="1418"/>
        </w:tabs>
      </w:pPr>
      <w:r>
        <w:lastRenderedPageBreak/>
        <w:tab/>
        <w:t>(d)</w:t>
      </w:r>
      <w:r>
        <w:tab/>
        <w:t>an order in force under paragraph 13(2)(d) or (3)(d) of the repealed Act immediately before</w:t>
      </w:r>
      <w:r>
        <w:t xml:space="preserve"> that date has effect on and after that date as if it were an order made under subsection 18(3) of this Act.</w:t>
      </w:r>
    </w:p>
    <w:p w:rsidR="00000000" w:rsidRDefault="00590668">
      <w:pPr>
        <w:pStyle w:val="Subsection"/>
      </w:pPr>
      <w:r>
        <w:tab/>
        <w:t>(4A)</w:t>
      </w:r>
      <w:r>
        <w:tab/>
        <w:t>For the purposes of the institution, after the commencement of this subsection, of proceedings for an offence referred to in section 21 of th</w:t>
      </w:r>
      <w:r>
        <w:t xml:space="preserve">e </w:t>
      </w:r>
      <w:r>
        <w:rPr>
          <w:i/>
          <w:iCs/>
        </w:rPr>
        <w:t>Companies (Foreign Take</w:t>
      </w:r>
      <w:r>
        <w:rPr>
          <w:i/>
          <w:iCs/>
        </w:rPr>
        <w:noBreakHyphen/>
        <w:t>overs) Act 1972</w:t>
      </w:r>
      <w:r>
        <w:t>, the reference in that section to the Commonwealth Industrial Court shall be read as a reference to the Federal Court of Australia.</w:t>
      </w:r>
    </w:p>
    <w:p w:rsidR="00000000" w:rsidRDefault="00590668">
      <w:pPr>
        <w:pStyle w:val="Subsection"/>
      </w:pPr>
      <w:r>
        <w:tab/>
        <w:t>(5)</w:t>
      </w:r>
      <w:r>
        <w:tab/>
        <w:t xml:space="preserve">Nothing in this section affects the operation of section 8 of the </w:t>
      </w:r>
      <w:r>
        <w:rPr>
          <w:i/>
          <w:iCs/>
        </w:rPr>
        <w:t>Acts Interp</w:t>
      </w:r>
      <w:r>
        <w:rPr>
          <w:i/>
          <w:iCs/>
        </w:rPr>
        <w:t>retation Act 1901</w:t>
      </w:r>
      <w:r>
        <w:rPr>
          <w:i/>
          <w:iCs/>
        </w:rPr>
        <w:noBreakHyphen/>
        <w:t>1973</w:t>
      </w:r>
      <w:r>
        <w:t>.</w:t>
      </w:r>
    </w:p>
    <w:p w:rsidR="00000000" w:rsidRDefault="00590668">
      <w:pPr>
        <w:pStyle w:val="Subsection"/>
      </w:pPr>
      <w:r>
        <w:tab/>
        <w:t>(6)</w:t>
      </w:r>
      <w:r>
        <w:tab/>
        <w:t>Expressions used in this section have the same respective meanings as they had in the repealed Act.</w:t>
      </w:r>
    </w:p>
    <w:p w:rsidR="00000000" w:rsidRDefault="00590668">
      <w:pPr>
        <w:pStyle w:val="Heading5"/>
      </w:pPr>
      <w:r>
        <w:rPr>
          <w:rStyle w:val="CharSectno"/>
        </w:rPr>
        <w:t>4</w:t>
      </w:r>
      <w:r>
        <w:t xml:space="preserve">  Additional operation of Act</w:t>
      </w:r>
    </w:p>
    <w:p w:rsidR="00000000" w:rsidRDefault="00590668">
      <w:pPr>
        <w:pStyle w:val="Subsection"/>
      </w:pPr>
      <w:r>
        <w:tab/>
        <w:t>(1)</w:t>
      </w:r>
      <w:r>
        <w:tab/>
        <w:t xml:space="preserve">Without prejudice to its effect apart from this subsection, this Act also has, by force of </w:t>
      </w:r>
      <w:r>
        <w:t>this subsection, the effect it would have if references in sections 19 and 21 to an Australian business carried on solely by a prescribed corporation or prescribed corporations were references to an Australian business carried on by a prescribed corporatio</w:t>
      </w:r>
      <w:r>
        <w:t>n or prescribed corporations together with any other person or persons.</w:t>
      </w:r>
    </w:p>
    <w:p w:rsidR="00000000" w:rsidRDefault="00590668">
      <w:pPr>
        <w:pStyle w:val="Subsection"/>
      </w:pPr>
      <w:r>
        <w:tab/>
        <w:t>(2)</w:t>
      </w:r>
      <w:r>
        <w:tab/>
        <w:t>Without prejudice to its effect apart from this subsection, this Act also has, by force of this subsection, the effect it would have if references in sections 19 and 21 to an Aust</w:t>
      </w:r>
      <w:r>
        <w:t>ralian business carried on solely by a prescribed corporation or prescribed corporations were references to an Australian business carried on solely by a person other than a prescribed corporation or persons other than prescribed corporations.</w:t>
      </w:r>
    </w:p>
    <w:p w:rsidR="00000000" w:rsidRDefault="00590668">
      <w:pPr>
        <w:pStyle w:val="Subsection"/>
      </w:pPr>
      <w:r>
        <w:tab/>
        <w:t>(3)</w:t>
      </w:r>
      <w:r>
        <w:tab/>
        <w:t>Without</w:t>
      </w:r>
      <w:r>
        <w:t xml:space="preserve"> prejudice to its effect apart from this subsection, this Act also has, by force of this subsection, the effect it would have if references in sections 19 and 21 to a foreign person were references to:</w:t>
      </w:r>
    </w:p>
    <w:p w:rsidR="00000000" w:rsidRDefault="00590668">
      <w:pPr>
        <w:pStyle w:val="indenta"/>
        <w:tabs>
          <w:tab w:val="clear" w:pos="1531"/>
          <w:tab w:val="right" w:pos="1418"/>
        </w:tabs>
      </w:pPr>
      <w:r>
        <w:tab/>
        <w:t>(a)</w:t>
      </w:r>
      <w:r>
        <w:tab/>
        <w:t>a natural person not ordinarily resident in Austr</w:t>
      </w:r>
      <w:r>
        <w:t>alia;</w:t>
      </w:r>
    </w:p>
    <w:p w:rsidR="00000000" w:rsidRDefault="00590668">
      <w:pPr>
        <w:pStyle w:val="indenta"/>
        <w:tabs>
          <w:tab w:val="clear" w:pos="1531"/>
          <w:tab w:val="right" w:pos="1418"/>
        </w:tabs>
      </w:pPr>
      <w:r>
        <w:tab/>
        <w:t>(b)</w:t>
      </w:r>
      <w:r>
        <w:tab/>
        <w:t>a corporation (other than a foreign corporation) in which a natural person not ordinarily resident in Australia or a foreign corporation holds a controlling interest;</w:t>
      </w:r>
    </w:p>
    <w:p w:rsidR="00000000" w:rsidRDefault="00590668">
      <w:pPr>
        <w:pStyle w:val="indenta"/>
        <w:tabs>
          <w:tab w:val="clear" w:pos="1531"/>
          <w:tab w:val="right" w:pos="1418"/>
        </w:tabs>
      </w:pPr>
      <w:r>
        <w:tab/>
        <w:t>(c)</w:t>
      </w:r>
      <w:r>
        <w:tab/>
        <w:t>a corporation (other than a foreign corporation) in which 2 or more perso</w:t>
      </w:r>
      <w:r>
        <w:t>ns, each of whom is either a natural person not ordinarily resident in Australia or a foreign corporation, hold an aggregate controlling interest;</w:t>
      </w:r>
    </w:p>
    <w:p w:rsidR="00000000" w:rsidRDefault="00590668">
      <w:pPr>
        <w:pStyle w:val="indenta"/>
        <w:tabs>
          <w:tab w:val="clear" w:pos="1531"/>
          <w:tab w:val="right" w:pos="1418"/>
        </w:tabs>
      </w:pPr>
      <w:r>
        <w:tab/>
        <w:t>(d)</w:t>
      </w:r>
      <w:r>
        <w:tab/>
        <w:t>the trustee of a trust estate in which a natural person not ordinarily resident in Australia or a foreig</w:t>
      </w:r>
      <w:r>
        <w:t>n corporation holds a substantial interest; or</w:t>
      </w:r>
    </w:p>
    <w:p w:rsidR="00000000" w:rsidRDefault="00590668">
      <w:pPr>
        <w:pStyle w:val="indenta"/>
        <w:tabs>
          <w:tab w:val="clear" w:pos="1531"/>
          <w:tab w:val="right" w:pos="1418"/>
        </w:tabs>
      </w:pPr>
      <w:r>
        <w:lastRenderedPageBreak/>
        <w:tab/>
        <w:t>(e)</w:t>
      </w:r>
      <w:r>
        <w:tab/>
        <w:t>the trustee of a trust estate in which 2 or more persons, each of whom is either a natural person not ordinarily resident in Australia or a foreign corporation, hold an aggregate substantial interest.</w:t>
      </w:r>
    </w:p>
    <w:p w:rsidR="00000000" w:rsidRDefault="00590668">
      <w:pPr>
        <w:pStyle w:val="Subsection"/>
      </w:pPr>
      <w:r>
        <w:tab/>
      </w:r>
      <w:r>
        <w:t>(4)</w:t>
      </w:r>
      <w:r>
        <w:tab/>
        <w:t>Without prejudice to its effect apart from this subsection, this Act also has, by force of this subsection, the effect it would have if:</w:t>
      </w:r>
    </w:p>
    <w:p w:rsidR="00000000" w:rsidRDefault="00590668">
      <w:pPr>
        <w:pStyle w:val="indenta"/>
        <w:tabs>
          <w:tab w:val="clear" w:pos="1531"/>
          <w:tab w:val="right" w:pos="1418"/>
        </w:tabs>
      </w:pPr>
      <w:r>
        <w:tab/>
        <w:t>(a)</w:t>
      </w:r>
      <w:r>
        <w:tab/>
        <w:t>references in sections 19 and 21 to a foreign person were references to:</w:t>
      </w:r>
    </w:p>
    <w:p w:rsidR="00000000" w:rsidRDefault="00590668">
      <w:pPr>
        <w:pStyle w:val="indentii"/>
        <w:tabs>
          <w:tab w:val="clear" w:pos="1985"/>
          <w:tab w:val="right" w:pos="1843"/>
        </w:tabs>
      </w:pPr>
      <w:r>
        <w:tab/>
        <w:t>(i)</w:t>
      </w:r>
      <w:r>
        <w:tab/>
        <w:t xml:space="preserve">a natural person not ordinarily </w:t>
      </w:r>
      <w:r>
        <w:t>resident in Australia;</w:t>
      </w:r>
    </w:p>
    <w:p w:rsidR="00000000" w:rsidRDefault="00590668">
      <w:pPr>
        <w:pStyle w:val="indentii"/>
        <w:tabs>
          <w:tab w:val="clear" w:pos="1985"/>
          <w:tab w:val="right" w:pos="1843"/>
        </w:tabs>
      </w:pPr>
      <w:r>
        <w:tab/>
        <w:t>(ii)</w:t>
      </w:r>
      <w:r>
        <w:tab/>
        <w:t>a corporation (other than a foreign corporation) in which a natural person not ordinarily resident in Australia or a foreign corporation holds a controlling interest;</w:t>
      </w:r>
    </w:p>
    <w:p w:rsidR="00000000" w:rsidRDefault="00590668">
      <w:pPr>
        <w:pStyle w:val="indentii"/>
        <w:tabs>
          <w:tab w:val="clear" w:pos="1985"/>
          <w:tab w:val="right" w:pos="1843"/>
        </w:tabs>
      </w:pPr>
      <w:r>
        <w:tab/>
        <w:t>(iii)</w:t>
      </w:r>
      <w:r>
        <w:tab/>
        <w:t>a corporation (other than a foreign corporation) in w</w:t>
      </w:r>
      <w:r>
        <w:t>hich 2 or more persons, each of whom is either a natural person not ordinarily resident in Australia or a foreign corporation, hold an aggregate controlling interest;</w:t>
      </w:r>
    </w:p>
    <w:p w:rsidR="00000000" w:rsidRDefault="00590668">
      <w:pPr>
        <w:pStyle w:val="indentii"/>
        <w:tabs>
          <w:tab w:val="clear" w:pos="1985"/>
          <w:tab w:val="right" w:pos="1843"/>
        </w:tabs>
      </w:pPr>
      <w:r>
        <w:tab/>
        <w:t>(iv)</w:t>
      </w:r>
      <w:r>
        <w:tab/>
        <w:t xml:space="preserve">the trustee of a trust estate in which a natural person not ordinarily resident in </w:t>
      </w:r>
      <w:r>
        <w:t>Australia or a foreign corporation holds a substantial interest; or</w:t>
      </w:r>
    </w:p>
    <w:p w:rsidR="00000000" w:rsidRDefault="00590668">
      <w:pPr>
        <w:pStyle w:val="indentii"/>
        <w:tabs>
          <w:tab w:val="clear" w:pos="1985"/>
          <w:tab w:val="right" w:pos="1843"/>
        </w:tabs>
      </w:pPr>
      <w:r>
        <w:tab/>
        <w:t>(v)</w:t>
      </w:r>
      <w:r>
        <w:tab/>
        <w:t>the trustee of a trust estate in which 2 or more persons, each of whom is either a natural person not ordinarily resident in Australia or a foreign corporation, hold an aggregate subs</w:t>
      </w:r>
      <w:r>
        <w:t>tantial interest; and</w:t>
      </w:r>
    </w:p>
    <w:p w:rsidR="00000000" w:rsidRDefault="00590668">
      <w:pPr>
        <w:pStyle w:val="indenta"/>
        <w:tabs>
          <w:tab w:val="clear" w:pos="1531"/>
          <w:tab w:val="right" w:pos="1418"/>
        </w:tabs>
      </w:pPr>
      <w:r>
        <w:tab/>
        <w:t>(b)</w:t>
      </w:r>
      <w:r>
        <w:tab/>
        <w:t>references in those sections to an Australian business carried on solely by a prescribed corporation or prescribed corporations were references to an Australian business carried on by a prescribed corporation or prescribed corpor</w:t>
      </w:r>
      <w:r>
        <w:t>ations together with any other person or persons.</w:t>
      </w:r>
    </w:p>
    <w:p w:rsidR="00000000" w:rsidRDefault="00590668">
      <w:pPr>
        <w:pStyle w:val="Subsection"/>
      </w:pPr>
      <w:r>
        <w:tab/>
        <w:t>(5)</w:t>
      </w:r>
      <w:r>
        <w:tab/>
        <w:t>Without prejudice to its effect apart from this subsection, this Act also has, by force of this subsection, the effect it would have if:</w:t>
      </w:r>
    </w:p>
    <w:p w:rsidR="00000000" w:rsidRDefault="00590668">
      <w:pPr>
        <w:pStyle w:val="indenta"/>
        <w:tabs>
          <w:tab w:val="clear" w:pos="1531"/>
          <w:tab w:val="right" w:pos="1418"/>
        </w:tabs>
      </w:pPr>
      <w:r>
        <w:tab/>
        <w:t>(a)</w:t>
      </w:r>
      <w:r>
        <w:tab/>
        <w:t>references in sections 19 and 21 to a foreign person were r</w:t>
      </w:r>
      <w:r>
        <w:t>eferences to:</w:t>
      </w:r>
    </w:p>
    <w:p w:rsidR="00000000" w:rsidRDefault="00590668">
      <w:pPr>
        <w:pStyle w:val="indentii"/>
      </w:pPr>
      <w:r>
        <w:tab/>
        <w:t>(i)</w:t>
      </w:r>
      <w:r>
        <w:tab/>
        <w:t>a natural person not ordinarily resident in Australia;</w:t>
      </w:r>
    </w:p>
    <w:p w:rsidR="00000000" w:rsidRDefault="00590668">
      <w:pPr>
        <w:pStyle w:val="indentii"/>
      </w:pPr>
      <w:r>
        <w:tab/>
        <w:t>(ii)</w:t>
      </w:r>
      <w:r>
        <w:tab/>
        <w:t>a corporation (other than a foreign corporation) in which a natural person not ordinarily resident in Australia or a foreign corporation holds a controlling interest;</w:t>
      </w:r>
    </w:p>
    <w:p w:rsidR="00000000" w:rsidRDefault="00590668">
      <w:pPr>
        <w:pStyle w:val="indentii"/>
      </w:pPr>
      <w:r>
        <w:tab/>
        <w:t>(iii)</w:t>
      </w:r>
      <w:r>
        <w:tab/>
        <w:t xml:space="preserve">a </w:t>
      </w:r>
      <w:r>
        <w:t>corporation (other than a foreign corporation) in which 2 or more persons, each of whom is either a natural person not ordinarily resident in Australia or a foreign corporation, hold an aggregate controlling interest;</w:t>
      </w:r>
    </w:p>
    <w:p w:rsidR="00000000" w:rsidRDefault="00590668">
      <w:pPr>
        <w:pStyle w:val="indentii"/>
      </w:pPr>
      <w:r>
        <w:tab/>
        <w:t>(iv)</w:t>
      </w:r>
      <w:r>
        <w:tab/>
        <w:t>the trustee of a trust estate in</w:t>
      </w:r>
      <w:r>
        <w:t xml:space="preserve"> which a natural person not ordinarily resident in Australia or a foreign corporation holds a substantial interest; or</w:t>
      </w:r>
    </w:p>
    <w:p w:rsidR="00000000" w:rsidRDefault="00590668">
      <w:pPr>
        <w:pStyle w:val="indentii"/>
      </w:pPr>
      <w:r>
        <w:lastRenderedPageBreak/>
        <w:tab/>
        <w:t>(v)</w:t>
      </w:r>
      <w:r>
        <w:tab/>
        <w:t>the trustee of a trust estate in which 2 or more persons, each of whom is either a natural person not ordinarily resident in Austral</w:t>
      </w:r>
      <w:r>
        <w:t>ia or a foreign corporation, hold an aggregate substantial interest; and</w:t>
      </w:r>
    </w:p>
    <w:p w:rsidR="00000000" w:rsidRDefault="00590668">
      <w:pPr>
        <w:pStyle w:val="indenta"/>
      </w:pPr>
      <w:r>
        <w:tab/>
        <w:t>(b)</w:t>
      </w:r>
      <w:r>
        <w:tab/>
        <w:t xml:space="preserve">references in those sections to an Australian business carried on solely by a prescribed corporation or prescribed corporations were references to an Australian business carried </w:t>
      </w:r>
      <w:r>
        <w:t>on solely by a person other than a prescribed corporation or persons other than prescribed corporations.</w:t>
      </w:r>
    </w:p>
    <w:p w:rsidR="00000000" w:rsidRDefault="00590668">
      <w:pPr>
        <w:pStyle w:val="Subsection"/>
      </w:pPr>
      <w:r>
        <w:tab/>
        <w:t>(6)</w:t>
      </w:r>
      <w:r>
        <w:tab/>
        <w:t>Without prejudice to its effect apart from this subsection, this Act also has, by force of this subsection, the effect it would have if references</w:t>
      </w:r>
      <w:r>
        <w:t xml:space="preserve"> in section 21A to a foreign person were references to:</w:t>
      </w:r>
    </w:p>
    <w:p w:rsidR="00000000" w:rsidRDefault="00590668">
      <w:pPr>
        <w:pStyle w:val="indenta"/>
        <w:tabs>
          <w:tab w:val="clear" w:pos="1531"/>
          <w:tab w:val="right" w:pos="1418"/>
        </w:tabs>
      </w:pPr>
      <w:r>
        <w:tab/>
        <w:t>(a)</w:t>
      </w:r>
      <w:r>
        <w:tab/>
        <w:t>a natural person not ordinarily resident in Australia;</w:t>
      </w:r>
    </w:p>
    <w:p w:rsidR="00000000" w:rsidRDefault="00590668">
      <w:pPr>
        <w:pStyle w:val="indenta"/>
        <w:tabs>
          <w:tab w:val="clear" w:pos="1531"/>
          <w:tab w:val="right" w:pos="1418"/>
        </w:tabs>
      </w:pPr>
      <w:r>
        <w:tab/>
        <w:t>(b)</w:t>
      </w:r>
      <w:r>
        <w:tab/>
        <w:t>a corporation (other than a foreign corporation) in which a natural person not ordinarily resident in Australia or a foreign corporatio</w:t>
      </w:r>
      <w:r>
        <w:t>n holds a substantial interest;</w:t>
      </w:r>
    </w:p>
    <w:p w:rsidR="00000000" w:rsidRDefault="00590668">
      <w:pPr>
        <w:pStyle w:val="indenta"/>
        <w:tabs>
          <w:tab w:val="clear" w:pos="1531"/>
          <w:tab w:val="right" w:pos="1418"/>
        </w:tabs>
      </w:pPr>
      <w:r>
        <w:tab/>
        <w:t>(c)</w:t>
      </w:r>
      <w:r>
        <w:tab/>
        <w:t>a corporation (other than a foreign corporation) in which 2 or more persons, each of whom is either a natural person not ordinarily resident in Australia or a foreign corporation, hold an aggregate substantial interest;</w:t>
      </w:r>
    </w:p>
    <w:p w:rsidR="00000000" w:rsidRDefault="00590668">
      <w:pPr>
        <w:pStyle w:val="indenta"/>
        <w:tabs>
          <w:tab w:val="clear" w:pos="1531"/>
          <w:tab w:val="right" w:pos="1418"/>
        </w:tabs>
      </w:pPr>
      <w:r>
        <w:tab/>
        <w:t>(d)</w:t>
      </w:r>
      <w:r>
        <w:tab/>
        <w:t>the trustee of a trust estate in which a natural person not ordinarily resident in Australia or a foreign corporation holds a substantial interest; or</w:t>
      </w:r>
    </w:p>
    <w:p w:rsidR="00000000" w:rsidRDefault="00590668">
      <w:pPr>
        <w:pStyle w:val="indenta"/>
        <w:tabs>
          <w:tab w:val="clear" w:pos="1531"/>
          <w:tab w:val="right" w:pos="1418"/>
        </w:tabs>
      </w:pPr>
      <w:r>
        <w:tab/>
        <w:t>(e)</w:t>
      </w:r>
      <w:r>
        <w:tab/>
        <w:t>the trustee of a trust estate in which 2 or more persons, each of whom is either a natural per</w:t>
      </w:r>
      <w:r>
        <w:t>son not ordinarily resident in Australia or a foreign corporation, hold an aggregate substantial interest.</w:t>
      </w:r>
    </w:p>
    <w:p w:rsidR="00000000" w:rsidRDefault="00590668">
      <w:pPr>
        <w:pStyle w:val="Heading5"/>
      </w:pPr>
      <w:r>
        <w:rPr>
          <w:rStyle w:val="CharSectno"/>
        </w:rPr>
        <w:t>5</w:t>
      </w:r>
      <w:r>
        <w:t xml:space="preserve">  Interpretation</w:t>
      </w:r>
    </w:p>
    <w:p w:rsidR="00000000" w:rsidRDefault="00590668">
      <w:pPr>
        <w:pStyle w:val="Subsection"/>
      </w:pPr>
      <w:r>
        <w:tab/>
        <w:t>(1)</w:t>
      </w:r>
      <w:r>
        <w:tab/>
        <w:t>In this Act, unless the contrary intention appears:</w:t>
      </w:r>
    </w:p>
    <w:p w:rsidR="00000000" w:rsidRDefault="00590668">
      <w:pPr>
        <w:pStyle w:val="Definition"/>
      </w:pPr>
      <w:r>
        <w:rPr>
          <w:b/>
          <w:bCs/>
          <w:i/>
          <w:iCs/>
        </w:rPr>
        <w:t>acquisition</w:t>
      </w:r>
      <w:r>
        <w:t xml:space="preserve"> includes an agreement to acquire, but does not include an acqu</w:t>
      </w:r>
      <w:r>
        <w:t>isition:</w:t>
      </w:r>
    </w:p>
    <w:p w:rsidR="00000000" w:rsidRDefault="00590668">
      <w:pPr>
        <w:pStyle w:val="indenta"/>
        <w:tabs>
          <w:tab w:val="clear" w:pos="1531"/>
          <w:tab w:val="right" w:pos="1418"/>
        </w:tabs>
      </w:pPr>
      <w:r>
        <w:tab/>
        <w:t>(a)</w:t>
      </w:r>
      <w:r>
        <w:tab/>
        <w:t>by will or by devolution by operation of law; or</w:t>
      </w:r>
    </w:p>
    <w:p w:rsidR="00000000" w:rsidRDefault="00590668">
      <w:pPr>
        <w:pStyle w:val="indenta"/>
        <w:tabs>
          <w:tab w:val="clear" w:pos="1531"/>
          <w:tab w:val="right" w:pos="1418"/>
        </w:tabs>
      </w:pPr>
      <w:r>
        <w:tab/>
        <w:t>(b)</w:t>
      </w:r>
      <w:r>
        <w:tab/>
        <w:t>by way of enforcement of a security held solely for the purposes of a moneylending agreement.</w:t>
      </w:r>
    </w:p>
    <w:p w:rsidR="00000000" w:rsidRDefault="00590668">
      <w:pPr>
        <w:pStyle w:val="Definition"/>
      </w:pPr>
      <w:r>
        <w:rPr>
          <w:b/>
          <w:bCs/>
          <w:i/>
          <w:iCs/>
        </w:rPr>
        <w:t>agreement</w:t>
      </w:r>
      <w:r>
        <w:t xml:space="preserve"> means any agreement, whether formal or informal and whether express or implied, other than a moneylending agreement.</w:t>
      </w:r>
    </w:p>
    <w:p w:rsidR="00000000" w:rsidRDefault="00590668">
      <w:pPr>
        <w:pStyle w:val="Definition"/>
      </w:pPr>
      <w:r>
        <w:rPr>
          <w:b/>
          <w:bCs/>
          <w:i/>
          <w:iCs/>
        </w:rPr>
        <w:t>asset</w:t>
      </w:r>
      <w:r>
        <w:t xml:space="preserve"> includes an interest in an asset.</w:t>
      </w:r>
    </w:p>
    <w:p w:rsidR="00000000" w:rsidRDefault="00590668">
      <w:pPr>
        <w:pStyle w:val="Definition"/>
      </w:pPr>
      <w:r>
        <w:rPr>
          <w:b/>
          <w:bCs/>
          <w:i/>
          <w:iCs/>
        </w:rPr>
        <w:t>Australia</w:t>
      </w:r>
      <w:r>
        <w:t xml:space="preserve"> includes the external Territories to which this Act extends.</w:t>
      </w:r>
    </w:p>
    <w:p w:rsidR="00000000" w:rsidRDefault="00590668">
      <w:pPr>
        <w:pStyle w:val="Definition"/>
      </w:pPr>
      <w:r>
        <w:rPr>
          <w:b/>
          <w:bCs/>
          <w:i/>
          <w:iCs/>
        </w:rPr>
        <w:lastRenderedPageBreak/>
        <w:t>Australian corporation</w:t>
      </w:r>
      <w:r>
        <w:t xml:space="preserve"> means a corporation of a kind referred to in paragraph 13(1)(a), (b) or (c).</w:t>
      </w:r>
    </w:p>
    <w:p w:rsidR="00000000" w:rsidRDefault="00590668">
      <w:pPr>
        <w:pStyle w:val="Definition"/>
      </w:pPr>
      <w:r>
        <w:rPr>
          <w:b/>
          <w:bCs/>
          <w:i/>
          <w:iCs/>
        </w:rPr>
        <w:t>Australian rural land</w:t>
      </w:r>
      <w:r>
        <w:t xml:space="preserve"> means land situated in Australia that is used wholly and exclusively for carrying on a business of primary production.</w:t>
      </w:r>
    </w:p>
    <w:p w:rsidR="00000000" w:rsidRDefault="00590668">
      <w:pPr>
        <w:pStyle w:val="Definition"/>
      </w:pPr>
      <w:r>
        <w:rPr>
          <w:b/>
          <w:bCs/>
          <w:i/>
          <w:iCs/>
        </w:rPr>
        <w:t>Australian urban land</w:t>
      </w:r>
      <w:r>
        <w:t xml:space="preserve"> means land situ</w:t>
      </w:r>
      <w:r>
        <w:t>ated in Australia that is not Australian rural land.</w:t>
      </w:r>
    </w:p>
    <w:p w:rsidR="00000000" w:rsidRDefault="00590668">
      <w:pPr>
        <w:pStyle w:val="Definition"/>
      </w:pPr>
      <w:r>
        <w:rPr>
          <w:b/>
          <w:bCs/>
          <w:i/>
          <w:iCs/>
        </w:rPr>
        <w:t>Australian urban land corporation</w:t>
      </w:r>
      <w:r>
        <w:t xml:space="preserve"> means a corporation to which section 13C applies.</w:t>
      </w:r>
    </w:p>
    <w:p w:rsidR="00000000" w:rsidRDefault="00590668">
      <w:pPr>
        <w:pStyle w:val="Definition"/>
      </w:pPr>
      <w:r>
        <w:rPr>
          <w:b/>
          <w:bCs/>
          <w:i/>
          <w:iCs/>
        </w:rPr>
        <w:t>Australian urban land trust estate</w:t>
      </w:r>
      <w:r>
        <w:t xml:space="preserve"> means a trust estate to which section 13D applies.</w:t>
      </w:r>
    </w:p>
    <w:p w:rsidR="00000000" w:rsidRDefault="00590668">
      <w:pPr>
        <w:pStyle w:val="Definition"/>
      </w:pPr>
      <w:r>
        <w:rPr>
          <w:b/>
          <w:bCs/>
          <w:i/>
          <w:iCs/>
        </w:rPr>
        <w:t>balance</w:t>
      </w:r>
      <w:r>
        <w:rPr>
          <w:b/>
          <w:bCs/>
          <w:i/>
          <w:iCs/>
        </w:rPr>
        <w:noBreakHyphen/>
        <w:t>sheet</w:t>
      </w:r>
      <w:r>
        <w:t xml:space="preserve"> includes a statemen</w:t>
      </w:r>
      <w:r>
        <w:t>t of assets and liabilities or any similar document.</w:t>
      </w:r>
    </w:p>
    <w:p w:rsidR="00000000" w:rsidRDefault="00590668">
      <w:pPr>
        <w:pStyle w:val="Definition"/>
      </w:pPr>
      <w:r>
        <w:rPr>
          <w:b/>
          <w:bCs/>
          <w:i/>
          <w:iCs/>
        </w:rPr>
        <w:t>constituent document</w:t>
      </w:r>
      <w:r>
        <w:t>, in relation to a corporation, means the constitution of the corporation or any rules or other document constituting the corporation or governing its activities.</w:t>
      </w:r>
    </w:p>
    <w:p w:rsidR="00000000" w:rsidRDefault="00590668">
      <w:pPr>
        <w:pStyle w:val="Definition"/>
      </w:pPr>
      <w:r>
        <w:rPr>
          <w:b/>
          <w:bCs/>
          <w:i/>
          <w:iCs/>
        </w:rPr>
        <w:t>debenture</w:t>
      </w:r>
      <w:r>
        <w:t xml:space="preserve"> includes d</w:t>
      </w:r>
      <w:r>
        <w:t>ebenture stock, bonds, notes and any other document evidencing or acknowledging indebtedness of a corporation, whether constituting a charge on the assets of the corporation or not.</w:t>
      </w:r>
    </w:p>
    <w:p w:rsidR="00000000" w:rsidRDefault="00590668">
      <w:pPr>
        <w:pStyle w:val="Definition"/>
      </w:pPr>
      <w:r>
        <w:rPr>
          <w:b/>
          <w:bCs/>
          <w:i/>
          <w:iCs/>
        </w:rPr>
        <w:t>director</w:t>
      </w:r>
      <w:r>
        <w:t xml:space="preserve"> includes any person occupying the position of director of a corpo</w:t>
      </w:r>
      <w:r>
        <w:t>ration, by whatever name called.</w:t>
      </w:r>
    </w:p>
    <w:p w:rsidR="00000000" w:rsidRDefault="00590668">
      <w:pPr>
        <w:pStyle w:val="Definition"/>
      </w:pPr>
      <w:r>
        <w:rPr>
          <w:b/>
          <w:bCs/>
          <w:i/>
          <w:iCs/>
        </w:rPr>
        <w:t>financial corporation</w:t>
      </w:r>
      <w:r>
        <w:t xml:space="preserve"> means a financial corporation to which paragraph 51(xx) of the Constitution is applicable, and includes a corporation formed within the limits of Australia that carries on as its sole or principal busi</w:t>
      </w:r>
      <w:r>
        <w:t>ness the business of banking or insurance, other than banking or insurance to which paragraph 51(xiii) or (xiv) of the Constitution, as the case may be, is not applicable.</w:t>
      </w:r>
    </w:p>
    <w:p w:rsidR="00000000" w:rsidRDefault="00590668">
      <w:pPr>
        <w:pStyle w:val="Definition"/>
      </w:pPr>
      <w:r>
        <w:rPr>
          <w:b/>
          <w:bCs/>
          <w:i/>
          <w:iCs/>
        </w:rPr>
        <w:t>foreign corporation</w:t>
      </w:r>
      <w:r>
        <w:t xml:space="preserve"> means a foreign corporation to which paragraph 51(xx) of the Con</w:t>
      </w:r>
      <w:r>
        <w:t>stitution is applicable or a corporation that is incorporated in an external Territory to which this Act does not extend.</w:t>
      </w:r>
    </w:p>
    <w:p w:rsidR="00000000" w:rsidRDefault="00590668">
      <w:pPr>
        <w:pStyle w:val="Definition"/>
      </w:pPr>
      <w:r>
        <w:rPr>
          <w:b/>
          <w:bCs/>
          <w:i/>
          <w:iCs/>
        </w:rPr>
        <w:t>foreign person</w:t>
      </w:r>
      <w:r>
        <w:t xml:space="preserve"> means:</w:t>
      </w:r>
    </w:p>
    <w:p w:rsidR="00000000" w:rsidRDefault="00590668">
      <w:pPr>
        <w:pStyle w:val="indenta"/>
        <w:tabs>
          <w:tab w:val="clear" w:pos="1531"/>
          <w:tab w:val="right" w:pos="1418"/>
        </w:tabs>
      </w:pPr>
      <w:r>
        <w:tab/>
        <w:t>(a)</w:t>
      </w:r>
      <w:r>
        <w:tab/>
        <w:t>a natural person not ordinarily resident in Australia;</w:t>
      </w:r>
    </w:p>
    <w:p w:rsidR="00000000" w:rsidRDefault="00590668">
      <w:pPr>
        <w:pStyle w:val="indenta"/>
        <w:tabs>
          <w:tab w:val="clear" w:pos="1531"/>
          <w:tab w:val="right" w:pos="1418"/>
        </w:tabs>
      </w:pPr>
      <w:r>
        <w:tab/>
        <w:t>(b)</w:t>
      </w:r>
      <w:r>
        <w:tab/>
        <w:t>a corporation in which a natural person not ord</w:t>
      </w:r>
      <w:r>
        <w:t>inarily resident in Australia or a foreign corporation holds a controlling interest;</w:t>
      </w:r>
    </w:p>
    <w:p w:rsidR="00000000" w:rsidRDefault="00590668">
      <w:pPr>
        <w:pStyle w:val="indenta"/>
        <w:tabs>
          <w:tab w:val="clear" w:pos="1531"/>
          <w:tab w:val="right" w:pos="1418"/>
        </w:tabs>
      </w:pPr>
      <w:r>
        <w:tab/>
        <w:t>(c)</w:t>
      </w:r>
      <w:r>
        <w:tab/>
        <w:t>a corporation in which 2 or more persons, each of whom is either a natural person not ordinarily resident in Australia or a foreign corporation, hold an aggregate con</w:t>
      </w:r>
      <w:r>
        <w:t>trolling interest;</w:t>
      </w:r>
    </w:p>
    <w:p w:rsidR="00000000" w:rsidRDefault="00590668">
      <w:pPr>
        <w:pStyle w:val="indenta"/>
        <w:tabs>
          <w:tab w:val="clear" w:pos="1531"/>
          <w:tab w:val="right" w:pos="1418"/>
        </w:tabs>
      </w:pPr>
      <w:r>
        <w:lastRenderedPageBreak/>
        <w:tab/>
        <w:t>(d)</w:t>
      </w:r>
      <w:r>
        <w:tab/>
        <w:t>the trustee of a trust estate in which a natural person not ordinarily resident in Australia or a foreign corporation holds a substantial interest; or</w:t>
      </w:r>
    </w:p>
    <w:p w:rsidR="00000000" w:rsidRDefault="00590668">
      <w:pPr>
        <w:pStyle w:val="indenta"/>
        <w:tabs>
          <w:tab w:val="clear" w:pos="1531"/>
          <w:tab w:val="right" w:pos="1418"/>
        </w:tabs>
      </w:pPr>
      <w:r>
        <w:tab/>
        <w:t>(e)</w:t>
      </w:r>
      <w:r>
        <w:tab/>
        <w:t>the trustee of a trust estate in which 2 or more persons, each of whom is ei</w:t>
      </w:r>
      <w:r>
        <w:t>ther a natural person not ordinarily resident in Australia or a foreign corporation, hold an aggregate substantial interest.</w:t>
      </w:r>
    </w:p>
    <w:p w:rsidR="00000000" w:rsidRDefault="00590668">
      <w:pPr>
        <w:pStyle w:val="Definition"/>
      </w:pPr>
      <w:r>
        <w:rPr>
          <w:b/>
          <w:bCs/>
          <w:i/>
          <w:iCs/>
        </w:rPr>
        <w:t>interest in Australian urban land</w:t>
      </w:r>
      <w:r>
        <w:t xml:space="preserve"> has the meaning given by section 12A.</w:t>
      </w:r>
    </w:p>
    <w:p w:rsidR="00000000" w:rsidRDefault="00590668">
      <w:pPr>
        <w:pStyle w:val="Definition"/>
      </w:pPr>
      <w:r>
        <w:rPr>
          <w:b/>
          <w:bCs/>
          <w:i/>
          <w:iCs/>
        </w:rPr>
        <w:t>land</w:t>
      </w:r>
      <w:r>
        <w:t xml:space="preserve"> includes a building or other structure, or a part of a</w:t>
      </w:r>
      <w:r>
        <w:t xml:space="preserve"> building or other structure.</w:t>
      </w:r>
    </w:p>
    <w:p w:rsidR="00000000" w:rsidRDefault="00590668">
      <w:pPr>
        <w:pStyle w:val="Definition"/>
      </w:pPr>
      <w:r>
        <w:rPr>
          <w:b/>
          <w:bCs/>
          <w:i/>
          <w:iCs/>
        </w:rPr>
        <w:t>lease</w:t>
      </w:r>
      <w:r>
        <w:t xml:space="preserve"> includes a sub</w:t>
      </w:r>
      <w:r>
        <w:noBreakHyphen/>
        <w:t>lease.</w:t>
      </w:r>
    </w:p>
    <w:p w:rsidR="00000000" w:rsidRDefault="00590668">
      <w:pPr>
        <w:pStyle w:val="Definition"/>
      </w:pPr>
      <w:r>
        <w:rPr>
          <w:b/>
          <w:bCs/>
          <w:i/>
          <w:iCs/>
        </w:rPr>
        <w:t>mineral right</w:t>
      </w:r>
      <w:r>
        <w:t xml:space="preserve"> means:</w:t>
      </w:r>
    </w:p>
    <w:p w:rsidR="00000000" w:rsidRDefault="00590668">
      <w:pPr>
        <w:pStyle w:val="indenta"/>
        <w:tabs>
          <w:tab w:val="clear" w:pos="1531"/>
          <w:tab w:val="right" w:pos="1418"/>
        </w:tabs>
      </w:pPr>
      <w:r>
        <w:tab/>
        <w:t>(a)</w:t>
      </w:r>
      <w:r>
        <w:tab/>
        <w:t>a right (however described) under a law of the Commonwealth or of a State or Territory to recover minerals, other than a right to recover minerals for the purposes of prosp</w:t>
      </w:r>
      <w:r>
        <w:t>ecting or exploring for minerals;</w:t>
      </w:r>
    </w:p>
    <w:p w:rsidR="00000000" w:rsidRDefault="00590668">
      <w:pPr>
        <w:pStyle w:val="indenta"/>
        <w:tabs>
          <w:tab w:val="clear" w:pos="1531"/>
          <w:tab w:val="right" w:pos="1418"/>
        </w:tabs>
      </w:pPr>
      <w:r>
        <w:tab/>
        <w:t>(b)</w:t>
      </w:r>
      <w:r>
        <w:tab/>
        <w:t>a lease by virtue of which the lessee has a right falling within paragraph (a); or</w:t>
      </w:r>
    </w:p>
    <w:p w:rsidR="00000000" w:rsidRDefault="00590668">
      <w:pPr>
        <w:pStyle w:val="indenta"/>
        <w:tabs>
          <w:tab w:val="clear" w:pos="1531"/>
          <w:tab w:val="right" w:pos="1418"/>
        </w:tabs>
      </w:pPr>
      <w:r>
        <w:tab/>
        <w:t>(c)</w:t>
      </w:r>
      <w:r>
        <w:tab/>
        <w:t>an interest in a right falling within paragraph (a) or in a lease falling within paragraph (b).</w:t>
      </w:r>
    </w:p>
    <w:p w:rsidR="00000000" w:rsidRDefault="00590668">
      <w:pPr>
        <w:pStyle w:val="Definition"/>
        <w:tabs>
          <w:tab w:val="right" w:pos="1418"/>
        </w:tabs>
      </w:pPr>
      <w:r>
        <w:rPr>
          <w:b/>
          <w:bCs/>
          <w:i/>
          <w:iCs/>
        </w:rPr>
        <w:t>moneylending agreement</w:t>
      </w:r>
      <w:r>
        <w:t xml:space="preserve"> means an agreement entered into in good faith in the ordinary course of carrying on a business of lending money, not being an agreement dealing with any matter unrelated to the carrying on of that business.</w:t>
      </w:r>
    </w:p>
    <w:p w:rsidR="00000000" w:rsidRDefault="00590668">
      <w:pPr>
        <w:pStyle w:val="Definition"/>
      </w:pPr>
      <w:r>
        <w:rPr>
          <w:b/>
          <w:bCs/>
          <w:i/>
          <w:iCs/>
        </w:rPr>
        <w:t>officer</w:t>
      </w:r>
      <w:r>
        <w:t>, in relation to a corporation, includes:</w:t>
      </w:r>
    </w:p>
    <w:p w:rsidR="00000000" w:rsidRDefault="00590668">
      <w:pPr>
        <w:pStyle w:val="indenta"/>
        <w:tabs>
          <w:tab w:val="clear" w:pos="1531"/>
          <w:tab w:val="right" w:pos="1418"/>
        </w:tabs>
      </w:pPr>
      <w:r>
        <w:tab/>
        <w:t>(a)</w:t>
      </w:r>
      <w:r>
        <w:tab/>
        <w:t>a director, secretary or employee of the corporation;</w:t>
      </w:r>
    </w:p>
    <w:p w:rsidR="00000000" w:rsidRDefault="00590668">
      <w:pPr>
        <w:pStyle w:val="indenta"/>
        <w:tabs>
          <w:tab w:val="clear" w:pos="1531"/>
          <w:tab w:val="right" w:pos="1418"/>
        </w:tabs>
      </w:pPr>
      <w:r>
        <w:tab/>
        <w:t>(b)</w:t>
      </w:r>
      <w:r>
        <w:tab/>
        <w:t>a receiver and manager of any part of the undertaking of the corporation appointed under a power contained in any instrument; or</w:t>
      </w:r>
    </w:p>
    <w:p w:rsidR="00000000" w:rsidRDefault="00590668">
      <w:pPr>
        <w:pStyle w:val="indenta"/>
        <w:tabs>
          <w:tab w:val="clear" w:pos="1531"/>
          <w:tab w:val="right" w:pos="1418"/>
        </w:tabs>
      </w:pPr>
      <w:r>
        <w:tab/>
        <w:t>(c)</w:t>
      </w:r>
      <w:r>
        <w:tab/>
        <w:t xml:space="preserve">a liquidator of the corporation appointed in a voluntary </w:t>
      </w:r>
      <w:r>
        <w:t>winding up.</w:t>
      </w:r>
    </w:p>
    <w:p w:rsidR="00000000" w:rsidRDefault="00590668">
      <w:pPr>
        <w:pStyle w:val="Definition"/>
      </w:pPr>
      <w:r>
        <w:rPr>
          <w:b/>
          <w:bCs/>
          <w:i/>
          <w:iCs/>
        </w:rPr>
        <w:t>primary production</w:t>
      </w:r>
      <w:r>
        <w:t xml:space="preserve"> has the same meaning as in the </w:t>
      </w:r>
      <w:r>
        <w:rPr>
          <w:i/>
          <w:iCs/>
        </w:rPr>
        <w:t>Income Tax Assessment Act 1936</w:t>
      </w:r>
      <w:r>
        <w:t>.</w:t>
      </w:r>
    </w:p>
    <w:p w:rsidR="00000000" w:rsidRDefault="00590668">
      <w:pPr>
        <w:pStyle w:val="Definition"/>
      </w:pPr>
      <w:r>
        <w:rPr>
          <w:b/>
          <w:bCs/>
          <w:i/>
          <w:iCs/>
        </w:rPr>
        <w:t>profit and loss account</w:t>
      </w:r>
      <w:r>
        <w:t xml:space="preserve"> includes any statement of profits and losses or any similar document.</w:t>
      </w:r>
    </w:p>
    <w:p w:rsidR="00000000" w:rsidRDefault="00590668">
      <w:pPr>
        <w:pStyle w:val="Definition"/>
      </w:pPr>
      <w:r>
        <w:rPr>
          <w:b/>
          <w:bCs/>
          <w:i/>
          <w:iCs/>
        </w:rPr>
        <w:t>repealed Act</w:t>
      </w:r>
      <w:r>
        <w:t xml:space="preserve"> means the </w:t>
      </w:r>
      <w:r>
        <w:rPr>
          <w:i/>
          <w:iCs/>
        </w:rPr>
        <w:t>Companies (Foreign Take</w:t>
      </w:r>
      <w:r>
        <w:rPr>
          <w:i/>
          <w:iCs/>
        </w:rPr>
        <w:noBreakHyphen/>
        <w:t>overs) Act 1972</w:t>
      </w:r>
      <w:r>
        <w:rPr>
          <w:i/>
          <w:iCs/>
        </w:rPr>
        <w:noBreakHyphen/>
        <w:t>1974</w:t>
      </w:r>
      <w:r>
        <w:t>.</w:t>
      </w:r>
    </w:p>
    <w:p w:rsidR="00000000" w:rsidRDefault="00590668">
      <w:pPr>
        <w:pStyle w:val="Definition"/>
      </w:pPr>
      <w:r>
        <w:rPr>
          <w:b/>
          <w:bCs/>
          <w:i/>
          <w:iCs/>
        </w:rPr>
        <w:t>share</w:t>
      </w:r>
      <w:r>
        <w:t>, in relation to a corporation, means a share in the share capital of the corporation, and:</w:t>
      </w:r>
    </w:p>
    <w:p w:rsidR="00000000" w:rsidRDefault="00590668">
      <w:pPr>
        <w:pStyle w:val="indenta"/>
        <w:tabs>
          <w:tab w:val="clear" w:pos="1531"/>
          <w:tab w:val="right" w:pos="1418"/>
        </w:tabs>
      </w:pPr>
      <w:r>
        <w:tab/>
        <w:t>(a)</w:t>
      </w:r>
      <w:r>
        <w:tab/>
        <w:t>includes stock into which all or any of the share capital of the corporation has been converted; and</w:t>
      </w:r>
    </w:p>
    <w:p w:rsidR="00000000" w:rsidRDefault="00590668">
      <w:pPr>
        <w:pStyle w:val="indenta"/>
        <w:tabs>
          <w:tab w:val="clear" w:pos="1531"/>
          <w:tab w:val="right" w:pos="1418"/>
        </w:tabs>
      </w:pPr>
      <w:r>
        <w:lastRenderedPageBreak/>
        <w:tab/>
        <w:t>(b)</w:t>
      </w:r>
      <w:r>
        <w:tab/>
        <w:t>except in section 11 or 26, includes an interes</w:t>
      </w:r>
      <w:r>
        <w:t>t in such a share or in such stock.</w:t>
      </w:r>
    </w:p>
    <w:p w:rsidR="00000000" w:rsidRDefault="00590668">
      <w:pPr>
        <w:pStyle w:val="Definition"/>
      </w:pPr>
      <w:r>
        <w:rPr>
          <w:b/>
          <w:bCs/>
          <w:i/>
          <w:iCs/>
        </w:rPr>
        <w:t>Territory</w:t>
      </w:r>
      <w:r>
        <w:t xml:space="preserve"> means an internal Territory or an external Territory to which this Act extends.</w:t>
      </w:r>
    </w:p>
    <w:p w:rsidR="00000000" w:rsidRDefault="00590668">
      <w:pPr>
        <w:pStyle w:val="Definition"/>
      </w:pPr>
      <w:r>
        <w:rPr>
          <w:b/>
          <w:bCs/>
          <w:i/>
          <w:iCs/>
        </w:rPr>
        <w:t>trading corporation</w:t>
      </w:r>
      <w:r>
        <w:t xml:space="preserve"> means a trading corporation to which paragraph 51(xx) of the Constitution is applicable.</w:t>
      </w:r>
    </w:p>
    <w:p w:rsidR="00000000" w:rsidRDefault="00590668">
      <w:pPr>
        <w:pStyle w:val="Subsection"/>
      </w:pPr>
      <w:r>
        <w:tab/>
        <w:t>(2)</w:t>
      </w:r>
      <w:r>
        <w:tab/>
        <w:t>In this Act, a r</w:t>
      </w:r>
      <w:r>
        <w:t>eference to the determination of the policy of a business of exploiting a mineral right includes a reference to the determination of questions relating to the disposal of the right.</w:t>
      </w:r>
    </w:p>
    <w:p w:rsidR="00000000" w:rsidRDefault="00590668">
      <w:pPr>
        <w:pStyle w:val="Subsection"/>
      </w:pPr>
      <w:r>
        <w:tab/>
        <w:t>(3)</w:t>
      </w:r>
      <w:r>
        <w:tab/>
        <w:t>In this Act:</w:t>
      </w:r>
    </w:p>
    <w:p w:rsidR="00000000" w:rsidRDefault="00590668">
      <w:pPr>
        <w:pStyle w:val="indenta"/>
        <w:tabs>
          <w:tab w:val="clear" w:pos="1531"/>
          <w:tab w:val="right" w:pos="1418"/>
        </w:tabs>
      </w:pPr>
      <w:r>
        <w:tab/>
        <w:t>(a)</w:t>
      </w:r>
      <w:r>
        <w:tab/>
        <w:t>a reference to a person proposing to acquire shares</w:t>
      </w:r>
      <w:r>
        <w:t xml:space="preserve"> or assets includes:</w:t>
      </w:r>
    </w:p>
    <w:p w:rsidR="00000000" w:rsidRDefault="00590668">
      <w:pPr>
        <w:pStyle w:val="indentii"/>
      </w:pPr>
      <w:r>
        <w:tab/>
        <w:t>(i)</w:t>
      </w:r>
      <w:r>
        <w:tab/>
        <w:t>a reference to a person making an offer to acquire shares or assets;</w:t>
      </w:r>
    </w:p>
    <w:p w:rsidR="00000000" w:rsidRDefault="00590668">
      <w:pPr>
        <w:pStyle w:val="indentii"/>
      </w:pPr>
      <w:r>
        <w:tab/>
        <w:t>(ii)</w:t>
      </w:r>
      <w:r>
        <w:tab/>
        <w:t>a reference to a person making or publishing a statement, however expressed, that expressly or impliedly invites a holder of shares or assets to offer to d</w:t>
      </w:r>
      <w:r>
        <w:t>ispose of shares or assets; and</w:t>
      </w:r>
    </w:p>
    <w:p w:rsidR="00000000" w:rsidRDefault="00590668">
      <w:pPr>
        <w:pStyle w:val="indentii"/>
      </w:pPr>
      <w:r>
        <w:tab/>
        <w:t>(iii)</w:t>
      </w:r>
      <w:r>
        <w:tab/>
        <w:t>a reference to a person taking part in, or proposing to take part in, negotiations with a view to the acquisition of shares or assets;</w:t>
      </w:r>
    </w:p>
    <w:p w:rsidR="00000000" w:rsidRDefault="00590668">
      <w:pPr>
        <w:pStyle w:val="indenta"/>
      </w:pPr>
      <w:r>
        <w:tab/>
        <w:t>(aa)</w:t>
      </w:r>
      <w:r>
        <w:tab/>
        <w:t>a reference to a person proposing to acquire an interest in Australian urban</w:t>
      </w:r>
      <w:r>
        <w:t xml:space="preserve"> land includes:</w:t>
      </w:r>
    </w:p>
    <w:p w:rsidR="00000000" w:rsidRDefault="00590668">
      <w:pPr>
        <w:pStyle w:val="indentii"/>
      </w:pPr>
      <w:r>
        <w:tab/>
        <w:t>(i)</w:t>
      </w:r>
      <w:r>
        <w:tab/>
        <w:t>a reference to a person making an offer to acquire such an interest;</w:t>
      </w:r>
    </w:p>
    <w:p w:rsidR="00000000" w:rsidRDefault="00590668">
      <w:pPr>
        <w:pStyle w:val="indentii"/>
      </w:pPr>
      <w:r>
        <w:tab/>
        <w:t>(ii)</w:t>
      </w:r>
      <w:r>
        <w:tab/>
        <w:t>a reference to a person making or publishing a statement, however expressed, that expressly or impliedly invites a holder of such an interest to offer to dispos</w:t>
      </w:r>
      <w:r>
        <w:t>e of that interest; and</w:t>
      </w:r>
    </w:p>
    <w:p w:rsidR="00000000" w:rsidRDefault="00590668">
      <w:pPr>
        <w:pStyle w:val="indentii"/>
      </w:pPr>
      <w:r>
        <w:tab/>
        <w:t>(iii)</w:t>
      </w:r>
      <w:r>
        <w:tab/>
        <w:t>a reference to a person taking part in, or proposing to take part in, negotiations with a view to the acquisition of such an interest;</w:t>
      </w:r>
    </w:p>
    <w:p w:rsidR="00000000" w:rsidRDefault="00590668">
      <w:pPr>
        <w:pStyle w:val="indenta"/>
      </w:pPr>
      <w:r>
        <w:tab/>
        <w:t>(b)</w:t>
      </w:r>
      <w:r>
        <w:tab/>
        <w:t xml:space="preserve">a reference to a person proposing to enter into an agreement or arrangement includes </w:t>
      </w:r>
      <w:r>
        <w:t>a reference to a person taking part in, or proposing to take part in, negotiations with a view to entering into an agreement or arrangement; and</w:t>
      </w:r>
    </w:p>
    <w:p w:rsidR="00000000" w:rsidRDefault="00590668">
      <w:pPr>
        <w:pStyle w:val="indenta"/>
      </w:pPr>
      <w:r>
        <w:tab/>
        <w:t>(c)</w:t>
      </w:r>
      <w:r>
        <w:tab/>
        <w:t>a reference to a person proposing to terminate an arrangement includes a reference to a person taking part</w:t>
      </w:r>
      <w:r>
        <w:t xml:space="preserve"> in, or proposing to take part in, negotiations with a view to terminating an arrangement.</w:t>
      </w:r>
    </w:p>
    <w:p w:rsidR="00000000" w:rsidRDefault="00590668">
      <w:pPr>
        <w:pStyle w:val="Subsection"/>
      </w:pPr>
      <w:r>
        <w:tab/>
        <w:t>(4)</w:t>
      </w:r>
      <w:r>
        <w:tab/>
        <w:t xml:space="preserve">In this Act, a reference to entering into an arrangement is a reference to entering into any formal or informal scheme, arrangement or </w:t>
      </w:r>
      <w:r>
        <w:lastRenderedPageBreak/>
        <w:t>understanding, whether ex</w:t>
      </w:r>
      <w:r>
        <w:t>pressly or by implication, and, without limiting the generality of the foregoing, includes a reference to:</w:t>
      </w:r>
    </w:p>
    <w:p w:rsidR="00000000" w:rsidRDefault="00590668">
      <w:pPr>
        <w:pStyle w:val="indenta"/>
        <w:tabs>
          <w:tab w:val="clear" w:pos="1531"/>
          <w:tab w:val="right" w:pos="1418"/>
        </w:tabs>
      </w:pPr>
      <w:r>
        <w:tab/>
        <w:t>(a)</w:t>
      </w:r>
      <w:r>
        <w:tab/>
        <w:t>entering into an agreement, other than a moneylending agreement;</w:t>
      </w:r>
    </w:p>
    <w:p w:rsidR="00000000" w:rsidRDefault="00590668">
      <w:pPr>
        <w:pStyle w:val="indenta"/>
        <w:tabs>
          <w:tab w:val="clear" w:pos="1531"/>
          <w:tab w:val="right" w:pos="1418"/>
        </w:tabs>
      </w:pPr>
      <w:r>
        <w:tab/>
        <w:t>(b)</w:t>
      </w:r>
      <w:r>
        <w:tab/>
        <w:t>creating a trust, whether express or implied; and</w:t>
      </w:r>
    </w:p>
    <w:p w:rsidR="00000000" w:rsidRDefault="00590668">
      <w:pPr>
        <w:pStyle w:val="indenta"/>
        <w:keepNext/>
        <w:tabs>
          <w:tab w:val="clear" w:pos="1531"/>
          <w:tab w:val="right" w:pos="1418"/>
        </w:tabs>
      </w:pPr>
      <w:r>
        <w:tab/>
        <w:t>(c)</w:t>
      </w:r>
      <w:r>
        <w:tab/>
      </w:r>
      <w:r>
        <w:t>entering into a transaction;</w:t>
      </w:r>
    </w:p>
    <w:p w:rsidR="00000000" w:rsidRDefault="00590668">
      <w:pPr>
        <w:pStyle w:val="subsection2"/>
      </w:pPr>
      <w:r>
        <w:t>and references to an arrangement shall be construed accordingly.</w:t>
      </w:r>
    </w:p>
    <w:p w:rsidR="00000000" w:rsidRDefault="00590668">
      <w:pPr>
        <w:pStyle w:val="Subsection"/>
      </w:pPr>
      <w:r>
        <w:tab/>
        <w:t>(5)</w:t>
      </w:r>
      <w:r>
        <w:tab/>
        <w:t>In this Act, a reference to entering into an agreement or arrangement includes a reference to altering or varying an agreement or arrangement.</w:t>
      </w:r>
    </w:p>
    <w:p w:rsidR="00000000" w:rsidRDefault="00590668">
      <w:pPr>
        <w:pStyle w:val="Subsection"/>
      </w:pPr>
      <w:r>
        <w:tab/>
        <w:t>(6)</w:t>
      </w:r>
      <w:r>
        <w:tab/>
        <w:t>In this A</w:t>
      </w:r>
      <w:r>
        <w:t>ct, an act done or proposed to be done by an agent on behalf of his principal shall be deemed to be done or proposed to be done by his principal.</w:t>
      </w:r>
    </w:p>
    <w:p w:rsidR="00000000" w:rsidRDefault="00590668">
      <w:pPr>
        <w:pStyle w:val="Subsection"/>
      </w:pPr>
      <w:r>
        <w:tab/>
        <w:t>(8)</w:t>
      </w:r>
      <w:r>
        <w:tab/>
        <w:t>A reference in this Act to an offence against this Act or against a particular provision of this Act incl</w:t>
      </w:r>
      <w:r>
        <w:t>udes a reference to an offence consisting of an attempt to commit such an offence.</w:t>
      </w:r>
    </w:p>
    <w:p w:rsidR="00000000" w:rsidRDefault="00590668">
      <w:pPr>
        <w:pStyle w:val="Heading5"/>
      </w:pPr>
      <w:r>
        <w:rPr>
          <w:rStyle w:val="CharSectno"/>
        </w:rPr>
        <w:t>5A</w:t>
      </w:r>
      <w:r>
        <w:t xml:space="preserve">  Ordinarily resident non</w:t>
      </w:r>
      <w:r>
        <w:noBreakHyphen/>
        <w:t>citizens</w:t>
      </w:r>
    </w:p>
    <w:p w:rsidR="00000000" w:rsidRDefault="00590668">
      <w:pPr>
        <w:pStyle w:val="Subsection"/>
      </w:pPr>
      <w:r>
        <w:tab/>
        <w:t>(1)</w:t>
      </w:r>
      <w:r>
        <w:tab/>
        <w:t>For the purposes of this Act, a natural person who is not an Australian citizen is ordinarily resident in Australia at a particular</w:t>
      </w:r>
      <w:r>
        <w:t xml:space="preserve"> time if and only if:</w:t>
      </w:r>
    </w:p>
    <w:p w:rsidR="00000000" w:rsidRDefault="00590668">
      <w:pPr>
        <w:pStyle w:val="indenta"/>
        <w:tabs>
          <w:tab w:val="clear" w:pos="1531"/>
          <w:tab w:val="right" w:pos="1418"/>
        </w:tabs>
      </w:pPr>
      <w:r>
        <w:tab/>
        <w:t>(a)</w:t>
      </w:r>
      <w:r>
        <w:tab/>
        <w:t>the person has actually been in Australia during 200 or more days in the period of 12 months immediately preceding that time; and</w:t>
      </w:r>
    </w:p>
    <w:p w:rsidR="00000000" w:rsidRDefault="00590668">
      <w:pPr>
        <w:pStyle w:val="indenta"/>
        <w:tabs>
          <w:tab w:val="clear" w:pos="1531"/>
          <w:tab w:val="right" w:pos="1418"/>
        </w:tabs>
      </w:pPr>
      <w:r>
        <w:tab/>
        <w:t>(b)</w:t>
      </w:r>
      <w:r>
        <w:tab/>
        <w:t>at that time, either:</w:t>
      </w:r>
    </w:p>
    <w:p w:rsidR="00000000" w:rsidRDefault="00590668">
      <w:pPr>
        <w:pStyle w:val="indentii"/>
      </w:pPr>
      <w:r>
        <w:tab/>
        <w:t>(i)</w:t>
      </w:r>
      <w:r>
        <w:tab/>
        <w:t>the person is in Australia and the person’s continued presence in A</w:t>
      </w:r>
      <w:r>
        <w:t>ustralia is not subject to any limitation as to time imposed by law; or</w:t>
      </w:r>
    </w:p>
    <w:p w:rsidR="00000000" w:rsidRDefault="00590668">
      <w:pPr>
        <w:pStyle w:val="indentii"/>
      </w:pPr>
      <w:r>
        <w:tab/>
        <w:t>(ii)</w:t>
      </w:r>
      <w:r>
        <w:tab/>
        <w:t>the person is not in Australia but, immediately before the person’s most recent departure from Australia, the person’s continued presence in Australia was not subject to any limi</w:t>
      </w:r>
      <w:r>
        <w:t>tation as to time imposed by law.</w:t>
      </w:r>
    </w:p>
    <w:p w:rsidR="00000000" w:rsidRDefault="00590668">
      <w:pPr>
        <w:pStyle w:val="Subsection"/>
      </w:pPr>
      <w:r>
        <w:tab/>
        <w:t>(2)</w:t>
      </w:r>
      <w:r>
        <w:tab/>
        <w:t>For the purposes of paragraph (1)(b), but without otherwise limiting the generality of that paragraph, a person’s continued presence in Australia is subject to a limitation as to time imposed by law if the person is a</w:t>
      </w:r>
      <w:r>
        <w:t>n unlawful non</w:t>
      </w:r>
      <w:r>
        <w:noBreakHyphen/>
        <w:t xml:space="preserve">citizen within the meaning of the </w:t>
      </w:r>
      <w:r>
        <w:rPr>
          <w:i/>
          <w:iCs/>
        </w:rPr>
        <w:t>Migration Act 1958</w:t>
      </w:r>
      <w:r>
        <w:t>.</w:t>
      </w:r>
    </w:p>
    <w:p w:rsidR="00000000" w:rsidRDefault="00590668">
      <w:pPr>
        <w:pStyle w:val="Heading5"/>
      </w:pPr>
      <w:r>
        <w:rPr>
          <w:rStyle w:val="CharSectno"/>
        </w:rPr>
        <w:t>6</w:t>
      </w:r>
      <w:r>
        <w:t xml:space="preserve">  Associates</w:t>
      </w:r>
    </w:p>
    <w:p w:rsidR="00000000" w:rsidRDefault="00590668">
      <w:pPr>
        <w:pStyle w:val="Subsection"/>
      </w:pPr>
      <w:r>
        <w:tab/>
      </w:r>
      <w:r>
        <w:tab/>
        <w:t>For the purposes of this Act, the following persons are associates of a person:</w:t>
      </w:r>
    </w:p>
    <w:p w:rsidR="00000000" w:rsidRDefault="00590668">
      <w:pPr>
        <w:pStyle w:val="indenta"/>
        <w:tabs>
          <w:tab w:val="clear" w:pos="1531"/>
          <w:tab w:val="right" w:pos="1418"/>
        </w:tabs>
      </w:pPr>
      <w:r>
        <w:tab/>
        <w:t>(a)</w:t>
      </w:r>
      <w:r>
        <w:tab/>
        <w:t>the person’s spouse or a parent or remoter lineal ancestor, son, daughter or remoter i</w:t>
      </w:r>
      <w:r>
        <w:t>ssue, brother or sister of the person;</w:t>
      </w:r>
    </w:p>
    <w:p w:rsidR="00000000" w:rsidRDefault="00590668">
      <w:pPr>
        <w:pStyle w:val="indenta"/>
        <w:tabs>
          <w:tab w:val="clear" w:pos="1531"/>
          <w:tab w:val="right" w:pos="1418"/>
        </w:tabs>
      </w:pPr>
      <w:r>
        <w:tab/>
        <w:t>(b)</w:t>
      </w:r>
      <w:r>
        <w:tab/>
        <w:t>any partner of the person;</w:t>
      </w:r>
    </w:p>
    <w:p w:rsidR="00000000" w:rsidRDefault="00590668">
      <w:pPr>
        <w:pStyle w:val="indenta"/>
        <w:tabs>
          <w:tab w:val="clear" w:pos="1531"/>
          <w:tab w:val="right" w:pos="1418"/>
        </w:tabs>
      </w:pPr>
      <w:r>
        <w:lastRenderedPageBreak/>
        <w:tab/>
        <w:t>(c)</w:t>
      </w:r>
      <w:r>
        <w:tab/>
        <w:t>any corporation of which the person is an officer;</w:t>
      </w:r>
    </w:p>
    <w:p w:rsidR="00000000" w:rsidRDefault="00590668">
      <w:pPr>
        <w:pStyle w:val="indenta"/>
        <w:tabs>
          <w:tab w:val="clear" w:pos="1531"/>
          <w:tab w:val="right" w:pos="1418"/>
        </w:tabs>
      </w:pPr>
      <w:r>
        <w:tab/>
        <w:t>(d)</w:t>
      </w:r>
      <w:r>
        <w:tab/>
        <w:t>where the person is a corporation—any officer of the corporation;</w:t>
      </w:r>
    </w:p>
    <w:p w:rsidR="00000000" w:rsidRDefault="00590668">
      <w:pPr>
        <w:pStyle w:val="indenta"/>
        <w:tabs>
          <w:tab w:val="clear" w:pos="1531"/>
          <w:tab w:val="right" w:pos="1418"/>
        </w:tabs>
      </w:pPr>
      <w:r>
        <w:tab/>
        <w:t>(e)</w:t>
      </w:r>
      <w:r>
        <w:tab/>
        <w:t>any employee or employer of the person;</w:t>
      </w:r>
    </w:p>
    <w:p w:rsidR="00000000" w:rsidRDefault="00590668">
      <w:pPr>
        <w:pStyle w:val="indenta"/>
        <w:tabs>
          <w:tab w:val="clear" w:pos="1531"/>
          <w:tab w:val="right" w:pos="1418"/>
        </w:tabs>
      </w:pPr>
      <w:r>
        <w:tab/>
        <w:t>(f)</w:t>
      </w:r>
      <w:r>
        <w:tab/>
        <w:t>any offi</w:t>
      </w:r>
      <w:r>
        <w:t>cer of any corporation of which the person is an officer;</w:t>
      </w:r>
    </w:p>
    <w:p w:rsidR="00000000" w:rsidRDefault="00590668">
      <w:pPr>
        <w:pStyle w:val="indenta"/>
        <w:tabs>
          <w:tab w:val="clear" w:pos="1531"/>
          <w:tab w:val="right" w:pos="1418"/>
        </w:tabs>
      </w:pPr>
      <w:r>
        <w:tab/>
        <w:t>(g)</w:t>
      </w:r>
      <w:r>
        <w:tab/>
        <w:t>any employee of a natural person of whom the person is an employee;</w:t>
      </w:r>
    </w:p>
    <w:p w:rsidR="00000000" w:rsidRDefault="00590668">
      <w:pPr>
        <w:pStyle w:val="indenta"/>
        <w:tabs>
          <w:tab w:val="clear" w:pos="1531"/>
          <w:tab w:val="right" w:pos="1418"/>
        </w:tabs>
      </w:pPr>
      <w:r>
        <w:tab/>
        <w:t>(h)</w:t>
      </w:r>
      <w:r>
        <w:tab/>
        <w:t xml:space="preserve">any corporation whose directors are accustomed or under an obligation, whether formal or informal, to act in accordance </w:t>
      </w:r>
      <w:r>
        <w:t>with the directions, instructions or wishes of the person or, where the person is a corporation, of the directors of the person;</w:t>
      </w:r>
    </w:p>
    <w:p w:rsidR="00000000" w:rsidRDefault="00590668">
      <w:pPr>
        <w:pStyle w:val="indenta"/>
        <w:tabs>
          <w:tab w:val="clear" w:pos="1531"/>
          <w:tab w:val="right" w:pos="1418"/>
        </w:tabs>
      </w:pPr>
      <w:r>
        <w:tab/>
        <w:t>(i)</w:t>
      </w:r>
      <w:r>
        <w:tab/>
        <w:t>any corporation in accordance with the directions, instructions or wishes of which, or of the directors of which, the pers</w:t>
      </w:r>
      <w:r>
        <w:t>on is accustomed or under an obligation, whether formal or informal, to act;</w:t>
      </w:r>
    </w:p>
    <w:p w:rsidR="00000000" w:rsidRDefault="00590668">
      <w:pPr>
        <w:pStyle w:val="indenta"/>
        <w:tabs>
          <w:tab w:val="clear" w:pos="1531"/>
          <w:tab w:val="right" w:pos="1418"/>
        </w:tabs>
      </w:pPr>
      <w:r>
        <w:tab/>
        <w:t>(j)</w:t>
      </w:r>
      <w:r>
        <w:tab/>
        <w:t>any corporation in which the person holds a substantial interest;</w:t>
      </w:r>
    </w:p>
    <w:p w:rsidR="00000000" w:rsidRDefault="00590668">
      <w:pPr>
        <w:pStyle w:val="indenta"/>
        <w:tabs>
          <w:tab w:val="clear" w:pos="1531"/>
          <w:tab w:val="right" w:pos="1418"/>
        </w:tabs>
      </w:pPr>
      <w:r>
        <w:tab/>
        <w:t>(k)</w:t>
      </w:r>
      <w:r>
        <w:tab/>
        <w:t>where the person is a corporation—a person who holds a substantial interest in the corporation;</w:t>
      </w:r>
    </w:p>
    <w:p w:rsidR="00000000" w:rsidRDefault="00590668">
      <w:pPr>
        <w:pStyle w:val="indenta"/>
        <w:tabs>
          <w:tab w:val="clear" w:pos="1531"/>
          <w:tab w:val="right" w:pos="1418"/>
        </w:tabs>
      </w:pPr>
      <w:r>
        <w:tab/>
        <w:t>(ka)</w:t>
      </w:r>
      <w:r>
        <w:tab/>
        <w:t>t</w:t>
      </w:r>
      <w:r>
        <w:t>he trustee of a trust estate in which the person holds a substantial interest;</w:t>
      </w:r>
    </w:p>
    <w:p w:rsidR="00000000" w:rsidRDefault="00590668">
      <w:pPr>
        <w:pStyle w:val="indenta"/>
        <w:tabs>
          <w:tab w:val="clear" w:pos="1531"/>
          <w:tab w:val="right" w:pos="1418"/>
        </w:tabs>
      </w:pPr>
      <w:r>
        <w:tab/>
        <w:t>(kb)</w:t>
      </w:r>
      <w:r>
        <w:tab/>
        <w:t>where the person is the trustee of a trust estate—a person who holds a substantial interest in the trust estate;</w:t>
      </w:r>
    </w:p>
    <w:p w:rsidR="00000000" w:rsidRDefault="00590668">
      <w:pPr>
        <w:pStyle w:val="indenta"/>
        <w:tabs>
          <w:tab w:val="clear" w:pos="1531"/>
          <w:tab w:val="right" w:pos="1418"/>
        </w:tabs>
      </w:pPr>
      <w:r>
        <w:tab/>
        <w:t>(l)</w:t>
      </w:r>
      <w:r>
        <w:tab/>
      </w:r>
      <w:r>
        <w:t>any person who is, by virtue of this section, an associate of any other person who is an associate of the person (including a person who is an associate of the person by another application or other applications of this paragraph).</w:t>
      </w:r>
    </w:p>
    <w:p w:rsidR="00000000" w:rsidRDefault="00590668">
      <w:pPr>
        <w:pStyle w:val="Heading5"/>
      </w:pPr>
      <w:r>
        <w:rPr>
          <w:rStyle w:val="CharSectno"/>
        </w:rPr>
        <w:t>7</w:t>
      </w:r>
      <w:r>
        <w:t xml:space="preserve">  Australian business</w:t>
      </w:r>
    </w:p>
    <w:p w:rsidR="00000000" w:rsidRDefault="00590668">
      <w:pPr>
        <w:pStyle w:val="Subsection"/>
      </w:pPr>
      <w:r>
        <w:tab/>
      </w:r>
      <w:r>
        <w:t>(1)</w:t>
      </w:r>
      <w:r>
        <w:tab/>
        <w:t>A reference in this Act to an Australian business is a reference to a business that is carried on wholly or partly in Australia in anticipation of profit or gain.</w:t>
      </w:r>
    </w:p>
    <w:p w:rsidR="00000000" w:rsidRDefault="00590668">
      <w:pPr>
        <w:pStyle w:val="Subsection"/>
      </w:pPr>
      <w:r>
        <w:tab/>
        <w:t>(2)</w:t>
      </w:r>
      <w:r>
        <w:tab/>
        <w:t xml:space="preserve">For the purposes of this Act, the holder of a mineral right shall, by virtue of his </w:t>
      </w:r>
      <w:r>
        <w:t>holding that right, be deemed to carry on in Australia, in anticipation of profit or gain, a business of exploiting that right, and that right shall be deemed to be an asset of that business.</w:t>
      </w:r>
    </w:p>
    <w:p w:rsidR="00000000" w:rsidRDefault="00590668">
      <w:pPr>
        <w:pStyle w:val="Subsection"/>
      </w:pPr>
      <w:r>
        <w:tab/>
        <w:t>(3)</w:t>
      </w:r>
      <w:r>
        <w:tab/>
        <w:t>A reference in this Act, other than this section, to an Aus</w:t>
      </w:r>
      <w:r>
        <w:t>tralian business does not include a reference to a business that is, or is deemed to be, carried on by any of the following persons, whether alone or together with any other person or persons:</w:t>
      </w:r>
    </w:p>
    <w:p w:rsidR="00000000" w:rsidRDefault="00590668">
      <w:pPr>
        <w:pStyle w:val="indenta"/>
        <w:tabs>
          <w:tab w:val="clear" w:pos="1531"/>
          <w:tab w:val="right" w:pos="1418"/>
        </w:tabs>
      </w:pPr>
      <w:r>
        <w:tab/>
        <w:t>(a)</w:t>
      </w:r>
      <w:r>
        <w:tab/>
        <w:t>the Commonwealth, a State or a Territory;</w:t>
      </w:r>
    </w:p>
    <w:p w:rsidR="00000000" w:rsidRDefault="00590668">
      <w:pPr>
        <w:pStyle w:val="indenta"/>
        <w:tabs>
          <w:tab w:val="clear" w:pos="1531"/>
          <w:tab w:val="right" w:pos="1418"/>
        </w:tabs>
      </w:pPr>
      <w:r>
        <w:tab/>
        <w:t>(b)</w:t>
      </w:r>
      <w:r>
        <w:tab/>
        <w:t>a corporati</w:t>
      </w:r>
      <w:r>
        <w:t>on constituted for a public purpose by a law of the Commonwealth or of a State or Territory; or</w:t>
      </w:r>
    </w:p>
    <w:p w:rsidR="00000000" w:rsidRDefault="00590668">
      <w:pPr>
        <w:pStyle w:val="indenta"/>
        <w:tabs>
          <w:tab w:val="clear" w:pos="1531"/>
          <w:tab w:val="right" w:pos="1418"/>
        </w:tabs>
      </w:pPr>
      <w:r>
        <w:lastRenderedPageBreak/>
        <w:tab/>
        <w:t>(c)</w:t>
      </w:r>
      <w:r>
        <w:tab/>
        <w:t>a local governing body.</w:t>
      </w:r>
    </w:p>
    <w:p w:rsidR="00000000" w:rsidRDefault="00590668">
      <w:pPr>
        <w:pStyle w:val="Heading5"/>
      </w:pPr>
      <w:r>
        <w:rPr>
          <w:rStyle w:val="CharSectno"/>
        </w:rPr>
        <w:t>8</w:t>
      </w:r>
      <w:r>
        <w:t xml:space="preserve">  Control of voting power</w:t>
      </w:r>
    </w:p>
    <w:p w:rsidR="00000000" w:rsidRDefault="00590668">
      <w:pPr>
        <w:pStyle w:val="Subsection"/>
      </w:pPr>
      <w:r>
        <w:tab/>
      </w:r>
      <w:r>
        <w:tab/>
        <w:t>A reference in this Act to control of the voting power in a corporation is a reference to control that</w:t>
      </w:r>
      <w:r>
        <w:t xml:space="preserve"> is direct or indirect, including control that is exercisable as a result or by means of arrangements or practices, whether or not having legal or equitable force, and whether or not based on legal or equitable rights.</w:t>
      </w:r>
    </w:p>
    <w:p w:rsidR="00000000" w:rsidRDefault="00590668">
      <w:pPr>
        <w:pStyle w:val="Heading5"/>
      </w:pPr>
      <w:r>
        <w:rPr>
          <w:rStyle w:val="CharSectno"/>
        </w:rPr>
        <w:t>9</w:t>
      </w:r>
      <w:r>
        <w:t xml:space="preserve">  Substantial and controlling intere</w:t>
      </w:r>
      <w:r>
        <w:t>sts in corporations</w:t>
      </w:r>
    </w:p>
    <w:p w:rsidR="00000000" w:rsidRDefault="00590668">
      <w:pPr>
        <w:pStyle w:val="Subsection"/>
      </w:pPr>
      <w:r>
        <w:tab/>
        <w:t>(1)</w:t>
      </w:r>
      <w:r>
        <w:tab/>
        <w:t>For the purposes of this Act:</w:t>
      </w:r>
    </w:p>
    <w:p w:rsidR="00000000" w:rsidRDefault="00590668">
      <w:pPr>
        <w:pStyle w:val="indenta"/>
        <w:tabs>
          <w:tab w:val="clear" w:pos="1531"/>
          <w:tab w:val="right" w:pos="1418"/>
        </w:tabs>
      </w:pPr>
      <w:r>
        <w:tab/>
        <w:t>(a)</w:t>
      </w:r>
      <w:r>
        <w:tab/>
        <w:t>a person shall be taken to hold a substantial interest in a corporation if the person, alone or together with any associate or associates of the person, is in a position to control not less than 1</w:t>
      </w:r>
      <w:r>
        <w:t>5 per centum of the voting power in the corporation or holds interests in not less than 15 per centum of the issued shares in the corporation; and</w:t>
      </w:r>
    </w:p>
    <w:p w:rsidR="00000000" w:rsidRDefault="00590668">
      <w:pPr>
        <w:pStyle w:val="indenta"/>
        <w:tabs>
          <w:tab w:val="clear" w:pos="1531"/>
          <w:tab w:val="right" w:pos="1418"/>
        </w:tabs>
      </w:pPr>
      <w:r>
        <w:tab/>
        <w:t>(b)</w:t>
      </w:r>
      <w:r>
        <w:tab/>
        <w:t>2 or more persons shall be taken to hold an aggregate substantial interest in a corporation if they, tog</w:t>
      </w:r>
      <w:r>
        <w:t>ether with any associate or associates of any of them, are in a position to control not less than 40 per centum of the voting power in the corporation or hold interests in not less than 40 per centum of the issued shares in the corporation.</w:t>
      </w:r>
    </w:p>
    <w:p w:rsidR="00000000" w:rsidRDefault="00590668">
      <w:pPr>
        <w:pStyle w:val="Subsection"/>
      </w:pPr>
      <w:r>
        <w:tab/>
        <w:t>(2)</w:t>
      </w:r>
      <w:r>
        <w:tab/>
        <w:t>Where:</w:t>
      </w:r>
    </w:p>
    <w:p w:rsidR="00000000" w:rsidRDefault="00590668">
      <w:pPr>
        <w:pStyle w:val="indenta"/>
        <w:tabs>
          <w:tab w:val="clear" w:pos="1531"/>
          <w:tab w:val="right" w:pos="1418"/>
        </w:tabs>
      </w:pPr>
      <w:r>
        <w:tab/>
        <w:t>(a</w:t>
      </w:r>
      <w:r>
        <w:t>)</w:t>
      </w:r>
      <w:r>
        <w:tab/>
        <w:t>a person holds a substantial interest in a corporation; or</w:t>
      </w:r>
    </w:p>
    <w:p w:rsidR="00000000" w:rsidRDefault="00590668">
      <w:pPr>
        <w:pStyle w:val="indenta"/>
        <w:keepNext/>
        <w:tabs>
          <w:tab w:val="clear" w:pos="1531"/>
          <w:tab w:val="right" w:pos="1418"/>
        </w:tabs>
      </w:pPr>
      <w:r>
        <w:tab/>
        <w:t>(b)</w:t>
      </w:r>
      <w:r>
        <w:tab/>
        <w:t>2 or more persons hold an aggregate substantial interest in a corporation;</w:t>
      </w:r>
    </w:p>
    <w:p w:rsidR="00000000" w:rsidRDefault="00590668">
      <w:pPr>
        <w:pStyle w:val="subsection2"/>
      </w:pPr>
      <w:r>
        <w:t>that person shall be taken to hold a controlling interest in the corporation, or those persons shall be taken to ho</w:t>
      </w:r>
      <w:r>
        <w:t>ld an aggregate controlling interest in the corporation, as the case may be, unless the Treasurer is satisfied that, having regard to all the circumstances, that person together with the associate or associates (if any) of that person is not, or those pers</w:t>
      </w:r>
      <w:r>
        <w:t>ons together with the associate or associates (if any) of each of them are not, in a position to determine the policy of the corporation.</w:t>
      </w:r>
    </w:p>
    <w:p w:rsidR="00000000" w:rsidRDefault="00590668">
      <w:pPr>
        <w:pStyle w:val="Heading5"/>
      </w:pPr>
      <w:r>
        <w:rPr>
          <w:rStyle w:val="CharSectno"/>
        </w:rPr>
        <w:t>9A</w:t>
      </w:r>
      <w:r>
        <w:t xml:space="preserve">  Substantial interests in trust estates</w:t>
      </w:r>
    </w:p>
    <w:p w:rsidR="00000000" w:rsidRDefault="00590668">
      <w:pPr>
        <w:pStyle w:val="Subsection"/>
      </w:pPr>
      <w:r>
        <w:tab/>
        <w:t>(1)</w:t>
      </w:r>
      <w:r>
        <w:tab/>
        <w:t>For the purposes of this Act:</w:t>
      </w:r>
    </w:p>
    <w:p w:rsidR="00000000" w:rsidRDefault="00590668">
      <w:pPr>
        <w:pStyle w:val="indenta"/>
        <w:tabs>
          <w:tab w:val="clear" w:pos="1531"/>
          <w:tab w:val="right" w:pos="1418"/>
        </w:tabs>
      </w:pPr>
      <w:r>
        <w:tab/>
        <w:t>(a)</w:t>
      </w:r>
      <w:r>
        <w:tab/>
        <w:t>a person shall be taken to hold a s</w:t>
      </w:r>
      <w:r>
        <w:t>ubstantial interest in a trust estate if the person, alone or together with an associate or associates, holds a beneficial interest in not less than 15 per cent of the corpus or income of the trust estate; or</w:t>
      </w:r>
    </w:p>
    <w:p w:rsidR="00000000" w:rsidRDefault="00590668">
      <w:pPr>
        <w:pStyle w:val="indenta"/>
        <w:tabs>
          <w:tab w:val="clear" w:pos="1531"/>
          <w:tab w:val="right" w:pos="1418"/>
        </w:tabs>
      </w:pPr>
      <w:r>
        <w:lastRenderedPageBreak/>
        <w:tab/>
        <w:t>(b)</w:t>
      </w:r>
      <w:r>
        <w:tab/>
        <w:t>2 or more persons shall be taken to hold a</w:t>
      </w:r>
      <w:r>
        <w:t>n aggregate substantial interest in a trust estate if the persons, together with an associate or associates, hold, in the aggregate, beneficial interests in not less than 40 per cent of the corpus or income of the trust estate.</w:t>
      </w:r>
    </w:p>
    <w:p w:rsidR="00000000" w:rsidRDefault="00590668">
      <w:pPr>
        <w:pStyle w:val="Subsection"/>
      </w:pPr>
      <w:r>
        <w:tab/>
        <w:t>(2)</w:t>
      </w:r>
      <w:r>
        <w:tab/>
        <w:t xml:space="preserve">Where, under the terms </w:t>
      </w:r>
      <w:r>
        <w:t>of a trust, a trustee has a power or discretion as to the distribution of the income or corpus of the trust estate to beneficiaries, each beneficiary shall, for the purposes of subsection (1), be taken to hold a beneficial interest in the maximum percentag</w:t>
      </w:r>
      <w:r>
        <w:t>e of income or corpus of the trust estate that the trustee is empowered to distribute to that beneficiary.</w:t>
      </w:r>
    </w:p>
    <w:p w:rsidR="00000000" w:rsidRDefault="00590668">
      <w:pPr>
        <w:pStyle w:val="Heading5"/>
      </w:pPr>
      <w:r>
        <w:rPr>
          <w:rStyle w:val="CharSectno"/>
        </w:rPr>
        <w:t>10</w:t>
      </w:r>
      <w:r>
        <w:t xml:space="preserve">  Holding corporations and subsidiaries</w:t>
      </w:r>
    </w:p>
    <w:p w:rsidR="00000000" w:rsidRDefault="00590668">
      <w:pPr>
        <w:pStyle w:val="Subsection"/>
      </w:pPr>
      <w:r>
        <w:tab/>
        <w:t>(1)</w:t>
      </w:r>
      <w:r>
        <w:tab/>
        <w:t>For the purposes of this Act, but subject to subsection (2):</w:t>
      </w:r>
    </w:p>
    <w:p w:rsidR="00000000" w:rsidRDefault="00590668">
      <w:pPr>
        <w:pStyle w:val="indenta"/>
        <w:tabs>
          <w:tab w:val="clear" w:pos="1531"/>
          <w:tab w:val="right" w:pos="1418"/>
        </w:tabs>
      </w:pPr>
      <w:r>
        <w:tab/>
        <w:t>(a)</w:t>
      </w:r>
      <w:r>
        <w:tab/>
        <w:t xml:space="preserve">a corporation shall be deemed to be </w:t>
      </w:r>
      <w:r>
        <w:t>a subsidiary of another corporation if that other corporation:</w:t>
      </w:r>
    </w:p>
    <w:p w:rsidR="00000000" w:rsidRDefault="00590668">
      <w:pPr>
        <w:pStyle w:val="indentii"/>
        <w:tabs>
          <w:tab w:val="clear" w:pos="1985"/>
          <w:tab w:val="right" w:pos="1843"/>
        </w:tabs>
      </w:pPr>
      <w:r>
        <w:tab/>
        <w:t>(i)</w:t>
      </w:r>
      <w:r>
        <w:tab/>
        <w:t>is in a position to control more than one</w:t>
      </w:r>
      <w:r>
        <w:noBreakHyphen/>
        <w:t>half of the voting power in the first</w:t>
      </w:r>
      <w:r>
        <w:noBreakHyphen/>
        <w:t>mentioned corporation; or</w:t>
      </w:r>
    </w:p>
    <w:p w:rsidR="00000000" w:rsidRDefault="00590668">
      <w:pPr>
        <w:pStyle w:val="indentii"/>
        <w:tabs>
          <w:tab w:val="clear" w:pos="1985"/>
          <w:tab w:val="right" w:pos="1843"/>
        </w:tabs>
      </w:pPr>
      <w:r>
        <w:tab/>
        <w:t>(ii)</w:t>
      </w:r>
      <w:r>
        <w:tab/>
        <w:t>holds more than one</w:t>
      </w:r>
      <w:r>
        <w:noBreakHyphen/>
        <w:t>half of the issued shares in the first</w:t>
      </w:r>
      <w:r>
        <w:noBreakHyphen/>
      </w:r>
      <w:r>
        <w:t>mentioned corporation (excluding any shares that carry no right to participate beyond a specified amount in a distribution of either profits or capital); and</w:t>
      </w:r>
    </w:p>
    <w:p w:rsidR="00000000" w:rsidRDefault="00590668">
      <w:pPr>
        <w:pStyle w:val="indenta"/>
        <w:tabs>
          <w:tab w:val="clear" w:pos="1531"/>
          <w:tab w:val="right" w:pos="1418"/>
        </w:tabs>
      </w:pPr>
      <w:r>
        <w:tab/>
        <w:t>(b)</w:t>
      </w:r>
      <w:r>
        <w:tab/>
        <w:t>a corporation shall be deemed to be a subsidiary of another corporation if the first</w:t>
      </w:r>
      <w:r>
        <w:noBreakHyphen/>
        <w:t>mentione</w:t>
      </w:r>
      <w:r>
        <w:t>d corporation is a subsidiary of any corporation that is that other corporation’s subsidiary (including a corporation that is that other corporation’s subsidiary by another application or other applications of this paragraph).</w:t>
      </w:r>
    </w:p>
    <w:p w:rsidR="00000000" w:rsidRDefault="00590668">
      <w:pPr>
        <w:pStyle w:val="Subsection"/>
      </w:pPr>
      <w:r>
        <w:tab/>
        <w:t>(2)</w:t>
      </w:r>
      <w:r>
        <w:tab/>
        <w:t>In determining whether a</w:t>
      </w:r>
      <w:r>
        <w:t xml:space="preserve"> corporation is a subsidiary of another corporation:</w:t>
      </w:r>
    </w:p>
    <w:p w:rsidR="00000000" w:rsidRDefault="00590668">
      <w:pPr>
        <w:pStyle w:val="indenta"/>
        <w:tabs>
          <w:tab w:val="clear" w:pos="1531"/>
          <w:tab w:val="right" w:pos="1418"/>
        </w:tabs>
      </w:pPr>
      <w:r>
        <w:tab/>
        <w:t>(a)</w:t>
      </w:r>
      <w:r>
        <w:tab/>
        <w:t>any shares held or power exercisable by that other corporation in a fiduciary capacity shall be treated as not held or exercisable by it;</w:t>
      </w:r>
    </w:p>
    <w:p w:rsidR="00000000" w:rsidRDefault="00590668">
      <w:pPr>
        <w:pStyle w:val="indenta"/>
        <w:tabs>
          <w:tab w:val="clear" w:pos="1531"/>
          <w:tab w:val="right" w:pos="1418"/>
        </w:tabs>
      </w:pPr>
      <w:r>
        <w:tab/>
        <w:t>(b)</w:t>
      </w:r>
      <w:r>
        <w:tab/>
        <w:t>subject to paragraphs (c) and (d), any shares held or p</w:t>
      </w:r>
      <w:r>
        <w:t>ower exercisable:</w:t>
      </w:r>
    </w:p>
    <w:p w:rsidR="00000000" w:rsidRDefault="00590668">
      <w:pPr>
        <w:pStyle w:val="indentii"/>
      </w:pPr>
      <w:r>
        <w:tab/>
        <w:t>(i)</w:t>
      </w:r>
      <w:r>
        <w:tab/>
        <w:t>by any person as a nominee for that other corporation (except where that other corporation is concerned only in a fiduciary capacity); or</w:t>
      </w:r>
    </w:p>
    <w:p w:rsidR="00000000" w:rsidRDefault="00590668">
      <w:pPr>
        <w:pStyle w:val="indentii"/>
        <w:keepNext/>
      </w:pPr>
      <w:r>
        <w:tab/>
        <w:t>(ii)</w:t>
      </w:r>
      <w:r>
        <w:tab/>
        <w:t>by, or by a nominee for, a subsidiary of that other corporation, not being a subsidiary t</w:t>
      </w:r>
      <w:r>
        <w:t>hat is concerned only in a fiduciary capacity;</w:t>
      </w:r>
    </w:p>
    <w:p w:rsidR="00000000" w:rsidRDefault="00590668">
      <w:pPr>
        <w:pStyle w:val="indenta"/>
      </w:pPr>
      <w:r>
        <w:tab/>
      </w:r>
      <w:r>
        <w:tab/>
        <w:t>shall be treated as held or exercisable by that other corporation;</w:t>
      </w:r>
    </w:p>
    <w:p w:rsidR="00000000" w:rsidRDefault="00590668">
      <w:pPr>
        <w:pStyle w:val="indenta"/>
        <w:tabs>
          <w:tab w:val="clear" w:pos="1531"/>
          <w:tab w:val="right" w:pos="1418"/>
        </w:tabs>
      </w:pPr>
      <w:r>
        <w:tab/>
        <w:t>(c)</w:t>
      </w:r>
      <w:r>
        <w:tab/>
        <w:t>any shares held or power exercisable by any person by virtue of the provisions of any debentures of the first</w:t>
      </w:r>
      <w:r>
        <w:noBreakHyphen/>
        <w:t>mentioned corporation, or</w:t>
      </w:r>
      <w:r>
        <w:t xml:space="preserve"> </w:t>
      </w:r>
      <w:r>
        <w:lastRenderedPageBreak/>
        <w:t>of a trust deed for securing any issue of such debentures, shall be disregarded; and</w:t>
      </w:r>
    </w:p>
    <w:p w:rsidR="00000000" w:rsidRDefault="00590668">
      <w:pPr>
        <w:pStyle w:val="indenta"/>
        <w:tabs>
          <w:tab w:val="clear" w:pos="1531"/>
          <w:tab w:val="right" w:pos="1418"/>
        </w:tabs>
      </w:pPr>
      <w:r>
        <w:tab/>
        <w:t>(d)</w:t>
      </w:r>
      <w:r>
        <w:tab/>
        <w:t xml:space="preserve">any shares held or power exercisable by, or by a nominee for, that other corporation or its subsidiary (not being held or exercisable as mentioned in paragraph (c)) </w:t>
      </w:r>
      <w:r>
        <w:t xml:space="preserve">shall be treated as not held or exercisable by that other corporation if the ordinary business of that other corporation or its subsidiary, as the case may be, includes the lending of money and the shares are held or the power is exercisable solely by way </w:t>
      </w:r>
      <w:r>
        <w:t>of security for the purposes of a moneylending agreement.</w:t>
      </w:r>
    </w:p>
    <w:p w:rsidR="00000000" w:rsidRDefault="00590668">
      <w:pPr>
        <w:pStyle w:val="Subsection"/>
      </w:pPr>
      <w:r>
        <w:tab/>
        <w:t>(3)</w:t>
      </w:r>
      <w:r>
        <w:tab/>
        <w:t>A reference in this Act to a holding corporation of another corporation is a reference to a corporation of which that other corporation is a subsidiary.</w:t>
      </w:r>
    </w:p>
    <w:p w:rsidR="00000000" w:rsidRDefault="00590668">
      <w:pPr>
        <w:pStyle w:val="Heading5"/>
      </w:pPr>
      <w:r>
        <w:rPr>
          <w:rStyle w:val="CharSectno"/>
        </w:rPr>
        <w:t>11</w:t>
      </w:r>
      <w:r>
        <w:t xml:space="preserve">  Interests in shares</w:t>
      </w:r>
    </w:p>
    <w:p w:rsidR="00000000" w:rsidRDefault="00590668">
      <w:pPr>
        <w:pStyle w:val="Subsection"/>
      </w:pPr>
      <w:r>
        <w:tab/>
        <w:t>(1)</w:t>
      </w:r>
      <w:r>
        <w:tab/>
        <w:t xml:space="preserve">Subject to </w:t>
      </w:r>
      <w:r>
        <w:t>this section, a person holds an interest in a share if he has any legal or equitable interest in that share.</w:t>
      </w:r>
    </w:p>
    <w:p w:rsidR="00000000" w:rsidRDefault="00590668">
      <w:pPr>
        <w:pStyle w:val="Subsection"/>
      </w:pPr>
      <w:r>
        <w:tab/>
        <w:t>(2)</w:t>
      </w:r>
      <w:r>
        <w:tab/>
        <w:t>Without limiting the generality of subsection (1), where a person:</w:t>
      </w:r>
    </w:p>
    <w:p w:rsidR="00000000" w:rsidRDefault="00590668">
      <w:pPr>
        <w:pStyle w:val="indenta"/>
        <w:tabs>
          <w:tab w:val="clear" w:pos="1531"/>
          <w:tab w:val="right" w:pos="1418"/>
        </w:tabs>
      </w:pPr>
      <w:r>
        <w:tab/>
        <w:t>(a)</w:t>
      </w:r>
      <w:r>
        <w:tab/>
        <w:t>has entered into a contract to purchase a share;</w:t>
      </w:r>
    </w:p>
    <w:p w:rsidR="00000000" w:rsidRDefault="00590668">
      <w:pPr>
        <w:pStyle w:val="indenta"/>
        <w:tabs>
          <w:tab w:val="clear" w:pos="1531"/>
          <w:tab w:val="right" w:pos="1418"/>
        </w:tabs>
      </w:pPr>
      <w:r>
        <w:tab/>
        <w:t>(b)</w:t>
      </w:r>
      <w:r>
        <w:tab/>
        <w:t>has a right, oth</w:t>
      </w:r>
      <w:r>
        <w:t>erwise than by reason of having an interest under a trust, to have a share transferred to himself or to his order, whether the right is exercisable presently or in the future and whether on the fulfilment of a condition or not;</w:t>
      </w:r>
    </w:p>
    <w:p w:rsidR="00000000" w:rsidRDefault="00590668">
      <w:pPr>
        <w:pStyle w:val="indenta"/>
        <w:tabs>
          <w:tab w:val="clear" w:pos="1531"/>
          <w:tab w:val="right" w:pos="1418"/>
        </w:tabs>
      </w:pPr>
      <w:r>
        <w:tab/>
        <w:t>(c)</w:t>
      </w:r>
      <w:r>
        <w:tab/>
        <w:t>has the right to acquir</w:t>
      </w:r>
      <w:r>
        <w:t>e a share, or an interest in a share, under an option, whether the right is exercisable presently or in the future and whether on the fulfilment of a condition or not; or</w:t>
      </w:r>
    </w:p>
    <w:p w:rsidR="00000000" w:rsidRDefault="00590668">
      <w:pPr>
        <w:pStyle w:val="indenta"/>
        <w:keepNext/>
        <w:tabs>
          <w:tab w:val="clear" w:pos="1531"/>
          <w:tab w:val="right" w:pos="1418"/>
        </w:tabs>
      </w:pPr>
      <w:r>
        <w:tab/>
        <w:t>(d)</w:t>
      </w:r>
      <w:r>
        <w:tab/>
        <w:t>is entitled (otherwise than by reason of his having been appointed a proxy or re</w:t>
      </w:r>
      <w:r>
        <w:t>presentative to vote at a meeting of members of a corporation or of a class of its members) to exercise or control the exercise of a right attached to a share, not being a share of which he is the registered holder;</w:t>
      </w:r>
    </w:p>
    <w:p w:rsidR="00000000" w:rsidRDefault="00590668">
      <w:pPr>
        <w:pStyle w:val="subsection2"/>
      </w:pPr>
      <w:r>
        <w:t>that person shall be deemed to hold an i</w:t>
      </w:r>
      <w:r>
        <w:t>nterest in that share.</w:t>
      </w:r>
    </w:p>
    <w:p w:rsidR="00000000" w:rsidRDefault="00590668">
      <w:pPr>
        <w:pStyle w:val="Subsection"/>
      </w:pPr>
      <w:r>
        <w:tab/>
        <w:t>(3)</w:t>
      </w:r>
      <w:r>
        <w:tab/>
        <w:t>A person shall not be deemed not to hold an interest in a share by reason only that he holds the interest in the share jointly with another person.</w:t>
      </w:r>
    </w:p>
    <w:p w:rsidR="00000000" w:rsidRDefault="00590668">
      <w:pPr>
        <w:pStyle w:val="Subsection"/>
      </w:pPr>
      <w:r>
        <w:tab/>
        <w:t>(4)</w:t>
      </w:r>
      <w:r>
        <w:tab/>
        <w:t xml:space="preserve">It is immaterial, for the purpose of determining whether a person holds an </w:t>
      </w:r>
      <w:r>
        <w:t>interest in a share, that the interest cannot be related to a particular share.</w:t>
      </w:r>
    </w:p>
    <w:p w:rsidR="00000000" w:rsidRDefault="00590668">
      <w:pPr>
        <w:pStyle w:val="Subsection"/>
      </w:pPr>
      <w:r>
        <w:tab/>
        <w:t>(5)</w:t>
      </w:r>
      <w:r>
        <w:tab/>
        <w:t>There shall be disregarded:</w:t>
      </w:r>
    </w:p>
    <w:p w:rsidR="00000000" w:rsidRDefault="00590668">
      <w:pPr>
        <w:pStyle w:val="indenta"/>
        <w:tabs>
          <w:tab w:val="clear" w:pos="1531"/>
          <w:tab w:val="right" w:pos="1418"/>
        </w:tabs>
      </w:pPr>
      <w:r>
        <w:tab/>
        <w:t>(a)</w:t>
      </w:r>
      <w:r>
        <w:tab/>
        <w:t>an interest in a share of a person whose ordinary business includes the lending of money if he holds the interest solely by way of securit</w:t>
      </w:r>
      <w:r>
        <w:t>y for the purposes of a moneylending agreement;</w:t>
      </w:r>
    </w:p>
    <w:p w:rsidR="00000000" w:rsidRDefault="00590668">
      <w:pPr>
        <w:pStyle w:val="indenta"/>
        <w:tabs>
          <w:tab w:val="clear" w:pos="1531"/>
          <w:tab w:val="right" w:pos="1418"/>
        </w:tabs>
      </w:pPr>
      <w:r>
        <w:lastRenderedPageBreak/>
        <w:tab/>
        <w:t>(b)</w:t>
      </w:r>
      <w:r>
        <w:tab/>
        <w:t>an interest of a person in a share, being an interest held by him by reason of his holding a prescribed office; and</w:t>
      </w:r>
    </w:p>
    <w:p w:rsidR="00000000" w:rsidRDefault="00590668">
      <w:pPr>
        <w:pStyle w:val="indenta"/>
        <w:tabs>
          <w:tab w:val="clear" w:pos="1531"/>
          <w:tab w:val="right" w:pos="1418"/>
        </w:tabs>
      </w:pPr>
      <w:r>
        <w:tab/>
        <w:t>(c)</w:t>
      </w:r>
      <w:r>
        <w:tab/>
      </w:r>
      <w:r>
        <w:t>an interest of a prescribed kind in a share, being an interest of such person, or of the persons included in such class of persons, as is prescribed.</w:t>
      </w:r>
    </w:p>
    <w:p w:rsidR="00000000" w:rsidRDefault="00590668">
      <w:pPr>
        <w:pStyle w:val="Subsection"/>
      </w:pPr>
      <w:r>
        <w:tab/>
        <w:t>(6)</w:t>
      </w:r>
      <w:r>
        <w:tab/>
        <w:t>An interest in a share shall not be disregarded by reason only of:</w:t>
      </w:r>
    </w:p>
    <w:p w:rsidR="00000000" w:rsidRDefault="00590668">
      <w:pPr>
        <w:pStyle w:val="indenta"/>
        <w:tabs>
          <w:tab w:val="clear" w:pos="1531"/>
          <w:tab w:val="right" w:pos="1418"/>
        </w:tabs>
      </w:pPr>
      <w:r>
        <w:tab/>
        <w:t>(a)</w:t>
      </w:r>
      <w:r>
        <w:tab/>
        <w:t>its remoteness;</w:t>
      </w:r>
    </w:p>
    <w:p w:rsidR="00000000" w:rsidRDefault="00590668">
      <w:pPr>
        <w:pStyle w:val="indenta"/>
        <w:tabs>
          <w:tab w:val="clear" w:pos="1531"/>
          <w:tab w:val="right" w:pos="1418"/>
        </w:tabs>
      </w:pPr>
      <w:r>
        <w:tab/>
        <w:t>(b)</w:t>
      </w:r>
      <w:r>
        <w:tab/>
        <w:t>the mann</w:t>
      </w:r>
      <w:r>
        <w:t>er in which it arose; or</w:t>
      </w:r>
    </w:p>
    <w:p w:rsidR="00000000" w:rsidRDefault="00590668">
      <w:pPr>
        <w:pStyle w:val="indenta"/>
        <w:tabs>
          <w:tab w:val="clear" w:pos="1531"/>
          <w:tab w:val="right" w:pos="1418"/>
        </w:tabs>
      </w:pPr>
      <w:r>
        <w:tab/>
        <w:t>(c)</w:t>
      </w:r>
      <w:r>
        <w:tab/>
        <w:t>the fact that the exercise of a right conferred by the interest is or is capable of being made subject to restraint or restriction.</w:t>
      </w:r>
    </w:p>
    <w:p w:rsidR="00000000" w:rsidRDefault="00590668">
      <w:pPr>
        <w:pStyle w:val="Subsection"/>
      </w:pPr>
      <w:r>
        <w:tab/>
        <w:t>(7)</w:t>
      </w:r>
      <w:r>
        <w:tab/>
        <w:t>In relation to a corporation the whole or a portion of the share capital of which consist</w:t>
      </w:r>
      <w:r>
        <w:t>s of stock, an interest of a person in any such stock shall be deemed to be an interest in an issued share in the corporation having the same nominal amount as the amount of that stock and having attached to it the same rights as are attached to that stock</w:t>
      </w:r>
      <w:r>
        <w:t>.</w:t>
      </w:r>
    </w:p>
    <w:p w:rsidR="00000000" w:rsidRDefault="00590668">
      <w:pPr>
        <w:pStyle w:val="Heading5"/>
      </w:pPr>
      <w:r>
        <w:rPr>
          <w:rStyle w:val="CharSectno"/>
        </w:rPr>
        <w:t>12</w:t>
      </w:r>
      <w:r>
        <w:t xml:space="preserve">  Interests in assets</w:t>
      </w:r>
    </w:p>
    <w:p w:rsidR="00000000" w:rsidRDefault="00590668">
      <w:pPr>
        <w:pStyle w:val="Subsection"/>
      </w:pPr>
      <w:r>
        <w:tab/>
      </w:r>
      <w:r>
        <w:tab/>
        <w:t>For the purpose of determining whether a person holds an interest in an asset, the provisions of section 11 (other than paragraph (2)(d), subsection (4), paragraphs (5)(b) and (c) and subsection (7)) have effect as if references</w:t>
      </w:r>
      <w:r>
        <w:t xml:space="preserve"> in those provisions to a share were references to an asset.</w:t>
      </w:r>
    </w:p>
    <w:p w:rsidR="00000000" w:rsidRDefault="00590668">
      <w:pPr>
        <w:pStyle w:val="Heading5"/>
      </w:pPr>
      <w:r>
        <w:rPr>
          <w:rStyle w:val="CharSectno"/>
        </w:rPr>
        <w:t>12A</w:t>
      </w:r>
      <w:r>
        <w:t xml:space="preserve">  Interests in Australian urban land</w:t>
      </w:r>
    </w:p>
    <w:p w:rsidR="00000000" w:rsidRDefault="00590668">
      <w:pPr>
        <w:pStyle w:val="Subsection"/>
      </w:pPr>
      <w:r>
        <w:tab/>
        <w:t>(1)</w:t>
      </w:r>
      <w:r>
        <w:tab/>
        <w:t xml:space="preserve">In this Act, </w:t>
      </w:r>
      <w:r>
        <w:rPr>
          <w:b/>
          <w:bCs/>
          <w:i/>
          <w:iCs/>
        </w:rPr>
        <w:t>interest in Australian urban land</w:t>
      </w:r>
      <w:r>
        <w:t xml:space="preserve"> means:</w:t>
      </w:r>
    </w:p>
    <w:p w:rsidR="00000000" w:rsidRDefault="00590668">
      <w:pPr>
        <w:pStyle w:val="indenta"/>
        <w:tabs>
          <w:tab w:val="clear" w:pos="1531"/>
          <w:tab w:val="right" w:pos="1418"/>
        </w:tabs>
      </w:pPr>
      <w:r>
        <w:tab/>
        <w:t>(a)</w:t>
      </w:r>
      <w:r>
        <w:tab/>
        <w:t>a legal or equitable interest in Australian urban land, other than an interest under a leas</w:t>
      </w:r>
      <w:r>
        <w:t>e or licence or in a unit in a unit trust estate;</w:t>
      </w:r>
    </w:p>
    <w:p w:rsidR="00000000" w:rsidRDefault="00590668">
      <w:pPr>
        <w:pStyle w:val="indenta"/>
        <w:tabs>
          <w:tab w:val="clear" w:pos="1531"/>
          <w:tab w:val="right" w:pos="1418"/>
        </w:tabs>
      </w:pPr>
      <w:r>
        <w:tab/>
        <w:t>(b)</w:t>
      </w:r>
      <w:r>
        <w:tab/>
        <w:t>an interest in a share in a company that owns Australian urban land, being a share that entitles the holder to a right to occupy a dwelling of a kind known as a flat or home unit situated on the land;</w:t>
      </w:r>
    </w:p>
    <w:p w:rsidR="00000000" w:rsidRDefault="00590668">
      <w:pPr>
        <w:pStyle w:val="indenta"/>
        <w:tabs>
          <w:tab w:val="clear" w:pos="1531"/>
          <w:tab w:val="right" w:pos="1418"/>
        </w:tabs>
      </w:pPr>
      <w:r>
        <w:tab/>
        <w:t>(c)</w:t>
      </w:r>
      <w:r>
        <w:tab/>
        <w:t>an interest as lessee or licensee in a lease or licence giving rights to occupy Australian urban land where the term of the lease or licence (including any extension) is reasonably likely, at the time the interest is acquired, to exceed 5 years;</w:t>
      </w:r>
    </w:p>
    <w:p w:rsidR="00000000" w:rsidRDefault="00590668">
      <w:pPr>
        <w:pStyle w:val="indenta"/>
        <w:tabs>
          <w:tab w:val="clear" w:pos="1531"/>
          <w:tab w:val="right" w:pos="1418"/>
        </w:tabs>
      </w:pPr>
      <w:r>
        <w:tab/>
        <w:t>(d)</w:t>
      </w:r>
      <w:r>
        <w:tab/>
      </w:r>
      <w:r>
        <w:t>an interest in an arrangement involving the sharing of profits or income from the use of, or dealings in, Australian urban land;</w:t>
      </w:r>
    </w:p>
    <w:p w:rsidR="00000000" w:rsidRDefault="00590668">
      <w:pPr>
        <w:pStyle w:val="indenta"/>
        <w:tabs>
          <w:tab w:val="clear" w:pos="1531"/>
          <w:tab w:val="right" w:pos="1418"/>
        </w:tabs>
      </w:pPr>
      <w:r>
        <w:tab/>
        <w:t>(e)</w:t>
      </w:r>
      <w:r>
        <w:tab/>
        <w:t>an interest in a share in an Australian urban land corporation;</w:t>
      </w:r>
    </w:p>
    <w:p w:rsidR="00000000" w:rsidRDefault="00590668">
      <w:pPr>
        <w:pStyle w:val="indenta"/>
        <w:tabs>
          <w:tab w:val="clear" w:pos="1531"/>
          <w:tab w:val="right" w:pos="1418"/>
        </w:tabs>
      </w:pPr>
      <w:r>
        <w:tab/>
        <w:t>(f)</w:t>
      </w:r>
      <w:r>
        <w:tab/>
        <w:t>an interest in a unit in an Australian urban land tru</w:t>
      </w:r>
      <w:r>
        <w:t>st estate; or</w:t>
      </w:r>
    </w:p>
    <w:p w:rsidR="00000000" w:rsidRDefault="00590668">
      <w:pPr>
        <w:pStyle w:val="indenta"/>
        <w:tabs>
          <w:tab w:val="clear" w:pos="1531"/>
          <w:tab w:val="right" w:pos="1418"/>
        </w:tabs>
      </w:pPr>
      <w:r>
        <w:tab/>
        <w:t>(g)</w:t>
      </w:r>
      <w:r>
        <w:tab/>
        <w:t>if the trustee of an Australian urban land trust estate is a corporation—an interest in a share in that corporation.</w:t>
      </w:r>
    </w:p>
    <w:p w:rsidR="00000000" w:rsidRDefault="00590668">
      <w:pPr>
        <w:pStyle w:val="Subsection"/>
      </w:pPr>
      <w:r>
        <w:lastRenderedPageBreak/>
        <w:tab/>
        <w:t>(2)</w:t>
      </w:r>
      <w:r>
        <w:tab/>
        <w:t>For the purposes of this Act, an interest is an interest in Australian urban land even if it is the only interest t</w:t>
      </w:r>
      <w:r>
        <w:t>hat exists in the land or other thing concerned.</w:t>
      </w:r>
    </w:p>
    <w:p w:rsidR="00000000" w:rsidRDefault="00590668">
      <w:pPr>
        <w:pStyle w:val="Subsection"/>
      </w:pPr>
      <w:r>
        <w:tab/>
        <w:t>(3)</w:t>
      </w:r>
      <w:r>
        <w:tab/>
        <w:t>For the purposes of this Act, a person acquires an interest in Australian urban land even if:</w:t>
      </w:r>
    </w:p>
    <w:p w:rsidR="00000000" w:rsidRDefault="00590668">
      <w:pPr>
        <w:pStyle w:val="indenta"/>
        <w:tabs>
          <w:tab w:val="clear" w:pos="1531"/>
          <w:tab w:val="right" w:pos="1418"/>
        </w:tabs>
      </w:pPr>
      <w:r>
        <w:tab/>
        <w:t>(a)</w:t>
      </w:r>
      <w:r>
        <w:tab/>
        <w:t>the person acquires the interest jointly with another person or persons;</w:t>
      </w:r>
    </w:p>
    <w:p w:rsidR="00000000" w:rsidRDefault="00590668">
      <w:pPr>
        <w:pStyle w:val="indenta"/>
        <w:tabs>
          <w:tab w:val="clear" w:pos="1531"/>
          <w:tab w:val="right" w:pos="1418"/>
        </w:tabs>
      </w:pPr>
      <w:r>
        <w:tab/>
        <w:t>(b)</w:t>
      </w:r>
      <w:r>
        <w:tab/>
        <w:t>the person has previously</w:t>
      </w:r>
      <w:r>
        <w:t xml:space="preserve"> acquired an interest in Australian urban land; or</w:t>
      </w:r>
    </w:p>
    <w:p w:rsidR="00000000" w:rsidRDefault="00590668">
      <w:pPr>
        <w:pStyle w:val="indenta"/>
        <w:tabs>
          <w:tab w:val="clear" w:pos="1531"/>
          <w:tab w:val="right" w:pos="1418"/>
        </w:tabs>
      </w:pPr>
      <w:r>
        <w:tab/>
        <w:t>(c)</w:t>
      </w:r>
      <w:r>
        <w:tab/>
        <w:t>the interest is an increase in the amount of an existing interest of the person in Australian urban land.</w:t>
      </w:r>
    </w:p>
    <w:p w:rsidR="00000000" w:rsidRDefault="00590668">
      <w:pPr>
        <w:pStyle w:val="Subsection"/>
      </w:pPr>
      <w:r>
        <w:tab/>
        <w:t>(4)</w:t>
      </w:r>
      <w:r>
        <w:tab/>
        <w:t>For the purposes of this Act, where a person:</w:t>
      </w:r>
    </w:p>
    <w:p w:rsidR="00000000" w:rsidRDefault="00590668">
      <w:pPr>
        <w:pStyle w:val="indenta"/>
        <w:tabs>
          <w:tab w:val="clear" w:pos="1531"/>
          <w:tab w:val="right" w:pos="1418"/>
        </w:tabs>
      </w:pPr>
      <w:r>
        <w:tab/>
        <w:t>(a)</w:t>
      </w:r>
      <w:r>
        <w:tab/>
        <w:t>enters into an agreement; or</w:t>
      </w:r>
    </w:p>
    <w:p w:rsidR="00000000" w:rsidRDefault="00590668">
      <w:pPr>
        <w:pStyle w:val="indenta"/>
        <w:keepNext/>
        <w:tabs>
          <w:tab w:val="clear" w:pos="1531"/>
          <w:tab w:val="right" w:pos="1418"/>
        </w:tabs>
      </w:pPr>
      <w:r>
        <w:tab/>
        <w:t>(b)</w:t>
      </w:r>
      <w:r>
        <w:tab/>
        <w:t>acqu</w:t>
      </w:r>
      <w:r>
        <w:t>ires an option;</w:t>
      </w:r>
    </w:p>
    <w:p w:rsidR="00000000" w:rsidRDefault="00590668">
      <w:pPr>
        <w:pStyle w:val="subsection2"/>
      </w:pPr>
      <w:r>
        <w:t>to acquire an interest in Australian urban land, the person shall be taken to have acquired that interest in Australian urban land.</w:t>
      </w:r>
    </w:p>
    <w:p w:rsidR="00000000" w:rsidRDefault="00590668">
      <w:pPr>
        <w:pStyle w:val="Subsection"/>
      </w:pPr>
      <w:r>
        <w:tab/>
        <w:t>(5)</w:t>
      </w:r>
      <w:r>
        <w:tab/>
        <w:t>For the purposes of this Act, a person shall be taken not to acquire an interest in Australian urban la</w:t>
      </w:r>
      <w:r>
        <w:t>nd if the person acquires the interest:</w:t>
      </w:r>
    </w:p>
    <w:p w:rsidR="00000000" w:rsidRDefault="00590668">
      <w:pPr>
        <w:pStyle w:val="indenta"/>
        <w:tabs>
          <w:tab w:val="clear" w:pos="1531"/>
          <w:tab w:val="right" w:pos="1418"/>
        </w:tabs>
      </w:pPr>
      <w:r>
        <w:tab/>
        <w:t>(a)</w:t>
      </w:r>
      <w:r>
        <w:tab/>
        <w:t>solely to hold as security for the purposes of a moneylending agreement; or</w:t>
      </w:r>
    </w:p>
    <w:p w:rsidR="00000000" w:rsidRDefault="00590668">
      <w:pPr>
        <w:pStyle w:val="indenta"/>
        <w:tabs>
          <w:tab w:val="clear" w:pos="1531"/>
          <w:tab w:val="right" w:pos="1418"/>
        </w:tabs>
      </w:pPr>
      <w:r>
        <w:tab/>
        <w:t xml:space="preserve">(b) </w:t>
      </w:r>
      <w:r>
        <w:tab/>
        <w:t>by way of enforcement of a security held solely for the purposes of a moneylending agreement.</w:t>
      </w:r>
    </w:p>
    <w:p w:rsidR="00000000" w:rsidRDefault="00590668">
      <w:pPr>
        <w:pStyle w:val="Subsection"/>
      </w:pPr>
      <w:r>
        <w:tab/>
        <w:t>(6)</w:t>
      </w:r>
      <w:r>
        <w:tab/>
      </w:r>
      <w:r>
        <w:t>For the purposes of this Act, a person shall be taken not to acquire an interest in Australian urban land if the person acquires the interest by will or by devolution by operation of law.</w:t>
      </w:r>
    </w:p>
    <w:p w:rsidR="00000000" w:rsidRDefault="00590668">
      <w:pPr>
        <w:pStyle w:val="Subsection"/>
      </w:pPr>
      <w:r>
        <w:tab/>
        <w:t>(7)</w:t>
      </w:r>
      <w:r>
        <w:tab/>
        <w:t>A reference in this Act to the acquisition of an interest in Au</w:t>
      </w:r>
      <w:r>
        <w:t>stralian urban land does not include a reference to the acquisition of an interest in Australian urban land from:</w:t>
      </w:r>
    </w:p>
    <w:p w:rsidR="00000000" w:rsidRDefault="00590668">
      <w:pPr>
        <w:pStyle w:val="indenta"/>
        <w:tabs>
          <w:tab w:val="clear" w:pos="1531"/>
          <w:tab w:val="right" w:pos="1418"/>
        </w:tabs>
      </w:pPr>
      <w:r>
        <w:tab/>
        <w:t>(a)</w:t>
      </w:r>
      <w:r>
        <w:tab/>
        <w:t>the Commonwealth, a State or a Territory;</w:t>
      </w:r>
    </w:p>
    <w:p w:rsidR="00000000" w:rsidRDefault="00590668">
      <w:pPr>
        <w:pStyle w:val="indenta"/>
        <w:tabs>
          <w:tab w:val="clear" w:pos="1531"/>
          <w:tab w:val="right" w:pos="1418"/>
        </w:tabs>
      </w:pPr>
      <w:r>
        <w:tab/>
        <w:t>(b)</w:t>
      </w:r>
      <w:r>
        <w:tab/>
        <w:t xml:space="preserve">a corporation constituted for a public purpose by a law of the Commonwealth or of a State </w:t>
      </w:r>
      <w:r>
        <w:t>or Territory; or</w:t>
      </w:r>
    </w:p>
    <w:p w:rsidR="00000000" w:rsidRDefault="00590668">
      <w:pPr>
        <w:pStyle w:val="indenta"/>
        <w:tabs>
          <w:tab w:val="clear" w:pos="1531"/>
          <w:tab w:val="right" w:pos="1418"/>
        </w:tabs>
      </w:pPr>
      <w:r>
        <w:tab/>
        <w:t>(c)</w:t>
      </w:r>
      <w:r>
        <w:tab/>
        <w:t>a local governing body.</w:t>
      </w:r>
    </w:p>
    <w:p w:rsidR="00000000" w:rsidRDefault="00590668">
      <w:pPr>
        <w:pStyle w:val="Subsection"/>
      </w:pPr>
      <w:r>
        <w:tab/>
        <w:t>(8)</w:t>
      </w:r>
      <w:r>
        <w:tab/>
        <w:t>Where the regulations provide that this Act, or a specified provision or provisions of this Act, does not or do not apply in relation to an acquisition, of a kind specified in the regulations, of an intere</w:t>
      </w:r>
      <w:r>
        <w:t>st in Australian urban land, this Act, or the provision or provisions, does not or do not so apply.</w:t>
      </w:r>
    </w:p>
    <w:p w:rsidR="00000000" w:rsidRDefault="00590668">
      <w:pPr>
        <w:pStyle w:val="Heading5"/>
      </w:pPr>
      <w:r>
        <w:rPr>
          <w:rStyle w:val="CharSectno"/>
        </w:rPr>
        <w:lastRenderedPageBreak/>
        <w:t>12B</w:t>
      </w:r>
      <w:r>
        <w:t xml:space="preserve">  Interests in trust estates</w:t>
      </w:r>
    </w:p>
    <w:p w:rsidR="00000000" w:rsidRDefault="00590668">
      <w:pPr>
        <w:pStyle w:val="Subsection"/>
      </w:pPr>
      <w:r>
        <w:tab/>
        <w:t>(1)</w:t>
      </w:r>
      <w:r>
        <w:tab/>
        <w:t xml:space="preserve">For the purposes of this Act, a reference to a person holding an interest in a trust estate is a reference to a person </w:t>
      </w:r>
      <w:r>
        <w:t>holding a beneficial interest in the corpus or income of the trust estate.</w:t>
      </w:r>
    </w:p>
    <w:p w:rsidR="00000000" w:rsidRDefault="00590668">
      <w:pPr>
        <w:pStyle w:val="Subsection"/>
      </w:pPr>
      <w:r>
        <w:tab/>
        <w:t>(2)</w:t>
      </w:r>
      <w:r>
        <w:tab/>
        <w:t>For the purposes of this Act, where a person:</w:t>
      </w:r>
    </w:p>
    <w:p w:rsidR="00000000" w:rsidRDefault="00590668">
      <w:pPr>
        <w:pStyle w:val="indenta"/>
        <w:tabs>
          <w:tab w:val="clear" w:pos="1531"/>
          <w:tab w:val="right" w:pos="1418"/>
        </w:tabs>
      </w:pPr>
      <w:r>
        <w:tab/>
        <w:t>(a)</w:t>
      </w:r>
      <w:r>
        <w:tab/>
        <w:t>has entered into a contract to purchase a beneficial interest in the corpus or income of a trust estate;</w:t>
      </w:r>
    </w:p>
    <w:p w:rsidR="00000000" w:rsidRDefault="00590668">
      <w:pPr>
        <w:pStyle w:val="indenta"/>
        <w:tabs>
          <w:tab w:val="clear" w:pos="1531"/>
          <w:tab w:val="right" w:pos="1418"/>
        </w:tabs>
      </w:pPr>
      <w:r>
        <w:tab/>
        <w:t>(b)</w:t>
      </w:r>
      <w:r>
        <w:tab/>
        <w:t>has a right, ot</w:t>
      </w:r>
      <w:r>
        <w:t xml:space="preserve">herwise than by reason of holding an interest in a trust estate, to have such an interest transferred to the person or to the person’s order (whether the right is exercisable presently or in the future) and whether on the fulfilment of a condition or not; </w:t>
      </w:r>
      <w:r>
        <w:t>or</w:t>
      </w:r>
    </w:p>
    <w:p w:rsidR="00000000" w:rsidRDefault="00590668">
      <w:pPr>
        <w:pStyle w:val="indenta"/>
        <w:keepNext/>
        <w:tabs>
          <w:tab w:val="clear" w:pos="1531"/>
          <w:tab w:val="right" w:pos="1418"/>
        </w:tabs>
      </w:pPr>
      <w:r>
        <w:tab/>
        <w:t>(c)</w:t>
      </w:r>
      <w:r>
        <w:tab/>
        <w:t>has the right to acquire such an interest under an option (whether the right is exercisable presently or in the future) and whether on the fulfilment of a condition or not;</w:t>
      </w:r>
    </w:p>
    <w:p w:rsidR="00000000" w:rsidRDefault="00590668">
      <w:pPr>
        <w:pStyle w:val="subsection2"/>
      </w:pPr>
      <w:r>
        <w:t>the person shall be taken to hold that interest in the trust estate.</w:t>
      </w:r>
    </w:p>
    <w:p w:rsidR="00000000" w:rsidRDefault="00590668">
      <w:pPr>
        <w:pStyle w:val="Subsection"/>
      </w:pPr>
      <w:r>
        <w:tab/>
        <w:t>(3)</w:t>
      </w:r>
      <w:r>
        <w:tab/>
        <w:t>F</w:t>
      </w:r>
      <w:r>
        <w:t>or the purposes of this Act, a person holds an interest in a trust estate even if the person holds the interest jointly with another person.</w:t>
      </w:r>
    </w:p>
    <w:p w:rsidR="00000000" w:rsidRDefault="00590668">
      <w:pPr>
        <w:pStyle w:val="Subsection"/>
      </w:pPr>
      <w:r>
        <w:tab/>
        <w:t>(4)</w:t>
      </w:r>
      <w:r>
        <w:tab/>
        <w:t>For the purposes of this Act, a person shall be taken not to hold an interest in a trust estate if:</w:t>
      </w:r>
    </w:p>
    <w:p w:rsidR="00000000" w:rsidRDefault="00590668">
      <w:pPr>
        <w:pStyle w:val="indenta"/>
        <w:tabs>
          <w:tab w:val="clear" w:pos="1531"/>
          <w:tab w:val="right" w:pos="1418"/>
        </w:tabs>
      </w:pPr>
      <w:r>
        <w:tab/>
        <w:t>(a)</w:t>
      </w:r>
      <w:r>
        <w:tab/>
        <w:t>the p</w:t>
      </w:r>
      <w:r>
        <w:t>erson holds the interest solely by way of security for the purposes of a moneylending agreement; and</w:t>
      </w:r>
    </w:p>
    <w:p w:rsidR="00000000" w:rsidRDefault="00590668">
      <w:pPr>
        <w:pStyle w:val="indenta"/>
        <w:tabs>
          <w:tab w:val="clear" w:pos="1531"/>
          <w:tab w:val="right" w:pos="1418"/>
        </w:tabs>
      </w:pPr>
      <w:r>
        <w:tab/>
        <w:t>(b)</w:t>
      </w:r>
      <w:r>
        <w:tab/>
        <w:t>the ordinary business of the person includes the lending of money.</w:t>
      </w:r>
    </w:p>
    <w:p w:rsidR="00000000" w:rsidRDefault="00590668">
      <w:pPr>
        <w:pStyle w:val="Subsection"/>
      </w:pPr>
      <w:r>
        <w:tab/>
        <w:t>(5)</w:t>
      </w:r>
      <w:r>
        <w:tab/>
        <w:t>For the purposes of this Act, a person holds an interest in a trust estate des</w:t>
      </w:r>
      <w:r>
        <w:t>pite:</w:t>
      </w:r>
    </w:p>
    <w:p w:rsidR="00000000" w:rsidRDefault="00590668">
      <w:pPr>
        <w:pStyle w:val="indenta"/>
        <w:tabs>
          <w:tab w:val="clear" w:pos="1531"/>
          <w:tab w:val="right" w:pos="1418"/>
        </w:tabs>
      </w:pPr>
      <w:r>
        <w:tab/>
        <w:t>(a)</w:t>
      </w:r>
      <w:r>
        <w:tab/>
        <w:t>its remoteness;</w:t>
      </w:r>
    </w:p>
    <w:p w:rsidR="00000000" w:rsidRDefault="00590668">
      <w:pPr>
        <w:pStyle w:val="indenta"/>
        <w:tabs>
          <w:tab w:val="clear" w:pos="1531"/>
          <w:tab w:val="right" w:pos="1418"/>
        </w:tabs>
      </w:pPr>
      <w:r>
        <w:tab/>
        <w:t>(b)</w:t>
      </w:r>
      <w:r>
        <w:tab/>
        <w:t>the manner in which it arose; or</w:t>
      </w:r>
    </w:p>
    <w:p w:rsidR="00000000" w:rsidRDefault="00590668">
      <w:pPr>
        <w:pStyle w:val="indenta"/>
        <w:tabs>
          <w:tab w:val="clear" w:pos="1531"/>
          <w:tab w:val="right" w:pos="1418"/>
        </w:tabs>
      </w:pPr>
      <w:r>
        <w:tab/>
        <w:t>(c)</w:t>
      </w:r>
      <w:r>
        <w:tab/>
        <w:t>the fact that the exercise of a right conferred by the interest is, or is capable of being made, subject to restraint or restriction.</w:t>
      </w:r>
    </w:p>
    <w:p w:rsidR="00000000" w:rsidRDefault="00590668">
      <w:pPr>
        <w:pStyle w:val="Heading5"/>
      </w:pPr>
      <w:r>
        <w:rPr>
          <w:rStyle w:val="CharSectno"/>
        </w:rPr>
        <w:t>12C</w:t>
      </w:r>
      <w:r>
        <w:t xml:space="preserve">  Tracing of substantial interests in corporation</w:t>
      </w:r>
      <w:r>
        <w:t>s and trust estates</w:t>
      </w:r>
    </w:p>
    <w:p w:rsidR="00000000" w:rsidRDefault="00590668">
      <w:pPr>
        <w:pStyle w:val="Subsection"/>
      </w:pPr>
      <w:r>
        <w:tab/>
      </w:r>
      <w:r>
        <w:tab/>
        <w:t>Where:</w:t>
      </w:r>
    </w:p>
    <w:p w:rsidR="00000000" w:rsidRDefault="00590668">
      <w:pPr>
        <w:pStyle w:val="indenta"/>
      </w:pPr>
      <w:r>
        <w:tab/>
        <w:t>(a)</w:t>
      </w:r>
      <w:r>
        <w:tab/>
        <w:t>a person holds a substantial interest, or 2 or more persons hold an aggregate substantial interest, (including a substantial interest held by that person, or an aggregate substantial interest held by those persons, by anot</w:t>
      </w:r>
      <w:r>
        <w:t xml:space="preserve">her application or other applications of this subsection) in a corporation or a trust estate (which corporation or the trustee of which trust estate is in this section called the </w:t>
      </w:r>
      <w:r>
        <w:rPr>
          <w:b/>
          <w:bCs/>
          <w:i/>
          <w:iCs/>
        </w:rPr>
        <w:t>first level entity</w:t>
      </w:r>
      <w:r>
        <w:t>); and</w:t>
      </w:r>
    </w:p>
    <w:p w:rsidR="00000000" w:rsidRDefault="00590668">
      <w:pPr>
        <w:pStyle w:val="indenta"/>
      </w:pPr>
      <w:r>
        <w:lastRenderedPageBreak/>
        <w:tab/>
        <w:t>(b)</w:t>
      </w:r>
      <w:r>
        <w:tab/>
        <w:t>the first level entity:</w:t>
      </w:r>
    </w:p>
    <w:p w:rsidR="00000000" w:rsidRDefault="00590668">
      <w:pPr>
        <w:pStyle w:val="indentii"/>
      </w:pPr>
      <w:r>
        <w:tab/>
        <w:t>(i)</w:t>
      </w:r>
      <w:r>
        <w:tab/>
      </w:r>
      <w:r>
        <w:t xml:space="preserve">is in a position to control all or any of the voting power, or holds interests in all or any of the issued shares, in a corporation (in this section called the </w:t>
      </w:r>
      <w:r>
        <w:rPr>
          <w:b/>
          <w:bCs/>
          <w:i/>
          <w:iCs/>
        </w:rPr>
        <w:t>second level corporation</w:t>
      </w:r>
      <w:r>
        <w:t>); or</w:t>
      </w:r>
    </w:p>
    <w:p w:rsidR="00000000" w:rsidRDefault="00590668">
      <w:pPr>
        <w:pStyle w:val="indentii"/>
        <w:keepNext/>
      </w:pPr>
      <w:r>
        <w:tab/>
        <w:t>(ii)</w:t>
      </w:r>
      <w:r>
        <w:tab/>
        <w:t xml:space="preserve">holds an interest in a trust estate (in this section called </w:t>
      </w:r>
      <w:r>
        <w:t xml:space="preserve">the </w:t>
      </w:r>
      <w:r>
        <w:rPr>
          <w:b/>
          <w:bCs/>
          <w:i/>
          <w:iCs/>
        </w:rPr>
        <w:t>second level trust estate</w:t>
      </w:r>
      <w:r>
        <w:t>);</w:t>
      </w:r>
    </w:p>
    <w:p w:rsidR="00000000" w:rsidRDefault="00590668">
      <w:pPr>
        <w:pStyle w:val="subsection2"/>
      </w:pPr>
      <w:r>
        <w:t>the following provisions have effect for the purposes of this Act:</w:t>
      </w:r>
    </w:p>
    <w:p w:rsidR="00000000" w:rsidRDefault="00590668">
      <w:pPr>
        <w:pStyle w:val="indenta"/>
      </w:pPr>
      <w:r>
        <w:tab/>
        <w:t>(c)</w:t>
      </w:r>
      <w:r>
        <w:tab/>
        <w:t xml:space="preserve">where subparagraph (b)(i) applies—the person or those persons together shall be taken to be in a position to control so much of the voting power of the </w:t>
      </w:r>
      <w:r>
        <w:t>second level corporation as the first level entity is in a position to control or to hold the interests in the issued shares in the second level corporation that the first level entity holds, as the case may be;</w:t>
      </w:r>
    </w:p>
    <w:p w:rsidR="00000000" w:rsidRDefault="00590668">
      <w:pPr>
        <w:pStyle w:val="indenta"/>
      </w:pPr>
      <w:r>
        <w:tab/>
        <w:t>(d)</w:t>
      </w:r>
      <w:r>
        <w:tab/>
        <w:t xml:space="preserve">where subparagraph (b)(ii) applies—the </w:t>
      </w:r>
      <w:r>
        <w:t>person or those persons together shall be taken to hold the interest in the second level trust estate that the first level entity holds.</w:t>
      </w:r>
    </w:p>
    <w:p w:rsidR="00000000" w:rsidRDefault="00590668">
      <w:pPr>
        <w:pStyle w:val="Heading5"/>
      </w:pPr>
      <w:r>
        <w:rPr>
          <w:rStyle w:val="CharSectno"/>
        </w:rPr>
        <w:t>13</w:t>
      </w:r>
      <w:r>
        <w:t xml:space="preserve">  Prescribed corporations</w:t>
      </w:r>
    </w:p>
    <w:p w:rsidR="00000000" w:rsidRDefault="00590668">
      <w:pPr>
        <w:pStyle w:val="Subsection"/>
      </w:pPr>
      <w:r>
        <w:tab/>
        <w:t>(1)</w:t>
      </w:r>
      <w:r>
        <w:tab/>
        <w:t>A reference in this Act to a prescribed corporation is a reference to:</w:t>
      </w:r>
    </w:p>
    <w:p w:rsidR="00000000" w:rsidRDefault="00590668">
      <w:pPr>
        <w:pStyle w:val="indenta"/>
      </w:pPr>
      <w:r>
        <w:tab/>
        <w:t>(a)</w:t>
      </w:r>
      <w:r>
        <w:tab/>
        <w:t xml:space="preserve">a trading </w:t>
      </w:r>
      <w:r>
        <w:t>corporation;</w:t>
      </w:r>
    </w:p>
    <w:p w:rsidR="00000000" w:rsidRDefault="00590668">
      <w:pPr>
        <w:pStyle w:val="indenta"/>
      </w:pPr>
      <w:r>
        <w:tab/>
        <w:t>(b)</w:t>
      </w:r>
      <w:r>
        <w:tab/>
        <w:t>a financial corporation;</w:t>
      </w:r>
    </w:p>
    <w:p w:rsidR="00000000" w:rsidRDefault="00590668">
      <w:pPr>
        <w:pStyle w:val="indenta"/>
      </w:pPr>
      <w:r>
        <w:tab/>
        <w:t>(c)</w:t>
      </w:r>
      <w:r>
        <w:tab/>
        <w:t>a corporation incorporated in a Territory under the law in force in that Territory relating to companies;</w:t>
      </w:r>
    </w:p>
    <w:p w:rsidR="00000000" w:rsidRDefault="00590668">
      <w:pPr>
        <w:pStyle w:val="indenta"/>
      </w:pPr>
      <w:r>
        <w:tab/>
        <w:t>(d)</w:t>
      </w:r>
      <w:r>
        <w:tab/>
        <w:t>a foreign corporation that, on its last accounting date, held assets the sum of the values of whi</w:t>
      </w:r>
      <w:r>
        <w:t>ch exceeded $20,000,000 or such other amount as is prescribed, being assets consisting of all or any of the following:</w:t>
      </w:r>
    </w:p>
    <w:p w:rsidR="00000000" w:rsidRDefault="00590668">
      <w:pPr>
        <w:pStyle w:val="indentii"/>
      </w:pPr>
      <w:r>
        <w:tab/>
        <w:t>(i)</w:t>
      </w:r>
      <w:r>
        <w:tab/>
        <w:t>land situated in Australia (including legal and equitable interests in such land);</w:t>
      </w:r>
    </w:p>
    <w:p w:rsidR="00000000" w:rsidRDefault="00590668">
      <w:pPr>
        <w:pStyle w:val="indentii"/>
      </w:pPr>
      <w:r>
        <w:tab/>
        <w:t>(ii)</w:t>
      </w:r>
      <w:r>
        <w:tab/>
        <w:t>mineral rights;</w:t>
      </w:r>
    </w:p>
    <w:p w:rsidR="00000000" w:rsidRDefault="00590668">
      <w:pPr>
        <w:pStyle w:val="indentii"/>
      </w:pPr>
      <w:r>
        <w:tab/>
        <w:t>(iii)</w:t>
      </w:r>
      <w:r>
        <w:tab/>
        <w:t>shares in a corporat</w:t>
      </w:r>
      <w:r>
        <w:t>ion incorporated in Australia;</w:t>
      </w:r>
    </w:p>
    <w:p w:rsidR="00000000" w:rsidRDefault="00590668">
      <w:pPr>
        <w:pStyle w:val="indenta"/>
      </w:pPr>
      <w:r>
        <w:tab/>
        <w:t>(e)</w:t>
      </w:r>
      <w:r>
        <w:tab/>
        <w:t>a foreign corporation that was, on its last accounting date, a holding corporation of an Australian corporation or Australian corporations, where the sum of the values on that date of the assets of the Australian corpora</w:t>
      </w:r>
      <w:r>
        <w:t>tion or Australian corporations exceeded $20,000,000 or such other amount as is prescribed;</w:t>
      </w:r>
    </w:p>
    <w:p w:rsidR="00000000" w:rsidRDefault="00590668">
      <w:pPr>
        <w:pStyle w:val="indenta"/>
      </w:pPr>
      <w:r>
        <w:tab/>
        <w:t>(f)</w:t>
      </w:r>
      <w:r>
        <w:tab/>
        <w:t>a corporation that was, on its last accounting date, a holding corporation of a foreign corporation referred to in paragraph (d) or (e);</w:t>
      </w:r>
    </w:p>
    <w:p w:rsidR="00000000" w:rsidRDefault="00590668">
      <w:pPr>
        <w:pStyle w:val="indenta"/>
      </w:pPr>
      <w:r>
        <w:tab/>
        <w:t>(g)</w:t>
      </w:r>
      <w:r>
        <w:tab/>
        <w:t>a foreign corpora</w:t>
      </w:r>
      <w:r>
        <w:t xml:space="preserve">tion that, on its last accounting date, held assets of a kind or kinds referred to in paragraph (d), where the sum of the </w:t>
      </w:r>
      <w:r>
        <w:lastRenderedPageBreak/>
        <w:t>values on that date of those assets was not less than one</w:t>
      </w:r>
      <w:r>
        <w:noBreakHyphen/>
        <w:t>half of the sum of the values on that date of the assets of that corporation</w:t>
      </w:r>
      <w:r>
        <w:t xml:space="preserve"> and of all the subsidiaries of that corporation; or</w:t>
      </w:r>
    </w:p>
    <w:p w:rsidR="00000000" w:rsidRDefault="00590668">
      <w:pPr>
        <w:pStyle w:val="indenta"/>
      </w:pPr>
      <w:r>
        <w:tab/>
        <w:t>(h)</w:t>
      </w:r>
      <w:r>
        <w:tab/>
        <w:t xml:space="preserve">a foreign corporation that was, on its last accounting date, a holding corporation of an Australian corporation or Australian corporations, where the sum of the values on that date of the assets of </w:t>
      </w:r>
      <w:r>
        <w:t>that Australian corporation or those Australian corporations was not less than one</w:t>
      </w:r>
      <w:r>
        <w:noBreakHyphen/>
        <w:t>half of the sum of the values on that date of the assets of the foreign corporation and of all the subsidiaries of that corporation.</w:t>
      </w:r>
    </w:p>
    <w:p w:rsidR="00000000" w:rsidRDefault="00590668">
      <w:pPr>
        <w:pStyle w:val="Subsection"/>
      </w:pPr>
      <w:r>
        <w:tab/>
        <w:t>(2)</w:t>
      </w:r>
      <w:r>
        <w:tab/>
        <w:t>For the purposes of subsection (1),</w:t>
      </w:r>
      <w:r>
        <w:t xml:space="preserve"> the assets of a corporation shall be deemed not to include any shares in a subsidiary of that corporation.</w:t>
      </w:r>
    </w:p>
    <w:p w:rsidR="00000000" w:rsidRDefault="00590668">
      <w:pPr>
        <w:pStyle w:val="Subsection"/>
      </w:pPr>
      <w:r>
        <w:tab/>
        <w:t>(3)</w:t>
      </w:r>
      <w:r>
        <w:tab/>
        <w:t xml:space="preserve">In this section, </w:t>
      </w:r>
      <w:r>
        <w:rPr>
          <w:b/>
          <w:bCs/>
          <w:i/>
          <w:iCs/>
        </w:rPr>
        <w:t>last accounting date</w:t>
      </w:r>
      <w:r>
        <w:t xml:space="preserve">, in relation to a corporation, means the date of the expiration of the most recent period in relation to </w:t>
      </w:r>
      <w:r>
        <w:t>which a profit and loss account of the corporation has been laid before it in general meeting, including an account so laid before it before the commencement of this Act.</w:t>
      </w:r>
    </w:p>
    <w:p w:rsidR="00000000" w:rsidRDefault="00590668">
      <w:pPr>
        <w:pStyle w:val="Subsection"/>
      </w:pPr>
      <w:r>
        <w:tab/>
        <w:t>(4)</w:t>
      </w:r>
      <w:r>
        <w:tab/>
        <w:t xml:space="preserve">For the purposes of this section, the value on a particular date of an asset of </w:t>
      </w:r>
      <w:r>
        <w:t>a corporation shall be taken to be:</w:t>
      </w:r>
    </w:p>
    <w:p w:rsidR="00000000" w:rsidRDefault="00590668">
      <w:pPr>
        <w:pStyle w:val="indenta"/>
      </w:pPr>
      <w:r>
        <w:tab/>
        <w:t>(a)</w:t>
      </w:r>
      <w:r>
        <w:tab/>
        <w:t>the value of that asset as shown in the last balance</w:t>
      </w:r>
      <w:r>
        <w:noBreakHyphen/>
        <w:t>sheet of the corporation that was prepared and audited before that date; or</w:t>
      </w:r>
    </w:p>
    <w:p w:rsidR="00000000" w:rsidRDefault="00590668">
      <w:pPr>
        <w:pStyle w:val="indenta"/>
      </w:pPr>
      <w:r>
        <w:tab/>
        <w:t>(b)</w:t>
      </w:r>
      <w:r>
        <w:tab/>
        <w:t>if no balance</w:t>
      </w:r>
      <w:r>
        <w:noBreakHyphen/>
        <w:t>sheet of the corporation was prepared and audited before that date,</w:t>
      </w:r>
      <w:r>
        <w:t xml:space="preserve"> the value of that asset as shown on that date in the accounting records of the corporation.</w:t>
      </w:r>
    </w:p>
    <w:p w:rsidR="00000000" w:rsidRDefault="00590668">
      <w:pPr>
        <w:pStyle w:val="Heading5"/>
      </w:pPr>
      <w:r>
        <w:rPr>
          <w:rStyle w:val="CharSectno"/>
        </w:rPr>
        <w:t>13A</w:t>
      </w:r>
      <w:r>
        <w:t xml:space="preserve">  Exempt dealings</w:t>
      </w:r>
    </w:p>
    <w:p w:rsidR="00000000" w:rsidRDefault="00590668">
      <w:pPr>
        <w:pStyle w:val="Subsection"/>
      </w:pPr>
      <w:r>
        <w:tab/>
        <w:t>(1)</w:t>
      </w:r>
      <w:r>
        <w:tab/>
        <w:t>Sections 18 and 26 do not apply to shares in an exempt corporation.</w:t>
      </w:r>
    </w:p>
    <w:p w:rsidR="00000000" w:rsidRDefault="00590668">
      <w:pPr>
        <w:pStyle w:val="Subsection"/>
      </w:pPr>
      <w:r>
        <w:tab/>
        <w:t>(2)</w:t>
      </w:r>
      <w:r>
        <w:tab/>
        <w:t>Section 20 does not apply to the control of an exempt corporatio</w:t>
      </w:r>
      <w:r>
        <w:t>n.</w:t>
      </w:r>
    </w:p>
    <w:p w:rsidR="00000000" w:rsidRDefault="00590668">
      <w:pPr>
        <w:pStyle w:val="Subsection"/>
      </w:pPr>
      <w:r>
        <w:tab/>
        <w:t>(3)</w:t>
      </w:r>
      <w:r>
        <w:tab/>
        <w:t>Sections 19 and 21 do not apply to the control of an exempt business.</w:t>
      </w:r>
    </w:p>
    <w:p w:rsidR="00000000" w:rsidRDefault="00590668">
      <w:pPr>
        <w:pStyle w:val="Subsection"/>
      </w:pPr>
      <w:r>
        <w:tab/>
        <w:t>(4)</w:t>
      </w:r>
      <w:r>
        <w:tab/>
        <w:t xml:space="preserve"> For the purposes of this section:</w:t>
      </w:r>
    </w:p>
    <w:p w:rsidR="00000000" w:rsidRDefault="00590668">
      <w:pPr>
        <w:pStyle w:val="Definition"/>
      </w:pPr>
      <w:r>
        <w:rPr>
          <w:b/>
          <w:bCs/>
          <w:i/>
          <w:iCs/>
        </w:rPr>
        <w:t>exempt corporation</w:t>
      </w:r>
      <w:r>
        <w:t xml:space="preserve"> means a corporation:</w:t>
      </w:r>
    </w:p>
    <w:p w:rsidR="00000000" w:rsidRDefault="00590668">
      <w:pPr>
        <w:pStyle w:val="indenta"/>
      </w:pPr>
      <w:r>
        <w:tab/>
        <w:t>(a)</w:t>
      </w:r>
      <w:r>
        <w:tab/>
        <w:t>that is of a kind referred to in paragraph 13(1)(a), (b), (c), (g) or (h); and</w:t>
      </w:r>
    </w:p>
    <w:p w:rsidR="00000000" w:rsidRDefault="00590668">
      <w:pPr>
        <w:pStyle w:val="indenta"/>
      </w:pPr>
      <w:r>
        <w:tab/>
        <w:t>(b)</w:t>
      </w:r>
      <w:r>
        <w:tab/>
      </w:r>
      <w:r>
        <w:t>the value of whose total assets, determined under section 13B, does not exceed:</w:t>
      </w:r>
    </w:p>
    <w:p w:rsidR="00000000" w:rsidRDefault="00590668">
      <w:pPr>
        <w:pStyle w:val="indentii"/>
      </w:pPr>
      <w:r>
        <w:tab/>
        <w:t>(i)</w:t>
      </w:r>
      <w:r>
        <w:tab/>
        <w:t xml:space="preserve"> if more than 50% of the value of those assets is attributable to Australian rural land—$3,000,000 or such other amount as is prescribed; or</w:t>
      </w:r>
    </w:p>
    <w:p w:rsidR="00000000" w:rsidRDefault="00590668">
      <w:pPr>
        <w:pStyle w:val="indentii"/>
      </w:pPr>
      <w:r>
        <w:lastRenderedPageBreak/>
        <w:tab/>
        <w:t>(ii)</w:t>
      </w:r>
      <w:r>
        <w:tab/>
        <w:t>in any other case—$5,000</w:t>
      </w:r>
      <w:r>
        <w:t>,000 or such other amount as is prescribed;</w:t>
      </w:r>
    </w:p>
    <w:p w:rsidR="00000000" w:rsidRDefault="00590668">
      <w:pPr>
        <w:pStyle w:val="Definition"/>
      </w:pPr>
      <w:r>
        <w:rPr>
          <w:b/>
          <w:bCs/>
          <w:i/>
          <w:iCs/>
        </w:rPr>
        <w:t>exempt business</w:t>
      </w:r>
      <w:r>
        <w:t xml:space="preserve"> means a business the value of whose total assets, determined under section 13B, does not exceed:</w:t>
      </w:r>
    </w:p>
    <w:p w:rsidR="00000000" w:rsidRDefault="00590668">
      <w:pPr>
        <w:pStyle w:val="indenta"/>
      </w:pPr>
      <w:r>
        <w:tab/>
        <w:t>(a)</w:t>
      </w:r>
      <w:r>
        <w:tab/>
        <w:t xml:space="preserve"> if more than 50% of the value of those assets is attributable to Australian rural land—$3,000</w:t>
      </w:r>
      <w:r>
        <w:t>,000 or such other amount as is prescribed; or</w:t>
      </w:r>
    </w:p>
    <w:p w:rsidR="00000000" w:rsidRDefault="00590668">
      <w:pPr>
        <w:pStyle w:val="indenta"/>
      </w:pPr>
      <w:r>
        <w:tab/>
        <w:t>(b)</w:t>
      </w:r>
      <w:r>
        <w:tab/>
        <w:t xml:space="preserve"> in any other case—$5,000,000 or such other amount as is prescribed.</w:t>
      </w:r>
    </w:p>
    <w:p w:rsidR="00000000" w:rsidRDefault="00590668">
      <w:pPr>
        <w:pStyle w:val="Heading5"/>
      </w:pPr>
      <w:r>
        <w:rPr>
          <w:rStyle w:val="CharSectno"/>
        </w:rPr>
        <w:t>13B</w:t>
      </w:r>
      <w:r>
        <w:t xml:space="preserve">  Valuation of assets for purposes of section 13A</w:t>
      </w:r>
    </w:p>
    <w:p w:rsidR="00000000" w:rsidRDefault="00590668">
      <w:pPr>
        <w:pStyle w:val="Subsection"/>
      </w:pPr>
      <w:r>
        <w:tab/>
        <w:t>(1)</w:t>
      </w:r>
      <w:r>
        <w:tab/>
        <w:t xml:space="preserve">In determining whether a corporation is an exempt corporation in relation to </w:t>
      </w:r>
      <w:r>
        <w:t>the application of section 18 or 26, the value of its total assets at a particular time is:</w:t>
      </w:r>
    </w:p>
    <w:p w:rsidR="00000000" w:rsidRDefault="00590668">
      <w:pPr>
        <w:pStyle w:val="indenta"/>
      </w:pPr>
      <w:r>
        <w:tab/>
        <w:t>(a)</w:t>
      </w:r>
      <w:r>
        <w:tab/>
        <w:t>where the corporation is not a holding corporation:</w:t>
      </w:r>
    </w:p>
    <w:p w:rsidR="00000000" w:rsidRDefault="00590668">
      <w:pPr>
        <w:pStyle w:val="indentii"/>
      </w:pPr>
      <w:r>
        <w:tab/>
        <w:t>(i)</w:t>
      </w:r>
      <w:r>
        <w:tab/>
        <w:t>the value of those assets as shown in the last balance</w:t>
      </w:r>
      <w:r>
        <w:noBreakHyphen/>
        <w:t>sheet of the corporation audited before that ti</w:t>
      </w:r>
      <w:r>
        <w:t>me or, if no balance</w:t>
      </w:r>
      <w:r>
        <w:noBreakHyphen/>
        <w:t>sheet was audited before that time, as shown at that time in the accounting records of the corporation; or</w:t>
      </w:r>
    </w:p>
    <w:p w:rsidR="00000000" w:rsidRDefault="00590668">
      <w:pPr>
        <w:pStyle w:val="indentii"/>
      </w:pPr>
      <w:r>
        <w:tab/>
        <w:t>(ii)</w:t>
      </w:r>
      <w:r>
        <w:tab/>
        <w:t>if the value of the issued shares of the corporation determined under subsection (2) or (3) is greater—that greater value;</w:t>
      </w:r>
      <w:r>
        <w:t xml:space="preserve"> or</w:t>
      </w:r>
    </w:p>
    <w:p w:rsidR="00000000" w:rsidRDefault="00590668">
      <w:pPr>
        <w:pStyle w:val="indenta"/>
      </w:pPr>
      <w:r>
        <w:tab/>
        <w:t>(b)</w:t>
      </w:r>
      <w:r>
        <w:tab/>
        <w:t>where the corporation is a holding corporation:</w:t>
      </w:r>
    </w:p>
    <w:p w:rsidR="00000000" w:rsidRDefault="00590668">
      <w:pPr>
        <w:pStyle w:val="indentii"/>
      </w:pPr>
      <w:r>
        <w:tab/>
        <w:t>(i)</w:t>
      </w:r>
      <w:r>
        <w:tab/>
        <w:t>the aggregate value of the assets of the corporation, and of each of its subsidiaries that is a prescribed corporation carrying on an Australian business, determined, in each case, under subpara</w:t>
      </w:r>
      <w:r>
        <w:t>graph (a)(i); or</w:t>
      </w:r>
    </w:p>
    <w:p w:rsidR="00000000" w:rsidRDefault="00590668">
      <w:pPr>
        <w:pStyle w:val="indentii"/>
      </w:pPr>
      <w:r>
        <w:tab/>
        <w:t>(ii)</w:t>
      </w:r>
      <w:r>
        <w:tab/>
        <w:t>if the aggregate value of the issued shares of the corporation and each of those subsidiaries determined under subsection (2) or (3) is greater—that greater value.</w:t>
      </w:r>
    </w:p>
    <w:p w:rsidR="00000000" w:rsidRDefault="00590668">
      <w:pPr>
        <w:pStyle w:val="Subsection"/>
      </w:pPr>
      <w:r>
        <w:tab/>
        <w:t>(2)</w:t>
      </w:r>
      <w:r>
        <w:tab/>
        <w:t>For the purposes of subparagraphs (1)(a)(ii) and (b)(ii) in rela</w:t>
      </w:r>
      <w:r>
        <w:t>tion to the application of section 18, the value of the issued shares of a corporation, or the aggregate value of the issued shares of a group of corporations, is the value ascertained under the formula:</w:t>
      </w:r>
    </w:p>
    <w:p w:rsidR="00000000" w:rsidRDefault="00590668">
      <w:pPr>
        <w:pStyle w:val="Subsection"/>
        <w:keepNext/>
        <w:ind w:firstLine="0"/>
      </w:pPr>
      <w:r>
        <w:rPr>
          <w:position w:val="-22"/>
          <w:sz w:val="20"/>
          <w:szCs w:val="20"/>
        </w:rPr>
        <w:object w:dxaOrig="960" w:dyaOrig="560">
          <v:shape id="_x0000_i1042" type="#_x0000_t75" style="width:48pt;height:27.75pt" o:ole="" fillcolor="window">
            <v:imagedata r:id="rId126" o:title=""/>
          </v:shape>
          <o:OLEObject Type="Embed" ProgID="Unknown" ShapeID="_x0000_i1042" DrawAspect="Content" ObjectID="_1510745807" r:id="rId127"/>
        </w:object>
      </w:r>
    </w:p>
    <w:p w:rsidR="00000000" w:rsidRDefault="00590668">
      <w:pPr>
        <w:pStyle w:val="subsection2"/>
      </w:pPr>
      <w:r>
        <w:t>where:</w:t>
      </w:r>
    </w:p>
    <w:p w:rsidR="00000000" w:rsidRDefault="00590668">
      <w:pPr>
        <w:pStyle w:val="Definition"/>
        <w:tabs>
          <w:tab w:val="left" w:pos="1418"/>
        </w:tabs>
      </w:pPr>
      <w:r>
        <w:rPr>
          <w:b/>
          <w:bCs/>
          <w:i/>
          <w:iCs/>
        </w:rPr>
        <w:t>C</w:t>
      </w:r>
      <w:r>
        <w:tab/>
        <w:t>is:</w:t>
      </w:r>
    </w:p>
    <w:p w:rsidR="00000000" w:rsidRDefault="00590668">
      <w:pPr>
        <w:pStyle w:val="indenta"/>
      </w:pPr>
      <w:r>
        <w:tab/>
        <w:t>(a)</w:t>
      </w:r>
      <w:r>
        <w:tab/>
        <w:t>where the transaction referred to in section 18 is the proposed acquisition of shares—the total consideration for the acquisition; or</w:t>
      </w:r>
    </w:p>
    <w:p w:rsidR="00000000" w:rsidRDefault="00590668">
      <w:pPr>
        <w:pStyle w:val="indenta"/>
      </w:pPr>
      <w:r>
        <w:lastRenderedPageBreak/>
        <w:tab/>
        <w:t>(b)</w:t>
      </w:r>
      <w:r>
        <w:tab/>
        <w:t>where the transaction is the issue of shares—the total issue pric</w:t>
      </w:r>
      <w:r>
        <w:t>e of all the shares to be issued;</w:t>
      </w:r>
    </w:p>
    <w:p w:rsidR="00000000" w:rsidRDefault="00590668">
      <w:pPr>
        <w:pStyle w:val="Definition"/>
        <w:tabs>
          <w:tab w:val="left" w:pos="1560"/>
        </w:tabs>
      </w:pPr>
      <w:r>
        <w:rPr>
          <w:b/>
          <w:bCs/>
          <w:i/>
          <w:iCs/>
        </w:rPr>
        <w:t>TS</w:t>
      </w:r>
      <w:r>
        <w:tab/>
        <w:t>is the total number of issued shares, immediately before the proposed acquisition or issue, of the corporation or group of corporations, as the case may be; and</w:t>
      </w:r>
    </w:p>
    <w:p w:rsidR="00000000" w:rsidRDefault="00590668">
      <w:pPr>
        <w:pStyle w:val="Definition"/>
        <w:tabs>
          <w:tab w:val="left" w:pos="1560"/>
        </w:tabs>
      </w:pPr>
      <w:r>
        <w:rPr>
          <w:b/>
          <w:bCs/>
          <w:i/>
          <w:iCs/>
        </w:rPr>
        <w:t>NS</w:t>
      </w:r>
      <w:r>
        <w:tab/>
        <w:t>is the number of shares proposed to be acquired or issu</w:t>
      </w:r>
      <w:r>
        <w:t>ed, as the case may be.</w:t>
      </w:r>
    </w:p>
    <w:p w:rsidR="00000000" w:rsidRDefault="00590668">
      <w:pPr>
        <w:pStyle w:val="Subsection"/>
      </w:pPr>
      <w:r>
        <w:tab/>
        <w:t>(3)</w:t>
      </w:r>
      <w:r>
        <w:tab/>
        <w:t xml:space="preserve">For the purposes of subparagraphs (1)(a)(ii) and (b)(ii) in relation to the application of section 26, the value of the issued shares of a corporation, or the aggregate value of the issued shares of a group of corporations, is </w:t>
      </w:r>
      <w:r>
        <w:t>the value ascertained under the formula:</w:t>
      </w:r>
    </w:p>
    <w:p w:rsidR="00000000" w:rsidRDefault="00590668">
      <w:pPr>
        <w:pStyle w:val="Subsection"/>
        <w:ind w:firstLine="0"/>
      </w:pPr>
      <w:r>
        <w:rPr>
          <w:position w:val="-22"/>
          <w:sz w:val="20"/>
          <w:szCs w:val="20"/>
        </w:rPr>
        <w:object w:dxaOrig="960" w:dyaOrig="560">
          <v:shape id="_x0000_i1043" type="#_x0000_t75" style="width:48pt;height:27.75pt" o:ole="" fillcolor="window">
            <v:imagedata r:id="rId128" o:title=""/>
          </v:shape>
          <o:OLEObject Type="Embed" ProgID="Unknown" ShapeID="_x0000_i1043" DrawAspect="Content" ObjectID="_1510745808" r:id="rId129"/>
        </w:object>
      </w:r>
    </w:p>
    <w:p w:rsidR="00000000" w:rsidRDefault="00590668">
      <w:pPr>
        <w:pStyle w:val="subsection2"/>
      </w:pPr>
      <w:r>
        <w:t>where:</w:t>
      </w:r>
    </w:p>
    <w:p w:rsidR="00000000" w:rsidRDefault="00590668">
      <w:pPr>
        <w:pStyle w:val="Definition"/>
        <w:tabs>
          <w:tab w:val="left" w:pos="1560"/>
        </w:tabs>
      </w:pPr>
      <w:r>
        <w:rPr>
          <w:i/>
          <w:iCs/>
        </w:rPr>
        <w:t>C</w:t>
      </w:r>
      <w:r>
        <w:tab/>
        <w:t>is the consideration for the shares acquired or proposed to be acquired under the agreement referred to in section 26;</w:t>
      </w:r>
    </w:p>
    <w:p w:rsidR="00000000" w:rsidRDefault="00590668">
      <w:pPr>
        <w:pStyle w:val="Definition"/>
        <w:tabs>
          <w:tab w:val="left" w:pos="1560"/>
        </w:tabs>
      </w:pPr>
      <w:r>
        <w:rPr>
          <w:b/>
          <w:bCs/>
          <w:i/>
          <w:iCs/>
        </w:rPr>
        <w:t>TS</w:t>
      </w:r>
      <w:r>
        <w:tab/>
        <w:t>is the total number of issued shares, immediately before the acquisition or proposed acquisition, of the corporation or group of corporations, as the case may be; and</w:t>
      </w:r>
    </w:p>
    <w:p w:rsidR="00000000" w:rsidRDefault="00590668">
      <w:pPr>
        <w:pStyle w:val="Definition"/>
        <w:tabs>
          <w:tab w:val="left" w:pos="1560"/>
        </w:tabs>
      </w:pPr>
      <w:r>
        <w:rPr>
          <w:b/>
          <w:bCs/>
          <w:i/>
          <w:iCs/>
        </w:rPr>
        <w:t>NS</w:t>
      </w:r>
      <w:r>
        <w:tab/>
        <w:t>is the number of shares to which the agreement relates.</w:t>
      </w:r>
    </w:p>
    <w:p w:rsidR="00000000" w:rsidRDefault="00590668">
      <w:pPr>
        <w:pStyle w:val="Subsection"/>
      </w:pPr>
      <w:r>
        <w:tab/>
        <w:t>(4)</w:t>
      </w:r>
      <w:r>
        <w:tab/>
        <w:t>In determining whether a</w:t>
      </w:r>
      <w:r>
        <w:t xml:space="preserve"> business is an exempt business in relation to the application of section 19, the value of its total assets is the consideration for the acquisition referred to in that section.</w:t>
      </w:r>
    </w:p>
    <w:p w:rsidR="00000000" w:rsidRDefault="00590668">
      <w:pPr>
        <w:pStyle w:val="Subsection"/>
      </w:pPr>
      <w:r>
        <w:tab/>
        <w:t>(5)</w:t>
      </w:r>
      <w:r>
        <w:tab/>
        <w:t>In determining whether a corporation is an exempt corporation in relation</w:t>
      </w:r>
      <w:r>
        <w:t xml:space="preserve"> to the application of section 20, the value of its total assets at a particular time is:</w:t>
      </w:r>
    </w:p>
    <w:p w:rsidR="00000000" w:rsidRDefault="00590668">
      <w:pPr>
        <w:pStyle w:val="indenta"/>
      </w:pPr>
      <w:r>
        <w:tab/>
        <w:t>(a)</w:t>
      </w:r>
      <w:r>
        <w:tab/>
        <w:t>where the corporation is not a holding corporation—the value of those assets as shown in the last balance</w:t>
      </w:r>
      <w:r>
        <w:noBreakHyphen/>
        <w:t>sheet of the corporation audited before that time or, i</w:t>
      </w:r>
      <w:r>
        <w:t>f no balance</w:t>
      </w:r>
      <w:r>
        <w:noBreakHyphen/>
        <w:t>sheet was audited before that time, as shown at that time in the accounting records of the corporation; or</w:t>
      </w:r>
    </w:p>
    <w:p w:rsidR="00000000" w:rsidRDefault="00590668">
      <w:pPr>
        <w:pStyle w:val="indenta"/>
      </w:pPr>
      <w:r>
        <w:tab/>
        <w:t>(b)</w:t>
      </w:r>
      <w:r>
        <w:tab/>
        <w:t>where the corporation is a holding corporation—the aggregate value of the assets of the corporation, and of each of its subsidiarie</w:t>
      </w:r>
      <w:r>
        <w:t>s that is a prescribed corporation carrying on an Australian business, determined, in each case, under paragraph (a).</w:t>
      </w:r>
    </w:p>
    <w:p w:rsidR="00000000" w:rsidRDefault="00590668">
      <w:pPr>
        <w:pStyle w:val="Subsection"/>
      </w:pPr>
      <w:r>
        <w:tab/>
        <w:t>(6)</w:t>
      </w:r>
      <w:r>
        <w:tab/>
        <w:t>In determining whether a business is an exempt business in relation to the application of section 21, the value of its total assets a</w:t>
      </w:r>
      <w:r>
        <w:t xml:space="preserve">t a particular time is the value determined by a person who was at the time of the valuation a </w:t>
      </w:r>
      <w:r>
        <w:lastRenderedPageBreak/>
        <w:t>suitably qualified valuer acting at arm’s length in relation to the valuation where:</w:t>
      </w:r>
    </w:p>
    <w:p w:rsidR="00000000" w:rsidRDefault="00590668">
      <w:pPr>
        <w:pStyle w:val="indenta"/>
      </w:pPr>
      <w:r>
        <w:tab/>
        <w:t>(a)</w:t>
      </w:r>
      <w:r>
        <w:tab/>
        <w:t>the valuation was made at the particular time; or</w:t>
      </w:r>
    </w:p>
    <w:p w:rsidR="00000000" w:rsidRDefault="00590668">
      <w:pPr>
        <w:pStyle w:val="indenta"/>
      </w:pPr>
      <w:r>
        <w:tab/>
        <w:t>(b)</w:t>
      </w:r>
      <w:r>
        <w:tab/>
        <w:t>the valuation wa</w:t>
      </w:r>
      <w:r>
        <w:t>s made not more than 12 months before the particular time and the value had not increased significantly between the time of the valuation and the particular time.</w:t>
      </w:r>
    </w:p>
    <w:p w:rsidR="00000000" w:rsidRDefault="00590668">
      <w:pPr>
        <w:pStyle w:val="Heading5"/>
      </w:pPr>
      <w:r>
        <w:rPr>
          <w:rStyle w:val="CharSectno"/>
        </w:rPr>
        <w:t>13C</w:t>
      </w:r>
      <w:r>
        <w:t xml:space="preserve">  Australian urban land corporations</w:t>
      </w:r>
    </w:p>
    <w:p w:rsidR="00000000" w:rsidRDefault="00590668">
      <w:pPr>
        <w:pStyle w:val="Subsection"/>
      </w:pPr>
      <w:r>
        <w:tab/>
        <w:t>(1)</w:t>
      </w:r>
      <w:r>
        <w:tab/>
        <w:t>For the purposes of this Act, a corporation is a</w:t>
      </w:r>
      <w:r>
        <w:t>n Australian urban land corporation if:</w:t>
      </w:r>
    </w:p>
    <w:p w:rsidR="00000000" w:rsidRDefault="00590668">
      <w:pPr>
        <w:pStyle w:val="indenta"/>
      </w:pPr>
      <w:r>
        <w:tab/>
        <w:t>(a)</w:t>
      </w:r>
      <w:r>
        <w:tab/>
        <w:t>where the corporation is not a holding corporation—the value of its eligible land assets exceeds 50% of the value of its total assets; or</w:t>
      </w:r>
    </w:p>
    <w:p w:rsidR="00000000" w:rsidRDefault="00590668">
      <w:pPr>
        <w:pStyle w:val="indenta"/>
      </w:pPr>
      <w:r>
        <w:tab/>
        <w:t>(b)</w:t>
      </w:r>
      <w:r>
        <w:tab/>
        <w:t>where the corporation is a holding corporation—the sum of the values</w:t>
      </w:r>
      <w:r>
        <w:t xml:space="preserve"> of the eligible land assets of the corporation and of each of its subsidiaries exceeds 50% of the sum of the values of the total assets of the corporation and of each of its subsidiaries.</w:t>
      </w:r>
    </w:p>
    <w:p w:rsidR="00000000" w:rsidRDefault="00590668">
      <w:pPr>
        <w:pStyle w:val="Subsection"/>
      </w:pPr>
      <w:r>
        <w:tab/>
        <w:t>(2)</w:t>
      </w:r>
      <w:r>
        <w:tab/>
        <w:t>Where a reasonable value of the eligible land assets or of the</w:t>
      </w:r>
      <w:r>
        <w:t xml:space="preserve"> total assets of a corporation is:</w:t>
      </w:r>
    </w:p>
    <w:p w:rsidR="00000000" w:rsidRDefault="00590668">
      <w:pPr>
        <w:pStyle w:val="indenta"/>
      </w:pPr>
      <w:r>
        <w:tab/>
        <w:t>(a)</w:t>
      </w:r>
      <w:r>
        <w:tab/>
        <w:t>shown in the last audited balance</w:t>
      </w:r>
      <w:r>
        <w:noBreakHyphen/>
        <w:t>sheet of the corporation; or</w:t>
      </w:r>
    </w:p>
    <w:p w:rsidR="00000000" w:rsidRDefault="00590668">
      <w:pPr>
        <w:pStyle w:val="indenta"/>
        <w:keepNext/>
      </w:pPr>
      <w:r>
        <w:tab/>
        <w:t>(b)</w:t>
      </w:r>
      <w:r>
        <w:tab/>
        <w:t>if not shown in the last audited balance</w:t>
      </w:r>
      <w:r>
        <w:noBreakHyphen/>
        <w:t>sheet—shown in the accounting records of the corporation;</w:t>
      </w:r>
    </w:p>
    <w:p w:rsidR="00000000" w:rsidRDefault="00590668">
      <w:pPr>
        <w:pStyle w:val="subsection2"/>
      </w:pPr>
      <w:r>
        <w:t>the value of those assets as shown shall be taken</w:t>
      </w:r>
      <w:r>
        <w:t xml:space="preserve"> to be their value for the purposes of subsection (1).</w:t>
      </w:r>
    </w:p>
    <w:p w:rsidR="00000000" w:rsidRDefault="00590668">
      <w:pPr>
        <w:pStyle w:val="Subsection"/>
      </w:pPr>
      <w:r>
        <w:tab/>
        <w:t>(3)</w:t>
      </w:r>
      <w:r>
        <w:tab/>
        <w:t>For the purposes of determining the values referred to in paragraph (1)(b), any asset of a corporation that consists of shares in any subsidiary of the corporation shall be disregarded.</w:t>
      </w:r>
    </w:p>
    <w:p w:rsidR="00000000" w:rsidRDefault="00590668">
      <w:pPr>
        <w:pStyle w:val="Subsection"/>
      </w:pPr>
      <w:r>
        <w:tab/>
        <w:t>(4)</w:t>
      </w:r>
      <w:r>
        <w:tab/>
        <w:t>In th</w:t>
      </w:r>
      <w:r>
        <w:t>is section:</w:t>
      </w:r>
    </w:p>
    <w:p w:rsidR="00000000" w:rsidRDefault="00590668">
      <w:pPr>
        <w:pStyle w:val="Definition"/>
      </w:pPr>
      <w:r>
        <w:rPr>
          <w:b/>
          <w:bCs/>
          <w:i/>
          <w:iCs/>
        </w:rPr>
        <w:t>eligible land assets</w:t>
      </w:r>
      <w:r>
        <w:t>, in relation to a corporation, means so much of the corporation’s total assets as consists of interests in Australian urban land.</w:t>
      </w:r>
    </w:p>
    <w:p w:rsidR="00000000" w:rsidRDefault="00590668">
      <w:pPr>
        <w:pStyle w:val="Heading5"/>
      </w:pPr>
      <w:r>
        <w:rPr>
          <w:rStyle w:val="CharSectno"/>
        </w:rPr>
        <w:t>13D</w:t>
      </w:r>
      <w:r>
        <w:t xml:space="preserve">  Australian urban land trust estates</w:t>
      </w:r>
    </w:p>
    <w:p w:rsidR="00000000" w:rsidRDefault="00590668">
      <w:pPr>
        <w:pStyle w:val="Subsection"/>
      </w:pPr>
      <w:r>
        <w:tab/>
        <w:t>(1)</w:t>
      </w:r>
      <w:r>
        <w:tab/>
        <w:t>For the purposes of this Act, a trust estate is</w:t>
      </w:r>
      <w:r>
        <w:t xml:space="preserve"> an Australian urban land trust estate if it is a unit trust estate and the value of so much of its total assets as consists of interests in Australian urban land exceeds 50% of the value of its total assets.</w:t>
      </w:r>
    </w:p>
    <w:p w:rsidR="00000000" w:rsidRDefault="00590668">
      <w:pPr>
        <w:pStyle w:val="Subsection"/>
      </w:pPr>
      <w:r>
        <w:tab/>
        <w:t>(2)</w:t>
      </w:r>
      <w:r>
        <w:tab/>
        <w:t>Where a reasonable value of the particular</w:t>
      </w:r>
      <w:r>
        <w:t xml:space="preserve"> assets or of the total assets of a trust estate is given in a valuation, that value shall be taken to be their value at a particular time for the purposes of subsection (1) if:</w:t>
      </w:r>
    </w:p>
    <w:p w:rsidR="00000000" w:rsidRDefault="00590668">
      <w:pPr>
        <w:pStyle w:val="indenta"/>
      </w:pPr>
      <w:r>
        <w:lastRenderedPageBreak/>
        <w:tab/>
        <w:t>(a)</w:t>
      </w:r>
      <w:r>
        <w:tab/>
        <w:t>the person giving the valuation was at the time of the valuation a suitab</w:t>
      </w:r>
      <w:r>
        <w:t>ly qualified valuer acting at arm’s length in relation to the valuation;</w:t>
      </w:r>
    </w:p>
    <w:p w:rsidR="00000000" w:rsidRDefault="00590668">
      <w:pPr>
        <w:pStyle w:val="indenta"/>
      </w:pPr>
      <w:r>
        <w:tab/>
        <w:t>(b)</w:t>
      </w:r>
      <w:r>
        <w:tab/>
        <w:t>the valuation was made not more than 12 months before the particular time; and</w:t>
      </w:r>
    </w:p>
    <w:p w:rsidR="00000000" w:rsidRDefault="00590668">
      <w:pPr>
        <w:pStyle w:val="indenta"/>
      </w:pPr>
      <w:r>
        <w:tab/>
        <w:t>(c)</w:t>
      </w:r>
      <w:r>
        <w:tab/>
        <w:t>the value of those assets had not increased significantly betwee</w:t>
      </w:r>
      <w:r>
        <w:t>n the time of the valuation and the particular time.</w:t>
      </w:r>
    </w:p>
    <w:p w:rsidR="00000000" w:rsidRDefault="00590668">
      <w:pPr>
        <w:pStyle w:val="Heading5"/>
      </w:pPr>
      <w:r>
        <w:rPr>
          <w:rStyle w:val="CharSectno"/>
        </w:rPr>
        <w:t>14</w:t>
      </w:r>
      <w:r>
        <w:t xml:space="preserve">  Voting power</w:t>
      </w:r>
    </w:p>
    <w:p w:rsidR="00000000" w:rsidRDefault="00590668">
      <w:pPr>
        <w:pStyle w:val="Subsection"/>
      </w:pPr>
      <w:r>
        <w:tab/>
      </w:r>
      <w:r>
        <w:tab/>
        <w:t>In this Act, a reference to the voting power in a corporation is a reference to the maximum number of votes that might be cast at a general meeting of the corporation.</w:t>
      </w:r>
    </w:p>
    <w:p w:rsidR="00000000" w:rsidRDefault="00590668">
      <w:pPr>
        <w:pStyle w:val="Heading5"/>
      </w:pPr>
      <w:r>
        <w:rPr>
          <w:rStyle w:val="CharSectno"/>
        </w:rPr>
        <w:t>15</w:t>
      </w:r>
      <w:r>
        <w:t xml:space="preserve">  Application </w:t>
      </w:r>
      <w:r>
        <w:t>of Act</w:t>
      </w:r>
    </w:p>
    <w:p w:rsidR="00000000" w:rsidRDefault="00590668">
      <w:pPr>
        <w:pStyle w:val="Subsection"/>
      </w:pPr>
      <w:r>
        <w:tab/>
      </w:r>
      <w:r>
        <w:tab/>
        <w:t>This Act does not apply in relation to:</w:t>
      </w:r>
    </w:p>
    <w:p w:rsidR="00000000" w:rsidRDefault="00590668">
      <w:pPr>
        <w:pStyle w:val="indenta"/>
      </w:pPr>
      <w:r>
        <w:tab/>
        <w:t>(a)</w:t>
      </w:r>
      <w:r>
        <w:tab/>
        <w:t>an acquisition of shares or assets, or an issue of shares, that occurred before the date of commencement of this Act;</w:t>
      </w:r>
    </w:p>
    <w:p w:rsidR="00000000" w:rsidRDefault="00590668">
      <w:pPr>
        <w:pStyle w:val="indenta"/>
      </w:pPr>
      <w:r>
        <w:tab/>
        <w:t>(b)</w:t>
      </w:r>
      <w:r>
        <w:tab/>
        <w:t>an arrangement that was entered into before that date; or</w:t>
      </w:r>
    </w:p>
    <w:p w:rsidR="00000000" w:rsidRDefault="00590668">
      <w:pPr>
        <w:pStyle w:val="indenta"/>
      </w:pPr>
      <w:r>
        <w:tab/>
        <w:t>(c)</w:t>
      </w:r>
      <w:r>
        <w:tab/>
        <w:t>an acquisition o</w:t>
      </w:r>
      <w:r>
        <w:t>f shares or assets occurring on or after that date, where notice in writing was issued by the Commonwealth Government before that date to the effect that the Commonwealth Government did not object to the acquisition or, in the case of an acquisition occurr</w:t>
      </w:r>
      <w:r>
        <w:t>ing by way of the exercise of an option, that it did not object to the acquisition of the option or to the acquisition of those shares or assets in pursuance of the option.</w:t>
      </w:r>
    </w:p>
    <w:p w:rsidR="00000000" w:rsidRDefault="00590668">
      <w:pPr>
        <w:pStyle w:val="Heading5"/>
      </w:pPr>
      <w:r>
        <w:rPr>
          <w:rStyle w:val="CharSectno"/>
        </w:rPr>
        <w:t>16</w:t>
      </w:r>
      <w:r>
        <w:t xml:space="preserve">  Extra</w:t>
      </w:r>
      <w:r>
        <w:noBreakHyphen/>
        <w:t>territorial operation of Act</w:t>
      </w:r>
    </w:p>
    <w:p w:rsidR="00000000" w:rsidRDefault="00590668">
      <w:pPr>
        <w:pStyle w:val="Subsection"/>
      </w:pPr>
      <w:r>
        <w:tab/>
      </w:r>
      <w:r>
        <w:tab/>
        <w:t>This Act applies both within and outside A</w:t>
      </w:r>
      <w:r>
        <w:t>ustralia and extends to every external Territory other than Papua New Guinea.</w:t>
      </w:r>
    </w:p>
    <w:p w:rsidR="00000000" w:rsidRDefault="00590668">
      <w:pPr>
        <w:pStyle w:val="Heading5"/>
      </w:pPr>
      <w:r>
        <w:rPr>
          <w:rStyle w:val="CharSectno"/>
        </w:rPr>
        <w:t>17</w:t>
      </w:r>
      <w:r>
        <w:t xml:space="preserve">  Persons obliged to comply with Act</w:t>
      </w:r>
    </w:p>
    <w:p w:rsidR="00000000" w:rsidRDefault="00590668">
      <w:pPr>
        <w:pStyle w:val="Subsection"/>
      </w:pPr>
      <w:r>
        <w:tab/>
      </w:r>
      <w:r>
        <w:tab/>
        <w:t>The obligation to comply with this Act extends to all natural persons, whether resident in Australia or not and whether Australian citize</w:t>
      </w:r>
      <w:r>
        <w:t>ns or not, and to all corporations, whether incorporated or carrying on business in Australia or not.</w:t>
      </w:r>
    </w:p>
    <w:p w:rsidR="00000000" w:rsidRDefault="00590668">
      <w:pPr>
        <w:pStyle w:val="PageBreak"/>
      </w:pPr>
      <w:r>
        <w:br w:type="page"/>
      </w:r>
    </w:p>
    <w:p w:rsidR="00000000" w:rsidRDefault="00590668">
      <w:pPr>
        <w:pStyle w:val="Heading2"/>
      </w:pPr>
      <w:r>
        <w:rPr>
          <w:rStyle w:val="CharPartNo"/>
        </w:rPr>
        <w:t>Part II</w:t>
      </w:r>
      <w:r>
        <w:t>—</w:t>
      </w:r>
      <w:r>
        <w:rPr>
          <w:rStyle w:val="CharPartText"/>
        </w:rPr>
        <w:t>Control of takeovers and other transactions</w:t>
      </w:r>
    </w:p>
    <w:p w:rsidR="00000000" w:rsidRDefault="00590668">
      <w:pPr>
        <w:pStyle w:val="Heading5"/>
      </w:pPr>
      <w:r>
        <w:rPr>
          <w:rStyle w:val="CharSectno"/>
        </w:rPr>
        <w:t>18</w:t>
      </w:r>
      <w:r>
        <w:t xml:space="preserve">  Acquisitions of shares</w:t>
      </w:r>
    </w:p>
    <w:p w:rsidR="00000000" w:rsidRDefault="00590668">
      <w:pPr>
        <w:pStyle w:val="Subsection"/>
      </w:pPr>
      <w:r>
        <w:tab/>
        <w:t>(1)</w:t>
      </w:r>
      <w:r>
        <w:tab/>
        <w:t xml:space="preserve">In this section, </w:t>
      </w:r>
      <w:r>
        <w:rPr>
          <w:b/>
          <w:bCs/>
          <w:i/>
          <w:iCs/>
        </w:rPr>
        <w:t>corporation</w:t>
      </w:r>
      <w:r>
        <w:t xml:space="preserve"> means:</w:t>
      </w:r>
    </w:p>
    <w:p w:rsidR="00000000" w:rsidRDefault="00590668">
      <w:pPr>
        <w:pStyle w:val="indenta"/>
      </w:pPr>
      <w:r>
        <w:tab/>
        <w:t>(a)</w:t>
      </w:r>
      <w:r>
        <w:tab/>
        <w:t>a prescribed corporation th</w:t>
      </w:r>
      <w:r>
        <w:t>at carries on an Australian business, whether alone or together with any other person or persons; or</w:t>
      </w:r>
    </w:p>
    <w:p w:rsidR="00000000" w:rsidRDefault="00590668">
      <w:pPr>
        <w:pStyle w:val="indenta"/>
      </w:pPr>
      <w:r>
        <w:tab/>
        <w:t>(b)</w:t>
      </w:r>
      <w:r>
        <w:tab/>
        <w:t>a holding corporation (other than a foreign corporation that is not a prescribed corporation) of such a prescribed corporation.</w:t>
      </w:r>
    </w:p>
    <w:p w:rsidR="00000000" w:rsidRDefault="00590668">
      <w:pPr>
        <w:pStyle w:val="Subsection"/>
      </w:pPr>
      <w:r>
        <w:tab/>
        <w:t>(2)</w:t>
      </w:r>
      <w:r>
        <w:tab/>
        <w:t>Where the Treasur</w:t>
      </w:r>
      <w:r>
        <w:t>er is satisfied that:</w:t>
      </w:r>
    </w:p>
    <w:p w:rsidR="00000000" w:rsidRDefault="00590668">
      <w:pPr>
        <w:pStyle w:val="indenta"/>
      </w:pPr>
      <w:r>
        <w:tab/>
        <w:t>(a)</w:t>
      </w:r>
      <w:r>
        <w:tab/>
        <w:t>a person proposes, or persons propose, to acquire shares in a corporation or a corporation proposes to issue shares;</w:t>
      </w:r>
    </w:p>
    <w:p w:rsidR="00000000" w:rsidRDefault="00590668">
      <w:pPr>
        <w:pStyle w:val="indenta"/>
      </w:pPr>
      <w:r>
        <w:tab/>
        <w:t>(b)</w:t>
      </w:r>
      <w:r>
        <w:tab/>
        <w:t>the proposed acquisition or acquisitions or the proposed issue would have the result that:</w:t>
      </w:r>
    </w:p>
    <w:p w:rsidR="00000000" w:rsidRDefault="00590668">
      <w:pPr>
        <w:pStyle w:val="indentii"/>
      </w:pPr>
      <w:r>
        <w:tab/>
        <w:t>(i)</w:t>
      </w:r>
      <w:r>
        <w:tab/>
        <w:t>in the case</w:t>
      </w:r>
      <w:r>
        <w:t xml:space="preserve"> of a corporation not controlled by foreign persons—the corporation would be controlled by foreign persons; or</w:t>
      </w:r>
    </w:p>
    <w:p w:rsidR="00000000" w:rsidRDefault="00590668">
      <w:pPr>
        <w:pStyle w:val="indentii"/>
      </w:pPr>
      <w:r>
        <w:tab/>
        <w:t>(ii)</w:t>
      </w:r>
      <w:r>
        <w:tab/>
        <w:t>in the case of a corporation controlled by foreign persons—the corporation would continue to be controlled by foreign persons, but those pe</w:t>
      </w:r>
      <w:r>
        <w:t>rsons would include a person who is not, or would not include a person who is, one of the foreign persons first referred to in this subparagraph; and</w:t>
      </w:r>
    </w:p>
    <w:p w:rsidR="00000000" w:rsidRDefault="00590668">
      <w:pPr>
        <w:pStyle w:val="indenta"/>
        <w:keepNext/>
      </w:pPr>
      <w:r>
        <w:tab/>
        <w:t>(c)</w:t>
      </w:r>
      <w:r>
        <w:tab/>
        <w:t>that result would be contrary to the national interest;</w:t>
      </w:r>
    </w:p>
    <w:p w:rsidR="00000000" w:rsidRDefault="00590668">
      <w:pPr>
        <w:pStyle w:val="subsection2"/>
      </w:pPr>
      <w:r>
        <w:t>the Treasurer may make an order prohibiting t</w:t>
      </w:r>
      <w:r>
        <w:t>he proposed acquisition or all or any of the proposed acquisitions, or the proposed issue, as the case may be.</w:t>
      </w:r>
    </w:p>
    <w:p w:rsidR="00000000" w:rsidRDefault="00590668">
      <w:pPr>
        <w:pStyle w:val="Subsection"/>
      </w:pPr>
      <w:r>
        <w:tab/>
        <w:t>(3)</w:t>
      </w:r>
      <w:r>
        <w:tab/>
        <w:t>Where the Treasurer makes an order under subsection (2) prohibiting a proposed acquisition of shares in a corporation, he may also make an o</w:t>
      </w:r>
      <w:r>
        <w:t>rder in relation to a specified foreign person, or in relation to a specified foreign person and specified associates, or the persons included in a specified class of associates, of that person, directing that that person shall not, or none of those person</w:t>
      </w:r>
      <w:r>
        <w:t>s shall, whether alone or together with any other or others of them:</w:t>
      </w:r>
    </w:p>
    <w:p w:rsidR="00000000" w:rsidRDefault="00590668">
      <w:pPr>
        <w:pStyle w:val="indenta"/>
      </w:pPr>
      <w:r>
        <w:tab/>
        <w:t>(a)</w:t>
      </w:r>
      <w:r>
        <w:tab/>
        <w:t>be in a position to control more of the total voting power in the corporation than:</w:t>
      </w:r>
    </w:p>
    <w:p w:rsidR="00000000" w:rsidRDefault="00590668">
      <w:pPr>
        <w:pStyle w:val="indentii"/>
      </w:pPr>
      <w:r>
        <w:tab/>
        <w:t>(i)</w:t>
      </w:r>
      <w:r>
        <w:tab/>
        <w:t>such proportion of the total voting power in the corporat</w:t>
      </w:r>
      <w:r>
        <w:t>ion as is equal to the proportion of the total voting power in the corporation at the time of the coming into operation of the first</w:t>
      </w:r>
      <w:r>
        <w:noBreakHyphen/>
        <w:t xml:space="preserve">mentioned order that that foreign person, together with </w:t>
      </w:r>
      <w:r>
        <w:lastRenderedPageBreak/>
        <w:t>any associate or associates of that person, was in a position to co</w:t>
      </w:r>
      <w:r>
        <w:t>ntrol at that time; or</w:t>
      </w:r>
    </w:p>
    <w:p w:rsidR="00000000" w:rsidRDefault="00590668">
      <w:pPr>
        <w:pStyle w:val="indentii"/>
      </w:pPr>
      <w:r>
        <w:tab/>
        <w:t>(ii)</w:t>
      </w:r>
      <w:r>
        <w:tab/>
        <w:t>such greater proportion (if any) of the total voting power in the corporation as is specified in the order; or</w:t>
      </w:r>
    </w:p>
    <w:p w:rsidR="00000000" w:rsidRDefault="00590668">
      <w:pPr>
        <w:pStyle w:val="indenta"/>
      </w:pPr>
      <w:r>
        <w:tab/>
        <w:t>(b)</w:t>
      </w:r>
      <w:r>
        <w:tab/>
        <w:t>hold interests in a number of issued shares in the corporation exceeding:</w:t>
      </w:r>
    </w:p>
    <w:p w:rsidR="00000000" w:rsidRDefault="00590668">
      <w:pPr>
        <w:pStyle w:val="indentii"/>
      </w:pPr>
      <w:r>
        <w:tab/>
        <w:t>(i)</w:t>
      </w:r>
      <w:r>
        <w:tab/>
        <w:t>the number that bears to the tot</w:t>
      </w:r>
      <w:r>
        <w:t>al number of issued shares in the corporation the same proportion as the number of issued shares in the corporation in which that foreign person, together with any associate or associates of that person, held interests at the time of the coming into operat</w:t>
      </w:r>
      <w:r>
        <w:t>ion of the first</w:t>
      </w:r>
      <w:r>
        <w:noBreakHyphen/>
        <w:t>mentioned order bears to the total number of issued shares in the corporation at that time; or</w:t>
      </w:r>
    </w:p>
    <w:p w:rsidR="00000000" w:rsidRDefault="00590668">
      <w:pPr>
        <w:pStyle w:val="indentii"/>
      </w:pPr>
      <w:r>
        <w:tab/>
        <w:t>(ii)</w:t>
      </w:r>
      <w:r>
        <w:tab/>
        <w:t>such greater number (if any) as is specified in the order.</w:t>
      </w:r>
    </w:p>
    <w:p w:rsidR="00000000" w:rsidRDefault="00590668">
      <w:pPr>
        <w:pStyle w:val="Subsection"/>
      </w:pPr>
      <w:r>
        <w:tab/>
        <w:t>(4)</w:t>
      </w:r>
      <w:r>
        <w:tab/>
        <w:t xml:space="preserve">Where a person has acquired shares in a corporation, and the Treasurer is </w:t>
      </w:r>
      <w:r>
        <w:t>satisfied that:</w:t>
      </w:r>
    </w:p>
    <w:p w:rsidR="00000000" w:rsidRDefault="00590668">
      <w:pPr>
        <w:pStyle w:val="indenta"/>
      </w:pPr>
      <w:r>
        <w:tab/>
        <w:t>(a)</w:t>
      </w:r>
      <w:r>
        <w:tab/>
        <w:t>the acquisition has had the result that:</w:t>
      </w:r>
    </w:p>
    <w:p w:rsidR="00000000" w:rsidRDefault="00590668">
      <w:pPr>
        <w:pStyle w:val="indentii"/>
      </w:pPr>
      <w:r>
        <w:tab/>
        <w:t>(i)</w:t>
      </w:r>
      <w:r>
        <w:tab/>
        <w:t>in the case of a corporation that, before the acquisition, was not controlled by foreign persons—the corporation is controlled by foreign persons; or</w:t>
      </w:r>
    </w:p>
    <w:p w:rsidR="00000000" w:rsidRDefault="00590668">
      <w:pPr>
        <w:pStyle w:val="indentii"/>
      </w:pPr>
      <w:r>
        <w:tab/>
        <w:t>(ii)</w:t>
      </w:r>
      <w:r>
        <w:tab/>
        <w:t>in the case of a corporation that</w:t>
      </w:r>
      <w:r>
        <w:t>, before the acquisition, was controlled by foreign persons—the corporation continues to be controlled by foreign persons, but those persons include a person who is not, or do not include a person who is, one of the foreign persons first referred to in thi</w:t>
      </w:r>
      <w:r>
        <w:t>s subparagraph; and</w:t>
      </w:r>
    </w:p>
    <w:p w:rsidR="00000000" w:rsidRDefault="00590668">
      <w:pPr>
        <w:pStyle w:val="indenta"/>
        <w:keepNext/>
      </w:pPr>
      <w:r>
        <w:tab/>
        <w:t>(b)</w:t>
      </w:r>
      <w:r>
        <w:tab/>
        <w:t>that result is contrary to the national interest;</w:t>
      </w:r>
    </w:p>
    <w:p w:rsidR="00000000" w:rsidRDefault="00590668">
      <w:pPr>
        <w:pStyle w:val="subsection2"/>
      </w:pPr>
      <w:r>
        <w:t>the Treasurer may make an order directing the person who acquired the shares to dispose of those shares within a specified time to any person or persons approved in writing by the T</w:t>
      </w:r>
      <w:r>
        <w:t>reasurer.</w:t>
      </w:r>
    </w:p>
    <w:p w:rsidR="00000000" w:rsidRDefault="00590668">
      <w:pPr>
        <w:pStyle w:val="Subsection"/>
      </w:pPr>
      <w:r>
        <w:tab/>
        <w:t>(5)</w:t>
      </w:r>
      <w:r>
        <w:tab/>
        <w:t>Before the expiration of the time specified in an order made under subsection (4) or of that time as extended under this subsection, the Treasurer may, by writing signed by him, extend or further extend that time or that time as so extended,</w:t>
      </w:r>
      <w:r>
        <w:t xml:space="preserve"> and in that event the order has effect as if the time as so extended or further extended had been specified in the order.</w:t>
      </w:r>
    </w:p>
    <w:p w:rsidR="00000000" w:rsidRDefault="00590668">
      <w:pPr>
        <w:pStyle w:val="Subsection"/>
      </w:pPr>
      <w:r>
        <w:tab/>
        <w:t>(6)</w:t>
      </w:r>
      <w:r>
        <w:tab/>
        <w:t xml:space="preserve">The Treasurer shall not refuse to approve a person for the purposes of subsection (4) unless he is satisfied that the person is </w:t>
      </w:r>
      <w:r>
        <w:t>a foreign person and that it would be contrary to the national interest for that person to acquire the shares concerned.</w:t>
      </w:r>
    </w:p>
    <w:p w:rsidR="00000000" w:rsidRDefault="00590668">
      <w:pPr>
        <w:pStyle w:val="Subsection"/>
      </w:pPr>
      <w:r>
        <w:tab/>
        <w:t>(7)</w:t>
      </w:r>
      <w:r>
        <w:tab/>
        <w:t>For the purposes of this section:</w:t>
      </w:r>
    </w:p>
    <w:p w:rsidR="00000000" w:rsidRDefault="00590668">
      <w:pPr>
        <w:pStyle w:val="indenta"/>
      </w:pPr>
      <w:r>
        <w:lastRenderedPageBreak/>
        <w:tab/>
        <w:t>(a)</w:t>
      </w:r>
      <w:r>
        <w:tab/>
        <w:t>a corporation shall be taken to be controlled by foreign persons if, and only if, a foreign</w:t>
      </w:r>
      <w:r>
        <w:t xml:space="preserve"> person holds a controlling interest in the corporation or 2 or more foreign persons hold an aggregate controlling interest in the corporation;</w:t>
      </w:r>
    </w:p>
    <w:p w:rsidR="00000000" w:rsidRDefault="00590668">
      <w:pPr>
        <w:pStyle w:val="indenta"/>
      </w:pPr>
      <w:r>
        <w:tab/>
        <w:t xml:space="preserve"> (b)</w:t>
      </w:r>
      <w:r>
        <w:tab/>
        <w:t>where, by virtue of paragraph (a), a corporation is taken to be controlled by foreign persons by reason th</w:t>
      </w:r>
      <w:r>
        <w:t>at a foreign person, together with an associate or associates, is in a position to control not less than 15 per centum of the voting power in the corporation or holds interests in not less than 15 per centum of the issued shares in the corporation, referen</w:t>
      </w:r>
      <w:r>
        <w:t>ces to the foreign persons who control the corporation include references to that associate or those associates, whether or not that associate is, or those associates are, in fact foreign persons; and</w:t>
      </w:r>
    </w:p>
    <w:p w:rsidR="00000000" w:rsidRDefault="00590668">
      <w:pPr>
        <w:pStyle w:val="indenta"/>
      </w:pPr>
      <w:r>
        <w:tab/>
        <w:t>(c)</w:t>
      </w:r>
      <w:r>
        <w:tab/>
        <w:t>where, by virtue of paragraph (a), a corporation i</w:t>
      </w:r>
      <w:r>
        <w:t>s taken to be controlled by foreign persons by reason that 2 or more foreign persons, together with an associate or associates of any of them, are in a position to control not less than 40 per centum of the voting power in the corporation or hold interests</w:t>
      </w:r>
      <w:r>
        <w:t xml:space="preserve"> in not less than 40 per centum of the issued shares in the corporation, references to the foreign persons who control the corporation are references to any foreign persons, and any associates of foreign persons (whether or not those associates are in fact</w:t>
      </w:r>
      <w:r>
        <w:t xml:space="preserve"> foreign persons), each of whom is in a position to control any of the voting power in the corporation or holds interests in any of the issued shares in the corporation.</w:t>
      </w:r>
    </w:p>
    <w:p w:rsidR="00000000" w:rsidRDefault="00590668">
      <w:pPr>
        <w:pStyle w:val="Heading5"/>
      </w:pPr>
      <w:r>
        <w:rPr>
          <w:rStyle w:val="CharSectno"/>
        </w:rPr>
        <w:t>19</w:t>
      </w:r>
      <w:r>
        <w:t xml:space="preserve">  Acquisitions of assets</w:t>
      </w:r>
    </w:p>
    <w:p w:rsidR="00000000" w:rsidRDefault="00590668">
      <w:pPr>
        <w:pStyle w:val="Subsection"/>
      </w:pPr>
      <w:r>
        <w:tab/>
        <w:t>(1)</w:t>
      </w:r>
      <w:r>
        <w:tab/>
        <w:t xml:space="preserve">In this section, </w:t>
      </w:r>
      <w:r>
        <w:rPr>
          <w:b/>
          <w:bCs/>
          <w:i/>
          <w:iCs/>
        </w:rPr>
        <w:t>foreign person</w:t>
      </w:r>
      <w:r>
        <w:t xml:space="preserve"> means:</w:t>
      </w:r>
    </w:p>
    <w:p w:rsidR="00000000" w:rsidRDefault="00590668">
      <w:pPr>
        <w:pStyle w:val="indenta"/>
      </w:pPr>
      <w:r>
        <w:tab/>
        <w:t>(a)</w:t>
      </w:r>
      <w:r>
        <w:tab/>
        <w:t xml:space="preserve">a foreign </w:t>
      </w:r>
      <w:r>
        <w:t>corporation in which a natural person not ordinarily resident in Australia or a foreign corporation holds a controlling interest; or</w:t>
      </w:r>
    </w:p>
    <w:p w:rsidR="00000000" w:rsidRDefault="00590668">
      <w:pPr>
        <w:pStyle w:val="indenta"/>
      </w:pPr>
      <w:r>
        <w:tab/>
        <w:t>(b)</w:t>
      </w:r>
      <w:r>
        <w:tab/>
        <w:t>a foreign corporation in which 2 or more persons, each of whom is either a natural person not ordinarily resident in A</w:t>
      </w:r>
      <w:r>
        <w:t>ustralia or a foreign corporation, hold an aggregate controlling interest.</w:t>
      </w:r>
    </w:p>
    <w:p w:rsidR="00000000" w:rsidRDefault="00590668">
      <w:pPr>
        <w:pStyle w:val="Subsection"/>
      </w:pPr>
      <w:r>
        <w:tab/>
        <w:t>(2)</w:t>
      </w:r>
      <w:r>
        <w:tab/>
        <w:t>Where the Treasurer is satisfied that:</w:t>
      </w:r>
    </w:p>
    <w:p w:rsidR="00000000" w:rsidRDefault="00590668">
      <w:pPr>
        <w:pStyle w:val="indenta"/>
      </w:pPr>
      <w:r>
        <w:tab/>
        <w:t>(a)</w:t>
      </w:r>
      <w:r>
        <w:tab/>
        <w:t xml:space="preserve">a person proposes, or persons propose, to acquire assets of an Australian business carried on solely by a prescribed corporation or </w:t>
      </w:r>
      <w:r>
        <w:t>prescribed corporations;</w:t>
      </w:r>
    </w:p>
    <w:p w:rsidR="00000000" w:rsidRDefault="00590668">
      <w:pPr>
        <w:pStyle w:val="indenta"/>
      </w:pPr>
      <w:r>
        <w:tab/>
        <w:t>(b)</w:t>
      </w:r>
      <w:r>
        <w:tab/>
        <w:t>the proposed acquisition or acquisitions would have the result that:</w:t>
      </w:r>
    </w:p>
    <w:p w:rsidR="00000000" w:rsidRDefault="00590668">
      <w:pPr>
        <w:pStyle w:val="indentii"/>
      </w:pPr>
      <w:r>
        <w:tab/>
        <w:t>(i)</w:t>
      </w:r>
      <w:r>
        <w:tab/>
        <w:t>in the case of a business not controlled by foreign persons—the business would be controlled by foreign persons; or</w:t>
      </w:r>
    </w:p>
    <w:p w:rsidR="00000000" w:rsidRDefault="00590668">
      <w:pPr>
        <w:pStyle w:val="indentii"/>
      </w:pPr>
      <w:r>
        <w:tab/>
        <w:t>(ii)</w:t>
      </w:r>
      <w:r>
        <w:tab/>
        <w:t>in the case of a business cont</w:t>
      </w:r>
      <w:r>
        <w:t xml:space="preserve">rolled by foreign persons—the business would continue to be controlled by foreign persons, </w:t>
      </w:r>
      <w:r>
        <w:lastRenderedPageBreak/>
        <w:t>but those persons would include a person who is not, or would not include a person who is, one of the foreign persons first referred to in this subparagraph; and</w:t>
      </w:r>
    </w:p>
    <w:p w:rsidR="00000000" w:rsidRDefault="00590668">
      <w:pPr>
        <w:pStyle w:val="indenta"/>
        <w:keepNext/>
      </w:pPr>
      <w:r>
        <w:tab/>
        <w:t>(c</w:t>
      </w:r>
      <w:r>
        <w:t>)</w:t>
      </w:r>
      <w:r>
        <w:tab/>
        <w:t>that result would be contrary to the national interest;</w:t>
      </w:r>
    </w:p>
    <w:p w:rsidR="00000000" w:rsidRDefault="00590668">
      <w:pPr>
        <w:pStyle w:val="subsection2"/>
      </w:pPr>
      <w:r>
        <w:t>the Treasurer may make an order prohibiting the proposed acquisition or all or any of the proposed acquisitions, as the case may be.</w:t>
      </w:r>
    </w:p>
    <w:p w:rsidR="00000000" w:rsidRDefault="00590668">
      <w:pPr>
        <w:pStyle w:val="Subsection"/>
      </w:pPr>
      <w:r>
        <w:tab/>
        <w:t>(3)</w:t>
      </w:r>
      <w:r>
        <w:tab/>
        <w:t>Where the Treasurer makes an order under subsection </w:t>
      </w:r>
      <w:r>
        <w:t>(2) prohibiting a proposed acquisition of assets of an Australian business, he may also make an order in relation to a specified foreign person, or in relation to a specified foreign person and specified associates, or the persons included in a specified c</w:t>
      </w:r>
      <w:r>
        <w:t xml:space="preserve">lass of associates, of that person, directing that that person shall not, or none of those persons shall, whether alone or together with any other or others of them, acquire any interests in assets of that business, or acquire any such interests except to </w:t>
      </w:r>
      <w:r>
        <w:t>a specified extent.</w:t>
      </w:r>
    </w:p>
    <w:p w:rsidR="00000000" w:rsidRDefault="00590668">
      <w:pPr>
        <w:pStyle w:val="Subsection"/>
      </w:pPr>
      <w:r>
        <w:tab/>
        <w:t>(4)</w:t>
      </w:r>
      <w:r>
        <w:tab/>
        <w:t>Where a person has acquired assets of an Australian business carried on solely by a prescribed corporation or prescribed corporations, and the Treasurer is satisfied that:</w:t>
      </w:r>
    </w:p>
    <w:p w:rsidR="00000000" w:rsidRDefault="00590668">
      <w:pPr>
        <w:pStyle w:val="indenta"/>
      </w:pPr>
      <w:r>
        <w:tab/>
        <w:t>(a)</w:t>
      </w:r>
      <w:r>
        <w:tab/>
        <w:t>the acquisition has had the result that:</w:t>
      </w:r>
    </w:p>
    <w:p w:rsidR="00000000" w:rsidRDefault="00590668">
      <w:pPr>
        <w:pStyle w:val="indentii"/>
      </w:pPr>
      <w:r>
        <w:tab/>
        <w:t>(i)</w:t>
      </w:r>
      <w:r>
        <w:tab/>
        <w:t>in the c</w:t>
      </w:r>
      <w:r>
        <w:t>ase of a business that, before the acquisition, was not controlled by foreign persons—the business is controlled by foreign persons; or</w:t>
      </w:r>
    </w:p>
    <w:p w:rsidR="00000000" w:rsidRDefault="00590668">
      <w:pPr>
        <w:pStyle w:val="indentii"/>
      </w:pPr>
      <w:r>
        <w:tab/>
        <w:t>(ii)</w:t>
      </w:r>
      <w:r>
        <w:tab/>
        <w:t>in the case of a business that, before the acquisition, was controlled by foreign persons—the business continues t</w:t>
      </w:r>
      <w:r>
        <w:t>o be controlled by foreign persons, but those persons include a person who is not, or do not include a person who is, one of the foreign persons first referred to in this subparagraph; and</w:t>
      </w:r>
    </w:p>
    <w:p w:rsidR="00000000" w:rsidRDefault="00590668">
      <w:pPr>
        <w:pStyle w:val="indenta"/>
        <w:keepNext/>
      </w:pPr>
      <w:r>
        <w:tab/>
        <w:t>(b)</w:t>
      </w:r>
      <w:r>
        <w:tab/>
        <w:t>that result is contrary to the national interest;</w:t>
      </w:r>
    </w:p>
    <w:p w:rsidR="00000000" w:rsidRDefault="00590668">
      <w:pPr>
        <w:pStyle w:val="subsection2"/>
      </w:pPr>
      <w:r>
        <w:t>the Treasure</w:t>
      </w:r>
      <w:r>
        <w:t>r may make an order directing the person who acquired the assets to dispose of those assets within a specified time to any person or persons approved in writing by the Treasurer.</w:t>
      </w:r>
    </w:p>
    <w:p w:rsidR="00000000" w:rsidRDefault="00590668">
      <w:pPr>
        <w:pStyle w:val="Subsection"/>
      </w:pPr>
      <w:r>
        <w:tab/>
        <w:t>(5)</w:t>
      </w:r>
      <w:r>
        <w:tab/>
        <w:t>Before the expiration of the time specified in an order made under subse</w:t>
      </w:r>
      <w:r>
        <w:t>ction (4) or of that time as extended under this subsection, the Treasurer may, by writing signed by him, extend or further extend that time or that time as so extended, and in that event the order has effect as if the time as so extended or further extend</w:t>
      </w:r>
      <w:r>
        <w:t>ed had been specified in the order.</w:t>
      </w:r>
    </w:p>
    <w:p w:rsidR="00000000" w:rsidRDefault="00590668">
      <w:pPr>
        <w:pStyle w:val="Subsection"/>
      </w:pPr>
      <w:r>
        <w:tab/>
        <w:t>(6)</w:t>
      </w:r>
      <w:r>
        <w:tab/>
        <w:t>The Treasurer shall not refuse to approve a person for the purposes of subsection (4) unless he is satisfied that the person is a foreign person and that it would be contrary to the national interest for that person</w:t>
      </w:r>
      <w:r>
        <w:t xml:space="preserve"> to acquire the assets concerned.</w:t>
      </w:r>
    </w:p>
    <w:p w:rsidR="00000000" w:rsidRDefault="00590668">
      <w:pPr>
        <w:pStyle w:val="Subsection"/>
      </w:pPr>
      <w:r>
        <w:tab/>
        <w:t>(7)</w:t>
      </w:r>
      <w:r>
        <w:tab/>
        <w:t>For the purposes of this section:</w:t>
      </w:r>
    </w:p>
    <w:p w:rsidR="00000000" w:rsidRDefault="00590668">
      <w:pPr>
        <w:pStyle w:val="indenta"/>
      </w:pPr>
      <w:r>
        <w:lastRenderedPageBreak/>
        <w:tab/>
        <w:t>(a)</w:t>
      </w:r>
      <w:r>
        <w:tab/>
        <w:t xml:space="preserve">an Australian business shall be taken to be controlled by foreign persons if, and only if, the Treasurer is satisfied that a foreign person or foreign persons, alone or together </w:t>
      </w:r>
      <w:r>
        <w:t>with an associate or associates of that foreign person or of any of those foreign persons, is or are in a position to determine the policy of the business; and</w:t>
      </w:r>
    </w:p>
    <w:p w:rsidR="00000000" w:rsidRDefault="00590668">
      <w:pPr>
        <w:pStyle w:val="indenta"/>
      </w:pPr>
      <w:r>
        <w:tab/>
        <w:t>(b)</w:t>
      </w:r>
      <w:r>
        <w:tab/>
        <w:t>where an Australian business is so taken to be controlled by foreign persons by reason that</w:t>
      </w:r>
      <w:r>
        <w:t xml:space="preserve"> a foreign person or foreign persons, together with an associate or associates, are in a position to determine the policy of the business, references to the foreign persons who control the business include references to that associate or those associates, </w:t>
      </w:r>
      <w:r>
        <w:t>whether or not that associate is, or those associates are, in fact foreign persons.</w:t>
      </w:r>
    </w:p>
    <w:p w:rsidR="00000000" w:rsidRDefault="00590668">
      <w:pPr>
        <w:pStyle w:val="Heading5"/>
      </w:pPr>
      <w:r>
        <w:rPr>
          <w:rStyle w:val="CharSectno"/>
        </w:rPr>
        <w:t>20</w:t>
      </w:r>
      <w:r>
        <w:t xml:space="preserve">  Arrangements relating to directorate of corporations</w:t>
      </w:r>
    </w:p>
    <w:p w:rsidR="00000000" w:rsidRDefault="00590668">
      <w:pPr>
        <w:pStyle w:val="Subsection"/>
        <w:keepNext/>
      </w:pPr>
      <w:r>
        <w:tab/>
        <w:t>(1)</w:t>
      </w:r>
      <w:r>
        <w:tab/>
        <w:t xml:space="preserve">In this section, </w:t>
      </w:r>
      <w:r>
        <w:rPr>
          <w:b/>
          <w:bCs/>
          <w:i/>
          <w:iCs/>
        </w:rPr>
        <w:t>corporation</w:t>
      </w:r>
      <w:r>
        <w:t xml:space="preserve"> means:</w:t>
      </w:r>
    </w:p>
    <w:p w:rsidR="00000000" w:rsidRDefault="00590668">
      <w:pPr>
        <w:pStyle w:val="indenta"/>
      </w:pPr>
      <w:r>
        <w:tab/>
        <w:t>(a)</w:t>
      </w:r>
      <w:r>
        <w:tab/>
        <w:t>an Australian corporation that carries on an Australian business, whe</w:t>
      </w:r>
      <w:r>
        <w:t>ther alone or together with any other person or persons; or</w:t>
      </w:r>
    </w:p>
    <w:p w:rsidR="00000000" w:rsidRDefault="00590668">
      <w:pPr>
        <w:pStyle w:val="indenta"/>
      </w:pPr>
      <w:r>
        <w:tab/>
        <w:t>(b)</w:t>
      </w:r>
      <w:r>
        <w:tab/>
        <w:t>a holding corporation (other than a foreign corporation) of such an Australian corporation.</w:t>
      </w:r>
    </w:p>
    <w:p w:rsidR="00000000" w:rsidRDefault="00590668">
      <w:pPr>
        <w:pStyle w:val="Subsection"/>
      </w:pPr>
      <w:r>
        <w:tab/>
        <w:t>(2)</w:t>
      </w:r>
      <w:r>
        <w:tab/>
        <w:t>Where the Treasurer is satisfied that:</w:t>
      </w:r>
    </w:p>
    <w:p w:rsidR="00000000" w:rsidRDefault="00590668">
      <w:pPr>
        <w:pStyle w:val="indenta"/>
      </w:pPr>
      <w:r>
        <w:tab/>
        <w:t>(a)</w:t>
      </w:r>
      <w:r>
        <w:tab/>
        <w:t>a person proposes to enter into an agreement in re</w:t>
      </w:r>
      <w:r>
        <w:t>lation to the affairs of a corporation or it is proposed to alter a constituent document of a corporation;</w:t>
      </w:r>
    </w:p>
    <w:p w:rsidR="00000000" w:rsidRDefault="00590668">
      <w:pPr>
        <w:pStyle w:val="indenta"/>
      </w:pPr>
      <w:r>
        <w:tab/>
        <w:t>(b)</w:t>
      </w:r>
      <w:r>
        <w:tab/>
        <w:t>under the proposed agreement or in consequence of the proposed alteration, a director or directors of the corporation will be under an obligatio</w:t>
      </w:r>
      <w:r>
        <w:t>n to act in accordance with the directions, instructions or wishes of a foreign person who holds a substantial interest in the corporation or of an associate of such a foreign person;</w:t>
      </w:r>
    </w:p>
    <w:p w:rsidR="00000000" w:rsidRDefault="00590668">
      <w:pPr>
        <w:pStyle w:val="indenta"/>
      </w:pPr>
      <w:r>
        <w:tab/>
        <w:t>(c)</w:t>
      </w:r>
      <w:r>
        <w:tab/>
        <w:t>the proposed agreement or alteration would have the result that:</w:t>
      </w:r>
    </w:p>
    <w:p w:rsidR="00000000" w:rsidRDefault="00590668">
      <w:pPr>
        <w:pStyle w:val="indentii"/>
      </w:pPr>
      <w:r>
        <w:tab/>
        <w:t>(</w:t>
      </w:r>
      <w:r>
        <w:t>i)</w:t>
      </w:r>
      <w:r>
        <w:tab/>
        <w:t>in the case of a corporation not controlled by foreign persons—the corporation would be controlled by foreign persons; or</w:t>
      </w:r>
    </w:p>
    <w:p w:rsidR="00000000" w:rsidRDefault="00590668">
      <w:pPr>
        <w:pStyle w:val="indentii"/>
      </w:pPr>
      <w:r>
        <w:tab/>
        <w:t>(ii)</w:t>
      </w:r>
      <w:r>
        <w:tab/>
        <w:t>in the case of a corporation controlled by foreign persons—the corporation would continue to be controlled by foreign persons</w:t>
      </w:r>
      <w:r>
        <w:t>, but those persons would include a person who is not, or would not include a person who is, one of the foreign persons first referred to in this subparagraph; and</w:t>
      </w:r>
    </w:p>
    <w:p w:rsidR="00000000" w:rsidRDefault="00590668">
      <w:pPr>
        <w:pStyle w:val="indenta"/>
        <w:keepNext/>
      </w:pPr>
      <w:r>
        <w:tab/>
        <w:t>(d)</w:t>
      </w:r>
      <w:r>
        <w:tab/>
        <w:t>that result would be contrary to the national interest;</w:t>
      </w:r>
    </w:p>
    <w:p w:rsidR="00000000" w:rsidRDefault="00590668">
      <w:pPr>
        <w:pStyle w:val="subsection2"/>
      </w:pPr>
      <w:r>
        <w:t>the Treasurer may make an order</w:t>
      </w:r>
      <w:r>
        <w:t xml:space="preserve"> prohibiting the entering into of the proposed agreement or prohibiting the proposed alteration, as the case may be.</w:t>
      </w:r>
    </w:p>
    <w:p w:rsidR="00000000" w:rsidRDefault="00590668">
      <w:pPr>
        <w:pStyle w:val="Subsection"/>
      </w:pPr>
      <w:r>
        <w:lastRenderedPageBreak/>
        <w:tab/>
        <w:t>(3)</w:t>
      </w:r>
      <w:r>
        <w:tab/>
        <w:t xml:space="preserve">Where an agreement has been entered into in relation to the affairs of a corporation, or an alteration has been made to a constituent </w:t>
      </w:r>
      <w:r>
        <w:t>document of a corporation, and the Treasurer is satisfied that:</w:t>
      </w:r>
    </w:p>
    <w:p w:rsidR="00000000" w:rsidRDefault="00590668">
      <w:pPr>
        <w:pStyle w:val="indenta"/>
      </w:pPr>
      <w:r>
        <w:tab/>
        <w:t>(a)</w:t>
      </w:r>
      <w:r>
        <w:tab/>
        <w:t>the agreement or alteration has had, or will have, the result that:</w:t>
      </w:r>
    </w:p>
    <w:p w:rsidR="00000000" w:rsidRDefault="00590668">
      <w:pPr>
        <w:pStyle w:val="indentii"/>
      </w:pPr>
      <w:r>
        <w:tab/>
        <w:t>(i)</w:t>
      </w:r>
      <w:r>
        <w:tab/>
      </w:r>
      <w:r>
        <w:t>in the case of a corporation that, before the agreement was entered into or the alteration was made, was not controlled by foreign persons—the corporation is or will be controlled by foreign persons; or</w:t>
      </w:r>
    </w:p>
    <w:p w:rsidR="00000000" w:rsidRDefault="00590668">
      <w:pPr>
        <w:pStyle w:val="indentii"/>
      </w:pPr>
      <w:r>
        <w:tab/>
        <w:t>(ii)</w:t>
      </w:r>
      <w:r>
        <w:tab/>
        <w:t>in the case of a corporation that, before the a</w:t>
      </w:r>
      <w:r>
        <w:t>greement was entered into or the alteration was made, was controlled by foreign persons—the corporation continues or will continue to be controlled by foreign persons, but those persons include or will include a person who is not, or do not or will not inc</w:t>
      </w:r>
      <w:r>
        <w:t>lude a person who is, one of the foreign persons first referred to in this subparagraph; and</w:t>
      </w:r>
    </w:p>
    <w:p w:rsidR="00000000" w:rsidRDefault="00590668">
      <w:pPr>
        <w:pStyle w:val="indenta"/>
        <w:keepNext/>
      </w:pPr>
      <w:r>
        <w:tab/>
        <w:t>(b)</w:t>
      </w:r>
      <w:r>
        <w:tab/>
        <w:t>that result is or will be contrary to the national interest;</w:t>
      </w:r>
    </w:p>
    <w:p w:rsidR="00000000" w:rsidRDefault="00590668">
      <w:pPr>
        <w:pStyle w:val="subsection2"/>
      </w:pPr>
      <w:r>
        <w:t>the Treasurer may, for the purpose of restoring the control of the corporation as closely as poss</w:t>
      </w:r>
      <w:r>
        <w:t>ible to the position in which it was before the agreement was entered into or the alteration was made or for the purpose of preventing the occurrence of a change in the control of the corporation of a kind mentioned in paragraph (a), as the case may be, ma</w:t>
      </w:r>
      <w:r>
        <w:t>ke orders directing specified persons to do within a specified time, or refrain from doing, specified acts or acts of a specified kind.</w:t>
      </w:r>
    </w:p>
    <w:p w:rsidR="00000000" w:rsidRDefault="00590668">
      <w:pPr>
        <w:pStyle w:val="Subsection"/>
      </w:pPr>
      <w:r>
        <w:tab/>
        <w:t>(4)</w:t>
      </w:r>
      <w:r>
        <w:tab/>
        <w:t>Where a time is specified in an order made under subsection (3), the Treasurer may, before the expiration of that t</w:t>
      </w:r>
      <w:r>
        <w:t xml:space="preserve">ime or of that time as extended under this subsection, by writing signed by him, extend or further extend that time or that time as so extended, and in that event the order has effect as if the time as so extended or further extended had been specified in </w:t>
      </w:r>
      <w:r>
        <w:t>the order.</w:t>
      </w:r>
    </w:p>
    <w:p w:rsidR="00000000" w:rsidRDefault="00590668">
      <w:pPr>
        <w:pStyle w:val="Subsection"/>
      </w:pPr>
      <w:r>
        <w:tab/>
        <w:t>(5)</w:t>
      </w:r>
      <w:r>
        <w:tab/>
        <w:t>For the purposes of this section:</w:t>
      </w:r>
    </w:p>
    <w:p w:rsidR="00000000" w:rsidRDefault="00590668">
      <w:pPr>
        <w:pStyle w:val="indenta"/>
      </w:pPr>
      <w:r>
        <w:tab/>
        <w:t>(a)</w:t>
      </w:r>
      <w:r>
        <w:tab/>
        <w:t xml:space="preserve">a corporation shall be taken to be controlled by foreign persons if, and only if, the Treasurer is satisfied that a foreign person or foreign persons, alone or together with an associate or associates </w:t>
      </w:r>
      <w:r>
        <w:t>of that foreign person or of any of those foreign persons, is or are in a position to determine the policy of the corporation; and</w:t>
      </w:r>
    </w:p>
    <w:p w:rsidR="00000000" w:rsidRDefault="00590668">
      <w:pPr>
        <w:pStyle w:val="indenta"/>
      </w:pPr>
      <w:r>
        <w:tab/>
        <w:t xml:space="preserve"> (b)</w:t>
      </w:r>
      <w:r>
        <w:tab/>
        <w:t>where an Australian business is so taken to be controlled by foreign persons by reason that a foreign person or foreign</w:t>
      </w:r>
      <w:r>
        <w:t xml:space="preserve"> persons, together with an associate or associates, are in a position to determine the policy of the corporation, references to the foreign persons who control the corporation include references to that associate or those associates, whether or not that as</w:t>
      </w:r>
      <w:r>
        <w:t>sociate is, or those associates are, in fact foreign persons.</w:t>
      </w:r>
    </w:p>
    <w:p w:rsidR="00000000" w:rsidRDefault="00590668">
      <w:pPr>
        <w:pStyle w:val="Heading5"/>
      </w:pPr>
      <w:r>
        <w:rPr>
          <w:rStyle w:val="CharSectno"/>
        </w:rPr>
        <w:lastRenderedPageBreak/>
        <w:t>21</w:t>
      </w:r>
      <w:r>
        <w:t xml:space="preserve">  Arrangements relating to control of Australian businesses</w:t>
      </w:r>
    </w:p>
    <w:p w:rsidR="00000000" w:rsidRDefault="00590668">
      <w:pPr>
        <w:pStyle w:val="Subsection"/>
      </w:pPr>
      <w:r>
        <w:tab/>
        <w:t>(1)</w:t>
      </w:r>
      <w:r>
        <w:tab/>
        <w:t>In this section:</w:t>
      </w:r>
    </w:p>
    <w:p w:rsidR="00000000" w:rsidRDefault="00590668">
      <w:pPr>
        <w:pStyle w:val="Definition"/>
      </w:pPr>
      <w:r>
        <w:rPr>
          <w:b/>
          <w:bCs/>
          <w:i/>
          <w:iCs/>
        </w:rPr>
        <w:t>arrangement</w:t>
      </w:r>
      <w:r>
        <w:t>, in relation to an Australian business, means an arrangement relating to the leasing or letting on</w:t>
      </w:r>
      <w:r>
        <w:t xml:space="preserve"> hire of, or the granting of other rights to use, assets of such a business or relating to the participation by a person in the profits or management of such a business;</w:t>
      </w:r>
    </w:p>
    <w:p w:rsidR="00000000" w:rsidRDefault="00590668">
      <w:pPr>
        <w:pStyle w:val="Definition"/>
      </w:pPr>
      <w:r>
        <w:rPr>
          <w:b/>
          <w:bCs/>
          <w:i/>
          <w:iCs/>
        </w:rPr>
        <w:t>foreign person</w:t>
      </w:r>
      <w:r>
        <w:t xml:space="preserve"> means:</w:t>
      </w:r>
    </w:p>
    <w:p w:rsidR="00000000" w:rsidRDefault="00590668">
      <w:pPr>
        <w:pStyle w:val="indenta"/>
      </w:pPr>
      <w:r>
        <w:tab/>
        <w:t>(a)</w:t>
      </w:r>
      <w:r>
        <w:tab/>
        <w:t>a foreign corporation in which a natural person not ordinar</w:t>
      </w:r>
      <w:r>
        <w:t>ily resident in Australia or a foreign corporation holds a controlling interest; or</w:t>
      </w:r>
    </w:p>
    <w:p w:rsidR="00000000" w:rsidRDefault="00590668">
      <w:pPr>
        <w:pStyle w:val="indenta"/>
      </w:pPr>
      <w:r>
        <w:tab/>
        <w:t>(b)</w:t>
      </w:r>
      <w:r>
        <w:tab/>
        <w:t>a foreign corporation in which 2 or more persons, each of whom is either a natural person not ordinarily resident in Australia or a foreign corporation, hold an aggreg</w:t>
      </w:r>
      <w:r>
        <w:t>ate controlling interest.</w:t>
      </w:r>
    </w:p>
    <w:p w:rsidR="00000000" w:rsidRDefault="00590668">
      <w:pPr>
        <w:pStyle w:val="Subsection"/>
      </w:pPr>
      <w:r>
        <w:tab/>
        <w:t>(2)</w:t>
      </w:r>
      <w:r>
        <w:tab/>
        <w:t>Where the Treasurer is satisfied that:</w:t>
      </w:r>
    </w:p>
    <w:p w:rsidR="00000000" w:rsidRDefault="00590668">
      <w:pPr>
        <w:pStyle w:val="indenta"/>
      </w:pPr>
      <w:r>
        <w:tab/>
        <w:t>(a)</w:t>
      </w:r>
      <w:r>
        <w:tab/>
        <w:t>a person proposes to enter into an arrangement in relation to an Australian business carried on solely by a prescribed corporation or prescribed corporations or proposes to terminat</w:t>
      </w:r>
      <w:r>
        <w:t>e an arrangement that exists in relation to such an Australian business;</w:t>
      </w:r>
    </w:p>
    <w:p w:rsidR="00000000" w:rsidRDefault="00590668">
      <w:pPr>
        <w:pStyle w:val="indenta"/>
      </w:pPr>
      <w:r>
        <w:tab/>
        <w:t>(b)</w:t>
      </w:r>
      <w:r>
        <w:tab/>
        <w:t>the proposal, if carried out, would have the result that:</w:t>
      </w:r>
    </w:p>
    <w:p w:rsidR="00000000" w:rsidRDefault="00590668">
      <w:pPr>
        <w:pStyle w:val="indentii"/>
      </w:pPr>
      <w:r>
        <w:tab/>
        <w:t>(i)</w:t>
      </w:r>
      <w:r>
        <w:tab/>
        <w:t>in the case of a business not controlled by foreign persons—the business would be controlled by foreign persons; or</w:t>
      </w:r>
    </w:p>
    <w:p w:rsidR="00000000" w:rsidRDefault="00590668">
      <w:pPr>
        <w:pStyle w:val="indentii"/>
      </w:pPr>
      <w:r>
        <w:tab/>
        <w:t>(ii)</w:t>
      </w:r>
      <w:r>
        <w:tab/>
        <w:t>in the case of a business controlled by foreign persons—the business would continue to be controlled by foreign persons, but those persons would include a person who is not, or would not include a person who is, one of the foreign persons first refe</w:t>
      </w:r>
      <w:r>
        <w:t>rred to in this subparagraph; and</w:t>
      </w:r>
    </w:p>
    <w:p w:rsidR="00000000" w:rsidRDefault="00590668">
      <w:pPr>
        <w:pStyle w:val="indenta"/>
        <w:keepNext/>
      </w:pPr>
      <w:r>
        <w:tab/>
        <w:t>(c)</w:t>
      </w:r>
      <w:r>
        <w:tab/>
        <w:t>that result would be contrary to the national interest;</w:t>
      </w:r>
    </w:p>
    <w:p w:rsidR="00000000" w:rsidRDefault="00590668">
      <w:pPr>
        <w:pStyle w:val="subsection2"/>
      </w:pPr>
      <w:r>
        <w:t>the Treasurer may make an order prohibiting the entering into of the proposed arrangement or prohibiting the termination of the existing arrangement, as the case</w:t>
      </w:r>
      <w:r>
        <w:t xml:space="preserve"> may be.</w:t>
      </w:r>
    </w:p>
    <w:p w:rsidR="00000000" w:rsidRDefault="00590668">
      <w:pPr>
        <w:pStyle w:val="Subsection"/>
      </w:pPr>
      <w:r>
        <w:tab/>
        <w:t>(3)</w:t>
      </w:r>
      <w:r>
        <w:tab/>
        <w:t>Where an arrangement has been entered into in relation to an Australian business carried on solely by a prescribed corporation or prescribed corporations or an arrangement that existed in relation to such an Australian business has been termi</w:t>
      </w:r>
      <w:r>
        <w:t>nated, and the Treasurer is satisfied that:</w:t>
      </w:r>
    </w:p>
    <w:p w:rsidR="00000000" w:rsidRDefault="00590668">
      <w:pPr>
        <w:pStyle w:val="indenta"/>
      </w:pPr>
      <w:r>
        <w:tab/>
        <w:t>(a)</w:t>
      </w:r>
      <w:r>
        <w:tab/>
        <w:t>the entering into or the termination of the arrangement has had, or will have, the result that:</w:t>
      </w:r>
    </w:p>
    <w:p w:rsidR="00000000" w:rsidRDefault="00590668">
      <w:pPr>
        <w:pStyle w:val="indentii"/>
      </w:pPr>
      <w:r>
        <w:tab/>
        <w:t>(i)</w:t>
      </w:r>
      <w:r>
        <w:tab/>
        <w:t>in the case of a business that, before the entering into or termination of the arrangement, was not contro</w:t>
      </w:r>
      <w:r>
        <w:t xml:space="preserve">lled by foreign </w:t>
      </w:r>
      <w:r>
        <w:lastRenderedPageBreak/>
        <w:t>persons—the business is or will be controlled by foreign persons; or</w:t>
      </w:r>
    </w:p>
    <w:p w:rsidR="00000000" w:rsidRDefault="00590668">
      <w:pPr>
        <w:pStyle w:val="indentii"/>
      </w:pPr>
      <w:r>
        <w:tab/>
        <w:t>(ii)</w:t>
      </w:r>
      <w:r>
        <w:tab/>
        <w:t>in the case of a business that, before the entering into or termination of the arrangement, was controlled by foreign persons—the business continues or will continue</w:t>
      </w:r>
      <w:r>
        <w:t xml:space="preserve"> to be controlled by foreign persons, but those persons include or will include a person who is not, or do not or will not include a person who is, one of the foreign persons first referred to in this subparagraph; and</w:t>
      </w:r>
    </w:p>
    <w:p w:rsidR="00000000" w:rsidRDefault="00590668">
      <w:pPr>
        <w:pStyle w:val="indenta"/>
        <w:keepNext/>
      </w:pPr>
      <w:r>
        <w:tab/>
        <w:t>(b)</w:t>
      </w:r>
      <w:r>
        <w:tab/>
        <w:t>that result is or will be contra</w:t>
      </w:r>
      <w:r>
        <w:t>ry to the national interest;</w:t>
      </w:r>
    </w:p>
    <w:p w:rsidR="00000000" w:rsidRDefault="00590668">
      <w:pPr>
        <w:pStyle w:val="subsection2"/>
      </w:pPr>
      <w:r>
        <w:t>the Treasurer may, for the purpose of restoring the control of the business as closely as possible to the position in which it was before the arrangement was entered into or terminated or for the purpose of preventing the occur</w:t>
      </w:r>
      <w:r>
        <w:t>rence of a change in the control of the business of a kind referred to in paragraph (a), as the case may be, make orders directing specified persons to do within a specified time, or refrain from doing, specified acts or acts of a specified kind.</w:t>
      </w:r>
    </w:p>
    <w:p w:rsidR="00000000" w:rsidRDefault="00590668">
      <w:pPr>
        <w:pStyle w:val="Subsection"/>
      </w:pPr>
      <w:r>
        <w:tab/>
        <w:t>(4)</w:t>
      </w:r>
      <w:r>
        <w:tab/>
        <w:t>Wher</w:t>
      </w:r>
      <w:r>
        <w:t xml:space="preserve">e a time is specified in an order made under subsection (3), the Treasurer may, before the expiration of that time or of that time as extended under this subsection, by writing signed by him, extend or further extend that time or that time as so extended, </w:t>
      </w:r>
      <w:r>
        <w:t>and in that event the order has effect as if the time as so extended or further extended had been specified in the order.</w:t>
      </w:r>
    </w:p>
    <w:p w:rsidR="00000000" w:rsidRDefault="00590668">
      <w:pPr>
        <w:pStyle w:val="Subsection"/>
      </w:pPr>
      <w:r>
        <w:tab/>
        <w:t>(5)</w:t>
      </w:r>
      <w:r>
        <w:tab/>
        <w:t>For the purposes of this section:</w:t>
      </w:r>
    </w:p>
    <w:p w:rsidR="00000000" w:rsidRDefault="00590668">
      <w:pPr>
        <w:pStyle w:val="indenta"/>
      </w:pPr>
      <w:r>
        <w:tab/>
        <w:t>(a)</w:t>
      </w:r>
      <w:r>
        <w:tab/>
        <w:t>an Australian business shall be taken to be controlled by foreign persons if, and onl</w:t>
      </w:r>
      <w:r>
        <w:t>y if, the Treasurer is satisfied that a foreign person or foreign persons, alone or together with an associate or associates of that foreign person or of any of those foreign persons, is or are in a position to determine the policy of the business; and</w:t>
      </w:r>
    </w:p>
    <w:p w:rsidR="00000000" w:rsidRDefault="00590668">
      <w:pPr>
        <w:pStyle w:val="indenta"/>
      </w:pPr>
      <w:r>
        <w:tab/>
        <w:t>(b</w:t>
      </w:r>
      <w:r>
        <w:t>)</w:t>
      </w:r>
      <w:r>
        <w:tab/>
        <w:t>where an Australian business is so taken to be controlled by foreign persons by reason that a foreign person or foreign persons, together with an associate or associates, are in a position to determine the policy of the business, references to the foreig</w:t>
      </w:r>
      <w:r>
        <w:t>n persons who control that business include references to that associate or those associates, whether or not that associate is, or those associates are, in fact foreign persons.</w:t>
      </w:r>
    </w:p>
    <w:p w:rsidR="00000000" w:rsidRDefault="00590668">
      <w:pPr>
        <w:pStyle w:val="Heading5"/>
      </w:pPr>
      <w:r>
        <w:rPr>
          <w:rStyle w:val="CharSectno"/>
        </w:rPr>
        <w:t>21A</w:t>
      </w:r>
      <w:r>
        <w:t xml:space="preserve">  Acquisitions of interests in Australian urban land</w:t>
      </w:r>
    </w:p>
    <w:p w:rsidR="00000000" w:rsidRDefault="00590668">
      <w:pPr>
        <w:pStyle w:val="Subsection"/>
      </w:pPr>
      <w:r>
        <w:tab/>
        <w:t>(1)</w:t>
      </w:r>
      <w:r>
        <w:tab/>
        <w:t>In this section:</w:t>
      </w:r>
    </w:p>
    <w:p w:rsidR="00000000" w:rsidRDefault="00590668">
      <w:pPr>
        <w:pStyle w:val="Definition"/>
      </w:pPr>
      <w:r>
        <w:rPr>
          <w:b/>
          <w:bCs/>
          <w:i/>
          <w:iCs/>
        </w:rPr>
        <w:t>foreign person</w:t>
      </w:r>
      <w:r>
        <w:t xml:space="preserve"> means:</w:t>
      </w:r>
    </w:p>
    <w:p w:rsidR="00000000" w:rsidRDefault="00590668">
      <w:pPr>
        <w:pStyle w:val="indenta"/>
      </w:pPr>
      <w:r>
        <w:lastRenderedPageBreak/>
        <w:tab/>
        <w:t>(a)</w:t>
      </w:r>
      <w:r>
        <w:tab/>
        <w:t>a foreign corporation in which a natural person not ordinarily resident in Australia or a foreign corporation holds a substantial interest; or</w:t>
      </w:r>
    </w:p>
    <w:p w:rsidR="00000000" w:rsidRDefault="00590668">
      <w:pPr>
        <w:pStyle w:val="indenta"/>
      </w:pPr>
      <w:r>
        <w:tab/>
        <w:t>(b)</w:t>
      </w:r>
      <w:r>
        <w:tab/>
        <w:t>a foreign corporation in which 2 or more persons, each of whom is a natural perso</w:t>
      </w:r>
      <w:r>
        <w:t>n not ordinarily resident in Australia or a foreign corporation, hold an aggregate substantial interest.</w:t>
      </w:r>
    </w:p>
    <w:p w:rsidR="00000000" w:rsidRDefault="00590668">
      <w:pPr>
        <w:pStyle w:val="Subsection"/>
      </w:pPr>
      <w:r>
        <w:tab/>
        <w:t>(2)</w:t>
      </w:r>
      <w:r>
        <w:tab/>
        <w:t>Where the Treasurer is satisfied that:</w:t>
      </w:r>
    </w:p>
    <w:p w:rsidR="00000000" w:rsidRDefault="00590668">
      <w:pPr>
        <w:pStyle w:val="indenta"/>
      </w:pPr>
      <w:r>
        <w:tab/>
        <w:t>(a)</w:t>
      </w:r>
      <w:r>
        <w:tab/>
        <w:t>a foreign person proposes to acquire an interest in Australian urban land; and</w:t>
      </w:r>
    </w:p>
    <w:p w:rsidR="00000000" w:rsidRDefault="00590668">
      <w:pPr>
        <w:pStyle w:val="indenta"/>
        <w:keepNext/>
      </w:pPr>
      <w:r>
        <w:tab/>
        <w:t>(b)</w:t>
      </w:r>
      <w:r>
        <w:tab/>
        <w:t>the proposed acqui</w:t>
      </w:r>
      <w:r>
        <w:t>sition would be contrary to the national interest;</w:t>
      </w:r>
    </w:p>
    <w:p w:rsidR="00000000" w:rsidRDefault="00590668">
      <w:pPr>
        <w:pStyle w:val="subsection2"/>
      </w:pPr>
      <w:r>
        <w:t>the Treasurer may make an order prohibiting the proposed acquisition.</w:t>
      </w:r>
    </w:p>
    <w:p w:rsidR="00000000" w:rsidRDefault="00590668">
      <w:pPr>
        <w:pStyle w:val="Subsection"/>
      </w:pPr>
      <w:r>
        <w:tab/>
        <w:t>(3)</w:t>
      </w:r>
      <w:r>
        <w:tab/>
        <w:t>Where the Treasurer makes such an order in relation to an interest in Australian urban land, he or she may also make an order in r</w:t>
      </w:r>
      <w:r>
        <w:t>elation to:</w:t>
      </w:r>
    </w:p>
    <w:p w:rsidR="00000000" w:rsidRDefault="00590668">
      <w:pPr>
        <w:pStyle w:val="indenta"/>
      </w:pPr>
      <w:r>
        <w:tab/>
        <w:t>(a)</w:t>
      </w:r>
      <w:r>
        <w:tab/>
        <w:t>a specified foreign person; or</w:t>
      </w:r>
    </w:p>
    <w:p w:rsidR="00000000" w:rsidRDefault="00590668">
      <w:pPr>
        <w:pStyle w:val="indenta"/>
        <w:keepNext/>
      </w:pPr>
      <w:r>
        <w:tab/>
        <w:t>(b)</w:t>
      </w:r>
      <w:r>
        <w:tab/>
        <w:t>a specified foreign person and specified associates, or the persons included in a specified class of associates, of that person;</w:t>
      </w:r>
    </w:p>
    <w:p w:rsidR="00000000" w:rsidRDefault="00590668">
      <w:pPr>
        <w:pStyle w:val="subsection2"/>
      </w:pPr>
      <w:r>
        <w:t>directing that that person shall not, or none of those persons shall, whet</w:t>
      </w:r>
      <w:r>
        <w:t>her alone or together with any other or others of them, acquire:</w:t>
      </w:r>
    </w:p>
    <w:p w:rsidR="00000000" w:rsidRDefault="00590668">
      <w:pPr>
        <w:pStyle w:val="indenta"/>
      </w:pPr>
      <w:r>
        <w:tab/>
        <w:t xml:space="preserve">(c) </w:t>
      </w:r>
      <w:r>
        <w:tab/>
        <w:t>any interest in the land or other thing concerned; or</w:t>
      </w:r>
    </w:p>
    <w:p w:rsidR="00000000" w:rsidRDefault="00590668">
      <w:pPr>
        <w:pStyle w:val="indenta"/>
      </w:pPr>
      <w:r>
        <w:tab/>
        <w:t>(d)</w:t>
      </w:r>
      <w:r>
        <w:tab/>
        <w:t>any such interest except to a specified extent.</w:t>
      </w:r>
    </w:p>
    <w:p w:rsidR="00000000" w:rsidRDefault="00590668">
      <w:pPr>
        <w:pStyle w:val="Subsection"/>
      </w:pPr>
      <w:r>
        <w:tab/>
        <w:t>(4)</w:t>
      </w:r>
      <w:r>
        <w:tab/>
        <w:t xml:space="preserve">Where a foreign person has acquired an interest in Australian urban land </w:t>
      </w:r>
      <w:r>
        <w:t>and the Treasurer is satisfied that the acquisition is contrary to the national interest, the Treasurer may make an order directing the foreign person to dispose of that interest within a specified period to any person or persons approved in writing by the</w:t>
      </w:r>
      <w:r>
        <w:t xml:space="preserve"> Treasurer.</w:t>
      </w:r>
    </w:p>
    <w:p w:rsidR="00000000" w:rsidRDefault="00590668">
      <w:pPr>
        <w:pStyle w:val="Subsection"/>
      </w:pPr>
      <w:r>
        <w:tab/>
        <w:t>(5)</w:t>
      </w:r>
      <w:r>
        <w:tab/>
        <w:t>Before the end of the period specified in the order or of that period as extended under this subsection, the Treasurer may, by writing signed by the Treasurer, extend or further extend that period or that period as so extended, and in that</w:t>
      </w:r>
      <w:r>
        <w:t xml:space="preserve"> event the order has effect as if the period as so extended or further extended had been specified in the order.</w:t>
      </w:r>
    </w:p>
    <w:p w:rsidR="00000000" w:rsidRDefault="00590668">
      <w:pPr>
        <w:pStyle w:val="Subsection"/>
      </w:pPr>
      <w:r>
        <w:tab/>
        <w:t>(6)</w:t>
      </w:r>
      <w:r>
        <w:tab/>
        <w:t>For the purposes of subsection (4), but without limiting the generality of that subsection:</w:t>
      </w:r>
    </w:p>
    <w:p w:rsidR="00000000" w:rsidRDefault="00590668">
      <w:pPr>
        <w:pStyle w:val="indenta"/>
      </w:pPr>
      <w:r>
        <w:tab/>
        <w:t>(a)</w:t>
      </w:r>
      <w:r>
        <w:tab/>
        <w:t>a foreign person shall be taken to have a</w:t>
      </w:r>
      <w:r>
        <w:t>cquired an interest in Australian urban land if the person becomes, with or without the knowledge of the person, a beneficiary in a trust estate (other than a deceased estate) that consists of or includes an interest in Australian urban land; and</w:t>
      </w:r>
    </w:p>
    <w:p w:rsidR="00000000" w:rsidRDefault="00590668">
      <w:pPr>
        <w:pStyle w:val="indenta"/>
      </w:pPr>
      <w:r>
        <w:tab/>
        <w:t>(b)</w:t>
      </w:r>
      <w:r>
        <w:tab/>
        <w:t>wher</w:t>
      </w:r>
      <w:r>
        <w:t xml:space="preserve">e paragraph (a) applies and the trust estate is a discretionary trust estate—a reference to the disposal of the interest of the foreign person is a reference to the disposal of such assignable benefits in </w:t>
      </w:r>
      <w:r>
        <w:lastRenderedPageBreak/>
        <w:t>relation to that trust estate as may ultimately ves</w:t>
      </w:r>
      <w:r>
        <w:t>t in that foreign person.</w:t>
      </w:r>
    </w:p>
    <w:p w:rsidR="00000000" w:rsidRDefault="00590668">
      <w:pPr>
        <w:pStyle w:val="Subsection"/>
      </w:pPr>
      <w:r>
        <w:tab/>
        <w:t xml:space="preserve"> (7)</w:t>
      </w:r>
      <w:r>
        <w:tab/>
        <w:t>The Treasurer shall not refuse to approve a person for the purposes of subsection (4) unless the Treasurer is satisfied that the person is a foreign person and that it would be contrary to the national interest for that pers</w:t>
      </w:r>
      <w:r>
        <w:t>on to acquire the interest concerned.</w:t>
      </w:r>
    </w:p>
    <w:p w:rsidR="00000000" w:rsidRDefault="00590668">
      <w:pPr>
        <w:pStyle w:val="Heading5"/>
      </w:pPr>
      <w:r>
        <w:rPr>
          <w:rStyle w:val="CharSectno"/>
        </w:rPr>
        <w:t>22</w:t>
      </w:r>
      <w:r>
        <w:t xml:space="preserve">  Interim orders</w:t>
      </w:r>
    </w:p>
    <w:p w:rsidR="00000000" w:rsidRDefault="00590668">
      <w:pPr>
        <w:pStyle w:val="Subsection"/>
      </w:pPr>
      <w:r>
        <w:tab/>
        <w:t>(1)</w:t>
      </w:r>
      <w:r>
        <w:tab/>
        <w:t>For the purpose of enabling due consideration to be given to the question whether an order should be made under subsection 18(2), 19(2), 20(2), 21(2) or 21A(2), the Treasurer may make an order o</w:t>
      </w:r>
      <w:r>
        <w:t>f the kind that he would be empowered to make under that subsection if it were applicable.</w:t>
      </w:r>
    </w:p>
    <w:p w:rsidR="00000000" w:rsidRDefault="00590668">
      <w:pPr>
        <w:pStyle w:val="Subsection"/>
      </w:pPr>
      <w:r>
        <w:tab/>
        <w:t>(2)</w:t>
      </w:r>
      <w:r>
        <w:tab/>
        <w:t>An order made under this section has effect for such period, not exceeding 90 days after the coming into operation of the order, as is specified in the order.</w:t>
      </w:r>
    </w:p>
    <w:p w:rsidR="00000000" w:rsidRDefault="00590668">
      <w:pPr>
        <w:pStyle w:val="Heading5"/>
      </w:pPr>
      <w:r>
        <w:rPr>
          <w:rStyle w:val="CharSectno"/>
        </w:rPr>
        <w:t>2</w:t>
      </w:r>
      <w:r>
        <w:rPr>
          <w:rStyle w:val="CharSectno"/>
        </w:rPr>
        <w:t>3</w:t>
      </w:r>
      <w:r>
        <w:t xml:space="preserve">  Revocation of orders</w:t>
      </w:r>
    </w:p>
    <w:p w:rsidR="00000000" w:rsidRDefault="00590668">
      <w:pPr>
        <w:pStyle w:val="Subsection"/>
      </w:pPr>
      <w:r>
        <w:tab/>
      </w:r>
      <w:r>
        <w:tab/>
        <w:t>The Treasurer may at any time make an order revoking an order made under section 18, 19, 20, 21, 21A or 22 or an order referred to in subsection 3(4).</w:t>
      </w:r>
    </w:p>
    <w:p w:rsidR="00000000" w:rsidRDefault="00590668">
      <w:pPr>
        <w:pStyle w:val="Heading5"/>
      </w:pPr>
      <w:r>
        <w:rPr>
          <w:rStyle w:val="CharSectno"/>
        </w:rPr>
        <w:t>24</w:t>
      </w:r>
      <w:r>
        <w:t xml:space="preserve">  Publication of orders</w:t>
      </w:r>
    </w:p>
    <w:p w:rsidR="00000000" w:rsidRDefault="00590668">
      <w:pPr>
        <w:pStyle w:val="Subsection"/>
      </w:pPr>
      <w:r>
        <w:tab/>
      </w:r>
      <w:r>
        <w:tab/>
      </w:r>
      <w:r>
        <w:t xml:space="preserve">An order made by the Treasurer under this Part shall be made in writing signed by him, shall be published in the </w:t>
      </w:r>
      <w:r>
        <w:rPr>
          <w:i/>
          <w:iCs/>
        </w:rPr>
        <w:t xml:space="preserve">Gazette </w:t>
      </w:r>
      <w:r>
        <w:t>within 10 days after the date on which it is made, and comes into operation:</w:t>
      </w:r>
    </w:p>
    <w:p w:rsidR="00000000" w:rsidRDefault="00590668">
      <w:pPr>
        <w:pStyle w:val="indenta"/>
      </w:pPr>
      <w:r>
        <w:tab/>
        <w:t>(a)</w:t>
      </w:r>
      <w:r>
        <w:tab/>
        <w:t>except in a case to which paragraph (b) applies—on th</w:t>
      </w:r>
      <w:r>
        <w:t>e date of publication; or</w:t>
      </w:r>
    </w:p>
    <w:p w:rsidR="00000000" w:rsidRDefault="00590668">
      <w:pPr>
        <w:pStyle w:val="indenta"/>
      </w:pPr>
      <w:r>
        <w:tab/>
        <w:t>(b)</w:t>
      </w:r>
      <w:r>
        <w:tab/>
        <w:t>in the case of an order under subsection 18(3) or (4), 19(4), 20(3), 21(3) or 21A(3) or (4)—on such date as is specified in the order, being a date not earlier than 30 days after the date of publication.</w:t>
      </w:r>
    </w:p>
    <w:p w:rsidR="00000000" w:rsidRDefault="00590668">
      <w:pPr>
        <w:pStyle w:val="Heading5"/>
      </w:pPr>
      <w:r>
        <w:rPr>
          <w:rStyle w:val="CharSectno"/>
        </w:rPr>
        <w:t>25</w:t>
      </w:r>
      <w:r>
        <w:t xml:space="preserve">  Effect of notific</w:t>
      </w:r>
      <w:r>
        <w:t>ation of transactions</w:t>
      </w:r>
    </w:p>
    <w:p w:rsidR="00000000" w:rsidRDefault="00590668">
      <w:pPr>
        <w:pStyle w:val="Subsection"/>
      </w:pPr>
      <w:r>
        <w:tab/>
        <w:t>(1)</w:t>
      </w:r>
      <w:r>
        <w:tab/>
        <w:t>This section has effect where the Treasurer receives:</w:t>
      </w:r>
    </w:p>
    <w:p w:rsidR="00000000" w:rsidRDefault="00590668">
      <w:pPr>
        <w:pStyle w:val="indenta"/>
      </w:pPr>
      <w:r>
        <w:tab/>
        <w:t>(a)</w:t>
      </w:r>
      <w:r>
        <w:tab/>
        <w:t>a notice from a person stating that the person proposes to acquire shares, assets or interests or to enter into an agreement or enter into or terminate an arrangement;</w:t>
      </w:r>
    </w:p>
    <w:p w:rsidR="00000000" w:rsidRDefault="00590668">
      <w:pPr>
        <w:pStyle w:val="indenta"/>
      </w:pPr>
      <w:r>
        <w:tab/>
        <w:t>(</w:t>
      </w:r>
      <w:r>
        <w:t>b)</w:t>
      </w:r>
      <w:r>
        <w:tab/>
        <w:t>a notice from a corporation stating that the corporation proposes to issue shares; or</w:t>
      </w:r>
    </w:p>
    <w:p w:rsidR="00000000" w:rsidRDefault="00590668">
      <w:pPr>
        <w:pStyle w:val="indenta"/>
      </w:pPr>
      <w:r>
        <w:lastRenderedPageBreak/>
        <w:tab/>
        <w:t>(c)</w:t>
      </w:r>
      <w:r>
        <w:tab/>
        <w:t>a notice from a corporation stating that it is proposed to alter a constituent document of the corporation.</w:t>
      </w:r>
    </w:p>
    <w:p w:rsidR="00000000" w:rsidRDefault="00590668">
      <w:pPr>
        <w:pStyle w:val="Subsection"/>
      </w:pPr>
      <w:r>
        <w:tab/>
        <w:t>(1A)</w:t>
      </w:r>
      <w:r>
        <w:tab/>
        <w:t>Where the Treasurer is empowered to make an orde</w:t>
      </w:r>
      <w:r>
        <w:t xml:space="preserve">r under subsection 18(2), 19(2), 20(2), 21(2) or 21A(2) in relation to the acquisition, agreement, arrangement, issue or alteration specified in the notice, the Treasurer may, instead of making such an order, decide that the Commonwealth Government has no </w:t>
      </w:r>
      <w:r>
        <w:t>objection to the proposal specified in the notice, provided that the person or corporation complies with conditions that the Treasurer, when making the decision, considers necessary in order that the proposal, if carried out, will not be contrary to the na</w:t>
      </w:r>
      <w:r>
        <w:t>tional interest.</w:t>
      </w:r>
    </w:p>
    <w:p w:rsidR="00000000" w:rsidRDefault="00590668">
      <w:pPr>
        <w:pStyle w:val="Subsection"/>
      </w:pPr>
      <w:r>
        <w:tab/>
        <w:t>(1B)</w:t>
      </w:r>
      <w:r>
        <w:tab/>
        <w:t>Where the Treasurer makes a decision under subsection (1A), the person or corporation shall be given advice in writing of the decision, being advice that includes a statement of the conditions to be complied with, before the end of 1</w:t>
      </w:r>
      <w:r>
        <w:t>0 days after the day on which the decision is made.</w:t>
      </w:r>
    </w:p>
    <w:p w:rsidR="00000000" w:rsidRDefault="00590668">
      <w:pPr>
        <w:pStyle w:val="Subsection"/>
      </w:pPr>
      <w:r>
        <w:tab/>
        <w:t>(1C)</w:t>
      </w:r>
      <w:r>
        <w:tab/>
        <w:t>If the person or corporation:</w:t>
      </w:r>
    </w:p>
    <w:p w:rsidR="00000000" w:rsidRDefault="00590668">
      <w:pPr>
        <w:pStyle w:val="indenta"/>
      </w:pPr>
      <w:r>
        <w:tab/>
        <w:t>(a)</w:t>
      </w:r>
      <w:r>
        <w:tab/>
        <w:t>is given an advice under subsection (1B) of a decision; and</w:t>
      </w:r>
    </w:p>
    <w:p w:rsidR="00000000" w:rsidRDefault="00590668">
      <w:pPr>
        <w:pStyle w:val="indenta"/>
      </w:pPr>
      <w:r>
        <w:tab/>
        <w:t>(b)</w:t>
      </w:r>
      <w:r>
        <w:tab/>
        <w:t>carries out the proposal to which the decision relates; and</w:t>
      </w:r>
    </w:p>
    <w:p w:rsidR="00000000" w:rsidRDefault="00590668">
      <w:pPr>
        <w:pStyle w:val="indenta"/>
      </w:pPr>
      <w:r>
        <w:tab/>
        <w:t>(c)</w:t>
      </w:r>
      <w:r>
        <w:tab/>
        <w:t>does or fails to do an act, resul</w:t>
      </w:r>
      <w:r>
        <w:t>ting in a contravention of a condition set out in the advice;</w:t>
      </w:r>
    </w:p>
    <w:p w:rsidR="00000000" w:rsidRDefault="00590668">
      <w:pPr>
        <w:pStyle w:val="subsection2"/>
      </w:pPr>
      <w:r>
        <w:t>the person or corporation is guilty of an offence punishable on conviction, by:</w:t>
      </w:r>
    </w:p>
    <w:p w:rsidR="00000000" w:rsidRDefault="00590668">
      <w:pPr>
        <w:pStyle w:val="indenta"/>
      </w:pPr>
      <w:r>
        <w:tab/>
        <w:t>(d)</w:t>
      </w:r>
      <w:r>
        <w:tab/>
        <w:t>in the case of a natural person—a fine not exceeding 500 penalty units, or imprisonment for a period not exce</w:t>
      </w:r>
      <w:r>
        <w:t>eding 2 years, or both; or</w:t>
      </w:r>
    </w:p>
    <w:p w:rsidR="00000000" w:rsidRDefault="00590668">
      <w:pPr>
        <w:pStyle w:val="indenta"/>
      </w:pPr>
      <w:r>
        <w:tab/>
        <w:t>(e)</w:t>
      </w:r>
      <w:r>
        <w:tab/>
        <w:t>in the case of a corporation—a fine not exceeding 2,500 penalty units.</w:t>
      </w:r>
    </w:p>
    <w:p w:rsidR="00000000" w:rsidRDefault="00590668">
      <w:pPr>
        <w:pStyle w:val="Subsection"/>
      </w:pPr>
      <w:r>
        <w:tab/>
        <w:t>(1D)</w:t>
      </w:r>
      <w:r>
        <w:tab/>
        <w:t>If the person or corporation:</w:t>
      </w:r>
    </w:p>
    <w:p w:rsidR="00000000" w:rsidRDefault="00590668">
      <w:pPr>
        <w:pStyle w:val="indenta"/>
      </w:pPr>
      <w:r>
        <w:tab/>
        <w:t>(a)</w:t>
      </w:r>
      <w:r>
        <w:tab/>
        <w:t>is given advice under subsection (1B) of a decision; and</w:t>
      </w:r>
    </w:p>
    <w:p w:rsidR="00000000" w:rsidRDefault="00590668">
      <w:pPr>
        <w:pStyle w:val="indenta"/>
      </w:pPr>
      <w:r>
        <w:tab/>
        <w:t>(b)</w:t>
      </w:r>
      <w:r>
        <w:tab/>
        <w:t>carries out the proposal to which the decision rel</w:t>
      </w:r>
      <w:r>
        <w:t>ates:</w:t>
      </w:r>
    </w:p>
    <w:p w:rsidR="00000000" w:rsidRDefault="00590668">
      <w:pPr>
        <w:pStyle w:val="subsection2"/>
      </w:pPr>
      <w:r>
        <w:t>the Treasurer may only make an order under subsection 18(4), 19(4), 20(3), 21(3) or 21A(4) in relation to the acquisition, agreement, arrangement, issue or alteration specified in the notice if:</w:t>
      </w:r>
    </w:p>
    <w:p w:rsidR="00000000" w:rsidRDefault="00590668">
      <w:pPr>
        <w:pStyle w:val="indenta"/>
      </w:pPr>
      <w:r>
        <w:tab/>
        <w:t>(c)</w:t>
      </w:r>
      <w:r>
        <w:tab/>
        <w:t>the person or corporation is convicted of an offen</w:t>
      </w:r>
      <w:r>
        <w:t>ce against subsection (1C) in relation to a condition; or</w:t>
      </w:r>
    </w:p>
    <w:p w:rsidR="00000000" w:rsidRDefault="00590668">
      <w:pPr>
        <w:pStyle w:val="indenta"/>
      </w:pPr>
      <w:r>
        <w:tab/>
        <w:t>(d)</w:t>
      </w:r>
      <w:r>
        <w:tab/>
        <w:t xml:space="preserve">an order is made under section 19B of the </w:t>
      </w:r>
      <w:r>
        <w:rPr>
          <w:i/>
          <w:iCs/>
        </w:rPr>
        <w:t>Crimes Act 1914</w:t>
      </w:r>
      <w:r>
        <w:t xml:space="preserve"> in relation to the person or corporation in respect of such an offence.</w:t>
      </w:r>
    </w:p>
    <w:p w:rsidR="00000000" w:rsidRDefault="00590668">
      <w:pPr>
        <w:pStyle w:val="Subsection"/>
      </w:pPr>
      <w:r>
        <w:tab/>
        <w:t>(2)</w:t>
      </w:r>
      <w:r>
        <w:tab/>
        <w:t>If 30 days pass after the day on which the Treasurer recei</w:t>
      </w:r>
      <w:r>
        <w:t>ves the notice and by the end of that period:</w:t>
      </w:r>
    </w:p>
    <w:p w:rsidR="00000000" w:rsidRDefault="00590668">
      <w:pPr>
        <w:pStyle w:val="indenta"/>
      </w:pPr>
      <w:r>
        <w:tab/>
        <w:t>(a)</w:t>
      </w:r>
      <w:r>
        <w:tab/>
        <w:t>the Treasurer has not:</w:t>
      </w:r>
    </w:p>
    <w:p w:rsidR="00000000" w:rsidRDefault="00590668">
      <w:pPr>
        <w:pStyle w:val="indentii"/>
      </w:pPr>
      <w:r>
        <w:lastRenderedPageBreak/>
        <w:tab/>
        <w:t>(i)</w:t>
      </w:r>
      <w:r>
        <w:tab/>
        <w:t>made a decision under subsection (1A) in relation to the proposal specified in the notice, being a decision of which advice is given in writing to the person or corporation befo</w:t>
      </w:r>
      <w:r>
        <w:t>re the end of 10 days after the day on which the decision is made; or</w:t>
      </w:r>
    </w:p>
    <w:p w:rsidR="00000000" w:rsidRDefault="00590668">
      <w:pPr>
        <w:pStyle w:val="indentii"/>
      </w:pPr>
      <w:r>
        <w:tab/>
        <w:t>(ii)</w:t>
      </w:r>
      <w:r>
        <w:tab/>
        <w:t xml:space="preserve">made an order under this Part in relation to the acquisition, agreement, arrangement, issue or alteration specified in the notice, being an order published in the </w:t>
      </w:r>
      <w:r>
        <w:rPr>
          <w:i/>
          <w:iCs/>
        </w:rPr>
        <w:t xml:space="preserve">Gazette </w:t>
      </w:r>
      <w:r>
        <w:t>before the end of 10 days after the day on which the order is made; and</w:t>
      </w:r>
    </w:p>
    <w:p w:rsidR="00000000" w:rsidRDefault="00590668">
      <w:pPr>
        <w:pStyle w:val="indenta"/>
        <w:keepNext/>
        <w:ind w:left="1701" w:hanging="1701"/>
      </w:pPr>
      <w:r>
        <w:tab/>
        <w:t>(b)</w:t>
      </w:r>
      <w:r>
        <w:tab/>
        <w:t>the person or corporation has not carried out the proposal; the Treasurer is not empowered:</w:t>
      </w:r>
    </w:p>
    <w:p w:rsidR="00000000" w:rsidRDefault="00590668">
      <w:pPr>
        <w:pStyle w:val="indenta"/>
      </w:pPr>
      <w:r>
        <w:tab/>
        <w:t>(c)</w:t>
      </w:r>
      <w:r>
        <w:tab/>
        <w:t>to make an order under this Part in relation to the acquisition, agreement, arrang</w:t>
      </w:r>
      <w:r>
        <w:t>ement, issue or alteration; or</w:t>
      </w:r>
    </w:p>
    <w:p w:rsidR="00000000" w:rsidRDefault="00590668">
      <w:pPr>
        <w:pStyle w:val="indenta"/>
      </w:pPr>
      <w:r>
        <w:tab/>
        <w:t>(d)</w:t>
      </w:r>
      <w:r>
        <w:tab/>
        <w:t>to make a decision under subsection (1A) in relation to the proposal.</w:t>
      </w:r>
    </w:p>
    <w:p w:rsidR="00000000" w:rsidRDefault="00590668">
      <w:pPr>
        <w:pStyle w:val="Subsection"/>
      </w:pPr>
      <w:r>
        <w:tab/>
        <w:t>(3)</w:t>
      </w:r>
      <w:r>
        <w:tab/>
        <w:t>If:</w:t>
      </w:r>
    </w:p>
    <w:p w:rsidR="00000000" w:rsidRDefault="00590668">
      <w:pPr>
        <w:pStyle w:val="indenta"/>
      </w:pPr>
      <w:r>
        <w:tab/>
        <w:t>(a)</w:t>
      </w:r>
      <w:r>
        <w:tab/>
        <w:t>before the end of 30 days after the day on which the Treasurer receives the notice, the Treasurer makes an order under section 22 in rel</w:t>
      </w:r>
      <w:r>
        <w:t>ation to the acquisition, agreement, arrangement, issue or alteration specified in the notice;</w:t>
      </w:r>
    </w:p>
    <w:p w:rsidR="00000000" w:rsidRDefault="00590668">
      <w:pPr>
        <w:pStyle w:val="indenta"/>
      </w:pPr>
      <w:r>
        <w:tab/>
        <w:t>(b)</w:t>
      </w:r>
      <w:r>
        <w:tab/>
        <w:t xml:space="preserve">the order is published in the </w:t>
      </w:r>
      <w:r>
        <w:rPr>
          <w:i/>
          <w:iCs/>
        </w:rPr>
        <w:t xml:space="preserve">Gazette </w:t>
      </w:r>
      <w:r>
        <w:t>before the end of 10 days after the day on which the order is made; and</w:t>
      </w:r>
    </w:p>
    <w:p w:rsidR="00000000" w:rsidRDefault="00590668">
      <w:pPr>
        <w:pStyle w:val="indenta"/>
      </w:pPr>
      <w:r>
        <w:tab/>
        <w:t>(c)</w:t>
      </w:r>
      <w:r>
        <w:tab/>
      </w:r>
      <w:r>
        <w:t>90 days pass after the day on which the order is published and by the end of that period:</w:t>
      </w:r>
    </w:p>
    <w:p w:rsidR="00000000" w:rsidRDefault="00590668">
      <w:pPr>
        <w:pStyle w:val="indentii"/>
      </w:pPr>
      <w:r>
        <w:tab/>
        <w:t>(i)</w:t>
      </w:r>
      <w:r>
        <w:tab/>
        <w:t>the Treasurer has not:</w:t>
      </w:r>
    </w:p>
    <w:p w:rsidR="00000000" w:rsidRDefault="00590668">
      <w:pPr>
        <w:pStyle w:val="indentA0"/>
      </w:pPr>
      <w:r>
        <w:tab/>
        <w:t>(A)</w:t>
      </w:r>
      <w:r>
        <w:tab/>
        <w:t xml:space="preserve">made a decision under subsection (1A) in relation to the proposal specified in the notice, being a decision of which advice is given </w:t>
      </w:r>
      <w:r>
        <w:t>in writing to the person or corporation before the end of 10 days after the day on which the decision is made; or</w:t>
      </w:r>
    </w:p>
    <w:p w:rsidR="00000000" w:rsidRDefault="00590668">
      <w:pPr>
        <w:pStyle w:val="indentA0"/>
      </w:pPr>
      <w:r>
        <w:tab/>
        <w:t>(B)</w:t>
      </w:r>
      <w:r>
        <w:tab/>
        <w:t>made any other order under this Part in relation to the acquisition, agreement, arrangement, issue or alteration, being an order publishe</w:t>
      </w:r>
      <w:r>
        <w:t xml:space="preserve">d in the </w:t>
      </w:r>
      <w:r>
        <w:rPr>
          <w:i/>
          <w:iCs/>
        </w:rPr>
        <w:t xml:space="preserve">Gazette </w:t>
      </w:r>
      <w:r>
        <w:t>before the end of 10 days after the day on which the order is made; and</w:t>
      </w:r>
    </w:p>
    <w:p w:rsidR="00000000" w:rsidRDefault="00590668">
      <w:pPr>
        <w:pStyle w:val="indentii"/>
        <w:keepNext/>
      </w:pPr>
      <w:r>
        <w:tab/>
        <w:t>(ii)</w:t>
      </w:r>
      <w:r>
        <w:tab/>
        <w:t>the person or corporation has not carried out the proposal;</w:t>
      </w:r>
    </w:p>
    <w:p w:rsidR="00000000" w:rsidRDefault="00590668">
      <w:pPr>
        <w:pStyle w:val="subsection2"/>
      </w:pPr>
      <w:r>
        <w:t>the Treasurer is not empowered:</w:t>
      </w:r>
    </w:p>
    <w:p w:rsidR="00000000" w:rsidRDefault="00590668">
      <w:pPr>
        <w:pStyle w:val="indenta"/>
      </w:pPr>
      <w:r>
        <w:tab/>
        <w:t>(d)</w:t>
      </w:r>
      <w:r>
        <w:tab/>
        <w:t>to make a further order under this Part in relation to the acqui</w:t>
      </w:r>
      <w:r>
        <w:t>sition, agreement, arrangement, issue or alteration; or</w:t>
      </w:r>
    </w:p>
    <w:p w:rsidR="00000000" w:rsidRDefault="00590668">
      <w:pPr>
        <w:pStyle w:val="indenta"/>
      </w:pPr>
      <w:r>
        <w:tab/>
        <w:t>(e)</w:t>
      </w:r>
      <w:r>
        <w:tab/>
        <w:t>to make a decision under subsection (1A) in relation to the proposal.</w:t>
      </w:r>
    </w:p>
    <w:p w:rsidR="00000000" w:rsidRDefault="00590668">
      <w:pPr>
        <w:pStyle w:val="Subsection"/>
      </w:pPr>
      <w:r>
        <w:tab/>
        <w:t>(4)</w:t>
      </w:r>
      <w:r>
        <w:tab/>
        <w:t>For the purposes of this section, a notice stating that a person has an option to acquire shares or assets shall be take</w:t>
      </w:r>
      <w:r>
        <w:t xml:space="preserve">n to be a statement that the person proposes to acquire the shares or assets, and references in this </w:t>
      </w:r>
      <w:r>
        <w:lastRenderedPageBreak/>
        <w:t>section to the proposal and to the acquisition shall be construed accordingly.</w:t>
      </w:r>
    </w:p>
    <w:p w:rsidR="00000000" w:rsidRDefault="00590668">
      <w:pPr>
        <w:pStyle w:val="Subsection"/>
      </w:pPr>
      <w:r>
        <w:tab/>
        <w:t>(4A)</w:t>
      </w:r>
      <w:r>
        <w:tab/>
        <w:t xml:space="preserve">For the purposes of this section but without limiting its generality, </w:t>
      </w:r>
      <w:r>
        <w:t>a person or corporation may be given advice in writing of a decision of the Treasurer in relation to a proposal if that advice in writing is given to the person or corporation at an address specified, in the notice containing the proposal, as the address f</w:t>
      </w:r>
      <w:r>
        <w:t>or service of notices in relation to the proposal.</w:t>
      </w:r>
    </w:p>
    <w:p w:rsidR="00000000" w:rsidRDefault="00590668">
      <w:pPr>
        <w:pStyle w:val="Subsection"/>
      </w:pPr>
      <w:r>
        <w:tab/>
        <w:t>(5)</w:t>
      </w:r>
      <w:r>
        <w:tab/>
        <w:t xml:space="preserve">In this section, </w:t>
      </w:r>
      <w:r>
        <w:rPr>
          <w:b/>
          <w:bCs/>
          <w:i/>
          <w:iCs/>
        </w:rPr>
        <w:t>notice</w:t>
      </w:r>
      <w:r>
        <w:t xml:space="preserve"> includes a notice furnished under section 26 or 26A.</w:t>
      </w:r>
    </w:p>
    <w:p w:rsidR="00000000" w:rsidRDefault="00590668">
      <w:pPr>
        <w:pStyle w:val="Heading5"/>
      </w:pPr>
      <w:r>
        <w:rPr>
          <w:rStyle w:val="CharSectno"/>
        </w:rPr>
        <w:t>26</w:t>
      </w:r>
      <w:r>
        <w:t xml:space="preserve">  Compulsory notification of certain section 18 transactions</w:t>
      </w:r>
    </w:p>
    <w:p w:rsidR="00000000" w:rsidRDefault="00590668">
      <w:pPr>
        <w:pStyle w:val="Subsection"/>
      </w:pPr>
      <w:r>
        <w:tab/>
        <w:t>(1)</w:t>
      </w:r>
      <w:r>
        <w:tab/>
        <w:t xml:space="preserve">In this section, </w:t>
      </w:r>
      <w:r>
        <w:rPr>
          <w:b/>
          <w:bCs/>
          <w:i/>
          <w:iCs/>
        </w:rPr>
        <w:t>person to whom this section applies</w:t>
      </w:r>
      <w:r>
        <w:t xml:space="preserve"> me</w:t>
      </w:r>
      <w:r>
        <w:t>ans:</w:t>
      </w:r>
    </w:p>
    <w:p w:rsidR="00000000" w:rsidRDefault="00590668">
      <w:pPr>
        <w:pStyle w:val="indenta"/>
      </w:pPr>
      <w:r>
        <w:tab/>
        <w:t>(a)</w:t>
      </w:r>
      <w:r>
        <w:tab/>
        <w:t>a natural person not ordinarily resident in Australia;</w:t>
      </w:r>
    </w:p>
    <w:p w:rsidR="00000000" w:rsidRDefault="00590668">
      <w:pPr>
        <w:pStyle w:val="indenta"/>
      </w:pPr>
      <w:r>
        <w:tab/>
        <w:t>(b)</w:t>
      </w:r>
      <w:r>
        <w:tab/>
        <w:t>a corporation in which a natural person not ordinarily resident in Australia or a foreign corporation holds a substantial interest;</w:t>
      </w:r>
    </w:p>
    <w:p w:rsidR="00000000" w:rsidRDefault="00590668">
      <w:pPr>
        <w:pStyle w:val="indenta"/>
      </w:pPr>
      <w:r>
        <w:tab/>
        <w:t>(c)</w:t>
      </w:r>
      <w:r>
        <w:tab/>
        <w:t>a corporation in which 2 or more persons, each of</w:t>
      </w:r>
      <w:r>
        <w:t xml:space="preserve"> whom is either a natural person not ordinarily resident in Australia or a foreign corporation, hold an aggregate substantial interest;</w:t>
      </w:r>
    </w:p>
    <w:p w:rsidR="00000000" w:rsidRDefault="00590668">
      <w:pPr>
        <w:pStyle w:val="indenta"/>
      </w:pPr>
      <w:r>
        <w:tab/>
        <w:t>(d)</w:t>
      </w:r>
      <w:r>
        <w:tab/>
        <w:t>the trustee of a trust estate in which a natural person not ordinarily resident in Australia or a foreign corporati</w:t>
      </w:r>
      <w:r>
        <w:t>on holds a substantial interest; or</w:t>
      </w:r>
    </w:p>
    <w:p w:rsidR="00000000" w:rsidRDefault="00590668">
      <w:pPr>
        <w:pStyle w:val="indenta"/>
      </w:pPr>
      <w:r>
        <w:tab/>
        <w:t>(e)</w:t>
      </w:r>
      <w:r>
        <w:tab/>
        <w:t>the trustee of a trust estate in which 2 or more persons, each of whom is either a natural person not ordinarily resident in Australia or a foreign corporation, hold an aggregate substantial interest.</w:t>
      </w:r>
    </w:p>
    <w:p w:rsidR="00000000" w:rsidRDefault="00590668">
      <w:pPr>
        <w:pStyle w:val="Subsection"/>
      </w:pPr>
      <w:r>
        <w:tab/>
        <w:t>(2)</w:t>
      </w:r>
      <w:r>
        <w:tab/>
        <w:t>Where a p</w:t>
      </w:r>
      <w:r>
        <w:t>erson to whom this section applies:</w:t>
      </w:r>
    </w:p>
    <w:p w:rsidR="00000000" w:rsidRDefault="00590668">
      <w:pPr>
        <w:pStyle w:val="indenta"/>
      </w:pPr>
      <w:r>
        <w:tab/>
        <w:t>(a)</w:t>
      </w:r>
      <w:r>
        <w:tab/>
        <w:t>enters into an agreement by virtue of which he acquires a su</w:t>
      </w:r>
      <w:r>
        <w:t>bstantial shareholding in an Australian corporation and did not, before entering into the agreement, furnish to the Treasurer a notice stating his intention to enter into that agreement; or</w:t>
      </w:r>
    </w:p>
    <w:p w:rsidR="00000000" w:rsidRDefault="00590668">
      <w:pPr>
        <w:pStyle w:val="indenta"/>
      </w:pPr>
      <w:r>
        <w:tab/>
        <w:t>(b)</w:t>
      </w:r>
      <w:r>
        <w:tab/>
        <w:t>having furnished a notice to the Treasurer stating his intent</w:t>
      </w:r>
      <w:r>
        <w:t>ion to enter into an agreement by virtue of which he is to acquire a substantial shareholding in an Australian corporation, enters into that agreement before:</w:t>
      </w:r>
    </w:p>
    <w:p w:rsidR="00000000" w:rsidRDefault="00590668">
      <w:pPr>
        <w:pStyle w:val="indentii"/>
      </w:pPr>
      <w:r>
        <w:tab/>
        <w:t>(i)</w:t>
      </w:r>
      <w:r>
        <w:tab/>
        <w:t xml:space="preserve">the expiration of 40 days after the date on which the notice was received by the Treasurer; </w:t>
      </w:r>
      <w:r>
        <w:t>or</w:t>
      </w:r>
    </w:p>
    <w:p w:rsidR="00000000" w:rsidRDefault="00590668">
      <w:pPr>
        <w:pStyle w:val="indentii"/>
        <w:keepNext/>
      </w:pPr>
      <w:r>
        <w:lastRenderedPageBreak/>
        <w:tab/>
        <w:t>(ii)</w:t>
      </w:r>
      <w:r>
        <w:tab/>
        <w:t>the date on which advice is given that the Commonwealth Government does not object to the person entering into that agreement (whether or not the advice is subject to conditions imposed under subsection 25(1A));</w:t>
      </w:r>
    </w:p>
    <w:p w:rsidR="00000000" w:rsidRDefault="00590668">
      <w:pPr>
        <w:pStyle w:val="indenta"/>
        <w:keepNext/>
      </w:pPr>
      <w:r>
        <w:tab/>
      </w:r>
      <w:r>
        <w:tab/>
        <w:t>whichever first occurs;</w:t>
      </w:r>
    </w:p>
    <w:p w:rsidR="00000000" w:rsidRDefault="00590668">
      <w:pPr>
        <w:pStyle w:val="subsection2"/>
      </w:pPr>
      <w:r>
        <w:t>the perso</w:t>
      </w:r>
      <w:r>
        <w:t>n is guilty of an offence and is punishable, on conviction, by a fine not exceeding 500 penalty units or imprisonment for a period not exceeding 2 years, or both.</w:t>
      </w:r>
    </w:p>
    <w:p w:rsidR="00000000" w:rsidRDefault="00590668">
      <w:pPr>
        <w:pStyle w:val="Subsection"/>
      </w:pPr>
      <w:r>
        <w:tab/>
        <w:t>(3)</w:t>
      </w:r>
      <w:r>
        <w:tab/>
        <w:t>Where:</w:t>
      </w:r>
    </w:p>
    <w:p w:rsidR="00000000" w:rsidRDefault="00590668">
      <w:pPr>
        <w:pStyle w:val="indenta"/>
      </w:pPr>
      <w:r>
        <w:tab/>
        <w:t>(a)</w:t>
      </w:r>
      <w:r>
        <w:tab/>
        <w:t>a person enters into an agreement of a kind mentioned in subsection (2); and</w:t>
      </w:r>
    </w:p>
    <w:p w:rsidR="00000000" w:rsidRDefault="00590668">
      <w:pPr>
        <w:pStyle w:val="indenta"/>
        <w:keepNext/>
      </w:pPr>
      <w:r>
        <w:tab/>
        <w:t>(b)</w:t>
      </w:r>
      <w:r>
        <w:tab/>
        <w:t>the provisions of the agreement that relate to the acquisition of the interests in the shares concerned do not become binding until the fulfilment of a condition or conditions set out in the agreement;</w:t>
      </w:r>
    </w:p>
    <w:p w:rsidR="00000000" w:rsidRDefault="00590668">
      <w:pPr>
        <w:pStyle w:val="subsection2"/>
      </w:pPr>
      <w:r>
        <w:t xml:space="preserve">the person shall not be taken, for the purposes </w:t>
      </w:r>
      <w:r>
        <w:t>of that subsection, to have entered into the agreement until the time when those provisions become binding.</w:t>
      </w:r>
    </w:p>
    <w:p w:rsidR="00000000" w:rsidRDefault="00590668">
      <w:pPr>
        <w:pStyle w:val="Subsection"/>
      </w:pPr>
      <w:r>
        <w:tab/>
        <w:t>(4)</w:t>
      </w:r>
      <w:r>
        <w:tab/>
        <w:t>Without affecting the operation of section 25, this section does not apply in relation to a shareholder of a corporation subscribing for shares</w:t>
      </w:r>
      <w:r>
        <w:t xml:space="preserve"> in the corporation if:</w:t>
      </w:r>
    </w:p>
    <w:p w:rsidR="00000000" w:rsidRDefault="00590668">
      <w:pPr>
        <w:pStyle w:val="indenta"/>
      </w:pPr>
      <w:r>
        <w:tab/>
        <w:t>(a)</w:t>
      </w:r>
      <w:r>
        <w:tab/>
        <w:t>the shares were subscribed for in pursuance of a resolution by the corporation or the directors of the corporation agreeing to make available a number of shares specified in, or ascertained in accordance with, the resolution fo</w:t>
      </w:r>
      <w:r>
        <w:t>r allotment to persons who were registered as the holders of shares in the corporation on a date specified in the resolution; and</w:t>
      </w:r>
    </w:p>
    <w:p w:rsidR="00000000" w:rsidRDefault="00590668">
      <w:pPr>
        <w:pStyle w:val="indenta"/>
      </w:pPr>
      <w:r>
        <w:tab/>
        <w:t>(b)</w:t>
      </w:r>
      <w:r>
        <w:tab/>
        <w:t>the number of shares for which the shareholder so subscribed bears to the total number of shares made available for allot</w:t>
      </w:r>
      <w:r>
        <w:t>ment in pursuance of the resolution as nearly as practicable the same proportion as the number of issued shares in the corporation held by him immediately before the date specified in the resolution bears to the total number of issued shares in the corpora</w:t>
      </w:r>
      <w:r>
        <w:t>tion immediately before that date.</w:t>
      </w:r>
    </w:p>
    <w:p w:rsidR="00000000" w:rsidRDefault="00590668">
      <w:pPr>
        <w:pStyle w:val="Subsection"/>
      </w:pPr>
      <w:r>
        <w:tab/>
        <w:t>(5)</w:t>
      </w:r>
      <w:r>
        <w:tab/>
        <w:t>For the purposes of subsection (4), it is immaterial that the shares in the corporation comprise 2 or more classes of shares to which different rights are attached.</w:t>
      </w:r>
    </w:p>
    <w:p w:rsidR="00000000" w:rsidRDefault="00590668">
      <w:pPr>
        <w:pStyle w:val="Subsection"/>
      </w:pPr>
      <w:r>
        <w:tab/>
        <w:t>(5A)</w:t>
      </w:r>
      <w:r>
        <w:tab/>
        <w:t>Without affecting the operation of section 25</w:t>
      </w:r>
      <w:r>
        <w:t>, this section does not apply in relation to the acquisition of a substantial shareholding in an Australian corporation if that acquisition is also an acquisition of an interest in Australian urban land.</w:t>
      </w:r>
    </w:p>
    <w:p w:rsidR="00000000" w:rsidRDefault="00590668">
      <w:pPr>
        <w:pStyle w:val="Subsection"/>
      </w:pPr>
      <w:r>
        <w:lastRenderedPageBreak/>
        <w:tab/>
        <w:t>(6)</w:t>
      </w:r>
      <w:r>
        <w:tab/>
        <w:t>In this section, a reference to an agreement by</w:t>
      </w:r>
      <w:r>
        <w:t xml:space="preserve"> virtue of which a person acquires a substantial shareholding in a corporation is a reference to an agreement by virtue of which the person acquires any interests in any shares in the corporation where:</w:t>
      </w:r>
    </w:p>
    <w:p w:rsidR="00000000" w:rsidRDefault="00590668">
      <w:pPr>
        <w:pStyle w:val="indenta"/>
      </w:pPr>
      <w:r>
        <w:tab/>
        <w:t>(a)</w:t>
      </w:r>
      <w:r>
        <w:tab/>
        <w:t>he already holds a substantial interest in the c</w:t>
      </w:r>
      <w:r>
        <w:t>orporation; or</w:t>
      </w:r>
    </w:p>
    <w:p w:rsidR="00000000" w:rsidRDefault="00590668">
      <w:pPr>
        <w:pStyle w:val="indenta"/>
      </w:pPr>
      <w:r>
        <w:tab/>
        <w:t>(b)</w:t>
      </w:r>
      <w:r>
        <w:tab/>
        <w:t>upon the acquisition by him of those interests, or of those interests and of any interests in other shares in the corporation, being interests that he has offered to acquire, he would hold a substantial interest in the corporation.</w:t>
      </w:r>
    </w:p>
    <w:p w:rsidR="00000000" w:rsidRDefault="00590668">
      <w:pPr>
        <w:pStyle w:val="Subsection"/>
      </w:pPr>
      <w:r>
        <w:tab/>
      </w:r>
      <w:r>
        <w:tab/>
        <w:t>(7</w:t>
      </w:r>
      <w:r>
        <w:t>)</w:t>
      </w:r>
      <w:r>
        <w:tab/>
        <w:t xml:space="preserve">For the purposes of subsection (6), a reference to a person offering to acquire interests in shares includes a reference to a person making or publishing a statement, however expressed, that expressly or impliedly invites a holder of interests in shares </w:t>
      </w:r>
      <w:r>
        <w:t>to offer to dispose of interests in shares.</w:t>
      </w:r>
    </w:p>
    <w:p w:rsidR="00000000" w:rsidRDefault="00590668">
      <w:pPr>
        <w:pStyle w:val="Heading5"/>
      </w:pPr>
      <w:r>
        <w:rPr>
          <w:rStyle w:val="CharSectno"/>
        </w:rPr>
        <w:t>26A</w:t>
      </w:r>
      <w:r>
        <w:t xml:space="preserve">  Compulsory notification of certain section 21A transactions</w:t>
      </w:r>
    </w:p>
    <w:p w:rsidR="00000000" w:rsidRDefault="00590668">
      <w:pPr>
        <w:pStyle w:val="Subsection"/>
      </w:pPr>
      <w:r>
        <w:tab/>
        <w:t>(1)</w:t>
      </w:r>
      <w:r>
        <w:tab/>
        <w:t xml:space="preserve">In this section, </w:t>
      </w:r>
      <w:r>
        <w:rPr>
          <w:b/>
          <w:bCs/>
          <w:i/>
          <w:iCs/>
        </w:rPr>
        <w:t>person to whom this section applies</w:t>
      </w:r>
      <w:r>
        <w:t xml:space="preserve"> means:</w:t>
      </w:r>
    </w:p>
    <w:p w:rsidR="00000000" w:rsidRDefault="00590668">
      <w:pPr>
        <w:pStyle w:val="indenta"/>
      </w:pPr>
      <w:r>
        <w:tab/>
        <w:t>(a)</w:t>
      </w:r>
      <w:r>
        <w:tab/>
        <w:t>a natural person not ordinarily resident in Australia;</w:t>
      </w:r>
    </w:p>
    <w:p w:rsidR="00000000" w:rsidRDefault="00590668">
      <w:pPr>
        <w:pStyle w:val="indenta"/>
      </w:pPr>
      <w:r>
        <w:tab/>
        <w:t>(b)</w:t>
      </w:r>
      <w:r>
        <w:tab/>
        <w:t xml:space="preserve">a corporation in </w:t>
      </w:r>
      <w:r>
        <w:t>which a natural person not ordinarily resident in Australia or a foreign corporation holds a substantial interest;</w:t>
      </w:r>
    </w:p>
    <w:p w:rsidR="00000000" w:rsidRDefault="00590668">
      <w:pPr>
        <w:pStyle w:val="indenta"/>
      </w:pPr>
      <w:r>
        <w:tab/>
        <w:t>(c)</w:t>
      </w:r>
      <w:r>
        <w:tab/>
        <w:t>a corporation in which 2 or more persons, each of whom is a natural person not ordinarily resident in Australia or a foreign corporation</w:t>
      </w:r>
      <w:r>
        <w:t xml:space="preserve"> hold an aggregate substantial interest;</w:t>
      </w:r>
    </w:p>
    <w:p w:rsidR="00000000" w:rsidRDefault="00590668">
      <w:pPr>
        <w:pStyle w:val="indenta"/>
      </w:pPr>
      <w:r>
        <w:tab/>
        <w:t>(d)</w:t>
      </w:r>
      <w:r>
        <w:tab/>
        <w:t>the trustee of a trust estate in which a natural person not ordinarily resident in Australia or a foreign corporation holds a substantial interest; or</w:t>
      </w:r>
    </w:p>
    <w:p w:rsidR="00000000" w:rsidRDefault="00590668">
      <w:pPr>
        <w:pStyle w:val="indenta"/>
      </w:pPr>
      <w:r>
        <w:tab/>
        <w:t>(e)</w:t>
      </w:r>
      <w:r>
        <w:tab/>
        <w:t>the trustee of a trust estate in which 2 or more perso</w:t>
      </w:r>
      <w:r>
        <w:t>ns, each of whom is either a natural person not ordinarily resident in Australia or a foreign corporation, hold an aggregate substantial interest.</w:t>
      </w:r>
    </w:p>
    <w:p w:rsidR="00000000" w:rsidRDefault="00590668">
      <w:pPr>
        <w:pStyle w:val="Subsection"/>
      </w:pPr>
      <w:r>
        <w:tab/>
        <w:t>(2)</w:t>
      </w:r>
      <w:r>
        <w:tab/>
        <w:t>Where a person to whom this section applies:</w:t>
      </w:r>
    </w:p>
    <w:p w:rsidR="00000000" w:rsidRDefault="00590668">
      <w:pPr>
        <w:pStyle w:val="indenta"/>
      </w:pPr>
      <w:r>
        <w:tab/>
        <w:t>(a)</w:t>
      </w:r>
      <w:r>
        <w:tab/>
        <w:t xml:space="preserve">enters into an agreement by virtue of which he or she </w:t>
      </w:r>
      <w:r>
        <w:t>acquires an interest in Australian urban land and did not, before entering into the agreement, furnish to the Treasurer a notice stating his or her intention to enter into that agreement; or</w:t>
      </w:r>
    </w:p>
    <w:p w:rsidR="00000000" w:rsidRDefault="00590668">
      <w:pPr>
        <w:pStyle w:val="indenta"/>
      </w:pPr>
      <w:r>
        <w:tab/>
        <w:t>(b)</w:t>
      </w:r>
      <w:r>
        <w:tab/>
        <w:t>having furnished a notice to the Treasurer stating his or he</w:t>
      </w:r>
      <w:r>
        <w:t>r intention to enter into an agreement by virtue of which he or she is to acquire an interest in Australian urban land, enters into that agreement before:</w:t>
      </w:r>
    </w:p>
    <w:p w:rsidR="00000000" w:rsidRDefault="00590668">
      <w:pPr>
        <w:pStyle w:val="indentii"/>
      </w:pPr>
      <w:r>
        <w:tab/>
        <w:t>(i)</w:t>
      </w:r>
      <w:r>
        <w:tab/>
        <w:t>the end of 40 days after the day on which the notice was received by the Treasurer; or</w:t>
      </w:r>
    </w:p>
    <w:p w:rsidR="00000000" w:rsidRDefault="00590668">
      <w:pPr>
        <w:pStyle w:val="indentii"/>
        <w:keepNext/>
      </w:pPr>
      <w:r>
        <w:lastRenderedPageBreak/>
        <w:tab/>
        <w:t>(ii)</w:t>
      </w:r>
      <w:r>
        <w:tab/>
        <w:t>the</w:t>
      </w:r>
      <w:r>
        <w:t xml:space="preserve"> day on which advice is given that the Commonwealth Government does not object to the person entering into that agreement (whether or not the advice is subject to conditions imposed under subsection 25(1A));</w:t>
      </w:r>
    </w:p>
    <w:p w:rsidR="00000000" w:rsidRDefault="00590668">
      <w:pPr>
        <w:pStyle w:val="indenta"/>
        <w:keepNext/>
      </w:pPr>
      <w:r>
        <w:tab/>
      </w:r>
      <w:r>
        <w:tab/>
        <w:t>whichever first occurs;</w:t>
      </w:r>
    </w:p>
    <w:p w:rsidR="00000000" w:rsidRDefault="00590668">
      <w:pPr>
        <w:pStyle w:val="subsection2"/>
      </w:pPr>
      <w:r>
        <w:t>the person is guilty o</w:t>
      </w:r>
      <w:r>
        <w:t>f an offence and is punishable, on conviction, by a fine not exceeding 500 penalty units or imprisonment for a period not exceeding 2 years, or both.</w:t>
      </w:r>
    </w:p>
    <w:p w:rsidR="00000000" w:rsidRDefault="00590668">
      <w:pPr>
        <w:pStyle w:val="Subsection"/>
      </w:pPr>
      <w:r>
        <w:tab/>
        <w:t>(3)</w:t>
      </w:r>
      <w:r>
        <w:tab/>
        <w:t>Where:</w:t>
      </w:r>
    </w:p>
    <w:p w:rsidR="00000000" w:rsidRDefault="00590668">
      <w:pPr>
        <w:pStyle w:val="indenta"/>
      </w:pPr>
      <w:r>
        <w:tab/>
        <w:t>(a)</w:t>
      </w:r>
      <w:r>
        <w:tab/>
        <w:t>a person enters into an agreement by virtue of which he or she acquires an interest in Au</w:t>
      </w:r>
      <w:r>
        <w:t>stralian urban land; and</w:t>
      </w:r>
    </w:p>
    <w:p w:rsidR="00000000" w:rsidRDefault="00590668">
      <w:pPr>
        <w:pStyle w:val="indenta"/>
        <w:keepNext/>
      </w:pPr>
      <w:r>
        <w:tab/>
        <w:t>(b)</w:t>
      </w:r>
      <w:r>
        <w:tab/>
        <w:t>the provisions of the agreement that relate to the acquisition of the interest do not become binding until the fulfilment of a condition or conditions set out in the agreement;</w:t>
      </w:r>
    </w:p>
    <w:p w:rsidR="00000000" w:rsidRDefault="00590668">
      <w:pPr>
        <w:pStyle w:val="subsection2"/>
      </w:pPr>
      <w:r>
        <w:t>the person shall not be taken, for the purposes o</w:t>
      </w:r>
      <w:r>
        <w:t>f subsection (2), to have entered into the agreement until the time when those provisions become binding.</w:t>
      </w:r>
    </w:p>
    <w:p w:rsidR="00000000" w:rsidRDefault="00590668">
      <w:pPr>
        <w:pStyle w:val="Subsection"/>
      </w:pPr>
      <w:r>
        <w:tab/>
        <w:t>(4)</w:t>
      </w:r>
      <w:r>
        <w:tab/>
        <w:t>Without affecting the operation of section 25, this section does not apply to an acquisition of an interest in Australian urban land if:</w:t>
      </w:r>
    </w:p>
    <w:p w:rsidR="00000000" w:rsidRDefault="00590668">
      <w:pPr>
        <w:pStyle w:val="indenta"/>
      </w:pPr>
      <w:r>
        <w:tab/>
        <w:t>(a)</w:t>
      </w:r>
      <w:r>
        <w:tab/>
        <w:t>tha</w:t>
      </w:r>
      <w:r>
        <w:t>t interest is an interest in a share in a corporation;</w:t>
      </w:r>
    </w:p>
    <w:p w:rsidR="00000000" w:rsidRDefault="00590668">
      <w:pPr>
        <w:pStyle w:val="indenta"/>
      </w:pPr>
      <w:r>
        <w:tab/>
        <w:t>(b)</w:t>
      </w:r>
      <w:r>
        <w:tab/>
        <w:t>the acquisition occurs because of a shareholder subscribing for shares in the corporation;</w:t>
      </w:r>
    </w:p>
    <w:p w:rsidR="00000000" w:rsidRDefault="00590668">
      <w:pPr>
        <w:pStyle w:val="indenta"/>
      </w:pPr>
      <w:r>
        <w:tab/>
        <w:t>(c)</w:t>
      </w:r>
      <w:r>
        <w:tab/>
        <w:t>the shares were subscribed for in pursuance of a resolution by the corporation or the directors of t</w:t>
      </w:r>
      <w:r>
        <w:t>he corporation agreeing to make available a number of shares specified in, or ascertained in accordance with, the resolution for allotment to persons who were registered as the holders of shares in the corporation on a day specified in the resolution; and</w:t>
      </w:r>
    </w:p>
    <w:p w:rsidR="00000000" w:rsidRDefault="00590668">
      <w:pPr>
        <w:pStyle w:val="indenta"/>
      </w:pPr>
      <w:r>
        <w:tab/>
        <w:t>(d)</w:t>
      </w:r>
      <w:r>
        <w:tab/>
        <w:t>the proportion of the total shares made available for allotment represented by the shares for which the shareholder so subscribed is as near as practicable to the proportion of the issued shares in the corporation, immediately before the day specified</w:t>
      </w:r>
      <w:r>
        <w:t xml:space="preserve"> in the resolution, that were held by the shareholder immediately before that day.</w:t>
      </w:r>
    </w:p>
    <w:p w:rsidR="00000000" w:rsidRDefault="00590668">
      <w:pPr>
        <w:pStyle w:val="Subsection"/>
      </w:pPr>
      <w:r>
        <w:tab/>
        <w:t>(5)</w:t>
      </w:r>
      <w:r>
        <w:tab/>
        <w:t>For the purposes of subsection (4), it is immaterial that the shares in the corporation comprise 2 or more classes of shares to which different rights are attached.</w:t>
      </w:r>
    </w:p>
    <w:p w:rsidR="00000000" w:rsidRDefault="00590668">
      <w:pPr>
        <w:pStyle w:val="Heading5"/>
      </w:pPr>
      <w:r>
        <w:rPr>
          <w:rStyle w:val="CharSectno"/>
        </w:rPr>
        <w:t>27</w:t>
      </w:r>
      <w:r>
        <w:t xml:space="preserve"> </w:t>
      </w:r>
      <w:r>
        <w:t xml:space="preserve"> Form of notification</w:t>
      </w:r>
    </w:p>
    <w:p w:rsidR="00000000" w:rsidRDefault="00590668">
      <w:pPr>
        <w:pStyle w:val="Subsection"/>
      </w:pPr>
      <w:r>
        <w:tab/>
      </w:r>
      <w:r>
        <w:tab/>
        <w:t>A notice does not have effect for the purposes of section 25, 26 or 26A unless it is in accordance with the prescribed form and complies with the directions set out in the form.</w:t>
      </w:r>
    </w:p>
    <w:p w:rsidR="00000000" w:rsidRDefault="00590668">
      <w:pPr>
        <w:pStyle w:val="Heading5"/>
      </w:pPr>
      <w:r>
        <w:rPr>
          <w:rStyle w:val="CharSectno"/>
        </w:rPr>
        <w:lastRenderedPageBreak/>
        <w:t>28</w:t>
      </w:r>
      <w:r>
        <w:t xml:space="preserve">  Notification of options</w:t>
      </w:r>
    </w:p>
    <w:p w:rsidR="00000000" w:rsidRDefault="00590668">
      <w:pPr>
        <w:pStyle w:val="Subsection"/>
        <w:keepLines/>
      </w:pPr>
      <w:r>
        <w:tab/>
      </w:r>
      <w:r>
        <w:tab/>
        <w:t>A notice furnished in ac</w:t>
      </w:r>
      <w:r>
        <w:t>cordance with section 25 stating that a person proposes to acquire an option to acquire a share or asset has effect as if it included a statement that the person proposes to exercise that option.</w:t>
      </w:r>
    </w:p>
    <w:p w:rsidR="00000000" w:rsidRDefault="00590668">
      <w:pPr>
        <w:pStyle w:val="PageBreak"/>
      </w:pPr>
    </w:p>
    <w:p w:rsidR="00000000" w:rsidRDefault="00590668">
      <w:pPr>
        <w:pStyle w:val="Heading2"/>
      </w:pPr>
      <w:r>
        <w:rPr>
          <w:rStyle w:val="CharPartNo"/>
        </w:rPr>
        <w:t>Part III</w:t>
      </w:r>
      <w:r>
        <w:t>—</w:t>
      </w:r>
      <w:r>
        <w:rPr>
          <w:rStyle w:val="CharPartText"/>
        </w:rPr>
        <w:t>Miscellaneous</w:t>
      </w:r>
    </w:p>
    <w:p w:rsidR="00000000" w:rsidRDefault="00590668">
      <w:pPr>
        <w:pStyle w:val="Heading5"/>
      </w:pPr>
      <w:r>
        <w:rPr>
          <w:rStyle w:val="CharSectno"/>
        </w:rPr>
        <w:t>30</w:t>
      </w:r>
      <w:r>
        <w:t xml:space="preserve">  Offences</w:t>
      </w:r>
    </w:p>
    <w:p w:rsidR="00000000" w:rsidRDefault="00590668">
      <w:pPr>
        <w:pStyle w:val="Subsection"/>
      </w:pPr>
      <w:r>
        <w:tab/>
        <w:t>(1)</w:t>
      </w:r>
      <w:r>
        <w:tab/>
        <w:t>A person who contr</w:t>
      </w:r>
      <w:r>
        <w:t>avenes or fails to comply with an order made under Part II is guilty of an offence against this section.</w:t>
      </w:r>
    </w:p>
    <w:p w:rsidR="00000000" w:rsidRDefault="00590668">
      <w:pPr>
        <w:pStyle w:val="Subsection"/>
      </w:pPr>
      <w:r>
        <w:tab/>
        <w:t>(2)</w:t>
      </w:r>
      <w:r>
        <w:tab/>
        <w:t>Where a person has been convicted of an offence consisting of a contravention, or failure to comply with, an order made under Part II and the cont</w:t>
      </w:r>
      <w:r>
        <w:t>ravention or failure continues after he has been so convicted, the person is guilty of a further offence against this section.</w:t>
      </w:r>
    </w:p>
    <w:p w:rsidR="00000000" w:rsidRDefault="00590668">
      <w:pPr>
        <w:pStyle w:val="Subsection"/>
      </w:pPr>
      <w:r>
        <w:tab/>
        <w:t>(3)</w:t>
      </w:r>
      <w:r>
        <w:tab/>
        <w:t xml:space="preserve">Where an order made under Part II requires a person to do anything within a particular time and the person fails to do that </w:t>
      </w:r>
      <w:r>
        <w:t>thing within that time, the person shall be deemed to continue to fail to comply with the order until he does that thing.</w:t>
      </w:r>
    </w:p>
    <w:p w:rsidR="00000000" w:rsidRDefault="00590668">
      <w:pPr>
        <w:pStyle w:val="Subsection"/>
      </w:pPr>
      <w:r>
        <w:tab/>
        <w:t>(4)</w:t>
      </w:r>
      <w:r>
        <w:tab/>
        <w:t>A person who is convicted of an offence against this section is punishable by a fine not exceeding 500 penalty units or imprisonm</w:t>
      </w:r>
      <w:r>
        <w:t>ent for a period not exceeding 2 years, or both.</w:t>
      </w:r>
    </w:p>
    <w:p w:rsidR="00000000" w:rsidRDefault="00590668">
      <w:pPr>
        <w:pStyle w:val="Heading5"/>
      </w:pPr>
      <w:r>
        <w:rPr>
          <w:rStyle w:val="CharSectno"/>
        </w:rPr>
        <w:t>31</w:t>
      </w:r>
      <w:r>
        <w:t xml:space="preserve">  Offences by officers of corporations</w:t>
      </w:r>
    </w:p>
    <w:p w:rsidR="00000000" w:rsidRDefault="00590668">
      <w:pPr>
        <w:pStyle w:val="Subsection"/>
      </w:pPr>
      <w:r>
        <w:tab/>
        <w:t>(1)</w:t>
      </w:r>
      <w:r>
        <w:tab/>
        <w:t>Where an offence against a provision of this Act is committed by a corporation, a</w:t>
      </w:r>
      <w:r>
        <w:t>n officer of the corporation who is in default is guilty of an offence against this section and is punishable on conviction by the penalty provided in that provision.</w:t>
      </w:r>
    </w:p>
    <w:p w:rsidR="00000000" w:rsidRDefault="00590668">
      <w:pPr>
        <w:pStyle w:val="Subsection"/>
      </w:pPr>
      <w:r>
        <w:tab/>
        <w:t>(2)</w:t>
      </w:r>
      <w:r>
        <w:tab/>
        <w:t>A reference in subsection (1) to an officer who is in default, in relation to an off</w:t>
      </w:r>
      <w:r>
        <w:t>ence committed by a corporation, includes a reference to an officer who authorizes or permits the commission of the offence.</w:t>
      </w:r>
    </w:p>
    <w:p w:rsidR="00000000" w:rsidRDefault="00590668">
      <w:pPr>
        <w:pStyle w:val="Heading5"/>
      </w:pPr>
      <w:r>
        <w:rPr>
          <w:rStyle w:val="CharSectno"/>
        </w:rPr>
        <w:t>35</w:t>
      </w:r>
      <w:r>
        <w:t xml:space="preserve">  Powers of court to enforce Treasurer’s orders</w:t>
      </w:r>
    </w:p>
    <w:p w:rsidR="00000000" w:rsidRDefault="00590668">
      <w:pPr>
        <w:pStyle w:val="Subsection"/>
      </w:pPr>
      <w:r>
        <w:tab/>
        <w:t>(1)</w:t>
      </w:r>
      <w:r>
        <w:tab/>
        <w:t xml:space="preserve">Where a person (in this section referred to as </w:t>
      </w:r>
      <w:r>
        <w:rPr>
          <w:b/>
          <w:bCs/>
          <w:i/>
          <w:iCs/>
        </w:rPr>
        <w:t>the offender</w:t>
      </w:r>
      <w:r>
        <w:t>) has contravened</w:t>
      </w:r>
      <w:r>
        <w:t xml:space="preserve"> or failed to comply with an order in force under Part II, the Supreme Court of a State or Territory may, on the application of the Treasurer, whether or not that contravention of failure still continues, and </w:t>
      </w:r>
      <w:r>
        <w:lastRenderedPageBreak/>
        <w:t xml:space="preserve">whether or not other proceedings in respect of </w:t>
      </w:r>
      <w:r>
        <w:t>that contravention or failure have been or are to be instituted, make such order or orders as it thinks fit for the attainment of the purpose for which the order was made by the Treasurer.</w:t>
      </w:r>
    </w:p>
    <w:p w:rsidR="00000000" w:rsidRDefault="00590668">
      <w:pPr>
        <w:pStyle w:val="Subsection"/>
      </w:pPr>
      <w:r>
        <w:tab/>
        <w:t>(2)</w:t>
      </w:r>
      <w:r>
        <w:tab/>
        <w:t>The orders that may be made under subsection (1) in relation t</w:t>
      </w:r>
      <w:r>
        <w:t xml:space="preserve">o a change in the control of a corporation other than a foreign corporation (in this section referred to as </w:t>
      </w:r>
      <w:r>
        <w:rPr>
          <w:b/>
          <w:bCs/>
          <w:i/>
          <w:iCs/>
        </w:rPr>
        <w:t>the corporation concerned</w:t>
      </w:r>
      <w:r>
        <w:t xml:space="preserve">) or a change in the control of an Australian business (in this section referred to as </w:t>
      </w:r>
      <w:r>
        <w:rPr>
          <w:b/>
          <w:bCs/>
          <w:i/>
          <w:iCs/>
        </w:rPr>
        <w:t>the business concerned</w:t>
      </w:r>
      <w:r>
        <w:t>) include, but</w:t>
      </w:r>
      <w:r>
        <w:t xml:space="preserve"> are not limited to:</w:t>
      </w:r>
    </w:p>
    <w:p w:rsidR="00000000" w:rsidRDefault="00590668">
      <w:pPr>
        <w:pStyle w:val="indenta"/>
      </w:pPr>
      <w:r>
        <w:tab/>
        <w:t>(a)</w:t>
      </w:r>
      <w:r>
        <w:tab/>
        <w:t>an order restraining the exercise of any rights attached to shares or assets held by the offender;</w:t>
      </w:r>
    </w:p>
    <w:p w:rsidR="00000000" w:rsidRDefault="00590668">
      <w:pPr>
        <w:pStyle w:val="indenta"/>
      </w:pPr>
      <w:r>
        <w:tab/>
        <w:t>(b)</w:t>
      </w:r>
      <w:r>
        <w:tab/>
        <w:t>an order prohibiting or deferring the payment of any sums due to the offender in respect of shares or assets held by the offen</w:t>
      </w:r>
      <w:r>
        <w:t>der;</w:t>
      </w:r>
    </w:p>
    <w:p w:rsidR="00000000" w:rsidRDefault="00590668">
      <w:pPr>
        <w:pStyle w:val="indenta"/>
      </w:pPr>
      <w:r>
        <w:tab/>
        <w:t>(c)</w:t>
      </w:r>
      <w:r>
        <w:tab/>
        <w:t>an order directing the disposal of shares or assets held by the offender;</w:t>
      </w:r>
    </w:p>
    <w:p w:rsidR="00000000" w:rsidRDefault="00590668">
      <w:pPr>
        <w:pStyle w:val="indenta"/>
      </w:pPr>
      <w:r>
        <w:tab/>
        <w:t>(d)</w:t>
      </w:r>
      <w:r>
        <w:tab/>
        <w:t>an order that any exercise of rights attached to shares or assets held by the offender be disregarded;</w:t>
      </w:r>
    </w:p>
    <w:p w:rsidR="00000000" w:rsidRDefault="00590668">
      <w:pPr>
        <w:pStyle w:val="indenta"/>
      </w:pPr>
      <w:r>
        <w:tab/>
        <w:t>(e)</w:t>
      </w:r>
      <w:r>
        <w:tab/>
        <w:t xml:space="preserve">an order prohibiting a person from acting as a director of </w:t>
      </w:r>
      <w:r>
        <w:t>the corporation concerned or from being involved in the management of the corporation or business concerned; and</w:t>
      </w:r>
    </w:p>
    <w:p w:rsidR="00000000" w:rsidRDefault="00590668">
      <w:pPr>
        <w:pStyle w:val="indenta"/>
      </w:pPr>
      <w:r>
        <w:tab/>
        <w:t>(f)</w:t>
      </w:r>
      <w:r>
        <w:tab/>
        <w:t>an order directing the corporation concerned to make such alterations of any of its constituent documents as are specified in the order.</w:t>
      </w:r>
    </w:p>
    <w:p w:rsidR="00000000" w:rsidRDefault="00590668">
      <w:pPr>
        <w:pStyle w:val="Subsection"/>
      </w:pPr>
      <w:r>
        <w:tab/>
      </w:r>
      <w:r>
        <w:t>(3)</w:t>
      </w:r>
      <w:r>
        <w:tab/>
        <w:t>For the purpose of subsection (2):</w:t>
      </w:r>
    </w:p>
    <w:p w:rsidR="00000000" w:rsidRDefault="00590668">
      <w:pPr>
        <w:pStyle w:val="indenta"/>
      </w:pPr>
      <w:r>
        <w:tab/>
        <w:t>(a)</w:t>
      </w:r>
      <w:r>
        <w:tab/>
        <w:t>a reference to shares is a reference to shares in the corporation concerned; and</w:t>
      </w:r>
    </w:p>
    <w:p w:rsidR="00000000" w:rsidRDefault="00590668">
      <w:pPr>
        <w:pStyle w:val="indenta"/>
      </w:pPr>
      <w:r>
        <w:tab/>
        <w:t>(b)</w:t>
      </w:r>
      <w:r>
        <w:tab/>
        <w:t>a reference to assets is a reference to assets of the corporation or business concerned.</w:t>
      </w:r>
    </w:p>
    <w:p w:rsidR="00000000" w:rsidRDefault="00590668">
      <w:pPr>
        <w:pStyle w:val="Subsection"/>
      </w:pPr>
      <w:r>
        <w:tab/>
        <w:t>(4)</w:t>
      </w:r>
      <w:r>
        <w:tab/>
        <w:t>The orders that may be made unde</w:t>
      </w:r>
      <w:r>
        <w:t>r subsection (1) in relation to a change in the control of a foreign corporation include, but are not limited to:</w:t>
      </w:r>
    </w:p>
    <w:p w:rsidR="00000000" w:rsidRDefault="00590668">
      <w:pPr>
        <w:pStyle w:val="indenta"/>
      </w:pPr>
      <w:r>
        <w:tab/>
        <w:t>(a)</w:t>
      </w:r>
      <w:r>
        <w:tab/>
        <w:t>an order restraining the exercise of any rights attached to shares held by the foreign corporation in an Australian subsidiary;</w:t>
      </w:r>
    </w:p>
    <w:p w:rsidR="00000000" w:rsidRDefault="00590668">
      <w:pPr>
        <w:pStyle w:val="indenta"/>
      </w:pPr>
      <w:r>
        <w:tab/>
        <w:t>(b)</w:t>
      </w:r>
      <w:r>
        <w:tab/>
        <w:t>an o</w:t>
      </w:r>
      <w:r>
        <w:t>rder prohibiting or deferring the payment of any sums due to the foreign corporation in respect of shares held by it in an Australian subsidiary;</w:t>
      </w:r>
    </w:p>
    <w:p w:rsidR="00000000" w:rsidRDefault="00590668">
      <w:pPr>
        <w:pStyle w:val="indenta"/>
      </w:pPr>
      <w:r>
        <w:tab/>
        <w:t>(c)</w:t>
      </w:r>
      <w:r>
        <w:tab/>
        <w:t>an order directing the disposal of shares in, or assets of, an Australian subsidiary of the foreign corpo</w:t>
      </w:r>
      <w:r>
        <w:t>ration;</w:t>
      </w:r>
    </w:p>
    <w:p w:rsidR="00000000" w:rsidRDefault="00590668">
      <w:pPr>
        <w:pStyle w:val="indenta"/>
      </w:pPr>
      <w:r>
        <w:tab/>
        <w:t>(d)</w:t>
      </w:r>
      <w:r>
        <w:tab/>
        <w:t xml:space="preserve">an order directing the disposal of assets of the foreign corporation that consist of assets of an Australian business carried on by the foreign corporation (whether alone or together with any other person </w:t>
      </w:r>
      <w:r>
        <w:lastRenderedPageBreak/>
        <w:t>or persons) or prohibiting or deferrin</w:t>
      </w:r>
      <w:r>
        <w:t>g the payment of any sums due to the foreign corporation in respect of any such assets;</w:t>
      </w:r>
    </w:p>
    <w:p w:rsidR="00000000" w:rsidRDefault="00590668">
      <w:pPr>
        <w:pStyle w:val="indenta"/>
      </w:pPr>
      <w:r>
        <w:tab/>
        <w:t>(e)</w:t>
      </w:r>
      <w:r>
        <w:tab/>
        <w:t>an order that any exercise of rights attached to shares held by the foreign corporation in an Australian subsidiary be disregarded;</w:t>
      </w:r>
    </w:p>
    <w:p w:rsidR="00000000" w:rsidRDefault="00590668">
      <w:pPr>
        <w:pStyle w:val="indenta"/>
      </w:pPr>
      <w:r>
        <w:tab/>
        <w:t>(f)</w:t>
      </w:r>
      <w:r>
        <w:tab/>
        <w:t>an order that any exercise</w:t>
      </w:r>
      <w:r>
        <w:t xml:space="preserve"> of rights attached to assets of the foreign corporation of a kind referred to in paragraph (d) be disregarded;</w:t>
      </w:r>
    </w:p>
    <w:p w:rsidR="00000000" w:rsidRDefault="00590668">
      <w:pPr>
        <w:pStyle w:val="indenta"/>
      </w:pPr>
      <w:r>
        <w:tab/>
        <w:t>(g)</w:t>
      </w:r>
      <w:r>
        <w:tab/>
        <w:t>an order prohibiting a person from acting as a director of, or from being concerned in the management of, an Australian subsidiary of the f</w:t>
      </w:r>
      <w:r>
        <w:t>oreign corporation; and</w:t>
      </w:r>
    </w:p>
    <w:p w:rsidR="00000000" w:rsidRDefault="00590668">
      <w:pPr>
        <w:pStyle w:val="indenta"/>
      </w:pPr>
      <w:r>
        <w:tab/>
        <w:t>(h)</w:t>
      </w:r>
      <w:r>
        <w:tab/>
        <w:t>an order directing an Australian subsidiary of the foreign corporation to make such alterations of any of its constituent documents as are specified in the order.</w:t>
      </w:r>
    </w:p>
    <w:p w:rsidR="00000000" w:rsidRDefault="00590668">
      <w:pPr>
        <w:pStyle w:val="Subsection"/>
      </w:pPr>
      <w:r>
        <w:tab/>
        <w:t>(4A)</w:t>
      </w:r>
      <w:r>
        <w:tab/>
        <w:t>The orders that may be made under subsection (1) in relati</w:t>
      </w:r>
      <w:r>
        <w:t>on to the acquisition of an interest in Australian urban land include, but are not limited to:</w:t>
      </w:r>
    </w:p>
    <w:p w:rsidR="00000000" w:rsidRDefault="00590668">
      <w:pPr>
        <w:pStyle w:val="indenta"/>
      </w:pPr>
      <w:r>
        <w:tab/>
        <w:t>(a)</w:t>
      </w:r>
      <w:r>
        <w:tab/>
        <w:t>an order restraining the exercise of any rights attached to any interest held by the offender in the land or other thing concerned;</w:t>
      </w:r>
    </w:p>
    <w:p w:rsidR="00000000" w:rsidRDefault="00590668">
      <w:pPr>
        <w:pStyle w:val="indenta"/>
      </w:pPr>
      <w:r>
        <w:tab/>
        <w:t>(b)</w:t>
      </w:r>
      <w:r>
        <w:tab/>
        <w:t>an order prohibitin</w:t>
      </w:r>
      <w:r>
        <w:t>g or deferring the payment of any sums due to the offender in respect of any such interest held by the offender;</w:t>
      </w:r>
    </w:p>
    <w:p w:rsidR="00000000" w:rsidRDefault="00590668">
      <w:pPr>
        <w:pStyle w:val="indenta"/>
      </w:pPr>
      <w:r>
        <w:tab/>
        <w:t>(c)</w:t>
      </w:r>
      <w:r>
        <w:tab/>
        <w:t>an order directing the disposal of any such interest held by the offender; and</w:t>
      </w:r>
    </w:p>
    <w:p w:rsidR="00000000" w:rsidRDefault="00590668">
      <w:pPr>
        <w:pStyle w:val="indenta"/>
      </w:pPr>
      <w:r>
        <w:tab/>
        <w:t>(d)</w:t>
      </w:r>
      <w:r>
        <w:tab/>
        <w:t>an order that any exercise of rights attached to any s</w:t>
      </w:r>
      <w:r>
        <w:t>uch interest held by the offender be disregarded.</w:t>
      </w:r>
    </w:p>
    <w:p w:rsidR="00000000" w:rsidRDefault="00590668">
      <w:pPr>
        <w:pStyle w:val="Subsection"/>
      </w:pPr>
      <w:r>
        <w:tab/>
        <w:t>(5)</w:t>
      </w:r>
      <w:r>
        <w:tab/>
        <w:t>In addition to the powers conferred on a Court by subsections (1), (2), (4) and (4A), the Court:</w:t>
      </w:r>
    </w:p>
    <w:p w:rsidR="00000000" w:rsidRDefault="00590668">
      <w:pPr>
        <w:pStyle w:val="indenta"/>
      </w:pPr>
      <w:r>
        <w:tab/>
        <w:t>(a)</w:t>
      </w:r>
      <w:r>
        <w:tab/>
      </w:r>
      <w:r>
        <w:t>has power, for the purpose of securing compliance with any other order made under this section, to make an order directing any person to do or refrain from doing a specified act; and</w:t>
      </w:r>
    </w:p>
    <w:p w:rsidR="00000000" w:rsidRDefault="00590668">
      <w:pPr>
        <w:pStyle w:val="indenta"/>
      </w:pPr>
      <w:r>
        <w:tab/>
        <w:t>(b)</w:t>
      </w:r>
      <w:r>
        <w:tab/>
        <w:t>has power to make an order containing such ancillary or consequentia</w:t>
      </w:r>
      <w:r>
        <w:t>l provisions as the Court thinks just.</w:t>
      </w:r>
    </w:p>
    <w:p w:rsidR="00000000" w:rsidRDefault="00590668">
      <w:pPr>
        <w:pStyle w:val="Subsection"/>
      </w:pPr>
      <w:r>
        <w:tab/>
        <w:t>(6)</w:t>
      </w:r>
      <w:r>
        <w:tab/>
        <w:t>The Court may, before making an order under this section, direct that notice of the application be given to such persons as it thinks fit or be published in such manner as it thinks fit, or both.</w:t>
      </w:r>
    </w:p>
    <w:p w:rsidR="00000000" w:rsidRDefault="00590668">
      <w:pPr>
        <w:pStyle w:val="Subsection"/>
      </w:pPr>
      <w:r>
        <w:tab/>
        <w:t>(7)</w:t>
      </w:r>
      <w:r>
        <w:tab/>
        <w:t>The Court m</w:t>
      </w:r>
      <w:r>
        <w:t>ay, by order, rescind, vary or discharge an order made by it under this section or suspend the operation of such an order.</w:t>
      </w:r>
    </w:p>
    <w:p w:rsidR="00000000" w:rsidRDefault="00590668">
      <w:pPr>
        <w:pStyle w:val="Subsection"/>
      </w:pPr>
      <w:r>
        <w:tab/>
        <w:t>(10)</w:t>
      </w:r>
      <w:r>
        <w:tab/>
        <w:t xml:space="preserve">In this section, </w:t>
      </w:r>
      <w:r>
        <w:rPr>
          <w:b/>
          <w:bCs/>
          <w:i/>
          <w:iCs/>
        </w:rPr>
        <w:t>Australian subsidiary</w:t>
      </w:r>
      <w:r>
        <w:t>, in relation to a foreign corporation, means a corporation incorporated in Australia tha</w:t>
      </w:r>
      <w:r>
        <w:t>t is a subsidiary of that foreign corporation.</w:t>
      </w:r>
    </w:p>
    <w:p w:rsidR="00000000" w:rsidRDefault="00590668">
      <w:pPr>
        <w:pStyle w:val="Heading5"/>
      </w:pPr>
      <w:r>
        <w:rPr>
          <w:rStyle w:val="CharSectno"/>
        </w:rPr>
        <w:lastRenderedPageBreak/>
        <w:t>36</w:t>
      </w:r>
      <w:r>
        <w:t xml:space="preserve">  Treasurer may require information</w:t>
      </w:r>
    </w:p>
    <w:p w:rsidR="00000000" w:rsidRDefault="00590668">
      <w:pPr>
        <w:pStyle w:val="Subsection"/>
      </w:pPr>
      <w:r>
        <w:tab/>
        <w:t>(1)</w:t>
      </w:r>
      <w:r>
        <w:tab/>
        <w:t xml:space="preserve">Where the Treasurer has reason to believe that a person is capable of giving information or producing documents relating to matters that are relevant to the exercise </w:t>
      </w:r>
      <w:r>
        <w:t>by the Treasurer of his powers under this Act, he may, by notice in writing served on that person, require that person:</w:t>
      </w:r>
    </w:p>
    <w:p w:rsidR="00000000" w:rsidRDefault="00590668">
      <w:pPr>
        <w:pStyle w:val="indenta"/>
      </w:pPr>
      <w:r>
        <w:tab/>
        <w:t>(a)</w:t>
      </w:r>
      <w:r>
        <w:tab/>
        <w:t>to furnish, within the time and in the manner specified in the notice, any such information to him by writing signed by that person</w:t>
      </w:r>
      <w:r>
        <w:t xml:space="preserve"> or, in the case of a corporation, by a competent officer of the corporation; or</w:t>
      </w:r>
    </w:p>
    <w:p w:rsidR="00000000" w:rsidRDefault="00590668">
      <w:pPr>
        <w:pStyle w:val="indenta"/>
      </w:pPr>
      <w:r>
        <w:tab/>
        <w:t>(b)</w:t>
      </w:r>
      <w:r>
        <w:tab/>
        <w:t>to produce, in accordance with the notice, any such documents to him or to a person specified in the notice acting on his behalf.</w:t>
      </w:r>
    </w:p>
    <w:p w:rsidR="00000000" w:rsidRDefault="00590668">
      <w:pPr>
        <w:pStyle w:val="Subsection"/>
      </w:pPr>
      <w:r>
        <w:tab/>
        <w:t>(2)</w:t>
      </w:r>
      <w:r>
        <w:tab/>
        <w:t>A person who does not comply with a</w:t>
      </w:r>
      <w:r>
        <w:t xml:space="preserve"> notice under subsection (1) is guilty of an offence punishable, on conviction, by a fine not exceeding 20 penalty units or imprisonment for 12 months, or both.</w:t>
      </w:r>
    </w:p>
    <w:p w:rsidR="00000000" w:rsidRDefault="00590668">
      <w:pPr>
        <w:pStyle w:val="Subsection"/>
      </w:pPr>
      <w:r>
        <w:tab/>
        <w:t>(2A)</w:t>
      </w:r>
      <w:r>
        <w:tab/>
        <w:t>Subsection (2) does not apply if the person complies with the notice to the extent to whi</w:t>
      </w:r>
      <w:r>
        <w:t>ch the person is capable of complying with it.</w:t>
      </w:r>
    </w:p>
    <w:p w:rsidR="00000000" w:rsidRDefault="00590668">
      <w:pPr>
        <w:pStyle w:val="notetext"/>
      </w:pPr>
      <w:r>
        <w:t>Note:</w:t>
      </w:r>
      <w:r>
        <w:tab/>
        <w:t xml:space="preserve">A defendant bears an evidential burden in relation to the matter in subsection (2A), (see subsection 13.3(3) of the </w:t>
      </w:r>
      <w:r>
        <w:rPr>
          <w:i/>
          <w:iCs/>
        </w:rPr>
        <w:t>Criminal Code</w:t>
      </w:r>
      <w:r>
        <w:t>).</w:t>
      </w:r>
    </w:p>
    <w:p w:rsidR="00000000" w:rsidRDefault="00590668">
      <w:pPr>
        <w:pStyle w:val="Subsection"/>
      </w:pPr>
      <w:r>
        <w:tab/>
        <w:t>(3)</w:t>
      </w:r>
      <w:r>
        <w:tab/>
        <w:t>A person is not excused from furnishing information or producing a</w:t>
      </w:r>
      <w:r>
        <w:t xml:space="preserve"> document in pursuance of this section on the ground that the information or document might tend to incriminate him, but his answer to any question asked in the notice, or his furnishing of any other information in pursuance of the notice, is not admissibl</w:t>
      </w:r>
      <w:r>
        <w:t>e in evidence against him in any criminal proceedings other than proceedings under this Act.</w:t>
      </w:r>
    </w:p>
    <w:p w:rsidR="00000000" w:rsidRDefault="00590668">
      <w:pPr>
        <w:pStyle w:val="Heading5"/>
      </w:pPr>
      <w:r>
        <w:rPr>
          <w:rStyle w:val="CharSectno"/>
        </w:rPr>
        <w:t>37</w:t>
      </w:r>
      <w:r>
        <w:t xml:space="preserve">  Effect of Act on other laws</w:t>
      </w:r>
    </w:p>
    <w:p w:rsidR="00000000" w:rsidRDefault="00590668">
      <w:pPr>
        <w:pStyle w:val="Subsection"/>
      </w:pPr>
      <w:r>
        <w:tab/>
      </w:r>
      <w:r>
        <w:tab/>
        <w:t>It is the intention of the Parliament that this Act shall not apply to the exclusion of any law of a State or Territory to the ex</w:t>
      </w:r>
      <w:r>
        <w:t>tent that that law is capable of operating concurrently with this Act.</w:t>
      </w:r>
    </w:p>
    <w:p w:rsidR="00000000" w:rsidRDefault="00590668">
      <w:pPr>
        <w:pStyle w:val="Heading5"/>
      </w:pPr>
      <w:r>
        <w:rPr>
          <w:rStyle w:val="CharSectno"/>
        </w:rPr>
        <w:t>38</w:t>
      </w:r>
      <w:r>
        <w:t xml:space="preserve">  Validity of acts done in contravention of Act</w:t>
      </w:r>
    </w:p>
    <w:p w:rsidR="00000000" w:rsidRDefault="00590668">
      <w:pPr>
        <w:pStyle w:val="Subsection"/>
      </w:pPr>
      <w:r>
        <w:tab/>
      </w:r>
      <w:r>
        <w:tab/>
        <w:t>An act is not invalidated by the fact that it constitutes an offence against this Act.</w:t>
      </w:r>
    </w:p>
    <w:p w:rsidR="00000000" w:rsidRDefault="00590668">
      <w:pPr>
        <w:pStyle w:val="Heading5"/>
      </w:pPr>
      <w:r>
        <w:rPr>
          <w:rStyle w:val="CharSectno"/>
        </w:rPr>
        <w:t>38A</w:t>
      </w:r>
      <w:r>
        <w:t xml:space="preserve">  Anti</w:t>
      </w:r>
      <w:r>
        <w:noBreakHyphen/>
        <w:t>avoidance</w:t>
      </w:r>
    </w:p>
    <w:p w:rsidR="00000000" w:rsidRDefault="00590668">
      <w:pPr>
        <w:pStyle w:val="Subsection"/>
      </w:pPr>
      <w:r>
        <w:tab/>
        <w:t>(1)</w:t>
      </w:r>
      <w:r>
        <w:tab/>
        <w:t xml:space="preserve">In this section, </w:t>
      </w:r>
      <w:r>
        <w:rPr>
          <w:b/>
          <w:bCs/>
          <w:i/>
          <w:iCs/>
        </w:rPr>
        <w:t>sche</w:t>
      </w:r>
      <w:r>
        <w:rPr>
          <w:b/>
          <w:bCs/>
          <w:i/>
          <w:iCs/>
        </w:rPr>
        <w:t>me</w:t>
      </w:r>
      <w:r>
        <w:t xml:space="preserve"> means:</w:t>
      </w:r>
    </w:p>
    <w:p w:rsidR="00000000" w:rsidRDefault="00590668">
      <w:pPr>
        <w:pStyle w:val="indenta"/>
      </w:pPr>
      <w:r>
        <w:lastRenderedPageBreak/>
        <w:tab/>
        <w:t>(a)</w:t>
      </w:r>
      <w:r>
        <w:tab/>
        <w:t>any agreement, arrangement, understanding, promise or undertaking, whether express or implied and whether or not enforceable, or intended to be enforceable, by legal proceedings; and</w:t>
      </w:r>
    </w:p>
    <w:p w:rsidR="00000000" w:rsidRDefault="00590668">
      <w:pPr>
        <w:pStyle w:val="indenta"/>
      </w:pPr>
      <w:r>
        <w:tab/>
        <w:t>(b)</w:t>
      </w:r>
      <w:r>
        <w:tab/>
        <w:t xml:space="preserve">any scheme, plan, proposal, action, course of action </w:t>
      </w:r>
      <w:r>
        <w:t>or course of conduct, whether unilateral or otherwise.</w:t>
      </w:r>
    </w:p>
    <w:p w:rsidR="00000000" w:rsidRDefault="00590668">
      <w:pPr>
        <w:pStyle w:val="Subsection"/>
      </w:pPr>
      <w:r>
        <w:tab/>
        <w:t>(2)</w:t>
      </w:r>
      <w:r>
        <w:tab/>
        <w:t>Where:</w:t>
      </w:r>
    </w:p>
    <w:p w:rsidR="00000000" w:rsidRDefault="00590668">
      <w:pPr>
        <w:pStyle w:val="indenta"/>
      </w:pPr>
      <w:r>
        <w:tab/>
        <w:t>(a)</w:t>
      </w:r>
      <w:r>
        <w:tab/>
        <w:t>a person or persons enter into, commence to carry out or carry out a scheme (other than a scheme entered into before the commencement of this section);</w:t>
      </w:r>
    </w:p>
    <w:p w:rsidR="00000000" w:rsidRDefault="00590668">
      <w:pPr>
        <w:pStyle w:val="indenta"/>
      </w:pPr>
      <w:r>
        <w:tab/>
        <w:t>(b)</w:t>
      </w:r>
      <w:r>
        <w:tab/>
        <w:t xml:space="preserve">it would be concluded that </w:t>
      </w:r>
      <w:r>
        <w:t>the person, or any of the persons, who entered into, commenced to carry out or carried out the scheme or any part of the scheme did so for the sole or dominant purpose of avoiding the application of any provision of this Act in relation to any person or pe</w:t>
      </w:r>
      <w:r>
        <w:t>rsons (whether or not a person or persons who entered into, commenced to carry out or carried out the scheme or any part of the scheme); and</w:t>
      </w:r>
    </w:p>
    <w:p w:rsidR="00000000" w:rsidRDefault="00590668">
      <w:pPr>
        <w:pStyle w:val="indenta"/>
        <w:keepNext/>
      </w:pPr>
      <w:r>
        <w:tab/>
        <w:t>(c)</w:t>
      </w:r>
      <w:r>
        <w:tab/>
        <w:t>the scheme or the part of the scheme has achieved, or apart from this section, would achieve, that purpose;</w:t>
      </w:r>
    </w:p>
    <w:p w:rsidR="00000000" w:rsidRDefault="00590668">
      <w:pPr>
        <w:pStyle w:val="subsection2"/>
      </w:pPr>
      <w:r>
        <w:t>th</w:t>
      </w:r>
      <w:r>
        <w:t>e Treasurer may make any order under this Act that the Treasurer would have been able to make if the scheme or the part of the scheme had not achieved that purpose.</w:t>
      </w:r>
    </w:p>
    <w:p w:rsidR="00000000" w:rsidRDefault="00590668">
      <w:pPr>
        <w:pStyle w:val="Subsection"/>
      </w:pPr>
      <w:r>
        <w:tab/>
        <w:t>(3)</w:t>
      </w:r>
      <w:r>
        <w:tab/>
        <w:t>Subsection (2) does not authorise the making of an order prohibiting a person from doi</w:t>
      </w:r>
      <w:r>
        <w:t>ng any thing that has already been done by the person before the order is made.</w:t>
      </w:r>
    </w:p>
    <w:p w:rsidR="00000000" w:rsidRDefault="00590668">
      <w:pPr>
        <w:pStyle w:val="Heading5"/>
      </w:pPr>
      <w:r>
        <w:rPr>
          <w:rStyle w:val="CharSectno"/>
        </w:rPr>
        <w:t>39</w:t>
      </w:r>
      <w:r>
        <w:t xml:space="preserve">  Regulations</w:t>
      </w:r>
    </w:p>
    <w:p w:rsidR="00000000" w:rsidRDefault="00590668">
      <w:pPr>
        <w:pStyle w:val="Subsection"/>
      </w:pPr>
      <w:r>
        <w:tab/>
      </w:r>
      <w:r>
        <w:tab/>
        <w:t>The Governor</w:t>
      </w:r>
      <w:r>
        <w:noBreakHyphen/>
        <w:t>General may make regulations, not inconsistent with this Act, prescribing all matters requi</w:t>
      </w:r>
      <w:r>
        <w:t>red or permitted by this Act to be prescribed or necessary or convenient to be prescribed for carrying out or giving effect to this Act.</w:t>
      </w:r>
    </w:p>
    <w:p w:rsidR="00000000" w:rsidRDefault="00590668">
      <w:pPr>
        <w:sectPr w:rsidR="00000000">
          <w:headerReference w:type="even" r:id="rId130"/>
          <w:headerReference w:type="default" r:id="rId131"/>
          <w:footerReference w:type="even" r:id="rId132"/>
          <w:footerReference w:type="default" r:id="rId133"/>
          <w:headerReference w:type="first" r:id="rId134"/>
          <w:footerReference w:type="first" r:id="rId135"/>
          <w:type w:val="oddPage"/>
          <w:pgSz w:w="11906" w:h="16838" w:code="9"/>
          <w:pgMar w:top="2466" w:right="2098" w:bottom="2466" w:left="2098" w:header="1899" w:footer="1899" w:gutter="0"/>
          <w:cols w:space="709"/>
          <w:titlePg/>
        </w:sectPr>
      </w:pPr>
    </w:p>
    <w:p w:rsidR="00000000" w:rsidRDefault="00590668">
      <w:pPr>
        <w:pStyle w:val="NotesSection"/>
      </w:pPr>
      <w:r>
        <w:rPr>
          <w:rStyle w:val="CharNotesReg"/>
        </w:rPr>
        <w:lastRenderedPageBreak/>
        <w:t xml:space="preserve">Notes to the </w:t>
      </w:r>
      <w:r>
        <w:rPr>
          <w:rStyle w:val="CharNotesItals"/>
        </w:rPr>
        <w:fldChar w:fldCharType="begin"/>
      </w:r>
      <w:r>
        <w:rPr>
          <w:rStyle w:val="CharNotesItals"/>
        </w:rPr>
        <w:instrText xml:space="preserve"> STYLEREF ShortT \* MERGEFORMAT </w:instrText>
      </w:r>
      <w:r>
        <w:rPr>
          <w:rStyle w:val="CharNotesItals"/>
        </w:rPr>
        <w:fldChar w:fldCharType="separate"/>
      </w:r>
      <w:r>
        <w:rPr>
          <w:rStyle w:val="CharNotesItals"/>
          <w:noProof/>
        </w:rPr>
        <w:t>Foreign Acquisitions and Takeovers Act 1975</w:t>
      </w:r>
      <w:r>
        <w:rPr>
          <w:rStyle w:val="CharNotesItals"/>
        </w:rPr>
        <w:fldChar w:fldCharType="end"/>
      </w:r>
    </w:p>
    <w:p w:rsidR="00000000" w:rsidRDefault="00590668">
      <w:pPr>
        <w:pStyle w:val="ENoteNo"/>
      </w:pPr>
      <w:r>
        <w:t>Note1</w:t>
      </w:r>
    </w:p>
    <w:p w:rsidR="00000000" w:rsidRDefault="00590668">
      <w:pPr>
        <w:pStyle w:val="EndNote"/>
      </w:pPr>
      <w:r>
        <w:t xml:space="preserve">The </w:t>
      </w:r>
      <w:r>
        <w:rPr>
          <w:i/>
          <w:iCs/>
        </w:rPr>
        <w:t xml:space="preserve">Foreign Acquisitions and Takeovers Act 1975 </w:t>
      </w:r>
      <w:r>
        <w:t>as shown in this compilation comprises A</w:t>
      </w:r>
      <w:r>
        <w:t xml:space="preserve">ct No. 92, 1975 amended as indicated in the Tables below. </w:t>
      </w:r>
    </w:p>
    <w:p w:rsidR="00000000" w:rsidRDefault="00590668">
      <w:pPr>
        <w:pStyle w:val="EndNote"/>
        <w:tabs>
          <w:tab w:val="left" w:pos="284"/>
          <w:tab w:val="left" w:pos="720"/>
          <w:tab w:val="left" w:pos="1440"/>
          <w:tab w:val="left" w:pos="2160"/>
          <w:tab w:val="left" w:pos="2880"/>
          <w:tab w:val="left" w:pos="3600"/>
          <w:tab w:val="left" w:pos="4320"/>
          <w:tab w:val="left" w:pos="5040"/>
          <w:tab w:val="left" w:pos="5760"/>
          <w:tab w:val="left" w:pos="6480"/>
        </w:tabs>
      </w:pPr>
      <w:r>
        <w:t xml:space="preserve">All relevant information pertaining to application, saving or transitional provisions prior to 24 November 2000 is not included in this </w:t>
      </w:r>
      <w:r>
        <w:rPr>
          <w:snapToGrid w:val="0"/>
        </w:rPr>
        <w:t>compilation</w:t>
      </w:r>
      <w:r>
        <w:t xml:space="preserve">. For subsequent information </w:t>
      </w:r>
      <w:r>
        <w:rPr>
          <w:i/>
          <w:iCs/>
        </w:rPr>
        <w:t>see</w:t>
      </w:r>
      <w:r>
        <w:t xml:space="preserve"> Table A.</w:t>
      </w:r>
    </w:p>
    <w:p w:rsidR="00000000" w:rsidRDefault="00590668">
      <w:pPr>
        <w:pStyle w:val="TableOfActsHead"/>
      </w:pPr>
      <w:r>
        <w:t>Table of</w:t>
      </w:r>
      <w:r>
        <w:t xml:space="preserve"> Acts</w:t>
      </w:r>
    </w:p>
    <w:tbl>
      <w:tblPr>
        <w:tblW w:w="0" w:type="auto"/>
        <w:tblInd w:w="-1" w:type="dxa"/>
        <w:tblLayout w:type="fixed"/>
        <w:tblCellMar>
          <w:left w:w="107" w:type="dxa"/>
          <w:right w:w="107" w:type="dxa"/>
        </w:tblCellMar>
        <w:tblLook w:val="0000" w:firstRow="0" w:lastRow="0" w:firstColumn="0" w:lastColumn="0" w:noHBand="0" w:noVBand="0"/>
      </w:tblPr>
      <w:tblGrid>
        <w:gridCol w:w="2235"/>
        <w:gridCol w:w="1135"/>
        <w:gridCol w:w="1323"/>
        <w:gridCol w:w="1515"/>
        <w:gridCol w:w="1697"/>
      </w:tblGrid>
      <w:tr w:rsidR="00000000">
        <w:tblPrEx>
          <w:tblCellMar>
            <w:top w:w="0" w:type="dxa"/>
            <w:bottom w:w="0" w:type="dxa"/>
          </w:tblCellMar>
        </w:tblPrEx>
        <w:tc>
          <w:tcPr>
            <w:tcW w:w="2235" w:type="dxa"/>
            <w:tcBorders>
              <w:top w:val="single" w:sz="4" w:space="0" w:color="auto"/>
              <w:left w:val="nil"/>
              <w:bottom w:val="single" w:sz="6" w:space="0" w:color="auto"/>
              <w:right w:val="nil"/>
            </w:tcBorders>
          </w:tcPr>
          <w:p w:rsidR="00000000" w:rsidRDefault="00590668">
            <w:pPr>
              <w:pStyle w:val="TableOfActs2"/>
            </w:pPr>
            <w:r>
              <w:t>Act</w:t>
            </w:r>
          </w:p>
        </w:tc>
        <w:tc>
          <w:tcPr>
            <w:tcW w:w="1135" w:type="dxa"/>
            <w:tcBorders>
              <w:top w:val="single" w:sz="4" w:space="0" w:color="auto"/>
              <w:left w:val="nil"/>
              <w:bottom w:val="single" w:sz="6" w:space="0" w:color="auto"/>
              <w:right w:val="nil"/>
            </w:tcBorders>
          </w:tcPr>
          <w:p w:rsidR="00000000" w:rsidRDefault="00590668">
            <w:pPr>
              <w:pStyle w:val="TableOfActs2"/>
            </w:pPr>
            <w:r>
              <w:t xml:space="preserve">Number </w:t>
            </w:r>
            <w:r>
              <w:br/>
              <w:t>and year</w:t>
            </w:r>
          </w:p>
        </w:tc>
        <w:tc>
          <w:tcPr>
            <w:tcW w:w="1323" w:type="dxa"/>
            <w:tcBorders>
              <w:top w:val="single" w:sz="4" w:space="0" w:color="auto"/>
              <w:left w:val="nil"/>
              <w:bottom w:val="single" w:sz="6" w:space="0" w:color="auto"/>
              <w:right w:val="nil"/>
            </w:tcBorders>
          </w:tcPr>
          <w:p w:rsidR="00000000" w:rsidRDefault="00590668">
            <w:pPr>
              <w:pStyle w:val="TableOfActs2"/>
            </w:pPr>
            <w:r>
              <w:t xml:space="preserve">Date </w:t>
            </w:r>
            <w:r>
              <w:br/>
              <w:t>of Assent</w:t>
            </w:r>
          </w:p>
        </w:tc>
        <w:tc>
          <w:tcPr>
            <w:tcW w:w="1515" w:type="dxa"/>
            <w:tcBorders>
              <w:top w:val="single" w:sz="4" w:space="0" w:color="auto"/>
              <w:left w:val="nil"/>
              <w:bottom w:val="single" w:sz="6" w:space="0" w:color="auto"/>
              <w:right w:val="nil"/>
            </w:tcBorders>
          </w:tcPr>
          <w:p w:rsidR="00000000" w:rsidRDefault="00590668">
            <w:pPr>
              <w:pStyle w:val="TableOfActs2"/>
            </w:pPr>
            <w:r>
              <w:t>Date of commencement</w:t>
            </w:r>
          </w:p>
        </w:tc>
        <w:tc>
          <w:tcPr>
            <w:tcW w:w="1697" w:type="dxa"/>
            <w:tcBorders>
              <w:top w:val="single" w:sz="4" w:space="0" w:color="auto"/>
              <w:left w:val="nil"/>
              <w:bottom w:val="single" w:sz="6" w:space="0" w:color="auto"/>
              <w:right w:val="nil"/>
            </w:tcBorders>
          </w:tcPr>
          <w:p w:rsidR="00000000" w:rsidRDefault="00590668">
            <w:pPr>
              <w:pStyle w:val="TableOfActs2"/>
              <w:spacing w:after="60"/>
            </w:pPr>
            <w:r>
              <w:t>Application, saving or transitional provisions</w:t>
            </w:r>
          </w:p>
        </w:tc>
      </w:tr>
      <w:tr w:rsidR="00000000">
        <w:tblPrEx>
          <w:tblCellMar>
            <w:top w:w="0" w:type="dxa"/>
            <w:left w:w="108" w:type="dxa"/>
            <w:bottom w:w="0" w:type="dxa"/>
            <w:right w:w="108" w:type="dxa"/>
          </w:tblCellMar>
        </w:tblPrEx>
        <w:trPr>
          <w:cantSplit/>
        </w:trPr>
        <w:tc>
          <w:tcPr>
            <w:tcW w:w="2235" w:type="dxa"/>
            <w:tcBorders>
              <w:top w:val="nil"/>
              <w:left w:val="nil"/>
              <w:bottom w:val="nil"/>
              <w:right w:val="nil"/>
            </w:tcBorders>
          </w:tcPr>
          <w:p w:rsidR="00000000" w:rsidRDefault="00590668">
            <w:pPr>
              <w:pStyle w:val="TableOfActs1"/>
            </w:pPr>
            <w:r>
              <w:t>Foreign Takeovers Act 1975</w:t>
            </w:r>
          </w:p>
        </w:tc>
        <w:tc>
          <w:tcPr>
            <w:tcW w:w="1135" w:type="dxa"/>
            <w:tcBorders>
              <w:top w:val="nil"/>
              <w:left w:val="nil"/>
              <w:bottom w:val="nil"/>
              <w:right w:val="nil"/>
            </w:tcBorders>
          </w:tcPr>
          <w:p w:rsidR="00000000" w:rsidRDefault="00590668">
            <w:pPr>
              <w:pStyle w:val="TableOfActs2"/>
            </w:pPr>
            <w:r>
              <w:t>92, 1975</w:t>
            </w:r>
          </w:p>
        </w:tc>
        <w:tc>
          <w:tcPr>
            <w:tcW w:w="1323" w:type="dxa"/>
            <w:tcBorders>
              <w:top w:val="nil"/>
              <w:left w:val="nil"/>
              <w:bottom w:val="nil"/>
              <w:right w:val="nil"/>
            </w:tcBorders>
          </w:tcPr>
          <w:p w:rsidR="00000000" w:rsidRDefault="00590668">
            <w:pPr>
              <w:pStyle w:val="TableOfActs2"/>
            </w:pPr>
            <w:r>
              <w:t>28 Aug 1975</w:t>
            </w:r>
          </w:p>
        </w:tc>
        <w:tc>
          <w:tcPr>
            <w:tcW w:w="1515" w:type="dxa"/>
            <w:tcBorders>
              <w:top w:val="nil"/>
              <w:left w:val="nil"/>
              <w:bottom w:val="nil"/>
              <w:right w:val="nil"/>
            </w:tcBorders>
          </w:tcPr>
          <w:p w:rsidR="00000000" w:rsidRDefault="00590668">
            <w:pPr>
              <w:pStyle w:val="TableOfActs2"/>
            </w:pPr>
            <w:r>
              <w:t>1 Jan 1976 (</w:t>
            </w:r>
            <w:r>
              <w:rPr>
                <w:i/>
                <w:iCs/>
              </w:rPr>
              <w:t xml:space="preserve">see Gazette </w:t>
            </w:r>
            <w:r>
              <w:t>1975, No. S267)</w:t>
            </w:r>
          </w:p>
        </w:tc>
        <w:tc>
          <w:tcPr>
            <w:tcW w:w="1697" w:type="dxa"/>
            <w:tcBorders>
              <w:top w:val="nil"/>
              <w:left w:val="nil"/>
              <w:bottom w:val="nil"/>
              <w:right w:val="nil"/>
            </w:tcBorders>
          </w:tcPr>
          <w:p w:rsidR="00000000" w:rsidRDefault="00590668">
            <w:pPr>
              <w:pStyle w:val="TableOfActs2"/>
            </w:pPr>
          </w:p>
        </w:tc>
      </w:tr>
      <w:tr w:rsidR="00000000">
        <w:tblPrEx>
          <w:tblCellMar>
            <w:top w:w="0" w:type="dxa"/>
            <w:left w:w="108" w:type="dxa"/>
            <w:bottom w:w="0" w:type="dxa"/>
            <w:right w:w="108" w:type="dxa"/>
          </w:tblCellMar>
        </w:tblPrEx>
        <w:trPr>
          <w:cantSplit/>
        </w:trPr>
        <w:tc>
          <w:tcPr>
            <w:tcW w:w="2235" w:type="dxa"/>
            <w:tcBorders>
              <w:top w:val="nil"/>
              <w:left w:val="nil"/>
              <w:bottom w:val="nil"/>
              <w:right w:val="nil"/>
            </w:tcBorders>
          </w:tcPr>
          <w:p w:rsidR="00000000" w:rsidRDefault="00590668">
            <w:pPr>
              <w:pStyle w:val="TableOfActs1"/>
            </w:pPr>
            <w:r>
              <w:t>Foreign Takeovers Amendment Act 1976</w:t>
            </w:r>
          </w:p>
        </w:tc>
        <w:tc>
          <w:tcPr>
            <w:tcW w:w="1135" w:type="dxa"/>
            <w:tcBorders>
              <w:top w:val="nil"/>
              <w:left w:val="nil"/>
              <w:bottom w:val="nil"/>
              <w:right w:val="nil"/>
            </w:tcBorders>
          </w:tcPr>
          <w:p w:rsidR="00000000" w:rsidRDefault="00590668">
            <w:pPr>
              <w:pStyle w:val="TableOfActs2"/>
            </w:pPr>
            <w:r>
              <w:t>93, 1976</w:t>
            </w:r>
          </w:p>
        </w:tc>
        <w:tc>
          <w:tcPr>
            <w:tcW w:w="1323" w:type="dxa"/>
            <w:tcBorders>
              <w:top w:val="nil"/>
              <w:left w:val="nil"/>
              <w:bottom w:val="nil"/>
              <w:right w:val="nil"/>
            </w:tcBorders>
          </w:tcPr>
          <w:p w:rsidR="00000000" w:rsidRDefault="00590668">
            <w:pPr>
              <w:pStyle w:val="TableOfActs2"/>
            </w:pPr>
            <w:r>
              <w:t>20 Sept 1976</w:t>
            </w:r>
          </w:p>
        </w:tc>
        <w:tc>
          <w:tcPr>
            <w:tcW w:w="1515" w:type="dxa"/>
            <w:tcBorders>
              <w:top w:val="nil"/>
              <w:left w:val="nil"/>
              <w:bottom w:val="nil"/>
              <w:right w:val="nil"/>
            </w:tcBorders>
          </w:tcPr>
          <w:p w:rsidR="00000000" w:rsidRDefault="00590668">
            <w:pPr>
              <w:pStyle w:val="TableOfActs2"/>
            </w:pPr>
            <w:r>
              <w:t>Ss. 1, 2, 3(2), 5, 9, 11 and 12: Royal Assent</w:t>
            </w:r>
            <w:r>
              <w:br/>
              <w:t>Remainder: 1 Jan 1976</w:t>
            </w:r>
          </w:p>
        </w:tc>
        <w:tc>
          <w:tcPr>
            <w:tcW w:w="1697" w:type="dxa"/>
            <w:tcBorders>
              <w:top w:val="nil"/>
              <w:left w:val="nil"/>
              <w:bottom w:val="nil"/>
              <w:right w:val="nil"/>
            </w:tcBorders>
          </w:tcPr>
          <w:p w:rsidR="00000000" w:rsidRDefault="00590668">
            <w:pPr>
              <w:pStyle w:val="TableOfActs2"/>
            </w:pPr>
            <w:r>
              <w:t>Ss. 11 and 12</w:t>
            </w:r>
          </w:p>
        </w:tc>
      </w:tr>
      <w:tr w:rsidR="00000000">
        <w:tblPrEx>
          <w:tblCellMar>
            <w:top w:w="0" w:type="dxa"/>
            <w:left w:w="108" w:type="dxa"/>
            <w:bottom w:w="0" w:type="dxa"/>
            <w:right w:w="108" w:type="dxa"/>
          </w:tblCellMar>
        </w:tblPrEx>
        <w:trPr>
          <w:cantSplit/>
        </w:trPr>
        <w:tc>
          <w:tcPr>
            <w:tcW w:w="2235" w:type="dxa"/>
            <w:tcBorders>
              <w:top w:val="nil"/>
              <w:left w:val="nil"/>
              <w:bottom w:val="nil"/>
              <w:right w:val="nil"/>
            </w:tcBorders>
          </w:tcPr>
          <w:p w:rsidR="00000000" w:rsidRDefault="00590668">
            <w:pPr>
              <w:pStyle w:val="TableOfActs1"/>
            </w:pPr>
            <w:r>
              <w:t>Jurisdiction of Courts (Miscellaneous Amendments) Act 1979</w:t>
            </w:r>
          </w:p>
        </w:tc>
        <w:tc>
          <w:tcPr>
            <w:tcW w:w="1135" w:type="dxa"/>
            <w:tcBorders>
              <w:top w:val="nil"/>
              <w:left w:val="nil"/>
              <w:bottom w:val="nil"/>
              <w:right w:val="nil"/>
            </w:tcBorders>
          </w:tcPr>
          <w:p w:rsidR="00000000" w:rsidRDefault="00590668">
            <w:pPr>
              <w:pStyle w:val="TableOfActs2"/>
            </w:pPr>
            <w:r>
              <w:t>19, 1979</w:t>
            </w:r>
          </w:p>
        </w:tc>
        <w:tc>
          <w:tcPr>
            <w:tcW w:w="1323" w:type="dxa"/>
            <w:tcBorders>
              <w:top w:val="nil"/>
              <w:left w:val="nil"/>
              <w:bottom w:val="nil"/>
              <w:right w:val="nil"/>
            </w:tcBorders>
          </w:tcPr>
          <w:p w:rsidR="00000000" w:rsidRDefault="00590668">
            <w:pPr>
              <w:pStyle w:val="TableOfActs2"/>
            </w:pPr>
            <w:r>
              <w:t>28 Mar 1979</w:t>
            </w:r>
          </w:p>
        </w:tc>
        <w:tc>
          <w:tcPr>
            <w:tcW w:w="1515" w:type="dxa"/>
            <w:tcBorders>
              <w:top w:val="nil"/>
              <w:left w:val="nil"/>
              <w:bottom w:val="nil"/>
              <w:right w:val="nil"/>
            </w:tcBorders>
          </w:tcPr>
          <w:p w:rsidR="00000000" w:rsidRDefault="00590668">
            <w:pPr>
              <w:pStyle w:val="TableOfActs2"/>
            </w:pPr>
            <w:r>
              <w:t>Parts II</w:t>
            </w:r>
            <w:r>
              <w:noBreakHyphen/>
              <w:t>XVII (ss. 3</w:t>
            </w:r>
            <w:r>
              <w:noBreakHyphen/>
              <w:t>123): 15 May 1979 (</w:t>
            </w:r>
            <w:r>
              <w:rPr>
                <w:i/>
                <w:iCs/>
              </w:rPr>
              <w:t xml:space="preserve">see Gazette </w:t>
            </w:r>
            <w:r>
              <w:t>1979, No. S86)</w:t>
            </w:r>
            <w:r>
              <w:br/>
            </w:r>
            <w:r>
              <w:t>Remainder: Royal Assent</w:t>
            </w:r>
          </w:p>
        </w:tc>
        <w:tc>
          <w:tcPr>
            <w:tcW w:w="1697" w:type="dxa"/>
            <w:tcBorders>
              <w:top w:val="nil"/>
              <w:left w:val="nil"/>
              <w:bottom w:val="nil"/>
              <w:right w:val="nil"/>
            </w:tcBorders>
          </w:tcPr>
          <w:p w:rsidR="00000000" w:rsidRDefault="00590668">
            <w:pPr>
              <w:pStyle w:val="TableOfActs2"/>
            </w:pPr>
            <w:r>
              <w:t>S. 124</w:t>
            </w:r>
          </w:p>
        </w:tc>
      </w:tr>
      <w:tr w:rsidR="00000000">
        <w:tblPrEx>
          <w:tblCellMar>
            <w:top w:w="0" w:type="dxa"/>
            <w:left w:w="108" w:type="dxa"/>
            <w:bottom w:w="0" w:type="dxa"/>
            <w:right w:w="108" w:type="dxa"/>
          </w:tblCellMar>
        </w:tblPrEx>
        <w:trPr>
          <w:cantSplit/>
        </w:trPr>
        <w:tc>
          <w:tcPr>
            <w:tcW w:w="2235" w:type="dxa"/>
            <w:tcBorders>
              <w:top w:val="nil"/>
              <w:left w:val="nil"/>
              <w:bottom w:val="nil"/>
              <w:right w:val="nil"/>
            </w:tcBorders>
          </w:tcPr>
          <w:p w:rsidR="00000000" w:rsidRDefault="00590668">
            <w:pPr>
              <w:pStyle w:val="TableOfActs1"/>
            </w:pPr>
            <w:r>
              <w:t>Commonwealth Functions (Statutes Review) Act 1981</w:t>
            </w:r>
          </w:p>
        </w:tc>
        <w:tc>
          <w:tcPr>
            <w:tcW w:w="1135" w:type="dxa"/>
            <w:tcBorders>
              <w:top w:val="nil"/>
              <w:left w:val="nil"/>
              <w:bottom w:val="nil"/>
              <w:right w:val="nil"/>
            </w:tcBorders>
          </w:tcPr>
          <w:p w:rsidR="00000000" w:rsidRDefault="00590668">
            <w:pPr>
              <w:pStyle w:val="TableOfActs2"/>
            </w:pPr>
            <w:r>
              <w:t>74, 1981</w:t>
            </w:r>
          </w:p>
        </w:tc>
        <w:tc>
          <w:tcPr>
            <w:tcW w:w="1323" w:type="dxa"/>
            <w:tcBorders>
              <w:top w:val="nil"/>
              <w:left w:val="nil"/>
              <w:bottom w:val="nil"/>
              <w:right w:val="nil"/>
            </w:tcBorders>
          </w:tcPr>
          <w:p w:rsidR="00000000" w:rsidRDefault="00590668">
            <w:pPr>
              <w:pStyle w:val="TableOfActs2"/>
            </w:pPr>
            <w:r>
              <w:t>18 June 1981</w:t>
            </w:r>
          </w:p>
        </w:tc>
        <w:tc>
          <w:tcPr>
            <w:tcW w:w="1515" w:type="dxa"/>
            <w:tcBorders>
              <w:top w:val="nil"/>
              <w:left w:val="nil"/>
              <w:bottom w:val="nil"/>
              <w:right w:val="nil"/>
            </w:tcBorders>
          </w:tcPr>
          <w:p w:rsidR="00000000" w:rsidRDefault="00590668">
            <w:pPr>
              <w:pStyle w:val="TableOfActs2"/>
            </w:pPr>
            <w:r>
              <w:t>Part XII (ss. 185</w:t>
            </w:r>
            <w:r>
              <w:noBreakHyphen/>
              <w:t>187): Royal Assent</w:t>
            </w:r>
            <w:r>
              <w:rPr>
                <w:i/>
                <w:iCs/>
              </w:rPr>
              <w:t xml:space="preserve"> (a)</w:t>
            </w:r>
          </w:p>
        </w:tc>
        <w:tc>
          <w:tcPr>
            <w:tcW w:w="1697" w:type="dxa"/>
            <w:tcBorders>
              <w:top w:val="nil"/>
              <w:left w:val="nil"/>
              <w:bottom w:val="nil"/>
              <w:right w:val="nil"/>
            </w:tcBorders>
          </w:tcPr>
          <w:p w:rsidR="00000000" w:rsidRDefault="00590668">
            <w:pPr>
              <w:pStyle w:val="TableOfActs2"/>
            </w:pPr>
            <w:r>
              <w:t>—</w:t>
            </w:r>
          </w:p>
        </w:tc>
      </w:tr>
      <w:tr w:rsidR="00000000">
        <w:tblPrEx>
          <w:tblCellMar>
            <w:top w:w="0" w:type="dxa"/>
            <w:left w:w="108" w:type="dxa"/>
            <w:bottom w:w="0" w:type="dxa"/>
            <w:right w:w="108" w:type="dxa"/>
          </w:tblCellMar>
        </w:tblPrEx>
        <w:trPr>
          <w:cantSplit/>
        </w:trPr>
        <w:tc>
          <w:tcPr>
            <w:tcW w:w="2235" w:type="dxa"/>
            <w:tcBorders>
              <w:top w:val="nil"/>
              <w:left w:val="nil"/>
              <w:bottom w:val="nil"/>
              <w:right w:val="nil"/>
            </w:tcBorders>
          </w:tcPr>
          <w:p w:rsidR="00000000" w:rsidRDefault="00590668">
            <w:pPr>
              <w:pStyle w:val="TableOfActs1"/>
            </w:pPr>
            <w:r>
              <w:t>Foreign Takeovers Amendment Act 1989</w:t>
            </w:r>
          </w:p>
        </w:tc>
        <w:tc>
          <w:tcPr>
            <w:tcW w:w="1135" w:type="dxa"/>
            <w:tcBorders>
              <w:top w:val="nil"/>
              <w:left w:val="nil"/>
              <w:bottom w:val="nil"/>
              <w:right w:val="nil"/>
            </w:tcBorders>
          </w:tcPr>
          <w:p w:rsidR="00000000" w:rsidRDefault="00590668">
            <w:pPr>
              <w:pStyle w:val="TableOfActs2"/>
            </w:pPr>
            <w:r>
              <w:t>14, 1989</w:t>
            </w:r>
          </w:p>
        </w:tc>
        <w:tc>
          <w:tcPr>
            <w:tcW w:w="1323" w:type="dxa"/>
            <w:tcBorders>
              <w:top w:val="nil"/>
              <w:left w:val="nil"/>
              <w:bottom w:val="nil"/>
              <w:right w:val="nil"/>
            </w:tcBorders>
          </w:tcPr>
          <w:p w:rsidR="00000000" w:rsidRDefault="00590668">
            <w:pPr>
              <w:pStyle w:val="TableOfActs2"/>
            </w:pPr>
            <w:r>
              <w:t>13 Apr 1989</w:t>
            </w:r>
          </w:p>
        </w:tc>
        <w:tc>
          <w:tcPr>
            <w:tcW w:w="1515" w:type="dxa"/>
            <w:tcBorders>
              <w:top w:val="nil"/>
              <w:left w:val="nil"/>
              <w:bottom w:val="nil"/>
              <w:right w:val="nil"/>
            </w:tcBorders>
          </w:tcPr>
          <w:p w:rsidR="00000000" w:rsidRDefault="00590668">
            <w:pPr>
              <w:pStyle w:val="TableOfActs2"/>
            </w:pPr>
            <w:r>
              <w:t>1 Aug 1989 (</w:t>
            </w:r>
            <w:r>
              <w:rPr>
                <w:i/>
                <w:iCs/>
              </w:rPr>
              <w:t xml:space="preserve">see Gazette </w:t>
            </w:r>
            <w:r>
              <w:t>1989, No. S240)</w:t>
            </w:r>
          </w:p>
        </w:tc>
        <w:tc>
          <w:tcPr>
            <w:tcW w:w="1697" w:type="dxa"/>
            <w:tcBorders>
              <w:top w:val="nil"/>
              <w:left w:val="nil"/>
              <w:bottom w:val="nil"/>
              <w:right w:val="nil"/>
            </w:tcBorders>
          </w:tcPr>
          <w:p w:rsidR="00000000" w:rsidRDefault="00590668">
            <w:pPr>
              <w:pStyle w:val="TableOfActs2"/>
            </w:pPr>
            <w:r>
              <w:t>S. 32</w:t>
            </w:r>
          </w:p>
        </w:tc>
      </w:tr>
      <w:tr w:rsidR="00000000">
        <w:tblPrEx>
          <w:tblCellMar>
            <w:top w:w="0" w:type="dxa"/>
            <w:left w:w="108" w:type="dxa"/>
            <w:bottom w:w="0" w:type="dxa"/>
            <w:right w:w="108" w:type="dxa"/>
          </w:tblCellMar>
        </w:tblPrEx>
        <w:trPr>
          <w:cantSplit/>
        </w:trPr>
        <w:tc>
          <w:tcPr>
            <w:tcW w:w="2235" w:type="dxa"/>
            <w:tcBorders>
              <w:top w:val="nil"/>
              <w:left w:val="nil"/>
              <w:bottom w:val="nil"/>
              <w:right w:val="nil"/>
            </w:tcBorders>
          </w:tcPr>
          <w:p w:rsidR="00000000" w:rsidRDefault="00590668">
            <w:pPr>
              <w:pStyle w:val="TableOfActs1"/>
            </w:pPr>
            <w:r>
              <w:t>Mig</w:t>
            </w:r>
            <w:r>
              <w:t>ration Legislation Amendment Act 1994</w:t>
            </w:r>
          </w:p>
        </w:tc>
        <w:tc>
          <w:tcPr>
            <w:tcW w:w="1135" w:type="dxa"/>
            <w:tcBorders>
              <w:top w:val="nil"/>
              <w:left w:val="nil"/>
              <w:bottom w:val="nil"/>
              <w:right w:val="nil"/>
            </w:tcBorders>
          </w:tcPr>
          <w:p w:rsidR="00000000" w:rsidRDefault="00590668">
            <w:pPr>
              <w:pStyle w:val="TableOfActs2"/>
            </w:pPr>
            <w:r>
              <w:t>60, 1994</w:t>
            </w:r>
          </w:p>
        </w:tc>
        <w:tc>
          <w:tcPr>
            <w:tcW w:w="1323" w:type="dxa"/>
            <w:tcBorders>
              <w:top w:val="nil"/>
              <w:left w:val="nil"/>
              <w:bottom w:val="nil"/>
              <w:right w:val="nil"/>
            </w:tcBorders>
          </w:tcPr>
          <w:p w:rsidR="00000000" w:rsidRDefault="00590668">
            <w:pPr>
              <w:pStyle w:val="TableOfActs2"/>
            </w:pPr>
            <w:r>
              <w:t>9 Apr 1994</w:t>
            </w:r>
          </w:p>
        </w:tc>
        <w:tc>
          <w:tcPr>
            <w:tcW w:w="1515" w:type="dxa"/>
            <w:tcBorders>
              <w:top w:val="nil"/>
              <w:left w:val="nil"/>
              <w:bottom w:val="nil"/>
              <w:right w:val="nil"/>
            </w:tcBorders>
          </w:tcPr>
          <w:p w:rsidR="00000000" w:rsidRDefault="00590668">
            <w:pPr>
              <w:pStyle w:val="TableOfActs2"/>
            </w:pPr>
            <w:r>
              <w:t xml:space="preserve">S. 85: 1 Sept 1994 </w:t>
            </w:r>
            <w:r>
              <w:rPr>
                <w:i/>
                <w:iCs/>
              </w:rPr>
              <w:t>(b)</w:t>
            </w:r>
          </w:p>
        </w:tc>
        <w:tc>
          <w:tcPr>
            <w:tcW w:w="1697" w:type="dxa"/>
            <w:tcBorders>
              <w:top w:val="nil"/>
              <w:left w:val="nil"/>
              <w:bottom w:val="nil"/>
              <w:right w:val="nil"/>
            </w:tcBorders>
          </w:tcPr>
          <w:p w:rsidR="00000000" w:rsidRDefault="00590668">
            <w:pPr>
              <w:pStyle w:val="TableOfActs2"/>
            </w:pPr>
            <w:r>
              <w:t xml:space="preserve">— </w:t>
            </w:r>
          </w:p>
        </w:tc>
      </w:tr>
      <w:tr w:rsidR="00000000">
        <w:tblPrEx>
          <w:tblCellMar>
            <w:top w:w="0" w:type="dxa"/>
            <w:left w:w="108" w:type="dxa"/>
            <w:bottom w:w="0" w:type="dxa"/>
            <w:right w:w="108" w:type="dxa"/>
          </w:tblCellMar>
        </w:tblPrEx>
        <w:trPr>
          <w:cantSplit/>
        </w:trPr>
        <w:tc>
          <w:tcPr>
            <w:tcW w:w="2235" w:type="dxa"/>
            <w:tcBorders>
              <w:top w:val="nil"/>
              <w:left w:val="nil"/>
              <w:bottom w:val="nil"/>
              <w:right w:val="nil"/>
            </w:tcBorders>
          </w:tcPr>
          <w:p w:rsidR="00000000" w:rsidRDefault="00590668">
            <w:pPr>
              <w:pStyle w:val="TableOfActs1"/>
            </w:pPr>
            <w:r>
              <w:t>Crimes and Other Legislation Amendment Act 1997</w:t>
            </w:r>
          </w:p>
        </w:tc>
        <w:tc>
          <w:tcPr>
            <w:tcW w:w="1135" w:type="dxa"/>
            <w:tcBorders>
              <w:top w:val="nil"/>
              <w:left w:val="nil"/>
              <w:bottom w:val="nil"/>
              <w:right w:val="nil"/>
            </w:tcBorders>
          </w:tcPr>
          <w:p w:rsidR="00000000" w:rsidRDefault="00590668">
            <w:pPr>
              <w:pStyle w:val="TableOfActs2"/>
            </w:pPr>
            <w:r>
              <w:t>20, 1997</w:t>
            </w:r>
          </w:p>
        </w:tc>
        <w:tc>
          <w:tcPr>
            <w:tcW w:w="1323" w:type="dxa"/>
            <w:tcBorders>
              <w:top w:val="nil"/>
              <w:left w:val="nil"/>
              <w:bottom w:val="nil"/>
              <w:right w:val="nil"/>
            </w:tcBorders>
          </w:tcPr>
          <w:p w:rsidR="00000000" w:rsidRDefault="00590668">
            <w:pPr>
              <w:pStyle w:val="TableOfActs2"/>
            </w:pPr>
            <w:r>
              <w:t>7 Apr 1997</w:t>
            </w:r>
          </w:p>
        </w:tc>
        <w:tc>
          <w:tcPr>
            <w:tcW w:w="1515" w:type="dxa"/>
            <w:tcBorders>
              <w:top w:val="nil"/>
              <w:left w:val="nil"/>
              <w:bottom w:val="nil"/>
              <w:right w:val="nil"/>
            </w:tcBorders>
          </w:tcPr>
          <w:p w:rsidR="00000000" w:rsidRDefault="00590668">
            <w:pPr>
              <w:pStyle w:val="TableOfActs2"/>
            </w:pPr>
            <w:r>
              <w:t xml:space="preserve">Schedule 2 (item 5): Royal Assent </w:t>
            </w:r>
            <w:r>
              <w:rPr>
                <w:i/>
                <w:iCs/>
              </w:rPr>
              <w:t>(c)</w:t>
            </w:r>
          </w:p>
        </w:tc>
        <w:tc>
          <w:tcPr>
            <w:tcW w:w="1697" w:type="dxa"/>
            <w:tcBorders>
              <w:top w:val="nil"/>
              <w:left w:val="nil"/>
              <w:bottom w:val="nil"/>
              <w:right w:val="nil"/>
            </w:tcBorders>
          </w:tcPr>
          <w:p w:rsidR="00000000" w:rsidRDefault="00590668">
            <w:pPr>
              <w:pStyle w:val="TableOfActs2"/>
            </w:pPr>
            <w:r>
              <w:t>—</w:t>
            </w:r>
          </w:p>
        </w:tc>
      </w:tr>
      <w:tr w:rsidR="00000000">
        <w:tblPrEx>
          <w:tblCellMar>
            <w:top w:w="0" w:type="dxa"/>
            <w:left w:w="108" w:type="dxa"/>
            <w:bottom w:w="0" w:type="dxa"/>
            <w:right w:w="108" w:type="dxa"/>
          </w:tblCellMar>
        </w:tblPrEx>
        <w:trPr>
          <w:cantSplit/>
        </w:trPr>
        <w:tc>
          <w:tcPr>
            <w:tcW w:w="2235" w:type="dxa"/>
            <w:tcBorders>
              <w:top w:val="nil"/>
              <w:left w:val="nil"/>
              <w:bottom w:val="single" w:sz="2" w:space="0" w:color="auto"/>
              <w:right w:val="nil"/>
            </w:tcBorders>
          </w:tcPr>
          <w:p w:rsidR="00000000" w:rsidRDefault="00590668">
            <w:pPr>
              <w:pStyle w:val="TableOfActs1"/>
            </w:pPr>
            <w:r>
              <w:t>Company Law Review Act 1998</w:t>
            </w:r>
          </w:p>
        </w:tc>
        <w:tc>
          <w:tcPr>
            <w:tcW w:w="1135" w:type="dxa"/>
            <w:tcBorders>
              <w:top w:val="nil"/>
              <w:left w:val="nil"/>
              <w:bottom w:val="single" w:sz="2" w:space="0" w:color="auto"/>
              <w:right w:val="nil"/>
            </w:tcBorders>
          </w:tcPr>
          <w:p w:rsidR="00000000" w:rsidRDefault="00590668">
            <w:pPr>
              <w:pStyle w:val="TableOfActs2"/>
            </w:pPr>
            <w:r>
              <w:t>61, 1998</w:t>
            </w:r>
          </w:p>
        </w:tc>
        <w:tc>
          <w:tcPr>
            <w:tcW w:w="1323" w:type="dxa"/>
            <w:tcBorders>
              <w:top w:val="nil"/>
              <w:left w:val="nil"/>
              <w:bottom w:val="single" w:sz="2" w:space="0" w:color="auto"/>
              <w:right w:val="nil"/>
            </w:tcBorders>
          </w:tcPr>
          <w:p w:rsidR="00000000" w:rsidRDefault="00590668">
            <w:pPr>
              <w:pStyle w:val="TableOfActs2"/>
            </w:pPr>
            <w:r>
              <w:t>29 June 1998</w:t>
            </w:r>
          </w:p>
        </w:tc>
        <w:tc>
          <w:tcPr>
            <w:tcW w:w="1515" w:type="dxa"/>
            <w:tcBorders>
              <w:top w:val="nil"/>
              <w:left w:val="nil"/>
              <w:bottom w:val="single" w:sz="2" w:space="0" w:color="auto"/>
              <w:right w:val="nil"/>
            </w:tcBorders>
          </w:tcPr>
          <w:p w:rsidR="00000000" w:rsidRDefault="00590668">
            <w:pPr>
              <w:pStyle w:val="TableOfActs2"/>
            </w:pPr>
            <w:r>
              <w:t>Schedule </w:t>
            </w:r>
            <w:r>
              <w:t>4 (item 10): 1 July 1998 (</w:t>
            </w:r>
            <w:r>
              <w:rPr>
                <w:i/>
                <w:iCs/>
              </w:rPr>
              <w:t xml:space="preserve">see Gazette </w:t>
            </w:r>
            <w:r>
              <w:t xml:space="preserve">1998, No. S317) </w:t>
            </w:r>
            <w:r>
              <w:rPr>
                <w:i/>
                <w:iCs/>
              </w:rPr>
              <w:t>(d)</w:t>
            </w:r>
          </w:p>
        </w:tc>
        <w:tc>
          <w:tcPr>
            <w:tcW w:w="1697" w:type="dxa"/>
            <w:tcBorders>
              <w:top w:val="nil"/>
              <w:left w:val="nil"/>
              <w:bottom w:val="single" w:sz="2" w:space="0" w:color="auto"/>
              <w:right w:val="nil"/>
            </w:tcBorders>
          </w:tcPr>
          <w:p w:rsidR="00000000" w:rsidRDefault="00590668">
            <w:pPr>
              <w:pStyle w:val="TableOfActs2"/>
            </w:pPr>
            <w:r>
              <w:t>—</w:t>
            </w:r>
          </w:p>
        </w:tc>
      </w:tr>
    </w:tbl>
    <w:p w:rsidR="00000000" w:rsidRDefault="00590668">
      <w:r>
        <w:rPr>
          <w:i/>
          <w:iCs/>
        </w:rPr>
        <w:br w:type="page"/>
      </w:r>
    </w:p>
    <w:tbl>
      <w:tblPr>
        <w:tblW w:w="0" w:type="auto"/>
        <w:tblInd w:w="-1" w:type="dxa"/>
        <w:tblLayout w:type="fixed"/>
        <w:tblCellMar>
          <w:left w:w="107" w:type="dxa"/>
          <w:right w:w="107" w:type="dxa"/>
        </w:tblCellMar>
        <w:tblLook w:val="0000" w:firstRow="0" w:lastRow="0" w:firstColumn="0" w:lastColumn="0" w:noHBand="0" w:noVBand="0"/>
      </w:tblPr>
      <w:tblGrid>
        <w:gridCol w:w="2235"/>
        <w:gridCol w:w="1135"/>
        <w:gridCol w:w="1323"/>
        <w:gridCol w:w="1515"/>
        <w:gridCol w:w="1697"/>
      </w:tblGrid>
      <w:tr w:rsidR="00000000">
        <w:tblPrEx>
          <w:tblCellMar>
            <w:top w:w="0" w:type="dxa"/>
            <w:bottom w:w="0" w:type="dxa"/>
          </w:tblCellMar>
        </w:tblPrEx>
        <w:tc>
          <w:tcPr>
            <w:tcW w:w="2235" w:type="dxa"/>
            <w:tcBorders>
              <w:top w:val="single" w:sz="4" w:space="0" w:color="auto"/>
              <w:left w:val="nil"/>
              <w:bottom w:val="single" w:sz="6" w:space="0" w:color="auto"/>
              <w:right w:val="nil"/>
            </w:tcBorders>
          </w:tcPr>
          <w:p w:rsidR="00000000" w:rsidRDefault="00590668">
            <w:pPr>
              <w:pStyle w:val="TableOfActs2"/>
            </w:pPr>
            <w:r>
              <w:t>Act</w:t>
            </w:r>
          </w:p>
        </w:tc>
        <w:tc>
          <w:tcPr>
            <w:tcW w:w="1135" w:type="dxa"/>
            <w:tcBorders>
              <w:top w:val="single" w:sz="4" w:space="0" w:color="auto"/>
              <w:left w:val="nil"/>
              <w:bottom w:val="single" w:sz="6" w:space="0" w:color="auto"/>
              <w:right w:val="nil"/>
            </w:tcBorders>
          </w:tcPr>
          <w:p w:rsidR="00000000" w:rsidRDefault="00590668">
            <w:pPr>
              <w:pStyle w:val="TableOfActs2"/>
            </w:pPr>
            <w:r>
              <w:t xml:space="preserve">Number </w:t>
            </w:r>
            <w:r>
              <w:br/>
              <w:t>and year</w:t>
            </w:r>
          </w:p>
        </w:tc>
        <w:tc>
          <w:tcPr>
            <w:tcW w:w="1323" w:type="dxa"/>
            <w:tcBorders>
              <w:top w:val="single" w:sz="4" w:space="0" w:color="auto"/>
              <w:left w:val="nil"/>
              <w:bottom w:val="single" w:sz="6" w:space="0" w:color="auto"/>
              <w:right w:val="nil"/>
            </w:tcBorders>
          </w:tcPr>
          <w:p w:rsidR="00000000" w:rsidRDefault="00590668">
            <w:pPr>
              <w:pStyle w:val="TableOfActs2"/>
            </w:pPr>
            <w:r>
              <w:t xml:space="preserve">Date </w:t>
            </w:r>
            <w:r>
              <w:br/>
              <w:t>of Assent</w:t>
            </w:r>
          </w:p>
        </w:tc>
        <w:tc>
          <w:tcPr>
            <w:tcW w:w="1515" w:type="dxa"/>
            <w:tcBorders>
              <w:top w:val="single" w:sz="4" w:space="0" w:color="auto"/>
              <w:left w:val="nil"/>
              <w:bottom w:val="single" w:sz="6" w:space="0" w:color="auto"/>
              <w:right w:val="nil"/>
            </w:tcBorders>
          </w:tcPr>
          <w:p w:rsidR="00000000" w:rsidRDefault="00590668">
            <w:pPr>
              <w:pStyle w:val="TableOfActs2"/>
            </w:pPr>
            <w:r>
              <w:t>Date of commencement</w:t>
            </w:r>
          </w:p>
        </w:tc>
        <w:tc>
          <w:tcPr>
            <w:tcW w:w="1697" w:type="dxa"/>
            <w:tcBorders>
              <w:top w:val="single" w:sz="4" w:space="0" w:color="auto"/>
              <w:left w:val="nil"/>
              <w:bottom w:val="single" w:sz="6" w:space="0" w:color="auto"/>
              <w:right w:val="nil"/>
            </w:tcBorders>
          </w:tcPr>
          <w:p w:rsidR="00000000" w:rsidRDefault="00590668">
            <w:pPr>
              <w:pStyle w:val="TableOfActs2"/>
              <w:spacing w:after="60"/>
            </w:pPr>
            <w:r>
              <w:t>Application, saving or transitional provisions</w:t>
            </w:r>
          </w:p>
        </w:tc>
      </w:tr>
      <w:tr w:rsidR="00000000">
        <w:tblPrEx>
          <w:tblBorders>
            <w:bottom w:val="single" w:sz="6" w:space="0" w:color="auto"/>
          </w:tblBorders>
          <w:tblCellMar>
            <w:top w:w="0" w:type="dxa"/>
            <w:bottom w:w="0" w:type="dxa"/>
          </w:tblCellMar>
        </w:tblPrEx>
        <w:tc>
          <w:tcPr>
            <w:tcW w:w="2235" w:type="dxa"/>
            <w:tcBorders>
              <w:top w:val="nil"/>
              <w:left w:val="nil"/>
              <w:bottom w:val="nil"/>
              <w:right w:val="nil"/>
            </w:tcBorders>
          </w:tcPr>
          <w:p w:rsidR="00000000" w:rsidRDefault="00590668">
            <w:pPr>
              <w:pStyle w:val="TableOfActs1"/>
            </w:pPr>
            <w:r>
              <w:t>Criminal Code Amendment (Theft, Fraud, Bribery and Related Offences) Act 2000</w:t>
            </w:r>
          </w:p>
        </w:tc>
        <w:tc>
          <w:tcPr>
            <w:tcW w:w="1135" w:type="dxa"/>
            <w:tcBorders>
              <w:top w:val="nil"/>
              <w:left w:val="nil"/>
              <w:bottom w:val="nil"/>
              <w:right w:val="nil"/>
            </w:tcBorders>
          </w:tcPr>
          <w:p w:rsidR="00000000" w:rsidRDefault="00590668">
            <w:pPr>
              <w:pStyle w:val="TableOfActs2"/>
            </w:pPr>
            <w:r>
              <w:t>137, 2000</w:t>
            </w:r>
          </w:p>
        </w:tc>
        <w:tc>
          <w:tcPr>
            <w:tcW w:w="1323" w:type="dxa"/>
            <w:tcBorders>
              <w:top w:val="nil"/>
              <w:left w:val="nil"/>
              <w:bottom w:val="nil"/>
              <w:right w:val="nil"/>
            </w:tcBorders>
          </w:tcPr>
          <w:p w:rsidR="00000000" w:rsidRDefault="00590668">
            <w:pPr>
              <w:pStyle w:val="TableOfActs2"/>
            </w:pPr>
            <w:r>
              <w:t>24 Nov 2000</w:t>
            </w:r>
          </w:p>
        </w:tc>
        <w:tc>
          <w:tcPr>
            <w:tcW w:w="1515" w:type="dxa"/>
            <w:tcBorders>
              <w:top w:val="nil"/>
              <w:left w:val="nil"/>
              <w:bottom w:val="nil"/>
              <w:right w:val="nil"/>
            </w:tcBorders>
          </w:tcPr>
          <w:p w:rsidR="00000000" w:rsidRDefault="00590668">
            <w:pPr>
              <w:pStyle w:val="TableOfActs2"/>
            </w:pPr>
            <w:r>
              <w:t>Ss. 1</w:t>
            </w:r>
            <w:r>
              <w:noBreakHyphen/>
              <w:t>3 and Schedule 1 (items 1, 4, 6, 7, 9</w:t>
            </w:r>
            <w:r>
              <w:noBreakHyphen/>
              <w:t>11, 32): Royal Assent</w:t>
            </w:r>
            <w:r>
              <w:br/>
              <w:t>Remainder: 24 May 2001</w:t>
            </w:r>
          </w:p>
        </w:tc>
        <w:tc>
          <w:tcPr>
            <w:tcW w:w="1697" w:type="dxa"/>
            <w:tcBorders>
              <w:top w:val="nil"/>
              <w:left w:val="nil"/>
              <w:bottom w:val="nil"/>
              <w:right w:val="nil"/>
            </w:tcBorders>
          </w:tcPr>
          <w:p w:rsidR="00000000" w:rsidRDefault="00590668">
            <w:pPr>
              <w:pStyle w:val="TableOfActs2"/>
            </w:pPr>
            <w:r>
              <w:t>Sch. 2 (items 418, 419) [</w:t>
            </w:r>
            <w:r>
              <w:rPr>
                <w:i/>
                <w:iCs/>
              </w:rPr>
              <w:t xml:space="preserve">see </w:t>
            </w:r>
            <w:r>
              <w:t>Table A]</w:t>
            </w:r>
          </w:p>
        </w:tc>
      </w:tr>
      <w:tr w:rsidR="00000000">
        <w:tblPrEx>
          <w:tblBorders>
            <w:bottom w:val="single" w:sz="6" w:space="0" w:color="auto"/>
          </w:tblBorders>
          <w:tblCellMar>
            <w:top w:w="0" w:type="dxa"/>
            <w:bottom w:w="0" w:type="dxa"/>
          </w:tblCellMar>
        </w:tblPrEx>
        <w:tc>
          <w:tcPr>
            <w:tcW w:w="2235" w:type="dxa"/>
            <w:tcBorders>
              <w:top w:val="nil"/>
              <w:left w:val="nil"/>
              <w:bottom w:val="single" w:sz="6" w:space="0" w:color="auto"/>
              <w:right w:val="nil"/>
            </w:tcBorders>
          </w:tcPr>
          <w:p w:rsidR="00000000" w:rsidRDefault="00590668">
            <w:pPr>
              <w:pStyle w:val="TableOfActs1"/>
            </w:pPr>
            <w:r>
              <w:t>Treasury Legislation Amendment (Application of Criminal Code) Act (No. 1) 2001</w:t>
            </w:r>
          </w:p>
        </w:tc>
        <w:tc>
          <w:tcPr>
            <w:tcW w:w="1135" w:type="dxa"/>
            <w:tcBorders>
              <w:top w:val="nil"/>
              <w:left w:val="nil"/>
              <w:bottom w:val="single" w:sz="6" w:space="0" w:color="auto"/>
              <w:right w:val="nil"/>
            </w:tcBorders>
          </w:tcPr>
          <w:p w:rsidR="00000000" w:rsidRDefault="00590668">
            <w:pPr>
              <w:pStyle w:val="TableOfActs2"/>
            </w:pPr>
            <w:r>
              <w:t>31, 2001</w:t>
            </w:r>
          </w:p>
        </w:tc>
        <w:tc>
          <w:tcPr>
            <w:tcW w:w="1323" w:type="dxa"/>
            <w:tcBorders>
              <w:top w:val="nil"/>
              <w:left w:val="nil"/>
              <w:bottom w:val="single" w:sz="6" w:space="0" w:color="auto"/>
              <w:right w:val="nil"/>
            </w:tcBorders>
          </w:tcPr>
          <w:p w:rsidR="00000000" w:rsidRDefault="00590668">
            <w:pPr>
              <w:pStyle w:val="TableOfActs2"/>
            </w:pPr>
            <w:r>
              <w:t>28 Apr 2001</w:t>
            </w:r>
          </w:p>
        </w:tc>
        <w:tc>
          <w:tcPr>
            <w:tcW w:w="1515" w:type="dxa"/>
            <w:tcBorders>
              <w:top w:val="nil"/>
              <w:left w:val="nil"/>
              <w:bottom w:val="single" w:sz="6" w:space="0" w:color="auto"/>
              <w:right w:val="nil"/>
            </w:tcBorders>
          </w:tcPr>
          <w:p w:rsidR="00000000" w:rsidRDefault="00590668">
            <w:pPr>
              <w:pStyle w:val="TableOfActs2"/>
            </w:pPr>
            <w:r>
              <w:t>Ss. 1</w:t>
            </w:r>
            <w:r>
              <w:noBreakHyphen/>
            </w:r>
            <w:r>
              <w:t>3, Schedule 1 (items 1</w:t>
            </w:r>
            <w:r>
              <w:noBreakHyphen/>
              <w:t>4) and Schedule 2: Royal Assent</w:t>
            </w:r>
            <w:r>
              <w:br/>
              <w:t>Schedule 1 (items 171, 172): 18 Jan 2001 (</w:t>
            </w:r>
            <w:r>
              <w:rPr>
                <w:i/>
                <w:iCs/>
              </w:rPr>
              <w:t>see</w:t>
            </w:r>
            <w:r>
              <w:t xml:space="preserve"> s. 2(2))</w:t>
            </w:r>
            <w:r>
              <w:br/>
              <w:t>Remainder: 15 Dec 2001 (</w:t>
            </w:r>
            <w:r>
              <w:rPr>
                <w:i/>
                <w:iCs/>
              </w:rPr>
              <w:t>see</w:t>
            </w:r>
            <w:r>
              <w:t xml:space="preserve"> s. 2(4))</w:t>
            </w:r>
          </w:p>
        </w:tc>
        <w:tc>
          <w:tcPr>
            <w:tcW w:w="1697" w:type="dxa"/>
            <w:tcBorders>
              <w:top w:val="nil"/>
              <w:left w:val="nil"/>
              <w:bottom w:val="single" w:sz="6" w:space="0" w:color="auto"/>
              <w:right w:val="nil"/>
            </w:tcBorders>
          </w:tcPr>
          <w:p w:rsidR="00000000" w:rsidRDefault="00590668">
            <w:pPr>
              <w:pStyle w:val="TableOfActs2"/>
            </w:pPr>
            <w:r>
              <w:t>—</w:t>
            </w:r>
          </w:p>
        </w:tc>
      </w:tr>
    </w:tbl>
    <w:p w:rsidR="00000000" w:rsidRDefault="00590668"/>
    <w:p w:rsidR="00000000" w:rsidRDefault="00590668">
      <w:pPr>
        <w:sectPr w:rsidR="00000000">
          <w:headerReference w:type="even" r:id="rId136"/>
          <w:headerReference w:type="default" r:id="rId137"/>
          <w:footerReference w:type="even" r:id="rId138"/>
          <w:headerReference w:type="first" r:id="rId139"/>
          <w:footerReference w:type="first" r:id="rId140"/>
          <w:type w:val="oddPage"/>
          <w:pgSz w:w="11906" w:h="16838" w:code="9"/>
          <w:pgMar w:top="2466" w:right="2098" w:bottom="2466" w:left="2098" w:header="1899" w:footer="1899" w:gutter="0"/>
          <w:cols w:space="709"/>
          <w:titlePg/>
        </w:sectPr>
      </w:pPr>
    </w:p>
    <w:p w:rsidR="00000000" w:rsidRDefault="00590668">
      <w:pPr>
        <w:pStyle w:val="ActNotesa"/>
      </w:pPr>
      <w:r>
        <w:rPr>
          <w:i/>
          <w:iCs/>
        </w:rPr>
        <w:lastRenderedPageBreak/>
        <w:t>(a)</w:t>
      </w:r>
      <w:r>
        <w:tab/>
        <w:t xml:space="preserve">The </w:t>
      </w:r>
      <w:r>
        <w:rPr>
          <w:i/>
          <w:iCs/>
        </w:rPr>
        <w:t xml:space="preserve">Foreign Acquisitions and Takeovers Act 1975  </w:t>
      </w:r>
      <w:r>
        <w:t>was amended by Part XII (sections 185</w:t>
      </w:r>
      <w:r>
        <w:noBreakHyphen/>
        <w:t xml:space="preserve">187) only of the </w:t>
      </w:r>
      <w:r>
        <w:rPr>
          <w:i/>
          <w:iCs/>
        </w:rPr>
        <w:t>Commonwealth Functions (Statutes Review) Act 1981</w:t>
      </w:r>
      <w:r>
        <w:t>, subsection 2(1) of which provides as follows:</w:t>
      </w:r>
    </w:p>
    <w:p w:rsidR="00000000" w:rsidRDefault="00590668">
      <w:pPr>
        <w:pStyle w:val="ActNotes1"/>
      </w:pPr>
      <w:r>
        <w:tab/>
        <w:t>(1)</w:t>
      </w:r>
      <w:r>
        <w:tab/>
        <w:t>Parts I, IV, IX, X, XI, XII, XIII, XVII (other than se</w:t>
      </w:r>
      <w:r>
        <w:t>ctions 220, 221, 222, 223, 225, 226, 227, 228, and 230), XX, XXI, XXII and XXIII shall come into operation on the day on which this Act receives the Royal Assent.</w:t>
      </w:r>
    </w:p>
    <w:p w:rsidR="00000000" w:rsidRDefault="00590668">
      <w:pPr>
        <w:pStyle w:val="ActNotesa"/>
      </w:pPr>
      <w:r>
        <w:rPr>
          <w:i/>
          <w:iCs/>
        </w:rPr>
        <w:t>(b)</w:t>
      </w:r>
      <w:r>
        <w:tab/>
        <w:t xml:space="preserve">The </w:t>
      </w:r>
      <w:r>
        <w:rPr>
          <w:i/>
          <w:iCs/>
        </w:rPr>
        <w:t xml:space="preserve">Foreign Acquisitions and Takeovers Act 1975 </w:t>
      </w:r>
      <w:r>
        <w:t xml:space="preserve">was amended by section 85 only of the </w:t>
      </w:r>
      <w:r>
        <w:rPr>
          <w:i/>
          <w:iCs/>
        </w:rPr>
        <w:t>Mig</w:t>
      </w:r>
      <w:r>
        <w:rPr>
          <w:i/>
          <w:iCs/>
        </w:rPr>
        <w:t>ration Legislation Amendment Act 1994</w:t>
      </w:r>
      <w:r>
        <w:t>, subsection 2(3) of which provides as follows:</w:t>
      </w:r>
    </w:p>
    <w:p w:rsidR="00000000" w:rsidRDefault="00590668">
      <w:pPr>
        <w:pStyle w:val="ActNotes1"/>
      </w:pPr>
      <w:r>
        <w:tab/>
        <w:t>(3)</w:t>
      </w:r>
      <w:r>
        <w:tab/>
        <w:t xml:space="preserve">The remaining provisions of this Act commence immediately after the commencement of section 3 of the </w:t>
      </w:r>
      <w:r>
        <w:rPr>
          <w:i/>
          <w:iCs/>
        </w:rPr>
        <w:t>Migration Reform Act 1992</w:t>
      </w:r>
      <w:r>
        <w:t>.</w:t>
      </w:r>
    </w:p>
    <w:p w:rsidR="00000000" w:rsidRDefault="00590668">
      <w:pPr>
        <w:pStyle w:val="ActNotesa"/>
      </w:pPr>
      <w:r>
        <w:rPr>
          <w:i/>
          <w:iCs/>
        </w:rPr>
        <w:tab/>
      </w:r>
      <w:r>
        <w:t>Section 3 commenced on 1 September 19</w:t>
      </w:r>
      <w:r>
        <w:t>94.</w:t>
      </w:r>
    </w:p>
    <w:p w:rsidR="00000000" w:rsidRDefault="00590668">
      <w:pPr>
        <w:pStyle w:val="ActNotesa"/>
      </w:pPr>
      <w:r>
        <w:rPr>
          <w:i/>
          <w:iCs/>
        </w:rPr>
        <w:t>(c)</w:t>
      </w:r>
      <w:r>
        <w:tab/>
        <w:t xml:space="preserve">The </w:t>
      </w:r>
      <w:r>
        <w:rPr>
          <w:i/>
          <w:iCs/>
        </w:rPr>
        <w:t>Foreign Acquisitions and Takeovers Act 1975</w:t>
      </w:r>
      <w:r>
        <w:t xml:space="preserve"> was amended by Schedule 2 (item 5) only of the </w:t>
      </w:r>
      <w:r>
        <w:rPr>
          <w:i/>
          <w:iCs/>
        </w:rPr>
        <w:t>Crimes and Other Legislation Amendment Act 1997</w:t>
      </w:r>
      <w:r>
        <w:t>, subsection 2(1) of which provides as follows:</w:t>
      </w:r>
    </w:p>
    <w:p w:rsidR="00000000" w:rsidRDefault="00590668">
      <w:pPr>
        <w:pStyle w:val="ActNotes1"/>
      </w:pPr>
      <w:r>
        <w:tab/>
        <w:t>(1)</w:t>
      </w:r>
      <w:r>
        <w:tab/>
        <w:t xml:space="preserve">Subject to subsection (2), this Act commences on the </w:t>
      </w:r>
      <w:r>
        <w:t>day on which it receives the Royal Assent.</w:t>
      </w:r>
    </w:p>
    <w:p w:rsidR="00000000" w:rsidRDefault="00590668">
      <w:pPr>
        <w:pStyle w:val="ActNotesa"/>
      </w:pPr>
      <w:r>
        <w:rPr>
          <w:i/>
          <w:iCs/>
        </w:rPr>
        <w:t>(d)</w:t>
      </w:r>
      <w:r>
        <w:rPr>
          <w:i/>
          <w:iCs/>
        </w:rPr>
        <w:tab/>
      </w:r>
      <w:r>
        <w:t xml:space="preserve">The </w:t>
      </w:r>
      <w:r>
        <w:rPr>
          <w:i/>
          <w:iCs/>
        </w:rPr>
        <w:t>Foreign Acquisitions and Takeovers Act 1975</w:t>
      </w:r>
      <w:r>
        <w:t xml:space="preserve"> was amended by Schedule 4 (item 10) only of the </w:t>
      </w:r>
      <w:r>
        <w:rPr>
          <w:i/>
          <w:iCs/>
        </w:rPr>
        <w:t>Company Law Review Act 1998</w:t>
      </w:r>
      <w:r>
        <w:t>, subsection 2(2) of which provides as follows:</w:t>
      </w:r>
    </w:p>
    <w:p w:rsidR="00000000" w:rsidRDefault="00590668">
      <w:pPr>
        <w:pStyle w:val="ActNotes1"/>
      </w:pPr>
      <w:r>
        <w:tab/>
        <w:t>(2)</w:t>
      </w:r>
      <w:r>
        <w:tab/>
        <w:t>Subject to subsection </w:t>
      </w:r>
      <w:r>
        <w:t>(3), section 3 and Schedules 1, 2, 3 and 4 commence on a day to be fixed by Proclamation.</w:t>
      </w:r>
    </w:p>
    <w:p w:rsidR="00000000" w:rsidRDefault="00590668">
      <w:pPr>
        <w:pStyle w:val="TableOfAmendHead"/>
        <w:sectPr w:rsidR="00000000">
          <w:headerReference w:type="even" r:id="rId141"/>
          <w:headerReference w:type="default" r:id="rId142"/>
          <w:headerReference w:type="first" r:id="rId143"/>
          <w:footerReference w:type="first" r:id="rId144"/>
          <w:type w:val="oddPage"/>
          <w:pgSz w:w="11901" w:h="16840" w:code="9"/>
          <w:pgMar w:top="2466" w:right="2098" w:bottom="2466" w:left="2098" w:header="1899" w:footer="1899" w:gutter="0"/>
          <w:cols w:space="709"/>
          <w:titlePg/>
        </w:sectPr>
      </w:pPr>
    </w:p>
    <w:p w:rsidR="00000000" w:rsidRDefault="00590668">
      <w:pPr>
        <w:pStyle w:val="TableOfAmendHead"/>
      </w:pPr>
      <w:r>
        <w:lastRenderedPageBreak/>
        <w:t>Table of Amendments</w:t>
      </w:r>
    </w:p>
    <w:tbl>
      <w:tblPr>
        <w:tblW w:w="0" w:type="auto"/>
        <w:tblLayout w:type="fixed"/>
        <w:tblLook w:val="0000" w:firstRow="0" w:lastRow="0" w:firstColumn="0" w:lastColumn="0" w:noHBand="0" w:noVBand="0"/>
      </w:tblPr>
      <w:tblGrid>
        <w:gridCol w:w="2376"/>
        <w:gridCol w:w="5529"/>
      </w:tblGrid>
      <w:tr w:rsidR="00000000">
        <w:tblPrEx>
          <w:tblCellMar>
            <w:top w:w="0" w:type="dxa"/>
            <w:bottom w:w="0" w:type="dxa"/>
          </w:tblCellMar>
        </w:tblPrEx>
        <w:trPr>
          <w:cantSplit/>
        </w:trPr>
        <w:tc>
          <w:tcPr>
            <w:tcW w:w="7905" w:type="dxa"/>
            <w:gridSpan w:val="2"/>
            <w:tcBorders>
              <w:top w:val="nil"/>
              <w:left w:val="nil"/>
              <w:bottom w:val="nil"/>
              <w:right w:val="nil"/>
            </w:tcBorders>
          </w:tcPr>
          <w:p w:rsidR="00000000" w:rsidRDefault="00590668">
            <w:pPr>
              <w:pStyle w:val="TableOfAmend"/>
              <w:spacing w:after="60"/>
            </w:pPr>
            <w:r>
              <w:t xml:space="preserve">ad. = added or inserted      am. = amended    </w:t>
            </w:r>
            <w:r>
              <w:t xml:space="preserve">  rep. = repealed      rs. = repealed and substituted</w:t>
            </w:r>
          </w:p>
        </w:tc>
      </w:tr>
      <w:tr w:rsidR="00000000">
        <w:tblPrEx>
          <w:tblCellMar>
            <w:top w:w="0" w:type="dxa"/>
            <w:bottom w:w="0" w:type="dxa"/>
          </w:tblCellMar>
        </w:tblPrEx>
        <w:trPr>
          <w:cantSplit/>
        </w:trPr>
        <w:tc>
          <w:tcPr>
            <w:tcW w:w="2376" w:type="dxa"/>
            <w:tcBorders>
              <w:top w:val="single" w:sz="6" w:space="0" w:color="auto"/>
              <w:left w:val="nil"/>
              <w:bottom w:val="single" w:sz="6" w:space="0" w:color="auto"/>
              <w:right w:val="nil"/>
            </w:tcBorders>
          </w:tcPr>
          <w:p w:rsidR="00000000" w:rsidRDefault="00590668">
            <w:pPr>
              <w:pStyle w:val="TableOfAmend"/>
              <w:spacing w:line="200" w:lineRule="exact"/>
              <w:rPr>
                <w:sz w:val="18"/>
                <w:szCs w:val="18"/>
              </w:rPr>
            </w:pPr>
            <w:r>
              <w:rPr>
                <w:sz w:val="18"/>
                <w:szCs w:val="18"/>
              </w:rPr>
              <w:t>Provision affected</w:t>
            </w:r>
          </w:p>
        </w:tc>
        <w:tc>
          <w:tcPr>
            <w:tcW w:w="5529" w:type="dxa"/>
            <w:tcBorders>
              <w:top w:val="single" w:sz="6" w:space="0" w:color="auto"/>
              <w:left w:val="nil"/>
              <w:bottom w:val="single" w:sz="6" w:space="0" w:color="auto"/>
              <w:right w:val="nil"/>
            </w:tcBorders>
          </w:tcPr>
          <w:p w:rsidR="00000000" w:rsidRDefault="00590668">
            <w:pPr>
              <w:pStyle w:val="TableOfAmend"/>
              <w:spacing w:line="200" w:lineRule="exact"/>
              <w:rPr>
                <w:sz w:val="18"/>
                <w:szCs w:val="18"/>
              </w:rPr>
            </w:pPr>
            <w:r>
              <w:rPr>
                <w:sz w:val="18"/>
                <w:szCs w:val="18"/>
              </w:rPr>
              <w:t>How affected</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Title</w:t>
            </w:r>
            <w:r>
              <w:tab/>
            </w:r>
          </w:p>
        </w:tc>
        <w:tc>
          <w:tcPr>
            <w:tcW w:w="5529" w:type="dxa"/>
            <w:tcBorders>
              <w:top w:val="nil"/>
              <w:left w:val="nil"/>
              <w:bottom w:val="nil"/>
              <w:right w:val="nil"/>
            </w:tcBorders>
          </w:tcPr>
          <w:p w:rsidR="00000000" w:rsidRDefault="00590668">
            <w:pPr>
              <w:pStyle w:val="TableOfAmend"/>
            </w:pPr>
            <w:r>
              <w:t>rs. No. 14, 1989</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 1</w:t>
            </w:r>
            <w:r>
              <w:tab/>
            </w:r>
          </w:p>
        </w:tc>
        <w:tc>
          <w:tcPr>
            <w:tcW w:w="5529" w:type="dxa"/>
            <w:tcBorders>
              <w:top w:val="nil"/>
              <w:left w:val="nil"/>
              <w:bottom w:val="nil"/>
              <w:right w:val="nil"/>
            </w:tcBorders>
          </w:tcPr>
          <w:p w:rsidR="00000000" w:rsidRDefault="00590668">
            <w:pPr>
              <w:pStyle w:val="TableOfAmend"/>
            </w:pPr>
            <w:r>
              <w:t>am. No. 14, 1989</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 3</w:t>
            </w:r>
            <w:r>
              <w:tab/>
            </w:r>
          </w:p>
        </w:tc>
        <w:tc>
          <w:tcPr>
            <w:tcW w:w="5529" w:type="dxa"/>
            <w:tcBorders>
              <w:top w:val="nil"/>
              <w:left w:val="nil"/>
              <w:bottom w:val="nil"/>
              <w:right w:val="nil"/>
            </w:tcBorders>
          </w:tcPr>
          <w:p w:rsidR="00000000" w:rsidRDefault="00590668">
            <w:pPr>
              <w:pStyle w:val="TableOfAmend"/>
            </w:pPr>
            <w:r>
              <w:t>am. No. 93, 1976; No. 19, 1979</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 4</w:t>
            </w:r>
            <w:r>
              <w:tab/>
            </w:r>
          </w:p>
        </w:tc>
        <w:tc>
          <w:tcPr>
            <w:tcW w:w="5529" w:type="dxa"/>
            <w:tcBorders>
              <w:top w:val="nil"/>
              <w:left w:val="nil"/>
              <w:bottom w:val="nil"/>
              <w:right w:val="nil"/>
            </w:tcBorders>
          </w:tcPr>
          <w:p w:rsidR="00000000" w:rsidRDefault="00590668">
            <w:pPr>
              <w:pStyle w:val="TableOfAmend"/>
            </w:pPr>
            <w:r>
              <w:t>am. No. 14, 1989</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 5</w:t>
            </w:r>
            <w:r>
              <w:tab/>
            </w:r>
          </w:p>
        </w:tc>
        <w:tc>
          <w:tcPr>
            <w:tcW w:w="5529" w:type="dxa"/>
            <w:tcBorders>
              <w:top w:val="nil"/>
              <w:left w:val="nil"/>
              <w:bottom w:val="nil"/>
              <w:right w:val="nil"/>
            </w:tcBorders>
          </w:tcPr>
          <w:p w:rsidR="00000000" w:rsidRDefault="00590668">
            <w:pPr>
              <w:pStyle w:val="TableOfAmend"/>
            </w:pPr>
            <w:r>
              <w:t>am. No. 93, 1976; No. 74, 1981; No. 14, 1989; No. </w:t>
            </w:r>
            <w:r>
              <w:t>61, 1998</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keepNext/>
            </w:pPr>
            <w:r>
              <w:t>S. 5A</w:t>
            </w:r>
            <w:r>
              <w:tab/>
            </w:r>
          </w:p>
        </w:tc>
        <w:tc>
          <w:tcPr>
            <w:tcW w:w="5529" w:type="dxa"/>
            <w:tcBorders>
              <w:top w:val="nil"/>
              <w:left w:val="nil"/>
              <w:bottom w:val="nil"/>
              <w:right w:val="nil"/>
            </w:tcBorders>
          </w:tcPr>
          <w:p w:rsidR="00000000" w:rsidRDefault="00590668">
            <w:pPr>
              <w:pStyle w:val="TableOfAmend"/>
              <w:keepNext/>
            </w:pPr>
            <w:r>
              <w:t>ad. No. 14, 1989</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Opt"/>
            </w:pPr>
          </w:p>
        </w:tc>
        <w:tc>
          <w:tcPr>
            <w:tcW w:w="5529" w:type="dxa"/>
            <w:tcBorders>
              <w:top w:val="nil"/>
              <w:left w:val="nil"/>
              <w:bottom w:val="nil"/>
              <w:right w:val="nil"/>
            </w:tcBorders>
          </w:tcPr>
          <w:p w:rsidR="00000000" w:rsidRDefault="00590668">
            <w:pPr>
              <w:pStyle w:val="TableOfAmendOpt"/>
            </w:pPr>
            <w:r>
              <w:t>am. No. 60, 1994</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Ss. 6, 7</w:t>
            </w:r>
            <w:r>
              <w:tab/>
            </w:r>
          </w:p>
        </w:tc>
        <w:tc>
          <w:tcPr>
            <w:tcW w:w="5529" w:type="dxa"/>
            <w:tcBorders>
              <w:top w:val="nil"/>
              <w:left w:val="nil"/>
              <w:bottom w:val="nil"/>
              <w:right w:val="nil"/>
            </w:tcBorders>
          </w:tcPr>
          <w:p w:rsidR="00000000" w:rsidRDefault="00590668">
            <w:pPr>
              <w:pStyle w:val="TableOfAmend"/>
            </w:pPr>
            <w:r>
              <w:t>am. No. 14, 1989</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 8</w:t>
            </w:r>
            <w:r>
              <w:tab/>
            </w:r>
          </w:p>
        </w:tc>
        <w:tc>
          <w:tcPr>
            <w:tcW w:w="5529" w:type="dxa"/>
            <w:tcBorders>
              <w:top w:val="nil"/>
              <w:left w:val="nil"/>
              <w:bottom w:val="nil"/>
              <w:right w:val="nil"/>
            </w:tcBorders>
          </w:tcPr>
          <w:p w:rsidR="00000000" w:rsidRDefault="00590668">
            <w:pPr>
              <w:pStyle w:val="TableOfAmend"/>
            </w:pPr>
            <w:r>
              <w:t>am. No. 93, 1976</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 9</w:t>
            </w:r>
            <w:r>
              <w:tab/>
            </w:r>
          </w:p>
        </w:tc>
        <w:tc>
          <w:tcPr>
            <w:tcW w:w="5529" w:type="dxa"/>
            <w:tcBorders>
              <w:top w:val="nil"/>
              <w:left w:val="nil"/>
              <w:bottom w:val="nil"/>
              <w:right w:val="nil"/>
            </w:tcBorders>
          </w:tcPr>
          <w:p w:rsidR="00000000" w:rsidRDefault="00590668">
            <w:pPr>
              <w:pStyle w:val="TableOfAmend"/>
            </w:pPr>
            <w:r>
              <w:t>am. No. 14, 1989</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 9A</w:t>
            </w:r>
            <w:r>
              <w:tab/>
            </w:r>
          </w:p>
        </w:tc>
        <w:tc>
          <w:tcPr>
            <w:tcW w:w="5529" w:type="dxa"/>
            <w:tcBorders>
              <w:top w:val="nil"/>
              <w:left w:val="nil"/>
              <w:bottom w:val="nil"/>
              <w:right w:val="nil"/>
            </w:tcBorders>
          </w:tcPr>
          <w:p w:rsidR="00000000" w:rsidRDefault="00590668">
            <w:pPr>
              <w:pStyle w:val="TableOfAmend"/>
            </w:pPr>
            <w:r>
              <w:t>ad. No. 14, 1989</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Ss. 12A</w:t>
            </w:r>
            <w:r>
              <w:noBreakHyphen/>
              <w:t>12C</w:t>
            </w:r>
            <w:r>
              <w:tab/>
            </w:r>
          </w:p>
        </w:tc>
        <w:tc>
          <w:tcPr>
            <w:tcW w:w="5529" w:type="dxa"/>
            <w:tcBorders>
              <w:top w:val="nil"/>
              <w:left w:val="nil"/>
              <w:bottom w:val="nil"/>
              <w:right w:val="nil"/>
            </w:tcBorders>
          </w:tcPr>
          <w:p w:rsidR="00000000" w:rsidRDefault="00590668">
            <w:pPr>
              <w:pStyle w:val="TableOfAmend"/>
            </w:pPr>
            <w:r>
              <w:t>ad. No. 14, 1989</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 13</w:t>
            </w:r>
            <w:r>
              <w:tab/>
            </w:r>
          </w:p>
        </w:tc>
        <w:tc>
          <w:tcPr>
            <w:tcW w:w="5529" w:type="dxa"/>
            <w:tcBorders>
              <w:top w:val="nil"/>
              <w:left w:val="nil"/>
              <w:bottom w:val="nil"/>
              <w:right w:val="nil"/>
            </w:tcBorders>
          </w:tcPr>
          <w:p w:rsidR="00000000" w:rsidRDefault="00590668">
            <w:pPr>
              <w:pStyle w:val="TableOfAmend"/>
            </w:pPr>
            <w:r>
              <w:t>am. No. 14, 1989</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Ss. 13A</w:t>
            </w:r>
            <w:r>
              <w:noBreakHyphen/>
              <w:t>13D</w:t>
            </w:r>
            <w:r>
              <w:tab/>
            </w:r>
          </w:p>
        </w:tc>
        <w:tc>
          <w:tcPr>
            <w:tcW w:w="5529" w:type="dxa"/>
            <w:tcBorders>
              <w:top w:val="nil"/>
              <w:left w:val="nil"/>
              <w:bottom w:val="nil"/>
              <w:right w:val="nil"/>
            </w:tcBorders>
          </w:tcPr>
          <w:p w:rsidR="00000000" w:rsidRDefault="00590668">
            <w:pPr>
              <w:pStyle w:val="TableOfAmend"/>
            </w:pPr>
            <w:r>
              <w:t>ad. No. 14, 1989</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 15</w:t>
            </w:r>
            <w:r>
              <w:tab/>
            </w:r>
          </w:p>
        </w:tc>
        <w:tc>
          <w:tcPr>
            <w:tcW w:w="5529" w:type="dxa"/>
            <w:tcBorders>
              <w:top w:val="nil"/>
              <w:left w:val="nil"/>
              <w:bottom w:val="nil"/>
              <w:right w:val="nil"/>
            </w:tcBorders>
          </w:tcPr>
          <w:p w:rsidR="00000000" w:rsidRDefault="00590668">
            <w:pPr>
              <w:pStyle w:val="TableOfAmend"/>
            </w:pPr>
            <w:r>
              <w:t>am. No.</w:t>
            </w:r>
            <w:r>
              <w:t> 93, 1976</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Heading to Part II</w:t>
            </w:r>
            <w:r>
              <w:tab/>
            </w:r>
          </w:p>
        </w:tc>
        <w:tc>
          <w:tcPr>
            <w:tcW w:w="5529" w:type="dxa"/>
            <w:tcBorders>
              <w:top w:val="nil"/>
              <w:left w:val="nil"/>
              <w:bottom w:val="nil"/>
              <w:right w:val="nil"/>
            </w:tcBorders>
          </w:tcPr>
          <w:p w:rsidR="00000000" w:rsidRDefault="00590668">
            <w:pPr>
              <w:pStyle w:val="TableOfAmend"/>
            </w:pPr>
            <w:r>
              <w:t>am. No. 14, 1989</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 21A</w:t>
            </w:r>
            <w:r>
              <w:tab/>
            </w:r>
          </w:p>
        </w:tc>
        <w:tc>
          <w:tcPr>
            <w:tcW w:w="5529" w:type="dxa"/>
            <w:tcBorders>
              <w:top w:val="nil"/>
              <w:left w:val="nil"/>
              <w:bottom w:val="nil"/>
              <w:right w:val="nil"/>
            </w:tcBorders>
          </w:tcPr>
          <w:p w:rsidR="00000000" w:rsidRDefault="00590668">
            <w:pPr>
              <w:pStyle w:val="TableOfAmend"/>
            </w:pPr>
            <w:r>
              <w:t>ad. No. 14, 1989</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Ss. 22</w:t>
            </w:r>
            <w:r>
              <w:noBreakHyphen/>
              <w:t>24</w:t>
            </w:r>
            <w:r>
              <w:tab/>
            </w:r>
          </w:p>
        </w:tc>
        <w:tc>
          <w:tcPr>
            <w:tcW w:w="5529" w:type="dxa"/>
            <w:tcBorders>
              <w:top w:val="nil"/>
              <w:left w:val="nil"/>
              <w:bottom w:val="nil"/>
              <w:right w:val="nil"/>
            </w:tcBorders>
          </w:tcPr>
          <w:p w:rsidR="00000000" w:rsidRDefault="00590668">
            <w:pPr>
              <w:pStyle w:val="TableOfAmend"/>
            </w:pPr>
            <w:r>
              <w:t>am. No. 14, 1989</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 25</w:t>
            </w:r>
            <w:r>
              <w:tab/>
            </w:r>
          </w:p>
        </w:tc>
        <w:tc>
          <w:tcPr>
            <w:tcW w:w="5529" w:type="dxa"/>
            <w:tcBorders>
              <w:top w:val="nil"/>
              <w:left w:val="nil"/>
              <w:bottom w:val="nil"/>
              <w:right w:val="nil"/>
            </w:tcBorders>
          </w:tcPr>
          <w:p w:rsidR="00000000" w:rsidRDefault="00590668">
            <w:pPr>
              <w:pStyle w:val="TableOfAmend"/>
            </w:pPr>
            <w:r>
              <w:t>am. No. 14, 1989; No. 31, 2001</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keepNext/>
            </w:pPr>
            <w:r>
              <w:t>S. 26</w:t>
            </w:r>
            <w:r>
              <w:tab/>
            </w:r>
          </w:p>
        </w:tc>
        <w:tc>
          <w:tcPr>
            <w:tcW w:w="5529" w:type="dxa"/>
            <w:tcBorders>
              <w:top w:val="nil"/>
              <w:left w:val="nil"/>
              <w:bottom w:val="nil"/>
              <w:right w:val="nil"/>
            </w:tcBorders>
          </w:tcPr>
          <w:p w:rsidR="00000000" w:rsidRDefault="00590668">
            <w:pPr>
              <w:pStyle w:val="TableOfAmend"/>
              <w:keepNext/>
            </w:pPr>
            <w:r>
              <w:t>rs. No. 93, 1976</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Opt"/>
            </w:pPr>
          </w:p>
        </w:tc>
        <w:tc>
          <w:tcPr>
            <w:tcW w:w="5529" w:type="dxa"/>
            <w:tcBorders>
              <w:top w:val="nil"/>
              <w:left w:val="nil"/>
              <w:bottom w:val="nil"/>
              <w:right w:val="nil"/>
            </w:tcBorders>
          </w:tcPr>
          <w:p w:rsidR="00000000" w:rsidRDefault="00590668">
            <w:pPr>
              <w:pStyle w:val="TableOfAmendOpt"/>
            </w:pPr>
            <w:r>
              <w:t>am. No. 74, 1981; No. 14, 1989; No. 31, 2001</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 26A</w:t>
            </w:r>
            <w:r>
              <w:tab/>
            </w:r>
          </w:p>
        </w:tc>
        <w:tc>
          <w:tcPr>
            <w:tcW w:w="5529" w:type="dxa"/>
            <w:tcBorders>
              <w:top w:val="nil"/>
              <w:left w:val="nil"/>
              <w:bottom w:val="nil"/>
              <w:right w:val="nil"/>
            </w:tcBorders>
          </w:tcPr>
          <w:p w:rsidR="00000000" w:rsidRDefault="00590668">
            <w:pPr>
              <w:pStyle w:val="TableOfAmend"/>
            </w:pPr>
            <w:r>
              <w:t>ad. No. 14, 1989</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Opt"/>
            </w:pPr>
          </w:p>
        </w:tc>
        <w:tc>
          <w:tcPr>
            <w:tcW w:w="5529" w:type="dxa"/>
            <w:tcBorders>
              <w:top w:val="nil"/>
              <w:left w:val="nil"/>
              <w:bottom w:val="nil"/>
              <w:right w:val="nil"/>
            </w:tcBorders>
          </w:tcPr>
          <w:p w:rsidR="00000000" w:rsidRDefault="00590668">
            <w:pPr>
              <w:pStyle w:val="TableOfAmendOpt"/>
            </w:pPr>
            <w:r>
              <w:t>am. No. 31, 2001</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 27</w:t>
            </w:r>
            <w:r>
              <w:tab/>
            </w:r>
          </w:p>
        </w:tc>
        <w:tc>
          <w:tcPr>
            <w:tcW w:w="5529" w:type="dxa"/>
            <w:tcBorders>
              <w:top w:val="nil"/>
              <w:left w:val="nil"/>
              <w:bottom w:val="nil"/>
              <w:right w:val="nil"/>
            </w:tcBorders>
          </w:tcPr>
          <w:p w:rsidR="00000000" w:rsidRDefault="00590668">
            <w:pPr>
              <w:pStyle w:val="TableOfAmend"/>
            </w:pPr>
            <w:r>
              <w:t>am. No. 14, 1989</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 28</w:t>
            </w:r>
            <w:r>
              <w:tab/>
            </w:r>
          </w:p>
        </w:tc>
        <w:tc>
          <w:tcPr>
            <w:tcW w:w="5529" w:type="dxa"/>
            <w:tcBorders>
              <w:top w:val="nil"/>
              <w:left w:val="nil"/>
              <w:bottom w:val="nil"/>
              <w:right w:val="nil"/>
            </w:tcBorders>
          </w:tcPr>
          <w:p w:rsidR="00000000" w:rsidRDefault="00590668">
            <w:pPr>
              <w:pStyle w:val="TableOfAmend"/>
            </w:pPr>
            <w:r>
              <w:t>rs. No. 93, 1976</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 29</w:t>
            </w:r>
            <w:r>
              <w:tab/>
            </w:r>
          </w:p>
        </w:tc>
        <w:tc>
          <w:tcPr>
            <w:tcW w:w="5529" w:type="dxa"/>
            <w:tcBorders>
              <w:top w:val="nil"/>
              <w:left w:val="nil"/>
              <w:bottom w:val="nil"/>
              <w:right w:val="nil"/>
            </w:tcBorders>
          </w:tcPr>
          <w:p w:rsidR="00000000" w:rsidRDefault="00590668">
            <w:pPr>
              <w:pStyle w:val="TableOfAmend"/>
            </w:pPr>
            <w:r>
              <w:t>rep. No. 93, 1976</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 30</w:t>
            </w:r>
            <w:r>
              <w:tab/>
            </w:r>
          </w:p>
        </w:tc>
        <w:tc>
          <w:tcPr>
            <w:tcW w:w="5529" w:type="dxa"/>
            <w:tcBorders>
              <w:top w:val="nil"/>
              <w:left w:val="nil"/>
              <w:bottom w:val="nil"/>
              <w:right w:val="nil"/>
            </w:tcBorders>
          </w:tcPr>
          <w:p w:rsidR="00000000" w:rsidRDefault="00590668">
            <w:pPr>
              <w:pStyle w:val="TableOfAmend"/>
            </w:pPr>
            <w:r>
              <w:t>am. No. 14, 1989; No. 31, 2001</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 32</w:t>
            </w:r>
            <w:r>
              <w:tab/>
            </w:r>
          </w:p>
        </w:tc>
        <w:tc>
          <w:tcPr>
            <w:tcW w:w="5529" w:type="dxa"/>
            <w:tcBorders>
              <w:top w:val="nil"/>
              <w:left w:val="nil"/>
              <w:bottom w:val="nil"/>
              <w:right w:val="nil"/>
            </w:tcBorders>
          </w:tcPr>
          <w:p w:rsidR="00000000" w:rsidRDefault="00590668">
            <w:pPr>
              <w:pStyle w:val="TableOfAmend"/>
            </w:pPr>
            <w:r>
              <w:t>am. No. 14, 1989</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Opt"/>
            </w:pPr>
          </w:p>
        </w:tc>
        <w:tc>
          <w:tcPr>
            <w:tcW w:w="5529" w:type="dxa"/>
            <w:tcBorders>
              <w:top w:val="nil"/>
              <w:left w:val="nil"/>
              <w:bottom w:val="nil"/>
              <w:right w:val="nil"/>
            </w:tcBorders>
          </w:tcPr>
          <w:p w:rsidR="00000000" w:rsidRDefault="00590668">
            <w:pPr>
              <w:pStyle w:val="TableOfAmendOpt"/>
            </w:pPr>
            <w:r>
              <w:t>rep. No. 31, 2001</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 33</w:t>
            </w:r>
            <w:r>
              <w:tab/>
            </w:r>
          </w:p>
        </w:tc>
        <w:tc>
          <w:tcPr>
            <w:tcW w:w="5529" w:type="dxa"/>
            <w:tcBorders>
              <w:top w:val="nil"/>
              <w:left w:val="nil"/>
              <w:bottom w:val="nil"/>
              <w:right w:val="nil"/>
            </w:tcBorders>
          </w:tcPr>
          <w:p w:rsidR="00000000" w:rsidRDefault="00590668">
            <w:pPr>
              <w:pStyle w:val="TableOfAmend"/>
            </w:pPr>
            <w:r>
              <w:t>rep. No. 20, 1997</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 34</w:t>
            </w:r>
            <w:r>
              <w:tab/>
            </w:r>
          </w:p>
        </w:tc>
        <w:tc>
          <w:tcPr>
            <w:tcW w:w="5529" w:type="dxa"/>
            <w:tcBorders>
              <w:top w:val="nil"/>
              <w:left w:val="nil"/>
              <w:bottom w:val="nil"/>
              <w:right w:val="nil"/>
            </w:tcBorders>
          </w:tcPr>
          <w:p w:rsidR="00000000" w:rsidRDefault="00590668">
            <w:pPr>
              <w:pStyle w:val="TableOfAmend"/>
            </w:pPr>
            <w:r>
              <w:t>rep. No. 14, 1989</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 35</w:t>
            </w:r>
            <w:r>
              <w:tab/>
            </w:r>
          </w:p>
        </w:tc>
        <w:tc>
          <w:tcPr>
            <w:tcW w:w="5529" w:type="dxa"/>
            <w:tcBorders>
              <w:top w:val="nil"/>
              <w:left w:val="nil"/>
              <w:bottom w:val="nil"/>
              <w:right w:val="nil"/>
            </w:tcBorders>
          </w:tcPr>
          <w:p w:rsidR="00000000" w:rsidRDefault="00590668">
            <w:pPr>
              <w:pStyle w:val="TableOfAmend"/>
            </w:pPr>
            <w:r>
              <w:t>am. No. 14, 1989</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 36</w:t>
            </w:r>
            <w:r>
              <w:tab/>
            </w:r>
          </w:p>
        </w:tc>
        <w:tc>
          <w:tcPr>
            <w:tcW w:w="5529" w:type="dxa"/>
            <w:tcBorders>
              <w:top w:val="nil"/>
              <w:left w:val="nil"/>
              <w:bottom w:val="nil"/>
              <w:right w:val="nil"/>
            </w:tcBorders>
          </w:tcPr>
          <w:p w:rsidR="00000000" w:rsidRDefault="00590668">
            <w:pPr>
              <w:pStyle w:val="TableOfAmend"/>
            </w:pPr>
            <w:r>
              <w:t>am. No. 14, 1989; No. 31, 2001</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 36A</w:t>
            </w:r>
            <w:r>
              <w:tab/>
            </w:r>
          </w:p>
        </w:tc>
        <w:tc>
          <w:tcPr>
            <w:tcW w:w="5529" w:type="dxa"/>
            <w:tcBorders>
              <w:top w:val="nil"/>
              <w:left w:val="nil"/>
              <w:bottom w:val="nil"/>
              <w:right w:val="nil"/>
            </w:tcBorders>
          </w:tcPr>
          <w:p w:rsidR="00000000" w:rsidRDefault="00590668">
            <w:pPr>
              <w:pStyle w:val="TableOfAmend"/>
            </w:pPr>
            <w:r>
              <w:t>ad. No. 14, 1989</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Opt"/>
            </w:pPr>
          </w:p>
        </w:tc>
        <w:tc>
          <w:tcPr>
            <w:tcW w:w="5529" w:type="dxa"/>
            <w:tcBorders>
              <w:top w:val="nil"/>
              <w:left w:val="nil"/>
              <w:bottom w:val="nil"/>
              <w:right w:val="nil"/>
            </w:tcBorders>
          </w:tcPr>
          <w:p w:rsidR="00000000" w:rsidRDefault="00590668">
            <w:pPr>
              <w:pStyle w:val="TableOfAmendOpt"/>
            </w:pPr>
            <w:r>
              <w:t>rep. No. 137, 2000</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pPr>
            <w:r>
              <w:t>S. 38</w:t>
            </w:r>
            <w:r>
              <w:tab/>
            </w:r>
          </w:p>
        </w:tc>
        <w:tc>
          <w:tcPr>
            <w:tcW w:w="5529" w:type="dxa"/>
            <w:tcBorders>
              <w:top w:val="nil"/>
              <w:left w:val="nil"/>
              <w:bottom w:val="nil"/>
              <w:right w:val="nil"/>
            </w:tcBorders>
          </w:tcPr>
          <w:p w:rsidR="00000000" w:rsidRDefault="00590668">
            <w:pPr>
              <w:pStyle w:val="TableOfAmend"/>
            </w:pPr>
            <w:r>
              <w:t>rs. No. 93, 1976</w:t>
            </w:r>
          </w:p>
        </w:tc>
      </w:tr>
      <w:tr w:rsidR="00000000">
        <w:tblPrEx>
          <w:tblCellMar>
            <w:top w:w="0" w:type="dxa"/>
            <w:bottom w:w="0" w:type="dxa"/>
          </w:tblCellMar>
        </w:tblPrEx>
        <w:trPr>
          <w:cantSplit/>
        </w:trPr>
        <w:tc>
          <w:tcPr>
            <w:tcW w:w="2376" w:type="dxa"/>
            <w:tcBorders>
              <w:top w:val="nil"/>
              <w:left w:val="nil"/>
              <w:bottom w:val="single" w:sz="2" w:space="0" w:color="auto"/>
              <w:right w:val="nil"/>
            </w:tcBorders>
          </w:tcPr>
          <w:p w:rsidR="00000000" w:rsidRDefault="00590668">
            <w:pPr>
              <w:pStyle w:val="TableOfAmend"/>
            </w:pPr>
            <w:r>
              <w:t>S. 38A</w:t>
            </w:r>
            <w:r>
              <w:tab/>
            </w:r>
          </w:p>
        </w:tc>
        <w:tc>
          <w:tcPr>
            <w:tcW w:w="5529" w:type="dxa"/>
            <w:tcBorders>
              <w:top w:val="nil"/>
              <w:left w:val="nil"/>
              <w:bottom w:val="single" w:sz="2" w:space="0" w:color="auto"/>
              <w:right w:val="nil"/>
            </w:tcBorders>
          </w:tcPr>
          <w:p w:rsidR="00000000" w:rsidRDefault="00590668">
            <w:pPr>
              <w:pStyle w:val="TableOfAmend"/>
            </w:pPr>
            <w:r>
              <w:t>ad. No. 14, 1989</w:t>
            </w:r>
          </w:p>
        </w:tc>
      </w:tr>
    </w:tbl>
    <w:p w:rsidR="00000000" w:rsidRDefault="00590668">
      <w:pPr>
        <w:sectPr w:rsidR="00000000">
          <w:headerReference w:type="first" r:id="rId145"/>
          <w:footerReference w:type="first" r:id="rId146"/>
          <w:pgSz w:w="11901" w:h="16840" w:code="9"/>
          <w:pgMar w:top="2466" w:right="2098" w:bottom="2466" w:left="2098" w:header="1899" w:footer="1899" w:gutter="0"/>
          <w:cols w:space="709"/>
          <w:titlePg/>
        </w:sectPr>
      </w:pPr>
    </w:p>
    <w:p w:rsidR="00000000" w:rsidRDefault="00590668">
      <w:pPr>
        <w:pStyle w:val="TableA"/>
        <w:widowControl w:val="0"/>
        <w:ind w:right="-2"/>
      </w:pPr>
      <w:r>
        <w:lastRenderedPageBreak/>
        <w:t>Table A</w:t>
      </w:r>
    </w:p>
    <w:p w:rsidR="00000000" w:rsidRDefault="00590668">
      <w:pPr>
        <w:pStyle w:val="TableAHead"/>
        <w:ind w:right="-2"/>
      </w:pPr>
      <w:r>
        <w:t>Application, saving or transitional provisions</w:t>
      </w:r>
    </w:p>
    <w:p w:rsidR="00000000" w:rsidRDefault="00590668">
      <w:pPr>
        <w:pStyle w:val="TableAHeadItal"/>
        <w:ind w:left="0" w:right="-2" w:firstLine="0"/>
        <w:rPr>
          <w:i w:val="0"/>
          <w:iCs w:val="0"/>
        </w:rPr>
      </w:pPr>
      <w:r>
        <w:t>Criminal Code Amendment (Theft, Fraud, Bribery and Related Offences) Act 2000</w:t>
      </w:r>
      <w:r>
        <w:rPr>
          <w:i w:val="0"/>
          <w:iCs w:val="0"/>
        </w:rPr>
        <w:t xml:space="preserve"> (No. 137, 2000)</w:t>
      </w:r>
    </w:p>
    <w:p w:rsidR="00000000" w:rsidRDefault="00590668">
      <w:pPr>
        <w:pStyle w:val="ItemHead"/>
        <w:ind w:right="-2"/>
      </w:pPr>
      <w:r>
        <w:t>Schedule 2</w:t>
      </w:r>
    </w:p>
    <w:p w:rsidR="00000000" w:rsidRDefault="00590668">
      <w:pPr>
        <w:pStyle w:val="ItemHead"/>
        <w:ind w:right="-2"/>
      </w:pPr>
      <w:r>
        <w:t>418  Transitional—pre</w:t>
      </w:r>
      <w:r>
        <w:noBreakHyphen/>
        <w:t>commencement offences</w:t>
      </w:r>
    </w:p>
    <w:p w:rsidR="00000000" w:rsidRDefault="00590668">
      <w:pPr>
        <w:pStyle w:val="Subitem"/>
        <w:ind w:right="-2"/>
      </w:pPr>
      <w:r>
        <w:t>(1)</w:t>
      </w:r>
      <w:r>
        <w:tab/>
        <w:t>Despite the amendment or repeal of a provision by this Schedule, that provision continues to apply, aft</w:t>
      </w:r>
      <w:r>
        <w:t>er the commencement of this item, in relation to:</w:t>
      </w:r>
    </w:p>
    <w:p w:rsidR="00000000" w:rsidRDefault="00590668">
      <w:pPr>
        <w:pStyle w:val="indenta"/>
        <w:ind w:right="-2"/>
      </w:pPr>
      <w:r>
        <w:tab/>
        <w:t>(a)</w:t>
      </w:r>
      <w:r>
        <w:tab/>
        <w:t>an offence committed before the commencement of this item; or</w:t>
      </w:r>
    </w:p>
    <w:p w:rsidR="00000000" w:rsidRDefault="00590668">
      <w:pPr>
        <w:pStyle w:val="indenta"/>
        <w:ind w:right="-2"/>
      </w:pPr>
      <w:r>
        <w:tab/>
        <w:t>(b)</w:t>
      </w:r>
      <w:r>
        <w:tab/>
        <w:t>proceedings for an offence alleged to have been committed before the commencement of this item; or</w:t>
      </w:r>
    </w:p>
    <w:p w:rsidR="00000000" w:rsidRDefault="00590668">
      <w:pPr>
        <w:pStyle w:val="indenta"/>
        <w:ind w:right="-2"/>
      </w:pPr>
      <w:r>
        <w:tab/>
        <w:t>(c)</w:t>
      </w:r>
      <w:r>
        <w:tab/>
      </w:r>
      <w:r>
        <w:t>any matter connected with, or arising out of, such proceedings;</w:t>
      </w:r>
    </w:p>
    <w:p w:rsidR="00000000" w:rsidRDefault="00590668">
      <w:pPr>
        <w:pStyle w:val="Item"/>
        <w:ind w:right="-2"/>
      </w:pPr>
      <w:r>
        <w:t>as if the amendment or repeal had not been made.</w:t>
      </w:r>
    </w:p>
    <w:p w:rsidR="00000000" w:rsidRDefault="00590668">
      <w:pPr>
        <w:pStyle w:val="Subitem"/>
        <w:ind w:right="-2"/>
      </w:pPr>
      <w:r>
        <w:t>(2)</w:t>
      </w:r>
      <w:r>
        <w:tab/>
        <w:t xml:space="preserve">Subitem (1) does not limit the operation of section 8 of the </w:t>
      </w:r>
      <w:r>
        <w:rPr>
          <w:i/>
          <w:iCs/>
        </w:rPr>
        <w:t>Acts Interpretation Act 1901</w:t>
      </w:r>
      <w:r>
        <w:t>.</w:t>
      </w:r>
    </w:p>
    <w:p w:rsidR="00000000" w:rsidRDefault="00590668">
      <w:pPr>
        <w:pStyle w:val="ItemHead"/>
        <w:ind w:right="-2"/>
      </w:pPr>
      <w:r>
        <w:t>419  Transitional—pre</w:t>
      </w:r>
      <w:r>
        <w:noBreakHyphen/>
        <w:t>commencement notices</w:t>
      </w:r>
    </w:p>
    <w:p w:rsidR="00000000" w:rsidRDefault="00590668">
      <w:pPr>
        <w:pStyle w:val="Item"/>
        <w:ind w:right="-2"/>
      </w:pPr>
      <w:r>
        <w:t>If:</w:t>
      </w:r>
    </w:p>
    <w:p w:rsidR="00000000" w:rsidRDefault="00590668">
      <w:pPr>
        <w:pStyle w:val="indenta"/>
        <w:ind w:right="-2"/>
      </w:pPr>
      <w:r>
        <w:tab/>
      </w:r>
      <w:r>
        <w:t>(a)</w:t>
      </w:r>
      <w:r>
        <w:tab/>
        <w:t>a provision in force immediately before the commencement of this item required that a notice set out the effect of one or more other provisions; and</w:t>
      </w:r>
    </w:p>
    <w:p w:rsidR="00000000" w:rsidRDefault="00590668">
      <w:pPr>
        <w:pStyle w:val="indenta"/>
        <w:ind w:right="-2"/>
      </w:pPr>
      <w:r>
        <w:tab/>
        <w:t>(b)</w:t>
      </w:r>
      <w:r>
        <w:tab/>
        <w:t>any or all of those other provisions are repealed by this Schedule; and</w:t>
      </w:r>
    </w:p>
    <w:p w:rsidR="00000000" w:rsidRDefault="00590668">
      <w:pPr>
        <w:pStyle w:val="indenta"/>
        <w:ind w:right="-2"/>
      </w:pPr>
      <w:r>
        <w:tab/>
        <w:t>(c)</w:t>
      </w:r>
      <w:r>
        <w:tab/>
        <w:t>the first</w:t>
      </w:r>
      <w:r>
        <w:noBreakHyphen/>
        <w:t>mentioned p</w:t>
      </w:r>
      <w:r>
        <w:t>rovision is amended by this Schedule;</w:t>
      </w:r>
    </w:p>
    <w:p w:rsidR="00000000" w:rsidRDefault="00590668">
      <w:pPr>
        <w:pStyle w:val="Item"/>
        <w:ind w:right="-2"/>
      </w:pPr>
      <w:r>
        <w:t>the amendment of the first</w:t>
      </w:r>
      <w:r>
        <w:noBreakHyphen/>
        <w:t>mentioned provision by this Schedule does not affect the validity of such a notice that was given before the commencement of this item.</w:t>
      </w:r>
    </w:p>
    <w:p w:rsidR="00000000" w:rsidRDefault="00590668">
      <w:pPr>
        <w:sectPr w:rsidR="00000000">
          <w:headerReference w:type="even" r:id="rId147"/>
          <w:headerReference w:type="default" r:id="rId148"/>
          <w:footerReference w:type="default" r:id="rId149"/>
          <w:pgSz w:w="11901" w:h="16840"/>
          <w:pgMar w:top="2466" w:right="2098" w:bottom="2466" w:left="2098" w:header="1899" w:footer="1899" w:gutter="0"/>
          <w:cols w:space="709"/>
        </w:sectPr>
      </w:pPr>
    </w:p>
    <w:p w:rsidR="00000000" w:rsidRDefault="00590668">
      <w:pPr>
        <w:pStyle w:val="chattach"/>
      </w:pPr>
      <w:r>
        <w:lastRenderedPageBreak/>
        <w:t>APPENDIX F</w:t>
      </w:r>
    </w:p>
    <w:p w:rsidR="00000000" w:rsidRDefault="00590668">
      <w:pPr>
        <w:spacing w:before="240" w:line="1800" w:lineRule="atLeast"/>
      </w:pPr>
      <w:r>
        <w:rPr>
          <w:sz w:val="20"/>
          <w:szCs w:val="20"/>
        </w:rPr>
        <w:pict>
          <v:shape id="_x0000_i1044" type="#_x0000_t75" style="width:111.75pt;height:87pt" fillcolor="window">
            <v:imagedata r:id="rId150" o:title=""/>
          </v:shape>
        </w:pict>
      </w:r>
    </w:p>
    <w:p w:rsidR="00000000" w:rsidRDefault="00590668">
      <w:pPr>
        <w:pStyle w:val="ShortT"/>
      </w:pPr>
      <w:r>
        <w:t>Foreign Acquisitions and Takeovers Regulations 1989</w:t>
      </w:r>
    </w:p>
    <w:p w:rsidR="00000000" w:rsidRDefault="00590668">
      <w:pPr>
        <w:pStyle w:val="CoverStatRule"/>
      </w:pPr>
      <w:r>
        <w:t>Statutory Rules 1989 No. 177 as amended</w:t>
      </w:r>
    </w:p>
    <w:p w:rsidR="00000000" w:rsidRDefault="00590668">
      <w:pPr>
        <w:pStyle w:val="CoverMade"/>
      </w:pPr>
      <w:r>
        <w:t xml:space="preserve">made under the </w:t>
      </w:r>
    </w:p>
    <w:p w:rsidR="00000000" w:rsidRDefault="00590668">
      <w:pPr>
        <w:pStyle w:val="CoverAct"/>
      </w:pPr>
      <w:r>
        <w:t>Foreign Acquisitions and Takeovers Act 1975</w:t>
      </w:r>
    </w:p>
    <w:p w:rsidR="00000000" w:rsidRDefault="00590668">
      <w:pPr>
        <w:spacing w:before="240"/>
      </w:pPr>
      <w:r>
        <w:t>Consolidated as in force on 20 September</w:t>
      </w:r>
      <w:r>
        <w:t xml:space="preserve"> 1999</w:t>
      </w:r>
    </w:p>
    <w:p w:rsidR="00000000" w:rsidRDefault="00590668">
      <w:pPr>
        <w:spacing w:before="240"/>
      </w:pPr>
      <w:r>
        <w:t>(includes amendments up to SR 1999 No. 199)</w:t>
      </w:r>
    </w:p>
    <w:p w:rsidR="00000000" w:rsidRDefault="00590668">
      <w:pPr>
        <w:spacing w:before="240" w:line="240" w:lineRule="atLeast"/>
        <w:jc w:val="left"/>
      </w:pPr>
      <w:r>
        <w:t>Prepared by the Office of Legislative Drafting, Attorney-General’s Department</w:t>
      </w:r>
    </w:p>
    <w:p w:rsidR="00000000" w:rsidRDefault="00590668">
      <w:pPr>
        <w:spacing w:before="240" w:line="240" w:lineRule="atLeast"/>
        <w:jc w:val="left"/>
        <w:sectPr w:rsidR="00000000">
          <w:headerReference w:type="even" r:id="rId151"/>
          <w:footerReference w:type="even" r:id="rId152"/>
          <w:footerReference w:type="default" r:id="rId153"/>
          <w:pgSz w:w="11907" w:h="16840" w:code="9"/>
          <w:pgMar w:top="2466" w:right="2098" w:bottom="2466" w:left="2098" w:header="1899" w:footer="1899" w:gutter="0"/>
          <w:cols w:space="709"/>
        </w:sectPr>
      </w:pPr>
    </w:p>
    <w:p w:rsidR="00000000" w:rsidRDefault="00590668">
      <w:pPr>
        <w:spacing w:before="240" w:line="240" w:lineRule="atLeast"/>
        <w:jc w:val="left"/>
      </w:pPr>
    </w:p>
    <w:p w:rsidR="00000000" w:rsidRDefault="00590668">
      <w:pPr>
        <w:spacing w:line="1800" w:lineRule="atLeast"/>
        <w:sectPr w:rsidR="00000000">
          <w:headerReference w:type="even" r:id="rId154"/>
          <w:headerReference w:type="default" r:id="rId155"/>
          <w:footerReference w:type="even" r:id="rId156"/>
          <w:footerReference w:type="default" r:id="rId157"/>
          <w:pgSz w:w="11900" w:h="16840" w:code="9"/>
          <w:pgMar w:top="2466" w:right="2098" w:bottom="2466" w:left="2098" w:header="1899" w:footer="1899" w:gutter="0"/>
          <w:cols w:space="709"/>
        </w:sectPr>
      </w:pPr>
    </w:p>
    <w:p w:rsidR="00000000" w:rsidRDefault="00590668">
      <w:pPr>
        <w:spacing w:line="240" w:lineRule="auto"/>
      </w:pPr>
      <w:r>
        <w:rPr>
          <w:sz w:val="20"/>
          <w:szCs w:val="20"/>
        </w:rPr>
        <w:lastRenderedPageBreak/>
        <w:pict>
          <v:shape id="_x0000_i1045" type="#_x0000_t75" style="width:109.5pt;height:87pt" fillcolor="window">
            <v:imagedata r:id="rId158" o:title=""/>
          </v:shape>
        </w:pict>
      </w:r>
    </w:p>
    <w:p w:rsidR="00000000" w:rsidRDefault="00590668">
      <w:pPr>
        <w:pStyle w:val="Title"/>
      </w:pPr>
      <w:r>
        <w:t>Foreign Acquisitions and Takeovers Regulations 1989</w:t>
      </w:r>
    </w:p>
    <w:p w:rsidR="00000000" w:rsidRDefault="00590668">
      <w:pPr>
        <w:pStyle w:val="ContentsStatRule"/>
      </w:pPr>
      <w:r>
        <w:t>Statutory Rules 1989 No. 177 as amended</w:t>
      </w:r>
    </w:p>
    <w:p w:rsidR="00000000" w:rsidRDefault="00590668">
      <w:pPr>
        <w:pStyle w:val="CoverMade"/>
      </w:pPr>
      <w:r>
        <w:t xml:space="preserve">made under the </w:t>
      </w:r>
    </w:p>
    <w:p w:rsidR="00000000" w:rsidRDefault="00590668">
      <w:pPr>
        <w:pStyle w:val="CoverAct"/>
      </w:pPr>
      <w:r>
        <w:t>Foreign Acquisitions and Takeovers Act 1975</w:t>
      </w:r>
    </w:p>
    <w:p w:rsidR="00000000" w:rsidRDefault="00590668"/>
    <w:p w:rsidR="00000000" w:rsidRDefault="00590668">
      <w:pPr>
        <w:pStyle w:val="ContentsHead"/>
      </w:pPr>
      <w:r>
        <w:t>Contents</w:t>
      </w:r>
    </w:p>
    <w:p w:rsidR="00000000" w:rsidRDefault="00590668">
      <w:pPr>
        <w:pStyle w:val="TOC5"/>
      </w:pPr>
      <w:r>
        <w:tab/>
      </w:r>
      <w:r>
        <w:fldChar w:fldCharType="begin"/>
      </w:r>
      <w:r>
        <w:instrText xml:space="preserve"> TOC \</w:instrText>
      </w:r>
      <w:r>
        <w:instrText xml:space="preserve">t "HC,1, HP,2, HD,3, HS,4, HR,5, RGHead,7, Schedule title,6, Schedule part,8, RX.SC,8, Dictionary Heading,9, HN,9" </w:instrText>
      </w:r>
      <w:r>
        <w:fldChar w:fldCharType="separate"/>
      </w:r>
      <w:r>
        <w:t>1</w:t>
      </w:r>
      <w:r>
        <w:tab/>
        <w:t>Name of Regulations [</w:t>
      </w:r>
      <w:r>
        <w:rPr>
          <w:i/>
          <w:iCs/>
        </w:rPr>
        <w:t xml:space="preserve">see </w:t>
      </w:r>
      <w:r>
        <w:t>Note 1]</w:t>
      </w:r>
    </w:p>
    <w:p w:rsidR="00000000" w:rsidRDefault="00590668">
      <w:pPr>
        <w:pStyle w:val="TOC5"/>
      </w:pPr>
      <w:r>
        <w:tab/>
        <w:t>2</w:t>
      </w:r>
      <w:r>
        <w:tab/>
        <w:t>Interpretation</w:t>
      </w:r>
    </w:p>
    <w:p w:rsidR="00000000" w:rsidRDefault="00590668">
      <w:pPr>
        <w:pStyle w:val="TOC5"/>
      </w:pPr>
      <w:r>
        <w:tab/>
        <w:t>3</w:t>
      </w:r>
      <w:r>
        <w:tab/>
        <w:t>Exempt acquisitions of interests in Australian urban land</w:t>
      </w:r>
    </w:p>
    <w:p w:rsidR="00000000" w:rsidRDefault="00590668">
      <w:pPr>
        <w:pStyle w:val="TOC5"/>
      </w:pPr>
      <w:r>
        <w:tab/>
        <w:t>4</w:t>
      </w:r>
      <w:r>
        <w:tab/>
        <w:t>Prescribed corporations </w:t>
      </w:r>
      <w:r>
        <w:t>— value of assets of foreign corporation</w:t>
      </w:r>
    </w:p>
    <w:p w:rsidR="00000000" w:rsidRDefault="00590668">
      <w:pPr>
        <w:pStyle w:val="TOC5"/>
      </w:pPr>
      <w:r>
        <w:tab/>
        <w:t>5</w:t>
      </w:r>
      <w:r>
        <w:tab/>
        <w:t>Exempt dealings — value of assets</w:t>
      </w:r>
    </w:p>
    <w:p w:rsidR="00000000" w:rsidRDefault="00590668">
      <w:pPr>
        <w:pStyle w:val="TOC9"/>
      </w:pPr>
      <w:r>
        <w:t>Notes</w:t>
      </w:r>
    </w:p>
    <w:p w:rsidR="00000000" w:rsidRDefault="00590668">
      <w:pPr>
        <w:pStyle w:val="TOC"/>
        <w:tabs>
          <w:tab w:val="right" w:pos="7655"/>
        </w:tabs>
      </w:pPr>
      <w:r>
        <w:fldChar w:fldCharType="end"/>
      </w:r>
    </w:p>
    <w:p w:rsidR="00000000" w:rsidRDefault="00590668">
      <w:pPr>
        <w:pStyle w:val="ContentsSectionK"/>
        <w:sectPr w:rsidR="00000000">
          <w:headerReference w:type="even" r:id="rId159"/>
          <w:headerReference w:type="default" r:id="rId160"/>
          <w:footerReference w:type="even" r:id="rId161"/>
          <w:footerReference w:type="default" r:id="rId162"/>
          <w:headerReference w:type="first" r:id="rId163"/>
          <w:footerReference w:type="first" r:id="rId164"/>
          <w:pgSz w:w="11900" w:h="16840" w:code="9"/>
          <w:pgMar w:top="2466" w:right="2098" w:bottom="2466" w:left="2098" w:header="1899" w:footer="1899" w:gutter="0"/>
          <w:cols w:space="709"/>
          <w:formProt w:val="0"/>
          <w:titlePg/>
        </w:sectPr>
      </w:pPr>
    </w:p>
    <w:p w:rsidR="00000000" w:rsidRDefault="00590668">
      <w:pPr>
        <w:rPr>
          <w:b/>
          <w:bCs/>
          <w:vanish/>
        </w:rPr>
      </w:pPr>
      <w:r>
        <w:rPr>
          <w:rStyle w:val="CharChapNo"/>
          <w:b/>
          <w:bCs/>
          <w:vanish/>
        </w:rPr>
        <w:lastRenderedPageBreak/>
        <w:t>Do not delete</w:t>
      </w:r>
      <w:r>
        <w:rPr>
          <w:b/>
          <w:bCs/>
          <w:vanish/>
        </w:rPr>
        <w:t xml:space="preserve"> : </w:t>
      </w:r>
      <w:r>
        <w:rPr>
          <w:rStyle w:val="CharChapText"/>
          <w:b/>
          <w:bCs/>
          <w:vanish/>
        </w:rPr>
        <w:t>Chapter placeholder</w:t>
      </w:r>
    </w:p>
    <w:p w:rsidR="00000000" w:rsidRDefault="00590668">
      <w:pPr>
        <w:pStyle w:val="Heading2"/>
        <w:spacing w:before="0"/>
        <w:rPr>
          <w:rFonts w:ascii="Times New Roman" w:hAnsi="Times New Roman" w:cs="Times New Roman"/>
          <w:b/>
          <w:bCs/>
          <w:i/>
          <w:iCs/>
          <w:vanish/>
          <w:sz w:val="22"/>
          <w:szCs w:val="22"/>
        </w:rPr>
      </w:pPr>
      <w:r>
        <w:rPr>
          <w:rStyle w:val="CharPartNo"/>
          <w:rFonts w:ascii="Times New Roman" w:hAnsi="Times New Roman" w:cs="Times New Roman"/>
          <w:b/>
          <w:bCs/>
          <w:i/>
          <w:iCs/>
          <w:vanish/>
          <w:sz w:val="22"/>
          <w:szCs w:val="22"/>
        </w:rPr>
        <w:t>Do not delete</w:t>
      </w:r>
      <w:r>
        <w:rPr>
          <w:rFonts w:ascii="Times New Roman" w:hAnsi="Times New Roman" w:cs="Times New Roman"/>
          <w:b/>
          <w:bCs/>
          <w:i/>
          <w:iCs/>
          <w:vanish/>
          <w:sz w:val="22"/>
          <w:szCs w:val="22"/>
        </w:rPr>
        <w:t xml:space="preserve"> : </w:t>
      </w:r>
      <w:r>
        <w:rPr>
          <w:rStyle w:val="CharPartText"/>
          <w:rFonts w:ascii="Times New Roman" w:hAnsi="Times New Roman" w:cs="Times New Roman"/>
          <w:b/>
          <w:bCs/>
          <w:i/>
          <w:iCs/>
          <w:vanish/>
          <w:sz w:val="22"/>
          <w:szCs w:val="22"/>
        </w:rPr>
        <w:t>Part placeholder</w:t>
      </w:r>
    </w:p>
    <w:p w:rsidR="00000000" w:rsidRDefault="00590668">
      <w:pPr>
        <w:rPr>
          <w:b/>
          <w:bCs/>
          <w:vanish/>
        </w:rPr>
      </w:pPr>
      <w:r>
        <w:rPr>
          <w:rStyle w:val="CharDivNo"/>
          <w:b/>
          <w:bCs/>
          <w:vanish/>
        </w:rPr>
        <w:t>Do not delete</w:t>
      </w:r>
      <w:r>
        <w:rPr>
          <w:b/>
          <w:bCs/>
          <w:vanish/>
        </w:rPr>
        <w:t xml:space="preserve"> : </w:t>
      </w:r>
      <w:r>
        <w:rPr>
          <w:rStyle w:val="CharDivText"/>
          <w:b/>
          <w:bCs/>
          <w:vanish/>
        </w:rPr>
        <w:t>Division placeholder</w:t>
      </w:r>
    </w:p>
    <w:p w:rsidR="00000000" w:rsidRDefault="00590668">
      <w:pPr>
        <w:pStyle w:val="HR"/>
      </w:pPr>
      <w:r>
        <w:rPr>
          <w:rStyle w:val="CharSectno"/>
        </w:rPr>
        <w:t>1</w:t>
      </w:r>
      <w:r>
        <w:tab/>
        <w:t>Name of Regulations</w:t>
      </w:r>
      <w:r>
        <w:rPr>
          <w:sz w:val="16"/>
          <w:szCs w:val="16"/>
        </w:rPr>
        <w:t xml:space="preserve"> </w:t>
      </w:r>
      <w:r>
        <w:rPr>
          <w:b w:val="0"/>
          <w:bCs w:val="0"/>
          <w:sz w:val="18"/>
          <w:szCs w:val="18"/>
        </w:rPr>
        <w:t>[</w:t>
      </w:r>
      <w:r>
        <w:rPr>
          <w:b w:val="0"/>
          <w:bCs w:val="0"/>
          <w:i/>
          <w:iCs/>
          <w:sz w:val="18"/>
          <w:szCs w:val="18"/>
        </w:rPr>
        <w:t xml:space="preserve">see </w:t>
      </w:r>
      <w:r>
        <w:rPr>
          <w:b w:val="0"/>
          <w:bCs w:val="0"/>
          <w:sz w:val="18"/>
          <w:szCs w:val="18"/>
        </w:rPr>
        <w:t>Note 1]</w:t>
      </w:r>
    </w:p>
    <w:p w:rsidR="00000000" w:rsidRDefault="00590668">
      <w:pPr>
        <w:pStyle w:val="R1"/>
      </w:pPr>
      <w:r>
        <w:tab/>
      </w:r>
      <w:r>
        <w:tab/>
        <w:t xml:space="preserve">These regulations are the </w:t>
      </w:r>
      <w:r>
        <w:rPr>
          <w:i/>
          <w:iCs/>
        </w:rPr>
        <w:t>Foreign Acquisitions and Takeovers Regulations 1989</w:t>
      </w:r>
      <w:r>
        <w:t>.</w:t>
      </w:r>
    </w:p>
    <w:p w:rsidR="00000000" w:rsidRDefault="00590668">
      <w:pPr>
        <w:pStyle w:val="HR"/>
      </w:pPr>
      <w:r>
        <w:rPr>
          <w:rStyle w:val="CharSectno"/>
        </w:rPr>
        <w:t>2</w:t>
      </w:r>
      <w:r>
        <w:tab/>
        <w:t>Interpretation</w:t>
      </w:r>
    </w:p>
    <w:p w:rsidR="00000000" w:rsidRDefault="00590668">
      <w:pPr>
        <w:pStyle w:val="R1"/>
      </w:pPr>
      <w:r>
        <w:tab/>
      </w:r>
      <w:r>
        <w:tab/>
        <w:t>In these regulations, unless the contrary intention appears:</w:t>
      </w:r>
    </w:p>
    <w:p w:rsidR="00000000" w:rsidRDefault="00590668">
      <w:pPr>
        <w:pStyle w:val="definition0"/>
      </w:pPr>
      <w:r>
        <w:rPr>
          <w:b/>
          <w:bCs/>
          <w:i/>
          <w:iCs/>
        </w:rPr>
        <w:t>accommodation facility</w:t>
      </w:r>
      <w:r>
        <w:t xml:space="preserve"> means premises used, or suitable for use, as accommodation of persons on either a long-term or short-term basis, including, in particular, hotels, motels, hostels, guest</w:t>
      </w:r>
      <w:r>
        <w:t>houses, serviced apartments and holiday units.</w:t>
      </w:r>
    </w:p>
    <w:p w:rsidR="00000000" w:rsidRDefault="00590668">
      <w:pPr>
        <w:pStyle w:val="definition0"/>
      </w:pPr>
      <w:r>
        <w:rPr>
          <w:b/>
          <w:bCs/>
          <w:i/>
          <w:iCs/>
        </w:rPr>
        <w:t>charitable institution</w:t>
      </w:r>
      <w:r>
        <w:t xml:space="preserve"> means:</w:t>
      </w:r>
    </w:p>
    <w:p w:rsidR="00000000" w:rsidRDefault="00590668">
      <w:pPr>
        <w:pStyle w:val="P1"/>
      </w:pPr>
      <w:r>
        <w:tab/>
        <w:t>(a)</w:t>
      </w:r>
      <w:r>
        <w:tab/>
        <w:t>any charitable, religious, scientific or educational institution (including an institution providing residential accommodation wholly or principally for full-time students at</w:t>
      </w:r>
      <w:r>
        <w:t>tending an educational institution);</w:t>
      </w:r>
    </w:p>
    <w:p w:rsidR="00000000" w:rsidRDefault="00590668">
      <w:pPr>
        <w:pStyle w:val="P1"/>
      </w:pPr>
      <w:r>
        <w:tab/>
        <w:t>(b)</w:t>
      </w:r>
      <w:r>
        <w:tab/>
        <w:t>any institution being, or carrying on, a hospital; and</w:t>
      </w:r>
    </w:p>
    <w:p w:rsidR="00000000" w:rsidRDefault="00590668">
      <w:pPr>
        <w:pStyle w:val="P1"/>
      </w:pPr>
      <w:r>
        <w:tab/>
        <w:t>(c)</w:t>
      </w:r>
      <w:r>
        <w:tab/>
      </w:r>
      <w:r>
        <w:t>any institution the sole or principal purpose of which is to assist in the saving of life, or the prevention of loss or damage to property, whether at sea or otherwise;</w:t>
      </w:r>
    </w:p>
    <w:p w:rsidR="00000000" w:rsidRDefault="00590668">
      <w:pPr>
        <w:pStyle w:val="Rc"/>
      </w:pPr>
      <w:r>
        <w:tab/>
      </w:r>
      <w:r>
        <w:tab/>
        <w:t>being an institution which is not carried on for the purpose of profit or gain to its</w:t>
      </w:r>
      <w:r>
        <w:t xml:space="preserve"> individual members and which is not empowered to make any distribution, whether in money, property or otherwise, to its members.</w:t>
      </w:r>
    </w:p>
    <w:p w:rsidR="00000000" w:rsidRDefault="00590668">
      <w:pPr>
        <w:pStyle w:val="definition0"/>
      </w:pPr>
      <w:r>
        <w:rPr>
          <w:b/>
          <w:bCs/>
          <w:i/>
          <w:iCs/>
        </w:rPr>
        <w:t>foreign person</w:t>
      </w:r>
      <w:r>
        <w:t xml:space="preserve"> includes a person to whom section 26A of the Act applies.</w:t>
      </w:r>
    </w:p>
    <w:p w:rsidR="00000000" w:rsidRDefault="00590668">
      <w:pPr>
        <w:pStyle w:val="definition0"/>
      </w:pPr>
      <w:r>
        <w:rPr>
          <w:b/>
          <w:bCs/>
          <w:i/>
          <w:iCs/>
        </w:rPr>
        <w:t>spouse</w:t>
      </w:r>
      <w:r>
        <w:t>, in relation to a person, includes another per</w:t>
      </w:r>
      <w:r>
        <w:t xml:space="preserve">son who, although not legally married to the person, lives with the person on a </w:t>
      </w:r>
      <w:r>
        <w:rPr>
          <w:i/>
          <w:iCs/>
        </w:rPr>
        <w:t xml:space="preserve">bona fide </w:t>
      </w:r>
      <w:r>
        <w:t>domestic basis as the husband or wife of the person.</w:t>
      </w:r>
    </w:p>
    <w:p w:rsidR="00000000" w:rsidRDefault="00590668">
      <w:pPr>
        <w:pStyle w:val="definition0"/>
      </w:pPr>
      <w:r>
        <w:rPr>
          <w:b/>
          <w:bCs/>
          <w:i/>
          <w:iCs/>
        </w:rPr>
        <w:t>the Act</w:t>
      </w:r>
      <w:r>
        <w:t xml:space="preserve"> means the </w:t>
      </w:r>
      <w:r>
        <w:rPr>
          <w:i/>
          <w:iCs/>
        </w:rPr>
        <w:t>Foreign Acquisitions and Takeovers Act 1975</w:t>
      </w:r>
      <w:r>
        <w:t>.</w:t>
      </w:r>
    </w:p>
    <w:p w:rsidR="00000000" w:rsidRDefault="00590668">
      <w:pPr>
        <w:pStyle w:val="HR"/>
      </w:pPr>
      <w:r>
        <w:rPr>
          <w:rStyle w:val="CharSectno"/>
        </w:rPr>
        <w:lastRenderedPageBreak/>
        <w:t>3</w:t>
      </w:r>
      <w:r>
        <w:tab/>
        <w:t>Exempt acquisitions of interests in Australian u</w:t>
      </w:r>
      <w:r>
        <w:t>rban land</w:t>
      </w:r>
    </w:p>
    <w:p w:rsidR="00000000" w:rsidRDefault="00590668">
      <w:pPr>
        <w:pStyle w:val="R1"/>
      </w:pPr>
      <w:r>
        <w:tab/>
      </w:r>
      <w:r>
        <w:tab/>
        <w:t>The Act does not apply in relation to an acquisition of an interest in Australian urban land of each of the following kinds, namely, the acquisition of such an interest by a foreign person:</w:t>
      </w:r>
    </w:p>
    <w:p w:rsidR="00000000" w:rsidRDefault="00590668">
      <w:pPr>
        <w:pStyle w:val="P1"/>
      </w:pPr>
      <w:r>
        <w:tab/>
        <w:t>(a)</w:t>
      </w:r>
      <w:r>
        <w:tab/>
        <w:t>that is:</w:t>
      </w:r>
    </w:p>
    <w:p w:rsidR="00000000" w:rsidRDefault="00590668">
      <w:pPr>
        <w:pStyle w:val="P2"/>
      </w:pPr>
      <w:r>
        <w:tab/>
        <w:t>(i)</w:t>
      </w:r>
      <w:r>
        <w:tab/>
        <w:t xml:space="preserve">a charitable institution operating </w:t>
      </w:r>
      <w:r>
        <w:t>in Australia primarily for the benefit of persons ordinarily resident in Australia; or</w:t>
      </w:r>
    </w:p>
    <w:p w:rsidR="00000000" w:rsidRDefault="00590668">
      <w:pPr>
        <w:pStyle w:val="P2"/>
      </w:pPr>
      <w:r>
        <w:tab/>
        <w:t>(ii)</w:t>
      </w:r>
      <w:r>
        <w:tab/>
        <w:t xml:space="preserve">a trustee of a foreign-controlled trust established for charitable or benevolent purposes, where the beneficiaries of the trust are persons ordinarily resident in </w:t>
      </w:r>
      <w:r>
        <w:t>Australia;</w:t>
      </w:r>
    </w:p>
    <w:p w:rsidR="00000000" w:rsidRDefault="00590668">
      <w:pPr>
        <w:pStyle w:val="P1"/>
      </w:pPr>
      <w:r>
        <w:tab/>
        <w:t>(b)</w:t>
      </w:r>
      <w:r>
        <w:tab/>
        <w:t xml:space="preserve">that is a life insurance company operating in Australia and the acquisition is made by way of investment of its statutory funds within the meaning of the </w:t>
      </w:r>
      <w:r>
        <w:rPr>
          <w:i/>
          <w:iCs/>
        </w:rPr>
        <w:t xml:space="preserve">Life Insurance Act 1945 </w:t>
      </w:r>
      <w:r>
        <w:t>primarily for the benefit of policy holders ordinarily residen</w:t>
      </w:r>
      <w:r>
        <w:t>t in Australia;</w:t>
      </w:r>
    </w:p>
    <w:p w:rsidR="00000000" w:rsidRDefault="00590668">
      <w:pPr>
        <w:pStyle w:val="P1"/>
      </w:pPr>
      <w:r>
        <w:tab/>
        <w:t>(c)</w:t>
      </w:r>
      <w:r>
        <w:tab/>
        <w:t>that is an insurance company (other than a life insurance company) operating in Australia and the acquisition:</w:t>
      </w:r>
    </w:p>
    <w:p w:rsidR="00000000" w:rsidRDefault="00590668">
      <w:pPr>
        <w:pStyle w:val="P2"/>
      </w:pPr>
      <w:r>
        <w:tab/>
        <w:t>(i)</w:t>
      </w:r>
      <w:r>
        <w:tab/>
        <w:t>is made from the reserves of the company; and</w:t>
      </w:r>
    </w:p>
    <w:p w:rsidR="00000000" w:rsidRDefault="00590668">
      <w:pPr>
        <w:pStyle w:val="P2"/>
      </w:pPr>
      <w:r>
        <w:tab/>
        <w:t>(ii)</w:t>
      </w:r>
      <w:r>
        <w:tab/>
        <w:t xml:space="preserve">is consistent with the company’s obligations under the </w:t>
      </w:r>
      <w:r>
        <w:rPr>
          <w:i/>
          <w:iCs/>
        </w:rPr>
        <w:t>Insurance Ac</w:t>
      </w:r>
      <w:r>
        <w:rPr>
          <w:i/>
          <w:iCs/>
        </w:rPr>
        <w:t>t 1973</w:t>
      </w:r>
      <w:r>
        <w:t>;</w:t>
      </w:r>
    </w:p>
    <w:p w:rsidR="00000000" w:rsidRDefault="00590668">
      <w:pPr>
        <w:pStyle w:val="P1"/>
      </w:pPr>
      <w:r>
        <w:tab/>
        <w:t>(d)</w:t>
      </w:r>
      <w:r>
        <w:tab/>
        <w:t xml:space="preserve">that is a corporation operating in Australia that maintains a superannuation fund for its employees, within the meaning of the </w:t>
      </w:r>
      <w:r>
        <w:rPr>
          <w:i/>
          <w:iCs/>
        </w:rPr>
        <w:t>Occupational Superannuation Standards Act 1987</w:t>
      </w:r>
      <w:r>
        <w:t>, for the benefit of the members of the fund or their dependents, bein</w:t>
      </w:r>
      <w:r>
        <w:t>g persons ordinarily resident in Australia, and the acquisition is made as an investment of all or part of the assets of that fund;</w:t>
      </w:r>
    </w:p>
    <w:p w:rsidR="00000000" w:rsidRDefault="00590668">
      <w:pPr>
        <w:pStyle w:val="P1"/>
      </w:pPr>
      <w:r>
        <w:tab/>
        <w:t>(e)</w:t>
      </w:r>
      <w:r>
        <w:tab/>
        <w:t>where:</w:t>
      </w:r>
    </w:p>
    <w:p w:rsidR="00000000" w:rsidRDefault="00590668">
      <w:pPr>
        <w:pStyle w:val="P2"/>
      </w:pPr>
      <w:r>
        <w:tab/>
        <w:t>(i)</w:t>
      </w:r>
      <w:r>
        <w:tab/>
        <w:t>the acquisition is of an interest in land on which a dwelling will be or is being constructed; and</w:t>
      </w:r>
    </w:p>
    <w:p w:rsidR="00000000" w:rsidRDefault="00590668">
      <w:pPr>
        <w:pStyle w:val="P2"/>
      </w:pPr>
      <w:r>
        <w:tab/>
        <w:t>(ii)</w:t>
      </w:r>
      <w:r>
        <w:tab/>
        <w:t>th</w:t>
      </w:r>
      <w:r>
        <w:t>e Treasurer has certified that the sale of that interest, (whether or not the certificate also refers to other interests) by a specified real estate developer to foreign persons is not contrary to the national interest; and</w:t>
      </w:r>
    </w:p>
    <w:p w:rsidR="00000000" w:rsidRDefault="00590668">
      <w:pPr>
        <w:pStyle w:val="P2"/>
      </w:pPr>
      <w:r>
        <w:tab/>
        <w:t>(iia)</w:t>
      </w:r>
      <w:r>
        <w:tab/>
        <w:t>the conditions (if any) s</w:t>
      </w:r>
      <w:r>
        <w:t>et out in the certificate are satisfied; and</w:t>
      </w:r>
    </w:p>
    <w:p w:rsidR="00000000" w:rsidRDefault="00590668">
      <w:pPr>
        <w:pStyle w:val="P2"/>
      </w:pPr>
      <w:r>
        <w:tab/>
        <w:t>(iii)</w:t>
      </w:r>
      <w:r>
        <w:tab/>
        <w:t>the real estate developer provides the foreign person with a copy of that certificate;</w:t>
      </w:r>
    </w:p>
    <w:p w:rsidR="00000000" w:rsidRDefault="00590668">
      <w:pPr>
        <w:pStyle w:val="P1"/>
      </w:pPr>
      <w:r>
        <w:tab/>
        <w:t>(f)</w:t>
      </w:r>
      <w:r>
        <w:tab/>
        <w:t>where:</w:t>
      </w:r>
    </w:p>
    <w:p w:rsidR="00000000" w:rsidRDefault="00590668">
      <w:pPr>
        <w:pStyle w:val="P2"/>
      </w:pPr>
      <w:r>
        <w:tab/>
        <w:t>(i)</w:t>
      </w:r>
      <w:r>
        <w:tab/>
        <w:t>the land is being used, or is able to be used immediately and in its present state, for industrial o</w:t>
      </w:r>
      <w:r>
        <w:t>r non-residential commercial purposes; and</w:t>
      </w:r>
    </w:p>
    <w:p w:rsidR="00000000" w:rsidRDefault="00590668">
      <w:pPr>
        <w:pStyle w:val="P2"/>
      </w:pPr>
      <w:r>
        <w:lastRenderedPageBreak/>
        <w:tab/>
        <w:t>(ii)</w:t>
      </w:r>
      <w:r>
        <w:tab/>
        <w:t xml:space="preserve">the acquisition is wholly incidental to the conduct of the existing or proposed business activities of the foreign person (other than business activities that include acquisitions of land or the development </w:t>
      </w:r>
      <w:r>
        <w:t>of, or investment in, land or the development or operation of any form of accommodation facility);</w:t>
      </w:r>
    </w:p>
    <w:p w:rsidR="00000000" w:rsidRDefault="00590668">
      <w:pPr>
        <w:pStyle w:val="P1"/>
      </w:pPr>
      <w:r>
        <w:tab/>
        <w:t>(g)</w:t>
      </w:r>
      <w:r>
        <w:tab/>
        <w:t>where the acquisition is of an interest in a time share scheme and the entitlement of the foreign person and any of that person’s associates is not in t</w:t>
      </w:r>
      <w:r>
        <w:t>he aggregate greater than 4 weeks in any year;</w:t>
      </w:r>
    </w:p>
    <w:p w:rsidR="00000000" w:rsidRDefault="00590668">
      <w:pPr>
        <w:pStyle w:val="P1"/>
      </w:pPr>
      <w:r>
        <w:tab/>
        <w:t>(h)</w:t>
      </w:r>
      <w:r>
        <w:tab/>
        <w:t>where:</w:t>
      </w:r>
    </w:p>
    <w:p w:rsidR="00000000" w:rsidRDefault="00590668">
      <w:pPr>
        <w:pStyle w:val="P2"/>
      </w:pPr>
      <w:r>
        <w:tab/>
        <w:t>(i)</w:t>
      </w:r>
      <w:r>
        <w:tab/>
        <w:t>the Treasurer has certified that a programme of land acquisitions by a foreign person in respect of a year is not contrary to the national interest; and</w:t>
      </w:r>
    </w:p>
    <w:p w:rsidR="00000000" w:rsidRDefault="00590668">
      <w:pPr>
        <w:pStyle w:val="P2"/>
      </w:pPr>
      <w:r>
        <w:tab/>
        <w:t>(ii)</w:t>
      </w:r>
      <w:r>
        <w:tab/>
        <w:t>the acquisition is an acquisition</w:t>
      </w:r>
      <w:r>
        <w:t xml:space="preserve"> referred to in that certificate;</w:t>
      </w:r>
    </w:p>
    <w:p w:rsidR="00000000" w:rsidRDefault="00590668">
      <w:pPr>
        <w:pStyle w:val="P1"/>
      </w:pPr>
      <w:r>
        <w:tab/>
        <w:t>(i)</w:t>
      </w:r>
      <w:r>
        <w:tab/>
        <w:t>where the acquisition is of shares as a consequence of which the foreign person holds less than a substa</w:t>
      </w:r>
      <w:r>
        <w:t>ntial interest in an Australian urban land corporation less than 10 per cent of the real estate assets of which are in the form of developed residential real estate that the corporation has not developed itself, being an Australian urban land corporation t</w:t>
      </w:r>
      <w:r>
        <w:t>hat is:</w:t>
      </w:r>
    </w:p>
    <w:p w:rsidR="00000000" w:rsidRDefault="00590668">
      <w:pPr>
        <w:pStyle w:val="P2"/>
      </w:pPr>
      <w:r>
        <w:tab/>
        <w:t>(i)</w:t>
      </w:r>
      <w:r>
        <w:tab/>
        <w:t>publicly listed on an Australian Stock Exchange; and</w:t>
      </w:r>
    </w:p>
    <w:p w:rsidR="00000000" w:rsidRDefault="00590668">
      <w:pPr>
        <w:pStyle w:val="P2"/>
      </w:pPr>
      <w:r>
        <w:tab/>
        <w:t>(ii)</w:t>
      </w:r>
      <w:r>
        <w:tab/>
        <w:t>primarily involved in the development of land;</w:t>
      </w:r>
    </w:p>
    <w:p w:rsidR="00000000" w:rsidRDefault="00590668">
      <w:pPr>
        <w:pStyle w:val="P1"/>
      </w:pPr>
      <w:r>
        <w:tab/>
        <w:t>(j)</w:t>
      </w:r>
      <w:r>
        <w:tab/>
        <w:t>where the acquisition is of shares as a consequence of which the foreign person holds less than a substantial interest in an Austral</w:t>
      </w:r>
      <w:r>
        <w:t>ian urban land corporation less than 10 per cent of the real estate assets of which are in the form of developed residential real estate, being an Australian urban land corporation that is publicly listed on an Australian Stock Exchange, or, where 2 or mor</w:t>
      </w:r>
      <w:r>
        <w:t>e foreign persons hold interests in the Australian urban land corporation, those foreign persons hold less than an aggregate substantial interest in that corporation;</w:t>
      </w:r>
    </w:p>
    <w:p w:rsidR="00000000" w:rsidRDefault="00590668">
      <w:pPr>
        <w:pStyle w:val="P1"/>
      </w:pPr>
      <w:r>
        <w:tab/>
        <w:t>(k)</w:t>
      </w:r>
      <w:r>
        <w:tab/>
        <w:t>who is an Australian citizen not ordinarily resident in Australia;</w:t>
      </w:r>
    </w:p>
    <w:p w:rsidR="00000000" w:rsidRDefault="00590668">
      <w:pPr>
        <w:pStyle w:val="P1"/>
      </w:pPr>
      <w:r>
        <w:tab/>
        <w:t>(l)</w:t>
      </w:r>
      <w:r>
        <w:tab/>
        <w:t>that is a co</w:t>
      </w:r>
      <w:r>
        <w:t xml:space="preserve">rporation in which the government of an overseas country within the meaning of the </w:t>
      </w:r>
      <w:r>
        <w:rPr>
          <w:i/>
          <w:iCs/>
        </w:rPr>
        <w:t xml:space="preserve">Diplomatic Privileges and Immunities Act 1967 </w:t>
      </w:r>
      <w:r>
        <w:t>holds a substantial interest and the acquisition is of an interest in land where the land is to be used exclusively for the pur</w:t>
      </w:r>
      <w:r>
        <w:t>poses of the diplomatic mission of that country or as a diplomatic residence;</w:t>
      </w:r>
    </w:p>
    <w:p w:rsidR="00000000" w:rsidRDefault="00590668">
      <w:pPr>
        <w:pStyle w:val="P1"/>
      </w:pPr>
      <w:r>
        <w:tab/>
        <w:t>(m)</w:t>
      </w:r>
      <w:r>
        <w:tab/>
        <w:t>that is an Australian corporation that is a foreign person only because of direct interests held in it by Australian citizens not ordinarily resident in Australia;</w:t>
      </w:r>
    </w:p>
    <w:p w:rsidR="00000000" w:rsidRDefault="00590668">
      <w:pPr>
        <w:pStyle w:val="P1"/>
      </w:pPr>
      <w:r>
        <w:lastRenderedPageBreak/>
        <w:tab/>
        <w:t>(n)</w:t>
      </w:r>
      <w:r>
        <w:tab/>
        <w:t>that</w:t>
      </w:r>
      <w:r>
        <w:t xml:space="preserve"> is a trustee of a trust estate, where the trustee is a foreign person only because of direct interests held in the trust estate by Australian citizens not ordinarily resident in Australia;</w:t>
      </w:r>
    </w:p>
    <w:p w:rsidR="00000000" w:rsidRDefault="00590668">
      <w:pPr>
        <w:pStyle w:val="P1"/>
      </w:pPr>
      <w:r>
        <w:tab/>
        <w:t>(o)</w:t>
      </w:r>
      <w:r>
        <w:tab/>
        <w:t>where the acquisition is of units in a unit trust as a conseq</w:t>
      </w:r>
      <w:r>
        <w:t>uence of which:</w:t>
      </w:r>
    </w:p>
    <w:p w:rsidR="00000000" w:rsidRDefault="00590668">
      <w:pPr>
        <w:pStyle w:val="P2"/>
      </w:pPr>
      <w:r>
        <w:tab/>
        <w:t>(i)</w:t>
      </w:r>
      <w:r>
        <w:tab/>
        <w:t>the foreign person holds less than a substantial interest in an Australian urban land trust estate:</w:t>
      </w:r>
    </w:p>
    <w:p w:rsidR="00000000" w:rsidRDefault="00590668">
      <w:pPr>
        <w:pStyle w:val="P3"/>
      </w:pPr>
      <w:r>
        <w:tab/>
        <w:t>(A)</w:t>
      </w:r>
      <w:r>
        <w:tab/>
        <w:t xml:space="preserve">that is a unit trust that accepts funds from the public on the basis of a prospectus approved by the Corporate Affairs Commission </w:t>
      </w:r>
      <w:r>
        <w:t>of a State or Territory;</w:t>
      </w:r>
    </w:p>
    <w:p w:rsidR="00000000" w:rsidRDefault="00590668">
      <w:pPr>
        <w:pStyle w:val="P3"/>
      </w:pPr>
      <w:r>
        <w:tab/>
        <w:t>(B)</w:t>
      </w:r>
      <w:r>
        <w:tab/>
        <w:t>that has at least 100 unit holders;</w:t>
      </w:r>
    </w:p>
    <w:p w:rsidR="00000000" w:rsidRDefault="00590668">
      <w:pPr>
        <w:pStyle w:val="P3"/>
      </w:pPr>
      <w:r>
        <w:tab/>
        <w:t>(C)</w:t>
      </w:r>
      <w:r>
        <w:tab/>
        <w:t>that is primarily engaged in the development of land; and</w:t>
      </w:r>
    </w:p>
    <w:p w:rsidR="00000000" w:rsidRDefault="00590668">
      <w:pPr>
        <w:pStyle w:val="P3"/>
      </w:pPr>
      <w:r>
        <w:tab/>
        <w:t>(D)</w:t>
      </w:r>
      <w:r>
        <w:tab/>
        <w:t>that has less than 10 per cent of its real estate assets in the form of developed residential real estate that the trust h</w:t>
      </w:r>
      <w:r>
        <w:t>as not developed itself; or</w:t>
      </w:r>
    </w:p>
    <w:p w:rsidR="00000000" w:rsidRDefault="00590668">
      <w:pPr>
        <w:pStyle w:val="P2"/>
      </w:pPr>
      <w:r>
        <w:tab/>
        <w:t>(ii)</w:t>
      </w:r>
      <w:r>
        <w:tab/>
        <w:t>the foreign person holds less than a substantial interest in an Australian urban land trust estate:</w:t>
      </w:r>
    </w:p>
    <w:p w:rsidR="00000000" w:rsidRDefault="00590668">
      <w:pPr>
        <w:pStyle w:val="P3"/>
      </w:pPr>
      <w:r>
        <w:tab/>
        <w:t>(A)</w:t>
      </w:r>
      <w:r>
        <w:tab/>
        <w:t>that is a unit trust that accepts funds from the public on the basis of a prospectus approved by the Corporate Affair</w:t>
      </w:r>
      <w:r>
        <w:t>s Commission of a State or Territory;</w:t>
      </w:r>
    </w:p>
    <w:p w:rsidR="00000000" w:rsidRDefault="00590668">
      <w:pPr>
        <w:pStyle w:val="P3"/>
      </w:pPr>
      <w:r>
        <w:tab/>
        <w:t>(B)</w:t>
      </w:r>
      <w:r>
        <w:tab/>
        <w:t>that has at least 100 unit holders; and</w:t>
      </w:r>
    </w:p>
    <w:p w:rsidR="00000000" w:rsidRDefault="00590668">
      <w:pPr>
        <w:pStyle w:val="P3"/>
      </w:pPr>
      <w:r>
        <w:tab/>
        <w:t>(C)</w:t>
      </w:r>
      <w:r>
        <w:tab/>
        <w:t>that has less than 10 per cent of its real estate assets in the form of developed residential real estate;</w:t>
      </w:r>
    </w:p>
    <w:p w:rsidR="00000000" w:rsidRDefault="00590668">
      <w:pPr>
        <w:pStyle w:val="P2"/>
      </w:pPr>
      <w:r>
        <w:tab/>
      </w:r>
      <w:r>
        <w:tab/>
        <w:t>or, where 2 or more foreign persons hold interests in the A</w:t>
      </w:r>
      <w:r>
        <w:t>ustralian urban land trust estate, those foreign persons hold less than an aggregate substantial interest in that trust estate;</w:t>
      </w:r>
    </w:p>
    <w:p w:rsidR="00000000" w:rsidRDefault="00590668">
      <w:pPr>
        <w:pStyle w:val="P1"/>
      </w:pPr>
      <w:r>
        <w:tab/>
        <w:t>(p)</w:t>
      </w:r>
      <w:r>
        <w:tab/>
        <w:t>if:</w:t>
      </w:r>
    </w:p>
    <w:p w:rsidR="00000000" w:rsidRDefault="00590668">
      <w:pPr>
        <w:pStyle w:val="P2"/>
      </w:pPr>
      <w:r>
        <w:tab/>
        <w:t>(i)</w:t>
      </w:r>
      <w:r>
        <w:tab/>
        <w:t>the land is non-residential commercial land valued at:</w:t>
      </w:r>
    </w:p>
    <w:p w:rsidR="00000000" w:rsidRDefault="00590668">
      <w:pPr>
        <w:pStyle w:val="P3"/>
      </w:pPr>
      <w:r>
        <w:tab/>
        <w:t>(A)</w:t>
      </w:r>
      <w:r>
        <w:tab/>
        <w:t xml:space="preserve">for land the whole or part of which is entered in the </w:t>
      </w:r>
      <w:r>
        <w:t>Register of the National Estate — less than $5,000,000; and</w:t>
      </w:r>
    </w:p>
    <w:p w:rsidR="00000000" w:rsidRDefault="00590668">
      <w:pPr>
        <w:pStyle w:val="P3"/>
      </w:pPr>
      <w:r>
        <w:tab/>
        <w:t>(B)</w:t>
      </w:r>
      <w:r>
        <w:tab/>
        <w:t>in any other case — less than $50,000,000; and</w:t>
      </w:r>
    </w:p>
    <w:p w:rsidR="00000000" w:rsidRDefault="00590668">
      <w:pPr>
        <w:pStyle w:val="P2"/>
      </w:pPr>
      <w:r>
        <w:tab/>
        <w:t>(ii)</w:t>
      </w:r>
      <w:r>
        <w:tab/>
        <w:t>the land is not:</w:t>
      </w:r>
    </w:p>
    <w:p w:rsidR="00000000" w:rsidRDefault="00590668">
      <w:pPr>
        <w:pStyle w:val="P3"/>
      </w:pPr>
      <w:r>
        <w:tab/>
        <w:t>(A)</w:t>
      </w:r>
      <w:r>
        <w:tab/>
        <w:t>vacant land; or</w:t>
      </w:r>
    </w:p>
    <w:p w:rsidR="00000000" w:rsidRDefault="00590668">
      <w:pPr>
        <w:pStyle w:val="P3"/>
      </w:pPr>
      <w:r>
        <w:tab/>
        <w:t>(B)</w:t>
      </w:r>
      <w:r>
        <w:tab/>
        <w:t>land the whole or part of which comprises an accommodation facility;</w:t>
      </w:r>
    </w:p>
    <w:p w:rsidR="00000000" w:rsidRDefault="00590668">
      <w:pPr>
        <w:pStyle w:val="P1"/>
      </w:pPr>
      <w:r>
        <w:lastRenderedPageBreak/>
        <w:tab/>
        <w:t>(q)</w:t>
      </w:r>
      <w:r>
        <w:tab/>
        <w:t>where the acquisition</w:t>
      </w:r>
      <w:r>
        <w:t xml:space="preserve"> is of an interest in land that is zoned as residential property and the person:</w:t>
      </w:r>
    </w:p>
    <w:p w:rsidR="00000000" w:rsidRDefault="00590668">
      <w:pPr>
        <w:pStyle w:val="P2"/>
      </w:pPr>
      <w:r>
        <w:tab/>
        <w:t>(i)</w:t>
      </w:r>
      <w:r>
        <w:tab/>
        <w:t xml:space="preserve">is, at the time of acquisition, the holder of a permanent visa within the meaning of the </w:t>
      </w:r>
      <w:r>
        <w:rPr>
          <w:i/>
          <w:iCs/>
        </w:rPr>
        <w:t>Migration Act 1958</w:t>
      </w:r>
      <w:r>
        <w:t>; or</w:t>
      </w:r>
    </w:p>
    <w:p w:rsidR="00000000" w:rsidRDefault="00590668">
      <w:pPr>
        <w:pStyle w:val="P2"/>
      </w:pPr>
      <w:r>
        <w:tab/>
        <w:t>(ii)</w:t>
      </w:r>
      <w:r>
        <w:tab/>
        <w:t>is, at the time of acquisition, the holder of a spec</w:t>
      </w:r>
      <w:r>
        <w:t>ial category visa within the meaning of that Act; or</w:t>
      </w:r>
    </w:p>
    <w:p w:rsidR="00000000" w:rsidRDefault="00590668">
      <w:pPr>
        <w:pStyle w:val="P2"/>
      </w:pPr>
      <w:r>
        <w:tab/>
        <w:t>(iii)</w:t>
      </w:r>
      <w:r>
        <w:tab/>
      </w:r>
      <w:r>
        <w:t>if he or she had entered Australia lawfully immediately before the time of acquisition, would have been entitled to the grant, on presentation of a passport, of a special category visa within the meaning of that Act; or</w:t>
      </w:r>
    </w:p>
    <w:p w:rsidR="00000000" w:rsidRDefault="00590668">
      <w:pPr>
        <w:pStyle w:val="P2"/>
      </w:pPr>
      <w:r>
        <w:tab/>
        <w:t>(iv)</w:t>
      </w:r>
      <w:r>
        <w:tab/>
        <w:t>is an Australian corporation t</w:t>
      </w:r>
      <w:r>
        <w:t>hat is a foreign person only because of a direct interest held in it by a person to whom subparagraph (i), (ii) or (iii) applies; or</w:t>
      </w:r>
    </w:p>
    <w:p w:rsidR="00000000" w:rsidRDefault="00590668">
      <w:pPr>
        <w:pStyle w:val="P2"/>
      </w:pPr>
      <w:r>
        <w:tab/>
        <w:t>(v)</w:t>
      </w:r>
      <w:r>
        <w:tab/>
        <w:t xml:space="preserve">is the trustee of a trust estate, where the trustee is a foreign person only because of a direct interest held in the </w:t>
      </w:r>
      <w:r>
        <w:t>trust estate by a person to whom subparagraph (i), (ii) or (iii) applies;</w:t>
      </w:r>
    </w:p>
    <w:p w:rsidR="00000000" w:rsidRDefault="00590668">
      <w:pPr>
        <w:pStyle w:val="P1"/>
        <w:keepLines/>
      </w:pPr>
      <w:r>
        <w:tab/>
        <w:t>(r)</w:t>
      </w:r>
      <w:r>
        <w:tab/>
        <w:t>if:</w:t>
      </w:r>
    </w:p>
    <w:p w:rsidR="00000000" w:rsidRDefault="00590668">
      <w:pPr>
        <w:pStyle w:val="P2"/>
        <w:keepLines/>
      </w:pPr>
      <w:r>
        <w:tab/>
        <w:t>(i)</w:t>
      </w:r>
      <w:r>
        <w:tab/>
        <w:t>the acquisition is of an interest in land on which a dwelling exists that is, or may be, used for residential purposes, other than land that is part of a subdivided bui</w:t>
      </w:r>
      <w:r>
        <w:t>lding in which hotel services are provided; and</w:t>
      </w:r>
    </w:p>
    <w:p w:rsidR="00000000" w:rsidRDefault="00590668">
      <w:pPr>
        <w:pStyle w:val="P2"/>
      </w:pPr>
      <w:r>
        <w:tab/>
        <w:t>(ii)</w:t>
      </w:r>
      <w:r>
        <w:tab/>
        <w:t>the Treasurer has certified that the sale of an interest of that kind to foreign persons is not contrary to the national interest; and</w:t>
      </w:r>
    </w:p>
    <w:p w:rsidR="00000000" w:rsidRDefault="00590668">
      <w:pPr>
        <w:pStyle w:val="P2"/>
      </w:pPr>
      <w:r>
        <w:tab/>
        <w:t>(iii)</w:t>
      </w:r>
      <w:r>
        <w:tab/>
        <w:t>the conditions (if any) set out in the certificate are satis</w:t>
      </w:r>
      <w:r>
        <w:t>fied; and</w:t>
      </w:r>
    </w:p>
    <w:p w:rsidR="00000000" w:rsidRDefault="00590668">
      <w:pPr>
        <w:pStyle w:val="P2"/>
      </w:pPr>
      <w:r>
        <w:tab/>
        <w:t>(iv)</w:t>
      </w:r>
      <w:r>
        <w:tab/>
        <w:t>the person who intends to dispose of the interest gives the foreign person a copy of the certificate;</w:t>
      </w:r>
    </w:p>
    <w:p w:rsidR="00000000" w:rsidRDefault="00590668">
      <w:pPr>
        <w:pStyle w:val="P1"/>
      </w:pPr>
      <w:r>
        <w:tab/>
        <w:t>(s)</w:t>
      </w:r>
      <w:r>
        <w:tab/>
        <w:t>if:</w:t>
      </w:r>
    </w:p>
    <w:p w:rsidR="00000000" w:rsidRDefault="00590668">
      <w:pPr>
        <w:pStyle w:val="P2"/>
      </w:pPr>
      <w:r>
        <w:tab/>
        <w:t>(i)</w:t>
      </w:r>
      <w:r>
        <w:tab/>
        <w:t>the acquisition is of an interest in land that is, or would be, part of a subdivided building:</w:t>
      </w:r>
    </w:p>
    <w:p w:rsidR="00000000" w:rsidRDefault="00590668">
      <w:pPr>
        <w:pStyle w:val="P3"/>
      </w:pPr>
      <w:r>
        <w:tab/>
        <w:t>(A)</w:t>
      </w:r>
      <w:r>
        <w:tab/>
        <w:t>that exists or may be co</w:t>
      </w:r>
      <w:r>
        <w:t>nstructed; and</w:t>
      </w:r>
    </w:p>
    <w:p w:rsidR="00000000" w:rsidRDefault="00590668">
      <w:pPr>
        <w:pStyle w:val="P3"/>
      </w:pPr>
      <w:r>
        <w:tab/>
        <w:t>(B)</w:t>
      </w:r>
      <w:r>
        <w:tab/>
        <w:t>in which hotel services are, or would be, provided; and</w:t>
      </w:r>
    </w:p>
    <w:p w:rsidR="00000000" w:rsidRDefault="00590668">
      <w:pPr>
        <w:pStyle w:val="P2"/>
      </w:pPr>
      <w:r>
        <w:tab/>
        <w:t>(ii)</w:t>
      </w:r>
      <w:r>
        <w:tab/>
        <w:t>the Treasurer has certified that the sale of an interest of that kind to foreign persons is not contrary to the national interest; and</w:t>
      </w:r>
    </w:p>
    <w:p w:rsidR="00000000" w:rsidRDefault="00590668">
      <w:pPr>
        <w:pStyle w:val="P2"/>
      </w:pPr>
      <w:r>
        <w:tab/>
        <w:t>(iii)</w:t>
      </w:r>
      <w:r>
        <w:tab/>
        <w:t xml:space="preserve">the conditions (if any) set out </w:t>
      </w:r>
      <w:r>
        <w:t>in the certificate are satisfied; and</w:t>
      </w:r>
    </w:p>
    <w:p w:rsidR="00000000" w:rsidRDefault="00590668">
      <w:pPr>
        <w:pStyle w:val="P2"/>
      </w:pPr>
      <w:r>
        <w:lastRenderedPageBreak/>
        <w:tab/>
        <w:t>(iv)</w:t>
      </w:r>
      <w:r>
        <w:tab/>
        <w:t>the person who intends to dispose of the interest gives the foreign person a copy of the certificate;</w:t>
      </w:r>
    </w:p>
    <w:p w:rsidR="00000000" w:rsidRDefault="00590668">
      <w:pPr>
        <w:pStyle w:val="P1"/>
      </w:pPr>
      <w:r>
        <w:tab/>
        <w:t>(t)</w:t>
      </w:r>
      <w:r>
        <w:tab/>
        <w:t>where the acquisition is of an interest in land that is zoned as residential property and:</w:t>
      </w:r>
    </w:p>
    <w:p w:rsidR="00000000" w:rsidRDefault="00590668">
      <w:pPr>
        <w:pStyle w:val="P2"/>
      </w:pPr>
      <w:r>
        <w:tab/>
        <w:t>(i)</w:t>
      </w:r>
      <w:r>
        <w:tab/>
        <w:t>the perso</w:t>
      </w:r>
      <w:r>
        <w:t>n is the spouse of an Australian citizen; and</w:t>
      </w:r>
    </w:p>
    <w:p w:rsidR="00000000" w:rsidRDefault="00590668">
      <w:pPr>
        <w:pStyle w:val="P2"/>
      </w:pPr>
      <w:r>
        <w:tab/>
        <w:t>(ii)</w:t>
      </w:r>
      <w:r>
        <w:tab/>
        <w:t>the interest is held by the person and his or her spouse as joint tenants;</w:t>
      </w:r>
    </w:p>
    <w:p w:rsidR="00000000" w:rsidRDefault="00590668">
      <w:pPr>
        <w:pStyle w:val="P1"/>
        <w:keepLines/>
      </w:pPr>
      <w:r>
        <w:tab/>
        <w:t>(u)</w:t>
      </w:r>
      <w:r>
        <w:tab/>
        <w:t>that is the responsible entity of a managed investment scheme registered under section 601EB of the Corporations Law and the</w:t>
      </w:r>
      <w:r>
        <w:t xml:space="preserve"> acquisition is primarily for the benefit of scheme members ordinarily resident in Australia.</w:t>
      </w:r>
    </w:p>
    <w:p w:rsidR="00000000" w:rsidRDefault="00590668">
      <w:pPr>
        <w:pStyle w:val="HR"/>
      </w:pPr>
      <w:r>
        <w:rPr>
          <w:rStyle w:val="CharSectno"/>
        </w:rPr>
        <w:t>4</w:t>
      </w:r>
      <w:r>
        <w:tab/>
        <w:t>Prescribed corporations — value of assets of foreign corporation</w:t>
      </w:r>
    </w:p>
    <w:p w:rsidR="00000000" w:rsidRDefault="00590668">
      <w:pPr>
        <w:pStyle w:val="R1"/>
      </w:pPr>
      <w:r>
        <w:tab/>
        <w:t>(1)</w:t>
      </w:r>
      <w:r>
        <w:tab/>
        <w:t>For paragraph 13 (1) (d) of the Act, the amount of $50,000,000 is prescribed.</w:t>
      </w:r>
    </w:p>
    <w:p w:rsidR="00000000" w:rsidRDefault="00590668">
      <w:pPr>
        <w:pStyle w:val="R2"/>
      </w:pPr>
      <w:r>
        <w:tab/>
        <w:t>(2)</w:t>
      </w:r>
      <w:r>
        <w:tab/>
        <w:t>For par</w:t>
      </w:r>
      <w:r>
        <w:t>agraph 13 (1) (e) of the Act, the amount of $50,000,000 is prescribed.</w:t>
      </w:r>
    </w:p>
    <w:p w:rsidR="00000000" w:rsidRDefault="00590668">
      <w:pPr>
        <w:pStyle w:val="HR"/>
      </w:pPr>
      <w:r>
        <w:rPr>
          <w:rStyle w:val="CharSectno"/>
        </w:rPr>
        <w:t>5</w:t>
      </w:r>
      <w:r>
        <w:tab/>
        <w:t>Exempt dealings — value of assets</w:t>
      </w:r>
    </w:p>
    <w:p w:rsidR="00000000" w:rsidRDefault="00590668">
      <w:pPr>
        <w:pStyle w:val="R1"/>
      </w:pPr>
      <w:r>
        <w:tab/>
        <w:t>(1)</w:t>
      </w:r>
      <w:r>
        <w:tab/>
        <w:t xml:space="preserve">For subparagraph (b) (i) of the definition of </w:t>
      </w:r>
      <w:r>
        <w:rPr>
          <w:b/>
          <w:bCs/>
          <w:i/>
          <w:iCs/>
        </w:rPr>
        <w:t>exempt corporation</w:t>
      </w:r>
      <w:r>
        <w:t xml:space="preserve"> in subsection 13A (4) of the Act, the amount of $50,000,000 is prescribed.</w:t>
      </w:r>
    </w:p>
    <w:p w:rsidR="00000000" w:rsidRDefault="00590668">
      <w:pPr>
        <w:pStyle w:val="R2"/>
      </w:pPr>
      <w:r>
        <w:tab/>
        <w:t>(2)</w:t>
      </w:r>
      <w:r>
        <w:tab/>
        <w:t xml:space="preserve">For subparagraph (b) (ii) of the definition of </w:t>
      </w:r>
      <w:r>
        <w:rPr>
          <w:b/>
          <w:bCs/>
          <w:i/>
          <w:iCs/>
        </w:rPr>
        <w:t>exempt corporation</w:t>
      </w:r>
      <w:r>
        <w:t xml:space="preserve"> in subsection 13A (4) of the Act, the amount of $50,000,000 is prescribed.</w:t>
      </w:r>
    </w:p>
    <w:p w:rsidR="00000000" w:rsidRDefault="00590668">
      <w:pPr>
        <w:pStyle w:val="R2"/>
      </w:pPr>
      <w:r>
        <w:tab/>
        <w:t>(3)</w:t>
      </w:r>
      <w:r>
        <w:tab/>
        <w:t xml:space="preserve">For paragraph (a) of the definition of </w:t>
      </w:r>
      <w:r>
        <w:rPr>
          <w:b/>
          <w:bCs/>
          <w:i/>
          <w:iCs/>
        </w:rPr>
        <w:t>exempt business</w:t>
      </w:r>
      <w:r>
        <w:t xml:space="preserve"> in subsection 13A (4) of the Act, the amount of $50,00</w:t>
      </w:r>
      <w:r>
        <w:t>0,000 is prescribed.</w:t>
      </w:r>
    </w:p>
    <w:p w:rsidR="00000000" w:rsidRDefault="00590668">
      <w:pPr>
        <w:pStyle w:val="R2"/>
      </w:pPr>
      <w:r>
        <w:tab/>
        <w:t>(4)</w:t>
      </w:r>
      <w:r>
        <w:tab/>
        <w:t xml:space="preserve">For paragraph (b) of the definition of </w:t>
      </w:r>
      <w:r>
        <w:rPr>
          <w:b/>
          <w:bCs/>
          <w:i/>
          <w:iCs/>
        </w:rPr>
        <w:t>exempt business</w:t>
      </w:r>
      <w:r>
        <w:t xml:space="preserve"> in subsection 13A (4) of the Act, the amount of $50,000,000 is prescribed.</w:t>
      </w:r>
    </w:p>
    <w:p w:rsidR="00000000" w:rsidRDefault="00590668">
      <w:pPr>
        <w:sectPr w:rsidR="00000000">
          <w:headerReference w:type="even" r:id="rId165"/>
          <w:headerReference w:type="default" r:id="rId166"/>
          <w:footerReference w:type="even" r:id="rId167"/>
          <w:footerReference w:type="default" r:id="rId168"/>
          <w:pgSz w:w="11900" w:h="16840" w:code="9"/>
          <w:pgMar w:top="2466" w:right="2098" w:bottom="2466" w:left="2098" w:header="1899" w:footer="1899" w:gutter="0"/>
          <w:cols w:space="709"/>
        </w:sectPr>
      </w:pPr>
    </w:p>
    <w:p w:rsidR="00000000" w:rsidRDefault="00590668">
      <w:pPr>
        <w:pStyle w:val="NoteHeading"/>
      </w:pPr>
      <w:r>
        <w:lastRenderedPageBreak/>
        <w:t xml:space="preserve">Notes to the </w:t>
      </w:r>
      <w:r>
        <w:rPr>
          <w:i/>
          <w:iCs/>
        </w:rPr>
        <w:fldChar w:fldCharType="begin"/>
      </w:r>
      <w:r>
        <w:rPr>
          <w:i/>
          <w:iCs/>
        </w:rPr>
        <w:instrText xml:space="preserve"> REF citation \* MERGEFORMAT \*CHARFORMAT</w:instrText>
      </w:r>
      <w:r>
        <w:rPr>
          <w:i/>
          <w:iCs/>
        </w:rPr>
        <w:fldChar w:fldCharType="separate"/>
      </w:r>
      <w:r>
        <w:rPr>
          <w:i/>
          <w:iCs/>
        </w:rPr>
        <w:t>Foreign Acquisitions and Takeovers Regulations 1989</w:t>
      </w:r>
      <w:r>
        <w:rPr>
          <w:i/>
          <w:iCs/>
        </w:rPr>
        <w:fldChar w:fldCharType="end"/>
      </w:r>
    </w:p>
    <w:p w:rsidR="00000000" w:rsidRDefault="00590668">
      <w:pPr>
        <w:pStyle w:val="ENoteNo"/>
      </w:pPr>
      <w:r>
        <w:t>Note 1</w:t>
      </w:r>
    </w:p>
    <w:p w:rsidR="00000000" w:rsidRDefault="00590668">
      <w:pPr>
        <w:pStyle w:val="EndNotes"/>
      </w:pPr>
      <w:r>
        <w:t xml:space="preserve">The </w:t>
      </w:r>
      <w:r>
        <w:rPr>
          <w:i/>
          <w:iCs/>
        </w:rPr>
        <w:fldChar w:fldCharType="begin"/>
      </w:r>
      <w:r>
        <w:rPr>
          <w:i/>
          <w:iCs/>
        </w:rPr>
        <w:instrText xml:space="preserve"> REF citation \* MERGEFORMAT \*CHARFORMAT</w:instrText>
      </w:r>
      <w:r>
        <w:rPr>
          <w:i/>
          <w:iCs/>
        </w:rPr>
        <w:fldChar w:fldCharType="separate"/>
      </w:r>
      <w:r>
        <w:rPr>
          <w:i/>
          <w:iCs/>
        </w:rPr>
        <w:t>Fore</w:t>
      </w:r>
      <w:r>
        <w:rPr>
          <w:i/>
          <w:iCs/>
        </w:rPr>
        <w:t>ign Acquisitions and Takeovers Regulations 1989</w:t>
      </w:r>
      <w:r>
        <w:rPr>
          <w:i/>
          <w:iCs/>
        </w:rPr>
        <w:fldChar w:fldCharType="end"/>
      </w:r>
      <w:r>
        <w:t xml:space="preserve"> (in force under the </w:t>
      </w:r>
      <w:r>
        <w:rPr>
          <w:i/>
          <w:iCs/>
        </w:rPr>
        <w:fldChar w:fldCharType="begin"/>
      </w:r>
      <w:r>
        <w:rPr>
          <w:i/>
          <w:iCs/>
        </w:rPr>
        <w:instrText xml:space="preserve"> REF Act \* MERGEFORMAT \*CHARFORMAT</w:instrText>
      </w:r>
      <w:r>
        <w:rPr>
          <w:i/>
          <w:iCs/>
        </w:rPr>
        <w:fldChar w:fldCharType="separate"/>
      </w:r>
      <w:r>
        <w:rPr>
          <w:i/>
          <w:iCs/>
        </w:rPr>
        <w:t>Foreign Acquisitions and Takeovers Act 1975</w:t>
      </w:r>
      <w:r>
        <w:rPr>
          <w:i/>
          <w:iCs/>
        </w:rPr>
        <w:fldChar w:fldCharType="end"/>
      </w:r>
      <w:r>
        <w:t xml:space="preserve">) as shown in this consolidation comprise Statutory Rules </w:t>
      </w:r>
      <w:r>
        <w:fldChar w:fldCharType="begin"/>
      </w:r>
      <w:r>
        <w:instrText xml:space="preserve"> REF year \* MERGEFORMAT \*CHARFORMAT</w:instrText>
      </w:r>
      <w:r>
        <w:fldChar w:fldCharType="separate"/>
      </w:r>
      <w:r>
        <w:t>1989</w:t>
      </w:r>
      <w:r>
        <w:fldChar w:fldCharType="end"/>
      </w:r>
      <w:r>
        <w:t xml:space="preserve"> </w:t>
      </w:r>
      <w:r>
        <w:t xml:space="preserve">No. </w:t>
      </w:r>
      <w:r>
        <w:fldChar w:fldCharType="begin"/>
      </w:r>
      <w:r>
        <w:instrText xml:space="preserve"> REF refno \* MERGEFORMAT \*CHARFORMAT</w:instrText>
      </w:r>
      <w:r>
        <w:fldChar w:fldCharType="separate"/>
      </w:r>
      <w:r>
        <w:t>177</w:t>
      </w:r>
      <w:r>
        <w:fldChar w:fldCharType="end"/>
      </w:r>
      <w:r>
        <w:t xml:space="preserve"> amended as indicated in the Tables below. </w:t>
      </w:r>
    </w:p>
    <w:p w:rsidR="00000000" w:rsidRDefault="00590668">
      <w:pPr>
        <w:pStyle w:val="TableEnotesHeading"/>
        <w:pageBreakBefore w:val="0"/>
      </w:pPr>
      <w:r>
        <w:rPr>
          <w:rStyle w:val="CharENotesHeading"/>
        </w:rPr>
        <w:t>Table of Statutory Rules</w:t>
      </w:r>
    </w:p>
    <w:tbl>
      <w:tblPr>
        <w:tblW w:w="0" w:type="auto"/>
        <w:tblBorders>
          <w:bottom w:val="single" w:sz="4" w:space="0" w:color="auto"/>
        </w:tblBorders>
        <w:tblLayout w:type="fixed"/>
        <w:tblCellMar>
          <w:left w:w="107" w:type="dxa"/>
          <w:right w:w="107" w:type="dxa"/>
        </w:tblCellMar>
        <w:tblLook w:val="0000" w:firstRow="0" w:lastRow="0" w:firstColumn="0" w:lastColumn="0" w:noHBand="0" w:noVBand="0"/>
      </w:tblPr>
      <w:tblGrid>
        <w:gridCol w:w="1701"/>
        <w:gridCol w:w="1667"/>
        <w:gridCol w:w="2268"/>
        <w:gridCol w:w="2268"/>
      </w:tblGrid>
      <w:tr w:rsidR="00000000">
        <w:tblPrEx>
          <w:tblCellMar>
            <w:top w:w="0" w:type="dxa"/>
            <w:bottom w:w="0" w:type="dxa"/>
          </w:tblCellMar>
        </w:tblPrEx>
        <w:trPr>
          <w:cantSplit/>
          <w:tblHeader/>
        </w:trPr>
        <w:tc>
          <w:tcPr>
            <w:tcW w:w="1701" w:type="dxa"/>
            <w:tcBorders>
              <w:top w:val="nil"/>
              <w:left w:val="nil"/>
              <w:bottom w:val="single" w:sz="4" w:space="0" w:color="auto"/>
              <w:right w:val="nil"/>
            </w:tcBorders>
          </w:tcPr>
          <w:p w:rsidR="00000000" w:rsidRDefault="00590668">
            <w:pPr>
              <w:pStyle w:val="TableColHead"/>
            </w:pPr>
            <w:r>
              <w:t xml:space="preserve">Year and </w:t>
            </w:r>
            <w:r>
              <w:br/>
              <w:t>number</w:t>
            </w:r>
          </w:p>
        </w:tc>
        <w:tc>
          <w:tcPr>
            <w:tcW w:w="1667" w:type="dxa"/>
            <w:tcBorders>
              <w:top w:val="nil"/>
              <w:left w:val="nil"/>
              <w:bottom w:val="single" w:sz="4" w:space="0" w:color="auto"/>
              <w:right w:val="nil"/>
            </w:tcBorders>
          </w:tcPr>
          <w:p w:rsidR="00000000" w:rsidRDefault="00590668">
            <w:pPr>
              <w:pStyle w:val="TableColHead"/>
            </w:pPr>
            <w:r>
              <w:t xml:space="preserve">Date of notification </w:t>
            </w:r>
            <w:r>
              <w:br/>
              <w:t xml:space="preserve">in </w:t>
            </w:r>
            <w:r>
              <w:rPr>
                <w:i/>
                <w:iCs/>
              </w:rPr>
              <w:t>Gazette</w:t>
            </w:r>
          </w:p>
        </w:tc>
        <w:tc>
          <w:tcPr>
            <w:tcW w:w="2268" w:type="dxa"/>
            <w:tcBorders>
              <w:top w:val="nil"/>
              <w:left w:val="nil"/>
              <w:bottom w:val="single" w:sz="4" w:space="0" w:color="auto"/>
              <w:right w:val="nil"/>
            </w:tcBorders>
          </w:tcPr>
          <w:p w:rsidR="00000000" w:rsidRDefault="00590668">
            <w:pPr>
              <w:pStyle w:val="TableColHead"/>
            </w:pPr>
            <w:r>
              <w:t>Date of</w:t>
            </w:r>
            <w:r>
              <w:br/>
              <w:t>commencement</w:t>
            </w:r>
          </w:p>
        </w:tc>
        <w:tc>
          <w:tcPr>
            <w:tcW w:w="2268" w:type="dxa"/>
            <w:tcBorders>
              <w:top w:val="nil"/>
              <w:left w:val="nil"/>
              <w:bottom w:val="single" w:sz="4" w:space="0" w:color="auto"/>
              <w:right w:val="nil"/>
            </w:tcBorders>
          </w:tcPr>
          <w:p w:rsidR="00000000" w:rsidRDefault="00590668">
            <w:pPr>
              <w:pStyle w:val="TableColHead"/>
            </w:pPr>
            <w:r>
              <w:t>Application, saving or</w:t>
            </w:r>
            <w:r>
              <w:br/>
              <w:t>transitional provisions</w:t>
            </w:r>
          </w:p>
        </w:tc>
      </w:tr>
    </w:tbl>
    <w:p w:rsidR="00000000" w:rsidRDefault="00590668">
      <w:pPr>
        <w:spacing w:line="20" w:lineRule="exact"/>
        <w:ind w:right="332"/>
      </w:pPr>
    </w:p>
    <w:tbl>
      <w:tblPr>
        <w:tblW w:w="0" w:type="auto"/>
        <w:tblLayout w:type="fixed"/>
        <w:tblLook w:val="0000" w:firstRow="0" w:lastRow="0" w:firstColumn="0" w:lastColumn="0" w:noHBand="0" w:noVBand="0"/>
      </w:tblPr>
      <w:tblGrid>
        <w:gridCol w:w="1701"/>
        <w:gridCol w:w="1668"/>
        <w:gridCol w:w="2268"/>
        <w:gridCol w:w="2268"/>
      </w:tblGrid>
      <w:tr w:rsidR="00000000">
        <w:tblPrEx>
          <w:tblCellMar>
            <w:top w:w="0" w:type="dxa"/>
            <w:bottom w:w="0" w:type="dxa"/>
          </w:tblCellMar>
        </w:tblPrEx>
        <w:trPr>
          <w:cantSplit/>
        </w:trPr>
        <w:tc>
          <w:tcPr>
            <w:tcW w:w="1701" w:type="dxa"/>
            <w:tcBorders>
              <w:top w:val="nil"/>
              <w:left w:val="nil"/>
              <w:bottom w:val="nil"/>
              <w:right w:val="nil"/>
            </w:tcBorders>
          </w:tcPr>
          <w:p w:rsidR="00000000" w:rsidRDefault="00590668">
            <w:pPr>
              <w:pStyle w:val="TableOfStatRules"/>
            </w:pPr>
            <w:r>
              <w:t>1989 No. 177</w:t>
            </w:r>
          </w:p>
        </w:tc>
        <w:tc>
          <w:tcPr>
            <w:tcW w:w="1668" w:type="dxa"/>
            <w:tcBorders>
              <w:top w:val="nil"/>
              <w:left w:val="nil"/>
              <w:bottom w:val="nil"/>
              <w:right w:val="nil"/>
            </w:tcBorders>
          </w:tcPr>
          <w:p w:rsidR="00000000" w:rsidRDefault="00590668">
            <w:pPr>
              <w:pStyle w:val="TableOfStatRules"/>
            </w:pPr>
            <w:r>
              <w:t>6 July 1989</w:t>
            </w:r>
          </w:p>
        </w:tc>
        <w:tc>
          <w:tcPr>
            <w:tcW w:w="2268" w:type="dxa"/>
            <w:tcBorders>
              <w:top w:val="nil"/>
              <w:left w:val="nil"/>
              <w:bottom w:val="nil"/>
              <w:right w:val="nil"/>
            </w:tcBorders>
          </w:tcPr>
          <w:p w:rsidR="00000000" w:rsidRDefault="00590668">
            <w:pPr>
              <w:pStyle w:val="TableOfStatRules"/>
            </w:pPr>
            <w:r>
              <w:t>1 Aug 1989 (</w:t>
            </w:r>
            <w:r>
              <w:rPr>
                <w:i/>
                <w:iCs/>
              </w:rPr>
              <w:t xml:space="preserve">see Gazette </w:t>
            </w:r>
            <w:r>
              <w:t>1989, No. S240)</w:t>
            </w:r>
          </w:p>
        </w:tc>
        <w:tc>
          <w:tcPr>
            <w:tcW w:w="2268" w:type="dxa"/>
            <w:tcBorders>
              <w:top w:val="nil"/>
              <w:left w:val="nil"/>
              <w:bottom w:val="nil"/>
              <w:right w:val="nil"/>
            </w:tcBorders>
          </w:tcPr>
          <w:p w:rsidR="00000000" w:rsidRDefault="00590668">
            <w:pPr>
              <w:pStyle w:val="TableOfStatRules"/>
            </w:pPr>
          </w:p>
        </w:tc>
      </w:tr>
      <w:tr w:rsidR="00000000">
        <w:tblPrEx>
          <w:tblCellMar>
            <w:top w:w="0" w:type="dxa"/>
            <w:bottom w:w="0" w:type="dxa"/>
          </w:tblCellMar>
        </w:tblPrEx>
        <w:trPr>
          <w:cantSplit/>
        </w:trPr>
        <w:tc>
          <w:tcPr>
            <w:tcW w:w="1701" w:type="dxa"/>
            <w:tcBorders>
              <w:top w:val="nil"/>
              <w:left w:val="nil"/>
              <w:bottom w:val="nil"/>
              <w:right w:val="nil"/>
            </w:tcBorders>
          </w:tcPr>
          <w:p w:rsidR="00000000" w:rsidRDefault="00590668">
            <w:pPr>
              <w:pStyle w:val="TableOfStatRules"/>
            </w:pPr>
            <w:r>
              <w:t>1991 No. 302</w:t>
            </w:r>
          </w:p>
        </w:tc>
        <w:tc>
          <w:tcPr>
            <w:tcW w:w="1668" w:type="dxa"/>
            <w:tcBorders>
              <w:top w:val="nil"/>
              <w:left w:val="nil"/>
              <w:bottom w:val="nil"/>
              <w:right w:val="nil"/>
            </w:tcBorders>
          </w:tcPr>
          <w:p w:rsidR="00000000" w:rsidRDefault="00590668">
            <w:pPr>
              <w:pStyle w:val="TableOfStatRules"/>
            </w:pPr>
            <w:r>
              <w:t>30 Sept 1991</w:t>
            </w:r>
          </w:p>
        </w:tc>
        <w:tc>
          <w:tcPr>
            <w:tcW w:w="2268" w:type="dxa"/>
            <w:tcBorders>
              <w:top w:val="nil"/>
              <w:left w:val="nil"/>
              <w:bottom w:val="nil"/>
              <w:right w:val="nil"/>
            </w:tcBorders>
          </w:tcPr>
          <w:p w:rsidR="00000000" w:rsidRDefault="00590668">
            <w:pPr>
              <w:pStyle w:val="TableOfStatRules"/>
            </w:pPr>
            <w:r>
              <w:t>30 Sept 1991</w:t>
            </w:r>
          </w:p>
        </w:tc>
        <w:tc>
          <w:tcPr>
            <w:tcW w:w="2268" w:type="dxa"/>
            <w:tcBorders>
              <w:top w:val="nil"/>
              <w:left w:val="nil"/>
              <w:bottom w:val="nil"/>
              <w:right w:val="nil"/>
            </w:tcBorders>
          </w:tcPr>
          <w:p w:rsidR="00000000" w:rsidRDefault="00590668">
            <w:pPr>
              <w:pStyle w:val="TableOfStatRules"/>
            </w:pPr>
            <w:r>
              <w:t>—</w:t>
            </w:r>
          </w:p>
        </w:tc>
      </w:tr>
      <w:tr w:rsidR="00000000">
        <w:tblPrEx>
          <w:tblCellMar>
            <w:top w:w="0" w:type="dxa"/>
            <w:bottom w:w="0" w:type="dxa"/>
          </w:tblCellMar>
        </w:tblPrEx>
        <w:trPr>
          <w:cantSplit/>
        </w:trPr>
        <w:tc>
          <w:tcPr>
            <w:tcW w:w="1701" w:type="dxa"/>
            <w:tcBorders>
              <w:top w:val="nil"/>
              <w:left w:val="nil"/>
              <w:bottom w:val="nil"/>
              <w:right w:val="nil"/>
            </w:tcBorders>
          </w:tcPr>
          <w:p w:rsidR="00000000" w:rsidRDefault="00590668">
            <w:pPr>
              <w:pStyle w:val="TableOfStatRules"/>
            </w:pPr>
            <w:r>
              <w:t>1994 No. 295</w:t>
            </w:r>
          </w:p>
        </w:tc>
        <w:tc>
          <w:tcPr>
            <w:tcW w:w="1668" w:type="dxa"/>
            <w:tcBorders>
              <w:top w:val="nil"/>
              <w:left w:val="nil"/>
              <w:bottom w:val="nil"/>
              <w:right w:val="nil"/>
            </w:tcBorders>
          </w:tcPr>
          <w:p w:rsidR="00000000" w:rsidRDefault="00590668">
            <w:pPr>
              <w:pStyle w:val="TableOfStatRules"/>
            </w:pPr>
            <w:r>
              <w:t>31 Aug 1994</w:t>
            </w:r>
          </w:p>
        </w:tc>
        <w:tc>
          <w:tcPr>
            <w:tcW w:w="2268" w:type="dxa"/>
            <w:tcBorders>
              <w:top w:val="nil"/>
              <w:left w:val="nil"/>
              <w:bottom w:val="nil"/>
              <w:right w:val="nil"/>
            </w:tcBorders>
          </w:tcPr>
          <w:p w:rsidR="00000000" w:rsidRDefault="00590668">
            <w:pPr>
              <w:pStyle w:val="TableOfStatRules"/>
            </w:pPr>
            <w:r>
              <w:t>1 Sept 1994</w:t>
            </w:r>
          </w:p>
        </w:tc>
        <w:tc>
          <w:tcPr>
            <w:tcW w:w="2268" w:type="dxa"/>
            <w:tcBorders>
              <w:top w:val="nil"/>
              <w:left w:val="nil"/>
              <w:bottom w:val="nil"/>
              <w:right w:val="nil"/>
            </w:tcBorders>
          </w:tcPr>
          <w:p w:rsidR="00000000" w:rsidRDefault="00590668">
            <w:pPr>
              <w:pStyle w:val="TableOfStatRules"/>
            </w:pPr>
            <w:r>
              <w:t>—</w:t>
            </w:r>
          </w:p>
        </w:tc>
      </w:tr>
      <w:tr w:rsidR="00000000">
        <w:tblPrEx>
          <w:tblCellMar>
            <w:top w:w="0" w:type="dxa"/>
            <w:bottom w:w="0" w:type="dxa"/>
          </w:tblCellMar>
        </w:tblPrEx>
        <w:trPr>
          <w:cantSplit/>
        </w:trPr>
        <w:tc>
          <w:tcPr>
            <w:tcW w:w="1701" w:type="dxa"/>
            <w:tcBorders>
              <w:top w:val="nil"/>
              <w:left w:val="nil"/>
              <w:bottom w:val="nil"/>
              <w:right w:val="nil"/>
            </w:tcBorders>
          </w:tcPr>
          <w:p w:rsidR="00000000" w:rsidRDefault="00590668">
            <w:pPr>
              <w:pStyle w:val="TableOfStatRules"/>
            </w:pPr>
            <w:r>
              <w:t>1995 No. 416</w:t>
            </w:r>
          </w:p>
        </w:tc>
        <w:tc>
          <w:tcPr>
            <w:tcW w:w="1668" w:type="dxa"/>
            <w:tcBorders>
              <w:top w:val="nil"/>
              <w:left w:val="nil"/>
              <w:bottom w:val="nil"/>
              <w:right w:val="nil"/>
            </w:tcBorders>
          </w:tcPr>
          <w:p w:rsidR="00000000" w:rsidRDefault="00590668">
            <w:pPr>
              <w:pStyle w:val="TableOfStatRules"/>
            </w:pPr>
            <w:r>
              <w:t>19 Dec 1995</w:t>
            </w:r>
          </w:p>
        </w:tc>
        <w:tc>
          <w:tcPr>
            <w:tcW w:w="2268" w:type="dxa"/>
            <w:tcBorders>
              <w:top w:val="nil"/>
              <w:left w:val="nil"/>
              <w:bottom w:val="nil"/>
              <w:right w:val="nil"/>
            </w:tcBorders>
          </w:tcPr>
          <w:p w:rsidR="00000000" w:rsidRDefault="00590668">
            <w:pPr>
              <w:pStyle w:val="TableOfStatRules"/>
            </w:pPr>
            <w:r>
              <w:t>19 Dec 1995</w:t>
            </w:r>
          </w:p>
        </w:tc>
        <w:tc>
          <w:tcPr>
            <w:tcW w:w="2268" w:type="dxa"/>
            <w:tcBorders>
              <w:top w:val="nil"/>
              <w:left w:val="nil"/>
              <w:bottom w:val="nil"/>
              <w:right w:val="nil"/>
            </w:tcBorders>
          </w:tcPr>
          <w:p w:rsidR="00000000" w:rsidRDefault="00590668">
            <w:pPr>
              <w:pStyle w:val="TableOfStatRules"/>
            </w:pPr>
            <w:r>
              <w:t>—</w:t>
            </w:r>
          </w:p>
        </w:tc>
      </w:tr>
      <w:tr w:rsidR="00000000">
        <w:tblPrEx>
          <w:tblCellMar>
            <w:top w:w="0" w:type="dxa"/>
            <w:bottom w:w="0" w:type="dxa"/>
          </w:tblCellMar>
        </w:tblPrEx>
        <w:trPr>
          <w:cantSplit/>
        </w:trPr>
        <w:tc>
          <w:tcPr>
            <w:tcW w:w="1701" w:type="dxa"/>
            <w:tcBorders>
              <w:top w:val="nil"/>
              <w:left w:val="nil"/>
              <w:bottom w:val="single" w:sz="4" w:space="0" w:color="auto"/>
              <w:right w:val="nil"/>
            </w:tcBorders>
          </w:tcPr>
          <w:p w:rsidR="00000000" w:rsidRDefault="00590668">
            <w:pPr>
              <w:pStyle w:val="TableOfStatRules"/>
              <w:spacing w:after="60"/>
            </w:pPr>
            <w:r>
              <w:t>1999 No. 199</w:t>
            </w:r>
          </w:p>
        </w:tc>
        <w:tc>
          <w:tcPr>
            <w:tcW w:w="1668" w:type="dxa"/>
            <w:tcBorders>
              <w:top w:val="nil"/>
              <w:left w:val="nil"/>
              <w:bottom w:val="single" w:sz="4" w:space="0" w:color="auto"/>
              <w:right w:val="nil"/>
            </w:tcBorders>
          </w:tcPr>
          <w:p w:rsidR="00000000" w:rsidRDefault="00590668">
            <w:pPr>
              <w:pStyle w:val="TableOfStatRules"/>
              <w:spacing w:after="60"/>
            </w:pPr>
            <w:r>
              <w:t>10 Sept 1999</w:t>
            </w:r>
          </w:p>
        </w:tc>
        <w:tc>
          <w:tcPr>
            <w:tcW w:w="2268" w:type="dxa"/>
            <w:tcBorders>
              <w:top w:val="nil"/>
              <w:left w:val="nil"/>
              <w:bottom w:val="single" w:sz="4" w:space="0" w:color="auto"/>
              <w:right w:val="nil"/>
            </w:tcBorders>
          </w:tcPr>
          <w:p w:rsidR="00000000" w:rsidRDefault="00590668">
            <w:pPr>
              <w:pStyle w:val="TableOfStatRules"/>
              <w:spacing w:after="60"/>
            </w:pPr>
            <w:r>
              <w:t>10 Sept 1999</w:t>
            </w:r>
          </w:p>
        </w:tc>
        <w:tc>
          <w:tcPr>
            <w:tcW w:w="2268" w:type="dxa"/>
            <w:tcBorders>
              <w:top w:val="nil"/>
              <w:left w:val="nil"/>
              <w:bottom w:val="single" w:sz="4" w:space="0" w:color="auto"/>
              <w:right w:val="nil"/>
            </w:tcBorders>
          </w:tcPr>
          <w:p w:rsidR="00000000" w:rsidRDefault="00590668">
            <w:pPr>
              <w:pStyle w:val="TableOfStatRules"/>
              <w:spacing w:after="60"/>
            </w:pPr>
            <w:r>
              <w:t>—</w:t>
            </w:r>
          </w:p>
        </w:tc>
      </w:tr>
    </w:tbl>
    <w:p w:rsidR="00000000" w:rsidRDefault="00590668">
      <w:pPr>
        <w:pStyle w:val="TableEnotesHeading"/>
      </w:pPr>
      <w:r>
        <w:rPr>
          <w:rStyle w:val="CharENotesHeading"/>
        </w:rPr>
        <w:lastRenderedPageBreak/>
        <w:t>Table of Amendments</w:t>
      </w:r>
    </w:p>
    <w:tbl>
      <w:tblPr>
        <w:tblW w:w="0" w:type="auto"/>
        <w:tblLayout w:type="fixed"/>
        <w:tblLook w:val="0000" w:firstRow="0" w:lastRow="0" w:firstColumn="0" w:lastColumn="0" w:noHBand="0" w:noVBand="0"/>
      </w:tblPr>
      <w:tblGrid>
        <w:gridCol w:w="2438"/>
        <w:gridCol w:w="5467"/>
      </w:tblGrid>
      <w:tr w:rsidR="00000000">
        <w:tblPrEx>
          <w:tblCellMar>
            <w:top w:w="0" w:type="dxa"/>
            <w:bottom w:w="0" w:type="dxa"/>
          </w:tblCellMar>
        </w:tblPrEx>
        <w:trPr>
          <w:cantSplit/>
          <w:tblHeader/>
        </w:trPr>
        <w:tc>
          <w:tcPr>
            <w:tcW w:w="7905" w:type="dxa"/>
            <w:gridSpan w:val="2"/>
            <w:tcBorders>
              <w:top w:val="nil"/>
              <w:left w:val="nil"/>
              <w:bottom w:val="nil"/>
              <w:right w:val="nil"/>
            </w:tcBorders>
          </w:tcPr>
          <w:p w:rsidR="00000000" w:rsidRDefault="00590668">
            <w:pPr>
              <w:pStyle w:val="TableOfAmend"/>
              <w:spacing w:after="60"/>
            </w:pPr>
            <w:r>
              <w:t>ad. = added or inserted      am. = amended      rep. = repealed      rs. = repealed and substituted</w:t>
            </w:r>
          </w:p>
        </w:tc>
      </w:tr>
      <w:tr w:rsidR="00000000">
        <w:tblPrEx>
          <w:tblCellMar>
            <w:top w:w="0" w:type="dxa"/>
            <w:bottom w:w="0" w:type="dxa"/>
          </w:tblCellMar>
        </w:tblPrEx>
        <w:trPr>
          <w:cantSplit/>
          <w:tblHeader/>
        </w:trPr>
        <w:tc>
          <w:tcPr>
            <w:tcW w:w="2438" w:type="dxa"/>
            <w:tcBorders>
              <w:top w:val="single" w:sz="4" w:space="0" w:color="auto"/>
              <w:left w:val="nil"/>
              <w:bottom w:val="single" w:sz="4" w:space="0" w:color="auto"/>
              <w:right w:val="nil"/>
            </w:tcBorders>
          </w:tcPr>
          <w:p w:rsidR="00000000" w:rsidRDefault="00590668">
            <w:pPr>
              <w:pStyle w:val="TableColHead"/>
            </w:pPr>
            <w:r>
              <w:t>Provision affected</w:t>
            </w:r>
          </w:p>
        </w:tc>
        <w:tc>
          <w:tcPr>
            <w:tcW w:w="5467" w:type="dxa"/>
            <w:tcBorders>
              <w:top w:val="single" w:sz="4" w:space="0" w:color="auto"/>
              <w:left w:val="nil"/>
              <w:bottom w:val="single" w:sz="4" w:space="0" w:color="auto"/>
              <w:right w:val="nil"/>
            </w:tcBorders>
          </w:tcPr>
          <w:p w:rsidR="00000000" w:rsidRDefault="00590668">
            <w:pPr>
              <w:pStyle w:val="TableColHead"/>
            </w:pPr>
            <w:r>
              <w:t>How affected</w:t>
            </w:r>
          </w:p>
        </w:tc>
      </w:tr>
      <w:tr w:rsidR="00000000">
        <w:tblPrEx>
          <w:tblCellMar>
            <w:top w:w="0" w:type="dxa"/>
            <w:bottom w:w="0" w:type="dxa"/>
          </w:tblCellMar>
        </w:tblPrEx>
        <w:trPr>
          <w:cantSplit/>
        </w:trPr>
        <w:tc>
          <w:tcPr>
            <w:tcW w:w="2438" w:type="dxa"/>
            <w:tcBorders>
              <w:top w:val="nil"/>
              <w:left w:val="nil"/>
              <w:bottom w:val="nil"/>
              <w:right w:val="nil"/>
            </w:tcBorders>
          </w:tcPr>
          <w:p w:rsidR="00000000" w:rsidRDefault="00590668">
            <w:pPr>
              <w:pStyle w:val="TableOfAmend"/>
            </w:pPr>
            <w:r>
              <w:t>R. 1</w:t>
            </w:r>
            <w:r>
              <w:tab/>
            </w:r>
          </w:p>
        </w:tc>
        <w:tc>
          <w:tcPr>
            <w:tcW w:w="5467" w:type="dxa"/>
            <w:tcBorders>
              <w:top w:val="nil"/>
              <w:left w:val="nil"/>
              <w:bottom w:val="nil"/>
              <w:right w:val="nil"/>
            </w:tcBorders>
          </w:tcPr>
          <w:p w:rsidR="00000000" w:rsidRDefault="00590668">
            <w:pPr>
              <w:pStyle w:val="TableOfAmend"/>
            </w:pPr>
            <w:r>
              <w:t>rs. 1999 No. 199</w:t>
            </w:r>
          </w:p>
        </w:tc>
      </w:tr>
      <w:tr w:rsidR="00000000">
        <w:tblPrEx>
          <w:tblCellMar>
            <w:top w:w="0" w:type="dxa"/>
            <w:bottom w:w="0" w:type="dxa"/>
          </w:tblCellMar>
        </w:tblPrEx>
        <w:trPr>
          <w:cantSplit/>
        </w:trPr>
        <w:tc>
          <w:tcPr>
            <w:tcW w:w="2438" w:type="dxa"/>
            <w:tcBorders>
              <w:top w:val="nil"/>
              <w:left w:val="nil"/>
              <w:bottom w:val="nil"/>
              <w:right w:val="nil"/>
            </w:tcBorders>
          </w:tcPr>
          <w:p w:rsidR="00000000" w:rsidRDefault="00590668">
            <w:pPr>
              <w:pStyle w:val="TableOfAmend"/>
            </w:pPr>
            <w:r>
              <w:t>R. 2</w:t>
            </w:r>
            <w:r>
              <w:tab/>
            </w:r>
          </w:p>
        </w:tc>
        <w:tc>
          <w:tcPr>
            <w:tcW w:w="5467" w:type="dxa"/>
            <w:tcBorders>
              <w:top w:val="nil"/>
              <w:left w:val="nil"/>
              <w:bottom w:val="nil"/>
              <w:right w:val="nil"/>
            </w:tcBorders>
          </w:tcPr>
          <w:p w:rsidR="00000000" w:rsidRDefault="00590668">
            <w:pPr>
              <w:pStyle w:val="TableOfAmend"/>
            </w:pPr>
            <w:r>
              <w:t>am. 1995 No. 416; 1999 No. 199</w:t>
            </w:r>
          </w:p>
        </w:tc>
      </w:tr>
      <w:tr w:rsidR="00000000">
        <w:tblPrEx>
          <w:tblCellMar>
            <w:top w:w="0" w:type="dxa"/>
            <w:bottom w:w="0" w:type="dxa"/>
          </w:tblCellMar>
        </w:tblPrEx>
        <w:trPr>
          <w:cantSplit/>
        </w:trPr>
        <w:tc>
          <w:tcPr>
            <w:tcW w:w="2438" w:type="dxa"/>
            <w:tcBorders>
              <w:top w:val="nil"/>
              <w:left w:val="nil"/>
              <w:bottom w:val="nil"/>
              <w:right w:val="nil"/>
            </w:tcBorders>
          </w:tcPr>
          <w:p w:rsidR="00000000" w:rsidRDefault="00590668">
            <w:pPr>
              <w:pStyle w:val="TableOfAmend"/>
            </w:pPr>
            <w:r>
              <w:t>R. 3</w:t>
            </w:r>
            <w:r>
              <w:tab/>
            </w:r>
          </w:p>
        </w:tc>
        <w:tc>
          <w:tcPr>
            <w:tcW w:w="5467" w:type="dxa"/>
            <w:tcBorders>
              <w:top w:val="nil"/>
              <w:left w:val="nil"/>
              <w:bottom w:val="nil"/>
              <w:right w:val="nil"/>
            </w:tcBorders>
          </w:tcPr>
          <w:p w:rsidR="00000000" w:rsidRDefault="00590668">
            <w:pPr>
              <w:pStyle w:val="TableOfAmend"/>
            </w:pPr>
            <w:r>
              <w:t>am. 1991 No. 302; 1994 No. 295; 1995 N</w:t>
            </w:r>
            <w:r>
              <w:t>o. 416; 1999 No. 199</w:t>
            </w:r>
          </w:p>
        </w:tc>
      </w:tr>
      <w:tr w:rsidR="00000000">
        <w:tblPrEx>
          <w:tblCellMar>
            <w:top w:w="0" w:type="dxa"/>
            <w:bottom w:w="0" w:type="dxa"/>
          </w:tblCellMar>
        </w:tblPrEx>
        <w:trPr>
          <w:cantSplit/>
        </w:trPr>
        <w:tc>
          <w:tcPr>
            <w:tcW w:w="2438" w:type="dxa"/>
            <w:tcBorders>
              <w:top w:val="nil"/>
              <w:left w:val="nil"/>
              <w:bottom w:val="single" w:sz="4" w:space="0" w:color="auto"/>
              <w:right w:val="nil"/>
            </w:tcBorders>
          </w:tcPr>
          <w:p w:rsidR="00000000" w:rsidRDefault="00590668">
            <w:pPr>
              <w:pStyle w:val="TableOfAmend"/>
              <w:spacing w:after="60"/>
            </w:pPr>
            <w:r>
              <w:t>Rr. 4, 5</w:t>
            </w:r>
            <w:r>
              <w:tab/>
            </w:r>
          </w:p>
        </w:tc>
        <w:tc>
          <w:tcPr>
            <w:tcW w:w="5467" w:type="dxa"/>
            <w:tcBorders>
              <w:top w:val="nil"/>
              <w:left w:val="nil"/>
              <w:bottom w:val="single" w:sz="4" w:space="0" w:color="auto"/>
              <w:right w:val="nil"/>
            </w:tcBorders>
          </w:tcPr>
          <w:p w:rsidR="00000000" w:rsidRDefault="00590668">
            <w:pPr>
              <w:pStyle w:val="TableOfAmend"/>
              <w:spacing w:after="60"/>
            </w:pPr>
            <w:r>
              <w:t>ad. 1999 No. 199</w:t>
            </w:r>
          </w:p>
        </w:tc>
      </w:tr>
    </w:tbl>
    <w:p w:rsidR="00000000" w:rsidRDefault="00590668">
      <w:pPr>
        <w:pStyle w:val="NotesSectionBreak"/>
        <w:sectPr w:rsidR="00000000">
          <w:headerReference w:type="even" r:id="rId169"/>
          <w:headerReference w:type="default" r:id="rId170"/>
          <w:footerReference w:type="even" r:id="rId171"/>
          <w:footerReference w:type="default" r:id="rId172"/>
          <w:pgSz w:w="11900" w:h="16840" w:code="9"/>
          <w:pgMar w:top="2466" w:right="2098" w:bottom="2466" w:left="2098" w:header="1899" w:footer="1899" w:gutter="0"/>
          <w:cols w:space="709"/>
        </w:sectPr>
      </w:pPr>
    </w:p>
    <w:p w:rsidR="00000000" w:rsidRDefault="00590668"/>
    <w:p w:rsidR="00000000" w:rsidRDefault="00590668">
      <w:pPr>
        <w:spacing w:line="1800" w:lineRule="atLeast"/>
      </w:pPr>
      <w:r>
        <w:rPr>
          <w:sz w:val="20"/>
          <w:szCs w:val="20"/>
        </w:rPr>
        <w:pict>
          <v:shape id="_x0000_i1046" type="#_x0000_t75" style="width:109.5pt;height:87pt" fillcolor="window">
            <v:imagedata r:id="rId158" o:title=""/>
          </v:shape>
        </w:pict>
      </w:r>
    </w:p>
    <w:p w:rsidR="00000000" w:rsidRDefault="00590668">
      <w:pPr>
        <w:pStyle w:val="Title"/>
      </w:pPr>
      <w:r>
        <w:t>Foreign Acquisitions and Takeovers (Notices) Regulations</w:t>
      </w:r>
    </w:p>
    <w:p w:rsidR="00000000" w:rsidRDefault="00590668">
      <w:pPr>
        <w:pStyle w:val="CoverStatRule"/>
      </w:pPr>
      <w:r>
        <w:t>Statutory Rules 1975 No. 226 as amended</w:t>
      </w:r>
    </w:p>
    <w:p w:rsidR="00000000" w:rsidRDefault="00590668">
      <w:pPr>
        <w:pStyle w:val="CoverMade"/>
      </w:pPr>
      <w:r>
        <w:t>made under the</w:t>
      </w:r>
    </w:p>
    <w:p w:rsidR="00000000" w:rsidRDefault="00590668">
      <w:pPr>
        <w:pStyle w:val="CoverAct"/>
      </w:pPr>
      <w:r>
        <w:t>Foreign Acquisitions and Takeovers Act 1975</w:t>
      </w:r>
    </w:p>
    <w:p w:rsidR="00000000" w:rsidRDefault="00590668">
      <w:pPr>
        <w:pStyle w:val="CoverUpdate"/>
      </w:pPr>
      <w:r>
        <w:t>This compilation was prepared on</w:t>
      </w:r>
      <w:r>
        <w:t xml:space="preserve"> 20 November 2000</w:t>
      </w:r>
      <w:r>
        <w:br/>
        <w:t>taking into account amendments up to SR 1989 No. 197</w:t>
      </w:r>
    </w:p>
    <w:p w:rsidR="00000000" w:rsidRDefault="00590668">
      <w:pPr>
        <w:pStyle w:val="CoverUpdate"/>
      </w:pPr>
      <w:r>
        <w:t>Prepared by the Office of Legislative Drafting,</w:t>
      </w:r>
      <w:r>
        <w:br/>
        <w:t>Attorney-General’s Department, Canberra</w:t>
      </w:r>
    </w:p>
    <w:p w:rsidR="00000000" w:rsidRDefault="00590668">
      <w:pPr>
        <w:pStyle w:val="CoverUpdate"/>
      </w:pPr>
    </w:p>
    <w:p w:rsidR="00000000" w:rsidRDefault="00590668">
      <w:pPr>
        <w:pStyle w:val="CoverUpdate"/>
        <w:sectPr w:rsidR="00000000">
          <w:headerReference w:type="even" r:id="rId173"/>
          <w:headerReference w:type="default" r:id="rId174"/>
          <w:footerReference w:type="even" r:id="rId175"/>
          <w:footerReference w:type="default" r:id="rId176"/>
          <w:pgSz w:w="11900" w:h="16840" w:code="9"/>
          <w:pgMar w:top="2466" w:right="2098" w:bottom="2466" w:left="2098" w:header="1899" w:footer="1899" w:gutter="0"/>
          <w:cols w:space="709"/>
        </w:sectPr>
      </w:pPr>
    </w:p>
    <w:p w:rsidR="00000000" w:rsidRDefault="00590668">
      <w:pPr>
        <w:pStyle w:val="CoverUpdate"/>
      </w:pPr>
    </w:p>
    <w:p w:rsidR="00000000" w:rsidRDefault="00590668">
      <w:pPr>
        <w:pStyle w:val="SigningPageBreak"/>
        <w:sectPr w:rsidR="00000000">
          <w:headerReference w:type="even" r:id="rId177"/>
          <w:headerReference w:type="default" r:id="rId178"/>
          <w:footerReference w:type="even" r:id="rId179"/>
          <w:footerReference w:type="default" r:id="rId180"/>
          <w:pgSz w:w="11900" w:h="16840" w:code="9"/>
          <w:pgMar w:top="2466" w:right="2098" w:bottom="2466" w:left="2098" w:header="1899" w:footer="1899" w:gutter="0"/>
          <w:cols w:space="709"/>
        </w:sectPr>
      </w:pPr>
    </w:p>
    <w:p w:rsidR="00000000" w:rsidRDefault="00590668">
      <w:pPr>
        <w:pStyle w:val="ContentsHead"/>
      </w:pPr>
      <w:r>
        <w:lastRenderedPageBreak/>
        <w:t>Contents</w:t>
      </w:r>
    </w:p>
    <w:p w:rsidR="00000000" w:rsidRDefault="00590668">
      <w:pPr>
        <w:pStyle w:val="TOC5"/>
      </w:pPr>
      <w:r>
        <w:tab/>
      </w:r>
      <w:r>
        <w:fldChar w:fldCharType="begin"/>
      </w:r>
      <w:r>
        <w:instrText xml:space="preserve"> TOC \o "1-9" \t "HC,1, HP,2, HD,3, HS,4, HR,5, RGHead,7, Schedule title,6, Schedule part,8, RX.SC,8, Dictionary Heading,9, Note Heading,9" </w:instrText>
      </w:r>
      <w:r>
        <w:fldChar w:fldCharType="separate"/>
      </w:r>
      <w:r>
        <w:t>1</w:t>
      </w:r>
      <w:r>
        <w:tab/>
        <w:t>Citation [</w:t>
      </w:r>
      <w:r>
        <w:rPr>
          <w:i/>
          <w:iCs/>
        </w:rPr>
        <w:t xml:space="preserve">see </w:t>
      </w:r>
      <w:r>
        <w:t>Note 1]</w:t>
      </w:r>
    </w:p>
    <w:p w:rsidR="00000000" w:rsidRDefault="00590668">
      <w:pPr>
        <w:pStyle w:val="TOC5"/>
      </w:pPr>
      <w:r>
        <w:tab/>
        <w:t>2</w:t>
      </w:r>
      <w:r>
        <w:tab/>
        <w:t>Commencement [</w:t>
      </w:r>
      <w:r>
        <w:rPr>
          <w:i/>
          <w:iCs/>
        </w:rPr>
        <w:t xml:space="preserve">see </w:t>
      </w:r>
      <w:r>
        <w:t>Note 1]</w:t>
      </w:r>
    </w:p>
    <w:p w:rsidR="00000000" w:rsidRDefault="00590668">
      <w:pPr>
        <w:pStyle w:val="TOC5"/>
      </w:pPr>
      <w:r>
        <w:tab/>
        <w:t>3</w:t>
      </w:r>
      <w:r>
        <w:tab/>
        <w:t>Interpretation</w:t>
      </w:r>
    </w:p>
    <w:p w:rsidR="00000000" w:rsidRDefault="00590668">
      <w:pPr>
        <w:pStyle w:val="TOC5"/>
      </w:pPr>
      <w:r>
        <w:tab/>
        <w:t>4</w:t>
      </w:r>
      <w:r>
        <w:tab/>
        <w:t>Prescribed forms of notice</w:t>
      </w:r>
    </w:p>
    <w:p w:rsidR="00000000" w:rsidRDefault="00590668">
      <w:pPr>
        <w:pStyle w:val="TOC5"/>
      </w:pPr>
      <w:r>
        <w:tab/>
        <w:t>5</w:t>
      </w:r>
      <w:r>
        <w:tab/>
        <w:t xml:space="preserve">Balance sheet and profit and loss account to be furnished by </w:t>
      </w:r>
      <w:r>
        <w:br/>
      </w:r>
      <w:r>
        <w:tab/>
        <w:t>corporation</w:t>
      </w:r>
    </w:p>
    <w:p w:rsidR="00000000" w:rsidRDefault="00590668">
      <w:pPr>
        <w:pStyle w:val="TOC5"/>
      </w:pPr>
      <w:r>
        <w:tab/>
        <w:t>6</w:t>
      </w:r>
      <w:r>
        <w:tab/>
        <w:t>Documents relating to agreement or arrangement</w:t>
      </w:r>
    </w:p>
    <w:p w:rsidR="00000000" w:rsidRDefault="00590668">
      <w:pPr>
        <w:pStyle w:val="TOC5"/>
      </w:pPr>
      <w:r>
        <w:tab/>
        <w:t>7</w:t>
      </w:r>
      <w:r>
        <w:tab/>
        <w:t>Constituent document</w:t>
      </w:r>
    </w:p>
    <w:p w:rsidR="00000000" w:rsidRDefault="00590668">
      <w:pPr>
        <w:pStyle w:val="TOC5"/>
      </w:pPr>
      <w:r>
        <w:tab/>
        <w:t>8</w:t>
      </w:r>
      <w:r>
        <w:tab/>
        <w:t>Person signing notice</w:t>
      </w:r>
    </w:p>
    <w:p w:rsidR="00000000" w:rsidRDefault="00590668">
      <w:pPr>
        <w:pStyle w:val="TOC6"/>
        <w:rPr>
          <w:noProof/>
        </w:rPr>
      </w:pPr>
      <w:r>
        <w:rPr>
          <w:noProof/>
        </w:rPr>
        <w:t>Schedule</w:t>
      </w:r>
    </w:p>
    <w:p w:rsidR="00000000" w:rsidRDefault="00590668">
      <w:pPr>
        <w:pStyle w:val="TOC9"/>
      </w:pPr>
      <w:r>
        <w:t>Notes</w:t>
      </w:r>
    </w:p>
    <w:p w:rsidR="00000000" w:rsidRDefault="00590668">
      <w:pPr>
        <w:pStyle w:val="TOC"/>
      </w:pPr>
      <w:r>
        <w:fldChar w:fldCharType="end"/>
      </w:r>
    </w:p>
    <w:p w:rsidR="00000000" w:rsidRDefault="00590668">
      <w:pPr>
        <w:pStyle w:val="ContentsSectionBreak"/>
        <w:sectPr w:rsidR="00000000">
          <w:headerReference w:type="even" r:id="rId181"/>
          <w:headerReference w:type="default" r:id="rId182"/>
          <w:footerReference w:type="even" r:id="rId183"/>
          <w:footerReference w:type="default" r:id="rId184"/>
          <w:headerReference w:type="first" r:id="rId185"/>
          <w:footerReference w:type="first" r:id="rId186"/>
          <w:pgSz w:w="11900" w:h="16840" w:code="9"/>
          <w:pgMar w:top="2466" w:right="2098" w:bottom="2466" w:left="2098" w:header="1899" w:footer="1899" w:gutter="0"/>
          <w:cols w:space="709"/>
          <w:titlePg/>
        </w:sectPr>
      </w:pPr>
    </w:p>
    <w:p w:rsidR="00000000" w:rsidRDefault="00590668">
      <w:pPr>
        <w:pStyle w:val="HR"/>
      </w:pPr>
      <w:r>
        <w:lastRenderedPageBreak/>
        <w:t>1.</w:t>
      </w:r>
      <w:r>
        <w:tab/>
        <w:t>Citation</w:t>
      </w:r>
      <w:r>
        <w:rPr>
          <w:sz w:val="16"/>
          <w:szCs w:val="16"/>
        </w:rPr>
        <w:t xml:space="preserve"> </w:t>
      </w:r>
      <w:r>
        <w:rPr>
          <w:b w:val="0"/>
          <w:bCs w:val="0"/>
          <w:sz w:val="18"/>
          <w:szCs w:val="18"/>
        </w:rPr>
        <w:t>[</w:t>
      </w:r>
      <w:r>
        <w:rPr>
          <w:b w:val="0"/>
          <w:bCs w:val="0"/>
          <w:i/>
          <w:iCs/>
          <w:sz w:val="18"/>
          <w:szCs w:val="18"/>
        </w:rPr>
        <w:t xml:space="preserve">see </w:t>
      </w:r>
      <w:r>
        <w:rPr>
          <w:b w:val="0"/>
          <w:bCs w:val="0"/>
          <w:sz w:val="18"/>
          <w:szCs w:val="18"/>
        </w:rPr>
        <w:t>Note 1]</w:t>
      </w:r>
    </w:p>
    <w:p w:rsidR="00000000" w:rsidRDefault="00590668">
      <w:pPr>
        <w:pStyle w:val="R1"/>
      </w:pPr>
      <w:r>
        <w:tab/>
      </w:r>
      <w:r>
        <w:tab/>
      </w:r>
      <w:r>
        <w:t>These Regulations may be cited as the Foreign Acquisitions and Takeovers (Notices) Regulations.</w:t>
      </w:r>
    </w:p>
    <w:p w:rsidR="00000000" w:rsidRDefault="00590668">
      <w:pPr>
        <w:pStyle w:val="HR"/>
      </w:pPr>
      <w:r>
        <w:rPr>
          <w:rStyle w:val="CharSectno"/>
        </w:rPr>
        <w:t>2</w:t>
      </w:r>
      <w:r>
        <w:tab/>
        <w:t>Commencement</w:t>
      </w:r>
      <w:r>
        <w:rPr>
          <w:sz w:val="16"/>
          <w:szCs w:val="16"/>
        </w:rPr>
        <w:t xml:space="preserve"> </w:t>
      </w:r>
      <w:r>
        <w:rPr>
          <w:b w:val="0"/>
          <w:bCs w:val="0"/>
          <w:sz w:val="18"/>
          <w:szCs w:val="18"/>
        </w:rPr>
        <w:t>[</w:t>
      </w:r>
      <w:r>
        <w:rPr>
          <w:b w:val="0"/>
          <w:bCs w:val="0"/>
          <w:i/>
          <w:iCs/>
          <w:sz w:val="18"/>
          <w:szCs w:val="18"/>
        </w:rPr>
        <w:t xml:space="preserve">see </w:t>
      </w:r>
      <w:r>
        <w:rPr>
          <w:b w:val="0"/>
          <w:bCs w:val="0"/>
          <w:sz w:val="18"/>
          <w:szCs w:val="18"/>
        </w:rPr>
        <w:t>Note 1]</w:t>
      </w:r>
    </w:p>
    <w:p w:rsidR="00000000" w:rsidRDefault="00590668">
      <w:pPr>
        <w:pStyle w:val="R1"/>
      </w:pPr>
      <w:r>
        <w:tab/>
      </w:r>
      <w:r>
        <w:tab/>
        <w:t>These Regulations shall come into operation on the date of commencement of the Act.</w:t>
      </w:r>
    </w:p>
    <w:p w:rsidR="00000000" w:rsidRDefault="00590668">
      <w:pPr>
        <w:pStyle w:val="HR"/>
      </w:pPr>
      <w:r>
        <w:rPr>
          <w:rStyle w:val="CharSectno"/>
        </w:rPr>
        <w:t>3</w:t>
      </w:r>
      <w:r>
        <w:tab/>
        <w:t>Interpretation</w:t>
      </w:r>
    </w:p>
    <w:p w:rsidR="00000000" w:rsidRDefault="00590668">
      <w:pPr>
        <w:pStyle w:val="R1"/>
      </w:pPr>
      <w:r>
        <w:tab/>
      </w:r>
      <w:r>
        <w:tab/>
        <w:t xml:space="preserve">In these Regulations, </w:t>
      </w:r>
      <w:r>
        <w:rPr>
          <w:b/>
          <w:bCs/>
          <w:i/>
          <w:iCs/>
        </w:rPr>
        <w:t>the A</w:t>
      </w:r>
      <w:r>
        <w:rPr>
          <w:b/>
          <w:bCs/>
          <w:i/>
          <w:iCs/>
        </w:rPr>
        <w:t>ct</w:t>
      </w:r>
      <w:r>
        <w:t xml:space="preserve"> means the </w:t>
      </w:r>
      <w:r>
        <w:rPr>
          <w:i/>
          <w:iCs/>
        </w:rPr>
        <w:t>Foreign Acquisitions and Takeovers Act 1975</w:t>
      </w:r>
      <w:r>
        <w:t>.</w:t>
      </w:r>
    </w:p>
    <w:p w:rsidR="00000000" w:rsidRDefault="00590668">
      <w:pPr>
        <w:pStyle w:val="HR"/>
      </w:pPr>
      <w:r>
        <w:rPr>
          <w:rStyle w:val="CharSectno"/>
        </w:rPr>
        <w:t>4</w:t>
      </w:r>
      <w:r>
        <w:tab/>
        <w:t>Prescribed forms of notice</w:t>
      </w:r>
    </w:p>
    <w:p w:rsidR="00000000" w:rsidRDefault="00590668">
      <w:pPr>
        <w:pStyle w:val="R1"/>
      </w:pPr>
      <w:r>
        <w:tab/>
        <w:t>(1)</w:t>
      </w:r>
      <w:r>
        <w:tab/>
        <w:t>The prescribed form of notice under section 25 of the Act is Form 1 in the Schedule.</w:t>
      </w:r>
    </w:p>
    <w:p w:rsidR="00000000" w:rsidRDefault="00590668">
      <w:pPr>
        <w:pStyle w:val="R2"/>
      </w:pPr>
      <w:r>
        <w:tab/>
        <w:t>(2)</w:t>
      </w:r>
      <w:r>
        <w:tab/>
        <w:t>The prescribed form of notice under section 26 of the Act is Form 2 in the</w:t>
      </w:r>
      <w:r>
        <w:t xml:space="preserve"> Schedule.</w:t>
      </w:r>
    </w:p>
    <w:p w:rsidR="00000000" w:rsidRDefault="00590668">
      <w:pPr>
        <w:pStyle w:val="R2"/>
      </w:pPr>
      <w:r>
        <w:tab/>
        <w:t>(3)</w:t>
      </w:r>
      <w:r>
        <w:tab/>
        <w:t>The prescribed form of notice under section 26A of the Act is Form 3 in the Schedule.</w:t>
      </w:r>
    </w:p>
    <w:p w:rsidR="00000000" w:rsidRDefault="00590668">
      <w:pPr>
        <w:pStyle w:val="HR"/>
      </w:pPr>
      <w:r>
        <w:rPr>
          <w:rStyle w:val="CharSectno"/>
        </w:rPr>
        <w:t>5</w:t>
      </w:r>
      <w:r>
        <w:tab/>
        <w:t>Balance sheet and profit and loss account to be furnished by corporation</w:t>
      </w:r>
    </w:p>
    <w:p w:rsidR="00000000" w:rsidRDefault="00590668">
      <w:pPr>
        <w:pStyle w:val="R1"/>
      </w:pPr>
      <w:r>
        <w:tab/>
      </w:r>
      <w:r>
        <w:tab/>
        <w:t>Where a corporation furnishes a notice under section 25 of the Act stating th</w:t>
      </w:r>
      <w:r>
        <w:t>at:</w:t>
      </w:r>
    </w:p>
    <w:p w:rsidR="00000000" w:rsidRDefault="00590668">
      <w:pPr>
        <w:pStyle w:val="P1"/>
      </w:pPr>
      <w:r>
        <w:tab/>
        <w:t>(a)</w:t>
      </w:r>
      <w:r>
        <w:tab/>
        <w:t>the corporation proposes to enter into an agreement, being an agreement in relation to the affairs of the corporation;</w:t>
      </w:r>
    </w:p>
    <w:p w:rsidR="00000000" w:rsidRDefault="00590668">
      <w:pPr>
        <w:pStyle w:val="P1"/>
      </w:pPr>
      <w:r>
        <w:tab/>
        <w:t>(b)</w:t>
      </w:r>
      <w:r>
        <w:tab/>
        <w:t>the corporation proposes to enter into or terminate an arrangement, being an arrangement in relation to an Australian busin</w:t>
      </w:r>
      <w:r>
        <w:t>ess of the corporation;</w:t>
      </w:r>
    </w:p>
    <w:p w:rsidR="00000000" w:rsidRDefault="00590668">
      <w:pPr>
        <w:pStyle w:val="P1"/>
      </w:pPr>
      <w:r>
        <w:tab/>
        <w:t>(c)</w:t>
      </w:r>
      <w:r>
        <w:tab/>
        <w:t>the corporation proposes issue shares; or</w:t>
      </w:r>
    </w:p>
    <w:p w:rsidR="00000000" w:rsidRDefault="00590668">
      <w:pPr>
        <w:pStyle w:val="P1"/>
      </w:pPr>
      <w:r>
        <w:tab/>
        <w:t>(d)</w:t>
      </w:r>
      <w:r>
        <w:tab/>
        <w:t>it is proposed to alter a constituent document of the corporation;</w:t>
      </w:r>
    </w:p>
    <w:p w:rsidR="00000000" w:rsidRDefault="00590668">
      <w:pPr>
        <w:pStyle w:val="Rc"/>
      </w:pPr>
      <w:r>
        <w:tab/>
      </w:r>
      <w:r>
        <w:tab/>
        <w:t>the corporation shall annex to the notice a copy of the balance sheet and a copy of the profit and loss account</w:t>
      </w:r>
      <w:r>
        <w:t xml:space="preserve"> of the corporation for each period in relation to which a profit and loss account of the corporation has been laid before it in general meeting during the preceding four years.</w:t>
      </w:r>
    </w:p>
    <w:p w:rsidR="00000000" w:rsidRDefault="00590668">
      <w:pPr>
        <w:pStyle w:val="HR"/>
      </w:pPr>
      <w:r>
        <w:rPr>
          <w:rStyle w:val="CharSectno"/>
        </w:rPr>
        <w:lastRenderedPageBreak/>
        <w:t>6</w:t>
      </w:r>
      <w:r>
        <w:tab/>
        <w:t>Documents relating to agreement or arrangement</w:t>
      </w:r>
    </w:p>
    <w:p w:rsidR="00000000" w:rsidRDefault="00590668">
      <w:pPr>
        <w:pStyle w:val="R1"/>
      </w:pPr>
      <w:r>
        <w:tab/>
      </w:r>
      <w:r>
        <w:tab/>
        <w:t>Where a person furnishes:</w:t>
      </w:r>
    </w:p>
    <w:p w:rsidR="00000000" w:rsidRDefault="00590668">
      <w:pPr>
        <w:pStyle w:val="P1"/>
      </w:pPr>
      <w:r>
        <w:tab/>
      </w:r>
      <w:r>
        <w:t>(a)</w:t>
      </w:r>
      <w:r>
        <w:tab/>
        <w:t>a notice under section 25 of the Act stating that the person proposes to enter into an agreement, being an agreement of the kind referred to in section 20 of the Act, or to enter into or terminate an arrangement, being an arrangement of the kind referr</w:t>
      </w:r>
      <w:r>
        <w:t>ed to in section 21 of the Act; or</w:t>
      </w:r>
    </w:p>
    <w:p w:rsidR="00000000" w:rsidRDefault="00590668">
      <w:pPr>
        <w:pStyle w:val="P1"/>
      </w:pPr>
      <w:r>
        <w:tab/>
        <w:t>(b)</w:t>
      </w:r>
      <w:r>
        <w:tab/>
        <w:t>a notice under section 26 or 26A of the Act;</w:t>
      </w:r>
    </w:p>
    <w:p w:rsidR="00000000" w:rsidRDefault="00590668">
      <w:pPr>
        <w:pStyle w:val="Rc"/>
      </w:pPr>
      <w:r>
        <w:tab/>
      </w:r>
      <w:r>
        <w:tab/>
        <w:t>the person shall annex to the notice copies of all documents and other papers in the person’s possession or control relating to or evidencing the agreement or arrangemen</w:t>
      </w:r>
      <w:r>
        <w:t>t to which the notice relates.</w:t>
      </w:r>
    </w:p>
    <w:p w:rsidR="00000000" w:rsidRDefault="00590668">
      <w:pPr>
        <w:pStyle w:val="HR"/>
      </w:pPr>
      <w:r>
        <w:rPr>
          <w:rStyle w:val="CharSectno"/>
        </w:rPr>
        <w:t>7</w:t>
      </w:r>
      <w:r>
        <w:tab/>
        <w:t>Constituent document</w:t>
      </w:r>
    </w:p>
    <w:p w:rsidR="00000000" w:rsidRDefault="00590668">
      <w:pPr>
        <w:pStyle w:val="R1"/>
      </w:pPr>
      <w:r>
        <w:tab/>
      </w:r>
      <w:r>
        <w:tab/>
        <w:t>Where a corporation furnishes a notice under section 25 of the Act stating that it is proposed to alter a constituent document of the corporation, the corporation shall annex to the notice a copy of t</w:t>
      </w:r>
      <w:r>
        <w:t>hat constituent document.</w:t>
      </w:r>
    </w:p>
    <w:p w:rsidR="00000000" w:rsidRDefault="00590668">
      <w:pPr>
        <w:pStyle w:val="HR"/>
      </w:pPr>
      <w:r>
        <w:rPr>
          <w:rStyle w:val="CharSectno"/>
        </w:rPr>
        <w:t>8</w:t>
      </w:r>
      <w:r>
        <w:tab/>
        <w:t>Person signing notice</w:t>
      </w:r>
    </w:p>
    <w:p w:rsidR="00000000" w:rsidRDefault="00590668">
      <w:pPr>
        <w:pStyle w:val="R1"/>
      </w:pPr>
      <w:r>
        <w:tab/>
        <w:t>(1)</w:t>
      </w:r>
      <w:r>
        <w:tab/>
        <w:t>A notice under section 25, 26 or 26A of the Act furnished by a natural person shall be signed:</w:t>
      </w:r>
    </w:p>
    <w:p w:rsidR="00000000" w:rsidRDefault="00590668">
      <w:pPr>
        <w:pStyle w:val="P1"/>
      </w:pPr>
      <w:r>
        <w:tab/>
        <w:t>(a)</w:t>
      </w:r>
      <w:r>
        <w:tab/>
        <w:t>if the person is not ordinarily resident in Australia — by that person or by his Australian agent; or</w:t>
      </w:r>
    </w:p>
    <w:p w:rsidR="00000000" w:rsidRDefault="00590668">
      <w:pPr>
        <w:pStyle w:val="P1"/>
      </w:pPr>
      <w:r>
        <w:tab/>
        <w:t>(b)</w:t>
      </w:r>
      <w:r>
        <w:tab/>
        <w:t>in any other case — by the person furnishing the notice.</w:t>
      </w:r>
    </w:p>
    <w:p w:rsidR="00000000" w:rsidRDefault="00590668">
      <w:pPr>
        <w:pStyle w:val="R2"/>
        <w:keepLines/>
      </w:pPr>
      <w:r>
        <w:tab/>
        <w:t>(2)</w:t>
      </w:r>
      <w:r>
        <w:tab/>
        <w:t xml:space="preserve">A notice under section 25, 26 or 26A of the Act furnished by a corporation shall be signed by a person authorized in writing by the corporation to sign the notice for and on behalf of the </w:t>
      </w:r>
      <w:r>
        <w:t xml:space="preserve">corporation. </w:t>
      </w:r>
    </w:p>
    <w:p w:rsidR="00000000" w:rsidRDefault="00590668">
      <w:pPr>
        <w:pStyle w:val="R2"/>
        <w:keepLines/>
      </w:pPr>
    </w:p>
    <w:p w:rsidR="00000000" w:rsidRDefault="00590668">
      <w:pPr>
        <w:pStyle w:val="Graphic"/>
        <w:spacing w:before="240" w:line="280" w:lineRule="exact"/>
        <w:sectPr w:rsidR="00000000">
          <w:headerReference w:type="even" r:id="rId187"/>
          <w:headerReference w:type="default" r:id="rId188"/>
          <w:footerReference w:type="even" r:id="rId189"/>
          <w:footerReference w:type="default" r:id="rId190"/>
          <w:pgSz w:w="11900" w:h="16840" w:code="9"/>
          <w:pgMar w:top="2466" w:right="2098" w:bottom="2466" w:left="2098" w:header="1899" w:footer="1899" w:gutter="0"/>
          <w:cols w:space="709"/>
        </w:sectPr>
      </w:pPr>
    </w:p>
    <w:p w:rsidR="00000000" w:rsidRDefault="00590668">
      <w:pPr>
        <w:pStyle w:val="chattach"/>
      </w:pPr>
      <w:r>
        <w:lastRenderedPageBreak/>
        <w:t>APPENDIX G</w:t>
      </w:r>
    </w:p>
    <w:p w:rsidR="00000000" w:rsidRDefault="00590668">
      <w:pPr>
        <w:pStyle w:val="Heading1"/>
        <w:spacing w:before="240" w:after="120"/>
      </w:pPr>
      <w:r>
        <w:t>OECD Guidelines for Multinational Enterprises</w:t>
      </w:r>
    </w:p>
    <w:p w:rsidR="00000000" w:rsidRDefault="00590668">
      <w:pPr>
        <w:pStyle w:val="Heading2"/>
      </w:pPr>
      <w:r>
        <w:t>OECD Declaration on International Investment and Multinational Enterpri</w:t>
      </w:r>
      <w:r>
        <w:t>ses</w:t>
      </w:r>
    </w:p>
    <w:p w:rsidR="00000000" w:rsidRDefault="00590668">
      <w:pPr>
        <w:rPr>
          <w:lang w:val="en-US"/>
        </w:rPr>
      </w:pPr>
      <w:r>
        <w:rPr>
          <w:lang w:val="en-US"/>
        </w:rPr>
        <w:t>Australia has associated itself with a declaration and a number of procedural decisions made by the member countries of the Organisation for economic Co</w:t>
      </w:r>
      <w:r>
        <w:rPr>
          <w:lang w:val="en-US"/>
        </w:rPr>
        <w:noBreakHyphen/>
        <w:t>operation and Development (OECD) in June 1976, on international investment and multinational enterp</w:t>
      </w:r>
      <w:r>
        <w:rPr>
          <w:lang w:val="en-US"/>
        </w:rPr>
        <w:t>rises. The text of the 1976 Declaration as amended is as follows:</w:t>
      </w:r>
    </w:p>
    <w:p w:rsidR="00000000" w:rsidRDefault="00590668">
      <w:pPr>
        <w:pStyle w:val="Heading3"/>
      </w:pPr>
      <w:r>
        <w:t>The Governments of OECD Member Countries</w:t>
      </w:r>
    </w:p>
    <w:p w:rsidR="00000000" w:rsidRDefault="00590668">
      <w:pPr>
        <w:rPr>
          <w:lang w:val="en-US"/>
        </w:rPr>
      </w:pPr>
      <w:r>
        <w:rPr>
          <w:lang w:val="en-US"/>
        </w:rPr>
        <w:t>CONSIDERING:</w:t>
      </w:r>
    </w:p>
    <w:p w:rsidR="00000000" w:rsidRDefault="00590668">
      <w:pPr>
        <w:pStyle w:val="Bullet"/>
        <w:ind w:left="567" w:hanging="567"/>
      </w:pPr>
      <w:r>
        <w:t>That international investment has assumed increased importance in the world economy and has considerably contributed to the developme</w:t>
      </w:r>
      <w:r>
        <w:t>nt of their countries;</w:t>
      </w:r>
    </w:p>
    <w:p w:rsidR="00000000" w:rsidRDefault="00590668">
      <w:pPr>
        <w:pStyle w:val="Bullet"/>
        <w:ind w:left="567" w:hanging="567"/>
      </w:pPr>
      <w:r>
        <w:t>That multinational enterprises play an important role in the investment process;</w:t>
      </w:r>
    </w:p>
    <w:p w:rsidR="00000000" w:rsidRDefault="00590668">
      <w:pPr>
        <w:pStyle w:val="Bullet"/>
        <w:ind w:left="567" w:hanging="567"/>
      </w:pPr>
      <w:r>
        <w:t>That co-operation by Member economies can improve the foreign investment climate, encourage the positive contribution which multinational enterpri</w:t>
      </w:r>
      <w:r>
        <w:t>ses can make to economic and social progress, and minimize and resolve difficulties which may arise from their various operations;</w:t>
      </w:r>
    </w:p>
    <w:p w:rsidR="00000000" w:rsidRDefault="00590668">
      <w:pPr>
        <w:pStyle w:val="Bullet"/>
        <w:ind w:left="567" w:hanging="567"/>
      </w:pPr>
      <w:r>
        <w:t>That, while continuing endeavours within the OECD may lead to further international arrangements and agreements in this fi</w:t>
      </w:r>
      <w:r>
        <w:t>eld, it seems appropriate at this stage to intensify their co-operation and consultation on issues relating to international investment and multinational enterprises through inter-related instruments each of which deals with a different aspect of the matte</w:t>
      </w:r>
      <w:r>
        <w:t>r and together constitute a framework within which the OECD will consider these issues;</w:t>
      </w:r>
    </w:p>
    <w:p w:rsidR="00000000" w:rsidRDefault="00590668">
      <w:pPr>
        <w:pStyle w:val="Dash"/>
        <w:numPr>
          <w:ilvl w:val="0"/>
          <w:numId w:val="0"/>
        </w:numPr>
      </w:pPr>
      <w:r>
        <w:br w:type="page"/>
      </w:r>
      <w:r>
        <w:lastRenderedPageBreak/>
        <w:t>DECLARE:</w:t>
      </w:r>
    </w:p>
    <w:p w:rsidR="00000000" w:rsidRDefault="00590668">
      <w:pPr>
        <w:pStyle w:val="Dash"/>
        <w:numPr>
          <w:ilvl w:val="0"/>
          <w:numId w:val="0"/>
        </w:numPr>
        <w:spacing w:after="0"/>
        <w:jc w:val="left"/>
      </w:pPr>
      <w:r>
        <w:t xml:space="preserve">Guidelines for </w:t>
      </w:r>
      <w:r>
        <w:tab/>
      </w:r>
      <w:r>
        <w:tab/>
      </w:r>
      <w:r>
        <w:tab/>
      </w:r>
      <w:r>
        <w:tab/>
        <w:t>I.</w:t>
      </w:r>
      <w:r>
        <w:tab/>
        <w:t xml:space="preserve">That they jointly recommend to </w:t>
      </w:r>
      <w:r>
        <w:br/>
        <w:t>Multinational Enterprises</w:t>
      </w:r>
      <w:r>
        <w:tab/>
      </w:r>
      <w:r>
        <w:tab/>
      </w:r>
      <w:r>
        <w:tab/>
        <w:t>multinational enterprises operating in</w:t>
      </w:r>
    </w:p>
    <w:p w:rsidR="00000000" w:rsidRDefault="00590668">
      <w:pPr>
        <w:pStyle w:val="Dash"/>
        <w:numPr>
          <w:ilvl w:val="0"/>
          <w:numId w:val="0"/>
        </w:numPr>
        <w:ind w:left="3969"/>
        <w:jc w:val="left"/>
      </w:pPr>
      <w:r>
        <w:tab/>
      </w:r>
      <w:r>
        <w:t>their territories the observance of the Guidelines as set forth in Annex 1 hereto having regard to the considerations and understandings which introduce the Guidelines and are an integral part of them;</w:t>
      </w:r>
    </w:p>
    <w:p w:rsidR="00000000" w:rsidRDefault="00590668">
      <w:pPr>
        <w:pStyle w:val="Dash"/>
        <w:numPr>
          <w:ilvl w:val="0"/>
          <w:numId w:val="0"/>
        </w:numPr>
        <w:tabs>
          <w:tab w:val="left" w:pos="3402"/>
          <w:tab w:val="num" w:pos="3969"/>
        </w:tabs>
        <w:ind w:left="3969" w:hanging="3969"/>
        <w:jc w:val="left"/>
      </w:pPr>
      <w:r>
        <w:t>National Treatment</w:t>
      </w:r>
      <w:r>
        <w:tab/>
        <w:t>II.1.</w:t>
      </w:r>
      <w:r>
        <w:tab/>
        <w:t>That Member countries should,</w:t>
      </w:r>
      <w:r>
        <w:br/>
        <w:t>consistent with their needs to maintain public order, to protect their essential security interests and to fulfill commitments relating to international peace and security, accord to enterprises operating in their territories and owned and controlled dire</w:t>
      </w:r>
      <w:r>
        <w:t>ctly of indirectly by national s of another Member country (hereinafter refereed to as ‘Foreign Controlled Enterprises’) treatment under their laws, regulations and administrative practices, consistent with international law and no less favourable that tha</w:t>
      </w:r>
      <w:r>
        <w:t>t accorded to like situations to domestic enterprises (hereinafter referred to as ‘National Treatment);</w:t>
      </w:r>
    </w:p>
    <w:p w:rsidR="00000000" w:rsidRDefault="00590668">
      <w:pPr>
        <w:pStyle w:val="Dash"/>
        <w:numPr>
          <w:ilvl w:val="0"/>
          <w:numId w:val="0"/>
        </w:numPr>
        <w:ind w:left="3969" w:hanging="567"/>
        <w:jc w:val="left"/>
      </w:pPr>
      <w:r>
        <w:t>2.</w:t>
      </w:r>
      <w:r>
        <w:tab/>
        <w:t>That Member countries will consider applying ‘National Treatment’ in respect of countries other than Member countries;</w:t>
      </w:r>
    </w:p>
    <w:p w:rsidR="00000000" w:rsidRDefault="00590668">
      <w:pPr>
        <w:pStyle w:val="Dash"/>
        <w:numPr>
          <w:ilvl w:val="0"/>
          <w:numId w:val="0"/>
        </w:numPr>
        <w:ind w:left="3969" w:hanging="567"/>
        <w:jc w:val="left"/>
      </w:pPr>
      <w:r>
        <w:t>3.</w:t>
      </w:r>
      <w:r>
        <w:tab/>
        <w:t xml:space="preserve">That Member countries will </w:t>
      </w:r>
      <w:r>
        <w:t>endeavour to ensure that their territorial subdivisions apply ‘National Treatment’;</w:t>
      </w:r>
    </w:p>
    <w:p w:rsidR="00000000" w:rsidRDefault="00590668">
      <w:pPr>
        <w:pStyle w:val="Dash"/>
        <w:numPr>
          <w:ilvl w:val="0"/>
          <w:numId w:val="0"/>
        </w:numPr>
        <w:ind w:left="3969" w:hanging="567"/>
        <w:jc w:val="left"/>
      </w:pPr>
      <w:r>
        <w:br w:type="page"/>
      </w:r>
      <w:r>
        <w:lastRenderedPageBreak/>
        <w:t>4.</w:t>
      </w:r>
      <w:r>
        <w:tab/>
        <w:t>That this Declaration does not deal with the right of Member countries to regulate the entry of foreign investment or the conditions of established foreign enterprises;</w:t>
      </w:r>
    </w:p>
    <w:p w:rsidR="00000000" w:rsidRDefault="00590668">
      <w:pPr>
        <w:pStyle w:val="Dash"/>
        <w:numPr>
          <w:ilvl w:val="0"/>
          <w:numId w:val="0"/>
        </w:numPr>
        <w:tabs>
          <w:tab w:val="left" w:pos="3402"/>
          <w:tab w:val="left" w:pos="3544"/>
          <w:tab w:val="left" w:pos="3969"/>
        </w:tabs>
        <w:ind w:left="3969" w:hanging="3969"/>
        <w:jc w:val="left"/>
      </w:pPr>
      <w:r>
        <w:t>Conflicting Requirements</w:t>
      </w:r>
      <w:r>
        <w:tab/>
        <w:t>III.</w:t>
      </w:r>
      <w:r>
        <w:tab/>
        <w:t xml:space="preserve">That they will co-operate with a view to avoiding or minimising the imposition of conflicting requirements in multinational enterprises and that they will take into account the general considerations and practical approaches </w:t>
      </w:r>
      <w:r>
        <w:t>as set forth in Annex 2 hereto.</w:t>
      </w:r>
    </w:p>
    <w:p w:rsidR="00000000" w:rsidRDefault="00590668">
      <w:pPr>
        <w:pStyle w:val="Dash"/>
        <w:numPr>
          <w:ilvl w:val="0"/>
          <w:numId w:val="0"/>
        </w:numPr>
        <w:tabs>
          <w:tab w:val="left" w:pos="3402"/>
          <w:tab w:val="left" w:pos="3544"/>
          <w:tab w:val="left" w:pos="3969"/>
        </w:tabs>
        <w:spacing w:after="0"/>
        <w:jc w:val="left"/>
      </w:pPr>
      <w:r>
        <w:t>International Enterprises</w:t>
      </w:r>
      <w:r>
        <w:tab/>
        <w:t>IV.1.</w:t>
      </w:r>
      <w:r>
        <w:tab/>
        <w:t>That they recognise the need to</w:t>
      </w:r>
      <w:r>
        <w:br/>
        <w:t>Incentives and Disincentives</w:t>
      </w:r>
      <w:r>
        <w:tab/>
      </w:r>
      <w:r>
        <w:tab/>
      </w:r>
      <w:r>
        <w:tab/>
        <w:t xml:space="preserve">strengthen their co-operation in the </w:t>
      </w:r>
    </w:p>
    <w:p w:rsidR="00000000" w:rsidRDefault="00590668">
      <w:pPr>
        <w:pStyle w:val="Dash"/>
        <w:numPr>
          <w:ilvl w:val="0"/>
          <w:numId w:val="0"/>
        </w:numPr>
        <w:tabs>
          <w:tab w:val="left" w:pos="3402"/>
          <w:tab w:val="left" w:pos="3544"/>
          <w:tab w:val="left" w:pos="3969"/>
        </w:tabs>
        <w:ind w:left="3969" w:hanging="3969"/>
        <w:jc w:val="left"/>
      </w:pPr>
      <w:r>
        <w:tab/>
      </w:r>
      <w:r>
        <w:tab/>
      </w:r>
      <w:r>
        <w:tab/>
      </w:r>
      <w:r>
        <w:tab/>
        <w:t>Field of international direct investment;</w:t>
      </w:r>
    </w:p>
    <w:p w:rsidR="00000000" w:rsidRDefault="00590668">
      <w:pPr>
        <w:pStyle w:val="Dash"/>
        <w:numPr>
          <w:ilvl w:val="0"/>
          <w:numId w:val="0"/>
        </w:numPr>
        <w:tabs>
          <w:tab w:val="left" w:pos="3402"/>
          <w:tab w:val="left" w:pos="3544"/>
          <w:tab w:val="left" w:pos="3969"/>
        </w:tabs>
        <w:ind w:left="3969" w:hanging="3969"/>
        <w:jc w:val="left"/>
      </w:pPr>
      <w:r>
        <w:tab/>
      </w:r>
      <w:r>
        <w:tab/>
        <w:t>2.</w:t>
      </w:r>
      <w:r>
        <w:tab/>
        <w:t>That they thus recognize the need to giv</w:t>
      </w:r>
      <w:r>
        <w:t>e due weight to the interests of Member countries affected by specific laws, regulations and administrative practices in this field (hereinafter called ‘measures’) providing official incentives and disincentives to international direct investment;</w:t>
      </w:r>
    </w:p>
    <w:p w:rsidR="00000000" w:rsidRDefault="00590668">
      <w:pPr>
        <w:pStyle w:val="Dash"/>
        <w:numPr>
          <w:ilvl w:val="0"/>
          <w:numId w:val="0"/>
        </w:numPr>
        <w:tabs>
          <w:tab w:val="left" w:pos="3402"/>
          <w:tab w:val="left" w:pos="3544"/>
          <w:tab w:val="left" w:pos="3969"/>
        </w:tabs>
        <w:ind w:left="3969" w:hanging="3969"/>
        <w:jc w:val="left"/>
      </w:pPr>
      <w:r>
        <w:tab/>
      </w:r>
      <w:r>
        <w:tab/>
        <w:t>3.</w:t>
      </w:r>
      <w:r>
        <w:tab/>
        <w:t>Tha</w:t>
      </w:r>
      <w:r>
        <w:t>t Member countries will endeavour to make such measures as transparent as possible, so that their importance and purpose can be ascertained and that information on them can be readily available;</w:t>
      </w:r>
    </w:p>
    <w:p w:rsidR="00000000" w:rsidRDefault="00590668">
      <w:pPr>
        <w:pStyle w:val="Dash"/>
        <w:numPr>
          <w:ilvl w:val="0"/>
          <w:numId w:val="0"/>
        </w:numPr>
        <w:tabs>
          <w:tab w:val="left" w:pos="3402"/>
          <w:tab w:val="left" w:pos="3544"/>
          <w:tab w:val="left" w:pos="3969"/>
        </w:tabs>
        <w:ind w:left="3969" w:hanging="3969"/>
        <w:jc w:val="left"/>
      </w:pPr>
      <w:r>
        <w:br w:type="page"/>
      </w:r>
      <w:r>
        <w:lastRenderedPageBreak/>
        <w:t>Consultation Procedures</w:t>
      </w:r>
      <w:r>
        <w:tab/>
        <w:t>V.</w:t>
      </w:r>
      <w:r>
        <w:tab/>
        <w:t>That they are prepared to consult</w:t>
      </w:r>
      <w:r>
        <w:t xml:space="preserve"> one another on the above matters in conformity with the Decisions of the Council on the Guidelines for Multinational Enterprises, on National Treatment and on International Investment Incentives and Disincentives;</w:t>
      </w:r>
    </w:p>
    <w:p w:rsidR="00000000" w:rsidRDefault="00590668">
      <w:pPr>
        <w:pStyle w:val="Dash"/>
        <w:numPr>
          <w:ilvl w:val="0"/>
          <w:numId w:val="0"/>
        </w:numPr>
        <w:tabs>
          <w:tab w:val="left" w:pos="3402"/>
          <w:tab w:val="left" w:pos="3544"/>
          <w:tab w:val="left" w:pos="3969"/>
        </w:tabs>
        <w:ind w:left="3969" w:hanging="3969"/>
        <w:jc w:val="left"/>
      </w:pPr>
      <w:r>
        <w:t>Review</w:t>
      </w:r>
      <w:r>
        <w:tab/>
      </w:r>
      <w:r>
        <w:tab/>
        <w:t>VI.</w:t>
      </w:r>
      <w:r>
        <w:tab/>
        <w:t>That they will review the abo</w:t>
      </w:r>
      <w:r>
        <w:t>ve matters within three years with a view to improving the effectiveness of international economic co-operation among Member countries on issues relating to international investment and multinational enterprises.</w:t>
      </w:r>
    </w:p>
    <w:p w:rsidR="00000000" w:rsidRDefault="00590668">
      <w:pPr>
        <w:pStyle w:val="Heading2"/>
      </w:pPr>
      <w:r>
        <w:br w:type="page"/>
      </w:r>
      <w:r>
        <w:lastRenderedPageBreak/>
        <w:t>Annex 1:  Guidelines for Multinational Ent</w:t>
      </w:r>
      <w:r>
        <w:t>erprises</w:t>
      </w:r>
    </w:p>
    <w:p w:rsidR="00000000" w:rsidRDefault="00590668">
      <w:pPr>
        <w:pStyle w:val="Heading3"/>
        <w:jc w:val="right"/>
      </w:pPr>
      <w:r>
        <w:t>Revised in 2000</w:t>
      </w:r>
    </w:p>
    <w:p w:rsidR="00000000" w:rsidRDefault="00590668">
      <w:pPr>
        <w:pStyle w:val="Heading3"/>
      </w:pPr>
      <w:r>
        <w:t>Preface</w:t>
      </w:r>
    </w:p>
    <w:p w:rsidR="00000000" w:rsidRDefault="00590668">
      <w:r>
        <w:t>1.</w:t>
      </w:r>
      <w:r>
        <w:tab/>
        <w:t xml:space="preserve">The </w:t>
      </w:r>
      <w:r>
        <w:rPr>
          <w:rStyle w:val="NormalItalic"/>
        </w:rPr>
        <w:t>OECD Guidelines for Multinational Enterprises</w:t>
      </w:r>
      <w:r>
        <w:t xml:space="preserve"> (the </w:t>
      </w:r>
      <w:r>
        <w:rPr>
          <w:rStyle w:val="NormalItalic"/>
        </w:rPr>
        <w:t>Guidelines</w:t>
      </w:r>
      <w:r>
        <w:t>) were revised in 2000. The Guidelines are recommendations addressed by governments to multinational enterprises. They provide voluntary principles and sta</w:t>
      </w:r>
      <w:r>
        <w:t xml:space="preserve">ndards for responsible business conduct consistent with applicable laws. The </w:t>
      </w:r>
      <w:r>
        <w:rPr>
          <w:i/>
          <w:iCs/>
        </w:rPr>
        <w:t>Guidelines</w:t>
      </w:r>
      <w:r>
        <w:t xml:space="preserve"> aim to ensure that the operations of these enterprises are in harmony with government policies, to strengthen the basis of mutual confidence between enterprises and the</w:t>
      </w:r>
      <w:r>
        <w:t xml:space="preserve"> societies in which they operate, to help improve the foreign investment climate and to enhance the contribution to sustainable development made by multinational enterprises. The </w:t>
      </w:r>
      <w:r>
        <w:rPr>
          <w:rStyle w:val="NormalItalic"/>
        </w:rPr>
        <w:t>Guidelines</w:t>
      </w:r>
      <w:r>
        <w:t xml:space="preserve"> are part of the </w:t>
      </w:r>
      <w:r>
        <w:rPr>
          <w:rStyle w:val="NormalItalic"/>
        </w:rPr>
        <w:t>OECD Declaration on International Investment and M</w:t>
      </w:r>
      <w:r>
        <w:rPr>
          <w:rStyle w:val="NormalItalic"/>
        </w:rPr>
        <w:t>ultinational Enterprises</w:t>
      </w:r>
      <w:r>
        <w:t xml:space="preserve"> the other elements of which relate to national treatment, conflicting requirements on enterprises, and international investment incentives and disincentives.</w:t>
      </w:r>
    </w:p>
    <w:p w:rsidR="00000000" w:rsidRDefault="00590668">
      <w:r>
        <w:t>2.</w:t>
      </w:r>
      <w:r>
        <w:tab/>
        <w:t>International business has experienced far</w:t>
      </w:r>
      <w:r>
        <w:noBreakHyphen/>
      </w:r>
      <w:r>
        <w:t xml:space="preserve">reaching structural change and the </w:t>
      </w:r>
      <w:r>
        <w:rPr>
          <w:rStyle w:val="NormalItalic"/>
        </w:rPr>
        <w:t>Guidelines</w:t>
      </w:r>
      <w:r>
        <w:t xml:space="preserve"> themselves have evolved to reflect these changes. With the rise of service and knowledge</w:t>
      </w:r>
      <w:r>
        <w:noBreakHyphen/>
        <w:t>intensive industries, service and technology enterprises have entered the international marketplace. Large enterprises st</w:t>
      </w:r>
      <w:r>
        <w:t>ill account for a major share of international investment, and there is a trend toward large</w:t>
      </w:r>
      <w:r>
        <w:noBreakHyphen/>
        <w:t>scale international mergers. At the same time, foreign investment by small</w:t>
      </w:r>
      <w:r>
        <w:noBreakHyphen/>
        <w:t xml:space="preserve"> and medium</w:t>
      </w:r>
      <w:r>
        <w:noBreakHyphen/>
        <w:t>sized enterprises has also increased and these enterprises now play a signif</w:t>
      </w:r>
      <w:r>
        <w:t>icant role on the international scene. Multinational enterprises, like their domestic counterparts, have evolved to encompass a broader range of business arrangements and organisational forms. Strategic alliances and closer relations with suppliers and con</w:t>
      </w:r>
      <w:r>
        <w:t>tractors tend to blur the boundaries of the enterprise.</w:t>
      </w:r>
    </w:p>
    <w:p w:rsidR="00000000" w:rsidRDefault="00590668">
      <w:r>
        <w:t>3.</w:t>
      </w:r>
      <w:r>
        <w:tab/>
        <w:t>The rapid evolution in the structure of multinational enterprises is also reflected in their operations in the developing world, where foreign direct investment has grown rapidly. In developing cou</w:t>
      </w:r>
      <w:r>
        <w:t>ntries, multinational enterprises have diversified beyond primary production and extractive industries into manufacturing, assembly, domestic market development and services.</w:t>
      </w:r>
    </w:p>
    <w:p w:rsidR="00000000" w:rsidRDefault="00590668">
      <w:r>
        <w:lastRenderedPageBreak/>
        <w:t>4.</w:t>
      </w:r>
      <w:r>
        <w:tab/>
        <w:t>The activities of multinational enterprises, through international trade and i</w:t>
      </w:r>
      <w:r>
        <w:t xml:space="preserve">nvestment, have strengthened and deepened the ties that join OECD economies to each other and to the rest of the world. These activities bring substantial benefits to home and host countries. These benefits accrue when multinational enterprises supply the </w:t>
      </w:r>
      <w:r>
        <w:t>products and services that consumers want to buy at competitive prices and when they provide fair returns to suppliers of capital. Their trade and investment activities contribute to the efficient use of capital, technology and human and natural resources.</w:t>
      </w:r>
      <w:r>
        <w:t xml:space="preserve"> They facilitate the transfer of technology among the regions of the world and the development of technologies that reflect local conditions. Through both formal training and on</w:t>
      </w:r>
      <w:r>
        <w:noBreakHyphen/>
        <w:t>the</w:t>
      </w:r>
      <w:r>
        <w:noBreakHyphen/>
        <w:t xml:space="preserve">job learning enterprises also promote the development of human capital in </w:t>
      </w:r>
      <w:r>
        <w:t>host countries.</w:t>
      </w:r>
    </w:p>
    <w:p w:rsidR="00000000" w:rsidRDefault="00590668">
      <w:r>
        <w:t>5.</w:t>
      </w:r>
      <w:r>
        <w:tab/>
        <w:t>The nature, scope and speed of economic changes have presented new strategic challenges for enterprises and their stakeholders. Multinational enterprises have the opportunity to implement best practice policies for sustainable developmen</w:t>
      </w:r>
      <w:r>
        <w:t>t that seek to ensure coherence between social, economic and environmental objectives. The ability of multinational enterprises to promote sustainable development is greatly enhanced when trade and investment are conducted in a context of open, competitive</w:t>
      </w:r>
      <w:r>
        <w:t xml:space="preserve"> and appropriately regulated markets.</w:t>
      </w:r>
    </w:p>
    <w:p w:rsidR="00000000" w:rsidRDefault="00590668">
      <w:r>
        <w:t>6.</w:t>
      </w:r>
      <w:r>
        <w:tab/>
        <w:t xml:space="preserve">Many multinational enterprises have demonstrated that respect for high standards of business conduct can enhance growth. Today’s competitive forces are intense and multinational enterprises face a variety of legal, </w:t>
      </w:r>
      <w:r>
        <w:t>social and regulatory settings. In this context, some enterprises may be tempted to neglect appropriate standards and principles of conduct in an attempt to gain undue competitive advantage. Such practices by the few may call into question the reputation o</w:t>
      </w:r>
      <w:r>
        <w:t>f the many and may give rise to public concerns.</w:t>
      </w:r>
    </w:p>
    <w:p w:rsidR="00000000" w:rsidRDefault="00590668">
      <w:r>
        <w:t>7.</w:t>
      </w:r>
      <w:r>
        <w:tab/>
        <w:t>Many enterprises have responded to these public concerns by developing internal programmes, guidance and management systems that underpin their commitment to good corporate citizenship, good practices and</w:t>
      </w:r>
      <w:r>
        <w:t xml:space="preserve"> good business and employee conduct. Some of them have called upon consulting, auditing and certification services, contributing to the accumulation of expertise in these areas. These efforts have also promoted social dialogue on what constitutes good busi</w:t>
      </w:r>
      <w:r>
        <w:t xml:space="preserve">ness conduct. The </w:t>
      </w:r>
      <w:r>
        <w:rPr>
          <w:rStyle w:val="NormalItalic"/>
        </w:rPr>
        <w:t>Guidelines</w:t>
      </w:r>
      <w:r>
        <w:t xml:space="preserve"> clarify the shared expectations for business conduct of the governments adhering to them and provide a point of reference for enterprises. Thus, the </w:t>
      </w:r>
      <w:r>
        <w:rPr>
          <w:rStyle w:val="NormalItalic"/>
        </w:rPr>
        <w:t>Guidelines</w:t>
      </w:r>
      <w:r>
        <w:t xml:space="preserve"> both complement and reinforce private efforts to define and impleme</w:t>
      </w:r>
      <w:r>
        <w:t>nt responsible business conduct.</w:t>
      </w:r>
    </w:p>
    <w:p w:rsidR="00000000" w:rsidRDefault="00590668">
      <w:r>
        <w:lastRenderedPageBreak/>
        <w:t>8.</w:t>
      </w:r>
      <w:r>
        <w:tab/>
        <w:t>Governments are co</w:t>
      </w:r>
      <w:r>
        <w:noBreakHyphen/>
        <w:t>operating with each other and with other actors to strengthen the international legal and policy framework in which business is conducted. The post</w:t>
      </w:r>
      <w:r>
        <w:noBreakHyphen/>
        <w:t>war period has seen the development of this framework</w:t>
      </w:r>
      <w:r>
        <w:t>, starting with the adoption in 1948 of the Universal Declaration of Human Rights. Recent instruments include the ILO Declaration on Fundamental Principles and Rights at Work, the Rio Declaration on Environment and Development and Agenda 21 and the Copenha</w:t>
      </w:r>
      <w:r>
        <w:t>gen Declaration for Social Development.</w:t>
      </w:r>
    </w:p>
    <w:p w:rsidR="00000000" w:rsidRDefault="00590668">
      <w:r>
        <w:t>9.</w:t>
      </w:r>
      <w:r>
        <w:tab/>
        <w:t>The OECD has also been contributing to the international policy framework. Recent developments include the adoption of the Convention on Combating Bribery of Foreign Public Officials in International Business Tran</w:t>
      </w:r>
      <w:r>
        <w:t>sactions and of the OECD Principles of Corporate Governance, the OECD Guidelines for Consumer Protection in the Context of Electronic Commerce, and ongoing work on the OECD Guidelines on Transfer Pricing for Multinational Enterprises and Tax Administration</w:t>
      </w:r>
      <w:r>
        <w:t>s.</w:t>
      </w:r>
    </w:p>
    <w:p w:rsidR="00000000" w:rsidRDefault="00590668">
      <w:r>
        <w:t>10.</w:t>
      </w:r>
      <w:r>
        <w:tab/>
        <w:t xml:space="preserve">The common aim of the governments adhering to the </w:t>
      </w:r>
      <w:r>
        <w:rPr>
          <w:rStyle w:val="NormalItalic"/>
        </w:rPr>
        <w:t>Guidelines</w:t>
      </w:r>
      <w:r>
        <w:t xml:space="preserve"> is to encourage the positive contributions that multinational enterprises can make to economic, environmental and social progress and to minimise the difficulties to which their</w:t>
      </w:r>
      <w:r>
        <w:t xml:space="preserve"> various operations may give rise. In working towards this goal, governments find themselves in partnership with the many businesses, trade unions and other non</w:t>
      </w:r>
      <w:r>
        <w:noBreakHyphen/>
        <w:t xml:space="preserve">governmental organisations that are working in their own ways toward the same end. Governments </w:t>
      </w:r>
      <w:r>
        <w:t>can help by providing effective domestic policy frameworks that include stable macroeconomic policy, non</w:t>
      </w:r>
      <w:r>
        <w:noBreakHyphen/>
        <w:t>discriminatory treatment of firms, appropriate regulation and prudential supervision, an impartial system of courts and law enforcement and efficient a</w:t>
      </w:r>
      <w:r>
        <w:t>nd honest public administration. Governments can also help by maintaining and promoting appropriate standards and policies in support of sustainable development and by engaging in ongoing reforms to ensure that public sector activity is efficient and effec</w:t>
      </w:r>
      <w:r>
        <w:t xml:space="preserve">tive. Governments adhering to the </w:t>
      </w:r>
      <w:r>
        <w:rPr>
          <w:rStyle w:val="NormalItalic"/>
        </w:rPr>
        <w:t>Guidelines</w:t>
      </w:r>
      <w:r>
        <w:rPr>
          <w:i/>
          <w:iCs/>
        </w:rPr>
        <w:t xml:space="preserve"> </w:t>
      </w:r>
      <w:r>
        <w:t>are committed to continual improvement of both domestic and international policies with a view to improving the welfare and living standards of all people.</w:t>
      </w:r>
    </w:p>
    <w:p w:rsidR="00000000" w:rsidRDefault="00590668">
      <w:pPr>
        <w:pStyle w:val="Heading3"/>
      </w:pPr>
      <w:r>
        <w:t>I.</w:t>
      </w:r>
      <w:r>
        <w:tab/>
        <w:t>Concepts and principles</w:t>
      </w:r>
    </w:p>
    <w:p w:rsidR="00000000" w:rsidRDefault="00590668">
      <w:r>
        <w:t>1.</w:t>
      </w:r>
      <w:r>
        <w:tab/>
        <w:t>The</w:t>
      </w:r>
      <w:r>
        <w:rPr>
          <w:i/>
          <w:iCs/>
        </w:rPr>
        <w:t xml:space="preserve"> </w:t>
      </w:r>
      <w:r>
        <w:rPr>
          <w:rStyle w:val="NormalItalic"/>
        </w:rPr>
        <w:t>Guidelines</w:t>
      </w:r>
      <w:r>
        <w:t xml:space="preserve"> are recomm</w:t>
      </w:r>
      <w:r>
        <w:t xml:space="preserve">endations jointly addressed by governments to multinational enterprises. They provide principles and standards of good practice consistent with applicable laws. Observance of the </w:t>
      </w:r>
      <w:r>
        <w:rPr>
          <w:rStyle w:val="NormalItalic"/>
        </w:rPr>
        <w:t>Guidelines</w:t>
      </w:r>
      <w:r>
        <w:t xml:space="preserve"> by enterprises is voluntary and not legally enforceable.</w:t>
      </w:r>
    </w:p>
    <w:p w:rsidR="00000000" w:rsidRDefault="00590668">
      <w:pPr>
        <w:rPr>
          <w:snapToGrid w:val="0"/>
        </w:rPr>
      </w:pPr>
      <w:r>
        <w:rPr>
          <w:snapToGrid w:val="0"/>
        </w:rPr>
        <w:lastRenderedPageBreak/>
        <w:t>2.</w:t>
      </w:r>
      <w:r>
        <w:rPr>
          <w:snapToGrid w:val="0"/>
        </w:rPr>
        <w:tab/>
        <w:t xml:space="preserve">Since </w:t>
      </w:r>
      <w:r>
        <w:rPr>
          <w:snapToGrid w:val="0"/>
        </w:rPr>
        <w:t xml:space="preserve">the operations of </w:t>
      </w:r>
      <w:r>
        <w:t>multinational</w:t>
      </w:r>
      <w:r>
        <w:rPr>
          <w:snapToGrid w:val="0"/>
        </w:rPr>
        <w:t xml:space="preserve"> enterprises extend throughout the world, international co</w:t>
      </w:r>
      <w:r>
        <w:rPr>
          <w:snapToGrid w:val="0"/>
        </w:rPr>
        <w:noBreakHyphen/>
        <w:t xml:space="preserve">operation in this field should extend to all countries. Governments adhering to the </w:t>
      </w:r>
      <w:r>
        <w:rPr>
          <w:rStyle w:val="NormalItalic"/>
        </w:rPr>
        <w:t>Guidelines</w:t>
      </w:r>
      <w:r>
        <w:rPr>
          <w:snapToGrid w:val="0"/>
        </w:rPr>
        <w:t xml:space="preserve"> encourage the enterprises operating on their territories to observe the</w:t>
      </w:r>
      <w:r>
        <w:rPr>
          <w:snapToGrid w:val="0"/>
        </w:rPr>
        <w:t xml:space="preserve"> </w:t>
      </w:r>
      <w:r>
        <w:rPr>
          <w:rStyle w:val="NormalItalic"/>
        </w:rPr>
        <w:t>Guidelines</w:t>
      </w:r>
      <w:r>
        <w:rPr>
          <w:snapToGrid w:val="0"/>
        </w:rPr>
        <w:t xml:space="preserve"> wherever they operate, while taking into account the particular circumstances of each host country.</w:t>
      </w:r>
    </w:p>
    <w:p w:rsidR="00000000" w:rsidRDefault="00590668">
      <w:r>
        <w:t>3.</w:t>
      </w:r>
      <w:r>
        <w:tab/>
        <w:t xml:space="preserve">A precise definition of multinational enterprises is not required for the purposes of the </w:t>
      </w:r>
      <w:r>
        <w:rPr>
          <w:rStyle w:val="NormalItalic"/>
        </w:rPr>
        <w:t>Guidelines</w:t>
      </w:r>
      <w:r>
        <w:t>. These usually comprise companies or oth</w:t>
      </w:r>
      <w:r>
        <w:t>er entities established in more than one country and so linked that they may co</w:t>
      </w:r>
      <w:r>
        <w:noBreakHyphen/>
        <w:t>ordinate their operations in various ways. While one or more of these entities may be able to exercise a significant influence over the activities of others, their degree of au</w:t>
      </w:r>
      <w:r>
        <w:t xml:space="preserve">tonomy within the enterprise may vary widely from one multinational enterprise to another. Ownership may be private, state or mixed. The </w:t>
      </w:r>
      <w:r>
        <w:rPr>
          <w:rStyle w:val="NormalItalic"/>
        </w:rPr>
        <w:t>Guidelines</w:t>
      </w:r>
      <w:r>
        <w:t xml:space="preserve"> are addressed to all the entities within the multinational enterprise (parent companies and/or local entitie</w:t>
      </w:r>
      <w:r>
        <w:t>s). According to the actual distribution of responsibilities among them, the different entities are expected to co</w:t>
      </w:r>
      <w:r>
        <w:noBreakHyphen/>
        <w:t xml:space="preserve">operate and to assist one another to facilitate observance of the </w:t>
      </w:r>
      <w:r>
        <w:rPr>
          <w:rStyle w:val="NormalItalic"/>
        </w:rPr>
        <w:t>Guidelines</w:t>
      </w:r>
      <w:r>
        <w:t>.</w:t>
      </w:r>
    </w:p>
    <w:p w:rsidR="00000000" w:rsidRDefault="00590668">
      <w:r>
        <w:t>4.</w:t>
      </w:r>
      <w:r>
        <w:tab/>
        <w:t xml:space="preserve">The </w:t>
      </w:r>
      <w:r>
        <w:rPr>
          <w:rStyle w:val="NormalItalic"/>
        </w:rPr>
        <w:t>Guidelines</w:t>
      </w:r>
      <w:r>
        <w:t xml:space="preserve"> are not aimed at introducing differences of t</w:t>
      </w:r>
      <w:r>
        <w:t xml:space="preserve">reatment between multinational and domestic enterprises; they reflect good practice for all. Accordingly, multinational and domestic enterprises are subject to the same expectations in respect of their conduct wherever the </w:t>
      </w:r>
      <w:r>
        <w:rPr>
          <w:rStyle w:val="NormalItalic"/>
        </w:rPr>
        <w:t>Guidelines</w:t>
      </w:r>
      <w:r>
        <w:rPr>
          <w:i/>
          <w:iCs/>
        </w:rPr>
        <w:t xml:space="preserve"> </w:t>
      </w:r>
      <w:r>
        <w:t>are relevant to both.</w:t>
      </w:r>
    </w:p>
    <w:p w:rsidR="00000000" w:rsidRDefault="00590668">
      <w:r>
        <w:t>5.</w:t>
      </w:r>
      <w:r>
        <w:tab/>
        <w:t xml:space="preserve">Governments wish to encourage the widest possible observance of the </w:t>
      </w:r>
      <w:r>
        <w:rPr>
          <w:rStyle w:val="NormalItalic"/>
        </w:rPr>
        <w:t>Guidelines</w:t>
      </w:r>
      <w:r>
        <w:t>. While it is acknowledged that small</w:t>
      </w:r>
      <w:r>
        <w:noBreakHyphen/>
        <w:t xml:space="preserve"> and medium</w:t>
      </w:r>
      <w:r>
        <w:noBreakHyphen/>
        <w:t xml:space="preserve">sized enterprises may not have the same capacities as larger enterprises, governments adhering to the </w:t>
      </w:r>
      <w:r>
        <w:rPr>
          <w:i/>
          <w:iCs/>
        </w:rPr>
        <w:t>Guidelines</w:t>
      </w:r>
      <w:r>
        <w:t xml:space="preserve"> nevertheless</w:t>
      </w:r>
      <w:r>
        <w:t xml:space="preserve"> encourage them to observe the </w:t>
      </w:r>
      <w:r>
        <w:rPr>
          <w:rStyle w:val="NormalItalic"/>
        </w:rPr>
        <w:t>Guidelines</w:t>
      </w:r>
      <w:r>
        <w:t xml:space="preserve"> recommendations to the fullest extent possible.</w:t>
      </w:r>
    </w:p>
    <w:p w:rsidR="00000000" w:rsidRDefault="00590668">
      <w:r>
        <w:t>6.</w:t>
      </w:r>
      <w:r>
        <w:tab/>
        <w:t xml:space="preserve">Governments adhering to the </w:t>
      </w:r>
      <w:r>
        <w:rPr>
          <w:rStyle w:val="NormalItalic"/>
        </w:rPr>
        <w:t>Guidelines</w:t>
      </w:r>
      <w:r>
        <w:t xml:space="preserve"> should not use them for protectionist purposes nor use them in a way that calls into question the comparative advantage of a</w:t>
      </w:r>
      <w:r>
        <w:t>ny country where multinational enterprises invest.</w:t>
      </w:r>
    </w:p>
    <w:p w:rsidR="00000000" w:rsidRDefault="00590668">
      <w:r>
        <w:t>7.</w:t>
      </w:r>
      <w:r>
        <w:tab/>
        <w:t xml:space="preserve">Governments have the right to prescribe the conditions under which multinational enterprises operate within their jurisdictions, subject to international law. The entities of a multinational enterprise </w:t>
      </w:r>
      <w:r>
        <w:t>located in various countries are subject to the laws applicable in these countries. When multinational enterprises are subject to conflicting requirements by adhering countries, the governments concerned will co</w:t>
      </w:r>
      <w:r>
        <w:noBreakHyphen/>
        <w:t>operate in good faith with a view to resolvi</w:t>
      </w:r>
      <w:r>
        <w:t>ng problems that may arise.</w:t>
      </w:r>
    </w:p>
    <w:p w:rsidR="00000000" w:rsidRDefault="00590668">
      <w:r>
        <w:lastRenderedPageBreak/>
        <w:t>8.</w:t>
      </w:r>
      <w:r>
        <w:tab/>
        <w:t xml:space="preserve">Governments adhering to the </w:t>
      </w:r>
      <w:r>
        <w:rPr>
          <w:rStyle w:val="NormalItalic"/>
        </w:rPr>
        <w:t>Guidelines</w:t>
      </w:r>
      <w:r>
        <w:rPr>
          <w:i/>
          <w:iCs/>
        </w:rPr>
        <w:t xml:space="preserve"> </w:t>
      </w:r>
      <w:r>
        <w:t>set them forth with the understanding that they will fulfil their responsibilities to treat enterprises equitably and in accordance with international law and with their contractual obli</w:t>
      </w:r>
      <w:r>
        <w:t>gations.</w:t>
      </w:r>
    </w:p>
    <w:p w:rsidR="00000000" w:rsidRDefault="00590668">
      <w:r>
        <w:t>9.</w:t>
      </w:r>
      <w:r>
        <w:tab/>
        <w:t>The use of appropriate international dispute settlement mechanisms, including arbitration, is encouraged as a means of facilitating the resolution of legal problems arising between enterprises and host country governments.</w:t>
      </w:r>
    </w:p>
    <w:p w:rsidR="00000000" w:rsidRDefault="00590668">
      <w:r>
        <w:t>10.</w:t>
      </w:r>
      <w:r>
        <w:tab/>
        <w:t>Governments adher</w:t>
      </w:r>
      <w:r>
        <w:t xml:space="preserve">ing to the </w:t>
      </w:r>
      <w:r>
        <w:rPr>
          <w:rStyle w:val="NormalItalic"/>
        </w:rPr>
        <w:t>Guidelines</w:t>
      </w:r>
      <w:r>
        <w:t xml:space="preserve"> will promote them and encourage their use. They will establish National Contact Points that promote the </w:t>
      </w:r>
      <w:r>
        <w:rPr>
          <w:rStyle w:val="NormalItalic"/>
        </w:rPr>
        <w:t>Guidelines</w:t>
      </w:r>
      <w:r>
        <w:t xml:space="preserve"> and act as a forum for discussion of all matters relating to the </w:t>
      </w:r>
      <w:r>
        <w:rPr>
          <w:rStyle w:val="NormalItalic"/>
        </w:rPr>
        <w:t>Guidelines</w:t>
      </w:r>
      <w:r>
        <w:t>. The adhering Governments will also partici</w:t>
      </w:r>
      <w:r>
        <w:t xml:space="preserve">pate in appropriate review and consultation procedures to address issues concerning interpretation of the </w:t>
      </w:r>
      <w:r>
        <w:rPr>
          <w:rStyle w:val="NormalItalic"/>
        </w:rPr>
        <w:t>Guidelines</w:t>
      </w:r>
      <w:r>
        <w:t xml:space="preserve"> in a changing world.</w:t>
      </w:r>
    </w:p>
    <w:p w:rsidR="00000000" w:rsidRDefault="00590668">
      <w:pPr>
        <w:pStyle w:val="Heading3"/>
      </w:pPr>
      <w:r>
        <w:t>II.</w:t>
      </w:r>
      <w:r>
        <w:tab/>
        <w:t>General policies</w:t>
      </w:r>
    </w:p>
    <w:p w:rsidR="00000000" w:rsidRDefault="00590668">
      <w:r>
        <w:t>Enterprises should take fully into account established policies in the countries in which they op</w:t>
      </w:r>
      <w:r>
        <w:t>erate, and consider the views of other stakeholders. In this regard, enterprises should:</w:t>
      </w:r>
    </w:p>
    <w:p w:rsidR="00000000" w:rsidRDefault="00590668" w:rsidP="00AF7DF0">
      <w:pPr>
        <w:numPr>
          <w:ilvl w:val="0"/>
          <w:numId w:val="23"/>
        </w:numPr>
        <w:ind w:left="0" w:firstLine="0"/>
      </w:pPr>
      <w:r>
        <w:t>Contribute to economic, social and environmental progress with a view to achieving sustainable development.</w:t>
      </w:r>
    </w:p>
    <w:p w:rsidR="00000000" w:rsidRDefault="00590668" w:rsidP="00AF7DF0">
      <w:pPr>
        <w:numPr>
          <w:ilvl w:val="0"/>
          <w:numId w:val="23"/>
        </w:numPr>
        <w:ind w:left="0" w:firstLine="0"/>
      </w:pPr>
      <w:r>
        <w:t>Respect the human rights of those affected by their</w:t>
      </w:r>
      <w:r>
        <w:t xml:space="preserve"> activities consistent with the host government’s international obligations and commitments.</w:t>
      </w:r>
    </w:p>
    <w:p w:rsidR="00000000" w:rsidRDefault="00590668" w:rsidP="00AF7DF0">
      <w:pPr>
        <w:numPr>
          <w:ilvl w:val="0"/>
          <w:numId w:val="23"/>
        </w:numPr>
        <w:ind w:left="0" w:firstLine="0"/>
      </w:pPr>
      <w:r>
        <w:t>Encourage local capacity building through close co</w:t>
      </w:r>
      <w:r>
        <w:noBreakHyphen/>
        <w:t>operation with the local community, including business interests, as well as developing the enterprise’s act</w:t>
      </w:r>
      <w:r>
        <w:t>ivities in domestic and foreign markets, consistent with the need for sound commercial practice.</w:t>
      </w:r>
    </w:p>
    <w:p w:rsidR="00000000" w:rsidRDefault="00590668" w:rsidP="00AF7DF0">
      <w:pPr>
        <w:numPr>
          <w:ilvl w:val="0"/>
          <w:numId w:val="23"/>
        </w:numPr>
        <w:ind w:left="0" w:firstLine="0"/>
      </w:pPr>
      <w:r>
        <w:t>Encourage human capital formation, in particular by creating employment opportunities and facilitating training opportunities for employees.</w:t>
      </w:r>
    </w:p>
    <w:p w:rsidR="00000000" w:rsidRDefault="00590668" w:rsidP="00AF7DF0">
      <w:pPr>
        <w:numPr>
          <w:ilvl w:val="0"/>
          <w:numId w:val="23"/>
        </w:numPr>
        <w:ind w:left="0" w:firstLine="0"/>
      </w:pPr>
      <w:r>
        <w:t>Refrain fr</w:t>
      </w:r>
      <w:r>
        <w:t>om seeking or accepting exemptions not contemplated in the statutory or regulatory framework related to environmental, health, safety, labour, taxation, financial incentives, or other issues.</w:t>
      </w:r>
    </w:p>
    <w:p w:rsidR="00000000" w:rsidRDefault="00590668" w:rsidP="00AF7DF0">
      <w:pPr>
        <w:numPr>
          <w:ilvl w:val="0"/>
          <w:numId w:val="23"/>
        </w:numPr>
        <w:ind w:left="0" w:firstLine="0"/>
      </w:pPr>
      <w:r>
        <w:t>Support and uphold good corporate governance principles and develop and apply good corporate governance practices.</w:t>
      </w:r>
    </w:p>
    <w:p w:rsidR="00000000" w:rsidRDefault="00590668" w:rsidP="00AF7DF0">
      <w:pPr>
        <w:numPr>
          <w:ilvl w:val="0"/>
          <w:numId w:val="23"/>
        </w:numPr>
        <w:ind w:left="0" w:firstLine="0"/>
      </w:pPr>
      <w:r>
        <w:lastRenderedPageBreak/>
        <w:t>Develop and apply effective self</w:t>
      </w:r>
      <w:r>
        <w:noBreakHyphen/>
        <w:t>regulatory practices and management systems that foster a relationship of confidence and mutual trust be</w:t>
      </w:r>
      <w:r>
        <w:t>tween enterprises and the societies in which they operate.</w:t>
      </w:r>
    </w:p>
    <w:p w:rsidR="00000000" w:rsidRDefault="00590668" w:rsidP="00AF7DF0">
      <w:pPr>
        <w:numPr>
          <w:ilvl w:val="0"/>
          <w:numId w:val="23"/>
        </w:numPr>
        <w:ind w:left="0" w:firstLine="0"/>
      </w:pPr>
      <w:r>
        <w:t>Promote employee awareness of, and compliance with, company policies through appropriate dissemination of these policies, including through training programmes.</w:t>
      </w:r>
    </w:p>
    <w:p w:rsidR="00000000" w:rsidRDefault="00590668" w:rsidP="00AF7DF0">
      <w:pPr>
        <w:numPr>
          <w:ilvl w:val="0"/>
          <w:numId w:val="23"/>
        </w:numPr>
        <w:ind w:left="0" w:firstLine="0"/>
      </w:pPr>
      <w:r>
        <w:t xml:space="preserve">Refrain from discriminatory </w:t>
      </w:r>
      <w:r>
        <w:t xml:space="preserve">or disciplinary action against employees who make </w:t>
      </w:r>
      <w:r>
        <w:rPr>
          <w:rStyle w:val="NormalItalic"/>
        </w:rPr>
        <w:t>bona fide</w:t>
      </w:r>
      <w:r>
        <w:t xml:space="preserve"> reports to management or, as appropriate, to the competent public authorities, on practices that contravene the law, the </w:t>
      </w:r>
      <w:r>
        <w:rPr>
          <w:i/>
          <w:iCs/>
        </w:rPr>
        <w:t>Guidelines</w:t>
      </w:r>
      <w:r>
        <w:t xml:space="preserve"> or the enterprise’s policies.</w:t>
      </w:r>
    </w:p>
    <w:p w:rsidR="00000000" w:rsidRDefault="00590668" w:rsidP="00AF7DF0">
      <w:pPr>
        <w:numPr>
          <w:ilvl w:val="0"/>
          <w:numId w:val="23"/>
        </w:numPr>
        <w:ind w:left="0" w:firstLine="0"/>
      </w:pPr>
      <w:r>
        <w:t>Encourage, where practicable,</w:t>
      </w:r>
      <w:r>
        <w:t xml:space="preserve"> business partners, including suppliers and sub</w:t>
      </w:r>
      <w:r>
        <w:noBreakHyphen/>
        <w:t xml:space="preserve">contractors, to apply principles of corporate conduct compatible with the </w:t>
      </w:r>
      <w:r>
        <w:rPr>
          <w:rStyle w:val="NormalItalic"/>
        </w:rPr>
        <w:t>Guidelines</w:t>
      </w:r>
      <w:r>
        <w:t>.</w:t>
      </w:r>
    </w:p>
    <w:p w:rsidR="00000000" w:rsidRDefault="00590668" w:rsidP="00AF7DF0">
      <w:pPr>
        <w:numPr>
          <w:ilvl w:val="0"/>
          <w:numId w:val="23"/>
        </w:numPr>
        <w:ind w:left="0" w:firstLine="0"/>
      </w:pPr>
      <w:r>
        <w:t>Abstain from any improper involvement in local political activities.</w:t>
      </w:r>
    </w:p>
    <w:p w:rsidR="00000000" w:rsidRDefault="00590668">
      <w:pPr>
        <w:pStyle w:val="Heading3"/>
      </w:pPr>
      <w:r>
        <w:t>III.</w:t>
      </w:r>
      <w:r>
        <w:tab/>
        <w:t>Disclosure</w:t>
      </w:r>
    </w:p>
    <w:p w:rsidR="00000000" w:rsidRDefault="00590668">
      <w:r>
        <w:rPr>
          <w:snapToGrid w:val="0"/>
        </w:rPr>
        <w:t>1.</w:t>
      </w:r>
      <w:r>
        <w:rPr>
          <w:snapToGrid w:val="0"/>
        </w:rPr>
        <w:tab/>
        <w:t>Enterprises should ensure tha</w:t>
      </w:r>
      <w:r>
        <w:rPr>
          <w:snapToGrid w:val="0"/>
        </w:rPr>
        <w:t>t timely, regular, reliable and relevant information is disclosed</w:t>
      </w:r>
      <w:r>
        <w:t xml:space="preserve"> regarding their activities, structure, financial situation and performance.</w:t>
      </w:r>
      <w:r>
        <w:rPr>
          <w:snapToGrid w:val="0"/>
        </w:rPr>
        <w:t xml:space="preserve"> This information should be disclosed for the enterprise as a whole and, where appropriate, along business lines or</w:t>
      </w:r>
      <w:r>
        <w:rPr>
          <w:snapToGrid w:val="0"/>
        </w:rPr>
        <w:t xml:space="preserve"> geographic areas. </w:t>
      </w:r>
      <w:r>
        <w:t>Disclosure policies of enterprises should be tailored to the nature, size and location of the enterprise, with due regard taken of costs, business confidentiality and other competitive concerns.</w:t>
      </w:r>
    </w:p>
    <w:p w:rsidR="00000000" w:rsidRDefault="00590668">
      <w:pPr>
        <w:rPr>
          <w:snapToGrid w:val="0"/>
        </w:rPr>
      </w:pPr>
      <w:r>
        <w:rPr>
          <w:snapToGrid w:val="0"/>
        </w:rPr>
        <w:t>2.</w:t>
      </w:r>
      <w:r>
        <w:rPr>
          <w:snapToGrid w:val="0"/>
        </w:rPr>
        <w:tab/>
        <w:t>Enterprises should apply high quality s</w:t>
      </w:r>
      <w:r>
        <w:rPr>
          <w:snapToGrid w:val="0"/>
        </w:rPr>
        <w:t>tandards for disclosure, accounting, and audit. Enterprises are also encouraged to apply high quality standards for non</w:t>
      </w:r>
      <w:r>
        <w:rPr>
          <w:snapToGrid w:val="0"/>
        </w:rPr>
        <w:noBreakHyphen/>
        <w:t>financial information including environmental and social reporting where they exist. The standards or policies under which both financia</w:t>
      </w:r>
      <w:r>
        <w:rPr>
          <w:snapToGrid w:val="0"/>
        </w:rPr>
        <w:t>l and non</w:t>
      </w:r>
      <w:r>
        <w:rPr>
          <w:snapToGrid w:val="0"/>
        </w:rPr>
        <w:noBreakHyphen/>
        <w:t>financial information are compiled and published should be reported.</w:t>
      </w:r>
    </w:p>
    <w:p w:rsidR="00000000" w:rsidRDefault="00590668">
      <w:pPr>
        <w:rPr>
          <w:snapToGrid w:val="0"/>
        </w:rPr>
      </w:pPr>
      <w:r>
        <w:rPr>
          <w:snapToGrid w:val="0"/>
        </w:rPr>
        <w:t>3.</w:t>
      </w:r>
      <w:r>
        <w:rPr>
          <w:snapToGrid w:val="0"/>
        </w:rPr>
        <w:tab/>
        <w:t>Enterprises should disclose basic information showing their name, location, and structure, the name, address and telephone number of the parent enterprise and its main affili</w:t>
      </w:r>
      <w:r>
        <w:rPr>
          <w:snapToGrid w:val="0"/>
        </w:rPr>
        <w:t>ates, its percentage ownership, direct and indirect in these affiliates, including shareholdings between them.</w:t>
      </w:r>
    </w:p>
    <w:p w:rsidR="00000000" w:rsidRDefault="00590668">
      <w:pPr>
        <w:rPr>
          <w:snapToGrid w:val="0"/>
        </w:rPr>
      </w:pPr>
      <w:r>
        <w:rPr>
          <w:snapToGrid w:val="0"/>
        </w:rPr>
        <w:t>4.</w:t>
      </w:r>
      <w:r>
        <w:rPr>
          <w:snapToGrid w:val="0"/>
        </w:rPr>
        <w:tab/>
        <w:t>Enterprises should also disclose material information on:</w:t>
      </w:r>
    </w:p>
    <w:p w:rsidR="00000000" w:rsidRDefault="00590668" w:rsidP="00AF7DF0">
      <w:pPr>
        <w:numPr>
          <w:ilvl w:val="0"/>
          <w:numId w:val="21"/>
        </w:numPr>
        <w:tabs>
          <w:tab w:val="num" w:pos="1134"/>
        </w:tabs>
        <w:ind w:firstLine="1"/>
        <w:jc w:val="left"/>
      </w:pPr>
      <w:r>
        <w:lastRenderedPageBreak/>
        <w:t>The financial and operating results of the company;</w:t>
      </w:r>
    </w:p>
    <w:p w:rsidR="00000000" w:rsidRDefault="00590668" w:rsidP="00AF7DF0">
      <w:pPr>
        <w:numPr>
          <w:ilvl w:val="0"/>
          <w:numId w:val="21"/>
        </w:numPr>
        <w:tabs>
          <w:tab w:val="num" w:pos="1134"/>
        </w:tabs>
        <w:ind w:firstLine="1"/>
        <w:jc w:val="left"/>
      </w:pPr>
      <w:r>
        <w:t>Company objectives;</w:t>
      </w:r>
    </w:p>
    <w:p w:rsidR="00000000" w:rsidRDefault="00590668" w:rsidP="00AF7DF0">
      <w:pPr>
        <w:numPr>
          <w:ilvl w:val="0"/>
          <w:numId w:val="21"/>
        </w:numPr>
        <w:tabs>
          <w:tab w:val="num" w:pos="1134"/>
        </w:tabs>
        <w:ind w:firstLine="1"/>
        <w:jc w:val="left"/>
      </w:pPr>
      <w:r>
        <w:t>Major share ownership and voting rights;</w:t>
      </w:r>
    </w:p>
    <w:p w:rsidR="00000000" w:rsidRDefault="00590668" w:rsidP="00AF7DF0">
      <w:pPr>
        <w:numPr>
          <w:ilvl w:val="0"/>
          <w:numId w:val="21"/>
        </w:numPr>
        <w:tabs>
          <w:tab w:val="num" w:pos="1134"/>
        </w:tabs>
        <w:ind w:firstLine="1"/>
        <w:jc w:val="left"/>
      </w:pPr>
      <w:r>
        <w:t>Members of the board and key executives, and their remuneration;</w:t>
      </w:r>
    </w:p>
    <w:p w:rsidR="00000000" w:rsidRDefault="00590668" w:rsidP="00AF7DF0">
      <w:pPr>
        <w:numPr>
          <w:ilvl w:val="0"/>
          <w:numId w:val="21"/>
        </w:numPr>
        <w:tabs>
          <w:tab w:val="num" w:pos="1134"/>
        </w:tabs>
        <w:ind w:firstLine="1"/>
        <w:jc w:val="left"/>
      </w:pPr>
      <w:r>
        <w:t>Material foreseeable risk factors;</w:t>
      </w:r>
    </w:p>
    <w:p w:rsidR="00000000" w:rsidRDefault="00590668" w:rsidP="00AF7DF0">
      <w:pPr>
        <w:numPr>
          <w:ilvl w:val="0"/>
          <w:numId w:val="21"/>
        </w:numPr>
        <w:tabs>
          <w:tab w:val="num" w:pos="1134"/>
        </w:tabs>
        <w:ind w:firstLine="1"/>
        <w:jc w:val="left"/>
      </w:pPr>
      <w:r>
        <w:t>Material issues regarding employees and other stakeholders; and</w:t>
      </w:r>
    </w:p>
    <w:p w:rsidR="00000000" w:rsidRDefault="00590668" w:rsidP="00AF7DF0">
      <w:pPr>
        <w:numPr>
          <w:ilvl w:val="0"/>
          <w:numId w:val="21"/>
        </w:numPr>
        <w:tabs>
          <w:tab w:val="num" w:pos="1134"/>
        </w:tabs>
        <w:ind w:firstLine="1"/>
        <w:jc w:val="left"/>
      </w:pPr>
      <w:r>
        <w:t>Governance structures</w:t>
      </w:r>
      <w:r>
        <w:t xml:space="preserve"> and policies.</w:t>
      </w:r>
    </w:p>
    <w:p w:rsidR="00000000" w:rsidRDefault="00590668">
      <w:pPr>
        <w:rPr>
          <w:snapToGrid w:val="0"/>
        </w:rPr>
      </w:pPr>
      <w:r>
        <w:rPr>
          <w:snapToGrid w:val="0"/>
        </w:rPr>
        <w:t>5.</w:t>
      </w:r>
      <w:r>
        <w:rPr>
          <w:snapToGrid w:val="0"/>
        </w:rPr>
        <w:tab/>
        <w:t>Enterprises are encouraged to communicate additional information that could include:</w:t>
      </w:r>
    </w:p>
    <w:p w:rsidR="00000000" w:rsidRDefault="00590668" w:rsidP="00AF7DF0">
      <w:pPr>
        <w:numPr>
          <w:ilvl w:val="0"/>
          <w:numId w:val="22"/>
        </w:numPr>
      </w:pPr>
      <w:r>
        <w:t>Value statements or statements of business co</w:t>
      </w:r>
      <w:r>
        <w:t>nduct intended for public disclosure including information on the social, ethical and environmental policies of the enterprise and other codes of conduct to which the company subscribes. In addition, the date of adoption, the countries and entities to whic</w:t>
      </w:r>
      <w:r>
        <w:t>h such statements apply and its performance in relation to these statements may be communicated;</w:t>
      </w:r>
    </w:p>
    <w:p w:rsidR="00000000" w:rsidRDefault="00590668" w:rsidP="00AF7DF0">
      <w:pPr>
        <w:numPr>
          <w:ilvl w:val="0"/>
          <w:numId w:val="22"/>
        </w:numPr>
      </w:pPr>
      <w:r>
        <w:t>Information on systems for managing risks and complying with laws, and on statements or codes of business conduct; and</w:t>
      </w:r>
    </w:p>
    <w:p w:rsidR="00000000" w:rsidRDefault="00590668" w:rsidP="00AF7DF0">
      <w:pPr>
        <w:numPr>
          <w:ilvl w:val="0"/>
          <w:numId w:val="22"/>
        </w:numPr>
        <w:rPr>
          <w:snapToGrid w:val="0"/>
        </w:rPr>
      </w:pPr>
      <w:r>
        <w:t>Information on relationships</w:t>
      </w:r>
      <w:r>
        <w:t xml:space="preserve"> with employees and other stakeholders.</w:t>
      </w:r>
    </w:p>
    <w:p w:rsidR="00000000" w:rsidRDefault="00590668">
      <w:pPr>
        <w:pStyle w:val="Heading3"/>
      </w:pPr>
      <w:r>
        <w:t>IV.</w:t>
      </w:r>
      <w:r>
        <w:tab/>
        <w:t>Employment and industrial relations</w:t>
      </w:r>
    </w:p>
    <w:p w:rsidR="00000000" w:rsidRDefault="00590668">
      <w:r>
        <w:t>1.</w:t>
      </w:r>
      <w:r>
        <w:tab/>
        <w:t>Enterprises should, within the framework of applicable law, regulations and prevailing labour relations and employment practices:</w:t>
      </w:r>
    </w:p>
    <w:p w:rsidR="00000000" w:rsidRDefault="00590668" w:rsidP="00AF7DF0">
      <w:pPr>
        <w:numPr>
          <w:ilvl w:val="0"/>
          <w:numId w:val="24"/>
        </w:numPr>
        <w:tabs>
          <w:tab w:val="num" w:pos="1134"/>
        </w:tabs>
        <w:ind w:left="1134" w:hanging="566"/>
      </w:pPr>
      <w:r>
        <w:t xml:space="preserve">Respect the right of their employees </w:t>
      </w:r>
      <w:r>
        <w:t xml:space="preserve">to be represented by trade unions and other bona fide representatives of employees, and engage in constructive negotiations, either individually or through employers’ associations, with such representatives with a view to reaching agreements on employment </w:t>
      </w:r>
      <w:r>
        <w:t xml:space="preserve">conditions; </w:t>
      </w:r>
    </w:p>
    <w:p w:rsidR="00000000" w:rsidRDefault="00590668" w:rsidP="00AF7DF0">
      <w:pPr>
        <w:numPr>
          <w:ilvl w:val="0"/>
          <w:numId w:val="24"/>
        </w:numPr>
        <w:tabs>
          <w:tab w:val="num" w:pos="1134"/>
        </w:tabs>
        <w:ind w:left="1134" w:hanging="566"/>
      </w:pPr>
      <w:r>
        <w:t>Contribute to the effective abolition of child labour;</w:t>
      </w:r>
    </w:p>
    <w:p w:rsidR="00000000" w:rsidRDefault="00590668" w:rsidP="00AF7DF0">
      <w:pPr>
        <w:numPr>
          <w:ilvl w:val="0"/>
          <w:numId w:val="24"/>
        </w:numPr>
        <w:tabs>
          <w:tab w:val="num" w:pos="1134"/>
        </w:tabs>
        <w:ind w:left="1134" w:hanging="566"/>
      </w:pPr>
      <w:r>
        <w:t>Contribute to the elimination of all forms of forced or compulsory labour; and</w:t>
      </w:r>
    </w:p>
    <w:p w:rsidR="00000000" w:rsidRDefault="00590668" w:rsidP="00AF7DF0">
      <w:pPr>
        <w:numPr>
          <w:ilvl w:val="0"/>
          <w:numId w:val="24"/>
        </w:numPr>
        <w:tabs>
          <w:tab w:val="num" w:pos="1134"/>
        </w:tabs>
        <w:ind w:left="1134" w:hanging="566"/>
      </w:pPr>
      <w:r>
        <w:lastRenderedPageBreak/>
        <w:t>Not discriminate against their employees with respect to employment or occupation on such grounds as race, colour, sex, religion, political opinion, national extraction or social origin, unless selectivity concerning employee characteristics furthers estab</w:t>
      </w:r>
      <w:r>
        <w:t>lished governmental policies which specifically promote greater equality of employment opportunity or relates to the inherent requirements of a job.</w:t>
      </w:r>
    </w:p>
    <w:p w:rsidR="00000000" w:rsidRDefault="00590668">
      <w:pPr>
        <w:tabs>
          <w:tab w:val="left" w:pos="567"/>
        </w:tabs>
        <w:ind w:left="1134" w:hanging="1134"/>
      </w:pPr>
      <w:r>
        <w:t>2.</w:t>
      </w:r>
      <w:r>
        <w:tab/>
        <w:t>(a)</w:t>
      </w:r>
      <w:r>
        <w:tab/>
        <w:t>Provide facilities to employee representatives as may be necessary to assist in the development of e</w:t>
      </w:r>
      <w:r>
        <w:t xml:space="preserve">ffective collective agreements; </w:t>
      </w:r>
    </w:p>
    <w:p w:rsidR="00000000" w:rsidRDefault="00590668">
      <w:pPr>
        <w:tabs>
          <w:tab w:val="left" w:pos="567"/>
        </w:tabs>
        <w:ind w:left="1134" w:hanging="1134"/>
      </w:pPr>
      <w:r>
        <w:tab/>
        <w:t>(b)</w:t>
      </w:r>
      <w:r>
        <w:tab/>
        <w:t>Provide information to employee representatives which is needed for meaningful negotiations on conditions of employment; and</w:t>
      </w:r>
    </w:p>
    <w:p w:rsidR="00000000" w:rsidRDefault="00590668">
      <w:pPr>
        <w:tabs>
          <w:tab w:val="left" w:pos="567"/>
        </w:tabs>
        <w:ind w:left="1134" w:hanging="1134"/>
      </w:pPr>
      <w:r>
        <w:tab/>
        <w:t>(c)</w:t>
      </w:r>
      <w:r>
        <w:tab/>
        <w:t>Promote consultation and co</w:t>
      </w:r>
      <w:r>
        <w:noBreakHyphen/>
        <w:t>operation between employers and employees and their represen</w:t>
      </w:r>
      <w:r>
        <w:t>tatives on matters of mutual concern.</w:t>
      </w:r>
    </w:p>
    <w:p w:rsidR="00000000" w:rsidRDefault="00590668">
      <w:r>
        <w:t>3.</w:t>
      </w:r>
      <w:r>
        <w:tab/>
        <w:t xml:space="preserve">Provide information to employees and their representatives which enables them to obtain a true and fair view of the performance of the entity or, where appropriate, the enterprise as a whole. </w:t>
      </w:r>
    </w:p>
    <w:p w:rsidR="00000000" w:rsidRDefault="00590668">
      <w:pPr>
        <w:tabs>
          <w:tab w:val="left" w:pos="567"/>
        </w:tabs>
        <w:ind w:left="1134" w:hanging="1134"/>
      </w:pPr>
      <w:r>
        <w:t>4.</w:t>
      </w:r>
      <w:r>
        <w:tab/>
        <w:t>(a)</w:t>
      </w:r>
      <w:r>
        <w:tab/>
        <w:t>Observe standar</w:t>
      </w:r>
      <w:r>
        <w:t>ds of employment and industrial relations not less favourable than those observed by comparable employers in the host country; and</w:t>
      </w:r>
    </w:p>
    <w:p w:rsidR="00000000" w:rsidRDefault="00590668" w:rsidP="00AF7DF0">
      <w:pPr>
        <w:pStyle w:val="TOC6"/>
        <w:numPr>
          <w:ilvl w:val="0"/>
          <w:numId w:val="25"/>
        </w:numPr>
        <w:spacing w:before="0" w:after="240"/>
        <w:ind w:left="1134" w:hanging="567"/>
      </w:pPr>
      <w:r>
        <w:t xml:space="preserve">Take adequate steps to ensure occupational health and safety in their operations. </w:t>
      </w:r>
    </w:p>
    <w:p w:rsidR="00000000" w:rsidRDefault="00590668" w:rsidP="00AF7DF0">
      <w:pPr>
        <w:numPr>
          <w:ilvl w:val="0"/>
          <w:numId w:val="26"/>
        </w:numPr>
        <w:ind w:left="0" w:firstLine="0"/>
      </w:pPr>
      <w:r>
        <w:t>In their operations, to the grea</w:t>
      </w:r>
      <w:r>
        <w:t>test extent practicable, employ local personnel and provide training with a view to improving skill levels, in co</w:t>
      </w:r>
      <w:r>
        <w:noBreakHyphen/>
        <w:t>operation with employee representatives and, where appropriate, relevant governmental authorities.</w:t>
      </w:r>
    </w:p>
    <w:p w:rsidR="00000000" w:rsidRDefault="00590668" w:rsidP="00AF7DF0">
      <w:pPr>
        <w:numPr>
          <w:ilvl w:val="0"/>
          <w:numId w:val="26"/>
        </w:numPr>
        <w:ind w:left="0" w:firstLine="0"/>
      </w:pPr>
      <w:r>
        <w:t>In considering changes in their operati</w:t>
      </w:r>
      <w:r>
        <w:t>ons which would have major effects upon the livelihood of their employees, in particular in the case of the closure of an entity involving collective lay</w:t>
      </w:r>
      <w:r>
        <w:noBreakHyphen/>
        <w:t>offs or dismissals, provide reasonable notice of such changes to representatives of their employees, a</w:t>
      </w:r>
      <w:r>
        <w:t>nd, where appropriate, to the relevant governmental authorities, and co</w:t>
      </w:r>
      <w:r>
        <w:noBreakHyphen/>
        <w:t>operate with the employee representatives and appropriate governmental authorities so as to mitigate to the maximum extent practicable adverse effects. In light of the specific circums</w:t>
      </w:r>
      <w:r>
        <w:t xml:space="preserve">tances of each case, it would be appropriate if management were able to give such notice prior to the final decision being taken. Other </w:t>
      </w:r>
      <w:r>
        <w:lastRenderedPageBreak/>
        <w:t>means may also be employed to provide meaningful co</w:t>
      </w:r>
      <w:r>
        <w:noBreakHyphen/>
        <w:t>operation to mitigate the effects of such decisions.</w:t>
      </w:r>
    </w:p>
    <w:p w:rsidR="00000000" w:rsidRDefault="00590668" w:rsidP="00AF7DF0">
      <w:pPr>
        <w:numPr>
          <w:ilvl w:val="0"/>
          <w:numId w:val="26"/>
        </w:numPr>
        <w:ind w:left="0" w:firstLine="0"/>
      </w:pPr>
      <w:r>
        <w:t>In the cont</w:t>
      </w:r>
      <w:r>
        <w:t>ext of bona fide negotiations with representatives of employees on conditions of employment, or while employees are exercising a right to organise, not threaten to transfer the whole or part of an operating unit from the country concerned nor transfer empl</w:t>
      </w:r>
      <w:r>
        <w:t>oyees from the enterprises’ component entities in other countries in order to influence unfairly those negotiations or to hinder the exercise of a right to organise.</w:t>
      </w:r>
    </w:p>
    <w:p w:rsidR="00000000" w:rsidRDefault="00590668" w:rsidP="00AF7DF0">
      <w:pPr>
        <w:numPr>
          <w:ilvl w:val="0"/>
          <w:numId w:val="26"/>
        </w:numPr>
        <w:ind w:left="0" w:firstLine="0"/>
      </w:pPr>
      <w:r>
        <w:t>Enable authorised representatives of their employees to negotiate on collective bargai</w:t>
      </w:r>
      <w:r>
        <w:t>ning or labour</w:t>
      </w:r>
      <w:r>
        <w:noBreakHyphen/>
        <w:t>management relations issues and allow the parties to consult on matters of mutual concern with representatives of management who are authorised to take decisions on these matters.</w:t>
      </w:r>
    </w:p>
    <w:p w:rsidR="00000000" w:rsidRDefault="00590668">
      <w:pPr>
        <w:pStyle w:val="Heading3"/>
      </w:pPr>
      <w:r>
        <w:t>V.</w:t>
      </w:r>
      <w:r>
        <w:tab/>
        <w:t>Environment</w:t>
      </w:r>
    </w:p>
    <w:p w:rsidR="00000000" w:rsidRDefault="00590668">
      <w:r>
        <w:t>Enterprises should, within the framework of la</w:t>
      </w:r>
      <w:r>
        <w:t>ws, regulations and administrative practices in the countries in which they operate, and in consideration of relevant international agreements, principles, objectives, and standards, take due account of the need to protect the environment, public health an</w:t>
      </w:r>
      <w:r>
        <w:t>d safety, and generally to conduct their activities in a manner contributing to the wider goal of sustainable development. In particular, enterprises should:</w:t>
      </w:r>
    </w:p>
    <w:p w:rsidR="00000000" w:rsidRDefault="00590668">
      <w:r>
        <w:t>1.</w:t>
      </w:r>
      <w:r>
        <w:tab/>
        <w:t>Establish and maintain a system of environmental management appropriate to the enterprise, incl</w:t>
      </w:r>
      <w:r>
        <w:t>uding:</w:t>
      </w:r>
    </w:p>
    <w:p w:rsidR="00000000" w:rsidRDefault="00590668" w:rsidP="00AF7DF0">
      <w:pPr>
        <w:numPr>
          <w:ilvl w:val="0"/>
          <w:numId w:val="27"/>
        </w:numPr>
        <w:tabs>
          <w:tab w:val="num" w:pos="1134"/>
        </w:tabs>
        <w:ind w:left="1134" w:hanging="567"/>
      </w:pPr>
      <w:r>
        <w:t>Collection and evaluation of adequate and timely information regarding the environmental, health, and safety impacts of their activities;</w:t>
      </w:r>
    </w:p>
    <w:p w:rsidR="00000000" w:rsidRDefault="00590668" w:rsidP="00AF7DF0">
      <w:pPr>
        <w:numPr>
          <w:ilvl w:val="0"/>
          <w:numId w:val="27"/>
        </w:numPr>
        <w:tabs>
          <w:tab w:val="num" w:pos="1134"/>
        </w:tabs>
        <w:ind w:left="1134" w:hanging="567"/>
      </w:pPr>
      <w:r>
        <w:t>Establishment of measurable objectives and, where appropriate, targets for improved environmental p</w:t>
      </w:r>
      <w:r>
        <w:t>erformance, including periodically reviewing the continuing relevance of these objectives; and</w:t>
      </w:r>
    </w:p>
    <w:p w:rsidR="00000000" w:rsidRDefault="00590668" w:rsidP="00AF7DF0">
      <w:pPr>
        <w:numPr>
          <w:ilvl w:val="0"/>
          <w:numId w:val="27"/>
        </w:numPr>
        <w:tabs>
          <w:tab w:val="num" w:pos="1134"/>
        </w:tabs>
        <w:ind w:left="1134" w:hanging="567"/>
      </w:pPr>
      <w:r>
        <w:t xml:space="preserve">Regular monitoring and verification of progress toward environmental, health, and safety objectives or targets. </w:t>
      </w:r>
    </w:p>
    <w:p w:rsidR="00000000" w:rsidRDefault="00590668">
      <w:r>
        <w:t>2.</w:t>
      </w:r>
      <w:r>
        <w:tab/>
        <w:t>Taking into account concerns about cost</w:t>
      </w:r>
      <w:r>
        <w:t>, business confidentiality, and the protection of intellectual property rights:</w:t>
      </w:r>
    </w:p>
    <w:p w:rsidR="00000000" w:rsidRDefault="00590668" w:rsidP="00AF7DF0">
      <w:pPr>
        <w:pStyle w:val="SingleParagraph"/>
        <w:numPr>
          <w:ilvl w:val="0"/>
          <w:numId w:val="20"/>
        </w:numPr>
        <w:spacing w:after="240"/>
      </w:pPr>
      <w:r>
        <w:lastRenderedPageBreak/>
        <w:t xml:space="preserve">Provide the public and employees with adequate and timely information on the potential </w:t>
      </w:r>
      <w:r>
        <w:t>environment, health and safety impacts of the activities of the enterprise, which could include reporting on progress in improving environmental performance; and</w:t>
      </w:r>
    </w:p>
    <w:p w:rsidR="00000000" w:rsidRDefault="00590668" w:rsidP="00AF7DF0">
      <w:pPr>
        <w:pStyle w:val="SingleParagraph"/>
        <w:numPr>
          <w:ilvl w:val="0"/>
          <w:numId w:val="20"/>
        </w:numPr>
        <w:spacing w:after="240"/>
      </w:pPr>
      <w:r>
        <w:t>Engage in adequate and timely communication and consultation with the communities direct</w:t>
      </w:r>
      <w:r>
        <w:t>ly affected by the environmental, health and safety policies of the enterprise and by their implementation.</w:t>
      </w:r>
    </w:p>
    <w:p w:rsidR="00000000" w:rsidRDefault="00590668">
      <w:r>
        <w:t>3.</w:t>
      </w:r>
      <w:r>
        <w:tab/>
        <w:t>Assess, and address in decision</w:t>
      </w:r>
      <w:r>
        <w:noBreakHyphen/>
        <w:t>making, the foreseeable environmental, health, and safety</w:t>
      </w:r>
      <w:r>
        <w:noBreakHyphen/>
        <w:t>related impacts associated with the processes, goods an</w:t>
      </w:r>
      <w:r>
        <w:t xml:space="preserve">d services of the enterprise over their full life cycle. Where these proposed activities may have significant environmental, health, or safety impacts, and where they are subject to a decision of a competent authority, prepare an appropriate environmental </w:t>
      </w:r>
      <w:r>
        <w:t>impact assessment.</w:t>
      </w:r>
    </w:p>
    <w:p w:rsidR="00000000" w:rsidRDefault="00590668">
      <w:r>
        <w:t>4.</w:t>
      </w:r>
      <w:r>
        <w:tab/>
        <w:t xml:space="preserve">Consistent with the scientific and technical understanding of the risks, where there are threats of serious damage to the environment, taking also into account human health and safety, not use the lack of full scientific certainty as </w:t>
      </w:r>
      <w:r>
        <w:t>a reason for postponing cost</w:t>
      </w:r>
      <w:r>
        <w:noBreakHyphen/>
        <w:t>effective measures to prevent or minimise such damage.</w:t>
      </w:r>
    </w:p>
    <w:p w:rsidR="00000000" w:rsidRDefault="00590668">
      <w:r>
        <w:t>5.</w:t>
      </w:r>
      <w:r>
        <w:tab/>
        <w:t>Maintain contingency plans for preventing, mitigating, and controlling serious environmental and health damage from their operations, including accidents and emergencies</w:t>
      </w:r>
      <w:r>
        <w:t xml:space="preserve">; and mechanisms for immediate reporting to the competent authorities. </w:t>
      </w:r>
    </w:p>
    <w:p w:rsidR="00000000" w:rsidRDefault="00590668">
      <w:r>
        <w:t>6.</w:t>
      </w:r>
      <w:r>
        <w:tab/>
        <w:t>Continually seek to improve corporate environmental performance, by encouraging, where appropriate, such activities as:</w:t>
      </w:r>
    </w:p>
    <w:p w:rsidR="00000000" w:rsidRDefault="00590668" w:rsidP="00AF7DF0">
      <w:pPr>
        <w:numPr>
          <w:ilvl w:val="0"/>
          <w:numId w:val="28"/>
        </w:numPr>
        <w:tabs>
          <w:tab w:val="clear" w:pos="644"/>
          <w:tab w:val="num" w:pos="709"/>
          <w:tab w:val="num" w:pos="1134"/>
        </w:tabs>
        <w:ind w:left="1134" w:hanging="567"/>
      </w:pPr>
      <w:r>
        <w:t>Adoption of technologies and operating procedures in al</w:t>
      </w:r>
      <w:r>
        <w:t xml:space="preserve">l parts of the enterprise that reflect standards concerning environmental performance in the best performing part of the enterprise; </w:t>
      </w:r>
    </w:p>
    <w:p w:rsidR="00000000" w:rsidRDefault="00590668" w:rsidP="00AF7DF0">
      <w:pPr>
        <w:numPr>
          <w:ilvl w:val="0"/>
          <w:numId w:val="28"/>
        </w:numPr>
        <w:tabs>
          <w:tab w:val="clear" w:pos="644"/>
          <w:tab w:val="num" w:pos="709"/>
          <w:tab w:val="num" w:pos="1134"/>
        </w:tabs>
        <w:ind w:left="1134" w:hanging="567"/>
      </w:pPr>
      <w:r>
        <w:t>Development and provision of products or services that have no undue environmental impacts; are safe in their intend</w:t>
      </w:r>
      <w:r>
        <w:t xml:space="preserve">ed use; are efficient in their consumption of energy and natural resources; can be reused, recycled, or disposed of safely; </w:t>
      </w:r>
    </w:p>
    <w:p w:rsidR="00000000" w:rsidRDefault="00590668" w:rsidP="00AF7DF0">
      <w:pPr>
        <w:numPr>
          <w:ilvl w:val="0"/>
          <w:numId w:val="28"/>
        </w:numPr>
        <w:tabs>
          <w:tab w:val="clear" w:pos="644"/>
          <w:tab w:val="num" w:pos="709"/>
          <w:tab w:val="num" w:pos="1134"/>
        </w:tabs>
        <w:ind w:left="1134" w:hanging="567"/>
      </w:pPr>
      <w:r>
        <w:lastRenderedPageBreak/>
        <w:t>Promoting higher levels of awareness among customers  of the environmental implications of using the products and services of</w:t>
      </w:r>
      <w:r>
        <w:t xml:space="preserve"> the enterprise; and</w:t>
      </w:r>
    </w:p>
    <w:p w:rsidR="00000000" w:rsidRDefault="00590668" w:rsidP="00AF7DF0">
      <w:pPr>
        <w:numPr>
          <w:ilvl w:val="0"/>
          <w:numId w:val="28"/>
        </w:numPr>
        <w:tabs>
          <w:tab w:val="clear" w:pos="644"/>
          <w:tab w:val="num" w:pos="709"/>
          <w:tab w:val="num" w:pos="1134"/>
        </w:tabs>
        <w:ind w:left="1134" w:hanging="567"/>
      </w:pPr>
      <w:r>
        <w:t>Research on ways of improving the environmental performance of the enterprise over the longer term.</w:t>
      </w:r>
    </w:p>
    <w:p w:rsidR="00000000" w:rsidRDefault="00590668">
      <w:r>
        <w:t>7.</w:t>
      </w:r>
      <w:r>
        <w:tab/>
        <w:t>Provide adequate education and training to employees in environmental health and safety matters, including the handling of haz</w:t>
      </w:r>
      <w:r>
        <w:t>ardous materials and the prevention of environmental accidents, as well as more general environmental management areas, such as environmental impact assessment procedures, public relations, and environmental technologies.</w:t>
      </w:r>
    </w:p>
    <w:p w:rsidR="00000000" w:rsidRDefault="00590668">
      <w:r>
        <w:t>8.</w:t>
      </w:r>
      <w:r>
        <w:tab/>
        <w:t>Contribute to the development o</w:t>
      </w:r>
      <w:r>
        <w:t>f environmentally meaningful and economically efficient public policy, for example, by means of partnerships or initiatives that will enhance environmental awareness and protection.</w:t>
      </w:r>
    </w:p>
    <w:p w:rsidR="00000000" w:rsidRDefault="00590668">
      <w:pPr>
        <w:pStyle w:val="Heading3"/>
      </w:pPr>
      <w:r>
        <w:t>VI.</w:t>
      </w:r>
      <w:r>
        <w:tab/>
        <w:t>Combating bribery</w:t>
      </w:r>
    </w:p>
    <w:p w:rsidR="00000000" w:rsidRDefault="00590668">
      <w:r>
        <w:t>Enterprises should not, directly or indirectly, offe</w:t>
      </w:r>
      <w:r>
        <w:t>r, promise, give, or demand a bribe or other undue advantage to obtain or retain business or other improper advantage. Nor should enterprises be solicited or expected to render a bribe or other undue advantage. In particular, enterprises should:</w:t>
      </w:r>
    </w:p>
    <w:p w:rsidR="00000000" w:rsidRDefault="00590668" w:rsidP="00AF7DF0">
      <w:pPr>
        <w:numPr>
          <w:ilvl w:val="0"/>
          <w:numId w:val="32"/>
        </w:numPr>
      </w:pPr>
      <w:r>
        <w:t>Not of</w:t>
      </w:r>
      <w:r>
        <w:t>fer, nor give in to demands, to pay public officials or the employees of business partners any portion of a contract payment. They should not use subcontracts, purchase orders or consulting agreements as means of channelling payments to public officials, t</w:t>
      </w:r>
      <w:r>
        <w:t>o employees of business partners or to their relatives or business associates.</w:t>
      </w:r>
    </w:p>
    <w:p w:rsidR="00000000" w:rsidRDefault="00590668" w:rsidP="00AF7DF0">
      <w:pPr>
        <w:numPr>
          <w:ilvl w:val="0"/>
          <w:numId w:val="32"/>
        </w:numPr>
      </w:pPr>
      <w:r>
        <w:t>Ensure that remuneration of agents is appropriate and for legitimate services only. Where relevant, a list of agents employed in connection with transactions with public bod</w:t>
      </w:r>
      <w:r>
        <w:t>ies and state</w:t>
      </w:r>
      <w:r>
        <w:noBreakHyphen/>
        <w:t>owned enterprises should be kept and made available to competent authorities.</w:t>
      </w:r>
    </w:p>
    <w:p w:rsidR="00000000" w:rsidRDefault="00590668" w:rsidP="00AF7DF0">
      <w:pPr>
        <w:numPr>
          <w:ilvl w:val="0"/>
          <w:numId w:val="32"/>
        </w:numPr>
      </w:pPr>
      <w:r>
        <w:t>Enhance the transparency of their activities in the fight against bribery and extortion. Measures could include making public commitments against bribery and ex</w:t>
      </w:r>
      <w:r>
        <w:t>tortion and disclosing the management systems the company has adopted in order to honour these commitments. The enterprise should also foster openness and dialogue with the public so as to promote its awareness of and co</w:t>
      </w:r>
      <w:r>
        <w:noBreakHyphen/>
        <w:t>operation with the fight against br</w:t>
      </w:r>
      <w:r>
        <w:t>ibery and extortion.</w:t>
      </w:r>
    </w:p>
    <w:p w:rsidR="00000000" w:rsidRDefault="00590668" w:rsidP="00AF7DF0">
      <w:pPr>
        <w:numPr>
          <w:ilvl w:val="0"/>
          <w:numId w:val="32"/>
        </w:numPr>
      </w:pPr>
      <w:r>
        <w:lastRenderedPageBreak/>
        <w:t>Promote employee awareness of and compliance with company policies against bribery and extortion through appropriate dissemination of these policies and through training programmes and disciplinary procedures.</w:t>
      </w:r>
    </w:p>
    <w:p w:rsidR="00000000" w:rsidRDefault="00590668" w:rsidP="00AF7DF0">
      <w:pPr>
        <w:numPr>
          <w:ilvl w:val="0"/>
          <w:numId w:val="32"/>
        </w:numPr>
      </w:pPr>
      <w:r>
        <w:t xml:space="preserve">Adopt management </w:t>
      </w:r>
      <w:r>
        <w:t xml:space="preserve">control systems that discourage bribery and corrupt practices, and adopt financial and tax accounting and auditing practices that prevent the establishment of ‘off the books’ or secret accounts or the creation of documents which do not properly and fairly </w:t>
      </w:r>
      <w:r>
        <w:t>record the transactions to which they relate.</w:t>
      </w:r>
    </w:p>
    <w:p w:rsidR="00000000" w:rsidRDefault="00590668" w:rsidP="00AF7DF0">
      <w:pPr>
        <w:numPr>
          <w:ilvl w:val="0"/>
          <w:numId w:val="32"/>
        </w:numPr>
      </w:pPr>
      <w:r>
        <w:t>Not make illegal contributions to candidates for public office or to political parties or to other political organisations. Contributions should fully comply with public disclosure requirements and should b</w:t>
      </w:r>
      <w:r>
        <w:t>e reported to senior management.</w:t>
      </w:r>
    </w:p>
    <w:p w:rsidR="00000000" w:rsidRDefault="00590668">
      <w:pPr>
        <w:pStyle w:val="Heading3"/>
      </w:pPr>
      <w:r>
        <w:t>VII.</w:t>
      </w:r>
      <w:r>
        <w:tab/>
        <w:t>Consumer interests</w:t>
      </w:r>
    </w:p>
    <w:p w:rsidR="00000000" w:rsidRDefault="00590668">
      <w:pPr>
        <w:rPr>
          <w:snapToGrid w:val="0"/>
        </w:rPr>
      </w:pPr>
      <w:r>
        <w:rPr>
          <w:snapToGrid w:val="0"/>
        </w:rPr>
        <w:t xml:space="preserve">When dealing with consumers, enterprises should act in accordance with fair business, marketing and advertising practices and should take all reasonable steps to ensure the safety and quality of the </w:t>
      </w:r>
      <w:r>
        <w:rPr>
          <w:snapToGrid w:val="0"/>
        </w:rPr>
        <w:t>goods or services they provide. In particular, they should:</w:t>
      </w:r>
    </w:p>
    <w:p w:rsidR="00000000" w:rsidRDefault="00590668" w:rsidP="00AF7DF0">
      <w:pPr>
        <w:numPr>
          <w:ilvl w:val="0"/>
          <w:numId w:val="29"/>
        </w:numPr>
        <w:ind w:left="0" w:firstLine="0"/>
        <w:rPr>
          <w:snapToGrid w:val="0"/>
        </w:rPr>
      </w:pPr>
      <w:r>
        <w:rPr>
          <w:snapToGrid w:val="0"/>
        </w:rPr>
        <w:t>Ensure that the goods or services they provide meet all agreed or legally required standards for consumer health and safety, including health warnings and product safety and information labels</w:t>
      </w:r>
      <w:r>
        <w:rPr>
          <w:snapToGrid w:val="0"/>
        </w:rPr>
        <w:t>.</w:t>
      </w:r>
    </w:p>
    <w:p w:rsidR="00000000" w:rsidRDefault="00590668" w:rsidP="00AF7DF0">
      <w:pPr>
        <w:numPr>
          <w:ilvl w:val="0"/>
          <w:numId w:val="29"/>
        </w:numPr>
        <w:ind w:left="0" w:firstLine="0"/>
        <w:rPr>
          <w:snapToGrid w:val="0"/>
        </w:rPr>
      </w:pPr>
      <w:r>
        <w:rPr>
          <w:snapToGrid w:val="0"/>
        </w:rPr>
        <w:t>As appropriate to the goods or services, provide accurate and clear information regarding their content, safe use, maintenance, storage, and disposal sufficient to enable consumers to make informed decisions.</w:t>
      </w:r>
    </w:p>
    <w:p w:rsidR="00000000" w:rsidRDefault="00590668" w:rsidP="00AF7DF0">
      <w:pPr>
        <w:numPr>
          <w:ilvl w:val="0"/>
          <w:numId w:val="29"/>
        </w:numPr>
        <w:ind w:left="0" w:firstLine="0"/>
        <w:rPr>
          <w:snapToGrid w:val="0"/>
        </w:rPr>
      </w:pPr>
      <w:r>
        <w:rPr>
          <w:snapToGrid w:val="0"/>
        </w:rPr>
        <w:t>Provide transparent and effective procedures that address consumer complaints and contribute to fair and timely resolution of consumer disputes without undue cost or burden.</w:t>
      </w:r>
    </w:p>
    <w:p w:rsidR="00000000" w:rsidRDefault="00590668" w:rsidP="00AF7DF0">
      <w:pPr>
        <w:numPr>
          <w:ilvl w:val="0"/>
          <w:numId w:val="29"/>
        </w:numPr>
        <w:ind w:left="0" w:firstLine="0"/>
      </w:pPr>
      <w:r>
        <w:rPr>
          <w:snapToGrid w:val="0"/>
        </w:rPr>
        <w:t>Not make representations or omissions, nor engage in any other practices, that</w:t>
      </w:r>
      <w:r>
        <w:rPr>
          <w:snapToGrid w:val="0"/>
        </w:rPr>
        <w:t xml:space="preserve"> are deceptive, misleading, fraudulent, or unfair.</w:t>
      </w:r>
    </w:p>
    <w:p w:rsidR="00000000" w:rsidRDefault="00590668" w:rsidP="00AF7DF0">
      <w:pPr>
        <w:numPr>
          <w:ilvl w:val="0"/>
          <w:numId w:val="29"/>
        </w:numPr>
        <w:ind w:left="0" w:firstLine="0"/>
      </w:pPr>
      <w:r>
        <w:rPr>
          <w:snapToGrid w:val="0"/>
        </w:rPr>
        <w:t>Respect consumer privacy and provide protection for personal data.</w:t>
      </w:r>
    </w:p>
    <w:p w:rsidR="00000000" w:rsidRDefault="00590668" w:rsidP="00AF7DF0">
      <w:pPr>
        <w:numPr>
          <w:ilvl w:val="0"/>
          <w:numId w:val="29"/>
        </w:numPr>
        <w:ind w:left="0" w:firstLine="0"/>
      </w:pPr>
      <w:r>
        <w:t>Co</w:t>
      </w:r>
      <w:r>
        <w:noBreakHyphen/>
        <w:t>operate fully and in a transparent manner with public authorities in the prevention or removal of serious threats to public hea</w:t>
      </w:r>
      <w:r>
        <w:t>lth and safety deriving from the consumption or use of their products.</w:t>
      </w:r>
    </w:p>
    <w:p w:rsidR="00000000" w:rsidRDefault="00590668">
      <w:pPr>
        <w:pStyle w:val="Heading3"/>
      </w:pPr>
      <w:r>
        <w:lastRenderedPageBreak/>
        <w:t>VIII.</w:t>
      </w:r>
      <w:r>
        <w:tab/>
        <w:t>Science and technology</w:t>
      </w:r>
    </w:p>
    <w:p w:rsidR="00000000" w:rsidRDefault="00590668">
      <w:r>
        <w:t>Enterprises should:</w:t>
      </w:r>
    </w:p>
    <w:p w:rsidR="00000000" w:rsidRDefault="00590668" w:rsidP="00AF7DF0">
      <w:pPr>
        <w:numPr>
          <w:ilvl w:val="0"/>
          <w:numId w:val="30"/>
        </w:numPr>
        <w:ind w:left="0" w:firstLine="0"/>
      </w:pPr>
      <w:r>
        <w:rPr>
          <w:snapToGrid w:val="0"/>
        </w:rPr>
        <w:t>Endeavour</w:t>
      </w:r>
      <w:r>
        <w:t xml:space="preserve"> to ensure that their activities are compatible with the science and technology (S&amp;T) </w:t>
      </w:r>
      <w:r>
        <w:rPr>
          <w:snapToGrid w:val="0"/>
        </w:rPr>
        <w:t>policies</w:t>
      </w:r>
      <w:r>
        <w:t xml:space="preserve"> and plans of the countries i</w:t>
      </w:r>
      <w:r>
        <w:t>n which they operate and as appropriate contribute to the development of local and national innovative capacity.</w:t>
      </w:r>
    </w:p>
    <w:p w:rsidR="00000000" w:rsidRDefault="00590668" w:rsidP="00AF7DF0">
      <w:pPr>
        <w:numPr>
          <w:ilvl w:val="0"/>
          <w:numId w:val="30"/>
        </w:numPr>
        <w:ind w:left="0" w:firstLine="0"/>
      </w:pPr>
      <w:r>
        <w:t xml:space="preserve">Adopt, where practicable in the course of their business activities, practices that permit </w:t>
      </w:r>
      <w:r>
        <w:rPr>
          <w:snapToGrid w:val="0"/>
        </w:rPr>
        <w:t>the</w:t>
      </w:r>
      <w:r>
        <w:t xml:space="preserve"> transfer and rapid diffusion of technologies</w:t>
      </w:r>
      <w:r>
        <w:t xml:space="preserve"> and know</w:t>
      </w:r>
      <w:r>
        <w:noBreakHyphen/>
        <w:t>how, with due regard to the protection of intellectual property rights.</w:t>
      </w:r>
    </w:p>
    <w:p w:rsidR="00000000" w:rsidRDefault="00590668" w:rsidP="00AF7DF0">
      <w:pPr>
        <w:numPr>
          <w:ilvl w:val="0"/>
          <w:numId w:val="30"/>
        </w:numPr>
        <w:ind w:left="0" w:firstLine="0"/>
      </w:pPr>
      <w:r>
        <w:t xml:space="preserve">When appropriate, perform science and technology development work in host countries to </w:t>
      </w:r>
      <w:r>
        <w:rPr>
          <w:snapToGrid w:val="0"/>
        </w:rPr>
        <w:t>address</w:t>
      </w:r>
      <w:r>
        <w:t xml:space="preserve"> local market needs, as well as employ host country personnel in an S&amp;T capacity and encourage their training, taking into account commercial needs.</w:t>
      </w:r>
    </w:p>
    <w:p w:rsidR="00000000" w:rsidRDefault="00590668" w:rsidP="00AF7DF0">
      <w:pPr>
        <w:numPr>
          <w:ilvl w:val="0"/>
          <w:numId w:val="30"/>
        </w:numPr>
        <w:ind w:left="0" w:firstLine="0"/>
      </w:pPr>
      <w:r>
        <w:t xml:space="preserve">When </w:t>
      </w:r>
      <w:r>
        <w:rPr>
          <w:snapToGrid w:val="0"/>
        </w:rPr>
        <w:t>granting</w:t>
      </w:r>
      <w:r>
        <w:t xml:space="preserve"> licenses for the use of intellectual property rights or when otherwise transferring techn</w:t>
      </w:r>
      <w:r>
        <w:t>ology, do so on reasonable terms and conditions and in a manner that contributes to the long term development prospects of the host country.</w:t>
      </w:r>
    </w:p>
    <w:p w:rsidR="00000000" w:rsidRDefault="00590668" w:rsidP="00AF7DF0">
      <w:pPr>
        <w:numPr>
          <w:ilvl w:val="0"/>
          <w:numId w:val="30"/>
        </w:numPr>
        <w:ind w:left="0" w:firstLine="0"/>
      </w:pPr>
      <w:r>
        <w:t xml:space="preserve">Where </w:t>
      </w:r>
      <w:r>
        <w:rPr>
          <w:snapToGrid w:val="0"/>
        </w:rPr>
        <w:t>relevant</w:t>
      </w:r>
      <w:r>
        <w:t xml:space="preserve"> to commercial objectives, develop ties with local universities, public research institutions, an</w:t>
      </w:r>
      <w:r>
        <w:t>d participate in co</w:t>
      </w:r>
      <w:r>
        <w:noBreakHyphen/>
        <w:t>operative research projects with local industry or industry associations.</w:t>
      </w:r>
    </w:p>
    <w:p w:rsidR="00000000" w:rsidRDefault="00590668">
      <w:pPr>
        <w:pStyle w:val="Heading3"/>
      </w:pPr>
      <w:r>
        <w:t>IX.</w:t>
      </w:r>
      <w:r>
        <w:tab/>
        <w:t>Competition</w:t>
      </w:r>
    </w:p>
    <w:p w:rsidR="00000000" w:rsidRDefault="00590668">
      <w:pPr>
        <w:rPr>
          <w:snapToGrid w:val="0"/>
        </w:rPr>
      </w:pPr>
      <w:r>
        <w:rPr>
          <w:snapToGrid w:val="0"/>
        </w:rPr>
        <w:t>Enterprises should, within the framework of applicable laws and regulations, conduct their activities in a competitive manner. In particular, ente</w:t>
      </w:r>
      <w:r>
        <w:rPr>
          <w:snapToGrid w:val="0"/>
        </w:rPr>
        <w:t>rprises should:</w:t>
      </w:r>
    </w:p>
    <w:p w:rsidR="00000000" w:rsidRDefault="00590668">
      <w:pPr>
        <w:rPr>
          <w:snapToGrid w:val="0"/>
        </w:rPr>
      </w:pPr>
      <w:r>
        <w:rPr>
          <w:snapToGrid w:val="0"/>
        </w:rPr>
        <w:t>1.</w:t>
      </w:r>
      <w:r>
        <w:rPr>
          <w:snapToGrid w:val="0"/>
        </w:rPr>
        <w:tab/>
        <w:t>Refrain from entering into or carrying out anti</w:t>
      </w:r>
      <w:r>
        <w:rPr>
          <w:snapToGrid w:val="0"/>
        </w:rPr>
        <w:noBreakHyphen/>
        <w:t>competitive agreements among competitors:</w:t>
      </w:r>
    </w:p>
    <w:p w:rsidR="00000000" w:rsidRDefault="00590668" w:rsidP="00AF7DF0">
      <w:pPr>
        <w:numPr>
          <w:ilvl w:val="0"/>
          <w:numId w:val="31"/>
        </w:numPr>
        <w:tabs>
          <w:tab w:val="clear" w:pos="644"/>
          <w:tab w:val="num" w:pos="709"/>
          <w:tab w:val="num" w:pos="1134"/>
        </w:tabs>
        <w:ind w:left="1134" w:hanging="567"/>
        <w:rPr>
          <w:snapToGrid w:val="0"/>
        </w:rPr>
      </w:pPr>
      <w:r>
        <w:rPr>
          <w:snapToGrid w:val="0"/>
        </w:rPr>
        <w:t>To fix prices;</w:t>
      </w:r>
    </w:p>
    <w:p w:rsidR="00000000" w:rsidRDefault="00590668" w:rsidP="00AF7DF0">
      <w:pPr>
        <w:numPr>
          <w:ilvl w:val="0"/>
          <w:numId w:val="31"/>
        </w:numPr>
        <w:tabs>
          <w:tab w:val="clear" w:pos="644"/>
          <w:tab w:val="num" w:pos="709"/>
          <w:tab w:val="num" w:pos="1134"/>
        </w:tabs>
        <w:ind w:left="1134" w:hanging="567"/>
        <w:rPr>
          <w:snapToGrid w:val="0"/>
        </w:rPr>
      </w:pPr>
      <w:r>
        <w:rPr>
          <w:snapToGrid w:val="0"/>
        </w:rPr>
        <w:t>To make rigged bids (collusive tenders);</w:t>
      </w:r>
    </w:p>
    <w:p w:rsidR="00000000" w:rsidRDefault="00590668" w:rsidP="00AF7DF0">
      <w:pPr>
        <w:numPr>
          <w:ilvl w:val="0"/>
          <w:numId w:val="31"/>
        </w:numPr>
        <w:tabs>
          <w:tab w:val="clear" w:pos="644"/>
          <w:tab w:val="num" w:pos="709"/>
          <w:tab w:val="num" w:pos="1134"/>
        </w:tabs>
        <w:ind w:left="1134" w:hanging="567"/>
        <w:rPr>
          <w:snapToGrid w:val="0"/>
        </w:rPr>
      </w:pPr>
      <w:r>
        <w:rPr>
          <w:snapToGrid w:val="0"/>
        </w:rPr>
        <w:t xml:space="preserve">To establish output restrictions or quotas; or </w:t>
      </w:r>
    </w:p>
    <w:p w:rsidR="00000000" w:rsidRDefault="00590668" w:rsidP="00AF7DF0">
      <w:pPr>
        <w:numPr>
          <w:ilvl w:val="0"/>
          <w:numId w:val="31"/>
        </w:numPr>
        <w:tabs>
          <w:tab w:val="clear" w:pos="644"/>
          <w:tab w:val="num" w:pos="709"/>
          <w:tab w:val="num" w:pos="1134"/>
        </w:tabs>
        <w:ind w:left="1134" w:hanging="567"/>
        <w:rPr>
          <w:snapToGrid w:val="0"/>
        </w:rPr>
      </w:pPr>
      <w:r>
        <w:rPr>
          <w:snapToGrid w:val="0"/>
        </w:rPr>
        <w:lastRenderedPageBreak/>
        <w:t xml:space="preserve">To share or divide </w:t>
      </w:r>
      <w:r>
        <w:rPr>
          <w:snapToGrid w:val="0"/>
        </w:rPr>
        <w:t>markets by allocating customers, suppliers, territories or lines of commerce;</w:t>
      </w:r>
    </w:p>
    <w:p w:rsidR="00000000" w:rsidRDefault="00590668">
      <w:pPr>
        <w:rPr>
          <w:snapToGrid w:val="0"/>
        </w:rPr>
      </w:pPr>
      <w:r>
        <w:rPr>
          <w:snapToGrid w:val="0"/>
        </w:rPr>
        <w:t>2.</w:t>
      </w:r>
      <w:r>
        <w:rPr>
          <w:snapToGrid w:val="0"/>
        </w:rPr>
        <w:tab/>
        <w:t>Conduct all of their activities in a manner consistent with all applicable competition laws, taking into account the applicability of the competition laws of jurisdictions who</w:t>
      </w:r>
      <w:r>
        <w:rPr>
          <w:snapToGrid w:val="0"/>
        </w:rPr>
        <w:t>se economies would be likely to be harmed by anti</w:t>
      </w:r>
      <w:r>
        <w:rPr>
          <w:snapToGrid w:val="0"/>
        </w:rPr>
        <w:noBreakHyphen/>
        <w:t>competitive activity on their part.</w:t>
      </w:r>
    </w:p>
    <w:p w:rsidR="00000000" w:rsidRDefault="00590668">
      <w:pPr>
        <w:rPr>
          <w:snapToGrid w:val="0"/>
        </w:rPr>
      </w:pPr>
      <w:r>
        <w:rPr>
          <w:snapToGrid w:val="0"/>
        </w:rPr>
        <w:t>3.</w:t>
      </w:r>
      <w:r>
        <w:rPr>
          <w:snapToGrid w:val="0"/>
        </w:rPr>
        <w:tab/>
        <w:t>Co</w:t>
      </w:r>
      <w:r>
        <w:rPr>
          <w:snapToGrid w:val="0"/>
        </w:rPr>
        <w:noBreakHyphen/>
        <w:t xml:space="preserve">operate with the competition authorities of such jurisdictions by, among other things and subject to applicable law and appropriate safeguards, providing as prompt </w:t>
      </w:r>
      <w:r>
        <w:rPr>
          <w:snapToGrid w:val="0"/>
        </w:rPr>
        <w:t>and complete responses as practicable to requests for information.</w:t>
      </w:r>
    </w:p>
    <w:p w:rsidR="00000000" w:rsidRDefault="00590668">
      <w:pPr>
        <w:rPr>
          <w:snapToGrid w:val="0"/>
        </w:rPr>
      </w:pPr>
      <w:r>
        <w:rPr>
          <w:snapToGrid w:val="0"/>
        </w:rPr>
        <w:t>4.</w:t>
      </w:r>
      <w:r>
        <w:rPr>
          <w:snapToGrid w:val="0"/>
        </w:rPr>
        <w:tab/>
        <w:t>Promote employee awareness of the importance of compliance with all</w:t>
      </w:r>
      <w:r>
        <w:rPr>
          <w:i/>
          <w:iCs/>
          <w:snapToGrid w:val="0"/>
        </w:rPr>
        <w:t xml:space="preserve"> </w:t>
      </w:r>
      <w:r>
        <w:rPr>
          <w:snapToGrid w:val="0"/>
        </w:rPr>
        <w:t>applicable competition laws and policies.</w:t>
      </w:r>
    </w:p>
    <w:p w:rsidR="00000000" w:rsidRDefault="00590668">
      <w:pPr>
        <w:pStyle w:val="Heading3"/>
      </w:pPr>
      <w:r>
        <w:t>X.</w:t>
      </w:r>
      <w:r>
        <w:tab/>
        <w:t>Taxation</w:t>
      </w:r>
    </w:p>
    <w:p w:rsidR="00000000" w:rsidRDefault="00590668">
      <w:r>
        <w:t>It is important that enterprises contribute to the public financ</w:t>
      </w:r>
      <w:r>
        <w:t>es of host countries by making timely payment of their tax liabilities. In particular, enterprises should comply with the tax laws and regulations in all countries in which they operate and should exert every effort to act in accordance with both the lette</w:t>
      </w:r>
      <w:r>
        <w:t>r and spirit of those laws and regulations. This would include such measures as providing to the relevant authorities the information necessary for the correct determination of taxes to be assessed in connection with their operations and conforming transfe</w:t>
      </w:r>
      <w:r>
        <w:t>r pricing practices to the arm’s length principle.</w:t>
      </w:r>
    </w:p>
    <w:p w:rsidR="00000000" w:rsidRDefault="00590668">
      <w:pPr>
        <w:pStyle w:val="Heading2"/>
        <w:spacing w:before="120"/>
      </w:pPr>
      <w:r>
        <w:br w:type="page"/>
      </w:r>
      <w:r>
        <w:lastRenderedPageBreak/>
        <w:t>Annex 2:  Conflicting requirements imposed on multinational enterprises: General considerations and practical approaches</w:t>
      </w:r>
    </w:p>
    <w:p w:rsidR="00000000" w:rsidRDefault="00590668">
      <w:pPr>
        <w:rPr>
          <w:rStyle w:val="NormalItalic"/>
        </w:rPr>
      </w:pPr>
      <w:r>
        <w:rPr>
          <w:rStyle w:val="NormalItalic"/>
        </w:rPr>
        <w:t>These considerations and approaches are embodied in Annex 2 to</w:t>
      </w:r>
      <w:r>
        <w:rPr>
          <w:rStyle w:val="NormalItalic"/>
        </w:rPr>
        <w:t xml:space="preserve"> the Declaration on International Investment and Multinational Enterprises, adopted by the Governments of the OECD Member countries in 1976. They were adopted with the aim of avoiding or minimising the imposition of conflicting requirements on multinationa</w:t>
      </w:r>
      <w:r>
        <w:rPr>
          <w:rStyle w:val="NormalItalic"/>
        </w:rPr>
        <w:t>l enterprises by governments. In view of this objective, the OECD Council has adopted a procedural decision seeking to promote co-operation among Member countries .</w:t>
      </w:r>
    </w:p>
    <w:p w:rsidR="00000000" w:rsidRDefault="00590668">
      <w:pPr>
        <w:pStyle w:val="Heading3"/>
      </w:pPr>
      <w:r>
        <w:t>General considerations</w:t>
      </w:r>
    </w:p>
    <w:p w:rsidR="00000000" w:rsidRDefault="00590668">
      <w:r>
        <w:t>1.</w:t>
      </w:r>
      <w:r>
        <w:tab/>
        <w:t>In contemplating new legislation, action under existing legislati</w:t>
      </w:r>
      <w:r>
        <w:t>on or other exercise of jurisdiction which may conflict with the legal requirements or established policies of another Member country and lead to conflicting requirements being imposed on multinational enterprises, the Member countries concerned should:</w:t>
      </w:r>
    </w:p>
    <w:p w:rsidR="00000000" w:rsidRDefault="00590668" w:rsidP="00AF7DF0">
      <w:pPr>
        <w:numPr>
          <w:ilvl w:val="0"/>
          <w:numId w:val="37"/>
        </w:numPr>
        <w:tabs>
          <w:tab w:val="clear" w:pos="927"/>
          <w:tab w:val="num" w:pos="1134"/>
        </w:tabs>
        <w:ind w:left="1134" w:hanging="567"/>
        <w:rPr>
          <w:snapToGrid w:val="0"/>
        </w:rPr>
      </w:pPr>
      <w:r>
        <w:t>Have regard to relevant principles of international law;</w:t>
      </w:r>
    </w:p>
    <w:p w:rsidR="00000000" w:rsidRDefault="00590668" w:rsidP="00AF7DF0">
      <w:pPr>
        <w:numPr>
          <w:ilvl w:val="0"/>
          <w:numId w:val="37"/>
        </w:numPr>
        <w:tabs>
          <w:tab w:val="clear" w:pos="927"/>
          <w:tab w:val="num" w:pos="1134"/>
        </w:tabs>
        <w:ind w:left="1134" w:hanging="567"/>
      </w:pPr>
      <w:r>
        <w:t xml:space="preserve">Endeavour to avoid or minimise such conflicts and the problems to which they give rise by following an approach of moderation and restraint, respecting and accommodating the interests of other </w:t>
      </w:r>
      <w:r>
        <w:t>Member countries *;</w:t>
      </w:r>
    </w:p>
    <w:p w:rsidR="00000000" w:rsidRDefault="00590668" w:rsidP="00AF7DF0">
      <w:pPr>
        <w:numPr>
          <w:ilvl w:val="0"/>
          <w:numId w:val="37"/>
        </w:numPr>
        <w:tabs>
          <w:tab w:val="clear" w:pos="927"/>
          <w:tab w:val="num" w:pos="1134"/>
        </w:tabs>
        <w:ind w:left="1134" w:hanging="567"/>
      </w:pPr>
      <w:r>
        <w:t>Take fully into account the sovereignty and legitimate economic, law enforcement and other interests of other Member countries;</w:t>
      </w:r>
    </w:p>
    <w:p w:rsidR="00000000" w:rsidRDefault="00590668" w:rsidP="00AF7DF0">
      <w:pPr>
        <w:numPr>
          <w:ilvl w:val="0"/>
          <w:numId w:val="37"/>
        </w:numPr>
        <w:tabs>
          <w:tab w:val="clear" w:pos="927"/>
          <w:tab w:val="num" w:pos="1134"/>
        </w:tabs>
        <w:ind w:left="1134" w:hanging="567"/>
      </w:pPr>
      <w:r>
        <w:t>Bear in mind the importance of permitting the observance of contractual obligations and the possible</w:t>
      </w:r>
      <w:r>
        <w:t xml:space="preserve"> adverse impact of measures having a retroactive effect.</w:t>
      </w:r>
    </w:p>
    <w:p w:rsidR="00000000" w:rsidRDefault="00590668">
      <w:r>
        <w:t>2.</w:t>
      </w:r>
      <w:r>
        <w:tab/>
        <w:t>Member countries should endeavour to promote co-operation as an alternative to unilateral action to avoid or minimise conflicting requirements and problems arising therefrom. Member countries shou</w:t>
      </w:r>
      <w:r>
        <w:t>ld on request consult one another and endeavour to arrive at mutually acceptable solutions to such problems.</w:t>
      </w:r>
    </w:p>
    <w:p w:rsidR="00000000" w:rsidRDefault="00590668">
      <w:pPr>
        <w:pStyle w:val="Heading3"/>
      </w:pPr>
      <w:r>
        <w:lastRenderedPageBreak/>
        <w:t>Practical approaches</w:t>
      </w:r>
    </w:p>
    <w:p w:rsidR="00000000" w:rsidRDefault="00590668">
      <w:r>
        <w:t>3.</w:t>
      </w:r>
      <w:r>
        <w:tab/>
        <w:t>Member countries recognised that in the majority of circumstances, effective co-operation may best be pursued on a bilatera</w:t>
      </w:r>
      <w:r>
        <w:t>l basis. On the other hand, there may be cases where the multilateral approach could be more effective.</w:t>
      </w:r>
    </w:p>
    <w:p w:rsidR="00000000" w:rsidRDefault="00590668">
      <w:r>
        <w:t>4.</w:t>
      </w:r>
      <w:r>
        <w:tab/>
        <w:t>Member countries should therefore be prepared to:</w:t>
      </w:r>
    </w:p>
    <w:p w:rsidR="00000000" w:rsidRDefault="00590668">
      <w:pPr>
        <w:ind w:left="1134" w:hanging="567"/>
      </w:pPr>
      <w:r>
        <w:t>(a)</w:t>
      </w:r>
      <w:r>
        <w:tab/>
        <w:t>Develop mutually beneficial, practical and appropriately safeguarded bilateral arrangements, fo</w:t>
      </w:r>
      <w:r>
        <w:t>rmal or informal, for notification to and consultation with other Member countries;</w:t>
      </w:r>
    </w:p>
    <w:p w:rsidR="00000000" w:rsidRDefault="00590668">
      <w:pPr>
        <w:ind w:left="1134" w:hanging="567"/>
      </w:pPr>
      <w:r>
        <w:t>(b)</w:t>
      </w:r>
      <w:r>
        <w:tab/>
        <w:t>Give prompt and sympathetic consideration to requests for notification and bilateral consultation on an ad hoc basis made by any Member country which considers that its</w:t>
      </w:r>
      <w:r>
        <w:t xml:space="preserve"> interests may be affected by a measure of the type referred to under paragraph 1 above, taken by another Member country with which it does not have such bilateral arrangements;</w:t>
      </w:r>
    </w:p>
    <w:p w:rsidR="00000000" w:rsidRDefault="00590668">
      <w:pPr>
        <w:ind w:left="1134" w:hanging="567"/>
      </w:pPr>
      <w:r>
        <w:t>(c)</w:t>
      </w:r>
      <w:r>
        <w:tab/>
        <w:t xml:space="preserve">Inform the other concerned Member countries as soon as practicable of new </w:t>
      </w:r>
      <w:r>
        <w:t xml:space="preserve">legislation or regulations proposed by their Governments for adoption which have significant potential for conflict with the legal requirements or established policies of other Member countries and for giving rise to conflicting requirements being imposed </w:t>
      </w:r>
      <w:r>
        <w:t>on multinational enterprises;</w:t>
      </w:r>
    </w:p>
    <w:p w:rsidR="00000000" w:rsidRDefault="00590668">
      <w:pPr>
        <w:ind w:left="1134" w:hanging="567"/>
      </w:pPr>
      <w:r>
        <w:t>(d)</w:t>
      </w:r>
      <w:r>
        <w:tab/>
        <w:t>Give prompt and sympathetic consideration to requests by other Member countries for consultation in the Committee on International Investment and Multinational Enterprises or through other mutually acceptable arrangements.</w:t>
      </w:r>
      <w:r>
        <w:t xml:space="preserve"> Such consultations would be facilitated by notification at the earliest stage practicable;</w:t>
      </w:r>
    </w:p>
    <w:p w:rsidR="00000000" w:rsidRDefault="00590668">
      <w:pPr>
        <w:ind w:left="1134" w:hanging="567"/>
      </w:pPr>
      <w:r>
        <w:t>(e)</w:t>
      </w:r>
      <w:r>
        <w:tab/>
        <w:t>Give prompt and full consideration to proposals which may be by other Member countries in any such consultations that would lessen or eliminate conflicts.</w:t>
      </w:r>
    </w:p>
    <w:p w:rsidR="00000000" w:rsidRDefault="00590668">
      <w:r>
        <w:t>These</w:t>
      </w:r>
      <w:r>
        <w:t xml:space="preserve"> procedures do not apply to those aspects of restrictive business practices or other matters, which are the subject of existing OECD arrangements.</w:t>
      </w:r>
    </w:p>
    <w:p w:rsidR="00000000" w:rsidRDefault="00590668">
      <w:pPr>
        <w:pStyle w:val="TOC3"/>
        <w:spacing w:before="240"/>
        <w:sectPr w:rsidR="00000000">
          <w:headerReference w:type="even" r:id="rId191"/>
          <w:headerReference w:type="default" r:id="rId192"/>
          <w:footerReference w:type="even" r:id="rId193"/>
          <w:footerReference w:type="default" r:id="rId194"/>
          <w:pgSz w:w="11900" w:h="16840" w:code="9"/>
          <w:pgMar w:top="2466" w:right="2098" w:bottom="2466" w:left="2098" w:header="1899" w:footer="1899" w:gutter="0"/>
          <w:cols w:space="709"/>
        </w:sectPr>
      </w:pPr>
    </w:p>
    <w:p w:rsidR="00000000" w:rsidRDefault="00590668">
      <w:pPr>
        <w:pStyle w:val="chattach"/>
        <w:numPr>
          <w:ilvl w:val="12"/>
          <w:numId w:val="0"/>
        </w:numPr>
        <w:rPr>
          <w:caps w:val="0"/>
        </w:rPr>
      </w:pPr>
      <w:r>
        <w:rPr>
          <w:caps w:val="0"/>
        </w:rPr>
        <w:lastRenderedPageBreak/>
        <w:t>APPENDIX H</w:t>
      </w:r>
    </w:p>
    <w:p w:rsidR="00000000" w:rsidRDefault="00590668">
      <w:pPr>
        <w:pStyle w:val="Heading1"/>
        <w:spacing w:before="240"/>
      </w:pPr>
      <w:r>
        <w:t>Contact details</w:t>
      </w:r>
    </w:p>
    <w:p w:rsidR="00000000" w:rsidRDefault="00590668">
      <w:pPr>
        <w:pStyle w:val="Heading2"/>
      </w:pPr>
      <w:r>
        <w:t>Foreign investment proposals</w:t>
      </w:r>
    </w:p>
    <w:p w:rsidR="00000000" w:rsidRDefault="00590668">
      <w:pPr>
        <w:pStyle w:val="Heading3"/>
      </w:pPr>
      <w:r>
        <w:t>Applications</w:t>
      </w:r>
    </w:p>
    <w:p w:rsidR="00000000" w:rsidRDefault="00590668">
      <w:pPr>
        <w:spacing w:after="120"/>
      </w:pPr>
      <w:r>
        <w:t>Applications for foreign investment approval should be addressed to:</w:t>
      </w:r>
    </w:p>
    <w:p w:rsidR="00000000" w:rsidRDefault="00590668">
      <w:pPr>
        <w:pStyle w:val="EndNote"/>
        <w:spacing w:before="0" w:after="120" w:line="280" w:lineRule="exact"/>
        <w:rPr>
          <w:rFonts w:ascii="Palatino" w:hAnsi="Palatino" w:cs="Palatino"/>
        </w:rPr>
      </w:pPr>
      <w:r>
        <w:rPr>
          <w:rFonts w:ascii="Palatino" w:hAnsi="Palatino" w:cs="Palatino"/>
        </w:rPr>
        <w:t>The Executive Member</w:t>
      </w:r>
      <w:r>
        <w:rPr>
          <w:rFonts w:ascii="Palatino" w:hAnsi="Palatino" w:cs="Palatino"/>
        </w:rPr>
        <w:br/>
        <w:t>Foreign Investment Review Board</w:t>
      </w:r>
      <w:r>
        <w:rPr>
          <w:rFonts w:ascii="Palatino" w:hAnsi="Palatino" w:cs="Palatino"/>
        </w:rPr>
        <w:br/>
        <w:t>c/— The Treasury</w:t>
      </w:r>
      <w:r>
        <w:rPr>
          <w:rFonts w:ascii="Palatino" w:hAnsi="Palatino" w:cs="Palatino"/>
        </w:rPr>
        <w:br/>
        <w:t>CANBERRA   ACT   2600</w:t>
      </w:r>
    </w:p>
    <w:p w:rsidR="00000000" w:rsidRDefault="00590668">
      <w:pPr>
        <w:tabs>
          <w:tab w:val="left" w:pos="4678"/>
          <w:tab w:val="right" w:pos="6804"/>
        </w:tabs>
      </w:pPr>
      <w:r>
        <w:rPr>
          <w:i/>
          <w:iCs/>
        </w:rPr>
        <w:t>Executive Member</w:t>
      </w:r>
      <w:r>
        <w:t xml:space="preserve"> </w:t>
      </w:r>
      <w:r>
        <w:sym w:font="Symbol" w:char="F0BE"/>
      </w:r>
      <w:r>
        <w:t xml:space="preserve"> Mr Chris Legg</w:t>
      </w:r>
      <w:r>
        <w:tab/>
        <w:t>Tel:  (02) 6263 3777</w:t>
      </w:r>
    </w:p>
    <w:p w:rsidR="00000000" w:rsidRDefault="00590668">
      <w:pPr>
        <w:pStyle w:val="Heading3"/>
      </w:pPr>
      <w:r>
        <w:t>General enquiries</w:t>
      </w:r>
    </w:p>
    <w:p w:rsidR="00000000" w:rsidRDefault="00590668">
      <w:pPr>
        <w:pStyle w:val="Bullet"/>
        <w:tabs>
          <w:tab w:val="left" w:pos="4678"/>
        </w:tabs>
        <w:spacing w:after="120"/>
        <w:ind w:left="0" w:firstLine="0"/>
      </w:pPr>
      <w:r>
        <w:t>General Enquiries:  (02) 6263 3795</w:t>
      </w:r>
      <w:r>
        <w:tab/>
        <w:t>Overseas:  +61 (2) 6263 3795</w:t>
      </w:r>
    </w:p>
    <w:p w:rsidR="00000000" w:rsidRDefault="00590668">
      <w:pPr>
        <w:pStyle w:val="Bullet"/>
        <w:tabs>
          <w:tab w:val="left" w:pos="4678"/>
        </w:tabs>
        <w:spacing w:after="120"/>
        <w:ind w:left="0" w:firstLine="0"/>
      </w:pPr>
      <w:r>
        <w:t>Fax:  (02) 6263 2940</w:t>
      </w:r>
      <w:r>
        <w:tab/>
        <w:t>Internet:  www.firb.gov.au</w:t>
      </w:r>
    </w:p>
    <w:p w:rsidR="00000000" w:rsidRDefault="00590668">
      <w:pPr>
        <w:pStyle w:val="Bullet"/>
        <w:ind w:left="0" w:firstLine="0"/>
      </w:pPr>
      <w:r>
        <w:t xml:space="preserve">E-mail Address:  </w:t>
      </w:r>
      <w:hyperlink r:id="rId195" w:history="1">
        <w:r>
          <w:t>firb@treasury.gov.au</w:t>
        </w:r>
      </w:hyperlink>
    </w:p>
    <w:p w:rsidR="00000000" w:rsidRDefault="00590668">
      <w:pPr>
        <w:pStyle w:val="Heading3"/>
      </w:pPr>
      <w:r>
        <w:t>Special enquiries</w:t>
      </w:r>
    </w:p>
    <w:p w:rsidR="00000000" w:rsidRDefault="00590668">
      <w:pPr>
        <w:spacing w:after="120"/>
      </w:pPr>
      <w:r>
        <w:t>International &amp; Compliance Unit is responsible for international &amp; compliance issues and real es</w:t>
      </w:r>
      <w:r>
        <w:t>tate acquisitions in Vic, WA, SA &amp; Tas.</w:t>
      </w:r>
    </w:p>
    <w:tbl>
      <w:tblPr>
        <w:tblW w:w="0" w:type="auto"/>
        <w:tblLayout w:type="fixed"/>
        <w:tblLook w:val="0000" w:firstRow="0" w:lastRow="0" w:firstColumn="0" w:lastColumn="0" w:noHBand="0" w:noVBand="0"/>
      </w:tblPr>
      <w:tblGrid>
        <w:gridCol w:w="2495"/>
        <w:gridCol w:w="2211"/>
        <w:gridCol w:w="2566"/>
      </w:tblGrid>
      <w:tr w:rsidR="00000000">
        <w:tblPrEx>
          <w:tblCellMar>
            <w:top w:w="0" w:type="dxa"/>
            <w:bottom w:w="0" w:type="dxa"/>
          </w:tblCellMar>
        </w:tblPrEx>
        <w:tc>
          <w:tcPr>
            <w:tcW w:w="2495" w:type="dxa"/>
            <w:tcBorders>
              <w:top w:val="nil"/>
              <w:left w:val="nil"/>
              <w:bottom w:val="nil"/>
              <w:right w:val="nil"/>
            </w:tcBorders>
          </w:tcPr>
          <w:p w:rsidR="00000000" w:rsidRDefault="00590668">
            <w:pPr>
              <w:tabs>
                <w:tab w:val="center" w:pos="3686"/>
                <w:tab w:val="right" w:pos="7484"/>
              </w:tabs>
              <w:spacing w:after="0"/>
              <w:rPr>
                <w:i/>
                <w:iCs/>
              </w:rPr>
            </w:pPr>
            <w:r>
              <w:rPr>
                <w:i/>
                <w:iCs/>
              </w:rPr>
              <w:t>Mr Roy Nixon</w:t>
            </w:r>
          </w:p>
        </w:tc>
        <w:tc>
          <w:tcPr>
            <w:tcW w:w="2211" w:type="dxa"/>
            <w:tcBorders>
              <w:top w:val="nil"/>
              <w:left w:val="nil"/>
              <w:bottom w:val="nil"/>
              <w:right w:val="nil"/>
            </w:tcBorders>
          </w:tcPr>
          <w:p w:rsidR="00000000" w:rsidRDefault="00590668">
            <w:pPr>
              <w:tabs>
                <w:tab w:val="center" w:pos="3686"/>
                <w:tab w:val="right" w:pos="7484"/>
              </w:tabs>
              <w:spacing w:after="0"/>
              <w:rPr>
                <w:i/>
                <w:iCs/>
              </w:rPr>
            </w:pPr>
            <w:r>
              <w:rPr>
                <w:i/>
                <w:iCs/>
              </w:rPr>
              <w:t>Manager</w:t>
            </w:r>
          </w:p>
        </w:tc>
        <w:tc>
          <w:tcPr>
            <w:tcW w:w="2566" w:type="dxa"/>
            <w:tcBorders>
              <w:top w:val="nil"/>
              <w:left w:val="nil"/>
              <w:bottom w:val="nil"/>
              <w:right w:val="nil"/>
            </w:tcBorders>
          </w:tcPr>
          <w:p w:rsidR="00000000" w:rsidRDefault="00590668">
            <w:pPr>
              <w:tabs>
                <w:tab w:val="center" w:pos="3686"/>
                <w:tab w:val="right" w:pos="7484"/>
              </w:tabs>
              <w:spacing w:after="0"/>
              <w:rPr>
                <w:i/>
                <w:iCs/>
              </w:rPr>
            </w:pPr>
            <w:r>
              <w:rPr>
                <w:i/>
                <w:iCs/>
              </w:rPr>
              <w:t>Tel:  (02) 6263 3764</w:t>
            </w:r>
          </w:p>
        </w:tc>
      </w:tr>
    </w:tbl>
    <w:p w:rsidR="00000000" w:rsidRDefault="00590668">
      <w:pPr>
        <w:spacing w:before="360" w:after="120"/>
      </w:pPr>
      <w:r>
        <w:t>Primary Industries and Secondary Industries Unit is responsible for Mining, Agriculture, Manufacturing &amp; Resource Processing and real estate acquisitions in NSW &amp; ACT.</w:t>
      </w:r>
    </w:p>
    <w:tbl>
      <w:tblPr>
        <w:tblW w:w="0" w:type="auto"/>
        <w:tblLayout w:type="fixed"/>
        <w:tblLook w:val="0000" w:firstRow="0" w:lastRow="0" w:firstColumn="0" w:lastColumn="0" w:noHBand="0" w:noVBand="0"/>
      </w:tblPr>
      <w:tblGrid>
        <w:gridCol w:w="2495"/>
        <w:gridCol w:w="2211"/>
        <w:gridCol w:w="2566"/>
      </w:tblGrid>
      <w:tr w:rsidR="00000000">
        <w:tblPrEx>
          <w:tblCellMar>
            <w:top w:w="0" w:type="dxa"/>
            <w:bottom w:w="0" w:type="dxa"/>
          </w:tblCellMar>
        </w:tblPrEx>
        <w:tc>
          <w:tcPr>
            <w:tcW w:w="2495" w:type="dxa"/>
            <w:tcBorders>
              <w:top w:val="nil"/>
              <w:left w:val="nil"/>
              <w:bottom w:val="nil"/>
              <w:right w:val="nil"/>
            </w:tcBorders>
          </w:tcPr>
          <w:p w:rsidR="00000000" w:rsidRDefault="00590668">
            <w:pPr>
              <w:pStyle w:val="Heading7"/>
              <w:rPr>
                <w:rFonts w:ascii="Palatino" w:hAnsi="Palatino" w:cs="Palatino"/>
                <w:i/>
                <w:iCs/>
                <w:sz w:val="22"/>
                <w:szCs w:val="22"/>
                <w:highlight w:val="green"/>
              </w:rPr>
            </w:pPr>
            <w:r>
              <w:rPr>
                <w:rFonts w:ascii="Palatino" w:hAnsi="Palatino" w:cs="Palatino"/>
                <w:i/>
                <w:iCs/>
                <w:sz w:val="22"/>
                <w:szCs w:val="22"/>
              </w:rPr>
              <w:t>Ms Jo Laduzko</w:t>
            </w:r>
          </w:p>
        </w:tc>
        <w:tc>
          <w:tcPr>
            <w:tcW w:w="2211" w:type="dxa"/>
            <w:tcBorders>
              <w:top w:val="nil"/>
              <w:left w:val="nil"/>
              <w:bottom w:val="nil"/>
              <w:right w:val="nil"/>
            </w:tcBorders>
          </w:tcPr>
          <w:p w:rsidR="00000000" w:rsidRDefault="00590668">
            <w:pPr>
              <w:tabs>
                <w:tab w:val="center" w:pos="3686"/>
                <w:tab w:val="right" w:pos="7484"/>
              </w:tabs>
              <w:spacing w:after="0"/>
              <w:rPr>
                <w:i/>
                <w:iCs/>
                <w:highlight w:val="green"/>
              </w:rPr>
            </w:pPr>
            <w:r>
              <w:rPr>
                <w:i/>
                <w:iCs/>
              </w:rPr>
              <w:t>Manager</w:t>
            </w:r>
          </w:p>
        </w:tc>
        <w:tc>
          <w:tcPr>
            <w:tcW w:w="2566" w:type="dxa"/>
            <w:tcBorders>
              <w:top w:val="nil"/>
              <w:left w:val="nil"/>
              <w:bottom w:val="nil"/>
              <w:right w:val="nil"/>
            </w:tcBorders>
          </w:tcPr>
          <w:p w:rsidR="00000000" w:rsidRDefault="00590668">
            <w:pPr>
              <w:tabs>
                <w:tab w:val="center" w:pos="3686"/>
                <w:tab w:val="right" w:pos="7484"/>
              </w:tabs>
              <w:spacing w:after="0"/>
              <w:rPr>
                <w:i/>
                <w:iCs/>
                <w:highlight w:val="green"/>
              </w:rPr>
            </w:pPr>
            <w:r>
              <w:rPr>
                <w:i/>
                <w:iCs/>
              </w:rPr>
              <w:t>Tel:  (02) 6263 3864</w:t>
            </w:r>
          </w:p>
        </w:tc>
      </w:tr>
    </w:tbl>
    <w:p w:rsidR="00000000" w:rsidRDefault="00590668">
      <w:pPr>
        <w:spacing w:before="360" w:after="120"/>
      </w:pPr>
      <w:r>
        <w:t>Tertiary Industries Unit is responsible for Finance and Insurance, Tourism &amp; Media, Other Services and real estate acquisitions in Qld &amp; NT.</w:t>
      </w:r>
    </w:p>
    <w:tbl>
      <w:tblPr>
        <w:tblW w:w="0" w:type="auto"/>
        <w:tblLayout w:type="fixed"/>
        <w:tblLook w:val="0000" w:firstRow="0" w:lastRow="0" w:firstColumn="0" w:lastColumn="0" w:noHBand="0" w:noVBand="0"/>
      </w:tblPr>
      <w:tblGrid>
        <w:gridCol w:w="2495"/>
        <w:gridCol w:w="2211"/>
        <w:gridCol w:w="2566"/>
      </w:tblGrid>
      <w:tr w:rsidR="00000000">
        <w:tblPrEx>
          <w:tblCellMar>
            <w:top w:w="0" w:type="dxa"/>
            <w:bottom w:w="0" w:type="dxa"/>
          </w:tblCellMar>
        </w:tblPrEx>
        <w:tc>
          <w:tcPr>
            <w:tcW w:w="2495" w:type="dxa"/>
            <w:tcBorders>
              <w:top w:val="nil"/>
              <w:left w:val="nil"/>
              <w:bottom w:val="nil"/>
              <w:right w:val="nil"/>
            </w:tcBorders>
          </w:tcPr>
          <w:p w:rsidR="00000000" w:rsidRDefault="00590668">
            <w:pPr>
              <w:tabs>
                <w:tab w:val="center" w:pos="3686"/>
                <w:tab w:val="right" w:pos="7484"/>
              </w:tabs>
              <w:spacing w:after="0"/>
              <w:rPr>
                <w:i/>
                <w:iCs/>
              </w:rPr>
            </w:pPr>
            <w:r>
              <w:rPr>
                <w:i/>
                <w:iCs/>
              </w:rPr>
              <w:t>Mr Grahame Crough</w:t>
            </w:r>
          </w:p>
        </w:tc>
        <w:tc>
          <w:tcPr>
            <w:tcW w:w="2211" w:type="dxa"/>
            <w:tcBorders>
              <w:top w:val="nil"/>
              <w:left w:val="nil"/>
              <w:bottom w:val="nil"/>
              <w:right w:val="nil"/>
            </w:tcBorders>
          </w:tcPr>
          <w:p w:rsidR="00000000" w:rsidRDefault="00590668">
            <w:pPr>
              <w:tabs>
                <w:tab w:val="center" w:pos="3686"/>
                <w:tab w:val="right" w:pos="7484"/>
              </w:tabs>
              <w:spacing w:after="0"/>
              <w:rPr>
                <w:i/>
                <w:iCs/>
              </w:rPr>
            </w:pPr>
            <w:r>
              <w:rPr>
                <w:i/>
                <w:iCs/>
              </w:rPr>
              <w:t>Manager</w:t>
            </w:r>
          </w:p>
        </w:tc>
        <w:tc>
          <w:tcPr>
            <w:tcW w:w="2566" w:type="dxa"/>
            <w:tcBorders>
              <w:top w:val="nil"/>
              <w:left w:val="nil"/>
              <w:bottom w:val="nil"/>
              <w:right w:val="nil"/>
            </w:tcBorders>
          </w:tcPr>
          <w:p w:rsidR="00000000" w:rsidRDefault="00590668">
            <w:pPr>
              <w:tabs>
                <w:tab w:val="center" w:pos="3686"/>
                <w:tab w:val="right" w:pos="7484"/>
              </w:tabs>
              <w:spacing w:after="0"/>
              <w:rPr>
                <w:i/>
                <w:iCs/>
              </w:rPr>
            </w:pPr>
            <w:r>
              <w:rPr>
                <w:i/>
                <w:iCs/>
              </w:rPr>
              <w:t>Tel:  (02) 6263 3834</w:t>
            </w:r>
          </w:p>
        </w:tc>
      </w:tr>
    </w:tbl>
    <w:p w:rsidR="00000000" w:rsidRDefault="00590668">
      <w:pPr>
        <w:pStyle w:val="Heading2"/>
      </w:pPr>
      <w:r>
        <w:br w:type="page"/>
      </w:r>
      <w:r>
        <w:lastRenderedPageBreak/>
        <w:t>Australian National Co</w:t>
      </w:r>
      <w:r>
        <w:t>ntact Point for the OECD Guidelines for Multinational Enterprises</w:t>
      </w:r>
    </w:p>
    <w:p w:rsidR="00000000" w:rsidRDefault="00590668">
      <w:pPr>
        <w:pStyle w:val="Heading3"/>
      </w:pPr>
      <w:r>
        <w:t>Suggestions, comments, questions and complaints</w:t>
      </w:r>
    </w:p>
    <w:p w:rsidR="00000000" w:rsidRDefault="00590668">
      <w:pPr>
        <w:spacing w:after="120"/>
      </w:pPr>
      <w:r>
        <w:t>Suggestions, comments, questions and complaints in relation to the OECD Guidelines for Multinational Enterprises should be addressed to:</w:t>
      </w:r>
    </w:p>
    <w:p w:rsidR="00000000" w:rsidRDefault="00590668">
      <w:pPr>
        <w:pStyle w:val="Heading3"/>
      </w:pPr>
      <w:r>
        <w:t>The E</w:t>
      </w:r>
      <w:r>
        <w:t>xecutive Member</w:t>
      </w:r>
    </w:p>
    <w:p w:rsidR="00000000" w:rsidRDefault="00590668">
      <w:pPr>
        <w:jc w:val="left"/>
      </w:pPr>
      <w:r>
        <w:t>Foreign Investment Review Board</w:t>
      </w:r>
      <w:r>
        <w:br/>
        <w:t>c/— The Treasury</w:t>
      </w:r>
      <w:r>
        <w:br/>
        <w:t>CANBERRA  ACT  2600</w:t>
      </w:r>
    </w:p>
    <w:p w:rsidR="00000000" w:rsidRDefault="00590668">
      <w:pPr>
        <w:tabs>
          <w:tab w:val="right" w:pos="6804"/>
        </w:tabs>
        <w:spacing w:after="120"/>
      </w:pPr>
      <w:r>
        <w:rPr>
          <w:i/>
          <w:iCs/>
        </w:rPr>
        <w:t>Executive Member</w:t>
      </w:r>
      <w:r>
        <w:t xml:space="preserve"> </w:t>
      </w:r>
      <w:r>
        <w:sym w:font="Symbol" w:char="F0BE"/>
      </w:r>
      <w:r>
        <w:t xml:space="preserve"> Mr Chris Legg</w:t>
      </w:r>
    </w:p>
    <w:p w:rsidR="00000000" w:rsidRDefault="00590668">
      <w:pPr>
        <w:tabs>
          <w:tab w:val="left" w:pos="4678"/>
        </w:tabs>
        <w:spacing w:after="120"/>
        <w:jc w:val="left"/>
      </w:pPr>
      <w:r>
        <w:t>Tel:  (02) 6263 3777</w:t>
      </w:r>
      <w:r>
        <w:tab/>
        <w:t>Fax:  (02) 6263 2940</w:t>
      </w:r>
    </w:p>
    <w:p w:rsidR="00000000" w:rsidRDefault="00590668">
      <w:pPr>
        <w:tabs>
          <w:tab w:val="left" w:pos="4678"/>
        </w:tabs>
        <w:jc w:val="left"/>
      </w:pPr>
      <w:r>
        <w:t>E-mail address:  ANCP@treasury.gov.au</w:t>
      </w:r>
      <w:r>
        <w:tab/>
        <w:t>Internet:  www.ausncp.gov.au</w:t>
      </w:r>
    </w:p>
    <w:p w:rsidR="00000000" w:rsidRDefault="00590668">
      <w:pPr>
        <w:pStyle w:val="TOC3"/>
        <w:spacing w:before="240"/>
      </w:pPr>
    </w:p>
    <w:sectPr w:rsidR="00000000">
      <w:headerReference w:type="even" r:id="rId196"/>
      <w:headerReference w:type="default" r:id="rId197"/>
      <w:footerReference w:type="even" r:id="rId198"/>
      <w:footerReference w:type="default" r:id="rId199"/>
      <w:pgSz w:w="11900" w:h="16840" w:code="9"/>
      <w:pgMar w:top="2466" w:right="2098" w:bottom="2466" w:left="2098" w:header="1899" w:footer="189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0668">
      <w:pPr>
        <w:spacing w:after="0" w:line="240" w:lineRule="auto"/>
      </w:pPr>
      <w:r>
        <w:separator/>
      </w:r>
    </w:p>
  </w:endnote>
  <w:endnote w:type="continuationSeparator" w:id="0">
    <w:p w:rsidR="00000000" w:rsidRDefault="0059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font>
  <w:font w:name="GillSans">
    <w:panose1 w:val="00000000000000000000"/>
    <w:charset w:val="00"/>
    <w:family w:val="swiss"/>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entury Schoolbook">
    <w:altName w:val="Bookman Old Style"/>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rsidR="00000000" w:rsidRDefault="00590668">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ind w:right="56"/>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ind w:right="5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framePr w:wrap="auto" w:vAnchor="page" w:hAnchor="page" w:x="1873" w:y="8929" w:anchorLock="1"/>
      <w:textDirection w:val="tbRl"/>
      <w:rPr>
        <w:rStyle w:val="PageNumber"/>
      </w:rPr>
    </w:pPr>
    <w:r>
      <w:rPr>
        <w:rStyle w:val="PageNumber"/>
      </w:rPr>
      <w:fldChar w:fldCharType="begin"/>
    </w:r>
    <w:r>
      <w:rPr>
        <w:rStyle w:val="PageNumber"/>
      </w:rPr>
      <w:instrText xml:space="preserve"> COMMENTS  \* MERGEFORMAT </w:instrText>
    </w:r>
    <w:r>
      <w:rPr>
        <w:rStyle w:val="PageNumber"/>
      </w:rPr>
      <w:fldChar w:fldCharType="end"/>
    </w: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000000" w:rsidRDefault="00590668">
    <w:pPr>
      <w:pStyle w:val="Footer"/>
      <w:ind w:right="56"/>
      <w:jc w:val="righ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tabs>
        <w:tab w:val="right" w:pos="7371"/>
      </w:tabs>
      <w:ind w:right="360" w:firstLine="360"/>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framePr w:wrap="auto" w:vAnchor="page" w:hAnchor="page" w:x="1873" w:y="2737" w:anchorLock="1"/>
      <w:textDirection w:val="tbRl"/>
      <w:rPr>
        <w:rStyle w:val="PageNumber"/>
      </w:rPr>
    </w:pPr>
    <w:r>
      <w:rPr>
        <w:rStyle w:val="PageNumber"/>
      </w:rPr>
      <w:fldChar w:fldCharType="begin"/>
    </w:r>
    <w:r>
      <w:rPr>
        <w:rStyle w:val="PageNumber"/>
      </w:rPr>
      <w:instrText xml:space="preserve"> COMMENTS  \* MERGEFORMAT </w:instrText>
    </w:r>
    <w:r>
      <w:rPr>
        <w:rStyle w:val="PageNumber"/>
      </w:rPr>
      <w:fldChar w:fldCharType="end"/>
    </w: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000000" w:rsidRDefault="00590668">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68" w:rsidRDefault="00590668">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Bdr>
        <w:top w:val="single" w:sz="6" w:space="1" w:color="auto"/>
      </w:pBdr>
      <w:rPr>
        <w:i/>
        <w:iCs/>
        <w:sz w:val="18"/>
        <w:szCs w:val="18"/>
      </w:rPr>
    </w:pPr>
  </w:p>
  <w:p w:rsidR="00000000" w:rsidRDefault="00590668">
    <w:pPr>
      <w:pBdr>
        <w:top w:val="single" w:sz="6" w:space="1" w:color="auto"/>
      </w:pBdr>
      <w:rPr>
        <w:i/>
        <w:iCs/>
      </w:rPr>
    </w:pPr>
    <w:r>
      <w:rPr>
        <w:i/>
        <w:iCs/>
      </w:rPr>
      <w:fldChar w:fldCharType="begin"/>
    </w:r>
    <w:r>
      <w:rPr>
        <w:i/>
        <w:iCs/>
      </w:rPr>
      <w:instrText xml:space="preserve"> PAGE </w:instrText>
    </w:r>
    <w:r>
      <w:rPr>
        <w:i/>
        <w:iCs/>
      </w:rPr>
      <w:fldChar w:fldCharType="separate"/>
    </w:r>
    <w:r>
      <w:rPr>
        <w:i/>
        <w:iCs/>
        <w:noProof/>
      </w:rPr>
      <w:t>100</w:t>
    </w:r>
    <w:r>
      <w:rPr>
        <w:i/>
        <w:iCs/>
      </w:rPr>
      <w:fldChar w:fldCharType="end"/>
    </w:r>
    <w:r>
      <w:rPr>
        <w:i/>
        <w:iCs/>
      </w:rPr>
      <w:t xml:space="preserve">            </w:t>
    </w:r>
    <w:r>
      <w:rPr>
        <w:i/>
        <w:iCs/>
      </w:rPr>
      <w:fldChar w:fldCharType="begin"/>
    </w:r>
    <w:r>
      <w:rPr>
        <w:i/>
        <w:iCs/>
      </w:rPr>
      <w:instrText xml:space="preserve"> STYLEREF ShortT </w:instrText>
    </w:r>
    <w:r>
      <w:rPr>
        <w:i/>
        <w:iCs/>
      </w:rPr>
      <w:fldChar w:fldCharType="separate"/>
    </w:r>
    <w:r>
      <w:rPr>
        <w:i/>
        <w:iCs/>
        <w:noProof/>
      </w:rPr>
      <w:t>Foreign Acquisitions and Takeovers Act 19</w:t>
    </w:r>
    <w:r>
      <w:rPr>
        <w:i/>
        <w:iCs/>
        <w:noProof/>
      </w:rPr>
      <w:t>75</w:t>
    </w:r>
    <w:r>
      <w:rPr>
        <w:i/>
        <w:iCs/>
      </w:rPr>
      <w:fldChar w:fldCharType="end"/>
    </w:r>
    <w:r>
      <w:rPr>
        <w:i/>
        <w:iCs/>
      </w:rPr>
      <w:t xml:space="preserve">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spacing w:line="200" w:lineRule="exact"/>
    </w:pPr>
  </w:p>
  <w:tbl>
    <w:tblPr>
      <w:tblW w:w="0" w:type="auto"/>
      <w:tblBorders>
        <w:top w:val="single" w:sz="2" w:space="0" w:color="auto"/>
      </w:tblBorders>
      <w:tblLayout w:type="fixed"/>
      <w:tblLook w:val="0000" w:firstRow="0" w:lastRow="0" w:firstColumn="0" w:lastColumn="0" w:noHBand="0" w:noVBand="0"/>
    </w:tblPr>
    <w:tblGrid>
      <w:gridCol w:w="1242"/>
      <w:gridCol w:w="4820"/>
      <w:gridCol w:w="1234"/>
    </w:tblGrid>
    <w:tr w:rsidR="00000000">
      <w:tblPrEx>
        <w:tblCellMar>
          <w:top w:w="0" w:type="dxa"/>
          <w:bottom w:w="0" w:type="dxa"/>
        </w:tblCellMar>
      </w:tblPrEx>
      <w:tc>
        <w:tcPr>
          <w:tcW w:w="1242" w:type="dxa"/>
          <w:tcBorders>
            <w:top w:val="single" w:sz="2" w:space="0" w:color="auto"/>
            <w:left w:val="nil"/>
            <w:bottom w:val="nil"/>
            <w:right w:val="nil"/>
          </w:tcBorders>
        </w:tcPr>
        <w:p w:rsidR="00000000" w:rsidRDefault="00590668">
          <w:pPr>
            <w:pStyle w:val="Foo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168</w:t>
          </w:r>
          <w:r>
            <w:rPr>
              <w:rStyle w:val="PageNumber"/>
              <w:sz w:val="22"/>
              <w:szCs w:val="22"/>
            </w:rPr>
            <w:fldChar w:fldCharType="end"/>
          </w:r>
        </w:p>
      </w:tc>
      <w:tc>
        <w:tcPr>
          <w:tcW w:w="4820" w:type="dxa"/>
          <w:tcBorders>
            <w:top w:val="single" w:sz="2" w:space="0" w:color="auto"/>
            <w:left w:val="nil"/>
            <w:bottom w:val="nil"/>
            <w:right w:val="nil"/>
          </w:tcBorders>
        </w:tcPr>
        <w:p w:rsidR="00000000" w:rsidRDefault="00590668">
          <w:pPr>
            <w:pStyle w:val="Footer"/>
            <w:jc w:val="center"/>
          </w:pPr>
          <w:r>
            <w:rPr>
              <w:i/>
              <w:iCs/>
            </w:rPr>
            <w:fldChar w:fldCharType="begin"/>
          </w:r>
          <w:r>
            <w:rPr>
              <w:i/>
              <w:iCs/>
            </w:rPr>
            <w:instrText xml:space="preserve"> REF citation \</w:instrText>
          </w:r>
          <w:r>
            <w:rPr>
              <w:i/>
              <w:iCs/>
            </w:rPr>
            <w:instrText xml:space="preserve">* charformat </w:instrText>
          </w:r>
          <w:r>
            <w:rPr>
              <w:i/>
              <w:iCs/>
            </w:rPr>
            <w:fldChar w:fldCharType="separate"/>
          </w:r>
          <w:r>
            <w:rPr>
              <w:i/>
              <w:iCs/>
            </w:rPr>
            <w:t>Foreign Acquisitions and Takeovers Regulations 1989</w:t>
          </w:r>
          <w:r>
            <w:rPr>
              <w:i/>
              <w:iCs/>
            </w:rPr>
            <w:fldChar w:fldCharType="end"/>
          </w:r>
        </w:p>
      </w:tc>
      <w:tc>
        <w:tcPr>
          <w:tcW w:w="1234" w:type="dxa"/>
          <w:tcBorders>
            <w:top w:val="single" w:sz="2" w:space="0" w:color="auto"/>
            <w:left w:val="nil"/>
            <w:bottom w:val="nil"/>
            <w:right w:val="nil"/>
          </w:tcBorders>
        </w:tcPr>
        <w:p w:rsidR="00000000" w:rsidRDefault="00590668">
          <w:pPr>
            <w:pStyle w:val="Footer"/>
            <w:jc w:val="right"/>
          </w:pPr>
        </w:p>
      </w:tc>
    </w:tr>
  </w:tbl>
  <w:p w:rsidR="00000000" w:rsidRDefault="00590668">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spacing w:line="200" w:lineRule="exact"/>
    </w:pPr>
  </w:p>
  <w:tbl>
    <w:tblPr>
      <w:tblW w:w="0" w:type="auto"/>
      <w:tblBorders>
        <w:top w:val="single" w:sz="2" w:space="0" w:color="auto"/>
      </w:tblBorders>
      <w:tblLayout w:type="fixed"/>
      <w:tblLook w:val="0000" w:firstRow="0" w:lastRow="0" w:firstColumn="0" w:lastColumn="0" w:noHBand="0" w:noVBand="0"/>
    </w:tblPr>
    <w:tblGrid>
      <w:gridCol w:w="1242"/>
      <w:gridCol w:w="4820"/>
      <w:gridCol w:w="1234"/>
    </w:tblGrid>
    <w:tr w:rsidR="00000000">
      <w:tblPrEx>
        <w:tblCellMar>
          <w:top w:w="0" w:type="dxa"/>
          <w:bottom w:w="0" w:type="dxa"/>
        </w:tblCellMar>
      </w:tblPrEx>
      <w:tc>
        <w:tcPr>
          <w:tcW w:w="1242" w:type="dxa"/>
          <w:tcBorders>
            <w:top w:val="single" w:sz="2" w:space="0" w:color="auto"/>
            <w:left w:val="nil"/>
            <w:bottom w:val="nil"/>
            <w:right w:val="nil"/>
          </w:tcBorders>
        </w:tcPr>
        <w:p w:rsidR="00000000" w:rsidRDefault="00590668">
          <w:pPr>
            <w:pStyle w:val="Footer"/>
          </w:pPr>
        </w:p>
      </w:tc>
      <w:tc>
        <w:tcPr>
          <w:tcW w:w="4820" w:type="dxa"/>
          <w:tcBorders>
            <w:top w:val="single" w:sz="2" w:space="0" w:color="auto"/>
            <w:left w:val="nil"/>
            <w:bottom w:val="nil"/>
            <w:right w:val="nil"/>
          </w:tcBorders>
        </w:tcPr>
        <w:p w:rsidR="00000000" w:rsidRDefault="00590668">
          <w:pPr>
            <w:pStyle w:val="Footer"/>
            <w:jc w:val="center"/>
          </w:pPr>
          <w:r>
            <w:rPr>
              <w:i/>
              <w:iCs/>
            </w:rPr>
            <w:fldChar w:fldCharType="begin"/>
          </w:r>
          <w:r>
            <w:rPr>
              <w:i/>
              <w:iCs/>
            </w:rPr>
            <w:instrText xml:space="preserve"> REF citation \* charformat </w:instrText>
          </w:r>
          <w:r>
            <w:rPr>
              <w:i/>
              <w:iCs/>
            </w:rPr>
            <w:fldChar w:fldCharType="separate"/>
          </w:r>
          <w:r>
            <w:rPr>
              <w:i/>
              <w:iCs/>
            </w:rPr>
            <w:t>Foreign Acquisitions and Takeovers Regulations 1989</w:t>
          </w:r>
          <w:r>
            <w:rPr>
              <w:i/>
              <w:iCs/>
            </w:rPr>
            <w:fldChar w:fldCharType="end"/>
          </w:r>
        </w:p>
      </w:tc>
      <w:tc>
        <w:tcPr>
          <w:tcW w:w="1234" w:type="dxa"/>
          <w:tcBorders>
            <w:top w:val="single" w:sz="2" w:space="0" w:color="auto"/>
            <w:left w:val="nil"/>
            <w:bottom w:val="nil"/>
            <w:right w:val="nil"/>
          </w:tcBorders>
        </w:tcPr>
        <w:p w:rsidR="00000000" w:rsidRDefault="00590668">
          <w:pPr>
            <w:pStyle w:val="Footer"/>
            <w:jc w:val="right"/>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169</w:t>
          </w:r>
          <w:r>
            <w:rPr>
              <w:rStyle w:val="PageNumber"/>
              <w:sz w:val="22"/>
              <w:szCs w:val="22"/>
            </w:rPr>
            <w:fldChar w:fldCharType="end"/>
          </w:r>
        </w:p>
      </w:tc>
    </w:tr>
  </w:tbl>
  <w:p w:rsidR="00000000" w:rsidRDefault="00590668">
    <w:pPr>
      <w:pStyle w:val="Foo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SingleParagraph"/>
      <w:spacing w:after="240" w:line="200" w:lineRule="exact"/>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spacing w:line="200" w:lineRule="exact"/>
    </w:pPr>
  </w:p>
  <w:tbl>
    <w:tblPr>
      <w:tblW w:w="0" w:type="auto"/>
      <w:tblBorders>
        <w:top w:val="single" w:sz="4" w:space="0" w:color="auto"/>
      </w:tblBorders>
      <w:tblLayout w:type="fixed"/>
      <w:tblLook w:val="0000" w:firstRow="0" w:lastRow="0" w:firstColumn="0" w:lastColumn="0" w:noHBand="0" w:noVBand="0"/>
    </w:tblPr>
    <w:tblGrid>
      <w:gridCol w:w="1242"/>
      <w:gridCol w:w="4820"/>
      <w:gridCol w:w="1236"/>
    </w:tblGrid>
    <w:tr w:rsidR="00000000">
      <w:tblPrEx>
        <w:tblCellMar>
          <w:top w:w="0" w:type="dxa"/>
          <w:bottom w:w="0" w:type="dxa"/>
        </w:tblCellMar>
      </w:tblPrEx>
      <w:tc>
        <w:tcPr>
          <w:tcW w:w="1242" w:type="dxa"/>
          <w:tcBorders>
            <w:top w:val="single" w:sz="4" w:space="0" w:color="auto"/>
            <w:left w:val="nil"/>
            <w:bottom w:val="nil"/>
            <w:right w:val="nil"/>
          </w:tcBorders>
        </w:tcPr>
        <w:p w:rsidR="00000000" w:rsidRDefault="00590668">
          <w:pPr>
            <w:rPr>
              <w:rFonts w:ascii="Arial" w:hAnsi="Arial" w:cs="Arial"/>
              <w:sz w:val="18"/>
              <w:szCs w:val="18"/>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180</w:t>
          </w:r>
          <w:r>
            <w:rPr>
              <w:rStyle w:val="PageNumber"/>
              <w:rFonts w:ascii="Arial" w:hAnsi="Arial" w:cs="Arial"/>
            </w:rPr>
            <w:fldChar w:fldCharType="end"/>
          </w:r>
        </w:p>
      </w:tc>
      <w:tc>
        <w:tcPr>
          <w:tcW w:w="4820" w:type="dxa"/>
          <w:tcBorders>
            <w:top w:val="single" w:sz="4" w:space="0" w:color="auto"/>
            <w:left w:val="nil"/>
            <w:bottom w:val="nil"/>
            <w:right w:val="nil"/>
          </w:tcBorders>
        </w:tcPr>
        <w:p w:rsidR="00000000" w:rsidRDefault="00590668">
          <w:pPr>
            <w:jc w:val="center"/>
            <w:rPr>
              <w:rFonts w:ascii="Arial" w:hAnsi="Arial" w:cs="Arial"/>
              <w:i/>
              <w:iCs/>
              <w:sz w:val="18"/>
              <w:szCs w:val="18"/>
            </w:rPr>
          </w:pPr>
          <w:r>
            <w:rPr>
              <w:rFonts w:ascii="Arial" w:hAnsi="Arial" w:cs="Arial"/>
              <w:i/>
              <w:iCs/>
              <w:sz w:val="18"/>
              <w:szCs w:val="18"/>
            </w:rPr>
            <w:fldChar w:fldCharType="begin"/>
          </w:r>
          <w:r>
            <w:rPr>
              <w:rFonts w:ascii="Arial" w:hAnsi="Arial" w:cs="Arial"/>
              <w:i/>
              <w:iCs/>
              <w:sz w:val="18"/>
              <w:szCs w:val="18"/>
            </w:rPr>
            <w:instrText xml:space="preserve"> REF Citation \*charformat  </w:instrText>
          </w:r>
          <w:r>
            <w:rPr>
              <w:rFonts w:ascii="Arial" w:hAnsi="Arial" w:cs="Arial"/>
              <w:i/>
              <w:iCs/>
              <w:sz w:val="18"/>
              <w:szCs w:val="18"/>
            </w:rPr>
            <w:fldChar w:fldCharType="separate"/>
          </w:r>
          <w:r>
            <w:rPr>
              <w:rFonts w:ascii="Arial" w:hAnsi="Arial" w:cs="Arial"/>
              <w:i/>
              <w:iCs/>
              <w:sz w:val="18"/>
              <w:szCs w:val="18"/>
            </w:rPr>
            <w:t>Foreign Acquisitions and Takeovers Regulations 1989</w:t>
          </w:r>
          <w:r>
            <w:rPr>
              <w:rFonts w:ascii="Arial" w:hAnsi="Arial" w:cs="Arial"/>
              <w:i/>
              <w:iCs/>
              <w:sz w:val="18"/>
              <w:szCs w:val="18"/>
            </w:rPr>
            <w:fldChar w:fldCharType="end"/>
          </w:r>
        </w:p>
      </w:tc>
      <w:tc>
        <w:tcPr>
          <w:tcW w:w="1236" w:type="dxa"/>
          <w:tcBorders>
            <w:top w:val="single" w:sz="4" w:space="0" w:color="auto"/>
            <w:left w:val="nil"/>
            <w:bottom w:val="nil"/>
            <w:right w:val="nil"/>
          </w:tcBorders>
        </w:tcPr>
        <w:p w:rsidR="00000000" w:rsidRDefault="00590668">
          <w:pPr>
            <w:rPr>
              <w:rStyle w:val="PageNumber"/>
              <w:rFonts w:ascii="Arial" w:hAnsi="Arial" w:cs="Arial"/>
            </w:rPr>
          </w:pPr>
        </w:p>
      </w:tc>
    </w:tr>
  </w:tbl>
  <w:p w:rsidR="00000000" w:rsidRDefault="00590668">
    <w:pPr>
      <w:pStyle w:val="Foote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spacing w:line="200" w:lineRule="exact"/>
    </w:pPr>
  </w:p>
  <w:tbl>
    <w:tblPr>
      <w:tblW w:w="0" w:type="auto"/>
      <w:tblBorders>
        <w:top w:val="single" w:sz="4" w:space="0" w:color="auto"/>
      </w:tblBorders>
      <w:tblLayout w:type="fixed"/>
      <w:tblLook w:val="0000" w:firstRow="0" w:lastRow="0" w:firstColumn="0" w:lastColumn="0" w:noHBand="0" w:noVBand="0"/>
    </w:tblPr>
    <w:tblGrid>
      <w:gridCol w:w="1236"/>
      <w:gridCol w:w="4820"/>
      <w:gridCol w:w="1242"/>
    </w:tblGrid>
    <w:tr w:rsidR="00000000">
      <w:tblPrEx>
        <w:tblCellMar>
          <w:top w:w="0" w:type="dxa"/>
          <w:bottom w:w="0" w:type="dxa"/>
        </w:tblCellMar>
      </w:tblPrEx>
      <w:tc>
        <w:tcPr>
          <w:tcW w:w="1236" w:type="dxa"/>
          <w:tcBorders>
            <w:top w:val="single" w:sz="4" w:space="0" w:color="auto"/>
            <w:left w:val="nil"/>
            <w:bottom w:val="nil"/>
            <w:right w:val="nil"/>
          </w:tcBorders>
        </w:tcPr>
        <w:p w:rsidR="00000000" w:rsidRDefault="00590668">
          <w:pPr>
            <w:rPr>
              <w:rFonts w:ascii="Arial" w:hAnsi="Arial" w:cs="Arial"/>
              <w:sz w:val="18"/>
              <w:szCs w:val="18"/>
            </w:rPr>
          </w:pPr>
        </w:p>
      </w:tc>
      <w:tc>
        <w:tcPr>
          <w:tcW w:w="4820" w:type="dxa"/>
          <w:tcBorders>
            <w:top w:val="single" w:sz="4" w:space="0" w:color="auto"/>
            <w:left w:val="nil"/>
            <w:bottom w:val="nil"/>
            <w:right w:val="nil"/>
          </w:tcBorders>
        </w:tcPr>
        <w:p w:rsidR="00000000" w:rsidRDefault="00590668">
          <w:pPr>
            <w:jc w:val="center"/>
            <w:rPr>
              <w:rFonts w:ascii="Arial" w:hAnsi="Arial" w:cs="Arial"/>
              <w:i/>
              <w:iCs/>
              <w:sz w:val="18"/>
              <w:szCs w:val="18"/>
            </w:rPr>
          </w:pPr>
          <w:r>
            <w:rPr>
              <w:rFonts w:ascii="Arial" w:hAnsi="Arial" w:cs="Arial"/>
              <w:i/>
              <w:iCs/>
              <w:sz w:val="18"/>
              <w:szCs w:val="18"/>
            </w:rPr>
            <w:fldChar w:fldCharType="begin"/>
          </w:r>
          <w:r>
            <w:rPr>
              <w:rFonts w:ascii="Arial" w:hAnsi="Arial" w:cs="Arial"/>
              <w:i/>
              <w:iCs/>
              <w:sz w:val="18"/>
              <w:szCs w:val="18"/>
            </w:rPr>
            <w:instrText xml:space="preserve"> REF Citation \*charformat   </w:instrText>
          </w:r>
          <w:r>
            <w:rPr>
              <w:rFonts w:ascii="Arial" w:hAnsi="Arial" w:cs="Arial"/>
              <w:i/>
              <w:iCs/>
              <w:sz w:val="18"/>
              <w:szCs w:val="18"/>
            </w:rPr>
            <w:fldChar w:fldCharType="separate"/>
          </w:r>
          <w:r>
            <w:rPr>
              <w:rFonts w:ascii="Arial" w:hAnsi="Arial" w:cs="Arial"/>
              <w:i/>
              <w:iCs/>
              <w:sz w:val="18"/>
              <w:szCs w:val="18"/>
            </w:rPr>
            <w:t>Foreign Acquisitions and Takeovers Regulations 1989</w:t>
          </w:r>
          <w:r>
            <w:rPr>
              <w:rFonts w:ascii="Arial" w:hAnsi="Arial" w:cs="Arial"/>
              <w:i/>
              <w:iCs/>
              <w:sz w:val="18"/>
              <w:szCs w:val="18"/>
            </w:rPr>
            <w:fldChar w:fldCharType="end"/>
          </w:r>
        </w:p>
      </w:tc>
      <w:tc>
        <w:tcPr>
          <w:tcW w:w="1242" w:type="dxa"/>
          <w:tcBorders>
            <w:top w:val="single" w:sz="4" w:space="0" w:color="auto"/>
            <w:left w:val="nil"/>
            <w:bottom w:val="nil"/>
            <w:right w:val="nil"/>
          </w:tcBorders>
        </w:tcPr>
        <w:p w:rsidR="00000000" w:rsidRDefault="00590668">
          <w:pPr>
            <w:jc w:val="right"/>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179</w:t>
          </w:r>
          <w:r>
            <w:rPr>
              <w:rStyle w:val="PageNumber"/>
              <w:rFonts w:ascii="Arial" w:hAnsi="Arial" w:cs="Arial"/>
            </w:rPr>
            <w:fldChar w:fldCharType="end"/>
          </w:r>
        </w:p>
      </w:tc>
    </w:tr>
  </w:tbl>
  <w:p w:rsidR="00000000" w:rsidRDefault="00590668">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0668">
      <w:pPr>
        <w:spacing w:after="0" w:line="240" w:lineRule="auto"/>
      </w:pPr>
      <w:r>
        <w:separator/>
      </w:r>
    </w:p>
  </w:footnote>
  <w:footnote w:type="continuationSeparator" w:id="0">
    <w:p w:rsidR="00000000" w:rsidRDefault="00590668">
      <w:pPr>
        <w:spacing w:after="0" w:line="240" w:lineRule="auto"/>
      </w:pPr>
      <w:r>
        <w:continuationSeparator/>
      </w:r>
    </w:p>
  </w:footnote>
  <w:footnote w:id="1">
    <w:p w:rsidR="00000000" w:rsidRDefault="00590668">
      <w:pPr>
        <w:pStyle w:val="FootnoteText"/>
      </w:pPr>
      <w:r>
        <w:rPr>
          <w:rStyle w:val="FootnoteReference"/>
          <w:vertAlign w:val="baseline"/>
        </w:rPr>
        <w:footnoteRef/>
      </w:r>
      <w:r>
        <w:tab/>
        <w:t>Final orders are only issued on proposals when a valid statutory notice has been received by the FIRB. Some proposals do not require a statutory notice (for example, retrospective and advanced ‘off the plan’ proposals). When rejected, such proposal</w:t>
      </w:r>
      <w:r>
        <w:t>s are not issued with final orders.</w:t>
      </w:r>
    </w:p>
  </w:footnote>
  <w:footnote w:id="2">
    <w:p w:rsidR="00000000" w:rsidRDefault="00590668">
      <w:pPr>
        <w:pStyle w:val="FootnoteText"/>
        <w:numPr>
          <w:ilvl w:val="12"/>
          <w:numId w:val="0"/>
        </w:numPr>
        <w:ind w:left="284" w:hanging="284"/>
      </w:pPr>
      <w:r>
        <w:rPr>
          <w:rStyle w:val="FootnoteReference"/>
        </w:rPr>
        <w:footnoteRef/>
      </w:r>
      <w:r>
        <w:tab/>
        <w:t>The ensuing discussion relates only to proposals upon which a</w:t>
      </w:r>
      <w:r>
        <w:t xml:space="preserve"> decision was taken. Those applications that were found not to be cases or were withdrawn are not included, except for Table 2.1.</w:t>
      </w:r>
    </w:p>
  </w:footnote>
  <w:footnote w:id="3">
    <w:p w:rsidR="00000000" w:rsidRDefault="00590668">
      <w:pPr>
        <w:pStyle w:val="FootnoteText"/>
      </w:pPr>
      <w:r>
        <w:rPr>
          <w:rStyle w:val="FootnoteReference"/>
        </w:rPr>
        <w:footnoteRef/>
      </w:r>
      <w:r>
        <w:t xml:space="preserve"> </w:t>
      </w:r>
      <w:r>
        <w:tab/>
        <w:t>United Nations, World Investment Report 2002:</w:t>
      </w:r>
      <w:r>
        <w:rPr>
          <w:i/>
          <w:iCs/>
        </w:rPr>
        <w:t xml:space="preserve"> </w:t>
      </w:r>
      <w:r>
        <w:t>Transnational Corporations and Export Competitiveness — Overview. New York, September 2002.</w:t>
      </w:r>
    </w:p>
  </w:footnote>
  <w:footnote w:id="4">
    <w:p w:rsidR="00000000" w:rsidRDefault="00590668">
      <w:pPr>
        <w:pStyle w:val="FootnoteText"/>
      </w:pPr>
      <w:r>
        <w:rPr>
          <w:rStyle w:val="FootnoteReference"/>
        </w:rPr>
        <w:t>1</w:t>
      </w:r>
      <w:r>
        <w:tab/>
        <w:t xml:space="preserve">This is a brief summary of the urban land policy. Further details of the urban land policy are provided in the document </w:t>
      </w:r>
      <w:r>
        <w:rPr>
          <w:i/>
          <w:iCs/>
        </w:rPr>
        <w:t xml:space="preserve">Foreign Investment Policy </w:t>
      </w:r>
      <w:r>
        <w:rPr>
          <w:i/>
          <w:iCs/>
        </w:rPr>
        <w:sym w:font="Symbol" w:char="F0BE"/>
      </w:r>
      <w:r>
        <w:rPr>
          <w:i/>
          <w:iCs/>
        </w:rPr>
        <w:t xml:space="preserve"> Urban Land</w:t>
      </w:r>
      <w:r>
        <w:t xml:space="preserve"> (available at http://www.firb.gov.au).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68" w:rsidRDefault="0059066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tabs>
        <w:tab w:val="center" w:pos="4820"/>
      </w:tabs>
      <w:jc w:val="center"/>
      <w:rPr>
        <w:b/>
        <w:bC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framePr w:wrap="auto" w:hAnchor="page" w:x="14460" w:yAlign="bottom" w:anchorLock="1"/>
      <w:textDirection w:val="tbRl"/>
      <w:rPr>
        <w:rStyle w:val="FramedHeader"/>
      </w:rPr>
    </w:pPr>
    <w:r>
      <w:rPr>
        <w:rStyle w:val="FramedHeader"/>
      </w:rPr>
      <w:t>Header text</w:t>
    </w:r>
  </w:p>
  <w:p w:rsidR="00000000" w:rsidRDefault="0059066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r>
      <w:t>Chapter 1:  Foreign Investment Review Board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jc w:val="right"/>
    </w:pPr>
    <w:r>
      <w:t>Chapter 1:  Foreign Investment Review Board</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framePr w:wrap="auto" w:hAnchor="page" w:x="14460" w:yAlign="bottom" w:anchorLock="1"/>
      <w:textDirection w:val="tbRl"/>
      <w:rPr>
        <w:rStyle w:val="FramedHeader"/>
      </w:rPr>
    </w:pPr>
    <w:r>
      <w:rPr>
        <w:rStyle w:val="FramedHeader"/>
      </w:rPr>
      <w:t>Header text</w:t>
    </w:r>
  </w:p>
  <w:p w:rsidR="00000000" w:rsidRDefault="0059066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r>
      <w:t>Chapter 2:  Foreign Investment Proposals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jc w:val="right"/>
    </w:pPr>
    <w:r>
      <w:t>Chapter 2:  Foreign Investment Proposals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framePr w:wrap="auto" w:hAnchor="page" w:x="14460" w:yAlign="bottom" w:anchorLock="1"/>
      <w:textDirection w:val="tbRl"/>
      <w:rPr>
        <w:rStyle w:val="FramedHeader"/>
      </w:rPr>
    </w:pPr>
    <w:r>
      <w:rPr>
        <w:rStyle w:val="FramedHeader"/>
      </w:rPr>
      <w:t>Header text</w:t>
    </w:r>
  </w:p>
  <w:p w:rsidR="00000000" w:rsidRDefault="0059066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framePr w:h="2308" w:hRule="exact" w:wrap="auto" w:vAnchor="page" w:hAnchor="page" w:x="14689" w:y="6337" w:anchorLock="1"/>
      <w:textDirection w:val="tbRl"/>
      <w:rPr>
        <w:rStyle w:val="FramedHeader"/>
        <w:rFonts w:ascii="GillSans" w:hAnsi="GillSans" w:cs="GillSans"/>
        <w:i/>
        <w:iCs/>
      </w:rPr>
    </w:pPr>
    <w:r>
      <w:rPr>
        <w:rFonts w:ascii="GillSans" w:hAnsi="GillSans" w:cs="GillSans"/>
        <w:i/>
        <w:iCs/>
        <w:color w:val="000080"/>
        <w:sz w:val="18"/>
        <w:szCs w:val="18"/>
      </w:rPr>
      <w:t>Chapter 2:  Foreign Investment Proposals</w:t>
    </w:r>
  </w:p>
  <w:p w:rsidR="00000000" w:rsidRDefault="0059066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tabs>
        <w:tab w:val="center" w:pos="4820"/>
      </w:tabs>
      <w:jc w:val="center"/>
      <w:rPr>
        <w:b/>
        <w:bCs/>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jc w:val="right"/>
    </w:pPr>
    <w:r>
      <w:t>Chapter 3:  Overview of the Foreign Acquisitions and Takeovers Act 1975</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r>
      <w:t>Chapter 4:  International Investment Issues &amp; Australia’s International Investment Position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framePr w:h="4750" w:hRule="exact" w:wrap="auto" w:vAnchor="page" w:hAnchor="page" w:x="14545" w:y="2593" w:anchorLock="1"/>
      <w:textDirection w:val="tbRl"/>
      <w:rPr>
        <w:rStyle w:val="FramedHeader"/>
        <w:rFonts w:ascii="GillSans" w:hAnsi="GillSans" w:cs="GillSans"/>
        <w:i/>
        <w:iCs/>
      </w:rPr>
    </w:pPr>
    <w:r>
      <w:rPr>
        <w:i/>
        <w:iCs/>
        <w:sz w:val="18"/>
        <w:szCs w:val="18"/>
      </w:rPr>
      <w:t>Chapter 4: I</w:t>
    </w:r>
    <w:r>
      <w:rPr>
        <w:i/>
        <w:iCs/>
        <w:sz w:val="18"/>
        <w:szCs w:val="18"/>
      </w:rPr>
      <w:t>nternational Investment Issues &amp; Australia’s International Investment Position</w:t>
    </w:r>
  </w:p>
  <w:p w:rsidR="00000000" w:rsidRDefault="0059066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r>
      <w:t>Chapter 4:  International Investment Issues &amp; Australia’s International In</w:t>
    </w:r>
    <w:r>
      <w:t>vestment Position</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jc w:val="right"/>
    </w:pPr>
    <w:r>
      <w:t>Chapter 4:  International Investment Issues &amp; Australia’s International Investment Position</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jc w:val="right"/>
    </w:pPr>
    <w:r>
      <w:t>Chapter 4:  International Investment Issues &amp; Australia’s International Investment Position</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r>
      <w:t>Appendix A:  Summary of Australia’s Foreign Investment Policy as at 30 June 2002</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jc w:val="right"/>
    </w:pPr>
    <w:r>
      <w:t>Appendix A:  Summary of Australia’s Foreign Investment Policy as at 30 June 2002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tabs>
        <w:tab w:val="center" w:pos="4820"/>
      </w:tabs>
      <w:jc w:val="center"/>
      <w:rPr>
        <w:b/>
        <w:bCs/>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framePr w:wrap="auto" w:hAnchor="page" w:x="14460" w:yAlign="bottom" w:anchorLock="1"/>
      <w:textDirection w:val="tbRl"/>
      <w:rPr>
        <w:rStyle w:val="FramedHeader"/>
      </w:rPr>
    </w:pPr>
    <w:r>
      <w:rPr>
        <w:rStyle w:val="FramedHeader"/>
      </w:rPr>
      <w:t>Header text</w:t>
    </w:r>
  </w:p>
  <w:p w:rsidR="00000000" w:rsidRDefault="00590668">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r>
      <w:t>Appendix B:  Legislation, Policy Statements and Publications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jc w:val="right"/>
    </w:pPr>
    <w:r>
      <w:t>Appendix B:  Legislation, Policy Statements and Publications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framePr w:wrap="auto" w:hAnchor="page" w:x="14460" w:yAlign="bottom" w:anchorLock="1"/>
      <w:textDirection w:val="tbRl"/>
      <w:rPr>
        <w:rStyle w:val="FramedHeader"/>
      </w:rPr>
    </w:pPr>
    <w:r>
      <w:rPr>
        <w:rStyle w:val="FramedHeader"/>
      </w:rPr>
      <w:t>Header text</w:t>
    </w:r>
  </w:p>
  <w:p w:rsidR="00000000" w:rsidRDefault="00590668">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jc w:val="right"/>
    </w:pPr>
    <w:r>
      <w:t>Appendix D:  Chronology of Policy Measures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jc w:val="right"/>
    </w:pPr>
    <w:r>
      <w:t>Appendix D:  Chronology of Policy Measures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tabs>
        <w:tab w:val="center" w:pos="4820"/>
      </w:tabs>
      <w:jc w:val="center"/>
      <w:rPr>
        <w:b/>
        <w:bCs/>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r>
      <w:t>Appendix E:  Foreign Acquisitions and Takeovers Act 1975</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jc w:val="right"/>
    </w:pPr>
    <w:r>
      <w:t>Appendix E:  Foreign Acquisitions and Takeovers Act 1975</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r>
      <w:t>Appendix E:  Foreign Acquisitions and Takeovers Act 1975</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jc w:val="right"/>
    </w:pPr>
    <w:r>
      <w:t>Appendix E:  Foreign Acquisitions and Takeovers Act 1975</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jc w:val="right"/>
    </w:pPr>
    <w:r>
      <w:t>Appendix E:</w:t>
    </w:r>
    <w:r>
      <w:t xml:space="preserve">  Foreign Acquisitions and Takeovers Act 1975</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r>
      <w:t>Appendix E:  Foreign Acquisitions and Takeovers Act 1975</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partodd"/>
      <w:jc w:val="right"/>
    </w:pPr>
  </w:p>
  <w:p w:rsidR="00000000" w:rsidRDefault="00590668">
    <w:pPr>
      <w:pStyle w:val="headerpart"/>
      <w:jc w:val="right"/>
      <w:rPr>
        <w:rFonts w:ascii="Helvetica" w:hAnsi="Helvetica" w:cs="Helvetica"/>
        <w:b w:val="0"/>
        <w:bCs w:val="0"/>
      </w:rPr>
    </w:pPr>
    <w:r>
      <w:rPr>
        <w:rFonts w:ascii="Helvetica" w:hAnsi="Helvetica" w:cs="Helvetica"/>
        <w:b w:val="0"/>
        <w:bCs w:val="0"/>
      </w:rPr>
      <w:fldChar w:fldCharType="begin"/>
    </w:r>
    <w:r>
      <w:rPr>
        <w:rFonts w:ascii="Helvetica" w:hAnsi="Helvetica" w:cs="Helvetica"/>
        <w:b w:val="0"/>
        <w:bCs w:val="0"/>
      </w:rPr>
      <w:instrText xml:space="preserve"> STYLEREF CharNotesReg \* cha</w:instrText>
    </w:r>
    <w:r>
      <w:rPr>
        <w:rFonts w:ascii="Helvetica" w:hAnsi="Helvetica" w:cs="Helvetica"/>
        <w:b w:val="0"/>
        <w:bCs w:val="0"/>
      </w:rPr>
      <w:instrText xml:space="preserve">rFORMAT </w:instrText>
    </w:r>
    <w:r>
      <w:rPr>
        <w:rFonts w:ascii="Helvetica" w:hAnsi="Helvetica" w:cs="Helvetica"/>
        <w:b w:val="0"/>
        <w:bCs w:val="0"/>
      </w:rPr>
      <w:fldChar w:fldCharType="separate"/>
    </w:r>
    <w:r>
      <w:rPr>
        <w:rFonts w:ascii="Helvetica" w:hAnsi="Helvetica" w:cs="Helvetica"/>
        <w:b w:val="0"/>
        <w:bCs w:val="0"/>
        <w:noProof/>
      </w:rPr>
      <w:t>Notes to the</w:t>
    </w:r>
    <w:r>
      <w:rPr>
        <w:rFonts w:ascii="Helvetica" w:hAnsi="Helvetica" w:cs="Helvetica"/>
        <w:b w:val="0"/>
        <w:bCs w:val="0"/>
      </w:rPr>
      <w:fldChar w:fldCharType="end"/>
    </w:r>
    <w:r>
      <w:rPr>
        <w:rFonts w:ascii="Helvetica" w:hAnsi="Helvetica" w:cs="Helvetica"/>
        <w:b w:val="0"/>
        <w:bCs w:val="0"/>
      </w:rPr>
      <w:t xml:space="preserve"> </w:t>
    </w:r>
    <w:r>
      <w:rPr>
        <w:rFonts w:ascii="Helvetica" w:hAnsi="Helvetica" w:cs="Helvetica"/>
        <w:b w:val="0"/>
        <w:bCs w:val="0"/>
        <w:i/>
        <w:iCs/>
      </w:rPr>
      <w:fldChar w:fldCharType="begin"/>
    </w:r>
    <w:r>
      <w:rPr>
        <w:rFonts w:ascii="Helvetica" w:hAnsi="Helvetica" w:cs="Helvetica"/>
        <w:b w:val="0"/>
        <w:bCs w:val="0"/>
        <w:i/>
        <w:iCs/>
      </w:rPr>
      <w:instrText xml:space="preserve"> STYLEREF CharNotesItals \* charFORMAT </w:instrText>
    </w:r>
    <w:r>
      <w:rPr>
        <w:rFonts w:ascii="Helvetica" w:hAnsi="Helvetica" w:cs="Helvetica"/>
        <w:b w:val="0"/>
        <w:bCs w:val="0"/>
        <w:i/>
        <w:iCs/>
      </w:rPr>
      <w:fldChar w:fldCharType="separate"/>
    </w:r>
    <w:r>
      <w:rPr>
        <w:rFonts w:ascii="Helvetica" w:hAnsi="Helvetica" w:cs="Helvetica"/>
        <w:b w:val="0"/>
        <w:bCs w:val="0"/>
        <w:i/>
        <w:iCs/>
        <w:noProof/>
      </w:rPr>
      <w:t>Foreign Acquisitions and Takeovers Act 1975</w:t>
    </w:r>
    <w:r>
      <w:rPr>
        <w:rFonts w:ascii="Helvetica" w:hAnsi="Helvetica" w:cs="Helvetica"/>
        <w:b w:val="0"/>
        <w:bCs w:val="0"/>
        <w:i/>
        <w:iCs/>
      </w:rPr>
      <w:fldChar w:fldCharType="end"/>
    </w:r>
  </w:p>
  <w:p w:rsidR="00000000" w:rsidRDefault="00590668">
    <w:pPr>
      <w:pStyle w:val="headerpart"/>
      <w:jc w:val="right"/>
      <w:rPr>
        <w:rFonts w:ascii="Helvetica" w:hAnsi="Helvetica" w:cs="Helvetica"/>
      </w:rPr>
    </w:pPr>
  </w:p>
  <w:p w:rsidR="00000000" w:rsidRDefault="00590668">
    <w:pPr>
      <w:pStyle w:val="headerpart"/>
      <w:jc w:val="right"/>
      <w:rPr>
        <w:rFonts w:ascii="Helvetica" w:hAnsi="Helvetica" w:cs="Helvetica"/>
        <w:sz w:val="24"/>
        <w:szCs w:val="24"/>
      </w:rPr>
    </w:pPr>
  </w:p>
  <w:p w:rsidR="00000000" w:rsidRDefault="00590668">
    <w:pPr>
      <w:pBdr>
        <w:bottom w:val="single" w:sz="6" w:space="3" w:color="auto"/>
      </w:pBdr>
      <w:jc w:val="right"/>
      <w:rPr>
        <w:b/>
        <w:bCs/>
      </w:rPr>
    </w:pPr>
    <w:r>
      <w:rPr>
        <w:rFonts w:ascii="Helvetica" w:hAnsi="Helvetica" w:cs="Helvetica"/>
        <w:b/>
        <w:bCs/>
        <w:sz w:val="24"/>
        <w:szCs w:val="24"/>
      </w:rPr>
      <w:t>Table of Acts</w:t>
    </w:r>
  </w:p>
  <w:tbl>
    <w:tblPr>
      <w:tblW w:w="0" w:type="auto"/>
      <w:tblLayout w:type="fixed"/>
      <w:tblCellMar>
        <w:left w:w="107" w:type="dxa"/>
        <w:right w:w="107" w:type="dxa"/>
      </w:tblCellMar>
      <w:tblLook w:val="0000" w:firstRow="0" w:lastRow="0" w:firstColumn="0" w:lastColumn="0" w:noHBand="0" w:noVBand="0"/>
    </w:tblPr>
    <w:tblGrid>
      <w:gridCol w:w="2235"/>
      <w:gridCol w:w="1135"/>
      <w:gridCol w:w="1323"/>
      <w:gridCol w:w="1610"/>
      <w:gridCol w:w="1032"/>
    </w:tblGrid>
    <w:tr w:rsidR="00000000">
      <w:tblPrEx>
        <w:tblCellMar>
          <w:top w:w="0" w:type="dxa"/>
          <w:bottom w:w="0" w:type="dxa"/>
        </w:tblCellMar>
      </w:tblPrEx>
      <w:trPr>
        <w:tblHeader/>
      </w:trPr>
      <w:tc>
        <w:tcPr>
          <w:tcW w:w="2235" w:type="dxa"/>
          <w:tcBorders>
            <w:top w:val="nil"/>
            <w:left w:val="nil"/>
            <w:bottom w:val="nil"/>
            <w:right w:val="nil"/>
          </w:tcBorders>
        </w:tcPr>
        <w:p w:rsidR="00000000" w:rsidRDefault="00590668">
          <w:pPr>
            <w:spacing w:before="60" w:after="60" w:line="180" w:lineRule="atLeast"/>
            <w:rPr>
              <w:rFonts w:ascii="Helvetica" w:hAnsi="Helvetica" w:cs="Helvetica"/>
              <w:sz w:val="16"/>
              <w:szCs w:val="16"/>
            </w:rPr>
          </w:pPr>
          <w:r>
            <w:rPr>
              <w:rFonts w:ascii="Helvetica" w:hAnsi="Helvetica" w:cs="Helvetica"/>
              <w:sz w:val="16"/>
              <w:szCs w:val="16"/>
            </w:rPr>
            <w:t>Act</w:t>
          </w:r>
        </w:p>
      </w:tc>
      <w:tc>
        <w:tcPr>
          <w:tcW w:w="1135" w:type="dxa"/>
          <w:tcBorders>
            <w:top w:val="nil"/>
            <w:left w:val="nil"/>
            <w:bottom w:val="nil"/>
            <w:right w:val="nil"/>
          </w:tcBorders>
        </w:tcPr>
        <w:p w:rsidR="00000000" w:rsidRDefault="00590668">
          <w:pPr>
            <w:spacing w:before="60" w:after="60" w:line="180" w:lineRule="atLeast"/>
            <w:rPr>
              <w:rFonts w:ascii="Helvetica" w:hAnsi="Helvetica" w:cs="Helvetica"/>
              <w:sz w:val="16"/>
              <w:szCs w:val="16"/>
            </w:rPr>
          </w:pPr>
          <w:r>
            <w:rPr>
              <w:rFonts w:ascii="Helvetica" w:hAnsi="Helvetica" w:cs="Helvetica"/>
              <w:sz w:val="16"/>
              <w:szCs w:val="16"/>
            </w:rPr>
            <w:t xml:space="preserve">Number </w:t>
          </w:r>
          <w:r>
            <w:rPr>
              <w:rFonts w:ascii="Helvetica" w:hAnsi="Helvetica" w:cs="Helvetica"/>
              <w:sz w:val="16"/>
              <w:szCs w:val="16"/>
            </w:rPr>
            <w:br/>
            <w:t>and year</w:t>
          </w:r>
        </w:p>
      </w:tc>
      <w:tc>
        <w:tcPr>
          <w:tcW w:w="1323" w:type="dxa"/>
          <w:tcBorders>
            <w:top w:val="nil"/>
            <w:left w:val="nil"/>
            <w:bottom w:val="nil"/>
            <w:right w:val="nil"/>
          </w:tcBorders>
        </w:tcPr>
        <w:p w:rsidR="00000000" w:rsidRDefault="00590668">
          <w:pPr>
            <w:spacing w:before="60" w:after="60" w:line="180" w:lineRule="atLeast"/>
            <w:rPr>
              <w:rFonts w:ascii="Helvetica" w:hAnsi="Helvetica" w:cs="Helvetica"/>
              <w:sz w:val="16"/>
              <w:szCs w:val="16"/>
            </w:rPr>
          </w:pPr>
          <w:r>
            <w:rPr>
              <w:rFonts w:ascii="Helvetica" w:hAnsi="Helvetica" w:cs="Helvetica"/>
              <w:sz w:val="16"/>
              <w:szCs w:val="16"/>
            </w:rPr>
            <w:t xml:space="preserve">Date </w:t>
          </w:r>
          <w:r>
            <w:rPr>
              <w:rFonts w:ascii="Helvetica" w:hAnsi="Helvetica" w:cs="Helvetica"/>
              <w:sz w:val="16"/>
              <w:szCs w:val="16"/>
            </w:rPr>
            <w:br/>
            <w:t>of Assent</w:t>
          </w:r>
        </w:p>
      </w:tc>
      <w:tc>
        <w:tcPr>
          <w:tcW w:w="1610" w:type="dxa"/>
          <w:tcBorders>
            <w:top w:val="nil"/>
            <w:left w:val="nil"/>
            <w:bottom w:val="nil"/>
            <w:right w:val="nil"/>
          </w:tcBorders>
        </w:tcPr>
        <w:p w:rsidR="00000000" w:rsidRDefault="00590668">
          <w:pPr>
            <w:spacing w:before="60" w:after="60" w:line="180" w:lineRule="atLeast"/>
            <w:rPr>
              <w:rFonts w:ascii="Helvetica" w:hAnsi="Helvetica" w:cs="Helvetica"/>
              <w:sz w:val="16"/>
              <w:szCs w:val="16"/>
            </w:rPr>
          </w:pPr>
          <w:r>
            <w:rPr>
              <w:rFonts w:ascii="Helvetica" w:hAnsi="Helvetica" w:cs="Helvetica"/>
              <w:sz w:val="16"/>
              <w:szCs w:val="16"/>
            </w:rPr>
            <w:t>Date of commencement</w:t>
          </w:r>
        </w:p>
      </w:tc>
      <w:tc>
        <w:tcPr>
          <w:tcW w:w="1032" w:type="dxa"/>
          <w:tcBorders>
            <w:top w:val="nil"/>
            <w:left w:val="nil"/>
            <w:bottom w:val="nil"/>
            <w:right w:val="nil"/>
          </w:tcBorders>
        </w:tcPr>
        <w:p w:rsidR="00000000" w:rsidRDefault="00590668">
          <w:pPr>
            <w:spacing w:before="60" w:after="60" w:line="180" w:lineRule="atLeast"/>
            <w:ind w:right="-108"/>
            <w:rPr>
              <w:rFonts w:ascii="Helvetica" w:hAnsi="Helvetica" w:cs="Helvetica"/>
              <w:sz w:val="16"/>
              <w:szCs w:val="16"/>
            </w:rPr>
          </w:pPr>
          <w:r>
            <w:rPr>
              <w:rFonts w:ascii="Helvetica" w:hAnsi="Helvetica" w:cs="Helvetica"/>
              <w:sz w:val="16"/>
              <w:szCs w:val="16"/>
            </w:rPr>
            <w:t>Application, saving or transitional provisions</w:t>
          </w:r>
        </w:p>
      </w:tc>
    </w:tr>
  </w:tbl>
  <w:p w:rsidR="00000000" w:rsidRDefault="0059066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tabs>
        <w:tab w:val="center" w:pos="4820"/>
      </w:tabs>
      <w:jc w:val="center"/>
      <w:rPr>
        <w:b/>
        <w:bCs/>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r>
      <w:t>Appendix E:  Foreign Acquisitions and Takeovers Act 1975</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partodd"/>
    </w:pPr>
  </w:p>
  <w:p w:rsidR="00000000" w:rsidRDefault="00590668">
    <w:pPr>
      <w:pStyle w:val="headerpartodd"/>
      <w:rPr>
        <w:rFonts w:ascii="Helvetica" w:hAnsi="Helvetica" w:cs="Helvetica"/>
        <w:i/>
        <w:iCs/>
      </w:rPr>
    </w:pPr>
    <w:r>
      <w:rPr>
        <w:rFonts w:ascii="Helvetica" w:hAnsi="Helvetica" w:cs="Helvetica"/>
      </w:rPr>
      <w:fldChar w:fldCharType="begin"/>
    </w:r>
    <w:r>
      <w:rPr>
        <w:rFonts w:ascii="Helvetica" w:hAnsi="Helvetica" w:cs="Helvetica"/>
      </w:rPr>
      <w:instrText xml:space="preserve"> STYLEREF CharNotesReg \* charFORMAT </w:instrText>
    </w:r>
    <w:r>
      <w:rPr>
        <w:rFonts w:ascii="Helvetica" w:hAnsi="Helvetica" w:cs="Helvetica"/>
      </w:rPr>
      <w:fldChar w:fldCharType="separate"/>
    </w:r>
    <w:r>
      <w:rPr>
        <w:rFonts w:ascii="Helvetica" w:hAnsi="Helvetica" w:cs="Helvetica"/>
        <w:noProof/>
      </w:rPr>
      <w:t>Notes to the</w:t>
    </w:r>
    <w:r>
      <w:rPr>
        <w:rFonts w:ascii="Helvetica" w:hAnsi="Helvetica" w:cs="Helvetica"/>
      </w:rPr>
      <w:fldChar w:fldCharType="end"/>
    </w:r>
    <w:r>
      <w:rPr>
        <w:rFonts w:ascii="Helvetica" w:hAnsi="Helvetica" w:cs="Helvetica"/>
      </w:rPr>
      <w:t xml:space="preserve"> </w:t>
    </w:r>
    <w:r>
      <w:rPr>
        <w:rFonts w:ascii="Helvetica" w:hAnsi="Helvetica" w:cs="Helvetica"/>
        <w:i/>
        <w:iCs/>
      </w:rPr>
      <w:fldChar w:fldCharType="begin"/>
    </w:r>
    <w:r>
      <w:rPr>
        <w:rFonts w:ascii="Helvetica" w:hAnsi="Helvetica" w:cs="Helvetica"/>
        <w:i/>
        <w:iCs/>
      </w:rPr>
      <w:instrText xml:space="preserve"> STYLEREF CharNotesItals \* charFORMAT </w:instrText>
    </w:r>
    <w:r>
      <w:rPr>
        <w:rFonts w:ascii="Helvetica" w:hAnsi="Helvetica" w:cs="Helvetica"/>
        <w:i/>
        <w:iCs/>
      </w:rPr>
      <w:fldChar w:fldCharType="separate"/>
    </w:r>
    <w:r>
      <w:rPr>
        <w:rFonts w:ascii="Helvetica" w:hAnsi="Helvetica" w:cs="Helvetica"/>
        <w:i/>
        <w:iCs/>
        <w:noProof/>
      </w:rPr>
      <w:t>Foreign Acquisitions and Takeovers Act 1975</w:t>
    </w:r>
    <w:r>
      <w:rPr>
        <w:rFonts w:ascii="Helvetica" w:hAnsi="Helvetica" w:cs="Helvetica"/>
        <w:i/>
        <w:iCs/>
      </w:rPr>
      <w:fldChar w:fldCharType="end"/>
    </w:r>
  </w:p>
  <w:p w:rsidR="00000000" w:rsidRDefault="00590668">
    <w:pPr>
      <w:pStyle w:val="headerpart"/>
      <w:rPr>
        <w:rFonts w:ascii="Helvetica" w:hAnsi="Helvetica" w:cs="Helvetica"/>
        <w:b w:val="0"/>
        <w:bCs w:val="0"/>
      </w:rPr>
    </w:pPr>
  </w:p>
  <w:p w:rsidR="00000000" w:rsidRDefault="00590668">
    <w:pPr>
      <w:pStyle w:val="headerpart"/>
      <w:rPr>
        <w:rFonts w:ascii="Helvetica" w:hAnsi="Helvetica" w:cs="Helvetica"/>
        <w:sz w:val="24"/>
        <w:szCs w:val="24"/>
      </w:rPr>
    </w:pPr>
  </w:p>
  <w:p w:rsidR="00000000" w:rsidRDefault="00590668">
    <w:pPr>
      <w:pBdr>
        <w:bottom w:val="single" w:sz="6" w:space="1" w:color="auto"/>
      </w:pBdr>
      <w:rPr>
        <w:rFonts w:ascii="Helvetica" w:hAnsi="Helvetica" w:cs="Helvetica"/>
        <w:b/>
        <w:bCs/>
        <w:sz w:val="24"/>
        <w:szCs w:val="24"/>
      </w:rPr>
    </w:pPr>
    <w:r>
      <w:rPr>
        <w:rFonts w:ascii="Helvetica" w:hAnsi="Helvetica" w:cs="Helvetica"/>
        <w:b/>
        <w:bCs/>
        <w:sz w:val="24"/>
        <w:szCs w:val="24"/>
      </w:rPr>
      <w:fldChar w:fldCharType="begin"/>
    </w:r>
    <w:r>
      <w:rPr>
        <w:rFonts w:ascii="Helvetica" w:hAnsi="Helvetica" w:cs="Helvetica"/>
        <w:b/>
        <w:bCs/>
        <w:sz w:val="24"/>
        <w:szCs w:val="24"/>
      </w:rPr>
      <w:instrText xml:space="preserve"> STYLEREF TableOfAmendHead \* charFORMAT </w:instrText>
    </w:r>
    <w:r>
      <w:rPr>
        <w:rFonts w:ascii="Helvetica" w:hAnsi="Helvetica" w:cs="Helvetica"/>
        <w:b/>
        <w:bCs/>
        <w:sz w:val="24"/>
        <w:szCs w:val="24"/>
      </w:rPr>
      <w:fldChar w:fldCharType="end"/>
    </w:r>
  </w:p>
  <w:p w:rsidR="00000000" w:rsidRDefault="00590668"/>
  <w:p w:rsidR="00000000" w:rsidRDefault="00590668">
    <w:pPr>
      <w:pBdr>
        <w:bottom w:val="single" w:sz="6" w:space="3" w:color="auto"/>
      </w:pBdr>
      <w:rPr>
        <w:rFonts w:ascii="Helvetica" w:hAnsi="Helvetica" w:cs="Helvetica"/>
        <w:sz w:val="16"/>
        <w:szCs w:val="16"/>
      </w:rPr>
    </w:pPr>
    <w:r>
      <w:rPr>
        <w:rFonts w:ascii="Helvetica" w:hAnsi="Helvetica" w:cs="Helvetica"/>
        <w:sz w:val="16"/>
        <w:szCs w:val="16"/>
      </w:rPr>
      <w:t>ad. = added or inserted      am. = amended      rep. = repealed      rs. = repealed and substituted</w:t>
    </w:r>
  </w:p>
  <w:tbl>
    <w:tblPr>
      <w:tblW w:w="0" w:type="auto"/>
      <w:tblLayout w:type="fixed"/>
      <w:tblLook w:val="0000" w:firstRow="0" w:lastRow="0" w:firstColumn="0" w:lastColumn="0" w:noHBand="0" w:noVBand="0"/>
    </w:tblPr>
    <w:tblGrid>
      <w:gridCol w:w="2376"/>
      <w:gridCol w:w="4678"/>
    </w:tblGrid>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spacing w:line="200" w:lineRule="exact"/>
            <w:rPr>
              <w:sz w:val="18"/>
              <w:szCs w:val="18"/>
            </w:rPr>
          </w:pPr>
          <w:r>
            <w:rPr>
              <w:sz w:val="18"/>
              <w:szCs w:val="18"/>
            </w:rPr>
            <w:t>Provision affected</w:t>
          </w:r>
        </w:p>
      </w:tc>
      <w:tc>
        <w:tcPr>
          <w:tcW w:w="4678" w:type="dxa"/>
          <w:tcBorders>
            <w:top w:val="nil"/>
            <w:left w:val="nil"/>
            <w:bottom w:val="nil"/>
            <w:right w:val="nil"/>
          </w:tcBorders>
        </w:tcPr>
        <w:p w:rsidR="00000000" w:rsidRDefault="00590668">
          <w:pPr>
            <w:pStyle w:val="TableOfAmend"/>
            <w:spacing w:line="200" w:lineRule="exact"/>
            <w:rPr>
              <w:sz w:val="18"/>
              <w:szCs w:val="18"/>
            </w:rPr>
          </w:pPr>
          <w:r>
            <w:rPr>
              <w:sz w:val="18"/>
              <w:szCs w:val="18"/>
            </w:rPr>
            <w:t xml:space="preserve">How </w:t>
          </w:r>
          <w:r>
            <w:rPr>
              <w:sz w:val="18"/>
              <w:szCs w:val="18"/>
            </w:rPr>
            <w:t>affected</w:t>
          </w:r>
        </w:p>
      </w:tc>
    </w:tr>
  </w:tbl>
  <w:p w:rsidR="00000000" w:rsidRDefault="00590668">
    <w:pPr>
      <w:pStyle w:val="Header"/>
      <w:pBdr>
        <w:top w:val="single" w:sz="4" w:space="1" w:color="auto"/>
      </w:pBdr>
      <w:spacing w:line="20" w:lineRule="exact"/>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partodd"/>
      <w:jc w:val="right"/>
    </w:pPr>
  </w:p>
  <w:p w:rsidR="00000000" w:rsidRDefault="00590668">
    <w:pPr>
      <w:pStyle w:val="headerpartodd"/>
      <w:jc w:val="right"/>
      <w:rPr>
        <w:rFonts w:ascii="Helvetica" w:hAnsi="Helvetica" w:cs="Helvetica"/>
        <w:i/>
        <w:iCs/>
      </w:rPr>
    </w:pPr>
    <w:r>
      <w:rPr>
        <w:rFonts w:ascii="Helvetica" w:hAnsi="Helvetica" w:cs="Helvetica"/>
      </w:rPr>
      <w:fldChar w:fldCharType="begin"/>
    </w:r>
    <w:r>
      <w:rPr>
        <w:rFonts w:ascii="Helvetica" w:hAnsi="Helvetica" w:cs="Helvetica"/>
      </w:rPr>
      <w:instrText xml:space="preserve"> STYLEREF CharNotesReg \* charFORMAT </w:instrText>
    </w:r>
    <w:r>
      <w:rPr>
        <w:rFonts w:ascii="Helvetica" w:hAnsi="Helvetica" w:cs="Helvetica"/>
      </w:rPr>
      <w:fldChar w:fldCharType="separate"/>
    </w:r>
    <w:r>
      <w:rPr>
        <w:rFonts w:ascii="Helvetica" w:hAnsi="Helvetica" w:cs="Helvetica"/>
        <w:noProof/>
      </w:rPr>
      <w:t>Notes to the</w:t>
    </w:r>
    <w:r>
      <w:rPr>
        <w:rFonts w:ascii="Helvetica" w:hAnsi="Helvetica" w:cs="Helvetica"/>
      </w:rPr>
      <w:fldChar w:fldCharType="end"/>
    </w:r>
    <w:r>
      <w:rPr>
        <w:rFonts w:ascii="Helvetica" w:hAnsi="Helvetica" w:cs="Helvetica"/>
      </w:rPr>
      <w:t xml:space="preserve"> </w:t>
    </w:r>
    <w:r>
      <w:rPr>
        <w:rFonts w:ascii="Helvetica" w:hAnsi="Helvetica" w:cs="Helvetica"/>
        <w:i/>
        <w:iCs/>
      </w:rPr>
      <w:fldChar w:fldCharType="begin"/>
    </w:r>
    <w:r>
      <w:rPr>
        <w:rFonts w:ascii="Helvetica" w:hAnsi="Helvetica" w:cs="Helvetica"/>
        <w:i/>
        <w:iCs/>
      </w:rPr>
      <w:instrText xml:space="preserve"> STYLEREF CharNotesItals \* charFORMAT </w:instrText>
    </w:r>
    <w:r>
      <w:rPr>
        <w:rFonts w:ascii="Helvetica" w:hAnsi="Helvetica" w:cs="Helvetica"/>
        <w:i/>
        <w:iCs/>
      </w:rPr>
      <w:fldChar w:fldCharType="separate"/>
    </w:r>
    <w:r>
      <w:rPr>
        <w:rFonts w:ascii="Helvetica" w:hAnsi="Helvetica" w:cs="Helvetica"/>
        <w:i/>
        <w:iCs/>
        <w:noProof/>
      </w:rPr>
      <w:t>Foreign Acquisitions and Takeovers Act 1975</w:t>
    </w:r>
    <w:r>
      <w:rPr>
        <w:rFonts w:ascii="Helvetica" w:hAnsi="Helvetica" w:cs="Helvetica"/>
        <w:i/>
        <w:iCs/>
      </w:rPr>
      <w:fldChar w:fldCharType="end"/>
    </w:r>
  </w:p>
  <w:p w:rsidR="00000000" w:rsidRDefault="00590668">
    <w:pPr>
      <w:pStyle w:val="headerpart"/>
      <w:jc w:val="right"/>
      <w:rPr>
        <w:rFonts w:ascii="Helvetica" w:hAnsi="Helvetica" w:cs="Helvetica"/>
        <w:b w:val="0"/>
        <w:bCs w:val="0"/>
      </w:rPr>
    </w:pPr>
  </w:p>
  <w:p w:rsidR="00000000" w:rsidRDefault="00590668">
    <w:pPr>
      <w:pStyle w:val="headerpart"/>
      <w:jc w:val="right"/>
      <w:rPr>
        <w:rFonts w:ascii="Helvetica" w:hAnsi="Helvetica" w:cs="Helvetica"/>
        <w:b w:val="0"/>
        <w:bCs w:val="0"/>
        <w:sz w:val="24"/>
        <w:szCs w:val="24"/>
      </w:rPr>
    </w:pPr>
  </w:p>
  <w:p w:rsidR="00000000" w:rsidRDefault="00590668">
    <w:pPr>
      <w:pStyle w:val="headerpart"/>
      <w:pBdr>
        <w:bottom w:val="single" w:sz="6" w:space="1" w:color="auto"/>
      </w:pBdr>
      <w:jc w:val="right"/>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 xml:space="preserve"> STYLEREF TableOfAmendHead \* charFORMAT </w:instrText>
    </w:r>
    <w:r>
      <w:rPr>
        <w:rFonts w:ascii="Helvetica" w:hAnsi="Helvetica" w:cs="Helvetica"/>
        <w:sz w:val="24"/>
        <w:szCs w:val="24"/>
      </w:rPr>
      <w:fldChar w:fldCharType="end"/>
    </w:r>
  </w:p>
  <w:p w:rsidR="00000000" w:rsidRDefault="00590668">
    <w:pPr>
      <w:pStyle w:val="headerpart"/>
      <w:jc w:val="right"/>
      <w:rPr>
        <w:b w:val="0"/>
        <w:bCs w:val="0"/>
        <w:sz w:val="22"/>
        <w:szCs w:val="22"/>
      </w:rPr>
    </w:pPr>
  </w:p>
  <w:p w:rsidR="00000000" w:rsidRDefault="00590668">
    <w:pPr>
      <w:pBdr>
        <w:bottom w:val="single" w:sz="6" w:space="3" w:color="auto"/>
      </w:pBdr>
      <w:rPr>
        <w:rFonts w:ascii="Helvetica" w:hAnsi="Helvetica" w:cs="Helvetica"/>
        <w:sz w:val="16"/>
        <w:szCs w:val="16"/>
      </w:rPr>
    </w:pPr>
    <w:r>
      <w:rPr>
        <w:rFonts w:ascii="Helvetica" w:hAnsi="Helvetica" w:cs="Helvetica"/>
        <w:sz w:val="16"/>
        <w:szCs w:val="16"/>
      </w:rPr>
      <w:t>ad. = added or inserted      am. = amended      rep. = repealed      rs. = repealed and substituted</w:t>
    </w:r>
  </w:p>
  <w:tbl>
    <w:tblPr>
      <w:tblW w:w="0" w:type="auto"/>
      <w:tblLayout w:type="fixed"/>
      <w:tblLook w:val="0000" w:firstRow="0" w:lastRow="0" w:firstColumn="0" w:lastColumn="0" w:noHBand="0" w:noVBand="0"/>
    </w:tblPr>
    <w:tblGrid>
      <w:gridCol w:w="2376"/>
      <w:gridCol w:w="4678"/>
    </w:tblGrid>
    <w:tr w:rsidR="00000000">
      <w:tblPrEx>
        <w:tblCellMar>
          <w:top w:w="0" w:type="dxa"/>
          <w:bottom w:w="0" w:type="dxa"/>
        </w:tblCellMar>
      </w:tblPrEx>
      <w:trPr>
        <w:cantSplit/>
      </w:trPr>
      <w:tc>
        <w:tcPr>
          <w:tcW w:w="2376" w:type="dxa"/>
          <w:tcBorders>
            <w:top w:val="nil"/>
            <w:left w:val="nil"/>
            <w:bottom w:val="nil"/>
            <w:right w:val="nil"/>
          </w:tcBorders>
        </w:tcPr>
        <w:p w:rsidR="00000000" w:rsidRDefault="00590668">
          <w:pPr>
            <w:pStyle w:val="TableOfAmend"/>
            <w:spacing w:line="200" w:lineRule="exact"/>
            <w:rPr>
              <w:sz w:val="18"/>
              <w:szCs w:val="18"/>
            </w:rPr>
          </w:pPr>
          <w:r>
            <w:rPr>
              <w:sz w:val="18"/>
              <w:szCs w:val="18"/>
            </w:rPr>
            <w:t>Provision affected</w:t>
          </w:r>
        </w:p>
      </w:tc>
      <w:tc>
        <w:tcPr>
          <w:tcW w:w="4678" w:type="dxa"/>
          <w:tcBorders>
            <w:top w:val="nil"/>
            <w:left w:val="nil"/>
            <w:bottom w:val="nil"/>
            <w:right w:val="nil"/>
          </w:tcBorders>
        </w:tcPr>
        <w:p w:rsidR="00000000" w:rsidRDefault="00590668">
          <w:pPr>
            <w:pStyle w:val="TableOfAmend"/>
            <w:spacing w:line="200" w:lineRule="exact"/>
            <w:rPr>
              <w:sz w:val="18"/>
              <w:szCs w:val="18"/>
            </w:rPr>
          </w:pPr>
          <w:r>
            <w:rPr>
              <w:sz w:val="18"/>
              <w:szCs w:val="18"/>
            </w:rPr>
            <w:t>How affected</w:t>
          </w:r>
        </w:p>
      </w:tc>
    </w:tr>
  </w:tbl>
  <w:p w:rsidR="00000000" w:rsidRDefault="00590668">
    <w:pPr>
      <w:pBdr>
        <w:bottom w:val="single" w:sz="6" w:space="0" w:color="auto"/>
      </w:pBdr>
      <w:spacing w:line="20" w:lineRule="exact"/>
    </w:pPr>
  </w:p>
  <w:p w:rsidR="00000000" w:rsidRDefault="00590668">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jc w:val="right"/>
    </w:pPr>
    <w:r>
      <w:t>Appendix E:  Foreign Acquisitions and Takeovers Act 1975</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r>
      <w:t>Appendix E:  Foreign Acquisitions and Takeovers Act 1975</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partodd"/>
    </w:pPr>
  </w:p>
  <w:p w:rsidR="00000000" w:rsidRDefault="00590668">
    <w:pPr>
      <w:pStyle w:val="headerpartodd"/>
      <w:rPr>
        <w:i/>
        <w:iCs/>
      </w:rPr>
    </w:pPr>
    <w:r>
      <w:rPr>
        <w:rFonts w:ascii="Helvetica" w:hAnsi="Helvetica" w:cs="Helvetica"/>
      </w:rPr>
      <w:fldChar w:fldCharType="begin"/>
    </w:r>
    <w:r>
      <w:rPr>
        <w:rFonts w:ascii="Helvetica" w:hAnsi="Helvetica" w:cs="Helvetica"/>
      </w:rPr>
      <w:instrText xml:space="preserve"> STYLEREF CharNotesReg \* charFORMAT </w:instrText>
    </w:r>
    <w:r>
      <w:rPr>
        <w:rFonts w:ascii="Helvetica" w:hAnsi="Helvetica" w:cs="Helvetica"/>
      </w:rPr>
      <w:fldChar w:fldCharType="separate"/>
    </w:r>
    <w:r>
      <w:rPr>
        <w:rFonts w:ascii="Helvetica" w:hAnsi="Helvetica" w:cs="Helvetica"/>
        <w:noProof/>
      </w:rPr>
      <w:t>Notes to the</w:t>
    </w:r>
    <w:r>
      <w:rPr>
        <w:rFonts w:ascii="Helvetica" w:hAnsi="Helvetica" w:cs="Helvetica"/>
      </w:rPr>
      <w:fldChar w:fldCharType="end"/>
    </w:r>
    <w:r>
      <w:rPr>
        <w:rFonts w:ascii="Helvetica" w:hAnsi="Helvetica" w:cs="Helvetica"/>
      </w:rPr>
      <w:t xml:space="preserve"> </w:t>
    </w:r>
    <w:r>
      <w:rPr>
        <w:rFonts w:ascii="Helvetica" w:hAnsi="Helvetica" w:cs="Helvetica"/>
        <w:i/>
        <w:iCs/>
      </w:rPr>
      <w:fldChar w:fldCharType="begin"/>
    </w:r>
    <w:r>
      <w:rPr>
        <w:rFonts w:ascii="Helvetica" w:hAnsi="Helvetica" w:cs="Helvetica"/>
        <w:i/>
        <w:iCs/>
      </w:rPr>
      <w:instrText xml:space="preserve"> STYLEREF CharNotesItals \</w:instrText>
    </w:r>
    <w:r>
      <w:rPr>
        <w:rFonts w:ascii="Helvetica" w:hAnsi="Helvetica" w:cs="Helvetica"/>
        <w:i/>
        <w:iCs/>
      </w:rPr>
      <w:instrText xml:space="preserve">* charFORMAT </w:instrText>
    </w:r>
    <w:r>
      <w:rPr>
        <w:rFonts w:ascii="Helvetica" w:hAnsi="Helvetica" w:cs="Helvetica"/>
        <w:i/>
        <w:iCs/>
      </w:rPr>
      <w:fldChar w:fldCharType="separate"/>
    </w:r>
    <w:r>
      <w:rPr>
        <w:rFonts w:ascii="Helvetica" w:hAnsi="Helvetica" w:cs="Helvetica"/>
        <w:i/>
        <w:iCs/>
        <w:noProof/>
      </w:rPr>
      <w:t>Foreign Acquisitions and Takeovers Act 1975</w:t>
    </w:r>
    <w:r>
      <w:rPr>
        <w:rFonts w:ascii="Helvetica" w:hAnsi="Helvetica" w:cs="Helvetica"/>
        <w:i/>
        <w:iCs/>
      </w:rPr>
      <w:fldChar w:fldCharType="end"/>
    </w:r>
  </w:p>
  <w:p w:rsidR="00000000" w:rsidRDefault="00590668">
    <w:pPr>
      <w:pStyle w:val="headerpart"/>
    </w:pPr>
  </w:p>
  <w:p w:rsidR="00000000" w:rsidRDefault="00590668">
    <w:pPr>
      <w:pStyle w:val="headerpart"/>
      <w:rPr>
        <w:rFonts w:ascii="Helvetica" w:hAnsi="Helvetica" w:cs="Helvetica"/>
        <w:sz w:val="24"/>
        <w:szCs w:val="24"/>
      </w:rPr>
    </w:pPr>
  </w:p>
  <w:p w:rsidR="00000000" w:rsidRDefault="00590668">
    <w:pPr>
      <w:pBdr>
        <w:bottom w:val="single" w:sz="6" w:space="1" w:color="auto"/>
      </w:pBdr>
      <w:rPr>
        <w:rFonts w:ascii="Helvetica" w:hAnsi="Helvetica" w:cs="Helvetica"/>
        <w:b/>
        <w:bCs/>
        <w:sz w:val="24"/>
        <w:szCs w:val="24"/>
      </w:rPr>
    </w:pPr>
    <w:r>
      <w:rPr>
        <w:rFonts w:ascii="Helvetica" w:hAnsi="Helvetica" w:cs="Helvetica"/>
        <w:b/>
        <w:bCs/>
        <w:sz w:val="24"/>
        <w:szCs w:val="24"/>
      </w:rPr>
      <w:fldChar w:fldCharType="begin"/>
    </w:r>
    <w:r>
      <w:rPr>
        <w:rFonts w:ascii="Helvetica" w:hAnsi="Helvetica" w:cs="Helvetica"/>
        <w:b/>
        <w:bCs/>
        <w:sz w:val="24"/>
        <w:szCs w:val="24"/>
      </w:rPr>
      <w:instrText xml:space="preserve"> STYLEREF TableA \* CharFORMAT </w:instrText>
    </w:r>
    <w:r>
      <w:rPr>
        <w:rFonts w:ascii="Helvetica" w:hAnsi="Helvetica" w:cs="Helvetica"/>
        <w:b/>
        <w:bCs/>
        <w:sz w:val="24"/>
        <w:szCs w:val="24"/>
      </w:rPr>
      <w:fldChar w:fldCharType="separate"/>
    </w:r>
    <w:r>
      <w:rPr>
        <w:rFonts w:ascii="Helvetica" w:hAnsi="Helvetica" w:cs="Helvetica"/>
        <w:b/>
        <w:bCs/>
        <w:noProof/>
        <w:sz w:val="24"/>
        <w:szCs w:val="24"/>
      </w:rPr>
      <w:t>Table A</w:t>
    </w:r>
    <w:r>
      <w:rPr>
        <w:rFonts w:ascii="Helvetica" w:hAnsi="Helvetica" w:cs="Helvetica"/>
        <w:b/>
        <w:bCs/>
        <w:sz w:val="24"/>
        <w:szCs w:val="24"/>
      </w:rPr>
      <w:fldChar w:fldCharType="end"/>
    </w:r>
  </w:p>
  <w:p w:rsidR="00000000" w:rsidRDefault="00590668">
    <w:pPr>
      <w:keepNext/>
    </w:pPr>
  </w:p>
  <w:p w:rsidR="00000000" w:rsidRDefault="00590668">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jc w:val="right"/>
    </w:pPr>
    <w:r>
      <w:t>Appendix E:  Foreign Acquisitions and Takeovers Act 1975</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tabs>
        <w:tab w:val="center" w:pos="4820"/>
      </w:tabs>
      <w:jc w:val="center"/>
      <w:rPr>
        <w:b/>
        <w:bCs/>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7296"/>
    </w:tblGrid>
    <w:tr w:rsidR="00000000">
      <w:tblPrEx>
        <w:tblCellMar>
          <w:top w:w="0" w:type="dxa"/>
          <w:bottom w:w="0" w:type="dxa"/>
        </w:tblCellMar>
      </w:tblPrEx>
      <w:tc>
        <w:tcPr>
          <w:tcW w:w="7296" w:type="dxa"/>
          <w:tcBorders>
            <w:top w:val="nil"/>
            <w:left w:val="nil"/>
            <w:bottom w:val="nil"/>
            <w:right w:val="nil"/>
          </w:tcBorders>
        </w:tcPr>
        <w:p w:rsidR="00000000" w:rsidRDefault="00590668">
          <w:pPr>
            <w:pStyle w:val="HeaderGeneral"/>
          </w:pPr>
          <w:r>
            <w:t>Contents</w:t>
          </w:r>
        </w:p>
      </w:tc>
    </w:tr>
    <w:tr w:rsidR="00000000">
      <w:tblPrEx>
        <w:tblCellMar>
          <w:top w:w="0" w:type="dxa"/>
          <w:bottom w:w="0" w:type="dxa"/>
        </w:tblCellMar>
      </w:tblPrEx>
      <w:tc>
        <w:tcPr>
          <w:tcW w:w="7296" w:type="dxa"/>
          <w:tcBorders>
            <w:top w:val="nil"/>
            <w:left w:val="nil"/>
            <w:bottom w:val="nil"/>
            <w:right w:val="nil"/>
          </w:tcBorders>
        </w:tcPr>
        <w:p w:rsidR="00000000" w:rsidRDefault="00590668">
          <w:pPr>
            <w:pStyle w:val="HeaderGeneral"/>
          </w:pPr>
        </w:p>
      </w:tc>
    </w:tr>
    <w:tr w:rsidR="00000000">
      <w:tblPrEx>
        <w:tblCellMar>
          <w:top w:w="0" w:type="dxa"/>
          <w:bottom w:w="0" w:type="dxa"/>
        </w:tblCellMar>
      </w:tblPrEx>
      <w:tc>
        <w:tcPr>
          <w:tcW w:w="7296" w:type="dxa"/>
          <w:tcBorders>
            <w:top w:val="nil"/>
            <w:left w:val="nil"/>
            <w:bottom w:val="single" w:sz="4" w:space="0" w:color="auto"/>
            <w:right w:val="nil"/>
          </w:tcBorders>
        </w:tcPr>
        <w:p w:rsidR="00000000" w:rsidRDefault="00590668">
          <w:pPr>
            <w:pStyle w:val="HeaderProvisions"/>
          </w:pPr>
        </w:p>
      </w:tc>
    </w:tr>
  </w:tbl>
  <w:p w:rsidR="00000000" w:rsidRDefault="00590668">
    <w:pPr>
      <w:pStyle w:val="HeaderContentsPage"/>
    </w:pPr>
    <w:r>
      <w:t>Page</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7296"/>
    </w:tblGrid>
    <w:tr w:rsidR="00000000">
      <w:tblPrEx>
        <w:tblCellMar>
          <w:top w:w="0" w:type="dxa"/>
          <w:bottom w:w="0" w:type="dxa"/>
        </w:tblCellMar>
      </w:tblPrEx>
      <w:tc>
        <w:tcPr>
          <w:tcW w:w="7296" w:type="dxa"/>
          <w:tcBorders>
            <w:top w:val="nil"/>
            <w:left w:val="nil"/>
            <w:bottom w:val="nil"/>
            <w:right w:val="nil"/>
          </w:tcBorders>
        </w:tcPr>
        <w:p w:rsidR="00000000" w:rsidRDefault="00590668">
          <w:pPr>
            <w:pStyle w:val="HeaderGeneral"/>
            <w:jc w:val="right"/>
          </w:pPr>
          <w:r>
            <w:t>Contents</w:t>
          </w:r>
        </w:p>
      </w:tc>
    </w:tr>
    <w:tr w:rsidR="00000000">
      <w:tblPrEx>
        <w:tblCellMar>
          <w:top w:w="0" w:type="dxa"/>
          <w:bottom w:w="0" w:type="dxa"/>
        </w:tblCellMar>
      </w:tblPrEx>
      <w:tc>
        <w:tcPr>
          <w:tcW w:w="7296" w:type="dxa"/>
          <w:tcBorders>
            <w:top w:val="nil"/>
            <w:left w:val="nil"/>
            <w:bottom w:val="nil"/>
            <w:right w:val="nil"/>
          </w:tcBorders>
        </w:tcPr>
        <w:p w:rsidR="00000000" w:rsidRDefault="00590668">
          <w:pPr>
            <w:pStyle w:val="HeaderGeneral"/>
          </w:pPr>
        </w:p>
      </w:tc>
    </w:tr>
    <w:tr w:rsidR="00000000">
      <w:tblPrEx>
        <w:tblCellMar>
          <w:top w:w="0" w:type="dxa"/>
          <w:bottom w:w="0" w:type="dxa"/>
        </w:tblCellMar>
      </w:tblPrEx>
      <w:tc>
        <w:tcPr>
          <w:tcW w:w="7296" w:type="dxa"/>
          <w:tcBorders>
            <w:top w:val="nil"/>
            <w:left w:val="nil"/>
            <w:bottom w:val="single" w:sz="4" w:space="0" w:color="auto"/>
            <w:right w:val="nil"/>
          </w:tcBorders>
        </w:tcPr>
        <w:p w:rsidR="00000000" w:rsidRDefault="00590668">
          <w:pPr>
            <w:pStyle w:val="HeaderProvisions"/>
          </w:pPr>
        </w:p>
      </w:tc>
    </w:tr>
  </w:tbl>
  <w:p w:rsidR="00000000" w:rsidRDefault="00590668">
    <w:pPr>
      <w:pStyle w:val="HeaderContentsPage"/>
    </w:pPr>
    <w:r>
      <w:t>Page</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jc w:val="right"/>
    </w:pPr>
    <w:r>
      <w:t>Appendix F:  Foreign Acquisitions and Takeovers Regulations 1989</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r>
      <w:t>Appendix F:  Foreign Acquisitions and Takeovers Regulations 1989</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jc w:val="right"/>
    </w:pPr>
    <w:r>
      <w:t>Appendix F:  Foreign Acquisitions and Takeovers Regulations 1989</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r>
      <w:t>Appendix F:  Foreign Acquisitions and Takeovers Regulations 1989</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jc w:val="right"/>
    </w:pPr>
    <w:r>
      <w:t>Appendix F:  Foreign Acquisitions and Takeovers Regulations 1989</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r>
      <w:t>Appendix F:  Foreign Acquisitions and Takeovers Regulations 1989</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jc w:val="right"/>
    </w:pPr>
    <w:r>
      <w:t>Appendix F:  Foreign Acquisitions and Takeovers Regulations 1989</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7297"/>
    </w:tblGrid>
    <w:tr w:rsidR="00000000">
      <w:tblPrEx>
        <w:tblCellMar>
          <w:top w:w="0" w:type="dxa"/>
          <w:bottom w:w="0" w:type="dxa"/>
        </w:tblCellMar>
      </w:tblPrEx>
      <w:trPr>
        <w:jc w:val="center"/>
      </w:trPr>
      <w:tc>
        <w:tcPr>
          <w:tcW w:w="7297" w:type="dxa"/>
          <w:tcBorders>
            <w:top w:val="nil"/>
            <w:left w:val="nil"/>
            <w:bottom w:val="nil"/>
            <w:right w:val="nil"/>
          </w:tcBorders>
        </w:tcPr>
        <w:p w:rsidR="00000000" w:rsidRDefault="00590668">
          <w:pPr>
            <w:pStyle w:val="HeaderLiteEven"/>
          </w:pPr>
          <w:r>
            <w:t>Contents</w:t>
          </w:r>
        </w:p>
      </w:tc>
    </w:tr>
    <w:tr w:rsidR="00000000">
      <w:tblPrEx>
        <w:tblCellMar>
          <w:top w:w="0" w:type="dxa"/>
          <w:bottom w:w="0" w:type="dxa"/>
        </w:tblCellMar>
      </w:tblPrEx>
      <w:trPr>
        <w:jc w:val="center"/>
      </w:trPr>
      <w:tc>
        <w:tcPr>
          <w:tcW w:w="7297" w:type="dxa"/>
          <w:tcBorders>
            <w:top w:val="nil"/>
            <w:left w:val="nil"/>
            <w:bottom w:val="nil"/>
            <w:right w:val="nil"/>
          </w:tcBorders>
        </w:tcPr>
        <w:p w:rsidR="00000000" w:rsidRDefault="00590668">
          <w:pPr>
            <w:pStyle w:val="HeaderLiteEven"/>
          </w:pPr>
        </w:p>
      </w:tc>
    </w:tr>
    <w:tr w:rsidR="00000000">
      <w:tblPrEx>
        <w:tblCellMar>
          <w:top w:w="0" w:type="dxa"/>
          <w:bottom w:w="0" w:type="dxa"/>
        </w:tblCellMar>
      </w:tblPrEx>
      <w:trPr>
        <w:jc w:val="center"/>
      </w:trPr>
      <w:tc>
        <w:tcPr>
          <w:tcW w:w="7297" w:type="dxa"/>
          <w:tcBorders>
            <w:top w:val="nil"/>
            <w:left w:val="nil"/>
            <w:bottom w:val="single" w:sz="4" w:space="0" w:color="auto"/>
            <w:right w:val="nil"/>
          </w:tcBorders>
        </w:tcPr>
        <w:p w:rsidR="00000000" w:rsidRDefault="00590668">
          <w:pPr>
            <w:pStyle w:val="HeaderBoldEven"/>
          </w:pPr>
        </w:p>
      </w:tc>
    </w:tr>
  </w:tbl>
  <w:p w:rsidR="00000000" w:rsidRDefault="00590668">
    <w:pPr>
      <w:pStyle w:val="HeaderContentsPage"/>
    </w:pPr>
    <w:r>
      <w:t>Page</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7297"/>
    </w:tblGrid>
    <w:tr w:rsidR="00000000">
      <w:tblPrEx>
        <w:tblCellMar>
          <w:top w:w="0" w:type="dxa"/>
          <w:bottom w:w="0" w:type="dxa"/>
        </w:tblCellMar>
      </w:tblPrEx>
      <w:trPr>
        <w:jc w:val="center"/>
      </w:trPr>
      <w:tc>
        <w:tcPr>
          <w:tcW w:w="7297" w:type="dxa"/>
          <w:tcBorders>
            <w:top w:val="nil"/>
            <w:left w:val="nil"/>
            <w:bottom w:val="nil"/>
            <w:right w:val="nil"/>
          </w:tcBorders>
        </w:tcPr>
        <w:p w:rsidR="00000000" w:rsidRDefault="00590668">
          <w:pPr>
            <w:pStyle w:val="HeaderLiteOdd"/>
          </w:pPr>
          <w:r>
            <w:t>Contents</w:t>
          </w:r>
        </w:p>
      </w:tc>
    </w:tr>
    <w:tr w:rsidR="00000000">
      <w:tblPrEx>
        <w:tblCellMar>
          <w:top w:w="0" w:type="dxa"/>
          <w:bottom w:w="0" w:type="dxa"/>
        </w:tblCellMar>
      </w:tblPrEx>
      <w:trPr>
        <w:jc w:val="center"/>
      </w:trPr>
      <w:tc>
        <w:tcPr>
          <w:tcW w:w="7297" w:type="dxa"/>
          <w:tcBorders>
            <w:top w:val="nil"/>
            <w:left w:val="nil"/>
            <w:bottom w:val="nil"/>
            <w:right w:val="nil"/>
          </w:tcBorders>
        </w:tcPr>
        <w:p w:rsidR="00000000" w:rsidRDefault="00590668">
          <w:pPr>
            <w:pStyle w:val="HeaderLiteOdd"/>
          </w:pPr>
        </w:p>
      </w:tc>
    </w:tr>
    <w:tr w:rsidR="00000000">
      <w:tblPrEx>
        <w:tblCellMar>
          <w:top w:w="0" w:type="dxa"/>
          <w:bottom w:w="0" w:type="dxa"/>
        </w:tblCellMar>
      </w:tblPrEx>
      <w:trPr>
        <w:jc w:val="center"/>
      </w:trPr>
      <w:tc>
        <w:tcPr>
          <w:tcW w:w="7297" w:type="dxa"/>
          <w:tcBorders>
            <w:top w:val="nil"/>
            <w:left w:val="nil"/>
            <w:bottom w:val="single" w:sz="4" w:space="0" w:color="auto"/>
            <w:right w:val="nil"/>
          </w:tcBorders>
        </w:tcPr>
        <w:p w:rsidR="00000000" w:rsidRDefault="00590668">
          <w:pPr>
            <w:pStyle w:val="HeaderBoldOdd"/>
          </w:pPr>
        </w:p>
      </w:tc>
    </w:tr>
  </w:tbl>
  <w:p w:rsidR="00000000" w:rsidRDefault="00590668">
    <w:pPr>
      <w:pStyle w:val="HeaderContentsPage"/>
    </w:pPr>
    <w:r>
      <w:t>Page</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r>
      <w:t xml:space="preserve">Appendix F:  </w:t>
    </w:r>
    <w:r>
      <w:t>Foreign Acquisitions and Takeovers Regulations 1989</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r>
      <w:t>Appendix F:  Foreign Acquisitions and Takeovers Regulations 1989</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jc w:val="right"/>
    </w:pPr>
    <w:r>
      <w:t>Appendix F:  Foreign Acquisitions and Takeovers Regulations 1989</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jc w:val="right"/>
    </w:pPr>
    <w:r>
      <w:t>Appendix G:  OECD Guidelines for Multinational Enterprises</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r>
      <w:t>Appendix H:  Contact Details</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jc w:val="right"/>
    </w:pPr>
    <w:r>
      <w:t>Appendix H:  Contact Details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tabs>
        <w:tab w:val="center" w:pos="4820"/>
      </w:tabs>
      <w:jc w:val="center"/>
      <w:rPr>
        <w:b/>
        <w:bC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54D850"/>
    <w:lvl w:ilvl="0">
      <w:start w:val="1"/>
      <w:numFmt w:val="decimal"/>
      <w:lvlText w:val="%1."/>
      <w:lvlJc w:val="left"/>
      <w:pPr>
        <w:tabs>
          <w:tab w:val="num" w:pos="1492"/>
        </w:tabs>
        <w:ind w:left="1492" w:hanging="360"/>
      </w:pPr>
    </w:lvl>
  </w:abstractNum>
  <w:abstractNum w:abstractNumId="1">
    <w:nsid w:val="FFFFFF7D"/>
    <w:multiLevelType w:val="singleLevel"/>
    <w:tmpl w:val="41BC3D20"/>
    <w:lvl w:ilvl="0">
      <w:start w:val="1"/>
      <w:numFmt w:val="decimal"/>
      <w:lvlText w:val="%1."/>
      <w:lvlJc w:val="left"/>
      <w:pPr>
        <w:tabs>
          <w:tab w:val="num" w:pos="1209"/>
        </w:tabs>
        <w:ind w:left="1209" w:hanging="360"/>
      </w:pPr>
    </w:lvl>
  </w:abstractNum>
  <w:abstractNum w:abstractNumId="2">
    <w:nsid w:val="FFFFFF7E"/>
    <w:multiLevelType w:val="singleLevel"/>
    <w:tmpl w:val="AF32A3B8"/>
    <w:lvl w:ilvl="0">
      <w:start w:val="1"/>
      <w:numFmt w:val="decimal"/>
      <w:lvlText w:val="%1."/>
      <w:lvlJc w:val="left"/>
      <w:pPr>
        <w:tabs>
          <w:tab w:val="num" w:pos="926"/>
        </w:tabs>
        <w:ind w:left="926" w:hanging="360"/>
      </w:pPr>
    </w:lvl>
  </w:abstractNum>
  <w:abstractNum w:abstractNumId="3">
    <w:nsid w:val="FFFFFF7F"/>
    <w:multiLevelType w:val="singleLevel"/>
    <w:tmpl w:val="949EE838"/>
    <w:lvl w:ilvl="0">
      <w:start w:val="1"/>
      <w:numFmt w:val="decimal"/>
      <w:lvlText w:val="%1."/>
      <w:lvlJc w:val="left"/>
      <w:pPr>
        <w:tabs>
          <w:tab w:val="num" w:pos="643"/>
        </w:tabs>
        <w:ind w:left="643" w:hanging="360"/>
      </w:pPr>
    </w:lvl>
  </w:abstractNum>
  <w:abstractNum w:abstractNumId="4">
    <w:nsid w:val="FFFFFF80"/>
    <w:multiLevelType w:val="singleLevel"/>
    <w:tmpl w:val="ACF00152"/>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nsid w:val="FFFFFF81"/>
    <w:multiLevelType w:val="singleLevel"/>
    <w:tmpl w:val="3F0888B0"/>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nsid w:val="FFFFFF82"/>
    <w:multiLevelType w:val="singleLevel"/>
    <w:tmpl w:val="449C8D36"/>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nsid w:val="FFFFFF83"/>
    <w:multiLevelType w:val="singleLevel"/>
    <w:tmpl w:val="06F8AC34"/>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nsid w:val="FFFFFF89"/>
    <w:multiLevelType w:val="singleLevel"/>
    <w:tmpl w:val="F9DC093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9">
    <w:nsid w:val="023A2A85"/>
    <w:multiLevelType w:val="singleLevel"/>
    <w:tmpl w:val="8B50E3C0"/>
    <w:lvl w:ilvl="0">
      <w:start w:val="1"/>
      <w:numFmt w:val="bullet"/>
      <w:pStyle w:val="Dash"/>
      <w:lvlText w:val=""/>
      <w:lvlJc w:val="left"/>
      <w:pPr>
        <w:tabs>
          <w:tab w:val="num" w:pos="814"/>
        </w:tabs>
        <w:ind w:left="454"/>
      </w:pPr>
      <w:rPr>
        <w:rFonts w:ascii="Symbol" w:hAnsi="Symbol" w:cs="Symbol" w:hint="default"/>
        <w:b w:val="0"/>
        <w:bCs w:val="0"/>
        <w:i w:val="0"/>
        <w:iCs w:val="0"/>
        <w:caps w:val="0"/>
        <w:smallCaps w:val="0"/>
        <w:strike w:val="0"/>
        <w:dstrike w:val="0"/>
        <w:outline w:val="0"/>
        <w:shadow w:val="0"/>
        <w:emboss w:val="0"/>
        <w:imprint w:val="0"/>
        <w:vanish w:val="0"/>
        <w:color w:val="000080"/>
        <w:sz w:val="20"/>
        <w:szCs w:val="20"/>
        <w:u w:val="none"/>
        <w:vertAlign w:val="baseline"/>
      </w:rPr>
    </w:lvl>
  </w:abstractNum>
  <w:abstractNum w:abstractNumId="10">
    <w:nsid w:val="0390576D"/>
    <w:multiLevelType w:val="multilevel"/>
    <w:tmpl w:val="5614B3B2"/>
    <w:lvl w:ilvl="0">
      <w:start w:val="1"/>
      <w:numFmt w:val="none"/>
      <w:suff w:val="nothing"/>
      <w:lvlText w:val="%1"/>
      <w:lvlJc w:val="left"/>
    </w:lvl>
    <w:lvl w:ilvl="1">
      <w:start w:val="1"/>
      <w:numFmt w:val="decimal"/>
      <w:lvlRestart w:val="0"/>
      <w:lvlText w:val="%11.%2"/>
      <w:lvlJc w:val="left"/>
      <w:pPr>
        <w:tabs>
          <w:tab w:val="num" w:pos="850"/>
        </w:tabs>
        <w:ind w:left="850" w:hanging="850"/>
      </w:pPr>
    </w:lvl>
    <w:lvl w:ilvl="2">
      <w:start w:val="1"/>
      <w:numFmt w:val="decimal"/>
      <w:lvlRestart w:val="0"/>
      <w:lvlText w:val="%11.%2.%3"/>
      <w:lvlJc w:val="left"/>
      <w:pPr>
        <w:tabs>
          <w:tab w:val="num" w:pos="1440"/>
        </w:tabs>
        <w:ind w:left="850" w:hanging="850"/>
      </w:pPr>
    </w:lvl>
    <w:lvl w:ilvl="3">
      <w:start w:val="1"/>
      <w:numFmt w:val="decimal"/>
      <w:lvlText w:val="%1.%2.%3.%4"/>
      <w:lvlJc w:val="left"/>
      <w:pPr>
        <w:tabs>
          <w:tab w:val="num" w:pos="862"/>
        </w:tabs>
        <w:ind w:left="862" w:hanging="862"/>
      </w:p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11">
    <w:nsid w:val="065C306D"/>
    <w:multiLevelType w:val="singleLevel"/>
    <w:tmpl w:val="EAA42832"/>
    <w:lvl w:ilvl="0">
      <w:start w:val="1"/>
      <w:numFmt w:val="lowerLetter"/>
      <w:lvlText w:val="(%1)"/>
      <w:lvlJc w:val="left"/>
      <w:pPr>
        <w:tabs>
          <w:tab w:val="num" w:pos="1134"/>
        </w:tabs>
        <w:ind w:left="1134" w:hanging="567"/>
      </w:pPr>
    </w:lvl>
  </w:abstractNum>
  <w:abstractNum w:abstractNumId="12">
    <w:nsid w:val="08D73F15"/>
    <w:multiLevelType w:val="singleLevel"/>
    <w:tmpl w:val="0EE0E63C"/>
    <w:lvl w:ilvl="0">
      <w:start w:val="1"/>
      <w:numFmt w:val="lowerLetter"/>
      <w:lvlText w:val="(%1)"/>
      <w:lvlJc w:val="left"/>
      <w:pPr>
        <w:tabs>
          <w:tab w:val="num" w:pos="644"/>
        </w:tabs>
        <w:ind w:left="567" w:hanging="283"/>
      </w:pPr>
    </w:lvl>
  </w:abstractNum>
  <w:abstractNum w:abstractNumId="13">
    <w:nsid w:val="09B51D33"/>
    <w:multiLevelType w:val="singleLevel"/>
    <w:tmpl w:val="4000AA00"/>
    <w:lvl w:ilvl="0">
      <w:start w:val="1"/>
      <w:numFmt w:val="lowerLetter"/>
      <w:lvlText w:val="(%1)"/>
      <w:lvlJc w:val="left"/>
      <w:pPr>
        <w:tabs>
          <w:tab w:val="num" w:pos="644"/>
        </w:tabs>
        <w:ind w:left="567" w:hanging="283"/>
      </w:pPr>
    </w:lvl>
  </w:abstractNum>
  <w:abstractNum w:abstractNumId="14">
    <w:nsid w:val="0F776996"/>
    <w:multiLevelType w:val="singleLevel"/>
    <w:tmpl w:val="6D14F5D2"/>
    <w:lvl w:ilvl="0">
      <w:start w:val="1"/>
      <w:numFmt w:val="bullet"/>
      <w:lvlText w:val=""/>
      <w:lvlJc w:val="left"/>
      <w:pPr>
        <w:tabs>
          <w:tab w:val="num" w:pos="851"/>
        </w:tabs>
        <w:ind w:left="851" w:hanging="426"/>
      </w:pPr>
      <w:rPr>
        <w:rFonts w:ascii="Symbol" w:hAnsi="Symbol" w:cs="Symbol" w:hint="default"/>
        <w:sz w:val="20"/>
        <w:szCs w:val="20"/>
      </w:rPr>
    </w:lvl>
  </w:abstractNum>
  <w:abstractNum w:abstractNumId="15">
    <w:nsid w:val="0F9168E3"/>
    <w:multiLevelType w:val="singleLevel"/>
    <w:tmpl w:val="3D66FF44"/>
    <w:lvl w:ilvl="0">
      <w:start w:val="1"/>
      <w:numFmt w:val="decimal"/>
      <w:lvlText w:val="%1."/>
      <w:lvlJc w:val="left"/>
      <w:pPr>
        <w:tabs>
          <w:tab w:val="num" w:pos="570"/>
        </w:tabs>
        <w:ind w:left="570" w:hanging="570"/>
      </w:pPr>
      <w:rPr>
        <w:rFonts w:hint="default"/>
      </w:rPr>
    </w:lvl>
  </w:abstractNum>
  <w:abstractNum w:abstractNumId="16">
    <w:nsid w:val="0FBE13CB"/>
    <w:multiLevelType w:val="singleLevel"/>
    <w:tmpl w:val="5D02AF8A"/>
    <w:lvl w:ilvl="0">
      <w:start w:val="1"/>
      <w:numFmt w:val="decimal"/>
      <w:lvlText w:val="%1."/>
      <w:lvlJc w:val="left"/>
      <w:pPr>
        <w:tabs>
          <w:tab w:val="num" w:pos="567"/>
        </w:tabs>
        <w:ind w:left="567" w:hanging="567"/>
      </w:pPr>
    </w:lvl>
  </w:abstractNum>
  <w:abstractNum w:abstractNumId="17">
    <w:nsid w:val="125507E2"/>
    <w:multiLevelType w:val="multilevel"/>
    <w:tmpl w:val="A7E22778"/>
    <w:lvl w:ilvl="0">
      <w:start w:val="1"/>
      <w:numFmt w:val="decimal"/>
      <w:pStyle w:val="NumberedParagraph"/>
      <w:lvlText w:val="1.%1"/>
      <w:lvlJc w:val="left"/>
      <w:pPr>
        <w:tabs>
          <w:tab w:val="num" w:pos="720"/>
        </w:tabs>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2DB06E8"/>
    <w:multiLevelType w:val="singleLevel"/>
    <w:tmpl w:val="6D14F5D2"/>
    <w:lvl w:ilvl="0">
      <w:start w:val="1"/>
      <w:numFmt w:val="bullet"/>
      <w:lvlText w:val=""/>
      <w:lvlJc w:val="left"/>
      <w:pPr>
        <w:tabs>
          <w:tab w:val="num" w:pos="851"/>
        </w:tabs>
        <w:ind w:left="851" w:hanging="426"/>
      </w:pPr>
      <w:rPr>
        <w:rFonts w:ascii="Symbol" w:hAnsi="Symbol" w:cs="Symbol" w:hint="default"/>
        <w:sz w:val="20"/>
        <w:szCs w:val="20"/>
      </w:rPr>
    </w:lvl>
  </w:abstractNum>
  <w:abstractNum w:abstractNumId="19">
    <w:nsid w:val="176D5FE2"/>
    <w:multiLevelType w:val="singleLevel"/>
    <w:tmpl w:val="6DAC005E"/>
    <w:lvl w:ilvl="0">
      <w:start w:val="1"/>
      <w:numFmt w:val="bullet"/>
      <w:pStyle w:val="Bullet"/>
      <w:lvlText w:val=""/>
      <w:lvlJc w:val="left"/>
      <w:pPr>
        <w:tabs>
          <w:tab w:val="num" w:pos="454"/>
        </w:tabs>
        <w:ind w:left="454" w:hanging="454"/>
      </w:pPr>
      <w:rPr>
        <w:rFonts w:ascii="Symbol" w:hAnsi="Symbol" w:cs="Symbol" w:hint="default"/>
        <w:b w:val="0"/>
        <w:bCs w:val="0"/>
        <w:i w:val="0"/>
        <w:iCs w:val="0"/>
        <w:caps w:val="0"/>
        <w:smallCaps w:val="0"/>
        <w:strike w:val="0"/>
        <w:dstrike w:val="0"/>
        <w:outline w:val="0"/>
        <w:shadow w:val="0"/>
        <w:emboss w:val="0"/>
        <w:imprint w:val="0"/>
        <w:vanish w:val="0"/>
        <w:color w:val="auto"/>
        <w:sz w:val="16"/>
        <w:szCs w:val="16"/>
        <w:u w:val="none"/>
        <w:vertAlign w:val="baseline"/>
      </w:rPr>
    </w:lvl>
  </w:abstractNum>
  <w:abstractNum w:abstractNumId="20">
    <w:nsid w:val="195E738B"/>
    <w:multiLevelType w:val="multilevel"/>
    <w:tmpl w:val="70EEC186"/>
    <w:lvl w:ilvl="0">
      <w:start w:val="1"/>
      <w:numFmt w:val="none"/>
      <w:suff w:val="nothing"/>
      <w:lvlText w:val="%1"/>
      <w:lvlJc w:val="left"/>
    </w:lvl>
    <w:lvl w:ilvl="1">
      <w:start w:val="1"/>
      <w:numFmt w:val="decimal"/>
      <w:lvlRestart w:val="0"/>
      <w:lvlText w:val="%13.%2"/>
      <w:lvlJc w:val="left"/>
      <w:pPr>
        <w:tabs>
          <w:tab w:val="num" w:pos="1077"/>
        </w:tabs>
        <w:ind w:left="850" w:hanging="850"/>
      </w:pPr>
    </w:lvl>
    <w:lvl w:ilvl="2">
      <w:start w:val="1"/>
      <w:numFmt w:val="decimal"/>
      <w:lvlRestart w:val="0"/>
      <w:lvlText w:val="%11.%2.%3"/>
      <w:lvlJc w:val="left"/>
      <w:pPr>
        <w:tabs>
          <w:tab w:val="num" w:pos="1440"/>
        </w:tabs>
        <w:ind w:left="850" w:hanging="850"/>
      </w:pPr>
    </w:lvl>
    <w:lvl w:ilvl="3">
      <w:start w:val="1"/>
      <w:numFmt w:val="decimal"/>
      <w:lvlText w:val="%1.%2.%3.%4"/>
      <w:lvlJc w:val="left"/>
      <w:pPr>
        <w:tabs>
          <w:tab w:val="num" w:pos="862"/>
        </w:tabs>
        <w:ind w:left="862" w:hanging="862"/>
      </w:p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21">
    <w:nsid w:val="20A16EDF"/>
    <w:multiLevelType w:val="singleLevel"/>
    <w:tmpl w:val="A9047818"/>
    <w:lvl w:ilvl="0">
      <w:start w:val="1"/>
      <w:numFmt w:val="decimal"/>
      <w:lvlText w:val="%1."/>
      <w:lvlJc w:val="left"/>
      <w:pPr>
        <w:tabs>
          <w:tab w:val="num" w:pos="567"/>
        </w:tabs>
        <w:ind w:left="567" w:hanging="567"/>
      </w:pPr>
    </w:lvl>
  </w:abstractNum>
  <w:abstractNum w:abstractNumId="22">
    <w:nsid w:val="24CF4120"/>
    <w:multiLevelType w:val="singleLevel"/>
    <w:tmpl w:val="451CB792"/>
    <w:lvl w:ilvl="0">
      <w:start w:val="1"/>
      <w:numFmt w:val="bullet"/>
      <w:pStyle w:val="DoubleDot"/>
      <w:lvlText w:val=":"/>
      <w:lvlJc w:val="left"/>
      <w:pPr>
        <w:tabs>
          <w:tab w:val="num" w:pos="1267"/>
        </w:tabs>
        <w:ind w:left="1247" w:hanging="340"/>
      </w:pPr>
      <w:rPr>
        <w:rFonts w:ascii="Times New Roman" w:hAnsi="Times New Roman" w:cs="Times New Roman" w:hint="default"/>
        <w:b/>
        <w:bCs/>
        <w:i w:val="0"/>
        <w:iCs w:val="0"/>
        <w:caps w:val="0"/>
        <w:strike w:val="0"/>
        <w:dstrike w:val="0"/>
        <w:outline w:val="0"/>
        <w:shadow w:val="0"/>
        <w:emboss w:val="0"/>
        <w:imprint w:val="0"/>
        <w:vanish w:val="0"/>
        <w:color w:val="auto"/>
        <w:sz w:val="24"/>
        <w:szCs w:val="24"/>
        <w:vertAlign w:val="baseline"/>
      </w:rPr>
    </w:lvl>
  </w:abstractNum>
  <w:abstractNum w:abstractNumId="23">
    <w:nsid w:val="260129D2"/>
    <w:multiLevelType w:val="singleLevel"/>
    <w:tmpl w:val="4000AA00"/>
    <w:lvl w:ilvl="0">
      <w:start w:val="1"/>
      <w:numFmt w:val="lowerLetter"/>
      <w:lvlText w:val="(%1)"/>
      <w:lvlJc w:val="left"/>
      <w:pPr>
        <w:tabs>
          <w:tab w:val="num" w:pos="644"/>
        </w:tabs>
        <w:ind w:left="567" w:hanging="283"/>
      </w:pPr>
    </w:lvl>
  </w:abstractNum>
  <w:abstractNum w:abstractNumId="24">
    <w:nsid w:val="2FD1298A"/>
    <w:multiLevelType w:val="singleLevel"/>
    <w:tmpl w:val="A9047818"/>
    <w:lvl w:ilvl="0">
      <w:start w:val="1"/>
      <w:numFmt w:val="decimal"/>
      <w:lvlText w:val="%1."/>
      <w:lvlJc w:val="left"/>
      <w:pPr>
        <w:tabs>
          <w:tab w:val="num" w:pos="567"/>
        </w:tabs>
        <w:ind w:left="567" w:hanging="567"/>
      </w:pPr>
    </w:lvl>
  </w:abstractNum>
  <w:abstractNum w:abstractNumId="25">
    <w:nsid w:val="30D10641"/>
    <w:multiLevelType w:val="singleLevel"/>
    <w:tmpl w:val="D8688890"/>
    <w:lvl w:ilvl="0">
      <w:start w:val="2"/>
      <w:numFmt w:val="lowerLetter"/>
      <w:lvlText w:val="(%1)"/>
      <w:lvlJc w:val="left"/>
      <w:pPr>
        <w:tabs>
          <w:tab w:val="num" w:pos="644"/>
        </w:tabs>
        <w:ind w:left="567" w:hanging="283"/>
      </w:pPr>
    </w:lvl>
  </w:abstractNum>
  <w:abstractNum w:abstractNumId="26">
    <w:nsid w:val="370A3197"/>
    <w:multiLevelType w:val="singleLevel"/>
    <w:tmpl w:val="D4EE6B8A"/>
    <w:lvl w:ilvl="0">
      <w:start w:val="1"/>
      <w:numFmt w:val="bullet"/>
      <w:lvlText w:val=""/>
      <w:lvlJc w:val="left"/>
      <w:pPr>
        <w:tabs>
          <w:tab w:val="num" w:pos="357"/>
        </w:tabs>
        <w:ind w:left="283" w:hanging="283"/>
      </w:pPr>
      <w:rPr>
        <w:rFonts w:ascii="Symbol" w:hAnsi="Symbol" w:cs="Symbol" w:hint="default"/>
        <w:caps w:val="0"/>
        <w:smallCaps w:val="0"/>
        <w:strike w:val="0"/>
        <w:dstrike w:val="0"/>
        <w:outline w:val="0"/>
        <w:shadow w:val="0"/>
        <w:emboss w:val="0"/>
        <w:imprint w:val="0"/>
        <w:vanish w:val="0"/>
        <w:color w:val="auto"/>
        <w:sz w:val="16"/>
        <w:szCs w:val="16"/>
        <w:vertAlign w:val="baseline"/>
      </w:rPr>
    </w:lvl>
  </w:abstractNum>
  <w:abstractNum w:abstractNumId="27">
    <w:nsid w:val="3DC14FB2"/>
    <w:multiLevelType w:val="singleLevel"/>
    <w:tmpl w:val="0EE0E63C"/>
    <w:lvl w:ilvl="0">
      <w:start w:val="1"/>
      <w:numFmt w:val="lowerLetter"/>
      <w:lvlText w:val="(%1)"/>
      <w:lvlJc w:val="left"/>
      <w:pPr>
        <w:tabs>
          <w:tab w:val="num" w:pos="644"/>
        </w:tabs>
        <w:ind w:left="567" w:hanging="283"/>
      </w:pPr>
    </w:lvl>
  </w:abstractNum>
  <w:abstractNum w:abstractNumId="28">
    <w:nsid w:val="433808F8"/>
    <w:multiLevelType w:val="singleLevel"/>
    <w:tmpl w:val="0EE0E63C"/>
    <w:lvl w:ilvl="0">
      <w:start w:val="1"/>
      <w:numFmt w:val="lowerLetter"/>
      <w:lvlText w:val="(%1)"/>
      <w:lvlJc w:val="left"/>
      <w:pPr>
        <w:tabs>
          <w:tab w:val="num" w:pos="644"/>
        </w:tabs>
        <w:ind w:left="567" w:hanging="283"/>
      </w:pPr>
    </w:lvl>
  </w:abstractNum>
  <w:abstractNum w:abstractNumId="29">
    <w:nsid w:val="48B20658"/>
    <w:multiLevelType w:val="singleLevel"/>
    <w:tmpl w:val="3AA2CB78"/>
    <w:lvl w:ilvl="0">
      <w:start w:val="1"/>
      <w:numFmt w:val="decimal"/>
      <w:lvlText w:val="%1."/>
      <w:lvlJc w:val="left"/>
      <w:pPr>
        <w:tabs>
          <w:tab w:val="num" w:pos="570"/>
        </w:tabs>
        <w:ind w:left="570" w:hanging="570"/>
      </w:pPr>
      <w:rPr>
        <w:rFonts w:hint="default"/>
      </w:rPr>
    </w:lvl>
  </w:abstractNum>
  <w:abstractNum w:abstractNumId="30">
    <w:nsid w:val="4B85792F"/>
    <w:multiLevelType w:val="singleLevel"/>
    <w:tmpl w:val="A9047818"/>
    <w:lvl w:ilvl="0">
      <w:start w:val="1"/>
      <w:numFmt w:val="decimal"/>
      <w:lvlText w:val="%1."/>
      <w:lvlJc w:val="left"/>
      <w:pPr>
        <w:tabs>
          <w:tab w:val="num" w:pos="567"/>
        </w:tabs>
        <w:ind w:left="567" w:hanging="567"/>
      </w:pPr>
    </w:lvl>
  </w:abstractNum>
  <w:abstractNum w:abstractNumId="31">
    <w:nsid w:val="54A579F5"/>
    <w:multiLevelType w:val="multilevel"/>
    <w:tmpl w:val="812E28D4"/>
    <w:lvl w:ilvl="0">
      <w:start w:val="1"/>
      <w:numFmt w:val="none"/>
      <w:pStyle w:val="Contents"/>
      <w:suff w:val="nothing"/>
      <w:lvlText w:val="%1"/>
      <w:lvlJc w:val="left"/>
    </w:lvl>
    <w:lvl w:ilvl="1">
      <w:start w:val="1"/>
      <w:numFmt w:val="decimal"/>
      <w:lvlRestart w:val="0"/>
      <w:lvlText w:val="%12.%2"/>
      <w:lvlJc w:val="left"/>
      <w:pPr>
        <w:tabs>
          <w:tab w:val="num" w:pos="1080"/>
        </w:tabs>
        <w:ind w:left="850" w:hanging="850"/>
      </w:pPr>
    </w:lvl>
    <w:lvl w:ilvl="2">
      <w:start w:val="1"/>
      <w:numFmt w:val="decimal"/>
      <w:lvlRestart w:val="0"/>
      <w:lvlText w:val="%11.%2.%3"/>
      <w:lvlJc w:val="left"/>
      <w:pPr>
        <w:tabs>
          <w:tab w:val="num" w:pos="1080"/>
        </w:tabs>
        <w:ind w:left="850" w:hanging="850"/>
      </w:pPr>
    </w:lvl>
    <w:lvl w:ilvl="3">
      <w:start w:val="1"/>
      <w:numFmt w:val="decimal"/>
      <w:lvlText w:val="%1.%2.%3.%4"/>
      <w:lvlJc w:val="left"/>
      <w:pPr>
        <w:tabs>
          <w:tab w:val="num" w:pos="862"/>
        </w:tabs>
        <w:ind w:left="862" w:hanging="862"/>
      </w:p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32">
    <w:nsid w:val="6541378E"/>
    <w:multiLevelType w:val="singleLevel"/>
    <w:tmpl w:val="143CB0A8"/>
    <w:lvl w:ilvl="0">
      <w:start w:val="5"/>
      <w:numFmt w:val="decimal"/>
      <w:lvlText w:val="%1."/>
      <w:lvlJc w:val="left"/>
      <w:pPr>
        <w:tabs>
          <w:tab w:val="num" w:pos="567"/>
        </w:tabs>
        <w:ind w:left="567" w:hanging="567"/>
      </w:pPr>
    </w:lvl>
  </w:abstractNum>
  <w:abstractNum w:abstractNumId="33">
    <w:nsid w:val="6BC47A39"/>
    <w:multiLevelType w:val="multilevel"/>
    <w:tmpl w:val="15C46658"/>
    <w:lvl w:ilvl="0">
      <w:start w:val="1"/>
      <w:numFmt w:val="decimal"/>
      <w:pStyle w:val="ChartHeading"/>
      <w:suff w:val="nothing"/>
      <w:lvlText w:val="Chart %1:  "/>
      <w:lvlJc w:val="left"/>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2591230"/>
    <w:multiLevelType w:val="multilevel"/>
    <w:tmpl w:val="83C223C0"/>
    <w:lvl w:ilvl="0">
      <w:start w:val="1"/>
      <w:numFmt w:val="low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nsid w:val="79D073C2"/>
    <w:multiLevelType w:val="singleLevel"/>
    <w:tmpl w:val="4000AA00"/>
    <w:lvl w:ilvl="0">
      <w:start w:val="1"/>
      <w:numFmt w:val="lowerLetter"/>
      <w:lvlText w:val="(%1)"/>
      <w:lvlJc w:val="left"/>
      <w:pPr>
        <w:tabs>
          <w:tab w:val="num" w:pos="644"/>
        </w:tabs>
        <w:ind w:left="567" w:hanging="283"/>
      </w:pPr>
    </w:lvl>
  </w:abstractNum>
  <w:abstractNum w:abstractNumId="36">
    <w:nsid w:val="7CE247B1"/>
    <w:multiLevelType w:val="multilevel"/>
    <w:tmpl w:val="85022CCE"/>
    <w:lvl w:ilvl="0">
      <w:start w:val="1"/>
      <w:numFmt w:val="decimal"/>
      <w:pStyle w:val="TableHeading"/>
      <w:suff w:val="nothing"/>
      <w:lvlText w:val="Table %1:  "/>
      <w:lvlJc w:val="left"/>
      <w:pPr>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1"/>
  </w:num>
  <w:num w:numId="4">
    <w:abstractNumId w:val="0"/>
  </w:num>
  <w:num w:numId="5">
    <w:abstractNumId w:val="8"/>
  </w:num>
  <w:num w:numId="6">
    <w:abstractNumId w:val="7"/>
  </w:num>
  <w:num w:numId="7">
    <w:abstractNumId w:val="6"/>
  </w:num>
  <w:num w:numId="8">
    <w:abstractNumId w:val="5"/>
  </w:num>
  <w:num w:numId="9">
    <w:abstractNumId w:val="4"/>
  </w:num>
  <w:num w:numId="10">
    <w:abstractNumId w:val="19"/>
  </w:num>
  <w:num w:numId="11">
    <w:abstractNumId w:val="33"/>
  </w:num>
  <w:num w:numId="12">
    <w:abstractNumId w:val="26"/>
  </w:num>
  <w:num w:numId="13">
    <w:abstractNumId w:val="9"/>
  </w:num>
  <w:num w:numId="14">
    <w:abstractNumId w:val="22"/>
  </w:num>
  <w:num w:numId="15">
    <w:abstractNumId w:val="20"/>
    <w:lvlOverride w:ilvl="0">
      <w:lvl w:ilvl="0">
        <w:start w:val="1"/>
        <w:numFmt w:val="none"/>
        <w:suff w:val="nothing"/>
        <w:lvlText w:val="%1"/>
        <w:lvlJc w:val="left"/>
      </w:lvl>
    </w:lvlOverride>
    <w:lvlOverride w:ilvl="1">
      <w:lvl w:ilvl="1">
        <w:start w:val="1"/>
        <w:numFmt w:val="decimal"/>
        <w:lvlRestart w:val="0"/>
        <w:lvlText w:val="%13.%2"/>
        <w:lvlJc w:val="left"/>
        <w:pPr>
          <w:tabs>
            <w:tab w:val="num" w:pos="1080"/>
          </w:tabs>
          <w:ind w:left="851" w:hanging="851"/>
        </w:pPr>
      </w:lvl>
    </w:lvlOverride>
    <w:lvlOverride w:ilvl="2">
      <w:lvl w:ilvl="2">
        <w:start w:val="1"/>
        <w:numFmt w:val="decimal"/>
        <w:lvlRestart w:val="0"/>
        <w:lvlText w:val="%11.%2.%3"/>
        <w:lvlJc w:val="left"/>
        <w:pPr>
          <w:tabs>
            <w:tab w:val="num" w:pos="1440"/>
          </w:tabs>
          <w:ind w:left="851" w:hanging="851"/>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6">
    <w:abstractNumId w:val="10"/>
  </w:num>
  <w:num w:numId="17">
    <w:abstractNumId w:val="31"/>
  </w:num>
  <w:num w:numId="18">
    <w:abstractNumId w:val="17"/>
  </w:num>
  <w:num w:numId="19">
    <w:abstractNumId w:val="36"/>
  </w:num>
  <w:num w:numId="20">
    <w:abstractNumId w:val="11"/>
  </w:num>
  <w:num w:numId="21">
    <w:abstractNumId w:val="35"/>
  </w:num>
  <w:num w:numId="22">
    <w:abstractNumId w:val="23"/>
  </w:num>
  <w:num w:numId="23">
    <w:abstractNumId w:val="16"/>
  </w:num>
  <w:num w:numId="24">
    <w:abstractNumId w:val="13"/>
  </w:num>
  <w:num w:numId="25">
    <w:abstractNumId w:val="25"/>
  </w:num>
  <w:num w:numId="26">
    <w:abstractNumId w:val="32"/>
  </w:num>
  <w:num w:numId="27">
    <w:abstractNumId w:val="12"/>
  </w:num>
  <w:num w:numId="28">
    <w:abstractNumId w:val="28"/>
  </w:num>
  <w:num w:numId="29">
    <w:abstractNumId w:val="21"/>
  </w:num>
  <w:num w:numId="30">
    <w:abstractNumId w:val="24"/>
  </w:num>
  <w:num w:numId="31">
    <w:abstractNumId w:val="27"/>
  </w:num>
  <w:num w:numId="32">
    <w:abstractNumId w:val="30"/>
  </w:num>
  <w:num w:numId="33">
    <w:abstractNumId w:val="18"/>
  </w:num>
  <w:num w:numId="34">
    <w:abstractNumId w:val="14"/>
  </w:num>
  <w:num w:numId="35">
    <w:abstractNumId w:val="15"/>
  </w:num>
  <w:num w:numId="36">
    <w:abstractNumId w:val="29"/>
  </w:num>
  <w:num w:numId="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defaultTabStop w:val="567"/>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footnoteLayoutLikeWW8/>
    <w:shapeLayoutLikeWW8/>
    <w:alignTablesRowByRow/>
    <w:forgetLastTabAlignment/>
    <w:adjustLineHeightInTable/>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DF0"/>
    <w:rsid w:val="00590668"/>
    <w:rsid w:val="00684539"/>
    <w:rsid w:val="00AF7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annotation text" w:unhideWhenUsed="1"/>
    <w:lsdException w:name="caption" w:semiHidden="0" w:qFormat="1"/>
    <w:lsdException w:name="envelope address" w:unhideWhenUsed="1"/>
    <w:lsdException w:name="envelope return" w:unhideWhenUsed="1"/>
    <w:lsdException w:name="line number" w:unhideWhenUsed="1"/>
    <w:lsdException w:name="table of authorities" w:unhideWhenUsed="1"/>
    <w:lsdException w:name="macro" w:unhideWhenUsed="1"/>
    <w:lsdException w:name="List 5" w:unhideWhenUsed="1"/>
    <w:lsdException w:name="Title" w:semiHidden="0" w:qFormat="1"/>
    <w:lsdException w:name="Closing" w:unhideWhenUsed="1"/>
    <w:lsdException w:name="Signature" w:unhideWhenUsed="1"/>
    <w:lsdException w:name="Body Text Indent" w:unhideWhenUsed="1"/>
    <w:lsdException w:name="Message Header" w:unhideWhenUsed="1"/>
    <w:lsdException w:name="Subtitle" w:semiHidden="0" w:uiPriority="11" w:qFormat="1"/>
    <w:lsdException w:name="Salutation" w:unhideWhenUsed="1"/>
    <w:lsdException w:name="Date" w:unhideWhenUsed="1"/>
    <w:lsdException w:name="Body Text 3"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240" w:line="280" w:lineRule="exact"/>
      <w:jc w:val="both"/>
    </w:pPr>
    <w:rPr>
      <w:rFonts w:ascii="Palatino" w:hAnsi="Palatino" w:cs="Palatino"/>
      <w:color w:val="000000"/>
    </w:rPr>
  </w:style>
  <w:style w:type="paragraph" w:styleId="Heading1">
    <w:name w:val="heading 1"/>
    <w:aliases w:val="c,h1"/>
    <w:basedOn w:val="Normal"/>
    <w:next w:val="Normal"/>
    <w:link w:val="Heading1Char"/>
    <w:uiPriority w:val="99"/>
    <w:qFormat/>
    <w:pPr>
      <w:keepNext/>
      <w:spacing w:after="360" w:line="240" w:lineRule="auto"/>
      <w:jc w:val="left"/>
      <w:outlineLvl w:val="0"/>
    </w:pPr>
    <w:rPr>
      <w:rFonts w:ascii="GillSans" w:hAnsi="GillSans" w:cs="GillSans"/>
      <w:smallCaps/>
      <w:color w:val="000080"/>
      <w:kern w:val="28"/>
      <w:sz w:val="36"/>
      <w:szCs w:val="36"/>
      <w:lang w:val="en-US"/>
    </w:rPr>
  </w:style>
  <w:style w:type="paragraph" w:styleId="Heading2">
    <w:name w:val="heading 2"/>
    <w:aliases w:val="p,h2"/>
    <w:basedOn w:val="Normal"/>
    <w:next w:val="Normal"/>
    <w:link w:val="Heading2Char"/>
    <w:uiPriority w:val="99"/>
    <w:qFormat/>
    <w:pPr>
      <w:keepNext/>
      <w:spacing w:before="360" w:line="240" w:lineRule="auto"/>
      <w:jc w:val="left"/>
      <w:outlineLvl w:val="1"/>
    </w:pPr>
    <w:rPr>
      <w:rFonts w:ascii="GillSans" w:hAnsi="GillSans" w:cs="GillSans"/>
      <w:color w:val="000080"/>
      <w:sz w:val="32"/>
      <w:szCs w:val="32"/>
      <w:lang w:val="en-US"/>
    </w:rPr>
  </w:style>
  <w:style w:type="paragraph" w:styleId="Heading3">
    <w:name w:val="heading 3"/>
    <w:aliases w:val="d,h3"/>
    <w:basedOn w:val="Normal"/>
    <w:next w:val="Normal"/>
    <w:link w:val="Heading3Char"/>
    <w:uiPriority w:val="99"/>
    <w:qFormat/>
    <w:pPr>
      <w:keepNext/>
      <w:tabs>
        <w:tab w:val="left" w:pos="851"/>
      </w:tabs>
      <w:spacing w:before="180"/>
      <w:jc w:val="left"/>
      <w:outlineLvl w:val="2"/>
    </w:pPr>
    <w:rPr>
      <w:rFonts w:ascii="GillSans" w:hAnsi="GillSans" w:cs="GillSans"/>
      <w:color w:val="000080"/>
      <w:sz w:val="28"/>
      <w:szCs w:val="28"/>
      <w:lang w:val="en-US"/>
    </w:rPr>
  </w:style>
  <w:style w:type="paragraph" w:styleId="Heading4">
    <w:name w:val="heading 4"/>
    <w:aliases w:val="sd,h4"/>
    <w:basedOn w:val="Normal"/>
    <w:next w:val="Normal"/>
    <w:link w:val="Heading4Char"/>
    <w:uiPriority w:val="99"/>
    <w:qFormat/>
    <w:pPr>
      <w:keepNext/>
      <w:spacing w:before="120" w:after="120"/>
      <w:jc w:val="left"/>
      <w:outlineLvl w:val="3"/>
    </w:pPr>
    <w:rPr>
      <w:rFonts w:ascii="GillSans" w:hAnsi="GillSans" w:cs="GillSans"/>
      <w:color w:val="000080"/>
      <w:sz w:val="24"/>
      <w:szCs w:val="24"/>
      <w:lang w:val="en-US"/>
    </w:rPr>
  </w:style>
  <w:style w:type="paragraph" w:styleId="Heading5">
    <w:name w:val="heading 5"/>
    <w:aliases w:val="s"/>
    <w:basedOn w:val="Normal"/>
    <w:next w:val="Normal"/>
    <w:link w:val="Heading5Char"/>
    <w:uiPriority w:val="99"/>
    <w:qFormat/>
    <w:pPr>
      <w:keepNext/>
      <w:spacing w:before="60"/>
      <w:jc w:val="left"/>
      <w:outlineLvl w:val="4"/>
    </w:pPr>
    <w:rPr>
      <w:rFonts w:ascii="GillSans" w:hAnsi="GillSans" w:cs="GillSans"/>
      <w:i/>
      <w:iCs/>
      <w:color w:val="000080"/>
      <w:lang w:val="en-US"/>
    </w:rPr>
  </w:style>
  <w:style w:type="paragraph" w:styleId="Heading6">
    <w:name w:val="heading 6"/>
    <w:aliases w:val="as"/>
    <w:basedOn w:val="Normal"/>
    <w:next w:val="Normal"/>
    <w:link w:val="Heading6Char"/>
    <w:uiPriority w:val="99"/>
    <w:qFormat/>
    <w:pPr>
      <w:keepNext/>
      <w:spacing w:after="200"/>
      <w:jc w:val="left"/>
      <w:outlineLvl w:val="5"/>
    </w:pPr>
    <w:rPr>
      <w:rFonts w:ascii="GillSans" w:hAnsi="GillSans" w:cs="GillSans"/>
      <w:color w:val="000080"/>
      <w:lang w:val="en-US"/>
    </w:rPr>
  </w:style>
  <w:style w:type="paragraph" w:styleId="Heading7">
    <w:name w:val="heading 7"/>
    <w:aliases w:val="ap"/>
    <w:basedOn w:val="Normal"/>
    <w:next w:val="Normal"/>
    <w:link w:val="Heading7Char"/>
    <w:uiPriority w:val="99"/>
    <w:qFormat/>
    <w:pPr>
      <w:spacing w:after="100"/>
      <w:jc w:val="left"/>
      <w:outlineLvl w:val="6"/>
    </w:pPr>
    <w:rPr>
      <w:rFonts w:ascii="Arial" w:hAnsi="Arial" w:cs="Arial"/>
      <w:sz w:val="20"/>
      <w:szCs w:val="20"/>
    </w:rPr>
  </w:style>
  <w:style w:type="paragraph" w:styleId="Heading8">
    <w:name w:val="heading 8"/>
    <w:aliases w:val="ad"/>
    <w:basedOn w:val="Normal"/>
    <w:next w:val="Normal"/>
    <w:link w:val="Heading8Char"/>
    <w:uiPriority w:val="99"/>
    <w:qFormat/>
    <w:pPr>
      <w:spacing w:before="240" w:after="60"/>
      <w:outlineLvl w:val="7"/>
    </w:pPr>
    <w:rPr>
      <w:rFonts w:ascii="Arial" w:hAnsi="Arial" w:cs="Arial"/>
      <w:i/>
      <w:iCs/>
      <w:sz w:val="20"/>
      <w:szCs w:val="20"/>
    </w:rPr>
  </w:style>
  <w:style w:type="paragraph" w:styleId="Heading9">
    <w:name w:val="heading 9"/>
    <w:aliases w:val="aat"/>
    <w:basedOn w:val="Normal"/>
    <w:next w:val="Normal"/>
    <w:link w:val="Heading9Char"/>
    <w:uiPriority w:val="99"/>
    <w:qFormat/>
    <w:pPr>
      <w:spacing w:before="240" w:after="60"/>
      <w:outlineLvl w:val="8"/>
    </w:pPr>
    <w:rPr>
      <w:rFonts w:ascii="Arial" w:hAnsi="Arial" w:cs="Arial"/>
      <w:b/>
      <w:bCs/>
      <w:i/>
      <w:iCs/>
      <w:sz w:val="18"/>
      <w:szCs w:val="1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h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aliases w:val="p Char,h2 Char"/>
    <w:basedOn w:val="DefaultParagraphFont"/>
    <w:link w:val="Heading2"/>
    <w:uiPriority w:val="99"/>
    <w:rPr>
      <w:rFonts w:ascii="GillSans" w:hAnsi="GillSans" w:cs="GillSans"/>
      <w:color w:val="000080"/>
      <w:sz w:val="32"/>
      <w:szCs w:val="32"/>
      <w:lang w:val="en-US"/>
    </w:rPr>
  </w:style>
  <w:style w:type="character" w:customStyle="1" w:styleId="Heading3Char">
    <w:name w:val="Heading 3 Char"/>
    <w:aliases w:val="d Char,h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aliases w:val="sd Char,h4 Char"/>
    <w:basedOn w:val="DefaultParagraphFont"/>
    <w:link w:val="Heading4"/>
    <w:uiPriority w:val="99"/>
    <w:rPr>
      <w:rFonts w:ascii="GillSans" w:hAnsi="GillSans" w:cs="GillSans"/>
      <w:color w:val="000080"/>
      <w:sz w:val="24"/>
      <w:szCs w:val="24"/>
      <w:lang w:val="en-US"/>
    </w:rPr>
  </w:style>
  <w:style w:type="character" w:customStyle="1" w:styleId="Heading5Char">
    <w:name w:val="Heading 5 Char"/>
    <w:aliases w:val="s Char"/>
    <w:basedOn w:val="DefaultParagraphFont"/>
    <w:link w:val="Heading5"/>
    <w:uiPriority w:val="9"/>
    <w:semiHidden/>
    <w:rPr>
      <w:b/>
      <w:bCs/>
      <w:i/>
      <w:iCs/>
      <w:color w:val="000000"/>
      <w:sz w:val="26"/>
      <w:szCs w:val="26"/>
    </w:rPr>
  </w:style>
  <w:style w:type="character" w:customStyle="1" w:styleId="Heading6Char">
    <w:name w:val="Heading 6 Char"/>
    <w:aliases w:val="as Char"/>
    <w:basedOn w:val="DefaultParagraphFont"/>
    <w:link w:val="Heading6"/>
    <w:uiPriority w:val="9"/>
    <w:semiHidden/>
    <w:rPr>
      <w:b/>
      <w:bCs/>
      <w:color w:val="000000"/>
    </w:rPr>
  </w:style>
  <w:style w:type="character" w:customStyle="1" w:styleId="Heading7Char">
    <w:name w:val="Heading 7 Char"/>
    <w:aliases w:val="ap Char"/>
    <w:basedOn w:val="DefaultParagraphFont"/>
    <w:link w:val="Heading7"/>
    <w:uiPriority w:val="9"/>
    <w:semiHidden/>
    <w:rPr>
      <w:color w:val="000000"/>
      <w:sz w:val="24"/>
      <w:szCs w:val="24"/>
    </w:rPr>
  </w:style>
  <w:style w:type="character" w:customStyle="1" w:styleId="Heading8Char">
    <w:name w:val="Heading 8 Char"/>
    <w:aliases w:val="ad Char"/>
    <w:basedOn w:val="DefaultParagraphFont"/>
    <w:link w:val="Heading8"/>
    <w:uiPriority w:val="9"/>
    <w:semiHidden/>
    <w:rPr>
      <w:i/>
      <w:iCs/>
      <w:color w:val="000000"/>
      <w:sz w:val="24"/>
      <w:szCs w:val="24"/>
    </w:rPr>
  </w:style>
  <w:style w:type="character" w:customStyle="1" w:styleId="Heading9Char">
    <w:name w:val="Heading 9 Char"/>
    <w:aliases w:val="aat Char"/>
    <w:basedOn w:val="DefaultParagraphFont"/>
    <w:link w:val="Heading9"/>
    <w:uiPriority w:val="9"/>
    <w:semiHidden/>
    <w:rPr>
      <w:rFonts w:asciiTheme="majorHAnsi" w:eastAsiaTheme="majorEastAsia" w:hAnsiTheme="majorHAnsi" w:cstheme="majorBidi"/>
      <w:color w:val="000000"/>
    </w:rPr>
  </w:style>
  <w:style w:type="paragraph" w:customStyle="1" w:styleId="SingleParagraph">
    <w:name w:val="Single Paragraph"/>
    <w:basedOn w:val="Normal"/>
    <w:uiPriority w:val="99"/>
    <w:pPr>
      <w:spacing w:after="0"/>
    </w:pPr>
  </w:style>
  <w:style w:type="paragraph" w:customStyle="1" w:styleId="ChartMainHeading">
    <w:name w:val="Chart Main Heading"/>
    <w:basedOn w:val="SingleParagraph"/>
    <w:next w:val="Normal"/>
    <w:uiPriority w:val="99"/>
    <w:pPr>
      <w:jc w:val="center"/>
    </w:pPr>
    <w:rPr>
      <w:b/>
      <w:bCs/>
      <w:caps/>
    </w:rPr>
  </w:style>
  <w:style w:type="paragraph" w:customStyle="1" w:styleId="ChartSecondHeading">
    <w:name w:val="Chart Second Heading"/>
    <w:basedOn w:val="ChartHeading"/>
    <w:next w:val="Normal"/>
    <w:uiPriority w:val="99"/>
    <w:rPr>
      <w:sz w:val="18"/>
      <w:szCs w:val="18"/>
    </w:rPr>
  </w:style>
  <w:style w:type="paragraph" w:customStyle="1" w:styleId="ChartHeading">
    <w:name w:val="Chart Heading"/>
    <w:basedOn w:val="Normal"/>
    <w:next w:val="Chartgraphic"/>
    <w:uiPriority w:val="99"/>
    <w:pPr>
      <w:keepNext/>
      <w:numPr>
        <w:numId w:val="11"/>
      </w:numPr>
      <w:spacing w:before="120" w:after="0"/>
      <w:jc w:val="center"/>
    </w:pPr>
    <w:rPr>
      <w:rFonts w:ascii="GillSans" w:hAnsi="GillSans" w:cs="GillSans"/>
      <w:color w:val="000080"/>
      <w:lang w:val="en-US"/>
    </w:rPr>
  </w:style>
  <w:style w:type="paragraph" w:customStyle="1" w:styleId="Graphic">
    <w:name w:val="Graphic"/>
    <w:basedOn w:val="Normal"/>
    <w:uiPriority w:val="99"/>
    <w:pPr>
      <w:spacing w:line="240" w:lineRule="auto"/>
    </w:pPr>
  </w:style>
  <w:style w:type="paragraph" w:customStyle="1" w:styleId="TableMainHeading">
    <w:name w:val="Table Main Heading"/>
    <w:basedOn w:val="Heading2"/>
    <w:next w:val="Normal"/>
    <w:uiPriority w:val="99"/>
    <w:pPr>
      <w:spacing w:before="240" w:after="0"/>
      <w:outlineLvl w:val="9"/>
    </w:pPr>
    <w:rPr>
      <w:rFonts w:ascii="Helvetica" w:hAnsi="Helvetica" w:cs="Helvetica"/>
      <w:b/>
      <w:bCs/>
      <w:caps/>
      <w:spacing w:val="30"/>
      <w:sz w:val="22"/>
      <w:szCs w:val="22"/>
    </w:rPr>
  </w:style>
  <w:style w:type="paragraph" w:styleId="Footer">
    <w:name w:val="footer"/>
    <w:basedOn w:val="Normal"/>
    <w:link w:val="FooterChar"/>
    <w:uiPriority w:val="99"/>
    <w:pPr>
      <w:spacing w:after="0"/>
    </w:pPr>
    <w:rPr>
      <w:rFonts w:ascii="GillSans" w:hAnsi="GillSans" w:cs="GillSans"/>
      <w:color w:val="000080"/>
      <w:sz w:val="18"/>
      <w:szCs w:val="18"/>
    </w:rPr>
  </w:style>
  <w:style w:type="character" w:customStyle="1" w:styleId="FooterChar">
    <w:name w:val="Footer Char"/>
    <w:basedOn w:val="DefaultParagraphFont"/>
    <w:link w:val="Footer"/>
    <w:uiPriority w:val="99"/>
    <w:semiHidden/>
    <w:rPr>
      <w:rFonts w:ascii="Palatino" w:hAnsi="Palatino" w:cs="Palatino"/>
      <w:color w:val="000000"/>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3856"/>
        <w:tab w:val="right" w:pos="7711"/>
      </w:tabs>
    </w:pPr>
    <w:rPr>
      <w:rFonts w:ascii="GillSans" w:hAnsi="GillSans" w:cs="GillSans"/>
      <w:i/>
      <w:iCs/>
      <w:color w:val="000080"/>
      <w:sz w:val="18"/>
      <w:szCs w:val="18"/>
    </w:rPr>
  </w:style>
  <w:style w:type="character" w:customStyle="1" w:styleId="HeaderChar">
    <w:name w:val="Header Char"/>
    <w:basedOn w:val="DefaultParagraphFont"/>
    <w:link w:val="Header"/>
    <w:uiPriority w:val="99"/>
    <w:semiHidden/>
    <w:rPr>
      <w:rFonts w:ascii="Palatino" w:hAnsi="Palatino" w:cs="Palatino"/>
      <w:color w:val="000000"/>
    </w:rPr>
  </w:style>
  <w:style w:type="paragraph" w:styleId="FootnoteText">
    <w:name w:val="footnote text"/>
    <w:basedOn w:val="Normal"/>
    <w:link w:val="FootnoteTextChar"/>
    <w:uiPriority w:val="99"/>
    <w:pPr>
      <w:tabs>
        <w:tab w:val="left" w:pos="284"/>
      </w:tabs>
      <w:spacing w:after="0" w:line="240" w:lineRule="auto"/>
      <w:ind w:left="284" w:hanging="284"/>
    </w:pPr>
    <w:rPr>
      <w:sz w:val="18"/>
      <w:szCs w:val="18"/>
    </w:rPr>
  </w:style>
  <w:style w:type="character" w:customStyle="1" w:styleId="FootnoteTextChar">
    <w:name w:val="Footnote Text Char"/>
    <w:basedOn w:val="DefaultParagraphFont"/>
    <w:link w:val="FootnoteText"/>
    <w:uiPriority w:val="99"/>
    <w:semiHidden/>
    <w:rPr>
      <w:rFonts w:ascii="Palatino" w:hAnsi="Palatino" w:cs="Palatino"/>
      <w:color w:val="000000"/>
      <w:sz w:val="20"/>
      <w:szCs w:val="20"/>
    </w:rPr>
  </w:style>
  <w:style w:type="paragraph" w:customStyle="1" w:styleId="Note">
    <w:name w:val="Note"/>
    <w:basedOn w:val="Normal"/>
    <w:next w:val="Normal"/>
    <w:uiPriority w:val="99"/>
    <w:pPr>
      <w:tabs>
        <w:tab w:val="left" w:pos="414"/>
      </w:tabs>
      <w:spacing w:line="240" w:lineRule="auto"/>
      <w:ind w:left="414" w:hanging="414"/>
    </w:pPr>
    <w:rPr>
      <w:rFonts w:ascii="Arial" w:hAnsi="Arial" w:cs="Arial"/>
      <w:sz w:val="16"/>
      <w:szCs w:val="16"/>
    </w:rPr>
  </w:style>
  <w:style w:type="paragraph" w:customStyle="1" w:styleId="SinglePara">
    <w:name w:val="Single Para"/>
    <w:basedOn w:val="Normal"/>
    <w:next w:val="Normal"/>
    <w:uiPriority w:val="99"/>
    <w:pPr>
      <w:spacing w:after="0"/>
    </w:pPr>
  </w:style>
  <w:style w:type="paragraph" w:customStyle="1" w:styleId="TableHeading">
    <w:name w:val="Table Heading"/>
    <w:basedOn w:val="Normal"/>
    <w:next w:val="TableGraphic"/>
    <w:uiPriority w:val="99"/>
    <w:pPr>
      <w:keepNext/>
      <w:numPr>
        <w:numId w:val="19"/>
      </w:numPr>
      <w:spacing w:before="120" w:after="60"/>
      <w:jc w:val="left"/>
    </w:pPr>
    <w:rPr>
      <w:rFonts w:ascii="GillSans" w:hAnsi="GillSans" w:cs="GillSans"/>
      <w:color w:val="000080"/>
    </w:rPr>
  </w:style>
  <w:style w:type="paragraph" w:customStyle="1" w:styleId="NoteSinglePara">
    <w:name w:val="Note Single Para"/>
    <w:basedOn w:val="Note"/>
    <w:uiPriority w:val="99"/>
    <w:pPr>
      <w:spacing w:after="0"/>
    </w:pPr>
  </w:style>
  <w:style w:type="character" w:styleId="FootnoteReference">
    <w:name w:val="footnote reference"/>
    <w:basedOn w:val="DefaultParagraphFont"/>
    <w:uiPriority w:val="99"/>
    <w:rPr>
      <w:rFonts w:ascii="Palatino" w:hAnsi="Palatino" w:cs="Palatino"/>
      <w:sz w:val="20"/>
      <w:szCs w:val="20"/>
      <w:vertAlign w:val="superscript"/>
      <w:lang w:val="en-AU"/>
    </w:rPr>
  </w:style>
  <w:style w:type="paragraph" w:styleId="TOC1">
    <w:name w:val="toc 1"/>
    <w:basedOn w:val="Normal"/>
    <w:next w:val="Normal"/>
    <w:autoRedefine/>
    <w:uiPriority w:val="99"/>
    <w:pPr>
      <w:tabs>
        <w:tab w:val="right" w:pos="7711"/>
      </w:tabs>
      <w:spacing w:before="240" w:after="0" w:line="240" w:lineRule="auto"/>
      <w:ind w:right="-86"/>
      <w:jc w:val="left"/>
    </w:pPr>
    <w:rPr>
      <w:rFonts w:ascii="GillSans" w:hAnsi="GillSans" w:cs="GillSans"/>
      <w:b/>
      <w:bCs/>
      <w:noProof/>
      <w:color w:val="000080"/>
      <w:sz w:val="24"/>
      <w:szCs w:val="24"/>
      <w:lang w:val="en-US"/>
    </w:rPr>
  </w:style>
  <w:style w:type="paragraph" w:customStyle="1" w:styleId="TableText">
    <w:name w:val="Table Text"/>
    <w:basedOn w:val="Normal"/>
    <w:uiPriority w:val="99"/>
    <w:pPr>
      <w:keepNext/>
      <w:spacing w:before="20" w:after="20" w:line="240" w:lineRule="auto"/>
      <w:jc w:val="left"/>
    </w:pPr>
    <w:rPr>
      <w:rFonts w:ascii="Arial" w:hAnsi="Arial" w:cs="Arial"/>
      <w:sz w:val="18"/>
      <w:szCs w:val="18"/>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emiHidden/>
    <w:rPr>
      <w:rFonts w:ascii="Palatino" w:hAnsi="Palatino" w:cs="Palatino"/>
      <w:color w:val="000000"/>
      <w:sz w:val="20"/>
      <w:szCs w:val="20"/>
    </w:rPr>
  </w:style>
  <w:style w:type="paragraph" w:styleId="TOC2">
    <w:name w:val="toc 2"/>
    <w:basedOn w:val="Normal"/>
    <w:next w:val="Normal"/>
    <w:autoRedefine/>
    <w:uiPriority w:val="99"/>
    <w:pPr>
      <w:tabs>
        <w:tab w:val="left" w:pos="851"/>
        <w:tab w:val="right" w:leader="dot" w:pos="7700"/>
      </w:tabs>
      <w:spacing w:before="120" w:after="0" w:line="240" w:lineRule="auto"/>
      <w:ind w:right="851"/>
      <w:jc w:val="left"/>
    </w:pPr>
    <w:rPr>
      <w:rFonts w:ascii="GillSans" w:hAnsi="GillSans" w:cs="GillSans"/>
      <w:noProof/>
      <w:color w:val="000080"/>
      <w:sz w:val="24"/>
      <w:szCs w:val="24"/>
      <w:lang w:val="en-US"/>
    </w:rPr>
  </w:style>
  <w:style w:type="paragraph" w:customStyle="1" w:styleId="Bullet">
    <w:name w:val="Bullet"/>
    <w:basedOn w:val="Normal"/>
    <w:uiPriority w:val="99"/>
    <w:pPr>
      <w:numPr>
        <w:numId w:val="10"/>
      </w:numPr>
      <w:tabs>
        <w:tab w:val="left" w:pos="567"/>
      </w:tabs>
    </w:pPr>
    <w:rPr>
      <w:lang w:val="en-US"/>
    </w:rPr>
  </w:style>
  <w:style w:type="paragraph" w:customStyle="1" w:styleId="BoxHeading">
    <w:name w:val="Box Heading"/>
    <w:basedOn w:val="Heading3"/>
    <w:next w:val="Normal"/>
    <w:uiPriority w:val="99"/>
    <w:pPr>
      <w:spacing w:before="240"/>
      <w:outlineLvl w:val="9"/>
    </w:pPr>
    <w:rPr>
      <w:b/>
      <w:bCs/>
      <w:sz w:val="22"/>
      <w:szCs w:val="22"/>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Palatino" w:hAnsi="Palatino" w:cs="Palatino"/>
      <w:color w:val="000000"/>
    </w:rPr>
  </w:style>
  <w:style w:type="paragraph" w:styleId="Title">
    <w:name w:val="Title"/>
    <w:basedOn w:val="Normal"/>
    <w:link w:val="TitleChar"/>
    <w:uiPriority w:val="99"/>
    <w:qFormat/>
    <w:pPr>
      <w:spacing w:line="240" w:lineRule="auto"/>
      <w:jc w:val="center"/>
    </w:pPr>
    <w:rPr>
      <w:rFonts w:ascii="Century Schoolbook" w:hAnsi="Century Schoolbook" w:cs="Century Schoolbook"/>
      <w:b/>
      <w:bCs/>
      <w:sz w:val="44"/>
      <w:szCs w:val="44"/>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customStyle="1" w:styleId="TOC3">
    <w:name w:val="TOC3"/>
    <w:basedOn w:val="TOC2"/>
    <w:next w:val="TOC30"/>
    <w:uiPriority w:val="99"/>
    <w:pPr>
      <w:tabs>
        <w:tab w:val="left" w:pos="1418"/>
      </w:tabs>
    </w:pPr>
  </w:style>
  <w:style w:type="paragraph" w:styleId="TOC30">
    <w:name w:val="toc 3"/>
    <w:basedOn w:val="Normal"/>
    <w:next w:val="Normal"/>
    <w:autoRedefine/>
    <w:uiPriority w:val="99"/>
    <w:pPr>
      <w:tabs>
        <w:tab w:val="right" w:leader="dot" w:pos="7700"/>
      </w:tabs>
      <w:spacing w:before="60" w:after="0" w:line="240" w:lineRule="auto"/>
      <w:ind w:left="567" w:right="567"/>
      <w:jc w:val="left"/>
    </w:pPr>
    <w:rPr>
      <w:rFonts w:ascii="GillSans" w:hAnsi="GillSans" w:cs="GillSans"/>
      <w:noProof/>
      <w:lang w:val="en-US"/>
    </w:rPr>
  </w:style>
  <w:style w:type="paragraph" w:customStyle="1" w:styleId="SingleParagraph0">
    <w:name w:val="SingleParagraph"/>
    <w:basedOn w:val="Normal"/>
    <w:next w:val="Normal"/>
    <w:uiPriority w:val="99"/>
    <w:pPr>
      <w:spacing w:after="0"/>
    </w:pPr>
  </w:style>
  <w:style w:type="paragraph" w:styleId="TOC4">
    <w:name w:val="toc 4"/>
    <w:basedOn w:val="Normal"/>
    <w:next w:val="Normal"/>
    <w:autoRedefine/>
    <w:uiPriority w:val="99"/>
    <w:pPr>
      <w:spacing w:before="120" w:after="120"/>
    </w:pPr>
    <w:rPr>
      <w:noProof/>
      <w:lang w:val="en-US"/>
    </w:rPr>
  </w:style>
  <w:style w:type="paragraph" w:styleId="TOC5">
    <w:name w:val="toc 5"/>
    <w:basedOn w:val="Normal"/>
    <w:next w:val="Normal"/>
    <w:autoRedefine/>
    <w:uiPriority w:val="99"/>
    <w:pPr>
      <w:spacing w:before="60" w:after="60"/>
      <w:ind w:left="567" w:hanging="567"/>
    </w:pPr>
    <w:rPr>
      <w:noProof/>
      <w:lang w:val="en-US"/>
    </w:rPr>
  </w:style>
  <w:style w:type="paragraph" w:styleId="TOC6">
    <w:name w:val="toc 6"/>
    <w:basedOn w:val="Normal"/>
    <w:next w:val="Normal"/>
    <w:autoRedefine/>
    <w:uiPriority w:val="99"/>
    <w:pPr>
      <w:spacing w:before="120" w:after="120"/>
      <w:ind w:left="1134" w:hanging="567"/>
    </w:pPr>
  </w:style>
  <w:style w:type="paragraph" w:styleId="TOC7">
    <w:name w:val="toc 7"/>
    <w:basedOn w:val="Normal"/>
    <w:next w:val="Normal"/>
    <w:autoRedefine/>
    <w:uiPriority w:val="99"/>
    <w:pPr>
      <w:spacing w:before="120" w:after="120"/>
      <w:ind w:left="567"/>
    </w:pPr>
    <w:rPr>
      <w:i/>
      <w:iCs/>
      <w:noProof/>
      <w:lang w:val="en-US"/>
    </w:rPr>
  </w:style>
  <w:style w:type="paragraph" w:styleId="TOC8">
    <w:name w:val="toc 8"/>
    <w:basedOn w:val="Normal"/>
    <w:next w:val="Normal"/>
    <w:autoRedefine/>
    <w:uiPriority w:val="99"/>
    <w:pPr>
      <w:tabs>
        <w:tab w:val="left" w:pos="851"/>
        <w:tab w:val="right" w:leader="dot" w:pos="7700"/>
      </w:tabs>
      <w:ind w:left="851" w:right="340" w:hanging="851"/>
      <w:jc w:val="left"/>
    </w:pPr>
  </w:style>
  <w:style w:type="paragraph" w:styleId="TOC9">
    <w:name w:val="toc 9"/>
    <w:basedOn w:val="Normal"/>
    <w:next w:val="Normal"/>
    <w:autoRedefine/>
    <w:uiPriority w:val="99"/>
    <w:pPr>
      <w:ind w:left="1920"/>
    </w:pPr>
  </w:style>
  <w:style w:type="character" w:customStyle="1" w:styleId="FramedHeader">
    <w:name w:val="Framed Header"/>
    <w:basedOn w:val="DefaultParagraphFont"/>
    <w:uiPriority w:val="99"/>
    <w:rPr>
      <w:rFonts w:ascii="Arial" w:hAnsi="Arial" w:cs="Arial"/>
      <w:color w:val="000080"/>
      <w:sz w:val="18"/>
      <w:szCs w:val="18"/>
      <w:vertAlign w:val="baseline"/>
    </w:rPr>
  </w:style>
  <w:style w:type="paragraph" w:customStyle="1" w:styleId="chattach">
    <w:name w:val="ch_attach"/>
    <w:basedOn w:val="Heading1"/>
    <w:uiPriority w:val="99"/>
    <w:pPr>
      <w:spacing w:after="0"/>
      <w:outlineLvl w:val="9"/>
    </w:pPr>
    <w:rPr>
      <w:rFonts w:ascii="Arial" w:hAnsi="Arial" w:cs="Arial"/>
      <w:b/>
      <w:bCs/>
      <w:i/>
      <w:iCs/>
      <w:caps/>
      <w:spacing w:val="50"/>
      <w:sz w:val="16"/>
      <w:szCs w:val="16"/>
    </w:rPr>
  </w:style>
  <w:style w:type="character" w:customStyle="1" w:styleId="NormalBold">
    <w:name w:val="Normal Bold"/>
    <w:basedOn w:val="DefaultParagraphFont"/>
    <w:uiPriority w:val="99"/>
    <w:rPr>
      <w:b/>
      <w:bCs/>
      <w:lang w:val="en-US"/>
    </w:rPr>
  </w:style>
  <w:style w:type="character" w:customStyle="1" w:styleId="NormalItalic">
    <w:name w:val="Normal Italic"/>
    <w:basedOn w:val="DefaultParagraphFont"/>
    <w:uiPriority w:val="99"/>
    <w:rPr>
      <w:i/>
      <w:iCs/>
    </w:rPr>
  </w:style>
  <w:style w:type="paragraph" w:customStyle="1" w:styleId="Chartgraphic">
    <w:name w:val="Chart graphic"/>
    <w:basedOn w:val="Graphic"/>
    <w:next w:val="Normal"/>
    <w:uiPriority w:val="99"/>
    <w:pPr>
      <w:spacing w:after="20"/>
      <w:jc w:val="center"/>
    </w:pPr>
  </w:style>
  <w:style w:type="paragraph" w:customStyle="1" w:styleId="TableGraphic">
    <w:name w:val="TableGraphic"/>
    <w:basedOn w:val="SingleParagraph0"/>
    <w:next w:val="SingleParagraph0"/>
    <w:uiPriority w:val="99"/>
    <w:pPr>
      <w:spacing w:after="40" w:line="240" w:lineRule="auto"/>
      <w:ind w:right="-113"/>
    </w:pPr>
  </w:style>
  <w:style w:type="paragraph" w:customStyle="1" w:styleId="TableBodyText">
    <w:name w:val="TableBodyText"/>
    <w:basedOn w:val="Normal"/>
    <w:next w:val="Normal"/>
    <w:uiPriority w:val="99"/>
    <w:pPr>
      <w:spacing w:before="60" w:after="60" w:line="240" w:lineRule="auto"/>
      <w:jc w:val="left"/>
    </w:pPr>
    <w:rPr>
      <w:rFonts w:ascii="Arial" w:hAnsi="Arial" w:cs="Arial"/>
      <w:sz w:val="16"/>
      <w:szCs w:val="16"/>
    </w:rPr>
  </w:style>
  <w:style w:type="paragraph" w:customStyle="1" w:styleId="ChartandTableFootnote">
    <w:name w:val="Chart and Table Footnote"/>
    <w:basedOn w:val="Normal"/>
    <w:next w:val="Normal"/>
    <w:uiPriority w:val="99"/>
    <w:pPr>
      <w:spacing w:after="0" w:line="240" w:lineRule="auto"/>
      <w:ind w:left="357" w:hanging="357"/>
    </w:pPr>
    <w:rPr>
      <w:rFonts w:ascii="Arial" w:hAnsi="Arial" w:cs="Arial"/>
      <w:sz w:val="16"/>
      <w:szCs w:val="16"/>
    </w:rPr>
  </w:style>
  <w:style w:type="paragraph" w:customStyle="1" w:styleId="TableBodyTextIndented">
    <w:name w:val="TableBodyTextIndented"/>
    <w:basedOn w:val="TableBodyText"/>
    <w:next w:val="TableBodyText"/>
    <w:uiPriority w:val="99"/>
    <w:pPr>
      <w:ind w:left="284"/>
    </w:pPr>
  </w:style>
  <w:style w:type="paragraph" w:customStyle="1" w:styleId="NumberedParagraph">
    <w:name w:val="Numbered Paragraph"/>
    <w:basedOn w:val="Normal"/>
    <w:uiPriority w:val="99"/>
    <w:pPr>
      <w:numPr>
        <w:numId w:val="18"/>
      </w:numPr>
      <w:tabs>
        <w:tab w:val="clear" w:pos="720"/>
      </w:tabs>
    </w:pPr>
  </w:style>
  <w:style w:type="paragraph" w:customStyle="1" w:styleId="TableBodyTextHeading">
    <w:name w:val="TableBodyTextHeading"/>
    <w:basedOn w:val="TableBodyText"/>
    <w:uiPriority w:val="99"/>
    <w:rPr>
      <w:rFonts w:ascii="Helvetica" w:hAnsi="Helvetica" w:cs="Helvetica"/>
      <w:b/>
      <w:bCs/>
      <w:color w:val="FFFFFF"/>
    </w:rPr>
  </w:style>
  <w:style w:type="paragraph" w:customStyle="1" w:styleId="Dash">
    <w:name w:val="Dash"/>
    <w:basedOn w:val="Normal"/>
    <w:uiPriority w:val="99"/>
    <w:pPr>
      <w:numPr>
        <w:numId w:val="13"/>
      </w:numPr>
      <w:tabs>
        <w:tab w:val="clear" w:pos="814"/>
        <w:tab w:val="left" w:pos="907"/>
      </w:tabs>
      <w:ind w:left="1361" w:hanging="907"/>
    </w:pPr>
    <w:rPr>
      <w:lang w:val="en-US"/>
    </w:rPr>
  </w:style>
  <w:style w:type="paragraph" w:customStyle="1" w:styleId="DoubleDot">
    <w:name w:val="DoubleDot"/>
    <w:basedOn w:val="Normal"/>
    <w:uiPriority w:val="99"/>
    <w:pPr>
      <w:numPr>
        <w:numId w:val="14"/>
      </w:numPr>
    </w:pPr>
    <w:rPr>
      <w:lang w:val="en-US"/>
    </w:rPr>
  </w:style>
  <w:style w:type="paragraph" w:customStyle="1" w:styleId="Tableheadingcontinued">
    <w:name w:val="Table heading continued"/>
    <w:basedOn w:val="Normal"/>
    <w:next w:val="TableGraphic"/>
    <w:uiPriority w:val="99"/>
    <w:pPr>
      <w:spacing w:before="120" w:after="20"/>
    </w:pPr>
    <w:rPr>
      <w:rFonts w:ascii="GillSans" w:hAnsi="GillSans" w:cs="GillSans"/>
      <w:color w:val="000080"/>
    </w:rPr>
  </w:style>
  <w:style w:type="paragraph" w:customStyle="1" w:styleId="Alphanumberedparagraph">
    <w:name w:val="Alpha numbered paragraph"/>
    <w:basedOn w:val="Normal"/>
    <w:uiPriority w:val="99"/>
    <w:pPr>
      <w:keepNext/>
      <w:numPr>
        <w:ilvl w:val="1"/>
        <w:numId w:val="16"/>
      </w:numPr>
      <w:tabs>
        <w:tab w:val="clear" w:pos="850"/>
        <w:tab w:val="num" w:pos="1134"/>
      </w:tabs>
      <w:ind w:left="1134" w:hanging="567"/>
    </w:pPr>
  </w:style>
  <w:style w:type="paragraph" w:customStyle="1" w:styleId="Italics">
    <w:name w:val="Italics"/>
    <w:basedOn w:val="Normal"/>
    <w:uiPriority w:val="99"/>
    <w:rPr>
      <w:b/>
      <w:bCs/>
      <w:i/>
      <w:iCs/>
    </w:rPr>
  </w:style>
  <w:style w:type="paragraph" w:customStyle="1" w:styleId="Introtext">
    <w:name w:val="Intro text"/>
    <w:basedOn w:val="Normal"/>
    <w:next w:val="Normal"/>
    <w:uiPriority w:val="99"/>
    <w:rPr>
      <w:i/>
      <w:iCs/>
    </w:rPr>
  </w:style>
  <w:style w:type="paragraph" w:customStyle="1" w:styleId="ContentsHeading">
    <w:name w:val="ContentsHeading"/>
    <w:basedOn w:val="Normal"/>
    <w:next w:val="Normal"/>
    <w:uiPriority w:val="99"/>
    <w:pPr>
      <w:spacing w:line="240" w:lineRule="auto"/>
      <w:jc w:val="center"/>
    </w:pPr>
    <w:rPr>
      <w:rFonts w:ascii="GillSans" w:hAnsi="GillSans" w:cs="GillSans"/>
      <w:color w:val="000080"/>
      <w:sz w:val="36"/>
      <w:szCs w:val="36"/>
      <w:lang w:val="en-US"/>
    </w:rPr>
  </w:style>
  <w:style w:type="paragraph" w:customStyle="1" w:styleId="FileProperties">
    <w:name w:val="File Properties"/>
    <w:basedOn w:val="Normal"/>
    <w:uiPriority w:val="99"/>
    <w:pPr>
      <w:tabs>
        <w:tab w:val="center" w:pos="3856"/>
      </w:tabs>
    </w:pPr>
    <w:rPr>
      <w:i/>
      <w:iCs/>
    </w:rPr>
  </w:style>
  <w:style w:type="paragraph" w:styleId="ListNumber">
    <w:name w:val="List Number"/>
    <w:basedOn w:val="Normal"/>
    <w:uiPriority w:val="99"/>
    <w:pPr>
      <w:numPr>
        <w:numId w:val="12"/>
      </w:numPr>
      <w:tabs>
        <w:tab w:val="clear" w:pos="357"/>
        <w:tab w:val="left" w:pos="284"/>
        <w:tab w:val="num" w:pos="360"/>
      </w:tabs>
      <w:ind w:left="360" w:hanging="360"/>
    </w:pPr>
  </w:style>
  <w:style w:type="paragraph" w:customStyle="1" w:styleId="Classification">
    <w:name w:val="Classification"/>
    <w:basedOn w:val="Normal"/>
    <w:uiPriority w:val="99"/>
    <w:pPr>
      <w:tabs>
        <w:tab w:val="center" w:pos="3856"/>
      </w:tabs>
      <w:spacing w:after="0"/>
      <w:jc w:val="center"/>
    </w:pPr>
    <w:rPr>
      <w:rFonts w:ascii="Arial" w:hAnsi="Arial" w:cs="Arial"/>
      <w:b/>
      <w:bCs/>
      <w:smallCaps/>
      <w:sz w:val="24"/>
      <w:szCs w:val="24"/>
    </w:rPr>
  </w:style>
  <w:style w:type="paragraph" w:customStyle="1" w:styleId="Contents">
    <w:name w:val="Contents"/>
    <w:basedOn w:val="Heading1"/>
    <w:uiPriority w:val="99"/>
    <w:pPr>
      <w:numPr>
        <w:numId w:val="17"/>
      </w:numPr>
    </w:pPr>
  </w:style>
  <w:style w:type="paragraph" w:customStyle="1" w:styleId="ReviewTitle">
    <w:name w:val="Review Title"/>
    <w:basedOn w:val="Normal"/>
    <w:next w:val="Normal"/>
    <w:uiPriority w:val="99"/>
    <w:pPr>
      <w:spacing w:after="0" w:line="240" w:lineRule="auto"/>
      <w:jc w:val="center"/>
    </w:pPr>
    <w:rPr>
      <w:rFonts w:ascii="GillSans" w:hAnsi="GillSans" w:cs="GillSans"/>
      <w:color w:val="000080"/>
      <w:sz w:val="44"/>
      <w:szCs w:val="44"/>
    </w:rPr>
  </w:style>
  <w:style w:type="paragraph" w:styleId="ListBullet">
    <w:name w:val="List Bullet"/>
    <w:basedOn w:val="Normal"/>
    <w:autoRedefine/>
    <w:uiPriority w:val="99"/>
    <w:pPr>
      <w:numPr>
        <w:numId w:val="5"/>
      </w:numPr>
      <w:tabs>
        <w:tab w:val="clear" w:pos="360"/>
        <w:tab w:val="left" w:pos="284"/>
      </w:tabs>
      <w:ind w:left="284" w:hanging="284"/>
    </w:pPr>
  </w:style>
  <w:style w:type="paragraph" w:styleId="ListBullet2">
    <w:name w:val="List Bullet 2"/>
    <w:basedOn w:val="Normal"/>
    <w:autoRedefine/>
    <w:uiPriority w:val="99"/>
    <w:pPr>
      <w:numPr>
        <w:numId w:val="6"/>
      </w:numPr>
      <w:tabs>
        <w:tab w:val="clear" w:pos="643"/>
        <w:tab w:val="left" w:pos="567"/>
      </w:tabs>
      <w:ind w:left="284" w:firstLine="284"/>
    </w:pPr>
  </w:style>
  <w:style w:type="paragraph" w:styleId="ListBullet3">
    <w:name w:val="List Bullet 3"/>
    <w:basedOn w:val="Normal"/>
    <w:autoRedefine/>
    <w:uiPriority w:val="99"/>
    <w:pPr>
      <w:numPr>
        <w:numId w:val="7"/>
      </w:numPr>
      <w:tabs>
        <w:tab w:val="clear" w:pos="926"/>
        <w:tab w:val="left" w:pos="851"/>
      </w:tabs>
      <w:ind w:left="851" w:hanging="284"/>
    </w:pPr>
  </w:style>
  <w:style w:type="paragraph" w:styleId="ListBullet4">
    <w:name w:val="List Bullet 4"/>
    <w:basedOn w:val="Normal"/>
    <w:autoRedefine/>
    <w:uiPriority w:val="99"/>
    <w:pPr>
      <w:numPr>
        <w:numId w:val="8"/>
      </w:numPr>
      <w:tabs>
        <w:tab w:val="clear" w:pos="1209"/>
        <w:tab w:val="left" w:pos="1134"/>
      </w:tabs>
      <w:ind w:left="1418" w:hanging="284"/>
    </w:pPr>
  </w:style>
  <w:style w:type="paragraph" w:styleId="ListBullet5">
    <w:name w:val="List Bullet 5"/>
    <w:basedOn w:val="Normal"/>
    <w:autoRedefine/>
    <w:uiPriority w:val="99"/>
    <w:pPr>
      <w:numPr>
        <w:numId w:val="9"/>
      </w:numPr>
      <w:tabs>
        <w:tab w:val="clear" w:pos="1492"/>
        <w:tab w:val="left" w:pos="1418"/>
      </w:tabs>
      <w:ind w:left="1702" w:hanging="284"/>
    </w:pPr>
  </w:style>
  <w:style w:type="paragraph" w:styleId="ListNumber2">
    <w:name w:val="List Number 2"/>
    <w:basedOn w:val="Normal"/>
    <w:uiPriority w:val="99"/>
    <w:pPr>
      <w:numPr>
        <w:numId w:val="1"/>
      </w:numPr>
      <w:tabs>
        <w:tab w:val="clear" w:pos="643"/>
        <w:tab w:val="left" w:pos="567"/>
      </w:tabs>
      <w:ind w:left="568" w:hanging="284"/>
    </w:pPr>
  </w:style>
  <w:style w:type="paragraph" w:styleId="ListNumber3">
    <w:name w:val="List Number 3"/>
    <w:basedOn w:val="Normal"/>
    <w:uiPriority w:val="99"/>
    <w:pPr>
      <w:numPr>
        <w:numId w:val="2"/>
      </w:numPr>
      <w:tabs>
        <w:tab w:val="clear" w:pos="926"/>
        <w:tab w:val="left" w:pos="851"/>
      </w:tabs>
      <w:ind w:left="1135" w:hanging="284"/>
    </w:pPr>
  </w:style>
  <w:style w:type="paragraph" w:styleId="ListNumber4">
    <w:name w:val="List Number 4"/>
    <w:basedOn w:val="Normal"/>
    <w:uiPriority w:val="99"/>
    <w:pPr>
      <w:numPr>
        <w:numId w:val="3"/>
      </w:numPr>
      <w:tabs>
        <w:tab w:val="clear" w:pos="1209"/>
        <w:tab w:val="left" w:pos="1134"/>
      </w:tabs>
      <w:ind w:left="1418" w:hanging="284"/>
    </w:pPr>
  </w:style>
  <w:style w:type="paragraph" w:styleId="ListNumber5">
    <w:name w:val="List Number 5"/>
    <w:basedOn w:val="Normal"/>
    <w:uiPriority w:val="99"/>
    <w:pPr>
      <w:numPr>
        <w:numId w:val="4"/>
      </w:numPr>
      <w:tabs>
        <w:tab w:val="clear" w:pos="1492"/>
        <w:tab w:val="left" w:pos="1418"/>
      </w:tabs>
      <w:ind w:left="1702" w:hanging="284"/>
    </w:pPr>
  </w:style>
  <w:style w:type="paragraph" w:customStyle="1" w:styleId="Members">
    <w:name w:val="Members"/>
    <w:basedOn w:val="Heading2"/>
    <w:uiPriority w:val="99"/>
    <w:pPr>
      <w:spacing w:after="120"/>
    </w:pPr>
    <w:rPr>
      <w:b/>
      <w:bCs/>
      <w:sz w:val="26"/>
      <w:szCs w:val="26"/>
    </w:rPr>
  </w:style>
  <w:style w:type="paragraph" w:customStyle="1" w:styleId="MemberName">
    <w:name w:val="Member Name"/>
    <w:basedOn w:val="Heading3"/>
    <w:uiPriority w:val="99"/>
    <w:rPr>
      <w:sz w:val="24"/>
      <w:szCs w:val="24"/>
    </w:rPr>
  </w:style>
  <w:style w:type="paragraph" w:customStyle="1" w:styleId="Romannumberedparagraph">
    <w:name w:val="Roman numbered paragraph"/>
    <w:basedOn w:val="Normal"/>
    <w:uiPriority w:val="99"/>
    <w:pPr>
      <w:numPr>
        <w:ilvl w:val="2"/>
        <w:numId w:val="15"/>
      </w:numPr>
      <w:tabs>
        <w:tab w:val="clear" w:pos="1440"/>
      </w:tabs>
      <w:ind w:left="1134" w:hanging="567"/>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customStyle="1" w:styleId="ChartHeadingMain">
    <w:name w:val="Chart Heading Main"/>
    <w:basedOn w:val="Normal"/>
    <w:uiPriority w:val="99"/>
    <w:pPr>
      <w:spacing w:after="0"/>
      <w:jc w:val="center"/>
    </w:pPr>
    <w:rPr>
      <w:rFonts w:ascii="GillSans" w:hAnsi="GillSans" w:cs="GillSans"/>
      <w:color w:val="000080"/>
    </w:rPr>
  </w:style>
  <w:style w:type="paragraph" w:styleId="NormalIndent">
    <w:name w:val="Normal Indent"/>
    <w:basedOn w:val="Normal"/>
    <w:uiPriority w:val="99"/>
    <w:pPr>
      <w:spacing w:line="240" w:lineRule="auto"/>
      <w:ind w:left="720"/>
      <w:jc w:val="left"/>
    </w:pPr>
  </w:style>
  <w:style w:type="paragraph" w:customStyle="1" w:styleId="ShortT">
    <w:name w:val="ShortT"/>
    <w:basedOn w:val="Normal"/>
    <w:next w:val="Normal"/>
    <w:uiPriority w:val="99"/>
    <w:pPr>
      <w:spacing w:before="360" w:after="0" w:line="260" w:lineRule="atLeast"/>
      <w:jc w:val="left"/>
    </w:pPr>
    <w:rPr>
      <w:rFonts w:ascii="Times" w:hAnsi="Times" w:cs="Times"/>
      <w:b/>
      <w:bCs/>
      <w:sz w:val="40"/>
      <w:szCs w:val="40"/>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No">
    <w:name w:val="CharPartNo"/>
    <w:basedOn w:val="DefaultParagraphFont"/>
    <w:uiPriority w:val="99"/>
  </w:style>
  <w:style w:type="character" w:customStyle="1" w:styleId="CharPartText">
    <w:name w:val="CharPartText"/>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Sectno">
    <w:name w:val="CharSectno"/>
    <w:basedOn w:val="DefaultParagraphFont"/>
    <w:uiPriority w:val="99"/>
  </w:style>
  <w:style w:type="paragraph" w:customStyle="1" w:styleId="ENoteNo">
    <w:name w:val="ENoteNo"/>
    <w:basedOn w:val="Normal"/>
    <w:uiPriority w:val="99"/>
    <w:pPr>
      <w:spacing w:before="120" w:after="120" w:line="260" w:lineRule="atLeast"/>
      <w:ind w:left="1134" w:hanging="1134"/>
      <w:jc w:val="left"/>
    </w:pPr>
    <w:rPr>
      <w:rFonts w:ascii="Helvetica" w:hAnsi="Helvetica" w:cs="Helvetica"/>
      <w:b/>
      <w:bCs/>
      <w:sz w:val="24"/>
      <w:szCs w:val="24"/>
    </w:rPr>
  </w:style>
  <w:style w:type="paragraph" w:customStyle="1" w:styleId="TableOfAmend">
    <w:name w:val="TableOfAmend"/>
    <w:basedOn w:val="Normal"/>
    <w:next w:val="Normal"/>
    <w:uiPriority w:val="99"/>
    <w:pPr>
      <w:tabs>
        <w:tab w:val="right" w:leader="dot" w:pos="2268"/>
      </w:tabs>
      <w:spacing w:before="60" w:after="0" w:line="180" w:lineRule="exact"/>
      <w:ind w:left="170" w:right="-113" w:hanging="170"/>
      <w:jc w:val="left"/>
    </w:pPr>
    <w:rPr>
      <w:rFonts w:ascii="Helvetica" w:hAnsi="Helvetica" w:cs="Helvetica"/>
      <w:sz w:val="16"/>
      <w:szCs w:val="16"/>
    </w:rPr>
  </w:style>
  <w:style w:type="paragraph" w:styleId="BodyText2">
    <w:name w:val="Body Text 2"/>
    <w:basedOn w:val="Normal"/>
    <w:link w:val="BodyText2Char"/>
    <w:uiPriority w:val="99"/>
    <w:pPr>
      <w:spacing w:after="120"/>
      <w:ind w:left="567"/>
    </w:pPr>
  </w:style>
  <w:style w:type="character" w:customStyle="1" w:styleId="BodyText2Char">
    <w:name w:val="Body Text 2 Char"/>
    <w:basedOn w:val="DefaultParagraphFont"/>
    <w:link w:val="BodyText2"/>
    <w:uiPriority w:val="99"/>
    <w:semiHidden/>
    <w:rPr>
      <w:rFonts w:ascii="Palatino" w:hAnsi="Palatino" w:cs="Palatino"/>
      <w:color w:val="000000"/>
    </w:rPr>
  </w:style>
  <w:style w:type="paragraph" w:customStyle="1" w:styleId="Actno">
    <w:name w:val="Actno"/>
    <w:basedOn w:val="UpdateDate"/>
    <w:next w:val="Normal"/>
    <w:uiPriority w:val="99"/>
    <w:rPr>
      <w:b/>
      <w:bCs/>
    </w:rPr>
  </w:style>
  <w:style w:type="paragraph" w:customStyle="1" w:styleId="UpdateDate">
    <w:name w:val="UpdateDate"/>
    <w:basedOn w:val="Normal"/>
    <w:uiPriority w:val="99"/>
    <w:pPr>
      <w:spacing w:before="240" w:after="0" w:line="260" w:lineRule="atLeast"/>
      <w:jc w:val="left"/>
    </w:pPr>
    <w:rPr>
      <w:rFonts w:ascii="Times" w:hAnsi="Times" w:cs="Times"/>
      <w:sz w:val="24"/>
      <w:szCs w:val="24"/>
    </w:rPr>
  </w:style>
  <w:style w:type="paragraph" w:customStyle="1" w:styleId="LongT">
    <w:name w:val="LongT"/>
    <w:basedOn w:val="Normal"/>
    <w:uiPriority w:val="99"/>
    <w:pPr>
      <w:spacing w:after="0" w:line="260" w:lineRule="atLeast"/>
      <w:jc w:val="left"/>
    </w:pPr>
    <w:rPr>
      <w:rFonts w:ascii="Times" w:hAnsi="Times" w:cs="Times"/>
      <w:b/>
      <w:bCs/>
      <w:sz w:val="32"/>
      <w:szCs w:val="32"/>
    </w:rPr>
  </w:style>
  <w:style w:type="paragraph" w:customStyle="1" w:styleId="Subsection">
    <w:name w:val="Subsection"/>
    <w:aliases w:val="ss"/>
    <w:basedOn w:val="Normal"/>
    <w:uiPriority w:val="99"/>
    <w:pPr>
      <w:tabs>
        <w:tab w:val="right" w:pos="1021"/>
      </w:tabs>
      <w:spacing w:before="180" w:after="0" w:line="260" w:lineRule="atLeast"/>
      <w:ind w:left="1134" w:hanging="1134"/>
      <w:jc w:val="left"/>
    </w:pPr>
    <w:rPr>
      <w:rFonts w:ascii="Times" w:hAnsi="Times" w:cs="Times"/>
    </w:rPr>
  </w:style>
  <w:style w:type="paragraph" w:customStyle="1" w:styleId="indenta">
    <w:name w:val="indent(a)"/>
    <w:aliases w:val="a"/>
    <w:basedOn w:val="Normal"/>
    <w:uiPriority w:val="99"/>
    <w:pPr>
      <w:tabs>
        <w:tab w:val="right" w:pos="1531"/>
      </w:tabs>
      <w:spacing w:before="40" w:after="0" w:line="260" w:lineRule="atLeast"/>
      <w:ind w:left="1644" w:hanging="1644"/>
      <w:jc w:val="left"/>
    </w:pPr>
    <w:rPr>
      <w:rFonts w:ascii="Times" w:hAnsi="Times" w:cs="Times"/>
    </w:rPr>
  </w:style>
  <w:style w:type="paragraph" w:customStyle="1" w:styleId="indentii">
    <w:name w:val="indent(ii)"/>
    <w:aliases w:val="aa"/>
    <w:basedOn w:val="indenta"/>
    <w:uiPriority w:val="99"/>
    <w:pPr>
      <w:tabs>
        <w:tab w:val="clear" w:pos="1531"/>
        <w:tab w:val="right" w:pos="1985"/>
      </w:tabs>
      <w:ind w:left="2098" w:hanging="2098"/>
    </w:pPr>
  </w:style>
  <w:style w:type="paragraph" w:customStyle="1" w:styleId="Definition">
    <w:name w:val="Definition"/>
    <w:aliases w:val="dd"/>
    <w:basedOn w:val="Subsection"/>
    <w:uiPriority w:val="99"/>
    <w:pPr>
      <w:tabs>
        <w:tab w:val="clear" w:pos="1021"/>
      </w:tabs>
      <w:ind w:firstLine="0"/>
    </w:pPr>
  </w:style>
  <w:style w:type="paragraph" w:customStyle="1" w:styleId="subsection2">
    <w:name w:val="subsection2"/>
    <w:aliases w:val="ss2"/>
    <w:basedOn w:val="Subsection"/>
    <w:next w:val="Subsection"/>
    <w:uiPriority w:val="99"/>
    <w:pPr>
      <w:tabs>
        <w:tab w:val="clear" w:pos="1021"/>
      </w:tabs>
      <w:spacing w:before="40"/>
      <w:ind w:firstLine="0"/>
    </w:pPr>
  </w:style>
  <w:style w:type="paragraph" w:customStyle="1" w:styleId="PageBreak">
    <w:name w:val="PageBreak"/>
    <w:aliases w:val="pb"/>
    <w:basedOn w:val="Normal"/>
    <w:next w:val="Heading2"/>
    <w:uiPriority w:val="99"/>
    <w:pPr>
      <w:spacing w:after="0" w:line="240" w:lineRule="auto"/>
      <w:jc w:val="left"/>
    </w:pPr>
    <w:rPr>
      <w:rFonts w:ascii="Times" w:hAnsi="Times" w:cs="Times"/>
      <w:sz w:val="2"/>
      <w:szCs w:val="2"/>
    </w:rPr>
  </w:style>
  <w:style w:type="paragraph" w:customStyle="1" w:styleId="indentA0">
    <w:name w:val="indent(A)"/>
    <w:aliases w:val="aaa"/>
    <w:basedOn w:val="indenta"/>
    <w:uiPriority w:val="99"/>
    <w:pPr>
      <w:tabs>
        <w:tab w:val="clear" w:pos="1531"/>
        <w:tab w:val="right" w:pos="2722"/>
      </w:tabs>
      <w:ind w:left="2835" w:hanging="2835"/>
    </w:pPr>
  </w:style>
  <w:style w:type="paragraph" w:customStyle="1" w:styleId="notetext">
    <w:name w:val="note(text)"/>
    <w:aliases w:val="n"/>
    <w:basedOn w:val="Normal"/>
    <w:uiPriority w:val="99"/>
    <w:pPr>
      <w:spacing w:before="122" w:after="0" w:line="198" w:lineRule="exact"/>
      <w:ind w:left="1985" w:hanging="851"/>
      <w:jc w:val="left"/>
    </w:pPr>
    <w:rPr>
      <w:rFonts w:ascii="Times" w:hAnsi="Times" w:cs="Times"/>
      <w:sz w:val="18"/>
      <w:szCs w:val="18"/>
    </w:rPr>
  </w:style>
  <w:style w:type="character" w:customStyle="1" w:styleId="CharNotesReg">
    <w:name w:val="CharNotesReg"/>
    <w:basedOn w:val="DefaultParagraphFont"/>
    <w:uiPriority w:val="99"/>
  </w:style>
  <w:style w:type="character" w:customStyle="1" w:styleId="CharNotesItals">
    <w:name w:val="CharNotesItals"/>
    <w:basedOn w:val="DefaultParagraphFont"/>
    <w:uiPriority w:val="99"/>
    <w:rPr>
      <w:i/>
      <w:iCs/>
    </w:rPr>
  </w:style>
  <w:style w:type="paragraph" w:customStyle="1" w:styleId="NotesSection">
    <w:name w:val="NotesSection"/>
    <w:basedOn w:val="Normal"/>
    <w:uiPriority w:val="99"/>
    <w:pPr>
      <w:spacing w:before="240" w:after="0" w:line="260" w:lineRule="atLeast"/>
      <w:jc w:val="left"/>
    </w:pPr>
    <w:rPr>
      <w:rFonts w:ascii="Helvetica" w:hAnsi="Helvetica" w:cs="Helvetica"/>
      <w:b/>
      <w:bCs/>
      <w:sz w:val="28"/>
      <w:szCs w:val="28"/>
    </w:rPr>
  </w:style>
  <w:style w:type="paragraph" w:customStyle="1" w:styleId="EndNote">
    <w:name w:val="EndNote"/>
    <w:basedOn w:val="Normal"/>
    <w:uiPriority w:val="99"/>
    <w:pPr>
      <w:spacing w:before="180" w:after="0" w:line="260" w:lineRule="atLeast"/>
      <w:jc w:val="left"/>
    </w:pPr>
    <w:rPr>
      <w:rFonts w:ascii="Times" w:hAnsi="Times" w:cs="Times"/>
    </w:rPr>
  </w:style>
  <w:style w:type="paragraph" w:customStyle="1" w:styleId="TableOfActsHead">
    <w:name w:val="TableOfActsHead"/>
    <w:basedOn w:val="Normal"/>
    <w:uiPriority w:val="99"/>
    <w:pPr>
      <w:spacing w:before="240" w:line="260" w:lineRule="atLeast"/>
      <w:jc w:val="left"/>
    </w:pPr>
    <w:rPr>
      <w:rFonts w:ascii="Helvetica" w:hAnsi="Helvetica" w:cs="Helvetica"/>
      <w:b/>
      <w:bCs/>
      <w:sz w:val="24"/>
      <w:szCs w:val="24"/>
    </w:rPr>
  </w:style>
  <w:style w:type="paragraph" w:customStyle="1" w:styleId="TableOfActs2">
    <w:name w:val="TableOfActs(2)"/>
    <w:basedOn w:val="TableOfActs1"/>
    <w:uiPriority w:val="99"/>
    <w:pPr>
      <w:ind w:left="0" w:firstLine="0"/>
    </w:pPr>
    <w:rPr>
      <w:i w:val="0"/>
      <w:iCs w:val="0"/>
    </w:rPr>
  </w:style>
  <w:style w:type="paragraph" w:customStyle="1" w:styleId="TableOfActs1">
    <w:name w:val="TableOfActs(1)"/>
    <w:basedOn w:val="Normal"/>
    <w:uiPriority w:val="99"/>
    <w:pPr>
      <w:spacing w:before="60" w:after="0" w:line="180" w:lineRule="exact"/>
      <w:ind w:left="142" w:hanging="142"/>
      <w:jc w:val="left"/>
    </w:pPr>
    <w:rPr>
      <w:rFonts w:ascii="Helvetica" w:hAnsi="Helvetica" w:cs="Helvetica"/>
      <w:i/>
      <w:iCs/>
      <w:sz w:val="16"/>
      <w:szCs w:val="16"/>
    </w:rPr>
  </w:style>
  <w:style w:type="paragraph" w:customStyle="1" w:styleId="ActNotesa">
    <w:name w:val="ActNotes(a)"/>
    <w:basedOn w:val="Normal"/>
    <w:uiPriority w:val="99"/>
    <w:pPr>
      <w:spacing w:before="60" w:after="0" w:line="180" w:lineRule="exact"/>
      <w:ind w:left="425" w:hanging="425"/>
      <w:jc w:val="left"/>
    </w:pPr>
    <w:rPr>
      <w:rFonts w:ascii="Helvetica" w:hAnsi="Helvetica" w:cs="Helvetica"/>
      <w:sz w:val="16"/>
      <w:szCs w:val="16"/>
    </w:rPr>
  </w:style>
  <w:style w:type="paragraph" w:customStyle="1" w:styleId="ActNotes1">
    <w:name w:val="ActNotes(1)"/>
    <w:basedOn w:val="Normal"/>
    <w:uiPriority w:val="99"/>
    <w:pPr>
      <w:tabs>
        <w:tab w:val="right" w:pos="992"/>
      </w:tabs>
      <w:spacing w:before="60" w:after="0" w:line="240" w:lineRule="auto"/>
      <w:ind w:left="1134" w:hanging="1134"/>
      <w:jc w:val="left"/>
    </w:pPr>
    <w:rPr>
      <w:rFonts w:ascii="Helvetica" w:hAnsi="Helvetica" w:cs="Helvetica"/>
      <w:sz w:val="16"/>
      <w:szCs w:val="16"/>
    </w:rPr>
  </w:style>
  <w:style w:type="paragraph" w:customStyle="1" w:styleId="TableOfAmendHead">
    <w:name w:val="TableOfAmendHead"/>
    <w:basedOn w:val="Normal"/>
    <w:uiPriority w:val="99"/>
    <w:pPr>
      <w:tabs>
        <w:tab w:val="right" w:pos="1021"/>
      </w:tabs>
      <w:spacing w:before="240" w:line="260" w:lineRule="atLeast"/>
      <w:ind w:left="1134" w:hanging="1134"/>
      <w:jc w:val="left"/>
    </w:pPr>
    <w:rPr>
      <w:rFonts w:ascii="Helvetica" w:hAnsi="Helvetica" w:cs="Helvetica"/>
      <w:b/>
      <w:bCs/>
      <w:sz w:val="24"/>
      <w:szCs w:val="24"/>
    </w:rPr>
  </w:style>
  <w:style w:type="paragraph" w:customStyle="1" w:styleId="TableOfAmendOpt">
    <w:name w:val="TableOfAmendOpt"/>
    <w:basedOn w:val="TableOfAmend"/>
    <w:uiPriority w:val="99"/>
    <w:pPr>
      <w:spacing w:before="0"/>
    </w:pPr>
  </w:style>
  <w:style w:type="paragraph" w:customStyle="1" w:styleId="TableA">
    <w:name w:val="TableA"/>
    <w:basedOn w:val="Normal"/>
    <w:uiPriority w:val="99"/>
    <w:pPr>
      <w:spacing w:before="120" w:after="120" w:line="260" w:lineRule="atLeast"/>
      <w:jc w:val="left"/>
    </w:pPr>
    <w:rPr>
      <w:rFonts w:ascii="Helvetica" w:hAnsi="Helvetica" w:cs="Helvetica"/>
      <w:b/>
      <w:bCs/>
      <w:sz w:val="24"/>
      <w:szCs w:val="24"/>
    </w:rPr>
  </w:style>
  <w:style w:type="paragraph" w:customStyle="1" w:styleId="TableAHead">
    <w:name w:val="TableAHead"/>
    <w:basedOn w:val="TableA"/>
    <w:uiPriority w:val="99"/>
    <w:rPr>
      <w:sz w:val="22"/>
      <w:szCs w:val="22"/>
    </w:rPr>
  </w:style>
  <w:style w:type="paragraph" w:customStyle="1" w:styleId="TableAHeadItal">
    <w:name w:val="TableAHeadItal"/>
    <w:basedOn w:val="TableAHead"/>
    <w:uiPriority w:val="99"/>
    <w:pPr>
      <w:ind w:left="1134" w:hanging="1134"/>
    </w:pPr>
    <w:rPr>
      <w:rFonts w:ascii="Times" w:hAnsi="Times" w:cs="Times"/>
      <w:b w:val="0"/>
      <w:bCs w:val="0"/>
      <w:i/>
      <w:iCs/>
    </w:rPr>
  </w:style>
  <w:style w:type="paragraph" w:customStyle="1" w:styleId="ItemHead">
    <w:name w:val="ItemHead"/>
    <w:aliases w:val="ih"/>
    <w:basedOn w:val="Heading1"/>
    <w:next w:val="Item"/>
    <w:uiPriority w:val="99"/>
    <w:pPr>
      <w:keepNext w:val="0"/>
      <w:keepLines/>
      <w:spacing w:before="220" w:after="0" w:line="260" w:lineRule="atLeast"/>
      <w:ind w:left="709" w:hanging="709"/>
      <w:outlineLvl w:val="9"/>
    </w:pPr>
    <w:rPr>
      <w:rFonts w:ascii="Helvetica" w:hAnsi="Helvetica" w:cs="Helvetica"/>
      <w:i/>
      <w:iCs/>
      <w:sz w:val="24"/>
      <w:szCs w:val="24"/>
    </w:rPr>
  </w:style>
  <w:style w:type="paragraph" w:customStyle="1" w:styleId="Item">
    <w:name w:val="Item"/>
    <w:aliases w:val="i"/>
    <w:basedOn w:val="Subsection"/>
    <w:next w:val="ItemHead"/>
    <w:uiPriority w:val="99"/>
    <w:pPr>
      <w:keepLines/>
      <w:tabs>
        <w:tab w:val="clear" w:pos="1021"/>
      </w:tabs>
      <w:spacing w:before="80"/>
      <w:ind w:left="709" w:firstLine="0"/>
    </w:pPr>
  </w:style>
  <w:style w:type="paragraph" w:customStyle="1" w:styleId="Subitem">
    <w:name w:val="Subitem"/>
    <w:aliases w:val="iss"/>
    <w:basedOn w:val="Normal"/>
    <w:uiPriority w:val="99"/>
    <w:pPr>
      <w:spacing w:before="180" w:after="0" w:line="260" w:lineRule="atLeast"/>
      <w:ind w:left="709" w:hanging="709"/>
      <w:jc w:val="left"/>
    </w:pPr>
    <w:rPr>
      <w:rFonts w:ascii="Times" w:hAnsi="Times" w:cs="Times"/>
    </w:rPr>
  </w:style>
  <w:style w:type="paragraph" w:customStyle="1" w:styleId="CoverStatRule">
    <w:name w:val="CoverStatRule"/>
    <w:basedOn w:val="Normal"/>
    <w:uiPriority w:val="99"/>
    <w:pPr>
      <w:spacing w:before="240" w:after="0" w:line="240" w:lineRule="auto"/>
      <w:jc w:val="left"/>
    </w:pPr>
    <w:rPr>
      <w:rFonts w:ascii="Arial" w:hAnsi="Arial" w:cs="Arial"/>
      <w:b/>
      <w:bCs/>
      <w:sz w:val="24"/>
      <w:szCs w:val="24"/>
    </w:rPr>
  </w:style>
  <w:style w:type="paragraph" w:customStyle="1" w:styleId="CoverMade">
    <w:name w:val="CoverMade"/>
    <w:basedOn w:val="Title"/>
    <w:uiPriority w:val="99"/>
    <w:pPr>
      <w:spacing w:before="240"/>
      <w:jc w:val="left"/>
    </w:pPr>
    <w:rPr>
      <w:rFonts w:ascii="Arial" w:hAnsi="Arial" w:cs="Arial"/>
      <w:b w:val="0"/>
      <w:bCs w:val="0"/>
      <w:sz w:val="24"/>
      <w:szCs w:val="24"/>
    </w:rPr>
  </w:style>
  <w:style w:type="paragraph" w:customStyle="1" w:styleId="CoverAct">
    <w:name w:val="CoverAct"/>
    <w:basedOn w:val="Normal"/>
    <w:uiPriority w:val="99"/>
    <w:pPr>
      <w:pBdr>
        <w:bottom w:val="single" w:sz="2" w:space="3" w:color="auto"/>
      </w:pBdr>
      <w:spacing w:after="0" w:line="240" w:lineRule="auto"/>
      <w:jc w:val="left"/>
    </w:pPr>
    <w:rPr>
      <w:rFonts w:ascii="Arial" w:hAnsi="Arial" w:cs="Arial"/>
      <w:i/>
      <w:iCs/>
      <w:sz w:val="28"/>
      <w:szCs w:val="28"/>
    </w:rPr>
  </w:style>
  <w:style w:type="paragraph" w:customStyle="1" w:styleId="ContentsStatRule">
    <w:name w:val="ContentsStatRule"/>
    <w:basedOn w:val="Normal"/>
    <w:uiPriority w:val="99"/>
    <w:pPr>
      <w:spacing w:before="480" w:after="0" w:line="240" w:lineRule="auto"/>
      <w:jc w:val="left"/>
    </w:pPr>
    <w:rPr>
      <w:rFonts w:ascii="Arial" w:hAnsi="Arial" w:cs="Arial"/>
      <w:b/>
      <w:bCs/>
      <w:sz w:val="24"/>
      <w:szCs w:val="24"/>
    </w:rPr>
  </w:style>
  <w:style w:type="paragraph" w:customStyle="1" w:styleId="ContentsHead">
    <w:name w:val="ContentsHead"/>
    <w:basedOn w:val="Normal"/>
    <w:uiPriority w:val="99"/>
    <w:pPr>
      <w:spacing w:before="480" w:line="240" w:lineRule="auto"/>
      <w:jc w:val="left"/>
    </w:pPr>
    <w:rPr>
      <w:rFonts w:ascii="Arial" w:hAnsi="Arial" w:cs="Arial"/>
      <w:b/>
      <w:bCs/>
      <w:sz w:val="28"/>
      <w:szCs w:val="28"/>
    </w:rPr>
  </w:style>
  <w:style w:type="paragraph" w:customStyle="1" w:styleId="TOC">
    <w:name w:val="TOC"/>
    <w:basedOn w:val="Normal"/>
    <w:uiPriority w:val="99"/>
    <w:pPr>
      <w:tabs>
        <w:tab w:val="right" w:pos="7230"/>
      </w:tabs>
      <w:spacing w:after="120" w:line="240" w:lineRule="auto"/>
      <w:jc w:val="left"/>
    </w:pPr>
    <w:rPr>
      <w:rFonts w:ascii="Arial" w:hAnsi="Arial" w:cs="Arial"/>
      <w:sz w:val="20"/>
      <w:szCs w:val="20"/>
    </w:rPr>
  </w:style>
  <w:style w:type="paragraph" w:customStyle="1" w:styleId="ContentsSectionK">
    <w:name w:val="ContentsSectionK"/>
    <w:basedOn w:val="ContentsSectionBreak"/>
    <w:uiPriority w:val="99"/>
    <w:rPr>
      <w:b/>
      <w:bCs/>
      <w:i/>
      <w:iCs/>
      <w:sz w:val="22"/>
      <w:szCs w:val="22"/>
    </w:rPr>
  </w:style>
  <w:style w:type="paragraph" w:customStyle="1" w:styleId="ContentsSectionBreak">
    <w:name w:val="ContentsSectionBreak"/>
    <w:basedOn w:val="Normal"/>
    <w:uiPriority w:val="99"/>
    <w:pPr>
      <w:spacing w:after="0" w:line="240" w:lineRule="auto"/>
      <w:jc w:val="left"/>
    </w:pPr>
    <w:rPr>
      <w:rFonts w:ascii="Times New Roman" w:hAnsi="Times New Roman" w:cs="Times New Roman"/>
      <w:sz w:val="24"/>
      <w:szCs w:val="24"/>
    </w:rPr>
  </w:style>
  <w:style w:type="paragraph" w:customStyle="1" w:styleId="HR">
    <w:name w:val="HR"/>
    <w:aliases w:val="Regulation Heading"/>
    <w:basedOn w:val="Normal"/>
    <w:next w:val="R1"/>
    <w:uiPriority w:val="99"/>
    <w:pPr>
      <w:keepNext/>
      <w:spacing w:before="360" w:after="0" w:line="240" w:lineRule="auto"/>
      <w:ind w:left="964" w:hanging="964"/>
      <w:jc w:val="left"/>
    </w:pPr>
    <w:rPr>
      <w:rFonts w:ascii="Arial" w:hAnsi="Arial" w:cs="Arial"/>
      <w:b/>
      <w:bCs/>
      <w:sz w:val="24"/>
      <w:szCs w:val="24"/>
    </w:rPr>
  </w:style>
  <w:style w:type="paragraph" w:customStyle="1" w:styleId="R1">
    <w:name w:val="R1"/>
    <w:aliases w:val="1. or 1.(1)"/>
    <w:basedOn w:val="Normal"/>
    <w:next w:val="R2"/>
    <w:uiPriority w:val="99"/>
    <w:pPr>
      <w:tabs>
        <w:tab w:val="right" w:pos="794"/>
        <w:tab w:val="left" w:pos="964"/>
      </w:tabs>
      <w:spacing w:before="120" w:after="0" w:line="260" w:lineRule="exact"/>
      <w:ind w:left="964" w:hanging="964"/>
    </w:pPr>
    <w:rPr>
      <w:rFonts w:ascii="Times New Roman" w:hAnsi="Times New Roman" w:cs="Times New Roman"/>
      <w:sz w:val="24"/>
      <w:szCs w:val="24"/>
    </w:rPr>
  </w:style>
  <w:style w:type="paragraph" w:customStyle="1" w:styleId="R2">
    <w:name w:val="R2"/>
    <w:aliases w:val="(2)"/>
    <w:basedOn w:val="R1"/>
    <w:uiPriority w:val="99"/>
    <w:pPr>
      <w:spacing w:before="180"/>
    </w:pPr>
  </w:style>
  <w:style w:type="paragraph" w:customStyle="1" w:styleId="definition0">
    <w:name w:val="definition"/>
    <w:basedOn w:val="Normal"/>
    <w:uiPriority w:val="99"/>
    <w:pPr>
      <w:spacing w:before="80" w:after="0" w:line="260" w:lineRule="exact"/>
      <w:ind w:left="964"/>
    </w:pPr>
    <w:rPr>
      <w:rFonts w:ascii="Times New Roman" w:hAnsi="Times New Roman" w:cs="Times New Roman"/>
      <w:sz w:val="24"/>
      <w:szCs w:val="24"/>
    </w:rPr>
  </w:style>
  <w:style w:type="paragraph" w:customStyle="1" w:styleId="P1">
    <w:name w:val="P1"/>
    <w:aliases w:val="(a)"/>
    <w:basedOn w:val="R1"/>
    <w:uiPriority w:val="99"/>
    <w:pPr>
      <w:tabs>
        <w:tab w:val="clear" w:pos="794"/>
        <w:tab w:val="clear" w:pos="964"/>
        <w:tab w:val="right" w:pos="1191"/>
        <w:tab w:val="left" w:pos="1644"/>
      </w:tabs>
      <w:spacing w:before="60"/>
      <w:ind w:left="1418" w:hanging="1418"/>
    </w:pPr>
  </w:style>
  <w:style w:type="paragraph" w:customStyle="1" w:styleId="Rc">
    <w:name w:val="Rc"/>
    <w:aliases w:val="Rn continued"/>
    <w:basedOn w:val="R1"/>
    <w:next w:val="P1"/>
    <w:uiPriority w:val="99"/>
    <w:pPr>
      <w:spacing w:before="60"/>
    </w:pPr>
  </w:style>
  <w:style w:type="paragraph" w:customStyle="1" w:styleId="P2">
    <w:name w:val="P2"/>
    <w:aliases w:val="(i)"/>
    <w:basedOn w:val="P1"/>
    <w:uiPriority w:val="99"/>
    <w:pPr>
      <w:tabs>
        <w:tab w:val="clear" w:pos="1191"/>
        <w:tab w:val="clear" w:pos="1644"/>
        <w:tab w:val="right" w:pos="1758"/>
        <w:tab w:val="left" w:pos="2155"/>
      </w:tabs>
      <w:ind w:left="1985" w:hanging="1985"/>
    </w:pPr>
  </w:style>
  <w:style w:type="paragraph" w:customStyle="1" w:styleId="P3">
    <w:name w:val="P3"/>
    <w:aliases w:val="(A)"/>
    <w:basedOn w:val="P2"/>
    <w:uiPriority w:val="99"/>
    <w:pPr>
      <w:tabs>
        <w:tab w:val="clear" w:pos="1758"/>
        <w:tab w:val="clear" w:pos="2155"/>
        <w:tab w:val="right" w:pos="2410"/>
      </w:tabs>
      <w:ind w:left="2693" w:hanging="2693"/>
    </w:pPr>
  </w:style>
  <w:style w:type="paragraph" w:styleId="NoteHeading">
    <w:name w:val="Note Heading"/>
    <w:aliases w:val="HN"/>
    <w:basedOn w:val="Normal"/>
    <w:next w:val="Normal"/>
    <w:link w:val="NoteHeadingChar"/>
    <w:uiPriority w:val="99"/>
    <w:pPr>
      <w:keepNext/>
      <w:pageBreakBefore/>
      <w:tabs>
        <w:tab w:val="left" w:pos="1560"/>
      </w:tabs>
      <w:spacing w:before="120" w:after="0" w:line="240" w:lineRule="atLeast"/>
      <w:jc w:val="left"/>
    </w:pPr>
    <w:rPr>
      <w:rFonts w:ascii="Arial" w:hAnsi="Arial" w:cs="Arial"/>
      <w:b/>
      <w:bCs/>
      <w:sz w:val="32"/>
      <w:szCs w:val="32"/>
    </w:rPr>
  </w:style>
  <w:style w:type="character" w:customStyle="1" w:styleId="NoteHeadingChar">
    <w:name w:val="Note Heading Char"/>
    <w:aliases w:val="HN Char"/>
    <w:basedOn w:val="DefaultParagraphFont"/>
    <w:link w:val="NoteHeading"/>
    <w:uiPriority w:val="99"/>
    <w:semiHidden/>
    <w:rPr>
      <w:rFonts w:ascii="Palatino" w:hAnsi="Palatino" w:cs="Palatino"/>
      <w:color w:val="000000"/>
    </w:rPr>
  </w:style>
  <w:style w:type="paragraph" w:customStyle="1" w:styleId="EndNotes">
    <w:name w:val="EndNotes"/>
    <w:basedOn w:val="Normal"/>
    <w:uiPriority w:val="99"/>
    <w:pPr>
      <w:spacing w:before="120" w:after="0" w:line="240" w:lineRule="exact"/>
    </w:pPr>
    <w:rPr>
      <w:rFonts w:ascii="Times New Roman" w:hAnsi="Times New Roman" w:cs="Times New Roman"/>
      <w:sz w:val="24"/>
      <w:szCs w:val="24"/>
    </w:rPr>
  </w:style>
  <w:style w:type="character" w:customStyle="1" w:styleId="CharENotesHeading">
    <w:name w:val="CharENotesHeading"/>
    <w:basedOn w:val="DefaultParagraphFont"/>
    <w:uiPriority w:val="99"/>
  </w:style>
  <w:style w:type="paragraph" w:customStyle="1" w:styleId="TableEnotesHeading">
    <w:name w:val="TableEnotesHeading"/>
    <w:basedOn w:val="Normal"/>
    <w:uiPriority w:val="99"/>
    <w:pPr>
      <w:pageBreakBefore/>
      <w:spacing w:before="240" w:line="240" w:lineRule="atLeast"/>
      <w:ind w:left="2410" w:hanging="2410"/>
      <w:jc w:val="left"/>
    </w:pPr>
    <w:rPr>
      <w:rFonts w:ascii="Arial" w:hAnsi="Arial" w:cs="Arial"/>
      <w:b/>
      <w:bCs/>
      <w:sz w:val="28"/>
      <w:szCs w:val="28"/>
    </w:rPr>
  </w:style>
  <w:style w:type="paragraph" w:customStyle="1" w:styleId="TableColHead">
    <w:name w:val="TableColHead"/>
    <w:basedOn w:val="Normal"/>
    <w:uiPriority w:val="99"/>
    <w:pPr>
      <w:spacing w:before="60" w:after="60" w:line="240" w:lineRule="auto"/>
      <w:jc w:val="left"/>
    </w:pPr>
    <w:rPr>
      <w:rFonts w:ascii="Arial" w:hAnsi="Arial" w:cs="Arial"/>
      <w:b/>
      <w:bCs/>
      <w:sz w:val="18"/>
      <w:szCs w:val="18"/>
    </w:rPr>
  </w:style>
  <w:style w:type="paragraph" w:customStyle="1" w:styleId="TableOfStatRules">
    <w:name w:val="TableOfStatRules"/>
    <w:basedOn w:val="Normal"/>
    <w:uiPriority w:val="99"/>
    <w:pPr>
      <w:spacing w:before="60" w:after="0" w:line="180" w:lineRule="exact"/>
      <w:jc w:val="left"/>
    </w:pPr>
    <w:rPr>
      <w:rFonts w:ascii="Arial" w:hAnsi="Arial" w:cs="Arial"/>
      <w:sz w:val="18"/>
      <w:szCs w:val="18"/>
    </w:rPr>
  </w:style>
  <w:style w:type="paragraph" w:customStyle="1" w:styleId="NotesSectionBreak">
    <w:name w:val="NotesSectionBreak"/>
    <w:basedOn w:val="Normal"/>
    <w:uiPriority w:val="99"/>
    <w:pPr>
      <w:spacing w:after="0" w:line="240" w:lineRule="auto"/>
      <w:jc w:val="left"/>
    </w:pPr>
    <w:rPr>
      <w:rFonts w:ascii="Times New Roman" w:hAnsi="Times New Roman" w:cs="Times New Roman"/>
      <w:sz w:val="24"/>
      <w:szCs w:val="24"/>
    </w:rPr>
  </w:style>
  <w:style w:type="paragraph" w:customStyle="1" w:styleId="CoverUpdate">
    <w:name w:val="CoverUpdate"/>
    <w:basedOn w:val="Normal"/>
    <w:uiPriority w:val="99"/>
    <w:pPr>
      <w:spacing w:before="240" w:after="0" w:line="240" w:lineRule="auto"/>
      <w:jc w:val="left"/>
    </w:pPr>
    <w:rPr>
      <w:rFonts w:ascii="Times New Roman" w:hAnsi="Times New Roman" w:cs="Times New Roman"/>
      <w:sz w:val="24"/>
      <w:szCs w:val="24"/>
    </w:rPr>
  </w:style>
  <w:style w:type="paragraph" w:customStyle="1" w:styleId="SigningPageBreak">
    <w:name w:val="SigningPageBreak"/>
    <w:basedOn w:val="Normal"/>
    <w:uiPriority w:val="99"/>
    <w:pPr>
      <w:spacing w:after="0" w:line="1800" w:lineRule="atLeast"/>
      <w:jc w:val="left"/>
    </w:pPr>
    <w:rPr>
      <w:rFonts w:ascii="Times New Roman" w:hAnsi="Times New Roman" w:cs="Times New Roman"/>
      <w:sz w:val="24"/>
      <w:szCs w:val="24"/>
    </w:rPr>
  </w:style>
  <w:style w:type="paragraph" w:customStyle="1" w:styleId="headerpartodd">
    <w:name w:val="header.part.odd"/>
    <w:basedOn w:val="Normal"/>
    <w:uiPriority w:val="99"/>
    <w:pPr>
      <w:keepNext/>
      <w:spacing w:after="0" w:line="260" w:lineRule="atLeast"/>
      <w:jc w:val="left"/>
    </w:pPr>
    <w:rPr>
      <w:rFonts w:ascii="Times" w:hAnsi="Times" w:cs="Times"/>
      <w:sz w:val="20"/>
      <w:szCs w:val="20"/>
    </w:rPr>
  </w:style>
  <w:style w:type="paragraph" w:customStyle="1" w:styleId="headerpart">
    <w:name w:val="header.part"/>
    <w:basedOn w:val="Normal"/>
    <w:uiPriority w:val="99"/>
    <w:pPr>
      <w:keepNext/>
      <w:spacing w:after="0" w:line="260" w:lineRule="atLeast"/>
      <w:jc w:val="left"/>
    </w:pPr>
    <w:rPr>
      <w:rFonts w:ascii="Times" w:hAnsi="Times" w:cs="Times"/>
      <w:b/>
      <w:bCs/>
      <w:sz w:val="20"/>
      <w:szCs w:val="20"/>
    </w:rPr>
  </w:style>
  <w:style w:type="paragraph" w:customStyle="1" w:styleId="HeaderGeneral">
    <w:name w:val="HeaderGeneral"/>
    <w:basedOn w:val="Header"/>
    <w:uiPriority w:val="99"/>
    <w:pPr>
      <w:tabs>
        <w:tab w:val="center" w:pos="3969"/>
        <w:tab w:val="right" w:pos="8504"/>
      </w:tabs>
      <w:spacing w:before="60" w:after="0"/>
    </w:pPr>
    <w:rPr>
      <w:rFonts w:ascii="Arial" w:hAnsi="Arial" w:cs="Arial"/>
      <w:i w:val="0"/>
      <w:iCs w:val="0"/>
    </w:rPr>
  </w:style>
  <w:style w:type="paragraph" w:customStyle="1" w:styleId="HeaderProvisions">
    <w:name w:val="HeaderProvisions"/>
    <w:basedOn w:val="Normal"/>
    <w:uiPriority w:val="99"/>
    <w:pPr>
      <w:widowControl w:val="0"/>
      <w:spacing w:before="120" w:after="60" w:line="240" w:lineRule="auto"/>
      <w:jc w:val="left"/>
    </w:pPr>
    <w:rPr>
      <w:rFonts w:ascii="Arial" w:hAnsi="Arial" w:cs="Arial"/>
      <w:b/>
      <w:bCs/>
      <w:sz w:val="20"/>
      <w:szCs w:val="20"/>
    </w:rPr>
  </w:style>
  <w:style w:type="paragraph" w:customStyle="1" w:styleId="HeaderContentsPage">
    <w:name w:val="HeaderContents&quot;Page&quot;"/>
    <w:basedOn w:val="Normal"/>
    <w:uiPriority w:val="99"/>
    <w:pPr>
      <w:spacing w:before="120" w:after="120" w:line="240" w:lineRule="auto"/>
      <w:jc w:val="right"/>
    </w:pPr>
    <w:rPr>
      <w:rFonts w:ascii="Arial" w:hAnsi="Arial" w:cs="Arial"/>
      <w:sz w:val="20"/>
      <w:szCs w:val="20"/>
    </w:rPr>
  </w:style>
  <w:style w:type="paragraph" w:customStyle="1" w:styleId="HeaderLiteEven">
    <w:name w:val="HeaderLiteEven"/>
    <w:basedOn w:val="Header"/>
    <w:uiPriority w:val="99"/>
    <w:pPr>
      <w:tabs>
        <w:tab w:val="center" w:pos="3969"/>
        <w:tab w:val="right" w:pos="8505"/>
      </w:tabs>
      <w:spacing w:before="60" w:after="0"/>
    </w:pPr>
    <w:rPr>
      <w:rFonts w:ascii="Arial" w:hAnsi="Arial" w:cs="Arial"/>
      <w:i w:val="0"/>
      <w:iCs w:val="0"/>
    </w:rPr>
  </w:style>
  <w:style w:type="paragraph" w:customStyle="1" w:styleId="HeaderBoldEven">
    <w:name w:val="HeaderBoldEven"/>
    <w:basedOn w:val="Normal"/>
    <w:uiPriority w:val="99"/>
    <w:pPr>
      <w:widowControl w:val="0"/>
      <w:spacing w:before="120" w:after="60" w:line="240" w:lineRule="auto"/>
      <w:jc w:val="left"/>
    </w:pPr>
    <w:rPr>
      <w:rFonts w:ascii="Arial" w:hAnsi="Arial" w:cs="Arial"/>
      <w:b/>
      <w:bCs/>
      <w:sz w:val="20"/>
      <w:szCs w:val="20"/>
    </w:rPr>
  </w:style>
  <w:style w:type="paragraph" w:customStyle="1" w:styleId="HeaderLiteOdd">
    <w:name w:val="HeaderLiteOdd"/>
    <w:basedOn w:val="HeaderLiteEven"/>
    <w:uiPriority w:val="99"/>
    <w:pPr>
      <w:jc w:val="right"/>
    </w:pPr>
  </w:style>
  <w:style w:type="paragraph" w:customStyle="1" w:styleId="HeaderBoldOdd">
    <w:name w:val="HeaderBoldOdd"/>
    <w:basedOn w:val="Normal"/>
    <w:uiPriority w:val="99"/>
    <w:pPr>
      <w:widowControl w:val="0"/>
      <w:spacing w:before="120" w:after="60" w:line="240" w:lineRule="auto"/>
      <w:jc w:val="right"/>
    </w:pPr>
    <w:rPr>
      <w:rFonts w:ascii="Arial" w:hAnsi="Arial" w:cs="Arial"/>
      <w:b/>
      <w:bCs/>
      <w:sz w:val="20"/>
      <w:szCs w:val="20"/>
    </w:rPr>
  </w:style>
  <w:style w:type="paragraph" w:styleId="TableofFigures">
    <w:name w:val="table of figures"/>
    <w:basedOn w:val="Normal"/>
    <w:next w:val="Normal"/>
    <w:uiPriority w:val="99"/>
    <w:pPr>
      <w:ind w:left="480" w:hanging="480"/>
    </w:pPr>
  </w:style>
  <w:style w:type="character" w:styleId="CommentReference">
    <w:name w:val="annotation reference"/>
    <w:basedOn w:val="DefaultParagraphFont"/>
    <w:uiPriority w:val="99"/>
    <w:rPr>
      <w:rFonts w:ascii="Palatino" w:hAnsi="Palatino" w:cs="Palatino"/>
      <w:sz w:val="16"/>
      <w:szCs w:val="16"/>
    </w:rPr>
  </w:style>
  <w:style w:type="paragraph" w:styleId="Index1">
    <w:name w:val="index 1"/>
    <w:basedOn w:val="Normal"/>
    <w:next w:val="Normal"/>
    <w:autoRedefine/>
    <w:uiPriority w:val="99"/>
    <w:pPr>
      <w:spacing w:after="0"/>
      <w:ind w:left="198" w:hanging="198"/>
      <w:jc w:val="left"/>
    </w:pPr>
    <w:rPr>
      <w:sz w:val="18"/>
      <w:szCs w:val="18"/>
    </w:rPr>
  </w:style>
  <w:style w:type="paragraph" w:styleId="TOAHeading">
    <w:name w:val="toa heading"/>
    <w:basedOn w:val="Normal"/>
    <w:next w:val="Normal"/>
    <w:uiPriority w:val="99"/>
    <w:pPr>
      <w:spacing w:before="120"/>
    </w:pPr>
    <w:rPr>
      <w:rFonts w:ascii="Arial" w:hAnsi="Arial" w:cs="Arial"/>
      <w:b/>
      <w:bCs/>
      <w:sz w:val="24"/>
      <w:szCs w:val="24"/>
    </w:rPr>
  </w:style>
  <w:style w:type="character" w:styleId="EndnoteReference">
    <w:name w:val="endnote reference"/>
    <w:basedOn w:val="DefaultParagraphFont"/>
    <w:uiPriority w:val="99"/>
    <w:rPr>
      <w:rFonts w:ascii="Palatino" w:hAnsi="Palatino" w:cs="Palatino"/>
      <w:vertAlign w:val="superscript"/>
    </w:rPr>
  </w:style>
  <w:style w:type="character" w:styleId="Hyperlink">
    <w:name w:val="Hyperlink"/>
    <w:basedOn w:val="DefaultParagraphFont"/>
    <w:uiPriority w:val="99"/>
    <w:rPr>
      <w:rFonts w:ascii="Palatino" w:hAnsi="Palatino" w:cs="Palatino"/>
      <w:color w:val="0000FF"/>
      <w:u w:val="single"/>
    </w:rPr>
  </w:style>
  <w:style w:type="paragraph" w:styleId="Index2">
    <w:name w:val="index 2"/>
    <w:basedOn w:val="Normal"/>
    <w:next w:val="Normal"/>
    <w:autoRedefine/>
    <w:uiPriority w:val="99"/>
    <w:pPr>
      <w:spacing w:after="0"/>
      <w:ind w:left="396" w:hanging="198"/>
      <w:jc w:val="left"/>
    </w:pPr>
    <w:rPr>
      <w:sz w:val="18"/>
      <w:szCs w:val="18"/>
    </w:rPr>
  </w:style>
  <w:style w:type="paragraph" w:styleId="Index3">
    <w:name w:val="index 3"/>
    <w:basedOn w:val="Normal"/>
    <w:next w:val="Normal"/>
    <w:autoRedefine/>
    <w:uiPriority w:val="99"/>
    <w:pPr>
      <w:spacing w:after="0"/>
      <w:ind w:left="601" w:hanging="198"/>
      <w:jc w:val="left"/>
    </w:pPr>
    <w:rPr>
      <w:rFonts w:ascii="Times New Roman" w:hAnsi="Times New Roman" w:cs="Times New Roman"/>
      <w:sz w:val="18"/>
      <w:szCs w:val="18"/>
    </w:rPr>
  </w:style>
  <w:style w:type="paragraph" w:styleId="Index4">
    <w:name w:val="index 4"/>
    <w:basedOn w:val="Normal"/>
    <w:next w:val="Normal"/>
    <w:autoRedefine/>
    <w:uiPriority w:val="99"/>
    <w:pPr>
      <w:spacing w:after="0"/>
      <w:ind w:left="800" w:hanging="200"/>
      <w:jc w:val="left"/>
    </w:pPr>
    <w:rPr>
      <w:rFonts w:ascii="Times New Roman" w:hAnsi="Times New Roman" w:cs="Times New Roman"/>
      <w:sz w:val="18"/>
      <w:szCs w:val="18"/>
    </w:rPr>
  </w:style>
  <w:style w:type="paragraph" w:styleId="Index5">
    <w:name w:val="index 5"/>
    <w:basedOn w:val="Normal"/>
    <w:next w:val="Normal"/>
    <w:autoRedefine/>
    <w:uiPriority w:val="99"/>
    <w:pPr>
      <w:spacing w:after="0"/>
      <w:ind w:left="1000" w:hanging="200"/>
      <w:jc w:val="left"/>
    </w:pPr>
    <w:rPr>
      <w:rFonts w:ascii="Times New Roman" w:hAnsi="Times New Roman" w:cs="Times New Roman"/>
      <w:sz w:val="18"/>
      <w:szCs w:val="18"/>
    </w:rPr>
  </w:style>
  <w:style w:type="paragraph" w:styleId="Index6">
    <w:name w:val="index 6"/>
    <w:basedOn w:val="Normal"/>
    <w:next w:val="Normal"/>
    <w:autoRedefine/>
    <w:uiPriority w:val="99"/>
    <w:pPr>
      <w:spacing w:after="0"/>
      <w:ind w:left="1200" w:hanging="200"/>
      <w:jc w:val="left"/>
    </w:pPr>
    <w:rPr>
      <w:rFonts w:ascii="Times New Roman" w:hAnsi="Times New Roman" w:cs="Times New Roman"/>
      <w:sz w:val="18"/>
      <w:szCs w:val="18"/>
    </w:rPr>
  </w:style>
  <w:style w:type="paragraph" w:styleId="Index7">
    <w:name w:val="index 7"/>
    <w:basedOn w:val="Normal"/>
    <w:next w:val="Normal"/>
    <w:autoRedefine/>
    <w:uiPriority w:val="99"/>
    <w:pPr>
      <w:spacing w:after="0"/>
      <w:ind w:left="1400" w:hanging="200"/>
      <w:jc w:val="left"/>
    </w:pPr>
    <w:rPr>
      <w:rFonts w:ascii="Times New Roman" w:hAnsi="Times New Roman" w:cs="Times New Roman"/>
      <w:sz w:val="18"/>
      <w:szCs w:val="18"/>
    </w:rPr>
  </w:style>
  <w:style w:type="paragraph" w:styleId="Index8">
    <w:name w:val="index 8"/>
    <w:basedOn w:val="Normal"/>
    <w:next w:val="Normal"/>
    <w:autoRedefine/>
    <w:uiPriority w:val="99"/>
    <w:pPr>
      <w:spacing w:after="0"/>
      <w:ind w:left="1600" w:hanging="200"/>
      <w:jc w:val="left"/>
    </w:pPr>
    <w:rPr>
      <w:rFonts w:ascii="Times New Roman" w:hAnsi="Times New Roman" w:cs="Times New Roman"/>
      <w:sz w:val="18"/>
      <w:szCs w:val="18"/>
    </w:rPr>
  </w:style>
  <w:style w:type="paragraph" w:styleId="Index9">
    <w:name w:val="index 9"/>
    <w:basedOn w:val="Normal"/>
    <w:next w:val="Normal"/>
    <w:autoRedefine/>
    <w:uiPriority w:val="99"/>
    <w:pPr>
      <w:spacing w:after="0"/>
      <w:ind w:left="1800" w:hanging="200"/>
      <w:jc w:val="left"/>
    </w:pPr>
    <w:rPr>
      <w:rFonts w:ascii="Times New Roman" w:hAnsi="Times New Roman" w:cs="Times New Roman"/>
      <w:sz w:val="18"/>
      <w:szCs w:val="18"/>
    </w:rPr>
  </w:style>
  <w:style w:type="paragraph" w:styleId="IndexHeading">
    <w:name w:val="index heading"/>
    <w:basedOn w:val="Normal"/>
    <w:next w:val="Index1"/>
    <w:uiPriority w:val="99"/>
    <w:pPr>
      <w:spacing w:before="240" w:after="120"/>
      <w:jc w:val="center"/>
    </w:pPr>
    <w:rPr>
      <w:rFonts w:ascii="Arial" w:hAnsi="Arial" w:cs="Arial"/>
      <w:b/>
      <w:bCs/>
      <w:color w:val="000080"/>
      <w:sz w:val="24"/>
      <w:szCs w:val="24"/>
    </w:rPr>
  </w:style>
  <w:style w:type="paragraph" w:styleId="ListContinue">
    <w:name w:val="List Continue"/>
    <w:basedOn w:val="Normal"/>
    <w:uiPriority w:val="99"/>
    <w:pPr>
      <w:ind w:left="284"/>
    </w:pPr>
  </w:style>
  <w:style w:type="paragraph" w:styleId="ListContinue2">
    <w:name w:val="List Continue 2"/>
    <w:basedOn w:val="Normal"/>
    <w:uiPriority w:val="99"/>
    <w:pPr>
      <w:ind w:left="567"/>
    </w:pPr>
  </w:style>
  <w:style w:type="paragraph" w:styleId="ListContinue3">
    <w:name w:val="List Continue 3"/>
    <w:basedOn w:val="Normal"/>
    <w:uiPriority w:val="99"/>
    <w:pPr>
      <w:ind w:left="851"/>
    </w:pPr>
  </w:style>
  <w:style w:type="paragraph" w:styleId="ListContinue4">
    <w:name w:val="List Continue 4"/>
    <w:basedOn w:val="Normal"/>
    <w:uiPriority w:val="99"/>
    <w:pPr>
      <w:ind w:left="1134"/>
    </w:pPr>
  </w:style>
  <w:style w:type="paragraph" w:styleId="ListContinue5">
    <w:name w:val="List Continue 5"/>
    <w:basedOn w:val="Normal"/>
    <w:uiPriority w:val="99"/>
    <w:pPr>
      <w:ind w:left="1418"/>
    </w:pPr>
  </w:style>
  <w:style w:type="paragraph" w:styleId="List">
    <w:name w:val="List"/>
    <w:basedOn w:val="Normal"/>
    <w:uiPriority w:val="99"/>
    <w:pPr>
      <w:ind w:left="284" w:hanging="284"/>
    </w:pPr>
  </w:style>
  <w:style w:type="paragraph" w:styleId="Caption">
    <w:name w:val="caption"/>
    <w:basedOn w:val="Normal"/>
    <w:next w:val="Normal"/>
    <w:uiPriority w:val="99"/>
    <w:qFormat/>
    <w:rPr>
      <w:b/>
      <w:bCs/>
      <w:color w:val="000080"/>
    </w:rPr>
  </w:style>
  <w:style w:type="paragraph" w:styleId="List2">
    <w:name w:val="List 2"/>
    <w:basedOn w:val="Normal"/>
    <w:uiPriority w:val="99"/>
    <w:pPr>
      <w:ind w:left="851" w:hanging="284"/>
    </w:pPr>
  </w:style>
  <w:style w:type="paragraph" w:styleId="List3">
    <w:name w:val="List 3"/>
    <w:basedOn w:val="Normal"/>
    <w:uiPriority w:val="99"/>
    <w:pPr>
      <w:ind w:left="1135" w:hanging="284"/>
    </w:pPr>
  </w:style>
  <w:style w:type="paragraph" w:styleId="List4">
    <w:name w:val="List 4"/>
    <w:basedOn w:val="Normal"/>
    <w:uiPriority w:val="99"/>
    <w:pPr>
      <w:ind w:left="1418" w:hanging="284"/>
    </w:pPr>
  </w:style>
  <w:style w:type="paragraph" w:styleId="BlockText">
    <w:name w:val="Block Text"/>
    <w:basedOn w:val="Normal"/>
    <w:uiPriority w:val="99"/>
    <w:pPr>
      <w:spacing w:after="120"/>
      <w:ind w:left="567" w:right="567"/>
    </w:pPr>
  </w:style>
  <w:style w:type="paragraph" w:styleId="BodyTextFirstIndent">
    <w:name w:val="Body Text First Indent"/>
    <w:basedOn w:val="BodyText"/>
    <w:link w:val="BodyTextFirstIndentChar"/>
    <w:uiPriority w:val="99"/>
    <w:pPr>
      <w:ind w:firstLine="567"/>
    </w:pPr>
  </w:style>
  <w:style w:type="character" w:customStyle="1" w:styleId="BodyTextFirstIndentChar">
    <w:name w:val="Body Text First Indent Char"/>
    <w:basedOn w:val="BodyTextChar"/>
    <w:link w:val="BodyTextFirstIndent"/>
    <w:uiPriority w:val="99"/>
    <w:semiHidden/>
    <w:rPr>
      <w:rFonts w:ascii="Palatino" w:hAnsi="Palatino" w:cs="Palatino"/>
      <w:color w:val="000000"/>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Palatino" w:hAnsi="Palatino" w:cs="Palatino"/>
      <w:color w:val="000000"/>
    </w:rPr>
  </w:style>
  <w:style w:type="paragraph" w:styleId="BodyTextFirstIndent2">
    <w:name w:val="Body Text First Indent 2"/>
    <w:basedOn w:val="BodyText2"/>
    <w:link w:val="BodyTextFirstIndent2Char"/>
    <w:uiPriority w:val="99"/>
    <w:pPr>
      <w:ind w:left="284" w:firstLine="284"/>
    </w:pPr>
  </w:style>
  <w:style w:type="character" w:customStyle="1" w:styleId="BodyTextFirstIndent2Char">
    <w:name w:val="Body Text First Indent 2 Char"/>
    <w:basedOn w:val="BodyTextIndentChar"/>
    <w:link w:val="BodyTextFirstIndent2"/>
    <w:uiPriority w:val="99"/>
    <w:semiHidden/>
    <w:rPr>
      <w:rFonts w:ascii="Palatino" w:hAnsi="Palatino" w:cs="Palatino"/>
      <w:color w:val="000000"/>
    </w:rPr>
  </w:style>
  <w:style w:type="paragraph" w:styleId="BodyTextIndent2">
    <w:name w:val="Body Text Indent 2"/>
    <w:basedOn w:val="Normal"/>
    <w:link w:val="BodyTextIndent2Char"/>
    <w:uiPriority w:val="99"/>
    <w:pPr>
      <w:spacing w:after="120" w:line="480" w:lineRule="auto"/>
      <w:ind w:left="567"/>
    </w:pPr>
  </w:style>
  <w:style w:type="character" w:customStyle="1" w:styleId="BodyTextIndent2Char">
    <w:name w:val="Body Text Indent 2 Char"/>
    <w:basedOn w:val="DefaultParagraphFont"/>
    <w:link w:val="BodyTextIndent2"/>
    <w:uiPriority w:val="99"/>
    <w:semiHidden/>
    <w:rPr>
      <w:rFonts w:ascii="Palatino" w:hAnsi="Palatino" w:cs="Palatino"/>
      <w:color w:val="000000"/>
    </w:rPr>
  </w:style>
  <w:style w:type="paragraph" w:styleId="BodyTextIndent3">
    <w:name w:val="Body Text Indent 3"/>
    <w:basedOn w:val="Normal"/>
    <w:link w:val="BodyTextIndent3Char"/>
    <w:uiPriority w:val="99"/>
    <w:pPr>
      <w:spacing w:after="120"/>
      <w:ind w:left="567"/>
    </w:pPr>
    <w:rPr>
      <w:sz w:val="16"/>
      <w:szCs w:val="16"/>
    </w:rPr>
  </w:style>
  <w:style w:type="character" w:customStyle="1" w:styleId="BodyTextIndent3Char">
    <w:name w:val="Body Text Indent 3 Char"/>
    <w:basedOn w:val="DefaultParagraphFont"/>
    <w:link w:val="BodyTextIndent3"/>
    <w:uiPriority w:val="99"/>
    <w:semiHidden/>
    <w:rPr>
      <w:rFonts w:ascii="Palatino" w:hAnsi="Palatino" w:cs="Palatino"/>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40.xml"/><Relationship Id="rId21" Type="http://schemas.openxmlformats.org/officeDocument/2006/relationships/footer" Target="footer7.xml"/><Relationship Id="rId42" Type="http://schemas.openxmlformats.org/officeDocument/2006/relationships/image" Target="media/image5.wmf"/><Relationship Id="rId63" Type="http://schemas.openxmlformats.org/officeDocument/2006/relationships/header" Target="header19.xml"/><Relationship Id="rId84" Type="http://schemas.openxmlformats.org/officeDocument/2006/relationships/image" Target="media/image16.wmf"/><Relationship Id="rId138" Type="http://schemas.openxmlformats.org/officeDocument/2006/relationships/footer" Target="footer45.xml"/><Relationship Id="rId159" Type="http://schemas.openxmlformats.org/officeDocument/2006/relationships/header" Target="header60.xml"/><Relationship Id="rId170" Type="http://schemas.openxmlformats.org/officeDocument/2006/relationships/header" Target="header66.xml"/><Relationship Id="rId191" Type="http://schemas.openxmlformats.org/officeDocument/2006/relationships/header" Target="header76.xml"/><Relationship Id="rId196" Type="http://schemas.openxmlformats.org/officeDocument/2006/relationships/header" Target="header78.xml"/><Relationship Id="rId200" Type="http://schemas.openxmlformats.org/officeDocument/2006/relationships/fontTable" Target="fontTable.xml"/><Relationship Id="rId16" Type="http://schemas.openxmlformats.org/officeDocument/2006/relationships/header" Target="header5.xml"/><Relationship Id="rId107" Type="http://schemas.openxmlformats.org/officeDocument/2006/relationships/header" Target="header35.xml"/><Relationship Id="rId11" Type="http://schemas.openxmlformats.org/officeDocument/2006/relationships/header" Target="header3.xml"/><Relationship Id="rId32" Type="http://schemas.openxmlformats.org/officeDocument/2006/relationships/header" Target="header12.xml"/><Relationship Id="rId37" Type="http://schemas.openxmlformats.org/officeDocument/2006/relationships/footer" Target="footer13.xml"/><Relationship Id="rId53" Type="http://schemas.openxmlformats.org/officeDocument/2006/relationships/oleObject" Target="file:///\\kronos\mg$\FIR_BR\FIRB%20Annual%20Report\2002%20Annual%20Report\Charts%20Figures\For_2_6%20(2002).xls!Sheet1!R2C1:R11C9" TargetMode="External"/><Relationship Id="rId58" Type="http://schemas.openxmlformats.org/officeDocument/2006/relationships/header" Target="header17.xml"/><Relationship Id="rId74" Type="http://schemas.openxmlformats.org/officeDocument/2006/relationships/image" Target="media/image12.wmf"/><Relationship Id="rId79" Type="http://schemas.openxmlformats.org/officeDocument/2006/relationships/oleObject" Target="file:///\\kronos\mg$\FIR_BR\FIRB%20Annual%20Report\2002%20Annual%20Report\Charts%20Figures\Chart4_1.xls!Sheet1!%5bChart4_1.xls%5dSheet1%20Chart%209" TargetMode="External"/><Relationship Id="rId102" Type="http://schemas.openxmlformats.org/officeDocument/2006/relationships/footer" Target="footer31.xml"/><Relationship Id="rId123" Type="http://schemas.openxmlformats.org/officeDocument/2006/relationships/header" Target="header43.xml"/><Relationship Id="rId128" Type="http://schemas.openxmlformats.org/officeDocument/2006/relationships/image" Target="media/image19.wmf"/><Relationship Id="rId144" Type="http://schemas.openxmlformats.org/officeDocument/2006/relationships/footer" Target="footer47.xml"/><Relationship Id="rId149" Type="http://schemas.openxmlformats.org/officeDocument/2006/relationships/footer" Target="footer49.xml"/><Relationship Id="rId5" Type="http://schemas.openxmlformats.org/officeDocument/2006/relationships/footnotes" Target="footnotes.xml"/><Relationship Id="rId90" Type="http://schemas.openxmlformats.org/officeDocument/2006/relationships/header" Target="header27.xml"/><Relationship Id="rId95" Type="http://schemas.openxmlformats.org/officeDocument/2006/relationships/footer" Target="footer27.xml"/><Relationship Id="rId160" Type="http://schemas.openxmlformats.org/officeDocument/2006/relationships/header" Target="header61.xml"/><Relationship Id="rId165" Type="http://schemas.openxmlformats.org/officeDocument/2006/relationships/header" Target="header63.xml"/><Relationship Id="rId181" Type="http://schemas.openxmlformats.org/officeDocument/2006/relationships/header" Target="header71.xml"/><Relationship Id="rId186" Type="http://schemas.openxmlformats.org/officeDocument/2006/relationships/footer" Target="footer67.xml"/><Relationship Id="rId22" Type="http://schemas.openxmlformats.org/officeDocument/2006/relationships/header" Target="header8.xml"/><Relationship Id="rId27" Type="http://schemas.openxmlformats.org/officeDocument/2006/relationships/header" Target="header11.xml"/><Relationship Id="rId43" Type="http://schemas.openxmlformats.org/officeDocument/2006/relationships/oleObject" Target="file:///\\kronos\mg$\FIR_BR\FIRB%20Annual%20Report\2002%20Annual%20Report\Charts%20Figures\For_2_1%20(2002).xls!Sheet1!R3C1:R11C12" TargetMode="External"/><Relationship Id="rId48" Type="http://schemas.openxmlformats.org/officeDocument/2006/relationships/image" Target="media/image8.wmf"/><Relationship Id="rId64" Type="http://schemas.openxmlformats.org/officeDocument/2006/relationships/footer" Target="footer17.xml"/><Relationship Id="rId69" Type="http://schemas.openxmlformats.org/officeDocument/2006/relationships/footer" Target="footer20.xml"/><Relationship Id="rId113" Type="http://schemas.openxmlformats.org/officeDocument/2006/relationships/header" Target="header38.xml"/><Relationship Id="rId118" Type="http://schemas.openxmlformats.org/officeDocument/2006/relationships/footer" Target="footer38.xml"/><Relationship Id="rId134" Type="http://schemas.openxmlformats.org/officeDocument/2006/relationships/header" Target="header47.xml"/><Relationship Id="rId139" Type="http://schemas.openxmlformats.org/officeDocument/2006/relationships/header" Target="header50.xml"/><Relationship Id="rId80" Type="http://schemas.openxmlformats.org/officeDocument/2006/relationships/image" Target="media/image14.wmf"/><Relationship Id="rId85" Type="http://schemas.openxmlformats.org/officeDocument/2006/relationships/oleObject" Target="file:///\\kronos\mg$\FIR_BR\FIRB%20Annual%20Report\2002%20Annual%20Report\Charts%20Figures\Chart4_3.xls!Sheet2!%5bChart4_3.xls%5dSheet2%20Chart%202" TargetMode="External"/><Relationship Id="rId150" Type="http://schemas.openxmlformats.org/officeDocument/2006/relationships/image" Target="media/image20.wmf"/><Relationship Id="rId155" Type="http://schemas.openxmlformats.org/officeDocument/2006/relationships/header" Target="header59.xml"/><Relationship Id="rId171" Type="http://schemas.openxmlformats.org/officeDocument/2006/relationships/footer" Target="footer59.xml"/><Relationship Id="rId176" Type="http://schemas.openxmlformats.org/officeDocument/2006/relationships/footer" Target="footer62.xml"/><Relationship Id="rId192" Type="http://schemas.openxmlformats.org/officeDocument/2006/relationships/header" Target="header77.xml"/><Relationship Id="rId197" Type="http://schemas.openxmlformats.org/officeDocument/2006/relationships/header" Target="header79.xml"/><Relationship Id="rId201" Type="http://schemas.openxmlformats.org/officeDocument/2006/relationships/theme" Target="theme/theme1.xml"/><Relationship Id="rId12" Type="http://schemas.openxmlformats.org/officeDocument/2006/relationships/footer" Target="footer3.xml"/><Relationship Id="rId17" Type="http://schemas.openxmlformats.org/officeDocument/2006/relationships/footer" Target="footer5.xml"/><Relationship Id="rId33" Type="http://schemas.openxmlformats.org/officeDocument/2006/relationships/header" Target="header13.xml"/><Relationship Id="rId38" Type="http://schemas.openxmlformats.org/officeDocument/2006/relationships/image" Target="media/image3.wmf"/><Relationship Id="rId59" Type="http://schemas.openxmlformats.org/officeDocument/2006/relationships/footer" Target="footer16.xml"/><Relationship Id="rId103" Type="http://schemas.openxmlformats.org/officeDocument/2006/relationships/header" Target="header33.xml"/><Relationship Id="rId108" Type="http://schemas.openxmlformats.org/officeDocument/2006/relationships/header" Target="header36.xml"/><Relationship Id="rId124" Type="http://schemas.openxmlformats.org/officeDocument/2006/relationships/header" Target="header44.xml"/><Relationship Id="rId129" Type="http://schemas.openxmlformats.org/officeDocument/2006/relationships/oleObject" Target="embeddings/oleObject2.bin"/><Relationship Id="rId54" Type="http://schemas.openxmlformats.org/officeDocument/2006/relationships/header" Target="header15.xml"/><Relationship Id="rId70" Type="http://schemas.openxmlformats.org/officeDocument/2006/relationships/header" Target="header22.xml"/><Relationship Id="rId75" Type="http://schemas.openxmlformats.org/officeDocument/2006/relationships/oleObject" Target="file:///\\kronos\mg$\FIR_BR\FIRB%20Annual%20Report\2002%20Annual%20Report\Charts%20Figures\For-4_1.xls!Sheet1!R2C1:R17C12" TargetMode="External"/><Relationship Id="rId91" Type="http://schemas.openxmlformats.org/officeDocument/2006/relationships/footer" Target="footer26.xml"/><Relationship Id="rId96" Type="http://schemas.openxmlformats.org/officeDocument/2006/relationships/footer" Target="footer28.xml"/><Relationship Id="rId140" Type="http://schemas.openxmlformats.org/officeDocument/2006/relationships/footer" Target="footer46.xml"/><Relationship Id="rId145" Type="http://schemas.openxmlformats.org/officeDocument/2006/relationships/header" Target="header54.xml"/><Relationship Id="rId161" Type="http://schemas.openxmlformats.org/officeDocument/2006/relationships/footer" Target="footer54.xml"/><Relationship Id="rId166" Type="http://schemas.openxmlformats.org/officeDocument/2006/relationships/header" Target="header64.xml"/><Relationship Id="rId182" Type="http://schemas.openxmlformats.org/officeDocument/2006/relationships/header" Target="header72.xml"/><Relationship Id="rId187" Type="http://schemas.openxmlformats.org/officeDocument/2006/relationships/header" Target="header74.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8.xml"/><Relationship Id="rId28" Type="http://schemas.openxmlformats.org/officeDocument/2006/relationships/footer" Target="footer10.xml"/><Relationship Id="rId49" Type="http://schemas.openxmlformats.org/officeDocument/2006/relationships/oleObject" Target="file:///\\kronos\mg$\FIR_BR\FIRB%20Annual%20Report\2002%20Annual%20Report\Charts%20Figures\For_2_4%20(2002).xls!Sheet1!R2C1:R22C5" TargetMode="External"/><Relationship Id="rId114" Type="http://schemas.openxmlformats.org/officeDocument/2006/relationships/footer" Target="footer36.xml"/><Relationship Id="rId119" Type="http://schemas.openxmlformats.org/officeDocument/2006/relationships/header" Target="header41.xml"/><Relationship Id="rId44" Type="http://schemas.openxmlformats.org/officeDocument/2006/relationships/image" Target="media/image6.wmf"/><Relationship Id="rId60" Type="http://schemas.openxmlformats.org/officeDocument/2006/relationships/image" Target="media/image11.wmf"/><Relationship Id="rId65" Type="http://schemas.openxmlformats.org/officeDocument/2006/relationships/footer" Target="footer18.xml"/><Relationship Id="rId81" Type="http://schemas.openxmlformats.org/officeDocument/2006/relationships/oleObject" Target="file:///\\kronos\mg$\FIR_BR\FIRB%20Annual%20Report\2002%20Annual%20Report\Charts%20Figures\For-4_2.xls!Sheet1!R2C1:R26C6" TargetMode="External"/><Relationship Id="rId86" Type="http://schemas.openxmlformats.org/officeDocument/2006/relationships/header" Target="header25.xml"/><Relationship Id="rId130" Type="http://schemas.openxmlformats.org/officeDocument/2006/relationships/header" Target="header45.xml"/><Relationship Id="rId135" Type="http://schemas.openxmlformats.org/officeDocument/2006/relationships/footer" Target="footer44.xml"/><Relationship Id="rId151" Type="http://schemas.openxmlformats.org/officeDocument/2006/relationships/header" Target="header57.xml"/><Relationship Id="rId156" Type="http://schemas.openxmlformats.org/officeDocument/2006/relationships/footer" Target="footer52.xml"/><Relationship Id="rId177" Type="http://schemas.openxmlformats.org/officeDocument/2006/relationships/header" Target="header69.xml"/><Relationship Id="rId198" Type="http://schemas.openxmlformats.org/officeDocument/2006/relationships/footer" Target="footer72.xml"/><Relationship Id="rId172" Type="http://schemas.openxmlformats.org/officeDocument/2006/relationships/footer" Target="footer60.xml"/><Relationship Id="rId193" Type="http://schemas.openxmlformats.org/officeDocument/2006/relationships/footer" Target="footer70.xml"/><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oleObject" Target="file:///\\kronos\mg$\FIR_BR\FIRB%20Annual%20Report\2002%20Annual%20Report\Charts%20Figures\Chart2_1%20(2002).xls!CHART2.1&amp;2.2!%5bChart2_1%20(2002).xls%5dCHART2.1&amp;2.2%20Chart%203" TargetMode="External"/><Relationship Id="rId109" Type="http://schemas.openxmlformats.org/officeDocument/2006/relationships/footer" Target="footer34.xml"/><Relationship Id="rId34" Type="http://schemas.openxmlformats.org/officeDocument/2006/relationships/footer" Target="footer11.xml"/><Relationship Id="rId50" Type="http://schemas.openxmlformats.org/officeDocument/2006/relationships/image" Target="media/image9.wmf"/><Relationship Id="rId55" Type="http://schemas.openxmlformats.org/officeDocument/2006/relationships/header" Target="header16.xml"/><Relationship Id="rId76" Type="http://schemas.openxmlformats.org/officeDocument/2006/relationships/header" Target="header24.xml"/><Relationship Id="rId97" Type="http://schemas.openxmlformats.org/officeDocument/2006/relationships/header" Target="header30.xml"/><Relationship Id="rId104" Type="http://schemas.openxmlformats.org/officeDocument/2006/relationships/footer" Target="footer32.xml"/><Relationship Id="rId120" Type="http://schemas.openxmlformats.org/officeDocument/2006/relationships/header" Target="header42.xml"/><Relationship Id="rId125" Type="http://schemas.openxmlformats.org/officeDocument/2006/relationships/footer" Target="footer41.xml"/><Relationship Id="rId141" Type="http://schemas.openxmlformats.org/officeDocument/2006/relationships/header" Target="header51.xml"/><Relationship Id="rId146" Type="http://schemas.openxmlformats.org/officeDocument/2006/relationships/footer" Target="footer48.xml"/><Relationship Id="rId167" Type="http://schemas.openxmlformats.org/officeDocument/2006/relationships/footer" Target="footer57.xml"/><Relationship Id="rId188" Type="http://schemas.openxmlformats.org/officeDocument/2006/relationships/header" Target="header75.xml"/><Relationship Id="rId7" Type="http://schemas.openxmlformats.org/officeDocument/2006/relationships/header" Target="header1.xml"/><Relationship Id="rId71" Type="http://schemas.openxmlformats.org/officeDocument/2006/relationships/header" Target="header23.xml"/><Relationship Id="rId92" Type="http://schemas.openxmlformats.org/officeDocument/2006/relationships/hyperlink" Target="http://www.treasury.gov.au/publications/ForeignInvestmentReviewBoard/forms.asp" TargetMode="External"/><Relationship Id="rId162" Type="http://schemas.openxmlformats.org/officeDocument/2006/relationships/footer" Target="footer55.xml"/><Relationship Id="rId183" Type="http://schemas.openxmlformats.org/officeDocument/2006/relationships/footer" Target="footer65.xml"/><Relationship Id="rId2" Type="http://schemas.openxmlformats.org/officeDocument/2006/relationships/styles" Target="styles.xml"/><Relationship Id="rId29" Type="http://schemas.openxmlformats.org/officeDocument/2006/relationships/hyperlink" Target="mailto:firb@treasury.gov.au" TargetMode="External"/><Relationship Id="rId24" Type="http://schemas.openxmlformats.org/officeDocument/2006/relationships/header" Target="header9.xml"/><Relationship Id="rId40" Type="http://schemas.openxmlformats.org/officeDocument/2006/relationships/image" Target="media/image4.wmf"/><Relationship Id="rId45" Type="http://schemas.openxmlformats.org/officeDocument/2006/relationships/oleObject" Target="file:///\\kronos\mg$\FIR_BR\FIRB%20Annual%20Report\2002%20Annual%20Report\Charts%20Figures\For_2_2%20(2002).xls!FOR_2_2!R3C1:R14C5" TargetMode="External"/><Relationship Id="rId66" Type="http://schemas.openxmlformats.org/officeDocument/2006/relationships/header" Target="header20.xml"/><Relationship Id="rId87" Type="http://schemas.openxmlformats.org/officeDocument/2006/relationships/header" Target="header26.xml"/><Relationship Id="rId110" Type="http://schemas.openxmlformats.org/officeDocument/2006/relationships/footer" Target="footer35.xml"/><Relationship Id="rId115" Type="http://schemas.openxmlformats.org/officeDocument/2006/relationships/footer" Target="footer37.xml"/><Relationship Id="rId131" Type="http://schemas.openxmlformats.org/officeDocument/2006/relationships/header" Target="header46.xml"/><Relationship Id="rId136" Type="http://schemas.openxmlformats.org/officeDocument/2006/relationships/header" Target="header48.xml"/><Relationship Id="rId157" Type="http://schemas.openxmlformats.org/officeDocument/2006/relationships/footer" Target="footer53.xml"/><Relationship Id="rId178" Type="http://schemas.openxmlformats.org/officeDocument/2006/relationships/header" Target="header70.xml"/><Relationship Id="rId61" Type="http://schemas.openxmlformats.org/officeDocument/2006/relationships/oleObject" Target="file:///\\kronos\mg$\FIR_BR\FIRB%20Annual%20Report\2002%20Annual%20Report\Charts%20Figures\For_2_7(2002).xls!Sheet1!R2C1:R22C12" TargetMode="External"/><Relationship Id="rId82" Type="http://schemas.openxmlformats.org/officeDocument/2006/relationships/image" Target="media/image15.wmf"/><Relationship Id="rId152" Type="http://schemas.openxmlformats.org/officeDocument/2006/relationships/footer" Target="footer50.xml"/><Relationship Id="rId173" Type="http://schemas.openxmlformats.org/officeDocument/2006/relationships/header" Target="header67.xml"/><Relationship Id="rId194" Type="http://schemas.openxmlformats.org/officeDocument/2006/relationships/footer" Target="footer71.xml"/><Relationship Id="rId199" Type="http://schemas.openxmlformats.org/officeDocument/2006/relationships/footer" Target="footer73.xml"/><Relationship Id="rId19" Type="http://schemas.openxmlformats.org/officeDocument/2006/relationships/footer" Target="footer6.xml"/><Relationship Id="rId14" Type="http://schemas.openxmlformats.org/officeDocument/2006/relationships/footer" Target="footer4.xml"/><Relationship Id="rId30" Type="http://schemas.openxmlformats.org/officeDocument/2006/relationships/image" Target="media/image2.wmf"/><Relationship Id="rId35" Type="http://schemas.openxmlformats.org/officeDocument/2006/relationships/footer" Target="footer12.xml"/><Relationship Id="rId56" Type="http://schemas.openxmlformats.org/officeDocument/2006/relationships/footer" Target="footer14.xml"/><Relationship Id="rId77" Type="http://schemas.openxmlformats.org/officeDocument/2006/relationships/footer" Target="footer23.xml"/><Relationship Id="rId100" Type="http://schemas.openxmlformats.org/officeDocument/2006/relationships/header" Target="header32.xml"/><Relationship Id="rId105" Type="http://schemas.openxmlformats.org/officeDocument/2006/relationships/header" Target="header34.xml"/><Relationship Id="rId126" Type="http://schemas.openxmlformats.org/officeDocument/2006/relationships/image" Target="media/image18.wmf"/><Relationship Id="rId147" Type="http://schemas.openxmlformats.org/officeDocument/2006/relationships/header" Target="header55.xml"/><Relationship Id="rId168" Type="http://schemas.openxmlformats.org/officeDocument/2006/relationships/footer" Target="footer58.xml"/><Relationship Id="rId8" Type="http://schemas.openxmlformats.org/officeDocument/2006/relationships/header" Target="header2.xml"/><Relationship Id="rId51" Type="http://schemas.openxmlformats.org/officeDocument/2006/relationships/oleObject" Target="file:///\\kronos\mg$\FIR_BR\FIRB%20Annual%20Report\2002%20Annual%20Report\Charts%20Figures\For_2_5%20(2002).xls!Sheet1!R2C1:R10C7" TargetMode="External"/><Relationship Id="rId72" Type="http://schemas.openxmlformats.org/officeDocument/2006/relationships/footer" Target="footer21.xml"/><Relationship Id="rId93" Type="http://schemas.openxmlformats.org/officeDocument/2006/relationships/header" Target="header28.xml"/><Relationship Id="rId98" Type="http://schemas.openxmlformats.org/officeDocument/2006/relationships/footer" Target="footer29.xml"/><Relationship Id="rId121" Type="http://schemas.openxmlformats.org/officeDocument/2006/relationships/footer" Target="footer39.xml"/><Relationship Id="rId142" Type="http://schemas.openxmlformats.org/officeDocument/2006/relationships/header" Target="header52.xml"/><Relationship Id="rId163" Type="http://schemas.openxmlformats.org/officeDocument/2006/relationships/header" Target="header62.xml"/><Relationship Id="rId184" Type="http://schemas.openxmlformats.org/officeDocument/2006/relationships/footer" Target="footer66.xml"/><Relationship Id="rId189" Type="http://schemas.openxmlformats.org/officeDocument/2006/relationships/footer" Target="footer68.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image" Target="media/image7.wmf"/><Relationship Id="rId67" Type="http://schemas.openxmlformats.org/officeDocument/2006/relationships/header" Target="header21.xml"/><Relationship Id="rId116" Type="http://schemas.openxmlformats.org/officeDocument/2006/relationships/header" Target="header39.xml"/><Relationship Id="rId137" Type="http://schemas.openxmlformats.org/officeDocument/2006/relationships/header" Target="header49.xml"/><Relationship Id="rId158" Type="http://schemas.openxmlformats.org/officeDocument/2006/relationships/image" Target="media/image21.wmf"/><Relationship Id="rId20" Type="http://schemas.openxmlformats.org/officeDocument/2006/relationships/header" Target="header7.xml"/><Relationship Id="rId41" Type="http://schemas.openxmlformats.org/officeDocument/2006/relationships/oleObject" Target="file:///\\kronos\mg$\FIR_BR\FIRB%20Annual%20Report\2002%20Annual%20Report\Charts%20Figures\Chart2_1%20(2002).xls!CHART2.1&amp;2.2!%5bChart2_1%20(2002).xls%5dCHART2.1&amp;2.2%20Chart%202" TargetMode="External"/><Relationship Id="rId62" Type="http://schemas.openxmlformats.org/officeDocument/2006/relationships/header" Target="header18.xml"/><Relationship Id="rId83" Type="http://schemas.openxmlformats.org/officeDocument/2006/relationships/oleObject" Target="file:///\\kronos\mg$\FIR_BR\FIRB%20Annual%20Report\2002%20Annual%20Report\Charts%20Figures\Chart4_2.xls!Sheet1!%5bChart4_2.xls%5dSheet1%20Chart%202" TargetMode="External"/><Relationship Id="rId88" Type="http://schemas.openxmlformats.org/officeDocument/2006/relationships/footer" Target="footer24.xml"/><Relationship Id="rId111" Type="http://schemas.openxmlformats.org/officeDocument/2006/relationships/image" Target="media/image17.png"/><Relationship Id="rId132" Type="http://schemas.openxmlformats.org/officeDocument/2006/relationships/footer" Target="footer42.xml"/><Relationship Id="rId153" Type="http://schemas.openxmlformats.org/officeDocument/2006/relationships/footer" Target="footer51.xml"/><Relationship Id="rId174" Type="http://schemas.openxmlformats.org/officeDocument/2006/relationships/header" Target="header68.xml"/><Relationship Id="rId179" Type="http://schemas.openxmlformats.org/officeDocument/2006/relationships/footer" Target="footer63.xml"/><Relationship Id="rId195" Type="http://schemas.openxmlformats.org/officeDocument/2006/relationships/hyperlink" Target="mailto:firb@treasury.gov.au" TargetMode="External"/><Relationship Id="rId190" Type="http://schemas.openxmlformats.org/officeDocument/2006/relationships/footer" Target="footer69.xml"/><Relationship Id="rId15" Type="http://schemas.openxmlformats.org/officeDocument/2006/relationships/image" Target="media/image1.png"/><Relationship Id="rId36" Type="http://schemas.openxmlformats.org/officeDocument/2006/relationships/header" Target="header14.xml"/><Relationship Id="rId57" Type="http://schemas.openxmlformats.org/officeDocument/2006/relationships/footer" Target="footer15.xml"/><Relationship Id="rId106" Type="http://schemas.openxmlformats.org/officeDocument/2006/relationships/footer" Target="footer33.xml"/><Relationship Id="rId127" Type="http://schemas.openxmlformats.org/officeDocument/2006/relationships/oleObject" Target="embeddings/oleObject1.bin"/><Relationship Id="rId10" Type="http://schemas.openxmlformats.org/officeDocument/2006/relationships/footer" Target="footer2.xml"/><Relationship Id="rId31" Type="http://schemas.openxmlformats.org/officeDocument/2006/relationships/oleObject" Target="file:///\\kronos\mg$\FIR_BR\FIRB%20Annual%20Report\2002%20Annual%20Report\Charts%20Figures\Chart1_1%20(2002).xls!Processing_Time_20!%5bChart1_1%20(2002).xls%5dProcessing_Time_20%20Chart%2013" TargetMode="External"/><Relationship Id="rId52" Type="http://schemas.openxmlformats.org/officeDocument/2006/relationships/image" Target="media/image10.wmf"/><Relationship Id="rId73" Type="http://schemas.openxmlformats.org/officeDocument/2006/relationships/footer" Target="footer22.xml"/><Relationship Id="rId78" Type="http://schemas.openxmlformats.org/officeDocument/2006/relationships/image" Target="media/image13.wmf"/><Relationship Id="rId94" Type="http://schemas.openxmlformats.org/officeDocument/2006/relationships/header" Target="header29.xml"/><Relationship Id="rId99" Type="http://schemas.openxmlformats.org/officeDocument/2006/relationships/header" Target="header31.xml"/><Relationship Id="rId101" Type="http://schemas.openxmlformats.org/officeDocument/2006/relationships/footer" Target="footer30.xml"/><Relationship Id="rId122" Type="http://schemas.openxmlformats.org/officeDocument/2006/relationships/footer" Target="footer40.xml"/><Relationship Id="rId143" Type="http://schemas.openxmlformats.org/officeDocument/2006/relationships/header" Target="header53.xml"/><Relationship Id="rId148" Type="http://schemas.openxmlformats.org/officeDocument/2006/relationships/header" Target="header56.xml"/><Relationship Id="rId164" Type="http://schemas.openxmlformats.org/officeDocument/2006/relationships/footer" Target="footer56.xml"/><Relationship Id="rId169" Type="http://schemas.openxmlformats.org/officeDocument/2006/relationships/header" Target="header65.xml"/><Relationship Id="rId185" Type="http://schemas.openxmlformats.org/officeDocument/2006/relationships/header" Target="header73.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footer" Target="footer64.xml"/><Relationship Id="rId26" Type="http://schemas.openxmlformats.org/officeDocument/2006/relationships/footer" Target="footer9.xml"/><Relationship Id="rId47" Type="http://schemas.openxmlformats.org/officeDocument/2006/relationships/oleObject" Target="file:///\\kronos\mg$\FIR_BR\FIRB%20Annual%20Report\2002%20Annual%20Report\Charts%20Figures\For_2_2%20(2002).xls!FOR_2_2!%5bFor_2_2%20(2002).xls%5dFOR_2_2%20Chart%203" TargetMode="External"/><Relationship Id="rId68" Type="http://schemas.openxmlformats.org/officeDocument/2006/relationships/footer" Target="footer19.xml"/><Relationship Id="rId89" Type="http://schemas.openxmlformats.org/officeDocument/2006/relationships/footer" Target="footer25.xml"/><Relationship Id="rId112" Type="http://schemas.openxmlformats.org/officeDocument/2006/relationships/header" Target="header37.xml"/><Relationship Id="rId133" Type="http://schemas.openxmlformats.org/officeDocument/2006/relationships/footer" Target="footer43.xml"/><Relationship Id="rId154" Type="http://schemas.openxmlformats.org/officeDocument/2006/relationships/header" Target="header58.xml"/><Relationship Id="rId175" Type="http://schemas.openxmlformats.org/officeDocument/2006/relationships/footer" Target="footer6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185</Pages>
  <Words>48885</Words>
  <Characters>261539</Characters>
  <Application>Microsoft Office Word</Application>
  <DocSecurity>0</DocSecurity>
  <Lines>5811</Lines>
  <Paragraphs>2565</Paragraphs>
  <ScaleCrop>false</ScaleCrop>
  <Company/>
  <LinksUpToDate>false</LinksUpToDate>
  <CharactersWithSpaces>307859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2015-12-04T03:50:00Z</dcterms:created>
  <dcterms:modified xsi:type="dcterms:W3CDTF">2015-12-04T03:50:00Z</dcterms:modified>
</cp:coreProperties>
</file>