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9C" w:rsidRDefault="00A5449C">
      <w:pPr>
        <w:pStyle w:val="CoverTitleMain"/>
      </w:pPr>
      <w:bookmarkStart w:id="0" w:name="_GoBack"/>
      <w:bookmarkEnd w:id="0"/>
      <w:r>
        <w:t>Foreign Investment</w:t>
      </w:r>
    </w:p>
    <w:p w:rsidR="00A5449C" w:rsidRDefault="00A5449C">
      <w:pPr>
        <w:pStyle w:val="CoverTitleMain"/>
      </w:pPr>
      <w:r>
        <w:t>Review Board</w:t>
      </w:r>
    </w:p>
    <w:p w:rsidR="00C423CE" w:rsidRPr="00C423CE" w:rsidRDefault="00C423CE" w:rsidP="00C423CE"/>
    <w:p w:rsidR="00C423CE" w:rsidRPr="00C423CE" w:rsidRDefault="00C423CE" w:rsidP="00C423CE"/>
    <w:p w:rsidR="00C423CE" w:rsidRPr="00C423CE" w:rsidRDefault="00A5449C" w:rsidP="00C423CE">
      <w:pPr>
        <w:pStyle w:val="CoverTitleMain"/>
        <w:spacing w:after="0"/>
        <w:rPr>
          <w:sz w:val="36"/>
          <w:szCs w:val="36"/>
        </w:rPr>
      </w:pPr>
      <w:r w:rsidRPr="00C423CE">
        <w:rPr>
          <w:sz w:val="36"/>
          <w:szCs w:val="36"/>
        </w:rPr>
        <w:t>Annual Report</w:t>
      </w:r>
    </w:p>
    <w:p w:rsidR="00A5449C" w:rsidRPr="00C423CE" w:rsidRDefault="00A5449C" w:rsidP="00C423CE">
      <w:pPr>
        <w:pStyle w:val="CoverTitleMain"/>
        <w:spacing w:after="0"/>
        <w:rPr>
          <w:sz w:val="36"/>
          <w:szCs w:val="36"/>
        </w:rPr>
      </w:pPr>
      <w:r w:rsidRPr="00C423CE">
        <w:rPr>
          <w:sz w:val="36"/>
          <w:szCs w:val="36"/>
        </w:rPr>
        <w:t>200</w:t>
      </w:r>
      <w:r w:rsidR="0015209B">
        <w:rPr>
          <w:sz w:val="36"/>
          <w:szCs w:val="36"/>
        </w:rPr>
        <w:t>8</w:t>
      </w:r>
      <w:r w:rsidR="003A2D7D">
        <w:rPr>
          <w:sz w:val="36"/>
          <w:szCs w:val="36"/>
        </w:rPr>
        <w:noBreakHyphen/>
      </w:r>
      <w:r w:rsidR="006739A3">
        <w:rPr>
          <w:sz w:val="36"/>
          <w:szCs w:val="36"/>
        </w:rPr>
        <w:t>0</w:t>
      </w:r>
      <w:r w:rsidR="0015209B">
        <w:rPr>
          <w:sz w:val="36"/>
          <w:szCs w:val="36"/>
        </w:rPr>
        <w:t>9</w:t>
      </w:r>
    </w:p>
    <w:p w:rsidR="00A5449C" w:rsidRDefault="00A5449C"/>
    <w:p w:rsidR="00A5449C" w:rsidRDefault="00A5449C">
      <w:pPr>
        <w:sectPr w:rsidR="00A5449C" w:rsidSect="007A7BB8">
          <w:footerReference w:type="even" r:id="rId8"/>
          <w:footerReference w:type="default" r:id="rId9"/>
          <w:pgSz w:w="11907" w:h="16840" w:code="9"/>
          <w:pgMar w:top="2466" w:right="2098" w:bottom="2466" w:left="2098" w:header="1899" w:footer="1899" w:gutter="0"/>
          <w:cols w:space="708"/>
          <w:vAlign w:val="center"/>
          <w:titlePg/>
          <w:docGrid w:linePitch="360"/>
        </w:sectPr>
      </w:pPr>
    </w:p>
    <w:p w:rsidR="00A5449C" w:rsidRDefault="00A5449C">
      <w:r w:rsidRPr="00872DED">
        <w:lastRenderedPageBreak/>
        <w:sym w:font="Symbol" w:char="F0E3"/>
      </w:r>
      <w:r w:rsidRPr="00872DED">
        <w:t xml:space="preserve"> Commonwealth of Australia </w:t>
      </w:r>
      <w:r w:rsidRPr="005E2901">
        <w:t>20</w:t>
      </w:r>
      <w:r w:rsidR="009D69DB">
        <w:t>10</w:t>
      </w:r>
    </w:p>
    <w:p w:rsidR="000B15DC" w:rsidRDefault="00A5449C" w:rsidP="000B15DC">
      <w:r w:rsidRPr="000B15DC">
        <w:t>ISBN</w:t>
      </w:r>
      <w:r>
        <w:t xml:space="preserve"> </w:t>
      </w:r>
      <w:r w:rsidR="000B15DC" w:rsidRPr="000B15DC">
        <w:t>978-0-642-74580-4</w:t>
      </w:r>
    </w:p>
    <w:p w:rsidR="00177B28" w:rsidRPr="000B15DC" w:rsidRDefault="00177B28" w:rsidP="000B15DC"/>
    <w:p w:rsidR="00A5449C" w:rsidRDefault="00A5449C">
      <w:r>
        <w:t xml:space="preserve">This work is copyright. Apart from any use as permitted under the </w:t>
      </w:r>
      <w:r w:rsidRPr="009E0C04">
        <w:rPr>
          <w:i/>
        </w:rPr>
        <w:t>Copyright Act 1968</w:t>
      </w:r>
      <w:r>
        <w:t>, no part may be reproduced by any process without prior written permission from the Commonwealth. Requests and inquiries concerning reproduction and rights should be addressed to:</w:t>
      </w:r>
    </w:p>
    <w:p w:rsidR="00A5449C" w:rsidRDefault="00A5449C">
      <w:pPr>
        <w:pStyle w:val="SingleParagraph"/>
      </w:pPr>
      <w:r>
        <w:t>Commonwealth Copyright Administration</w:t>
      </w:r>
    </w:p>
    <w:p w:rsidR="00A5449C" w:rsidRDefault="00A5449C">
      <w:pPr>
        <w:pStyle w:val="SingleParagraph"/>
      </w:pPr>
      <w:r>
        <w:t>Attorney</w:t>
      </w:r>
      <w:r w:rsidR="003A2D7D">
        <w:noBreakHyphen/>
      </w:r>
      <w:r>
        <w:t>General</w:t>
      </w:r>
      <w:r w:rsidR="00C423CE">
        <w:t>’</w:t>
      </w:r>
      <w:r>
        <w:t>s Department</w:t>
      </w:r>
    </w:p>
    <w:p w:rsidR="00A5449C" w:rsidRDefault="00150D92">
      <w:pPr>
        <w:pStyle w:val="SingleParagraph"/>
      </w:pPr>
      <w:r>
        <w:t>3</w:t>
      </w:r>
      <w:r w:rsidR="003A2D7D">
        <w:noBreakHyphen/>
      </w:r>
      <w:r>
        <w:t>5 National Circuit</w:t>
      </w:r>
    </w:p>
    <w:p w:rsidR="00A5449C" w:rsidRDefault="00150D92" w:rsidP="00150D92">
      <w:pPr>
        <w:pStyle w:val="SingleParagraph"/>
      </w:pPr>
      <w:r>
        <w:t>BARTON  ACT  2600</w:t>
      </w:r>
    </w:p>
    <w:p w:rsidR="00150D92" w:rsidRDefault="00150D92" w:rsidP="00150D92">
      <w:pPr>
        <w:pStyle w:val="SingleParagraph"/>
      </w:pPr>
    </w:p>
    <w:p w:rsidR="00150D92" w:rsidRDefault="00150D92" w:rsidP="00150D92">
      <w:pPr>
        <w:pStyle w:val="SingleParagraph"/>
      </w:pPr>
    </w:p>
    <w:p w:rsidR="00A5449C" w:rsidRDefault="00A5449C">
      <w:r>
        <w:t>Or posted at</w:t>
      </w:r>
      <w:r w:rsidR="0023641C">
        <w:t>:</w:t>
      </w:r>
      <w:r w:rsidR="0023641C">
        <w:tab/>
      </w:r>
      <w:r w:rsidR="00B34315">
        <w:t xml:space="preserve"> </w:t>
      </w:r>
      <w:r w:rsidRPr="0018041D">
        <w:t>www.ag.gov.au/cca</w:t>
      </w:r>
    </w:p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>
      <w:r>
        <w:t>A copy of this document appears on the Foreign Investment Review Board website at www.firb.gov.au.</w:t>
      </w:r>
    </w:p>
    <w:p w:rsidR="00A5449C" w:rsidRDefault="00A5449C"/>
    <w:p w:rsidR="00A5449C" w:rsidRDefault="00A5449C"/>
    <w:p w:rsidR="00A5449C" w:rsidRDefault="00A5449C">
      <w:r w:rsidRPr="00872DED">
        <w:t>Printed by</w:t>
      </w:r>
      <w:r w:rsidR="00A35153" w:rsidRPr="00872DED">
        <w:t xml:space="preserve"> </w:t>
      </w:r>
      <w:r w:rsidR="00872DED" w:rsidRPr="00872DED">
        <w:t>CanPrint Communications Pty Ltd.</w:t>
      </w:r>
    </w:p>
    <w:p w:rsidR="00A5449C" w:rsidRDefault="00A5449C">
      <w:pPr>
        <w:sectPr w:rsidR="00A5449C" w:rsidSect="007A7BB8">
          <w:headerReference w:type="first" r:id="rId10"/>
          <w:footerReference w:type="first" r:id="rId11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Default="0090718E" w:rsidP="009E5421">
      <w:pPr>
        <w:pStyle w:val="ChartGraphic"/>
      </w:pPr>
      <w:r>
        <w:rPr>
          <w:noProof/>
        </w:rPr>
        <w:lastRenderedPageBreak/>
        <w:drawing>
          <wp:inline distT="0" distB="0" distL="0" distR="0">
            <wp:extent cx="48387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D0" w:rsidRPr="000F2790" w:rsidRDefault="00696CD0" w:rsidP="00696CD0">
      <w:pPr>
        <w:pStyle w:val="SingleParagraph"/>
      </w:pPr>
    </w:p>
    <w:p w:rsidR="00A5449C" w:rsidRPr="00C279AF" w:rsidRDefault="00A5449C" w:rsidP="00A35153">
      <w:pPr>
        <w:pStyle w:val="SingleParagraph"/>
      </w:pPr>
    </w:p>
    <w:p w:rsidR="00A5449C" w:rsidRDefault="00A5449C">
      <w:pPr>
        <w:sectPr w:rsidR="00A5449C" w:rsidSect="007A7BB8">
          <w:headerReference w:type="first" r:id="rId13"/>
          <w:footerReference w:type="first" r:id="rId14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Default="00A5449C">
      <w:pPr>
        <w:sectPr w:rsidR="00A5449C" w:rsidSect="007A7BB8">
          <w:headerReference w:type="first" r:id="rId15"/>
          <w:footerReference w:type="first" r:id="rId16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Default="00A5449C" w:rsidP="001B7805">
      <w:pPr>
        <w:pStyle w:val="ContentsHeading"/>
        <w:spacing w:after="0"/>
      </w:pPr>
      <w:r>
        <w:lastRenderedPageBreak/>
        <w:t>Contents</w:t>
      </w:r>
      <w:r w:rsidR="001E4823">
        <w:fldChar w:fldCharType="begin"/>
      </w:r>
      <w:r w:rsidR="001E4823">
        <w:instrText xml:space="preserve"> RD  “</w:instrText>
      </w:r>
      <w:r w:rsidR="001E4823" w:rsidRPr="002A512D">
        <w:instrText>0</w:instrText>
      </w:r>
      <w:r w:rsidR="001E4823">
        <w:instrText>2</w:instrText>
      </w:r>
      <w:r w:rsidR="001E4823" w:rsidRPr="002A512D">
        <w:instrText xml:space="preserve"> </w:instrText>
      </w:r>
      <w:r w:rsidR="001E4823">
        <w:instrText>A</w:instrText>
      </w:r>
      <w:r w:rsidR="001E4823" w:rsidRPr="00103F26">
        <w:instrText>cronyms</w:instrText>
      </w:r>
      <w:r w:rsidR="001E4823">
        <w:instrText xml:space="preserve"> and</w:instrText>
      </w:r>
      <w:r w:rsidR="001E4823" w:rsidRPr="00103F26">
        <w:instrText xml:space="preserve"> abbreviations</w:instrText>
      </w:r>
      <w:r w:rsidR="001E4823" w:rsidRPr="002A512D">
        <w:instrText>.doc</w:instrText>
      </w:r>
      <w:r w:rsidR="001E4823">
        <w:instrText xml:space="preserve">” </w:instrText>
      </w:r>
      <w:r w:rsidR="001E4823">
        <w:fldChar w:fldCharType="end"/>
      </w:r>
      <w:r w:rsidR="001E4823">
        <w:fldChar w:fldCharType="begin"/>
      </w:r>
      <w:r w:rsidR="001E4823">
        <w:instrText xml:space="preserve"> RD  “</w:instrText>
      </w:r>
      <w:r w:rsidR="001E4823" w:rsidRPr="002A512D">
        <w:instrText>0</w:instrText>
      </w:r>
      <w:r w:rsidR="001E4823">
        <w:instrText>3</w:instrText>
      </w:r>
      <w:r w:rsidR="001E4823" w:rsidRPr="002A512D">
        <w:instrText xml:space="preserve"> </w:instrText>
      </w:r>
      <w:r w:rsidR="001E4823">
        <w:instrText>G</w:instrText>
      </w:r>
      <w:r w:rsidR="001E4823" w:rsidRPr="00103F26">
        <w:instrText>lossary</w:instrText>
      </w:r>
      <w:r w:rsidR="001E4823" w:rsidRPr="002A512D">
        <w:instrText>.doc</w:instrText>
      </w:r>
      <w:r w:rsidR="001E4823">
        <w:instrText xml:space="preserve">” </w:instrText>
      </w:r>
      <w:r w:rsidR="001E4823"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2A512D" w:rsidRPr="002A512D">
        <w:instrText>0</w:instrText>
      </w:r>
      <w:r w:rsidR="001E4823">
        <w:instrText>4</w:instrText>
      </w:r>
      <w:r w:rsidR="002A512D" w:rsidRPr="002A512D">
        <w:instrText xml:space="preserve"> Main Points.doc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05</w:instrText>
      </w:r>
      <w:r>
        <w:instrText xml:space="preserve"> Chapter 1.doc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06</w:instrText>
      </w:r>
      <w:r>
        <w:instrText xml:space="preserve"> Chapter 2.doc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07</w:instrText>
      </w:r>
      <w:r>
        <w:instrText xml:space="preserve"> Chapter 3.doc</w:instrText>
      </w:r>
      <w:r w:rsidR="00491242">
        <w:instrText>”</w:instrText>
      </w:r>
      <w:r>
        <w:instrText xml:space="preserve"> </w:instrText>
      </w:r>
      <w:r>
        <w:fldChar w:fldCharType="end"/>
      </w:r>
      <w:r w:rsidR="00D25E26">
        <w:fldChar w:fldCharType="begin"/>
      </w:r>
      <w:r w:rsidR="00D25E26">
        <w:instrText xml:space="preserve"> RD "08 Chapter 4.doc" </w:instrText>
      </w:r>
      <w:r w:rsidR="00D25E26">
        <w:fldChar w:fldCharType="end"/>
      </w:r>
      <w:r w:rsidR="00ED41DD">
        <w:fldChar w:fldCharType="begin"/>
      </w:r>
      <w:r w:rsidR="00ED41DD">
        <w:instrText xml:space="preserve"> RD “09 Appendix A.doc” </w:instrText>
      </w:r>
      <w:r w:rsidR="00ED41DD">
        <w:fldChar w:fldCharType="end"/>
      </w:r>
    </w:p>
    <w:p w:rsidR="00C97917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"2-2" \t "Heading 1,1,Heading 3,3,Heading 8,1,Heading 9,1" </w:instrText>
      </w:r>
      <w:r>
        <w:rPr>
          <w:b w:val="0"/>
          <w:smallCaps w:val="0"/>
        </w:rPr>
        <w:fldChar w:fldCharType="separate"/>
      </w:r>
      <w:r w:rsidR="00C97917">
        <w:t>Acronyms and abbreviations</w:t>
      </w:r>
      <w:r w:rsidR="00C97917">
        <w:tab/>
        <w:t>ix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Glossary</w:t>
      </w:r>
      <w:r>
        <w:tab/>
        <w:t>xi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Main points</w:t>
      </w:r>
      <w:r>
        <w:tab/>
        <w:t>xv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Chapter 1: Foreign Investment Review Board</w:t>
      </w:r>
      <w:r>
        <w:tab/>
        <w:t>1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Functions of the Board</w:t>
      </w:r>
      <w:r>
        <w:tab/>
        <w:t>3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Board membership</w:t>
      </w:r>
      <w:r>
        <w:tab/>
        <w:t>4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Relationship of the Division to the Board</w:t>
      </w:r>
      <w:r>
        <w:tab/>
        <w:t>5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Administration of foreign investment policy</w:t>
      </w:r>
      <w:r>
        <w:tab/>
        <w:t>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Information, advice and education</w:t>
      </w:r>
      <w:r>
        <w:tab/>
        <w:t>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Consideration timeframe</w:t>
      </w:r>
      <w:r>
        <w:tab/>
        <w:t>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Examination and approval process</w:t>
      </w:r>
      <w:r>
        <w:tab/>
        <w:t>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Consultation arrangements</w:t>
      </w:r>
      <w:r>
        <w:tab/>
        <w:t>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National interest</w:t>
      </w:r>
      <w:r>
        <w:tab/>
        <w:t>7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Handling of commercial</w:t>
      </w:r>
      <w:r>
        <w:noBreakHyphen/>
        <w:t>in</w:t>
      </w:r>
      <w:r>
        <w:noBreakHyphen/>
        <w:t>confidence and personal information</w:t>
      </w:r>
      <w:r>
        <w:tab/>
        <w:t>8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2008</w:t>
      </w:r>
      <w:r>
        <w:noBreakHyphen/>
        <w:t>09 outcomes</w:t>
      </w:r>
      <w:r>
        <w:tab/>
        <w:t>9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Cost of the Board’s operations</w:t>
      </w:r>
      <w:r>
        <w:tab/>
        <w:t>9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Consideration of proposals and enquiries</w:t>
      </w:r>
      <w:r>
        <w:tab/>
        <w:t>9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Changes to foreign investment policy — residential real estate</w:t>
      </w:r>
      <w:r>
        <w:tab/>
        <w:t>10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Monitoring and compliance activity</w:t>
      </w:r>
      <w:r>
        <w:tab/>
        <w:t>11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Chapter 2: Foreign investment proposals</w:t>
      </w:r>
      <w:r>
        <w:tab/>
        <w:t>13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Features of the FIRB statistics</w:t>
      </w:r>
      <w:r>
        <w:tab/>
        <w:t>15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Applications considered</w:t>
      </w:r>
      <w:r>
        <w:tab/>
        <w:t>18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Applications decided</w:t>
      </w:r>
      <w:r>
        <w:tab/>
        <w:t>20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Approvals by value</w:t>
      </w:r>
      <w:r>
        <w:tab/>
        <w:t>22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Approvals by sector</w:t>
      </w:r>
      <w:r>
        <w:tab/>
        <w:t>24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Agriculture, forestry and fishing</w:t>
      </w:r>
      <w:r>
        <w:tab/>
        <w:t>25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Finance and insurance</w:t>
      </w:r>
      <w:r>
        <w:tab/>
        <w:t>25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Manufacturing</w:t>
      </w:r>
      <w:r>
        <w:tab/>
        <w:t>26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Mineral exploration and development</w:t>
      </w:r>
      <w:r>
        <w:tab/>
        <w:t>27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Resource processing</w:t>
      </w:r>
      <w:r>
        <w:tab/>
        <w:t>27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Services</w:t>
      </w:r>
      <w:r>
        <w:tab/>
        <w:t>27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Tourism</w:t>
      </w:r>
      <w:r>
        <w:tab/>
        <w:t>28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Real estate</w:t>
      </w:r>
      <w:r>
        <w:tab/>
        <w:t>28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lastRenderedPageBreak/>
        <w:t>Approvals by country of investor</w:t>
      </w:r>
      <w:r>
        <w:tab/>
        <w:t>36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br w:type="page"/>
      </w:r>
      <w:r>
        <w:lastRenderedPageBreak/>
        <w:t xml:space="preserve">Chapter 3: Overview of the </w:t>
      </w:r>
      <w:r w:rsidRPr="00A56036">
        <w:rPr>
          <w:i/>
        </w:rPr>
        <w:t>Foreign Acquisitions and Takeovers Act 1975</w:t>
      </w:r>
      <w:r>
        <w:tab/>
        <w:t>39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Introduction</w:t>
      </w:r>
      <w:r>
        <w:tab/>
        <w:t>41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Notification</w:t>
      </w:r>
      <w:r>
        <w:tab/>
        <w:t>42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The Treasurer’s powers</w:t>
      </w:r>
      <w:r>
        <w:tab/>
        <w:t>43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</w:t>
      </w:r>
      <w:r>
        <w:noBreakHyphen/>
        <w:t>to</w:t>
      </w:r>
      <w:r>
        <w:noBreakHyphen/>
        <w:t>foreign transactions</w:t>
      </w:r>
      <w:r>
        <w:tab/>
        <w:t>44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Prior approval for contractual arrangements</w:t>
      </w:r>
      <w:r>
        <w:tab/>
        <w:t>44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control</w:t>
      </w:r>
      <w:r>
        <w:tab/>
        <w:t>44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Enforcement provisions</w:t>
      </w:r>
      <w:r>
        <w:tab/>
        <w:t>45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Other aspects of foreign investment policy</w:t>
      </w:r>
      <w:r>
        <w:tab/>
        <w:t>45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portfolio shareholdings</w:t>
      </w:r>
      <w:r>
        <w:tab/>
        <w:t>45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government investment in Australia</w:t>
      </w:r>
      <w:r>
        <w:tab/>
        <w:t>46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 xml:space="preserve">Amendments to the </w:t>
      </w:r>
      <w:r w:rsidRPr="00A56036">
        <w:rPr>
          <w:i/>
        </w:rPr>
        <w:t>Foreign Acquisitions and Takeovers Act 1975</w:t>
      </w:r>
      <w:r>
        <w:tab/>
        <w:t>46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Taxation</w:t>
      </w:r>
      <w:r>
        <w:tab/>
        <w:t>47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Chapter 4: Australia’s international investment position</w:t>
      </w:r>
      <w:r>
        <w:tab/>
        <w:t>49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Introduction</w:t>
      </w:r>
      <w:r>
        <w:tab/>
        <w:t>51</w:t>
      </w:r>
    </w:p>
    <w:p w:rsidR="00C97917" w:rsidRDefault="00C97917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Australia’s international investment position</w:t>
      </w:r>
      <w:r>
        <w:tab/>
        <w:t>52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investment levels</w:t>
      </w:r>
      <w:r>
        <w:tab/>
        <w:t>52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direct investment levels by country</w:t>
      </w:r>
      <w:r>
        <w:tab/>
        <w:t>52</w:t>
      </w:r>
    </w:p>
    <w:p w:rsidR="00C97917" w:rsidRDefault="00C97917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investment flows</w:t>
      </w:r>
      <w:r>
        <w:tab/>
        <w:t>54</w:t>
      </w:r>
    </w:p>
    <w:p w:rsidR="00C97917" w:rsidRDefault="00C97917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Appendix A: Media releases and policy statements</w:t>
      </w:r>
      <w:r>
        <w:tab/>
        <w:t>57</w:t>
      </w:r>
    </w:p>
    <w:p w:rsidR="00D25E26" w:rsidRDefault="001708B5" w:rsidP="0048500C">
      <w:r>
        <w:rPr>
          <w:b/>
          <w:smallCaps/>
        </w:rPr>
        <w:fldChar w:fldCharType="end"/>
      </w:r>
    </w:p>
    <w:p w:rsidR="00A5449C" w:rsidRDefault="00D25E26" w:rsidP="00C47831">
      <w:pPr>
        <w:pStyle w:val="TOC1"/>
      </w:pPr>
      <w:r>
        <w:rPr>
          <w:b w:val="0"/>
          <w:smallCaps w:val="0"/>
        </w:rPr>
        <w:br w:type="page"/>
      </w:r>
      <w:r w:rsidR="005D5D0F">
        <w:lastRenderedPageBreak/>
        <w:t>Tables</w:t>
      </w:r>
    </w:p>
    <w:p w:rsidR="00C97917" w:rsidRDefault="00B40B73" w:rsidP="00C97917">
      <w:pPr>
        <w:pStyle w:val="TOC6"/>
        <w:tabs>
          <w:tab w:val="clear" w:pos="1148"/>
          <w:tab w:val="left" w:pos="1134"/>
        </w:tabs>
        <w:rPr>
          <w:rFonts w:ascii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 TOC \t "Table Main Heading,</w:instrText>
      </w:r>
      <w:r w:rsidR="000A7614">
        <w:instrText>6</w:instrText>
      </w:r>
      <w:r>
        <w:instrText xml:space="preserve">" </w:instrText>
      </w:r>
      <w:r>
        <w:fldChar w:fldCharType="separate"/>
      </w:r>
      <w:r w:rsidR="00C97917">
        <w:t>Table 2.1:</w:t>
      </w:r>
      <w:r w:rsidR="00C97917">
        <w:tab/>
        <w:t>Applications considered: 2003</w:t>
      </w:r>
      <w:r w:rsidR="00C97917">
        <w:noBreakHyphen/>
        <w:t>04 to 2008</w:t>
      </w:r>
      <w:r w:rsidR="00C97917">
        <w:noBreakHyphen/>
        <w:t>09 (number of proposals)</w:t>
      </w:r>
      <w:r w:rsidR="00C97917">
        <w:tab/>
        <w:t>19</w:t>
      </w:r>
    </w:p>
    <w:p w:rsidR="00C97917" w:rsidRDefault="00C97917" w:rsidP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 xml:space="preserve">Table 2.2: </w:t>
      </w:r>
      <w:r>
        <w:tab/>
      </w:r>
      <w:r w:rsidRPr="00C97917">
        <w:t>Applications</w:t>
      </w:r>
      <w:r>
        <w:t xml:space="preserve"> decided: 2003</w:t>
      </w:r>
      <w:r>
        <w:noBreakHyphen/>
        <w:t>04 to 2008</w:t>
      </w:r>
      <w:r>
        <w:noBreakHyphen/>
        <w:t>09 (proposed investment)</w:t>
      </w:r>
      <w:r>
        <w:tab/>
        <w:t>20</w:t>
      </w:r>
    </w:p>
    <w:p w:rsidR="00C97917" w:rsidRDefault="00C97917" w:rsidP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2.3:</w:t>
      </w:r>
      <w:r>
        <w:tab/>
        <w:t xml:space="preserve">Total </w:t>
      </w:r>
      <w:r w:rsidRPr="00C97917">
        <w:t>approvals</w:t>
      </w:r>
      <w:r>
        <w:t xml:space="preserve"> by value and number 2005</w:t>
      </w:r>
      <w:r>
        <w:noBreakHyphen/>
        <w:t>06 to 2008</w:t>
      </w:r>
      <w:r>
        <w:noBreakHyphen/>
        <w:t>09</w:t>
      </w:r>
      <w:r>
        <w:tab/>
        <w:t>22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 xml:space="preserve">Table 2.4: </w:t>
      </w:r>
      <w:r>
        <w:tab/>
        <w:t>Total approvals by industry sector in 2008</w:t>
      </w:r>
      <w:r>
        <w:noBreakHyphen/>
        <w:t>09</w:t>
      </w:r>
      <w:r>
        <w:tab/>
        <w:t>24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2.5:</w:t>
      </w:r>
      <w:r>
        <w:tab/>
        <w:t>Manufacturing sector approvals in 2008</w:t>
      </w:r>
      <w:r>
        <w:noBreakHyphen/>
        <w:t>09</w:t>
      </w:r>
      <w:r>
        <w:tab/>
        <w:t>26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2.6:</w:t>
      </w:r>
      <w:r>
        <w:tab/>
        <w:t>Mineral exploration and development sector approvals:</w:t>
      </w:r>
      <w:r>
        <w:br/>
        <w:t>2007</w:t>
      </w:r>
      <w:r>
        <w:noBreakHyphen/>
        <w:t>08 to 2008</w:t>
      </w:r>
      <w:r>
        <w:noBreakHyphen/>
        <w:t>09</w:t>
      </w:r>
      <w:r>
        <w:tab/>
        <w:t>27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2.7:</w:t>
      </w:r>
      <w:r>
        <w:tab/>
        <w:t>Services (excluding Tourism) sector approvals in 2008</w:t>
      </w:r>
      <w:r>
        <w:noBreakHyphen/>
        <w:t>09</w:t>
      </w:r>
      <w:r>
        <w:tab/>
        <w:t>28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2.8:</w:t>
      </w:r>
      <w:r>
        <w:tab/>
        <w:t>Proposed foreign investment in the tourism sector</w:t>
      </w:r>
      <w:r>
        <w:br/>
        <w:t>2004-05 to 2008-09</w:t>
      </w:r>
      <w:r>
        <w:tab/>
        <w:t>28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2.9:</w:t>
      </w:r>
      <w:r>
        <w:tab/>
        <w:t>Investment in residential real estate by type of expenditure and number of proposals approved in 2008</w:t>
      </w:r>
      <w:r>
        <w:noBreakHyphen/>
        <w:t>09</w:t>
      </w:r>
      <w:r>
        <w:tab/>
        <w:t>30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2.10:</w:t>
      </w:r>
      <w:r>
        <w:tab/>
        <w:t>Comparison of investment in residential real estate by expenditure and number of proposals approved in the period 1 July 2007 to 31 March 2008 and 1 July 2008 to 31 March 2009</w:t>
      </w:r>
      <w:r>
        <w:tab/>
        <w:t>32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2.11:</w:t>
      </w:r>
      <w:r>
        <w:tab/>
        <w:t>Investment in residential real estate by type of expenditure and number of proposals approved in the period 1 April to</w:t>
      </w:r>
      <w:r>
        <w:br/>
        <w:t>30 June 2009</w:t>
      </w:r>
      <w:r>
        <w:tab/>
        <w:t>33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2.12:</w:t>
      </w:r>
      <w:r>
        <w:tab/>
        <w:t>Investment in commercial real estate by type of expenditure and number of proposals approved in 2008</w:t>
      </w:r>
      <w:r>
        <w:noBreakHyphen/>
        <w:t>09</w:t>
      </w:r>
      <w:r>
        <w:tab/>
        <w:t>35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2.13:</w:t>
      </w:r>
      <w:r>
        <w:tab/>
        <w:t>State distribution of proposed investment in real estate in 2008</w:t>
      </w:r>
      <w:r>
        <w:noBreakHyphen/>
        <w:t>09</w:t>
      </w:r>
      <w:r>
        <w:tab/>
        <w:t>35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 xml:space="preserve">Table 2.14: </w:t>
      </w:r>
      <w:r>
        <w:tab/>
        <w:t>Approvals by country of investor in 2008</w:t>
      </w:r>
      <w:r>
        <w:noBreakHyphen/>
        <w:t>09 — industry sector</w:t>
      </w:r>
      <w:r>
        <w:tab/>
        <w:t>37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 xml:space="preserve">Table 4.1: </w:t>
      </w:r>
      <w:r>
        <w:tab/>
        <w:t>Foreign investment flows 2004-05 to 2008-09</w:t>
      </w:r>
      <w:r>
        <w:tab/>
        <w:t>55</w:t>
      </w:r>
    </w:p>
    <w:p w:rsidR="00815C93" w:rsidRDefault="00B40B73" w:rsidP="00D25E26">
      <w:r>
        <w:fldChar w:fldCharType="end"/>
      </w:r>
    </w:p>
    <w:p w:rsidR="00CE0BE0" w:rsidRDefault="00B40B73" w:rsidP="00C47831">
      <w:pPr>
        <w:pStyle w:val="TOC1"/>
      </w:pPr>
      <w:r>
        <w:t>Charts</w:t>
      </w:r>
    </w:p>
    <w:p w:rsidR="00C97917" w:rsidRDefault="00B40B73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 TOC \t "Chart Main Heading,</w:instrText>
      </w:r>
      <w:r w:rsidR="000A7614">
        <w:instrText>6</w:instrText>
      </w:r>
      <w:r>
        <w:instrText xml:space="preserve">" </w:instrText>
      </w:r>
      <w:r>
        <w:fldChar w:fldCharType="separate"/>
      </w:r>
      <w:r w:rsidR="00C97917">
        <w:t>Chart 2.1:</w:t>
      </w:r>
      <w:r w:rsidR="00C97917">
        <w:tab/>
        <w:t>Applications decided 2003</w:t>
      </w:r>
      <w:r w:rsidR="00C97917">
        <w:noBreakHyphen/>
        <w:t>04 to 2008</w:t>
      </w:r>
      <w:r w:rsidR="00C97917">
        <w:noBreakHyphen/>
        <w:t>09 —  number of proposals</w:t>
      </w:r>
      <w:r w:rsidR="00C97917">
        <w:tab/>
        <w:t>21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2.2:</w:t>
      </w:r>
      <w:r>
        <w:tab/>
        <w:t>Applications decided 2003</w:t>
      </w:r>
      <w:r>
        <w:noBreakHyphen/>
        <w:t>04 to 2008</w:t>
      </w:r>
      <w:r>
        <w:noBreakHyphen/>
        <w:t>09 —  proposed investment</w:t>
      </w:r>
      <w:r>
        <w:tab/>
        <w:t>21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2.3:</w:t>
      </w:r>
      <w:r>
        <w:tab/>
        <w:t>Total approvals by value 2005</w:t>
      </w:r>
      <w:r>
        <w:noBreakHyphen/>
        <w:t>06 to 2008</w:t>
      </w:r>
      <w:r>
        <w:noBreakHyphen/>
        <w:t>09 —  number of proposals</w:t>
      </w:r>
      <w:r>
        <w:tab/>
        <w:t>23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2.4:</w:t>
      </w:r>
      <w:r>
        <w:tab/>
        <w:t>Total approvals by value 2005</w:t>
      </w:r>
      <w:r>
        <w:noBreakHyphen/>
        <w:t>06 to 2008</w:t>
      </w:r>
      <w:r>
        <w:noBreakHyphen/>
        <w:t>09 —  proposed investment</w:t>
      </w:r>
      <w:r>
        <w:tab/>
        <w:t>23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2.5:</w:t>
      </w:r>
      <w:r>
        <w:tab/>
        <w:t>Total approvals by value by industry sector in 2008</w:t>
      </w:r>
      <w:r>
        <w:noBreakHyphen/>
        <w:t>09 —  proposed investment</w:t>
      </w:r>
      <w:r>
        <w:tab/>
        <w:t>25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4.1:</w:t>
      </w:r>
      <w:r>
        <w:tab/>
        <w:t>Level of foreign direct investment by country</w:t>
      </w:r>
      <w:r>
        <w:tab/>
        <w:t>53</w:t>
      </w:r>
    </w:p>
    <w:p w:rsidR="00C97917" w:rsidRDefault="00C97917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4.2:</w:t>
      </w:r>
      <w:r>
        <w:tab/>
        <w:t>Foreign investment flows 2004-05 to 2008-09</w:t>
      </w:r>
      <w:r>
        <w:tab/>
        <w:t>56</w:t>
      </w:r>
    </w:p>
    <w:p w:rsidR="000D5929" w:rsidRDefault="00B40B73" w:rsidP="000A7614">
      <w:pPr>
        <w:pStyle w:val="TOC6"/>
        <w:sectPr w:rsidR="000D5929" w:rsidSect="007A7BB8">
          <w:headerReference w:type="first" r:id="rId17"/>
          <w:footerReference w:type="first" r:id="rId18"/>
          <w:pgSz w:w="11907" w:h="16840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  <w:r>
        <w:fldChar w:fldCharType="end"/>
      </w:r>
    </w:p>
    <w:p w:rsidR="00B40B73" w:rsidRPr="00B40B73" w:rsidRDefault="00B40B73" w:rsidP="000A7614">
      <w:pPr>
        <w:pStyle w:val="TOC6"/>
      </w:pPr>
    </w:p>
    <w:sectPr w:rsidR="00B40B73" w:rsidRPr="00B40B73" w:rsidSect="007A7BB8">
      <w:footerReference w:type="first" r:id="rId19"/>
      <w:pgSz w:w="11907" w:h="16840" w:code="9"/>
      <w:pgMar w:top="2466" w:right="2098" w:bottom="2466" w:left="2098" w:header="1899" w:footer="189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0" w:rsidRDefault="00003AF0">
      <w:r>
        <w:separator/>
      </w:r>
    </w:p>
  </w:endnote>
  <w:endnote w:type="continuationSeparator" w:id="0">
    <w:p w:rsidR="00003AF0" w:rsidRDefault="0000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FooterEven"/>
    </w:pPr>
    <w:r>
      <w:fldChar w:fldCharType="begin"/>
    </w:r>
    <w:r>
      <w:instrText xml:space="preserve"> PAGE  \* MERGEFORMAT </w:instrText>
    </w:r>
    <w:r>
      <w:fldChar w:fldCharType="separate"/>
    </w:r>
    <w:r w:rsidR="00AF7C17">
      <w:rPr>
        <w:noProof/>
      </w:rPr>
      <w:t>viii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FooterOdd"/>
    </w:pPr>
    <w:r>
      <w:fldChar w:fldCharType="begin"/>
    </w:r>
    <w:r>
      <w:instrText xml:space="preserve"> PAGE  \* MERGEFORMAT </w:instrText>
    </w:r>
    <w:r>
      <w:fldChar w:fldCharType="separate"/>
    </w:r>
    <w:r w:rsidR="00AF7C17"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Pr="007774B3" w:rsidRDefault="002750A1" w:rsidP="007774B3">
    <w:pPr>
      <w:pStyle w:val="FooterOdd"/>
    </w:pPr>
    <w:r w:rsidRPr="007774B3">
      <w:fldChar w:fldCharType="begin"/>
    </w:r>
    <w:r w:rsidRPr="007774B3">
      <w:instrText xml:space="preserve"> PAGE </w:instrText>
    </w:r>
    <w:r w:rsidRPr="007774B3">
      <w:fldChar w:fldCharType="separate"/>
    </w:r>
    <w:r w:rsidR="00AF7C17">
      <w:rPr>
        <w:noProof/>
      </w:rPr>
      <w:t>v</w:t>
    </w:r>
    <w:r w:rsidRPr="007774B3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Pr="007774B3" w:rsidRDefault="002750A1" w:rsidP="007774B3">
    <w:pPr>
      <w:pStyle w:val="FooterOd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0" w:rsidRDefault="00003AF0">
      <w:r>
        <w:separator/>
      </w:r>
    </w:p>
  </w:footnote>
  <w:footnote w:type="continuationSeparator" w:id="0">
    <w:p w:rsidR="00003AF0" w:rsidRDefault="0000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Pr="009E5421" w:rsidRDefault="002750A1" w:rsidP="009E5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A1" w:rsidRDefault="00275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64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0CA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D01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E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3E6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A6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B85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EE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8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EC2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3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274F414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B69293D"/>
    <w:multiLevelType w:val="multilevel"/>
    <w:tmpl w:val="0C09001D"/>
    <w:name w:val="AppendixA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9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0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21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2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3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4">
    <w:nsid w:val="407931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18B22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9">
    <w:nsid w:val="53535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>
    <w:nsid w:val="65FB0D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27"/>
  </w:num>
  <w:num w:numId="5">
    <w:abstractNumId w:val="13"/>
  </w:num>
  <w:num w:numId="6">
    <w:abstractNumId w:val="13"/>
  </w:num>
  <w:num w:numId="7">
    <w:abstractNumId w:val="13"/>
  </w:num>
  <w:num w:numId="8">
    <w:abstractNumId w:val="35"/>
  </w:num>
  <w:num w:numId="9">
    <w:abstractNumId w:val="30"/>
  </w:num>
  <w:num w:numId="10">
    <w:abstractNumId w:val="10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2"/>
  </w:num>
  <w:num w:numId="24">
    <w:abstractNumId w:val="19"/>
  </w:num>
  <w:num w:numId="25">
    <w:abstractNumId w:val="24"/>
  </w:num>
  <w:num w:numId="26">
    <w:abstractNumId w:val="16"/>
  </w:num>
  <w:num w:numId="27">
    <w:abstractNumId w:val="17"/>
  </w:num>
  <w:num w:numId="28">
    <w:abstractNumId w:val="34"/>
  </w:num>
  <w:num w:numId="29">
    <w:abstractNumId w:val="31"/>
  </w:num>
  <w:num w:numId="30">
    <w:abstractNumId w:val="23"/>
  </w:num>
  <w:num w:numId="31">
    <w:abstractNumId w:val="11"/>
  </w:num>
  <w:num w:numId="32">
    <w:abstractNumId w:val="26"/>
  </w:num>
  <w:num w:numId="33">
    <w:abstractNumId w:val="1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B5"/>
    <w:rsid w:val="00000E30"/>
    <w:rsid w:val="00003AF0"/>
    <w:rsid w:val="00012E3C"/>
    <w:rsid w:val="00036C3A"/>
    <w:rsid w:val="0003780C"/>
    <w:rsid w:val="00040101"/>
    <w:rsid w:val="000444D1"/>
    <w:rsid w:val="0004580B"/>
    <w:rsid w:val="00047FBD"/>
    <w:rsid w:val="0005311B"/>
    <w:rsid w:val="00053D85"/>
    <w:rsid w:val="00062789"/>
    <w:rsid w:val="00072166"/>
    <w:rsid w:val="00075606"/>
    <w:rsid w:val="000929FC"/>
    <w:rsid w:val="00093AF9"/>
    <w:rsid w:val="00095560"/>
    <w:rsid w:val="000A14D9"/>
    <w:rsid w:val="000A7614"/>
    <w:rsid w:val="000B07BA"/>
    <w:rsid w:val="000B15DC"/>
    <w:rsid w:val="000C2FDC"/>
    <w:rsid w:val="000C7F47"/>
    <w:rsid w:val="000D5929"/>
    <w:rsid w:val="000D694C"/>
    <w:rsid w:val="000E6532"/>
    <w:rsid w:val="000E696D"/>
    <w:rsid w:val="000F2790"/>
    <w:rsid w:val="000F4593"/>
    <w:rsid w:val="000F45C1"/>
    <w:rsid w:val="00101030"/>
    <w:rsid w:val="00103F26"/>
    <w:rsid w:val="001121B9"/>
    <w:rsid w:val="0011259A"/>
    <w:rsid w:val="00122AA1"/>
    <w:rsid w:val="00127521"/>
    <w:rsid w:val="00127B4C"/>
    <w:rsid w:val="001310B5"/>
    <w:rsid w:val="00133AED"/>
    <w:rsid w:val="001371F2"/>
    <w:rsid w:val="00150D92"/>
    <w:rsid w:val="0015209B"/>
    <w:rsid w:val="001557D9"/>
    <w:rsid w:val="0016740A"/>
    <w:rsid w:val="001708B5"/>
    <w:rsid w:val="00177949"/>
    <w:rsid w:val="00177B28"/>
    <w:rsid w:val="0018041D"/>
    <w:rsid w:val="00191432"/>
    <w:rsid w:val="001A5637"/>
    <w:rsid w:val="001B7805"/>
    <w:rsid w:val="001E4823"/>
    <w:rsid w:val="00221AC6"/>
    <w:rsid w:val="0023641C"/>
    <w:rsid w:val="00241B2C"/>
    <w:rsid w:val="0024479E"/>
    <w:rsid w:val="002523E4"/>
    <w:rsid w:val="00266073"/>
    <w:rsid w:val="002750A1"/>
    <w:rsid w:val="002855F3"/>
    <w:rsid w:val="002863E5"/>
    <w:rsid w:val="002912AE"/>
    <w:rsid w:val="00295705"/>
    <w:rsid w:val="002A2B1B"/>
    <w:rsid w:val="002A3A05"/>
    <w:rsid w:val="002A512D"/>
    <w:rsid w:val="002A5894"/>
    <w:rsid w:val="002B732D"/>
    <w:rsid w:val="002B7BB8"/>
    <w:rsid w:val="002C4410"/>
    <w:rsid w:val="002C55AC"/>
    <w:rsid w:val="002D64D5"/>
    <w:rsid w:val="002E3C0A"/>
    <w:rsid w:val="002E5B10"/>
    <w:rsid w:val="002E6014"/>
    <w:rsid w:val="002F5D42"/>
    <w:rsid w:val="003024C9"/>
    <w:rsid w:val="00305BBF"/>
    <w:rsid w:val="00313699"/>
    <w:rsid w:val="0032158F"/>
    <w:rsid w:val="00354BEF"/>
    <w:rsid w:val="00366436"/>
    <w:rsid w:val="00374D5F"/>
    <w:rsid w:val="0037711E"/>
    <w:rsid w:val="003852CB"/>
    <w:rsid w:val="003A2D7D"/>
    <w:rsid w:val="003D5483"/>
    <w:rsid w:val="003F307C"/>
    <w:rsid w:val="0041283E"/>
    <w:rsid w:val="00414C40"/>
    <w:rsid w:val="004209AF"/>
    <w:rsid w:val="00431975"/>
    <w:rsid w:val="004439B8"/>
    <w:rsid w:val="00443BA2"/>
    <w:rsid w:val="004440D0"/>
    <w:rsid w:val="004504AA"/>
    <w:rsid w:val="0046177D"/>
    <w:rsid w:val="0046267F"/>
    <w:rsid w:val="0046385A"/>
    <w:rsid w:val="00484D48"/>
    <w:rsid w:val="0048500C"/>
    <w:rsid w:val="00491242"/>
    <w:rsid w:val="004940FA"/>
    <w:rsid w:val="004A4EF2"/>
    <w:rsid w:val="004A6A1F"/>
    <w:rsid w:val="004B1714"/>
    <w:rsid w:val="004B4532"/>
    <w:rsid w:val="004C140D"/>
    <w:rsid w:val="004C440D"/>
    <w:rsid w:val="004D2888"/>
    <w:rsid w:val="004D2EB3"/>
    <w:rsid w:val="004E1E80"/>
    <w:rsid w:val="004E2DD6"/>
    <w:rsid w:val="004E5019"/>
    <w:rsid w:val="00517CAD"/>
    <w:rsid w:val="00522CF1"/>
    <w:rsid w:val="00525399"/>
    <w:rsid w:val="00535892"/>
    <w:rsid w:val="00535A13"/>
    <w:rsid w:val="00537600"/>
    <w:rsid w:val="00550B3D"/>
    <w:rsid w:val="00551091"/>
    <w:rsid w:val="00581A63"/>
    <w:rsid w:val="00582A17"/>
    <w:rsid w:val="00582F76"/>
    <w:rsid w:val="00595090"/>
    <w:rsid w:val="005B2B93"/>
    <w:rsid w:val="005C57DF"/>
    <w:rsid w:val="005D3A93"/>
    <w:rsid w:val="005D5D0F"/>
    <w:rsid w:val="005E0DA4"/>
    <w:rsid w:val="005E2900"/>
    <w:rsid w:val="005E2901"/>
    <w:rsid w:val="005F742B"/>
    <w:rsid w:val="006245FC"/>
    <w:rsid w:val="00631C30"/>
    <w:rsid w:val="0064158D"/>
    <w:rsid w:val="00642720"/>
    <w:rsid w:val="006467BC"/>
    <w:rsid w:val="006475A1"/>
    <w:rsid w:val="0065392C"/>
    <w:rsid w:val="00655FCE"/>
    <w:rsid w:val="00657DB1"/>
    <w:rsid w:val="0066630C"/>
    <w:rsid w:val="00670498"/>
    <w:rsid w:val="00670968"/>
    <w:rsid w:val="006739A3"/>
    <w:rsid w:val="006767F7"/>
    <w:rsid w:val="00690D4D"/>
    <w:rsid w:val="006917F4"/>
    <w:rsid w:val="00694676"/>
    <w:rsid w:val="0069608B"/>
    <w:rsid w:val="00696CD0"/>
    <w:rsid w:val="006975AC"/>
    <w:rsid w:val="006A5B0D"/>
    <w:rsid w:val="006A704B"/>
    <w:rsid w:val="006B4999"/>
    <w:rsid w:val="006B7761"/>
    <w:rsid w:val="006D14F4"/>
    <w:rsid w:val="006F20BB"/>
    <w:rsid w:val="00700D9C"/>
    <w:rsid w:val="00710C96"/>
    <w:rsid w:val="0071273B"/>
    <w:rsid w:val="00713932"/>
    <w:rsid w:val="0072016A"/>
    <w:rsid w:val="00720583"/>
    <w:rsid w:val="007209C7"/>
    <w:rsid w:val="00730A57"/>
    <w:rsid w:val="00765BD0"/>
    <w:rsid w:val="007729B5"/>
    <w:rsid w:val="00775736"/>
    <w:rsid w:val="007774B3"/>
    <w:rsid w:val="007A7BB8"/>
    <w:rsid w:val="007B30BF"/>
    <w:rsid w:val="007C27E7"/>
    <w:rsid w:val="007D2404"/>
    <w:rsid w:val="007D69EF"/>
    <w:rsid w:val="007E4460"/>
    <w:rsid w:val="007E7C10"/>
    <w:rsid w:val="00804DE5"/>
    <w:rsid w:val="00807554"/>
    <w:rsid w:val="00815C93"/>
    <w:rsid w:val="00822DF4"/>
    <w:rsid w:val="00823EF3"/>
    <w:rsid w:val="008310D0"/>
    <w:rsid w:val="008401E6"/>
    <w:rsid w:val="00840FE8"/>
    <w:rsid w:val="00841A81"/>
    <w:rsid w:val="00842453"/>
    <w:rsid w:val="00857A2E"/>
    <w:rsid w:val="00862E4E"/>
    <w:rsid w:val="008630E5"/>
    <w:rsid w:val="00863203"/>
    <w:rsid w:val="0086400F"/>
    <w:rsid w:val="00872DED"/>
    <w:rsid w:val="00874704"/>
    <w:rsid w:val="0088630A"/>
    <w:rsid w:val="008A7048"/>
    <w:rsid w:val="008B3DA8"/>
    <w:rsid w:val="008B4B7B"/>
    <w:rsid w:val="008B4F7C"/>
    <w:rsid w:val="008C10A6"/>
    <w:rsid w:val="008D0CCD"/>
    <w:rsid w:val="008D7FD4"/>
    <w:rsid w:val="008E54A0"/>
    <w:rsid w:val="00904FBC"/>
    <w:rsid w:val="00905B3A"/>
    <w:rsid w:val="0090718E"/>
    <w:rsid w:val="0090721E"/>
    <w:rsid w:val="00913FE1"/>
    <w:rsid w:val="0092089C"/>
    <w:rsid w:val="00922A73"/>
    <w:rsid w:val="009236F5"/>
    <w:rsid w:val="0094328B"/>
    <w:rsid w:val="009617C0"/>
    <w:rsid w:val="00961912"/>
    <w:rsid w:val="00984CC4"/>
    <w:rsid w:val="009878F8"/>
    <w:rsid w:val="009932F6"/>
    <w:rsid w:val="009A40CC"/>
    <w:rsid w:val="009D69DB"/>
    <w:rsid w:val="009D752C"/>
    <w:rsid w:val="009E0C04"/>
    <w:rsid w:val="009E5421"/>
    <w:rsid w:val="009F72C1"/>
    <w:rsid w:val="00A071A9"/>
    <w:rsid w:val="00A21798"/>
    <w:rsid w:val="00A224D0"/>
    <w:rsid w:val="00A25D67"/>
    <w:rsid w:val="00A27CFE"/>
    <w:rsid w:val="00A31597"/>
    <w:rsid w:val="00A32053"/>
    <w:rsid w:val="00A33E56"/>
    <w:rsid w:val="00A34FAC"/>
    <w:rsid w:val="00A35153"/>
    <w:rsid w:val="00A361FC"/>
    <w:rsid w:val="00A5449C"/>
    <w:rsid w:val="00A56036"/>
    <w:rsid w:val="00A81457"/>
    <w:rsid w:val="00A87561"/>
    <w:rsid w:val="00AA466A"/>
    <w:rsid w:val="00AA6E82"/>
    <w:rsid w:val="00AB7DE1"/>
    <w:rsid w:val="00AD6A62"/>
    <w:rsid w:val="00AF15DA"/>
    <w:rsid w:val="00AF79EE"/>
    <w:rsid w:val="00AF7BA3"/>
    <w:rsid w:val="00AF7C17"/>
    <w:rsid w:val="00B11622"/>
    <w:rsid w:val="00B2032F"/>
    <w:rsid w:val="00B22C3A"/>
    <w:rsid w:val="00B24AC5"/>
    <w:rsid w:val="00B24CA9"/>
    <w:rsid w:val="00B32AFC"/>
    <w:rsid w:val="00B332E6"/>
    <w:rsid w:val="00B337D9"/>
    <w:rsid w:val="00B34145"/>
    <w:rsid w:val="00B34315"/>
    <w:rsid w:val="00B37833"/>
    <w:rsid w:val="00B40B73"/>
    <w:rsid w:val="00B40FE3"/>
    <w:rsid w:val="00B500BF"/>
    <w:rsid w:val="00B52332"/>
    <w:rsid w:val="00B76058"/>
    <w:rsid w:val="00B84E2B"/>
    <w:rsid w:val="00BA3E7E"/>
    <w:rsid w:val="00BA5BC4"/>
    <w:rsid w:val="00BA5D60"/>
    <w:rsid w:val="00BC44B5"/>
    <w:rsid w:val="00BC4A5C"/>
    <w:rsid w:val="00BD160E"/>
    <w:rsid w:val="00BF1A3C"/>
    <w:rsid w:val="00BF539D"/>
    <w:rsid w:val="00C00588"/>
    <w:rsid w:val="00C054D3"/>
    <w:rsid w:val="00C2677D"/>
    <w:rsid w:val="00C26F9F"/>
    <w:rsid w:val="00C279AF"/>
    <w:rsid w:val="00C301B0"/>
    <w:rsid w:val="00C31C87"/>
    <w:rsid w:val="00C374D9"/>
    <w:rsid w:val="00C423CE"/>
    <w:rsid w:val="00C47831"/>
    <w:rsid w:val="00C80ADB"/>
    <w:rsid w:val="00C87F41"/>
    <w:rsid w:val="00C95770"/>
    <w:rsid w:val="00C9774F"/>
    <w:rsid w:val="00C97917"/>
    <w:rsid w:val="00CB0F5F"/>
    <w:rsid w:val="00CD7780"/>
    <w:rsid w:val="00CE0BE0"/>
    <w:rsid w:val="00CE33C8"/>
    <w:rsid w:val="00CE6BA1"/>
    <w:rsid w:val="00D04F04"/>
    <w:rsid w:val="00D22C13"/>
    <w:rsid w:val="00D23D41"/>
    <w:rsid w:val="00D23F3C"/>
    <w:rsid w:val="00D25E26"/>
    <w:rsid w:val="00D26684"/>
    <w:rsid w:val="00D54930"/>
    <w:rsid w:val="00D62CE5"/>
    <w:rsid w:val="00D62D37"/>
    <w:rsid w:val="00D71B38"/>
    <w:rsid w:val="00D72F48"/>
    <w:rsid w:val="00D72FB1"/>
    <w:rsid w:val="00D82A9B"/>
    <w:rsid w:val="00D93DDB"/>
    <w:rsid w:val="00DA29ED"/>
    <w:rsid w:val="00DB3EED"/>
    <w:rsid w:val="00DB533E"/>
    <w:rsid w:val="00DB5702"/>
    <w:rsid w:val="00DB695F"/>
    <w:rsid w:val="00DC0BD0"/>
    <w:rsid w:val="00DC5B41"/>
    <w:rsid w:val="00DE0ADC"/>
    <w:rsid w:val="00DE31BF"/>
    <w:rsid w:val="00DF1A37"/>
    <w:rsid w:val="00E06802"/>
    <w:rsid w:val="00E07DD6"/>
    <w:rsid w:val="00E11A9A"/>
    <w:rsid w:val="00E12FCB"/>
    <w:rsid w:val="00E278BD"/>
    <w:rsid w:val="00E306BC"/>
    <w:rsid w:val="00E31D7A"/>
    <w:rsid w:val="00E41A1F"/>
    <w:rsid w:val="00E77C19"/>
    <w:rsid w:val="00E8775F"/>
    <w:rsid w:val="00EA7CD4"/>
    <w:rsid w:val="00EB5694"/>
    <w:rsid w:val="00EB68D7"/>
    <w:rsid w:val="00ED176E"/>
    <w:rsid w:val="00ED41DD"/>
    <w:rsid w:val="00ED6561"/>
    <w:rsid w:val="00ED7F54"/>
    <w:rsid w:val="00F01AEE"/>
    <w:rsid w:val="00F30819"/>
    <w:rsid w:val="00F36F4B"/>
    <w:rsid w:val="00F72B3D"/>
    <w:rsid w:val="00F73BC2"/>
    <w:rsid w:val="00F80C3C"/>
    <w:rsid w:val="00F926BA"/>
    <w:rsid w:val="00F92AD9"/>
    <w:rsid w:val="00F92C1B"/>
    <w:rsid w:val="00FA66E2"/>
    <w:rsid w:val="00FB2DBB"/>
    <w:rsid w:val="00FB622B"/>
    <w:rsid w:val="00FC5438"/>
    <w:rsid w:val="00FC6830"/>
    <w:rsid w:val="00FD0811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B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15209B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15209B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15209B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15209B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15209B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15209B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15209B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15209B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15209B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1520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link w:val="SingleParagraphChar"/>
    <w:uiPriority w:val="99"/>
    <w:rsid w:val="0015209B"/>
    <w:pPr>
      <w:spacing w:after="0"/>
    </w:pPr>
  </w:style>
  <w:style w:type="character" w:styleId="Hyperlink">
    <w:name w:val="Hyperlink"/>
    <w:basedOn w:val="DefaultParagraphFont"/>
    <w:uiPriority w:val="99"/>
    <w:rsid w:val="0015209B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1520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15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rsid w:val="0015209B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5209B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15209B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15209B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15209B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15209B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15209B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15209B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15209B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15209B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15209B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15209B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15209B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15209B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15209B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15209B"/>
    <w:pPr>
      <w:jc w:val="center"/>
    </w:pPr>
  </w:style>
  <w:style w:type="paragraph" w:customStyle="1" w:styleId="ChartMainHeading">
    <w:name w:val="Chart Main Heading"/>
    <w:basedOn w:val="HeadingBase"/>
    <w:next w:val="ChartGraphic"/>
    <w:uiPriority w:val="99"/>
    <w:rsid w:val="0015209B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15209B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hartSecondHeading">
    <w:name w:val="Chart Second Heading"/>
    <w:basedOn w:val="HeadingBase"/>
    <w:next w:val="ChartGraphic"/>
    <w:uiPriority w:val="99"/>
    <w:rsid w:val="0015209B"/>
    <w:pPr>
      <w:keepNext/>
      <w:spacing w:after="20"/>
      <w:jc w:val="center"/>
    </w:pPr>
  </w:style>
  <w:style w:type="paragraph" w:customStyle="1" w:styleId="Classification">
    <w:name w:val="Classification"/>
    <w:basedOn w:val="HeadingBase"/>
    <w:next w:val="Footer"/>
    <w:uiPriority w:val="99"/>
    <w:rsid w:val="0015209B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15209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15209B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15209B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15209B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15209B"/>
    <w:pPr>
      <w:jc w:val="center"/>
    </w:pPr>
  </w:style>
  <w:style w:type="paragraph" w:customStyle="1" w:styleId="FooterEven">
    <w:name w:val="Footer Even"/>
    <w:basedOn w:val="Footer"/>
    <w:uiPriority w:val="99"/>
    <w:rsid w:val="0015209B"/>
  </w:style>
  <w:style w:type="paragraph" w:customStyle="1" w:styleId="FooterOdd">
    <w:name w:val="Footer Odd"/>
    <w:basedOn w:val="Footer"/>
    <w:uiPriority w:val="99"/>
    <w:rsid w:val="0015209B"/>
    <w:pPr>
      <w:jc w:val="right"/>
    </w:pPr>
  </w:style>
  <w:style w:type="character" w:customStyle="1" w:styleId="FramedFooter">
    <w:name w:val="Framed Footer"/>
    <w:uiPriority w:val="99"/>
    <w:rsid w:val="0015209B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15209B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15209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15209B"/>
  </w:style>
  <w:style w:type="paragraph" w:customStyle="1" w:styleId="HeaderOdd">
    <w:name w:val="Header Odd"/>
    <w:basedOn w:val="Header"/>
    <w:uiPriority w:val="99"/>
    <w:rsid w:val="0015209B"/>
    <w:pPr>
      <w:jc w:val="right"/>
    </w:pPr>
  </w:style>
  <w:style w:type="paragraph" w:styleId="NormalIndent">
    <w:name w:val="Normal Indent"/>
    <w:basedOn w:val="Normal"/>
    <w:uiPriority w:val="99"/>
    <w:rsid w:val="0015209B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15209B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15209B"/>
  </w:style>
  <w:style w:type="paragraph" w:customStyle="1" w:styleId="RecommendationText">
    <w:name w:val="Recommendation Text"/>
    <w:basedOn w:val="RecommendationBaseText"/>
    <w:uiPriority w:val="99"/>
    <w:rsid w:val="0015209B"/>
  </w:style>
  <w:style w:type="paragraph" w:customStyle="1" w:styleId="TableTextBase">
    <w:name w:val="Table Text Base"/>
    <w:uiPriority w:val="99"/>
    <w:rsid w:val="0015209B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15209B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15209B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15209B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15209B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"/>
    <w:uiPriority w:val="99"/>
    <w:rsid w:val="0015209B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15209B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15209B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15209B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15209B"/>
    <w:pPr>
      <w:ind w:left="284"/>
    </w:pPr>
  </w:style>
  <w:style w:type="paragraph" w:customStyle="1" w:styleId="TableTextLeft">
    <w:name w:val="Table Text Left"/>
    <w:basedOn w:val="TableTextBase"/>
    <w:uiPriority w:val="99"/>
    <w:rsid w:val="0015209B"/>
  </w:style>
  <w:style w:type="paragraph" w:customStyle="1" w:styleId="TableTextRight">
    <w:name w:val="Table Text Right"/>
    <w:basedOn w:val="TableTextBase"/>
    <w:uiPriority w:val="99"/>
    <w:rsid w:val="0015209B"/>
    <w:pPr>
      <w:jc w:val="right"/>
    </w:pPr>
  </w:style>
  <w:style w:type="paragraph" w:styleId="TOC1">
    <w:name w:val="toc 1"/>
    <w:basedOn w:val="HeadingBase"/>
    <w:next w:val="Normal"/>
    <w:uiPriority w:val="99"/>
    <w:rsid w:val="0015209B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15209B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15209B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15209B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15209B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15209B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15209B"/>
  </w:style>
  <w:style w:type="paragraph" w:customStyle="1" w:styleId="BoxBullet">
    <w:name w:val="Box Bullet"/>
    <w:basedOn w:val="BoxTextBase"/>
    <w:uiPriority w:val="99"/>
    <w:rsid w:val="0015209B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15209B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15209B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15209B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15209B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15209B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15209B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15209B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1520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09B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2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1520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15209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5209B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15209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15209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15209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15209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15209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15209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15209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15209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15209B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15209B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1520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15209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15209B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15209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15209B"/>
    <w:pPr>
      <w:ind w:left="1260" w:hanging="1260"/>
    </w:pPr>
  </w:style>
  <w:style w:type="paragraph" w:styleId="TOC6">
    <w:name w:val="toc 6"/>
    <w:basedOn w:val="TOC5"/>
    <w:next w:val="Normal"/>
    <w:uiPriority w:val="99"/>
    <w:rsid w:val="00C97917"/>
    <w:pPr>
      <w:tabs>
        <w:tab w:val="left" w:pos="1148"/>
      </w:tabs>
      <w:ind w:left="1134" w:hanging="1134"/>
    </w:pPr>
  </w:style>
  <w:style w:type="paragraph" w:styleId="TOC7">
    <w:name w:val="toc 7"/>
    <w:basedOn w:val="Normal"/>
    <w:next w:val="Normal"/>
    <w:autoRedefine/>
    <w:uiPriority w:val="99"/>
    <w:rsid w:val="0015209B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15209B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15209B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15209B"/>
    <w:pPr>
      <w:numPr>
        <w:numId w:val="34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15209B"/>
    <w:pPr>
      <w:numPr>
        <w:ilvl w:val="1"/>
        <w:numId w:val="35"/>
      </w:numPr>
    </w:pPr>
  </w:style>
  <w:style w:type="paragraph" w:customStyle="1" w:styleId="AppendixGHeading3">
    <w:name w:val="AppendixGHeading3"/>
    <w:basedOn w:val="Heading3"/>
    <w:uiPriority w:val="99"/>
    <w:rsid w:val="0015209B"/>
    <w:pPr>
      <w:numPr>
        <w:numId w:val="30"/>
      </w:numPr>
    </w:pPr>
  </w:style>
  <w:style w:type="character" w:customStyle="1" w:styleId="Italics">
    <w:name w:val="Italics"/>
    <w:basedOn w:val="DefaultParagraphFont"/>
    <w:uiPriority w:val="99"/>
    <w:rPr>
      <w:rFonts w:cs="Times New Roman"/>
      <w:i/>
    </w:rPr>
  </w:style>
  <w:style w:type="paragraph" w:customStyle="1" w:styleId="SinglePara">
    <w:name w:val="Single Para"/>
    <w:basedOn w:val="Normal"/>
    <w:uiPriority w:val="99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5812"/>
      </w:tabs>
      <w:spacing w:line="300" w:lineRule="exact"/>
      <w:jc w:val="left"/>
    </w:pPr>
    <w:rPr>
      <w:rFonts w:ascii="Palatino" w:hAnsi="Palatino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NumberedParagraph">
    <w:name w:val="Numbered Paragraph"/>
    <w:basedOn w:val="Normal"/>
    <w:uiPriority w:val="99"/>
    <w:rsid w:val="0015209B"/>
    <w:pPr>
      <w:numPr>
        <w:numId w:val="24"/>
      </w:numPr>
    </w:pPr>
  </w:style>
  <w:style w:type="character" w:customStyle="1" w:styleId="SingleParagraphChar">
    <w:name w:val="Single Paragraph Char"/>
    <w:basedOn w:val="DefaultParagraphFont"/>
    <w:link w:val="SingleParagraph"/>
    <w:uiPriority w:val="99"/>
    <w:locked/>
    <w:rsid w:val="00A35153"/>
    <w:rPr>
      <w:rFonts w:ascii="Book Antiqua" w:hAnsi="Book Antiqua" w:cs="Times New Roman"/>
      <w:color w:val="000000"/>
      <w:lang w:val="en-AU" w:eastAsia="en-AU" w:bidi="ar-SA"/>
    </w:rPr>
  </w:style>
  <w:style w:type="paragraph" w:customStyle="1" w:styleId="CharCharCharCharCharChar">
    <w:name w:val="Char Char Char Char Char Char"/>
    <w:basedOn w:val="Normal"/>
    <w:uiPriority w:val="99"/>
    <w:rsid w:val="001E482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Heading3noTOC">
    <w:name w:val="Heading 3 no TOC"/>
    <w:basedOn w:val="Heading3"/>
    <w:uiPriority w:val="99"/>
    <w:rsid w:val="0015209B"/>
    <w:pPr>
      <w:outlineLvl w:val="9"/>
    </w:pPr>
  </w:style>
  <w:style w:type="character" w:styleId="FollowedHyperlink">
    <w:name w:val="FollowedHyperlink"/>
    <w:basedOn w:val="DefaultParagraphFont"/>
    <w:uiPriority w:val="99"/>
    <w:rsid w:val="0015209B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15209B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15209B"/>
    <w:pPr>
      <w:numPr>
        <w:numId w:val="35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15209B"/>
  </w:style>
  <w:style w:type="paragraph" w:styleId="Title">
    <w:name w:val="Title"/>
    <w:basedOn w:val="Normal"/>
    <w:link w:val="TitleChar"/>
    <w:uiPriority w:val="99"/>
    <w:qFormat/>
    <w:rsid w:val="00C054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2noTOC">
    <w:name w:val="Heading 2 no TOC"/>
    <w:basedOn w:val="Heading2"/>
    <w:next w:val="Normal"/>
    <w:uiPriority w:val="99"/>
    <w:rsid w:val="0015209B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15209B"/>
    <w:pPr>
      <w:outlineLvl w:val="9"/>
    </w:pPr>
  </w:style>
  <w:style w:type="paragraph" w:styleId="EnvelopeAddress">
    <w:name w:val="envelope address"/>
    <w:basedOn w:val="Normal"/>
    <w:uiPriority w:val="99"/>
    <w:rsid w:val="00F73BC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F73BC2"/>
    <w:pPr>
      <w:spacing w:after="0" w:line="240" w:lineRule="auto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B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15209B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15209B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15209B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15209B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15209B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15209B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15209B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15209B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15209B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1520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link w:val="SingleParagraphChar"/>
    <w:uiPriority w:val="99"/>
    <w:rsid w:val="0015209B"/>
    <w:pPr>
      <w:spacing w:after="0"/>
    </w:pPr>
  </w:style>
  <w:style w:type="character" w:styleId="Hyperlink">
    <w:name w:val="Hyperlink"/>
    <w:basedOn w:val="DefaultParagraphFont"/>
    <w:uiPriority w:val="99"/>
    <w:rsid w:val="0015209B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1520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15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rsid w:val="0015209B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5209B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15209B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15209B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15209B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15209B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15209B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15209B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15209B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15209B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15209B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15209B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15209B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15209B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15209B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15209B"/>
    <w:pPr>
      <w:jc w:val="center"/>
    </w:pPr>
  </w:style>
  <w:style w:type="paragraph" w:customStyle="1" w:styleId="ChartMainHeading">
    <w:name w:val="Chart Main Heading"/>
    <w:basedOn w:val="HeadingBase"/>
    <w:next w:val="ChartGraphic"/>
    <w:uiPriority w:val="99"/>
    <w:rsid w:val="0015209B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15209B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hartSecondHeading">
    <w:name w:val="Chart Second Heading"/>
    <w:basedOn w:val="HeadingBase"/>
    <w:next w:val="ChartGraphic"/>
    <w:uiPriority w:val="99"/>
    <w:rsid w:val="0015209B"/>
    <w:pPr>
      <w:keepNext/>
      <w:spacing w:after="20"/>
      <w:jc w:val="center"/>
    </w:pPr>
  </w:style>
  <w:style w:type="paragraph" w:customStyle="1" w:styleId="Classification">
    <w:name w:val="Classification"/>
    <w:basedOn w:val="HeadingBase"/>
    <w:next w:val="Footer"/>
    <w:uiPriority w:val="99"/>
    <w:rsid w:val="0015209B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15209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15209B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15209B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15209B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15209B"/>
    <w:pPr>
      <w:jc w:val="center"/>
    </w:pPr>
  </w:style>
  <w:style w:type="paragraph" w:customStyle="1" w:styleId="FooterEven">
    <w:name w:val="Footer Even"/>
    <w:basedOn w:val="Footer"/>
    <w:uiPriority w:val="99"/>
    <w:rsid w:val="0015209B"/>
  </w:style>
  <w:style w:type="paragraph" w:customStyle="1" w:styleId="FooterOdd">
    <w:name w:val="Footer Odd"/>
    <w:basedOn w:val="Footer"/>
    <w:uiPriority w:val="99"/>
    <w:rsid w:val="0015209B"/>
    <w:pPr>
      <w:jc w:val="right"/>
    </w:pPr>
  </w:style>
  <w:style w:type="character" w:customStyle="1" w:styleId="FramedFooter">
    <w:name w:val="Framed Footer"/>
    <w:uiPriority w:val="99"/>
    <w:rsid w:val="0015209B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15209B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15209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15209B"/>
  </w:style>
  <w:style w:type="paragraph" w:customStyle="1" w:styleId="HeaderOdd">
    <w:name w:val="Header Odd"/>
    <w:basedOn w:val="Header"/>
    <w:uiPriority w:val="99"/>
    <w:rsid w:val="0015209B"/>
    <w:pPr>
      <w:jc w:val="right"/>
    </w:pPr>
  </w:style>
  <w:style w:type="paragraph" w:styleId="NormalIndent">
    <w:name w:val="Normal Indent"/>
    <w:basedOn w:val="Normal"/>
    <w:uiPriority w:val="99"/>
    <w:rsid w:val="0015209B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15209B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15209B"/>
  </w:style>
  <w:style w:type="paragraph" w:customStyle="1" w:styleId="RecommendationText">
    <w:name w:val="Recommendation Text"/>
    <w:basedOn w:val="RecommendationBaseText"/>
    <w:uiPriority w:val="99"/>
    <w:rsid w:val="0015209B"/>
  </w:style>
  <w:style w:type="paragraph" w:customStyle="1" w:styleId="TableTextBase">
    <w:name w:val="Table Text Base"/>
    <w:uiPriority w:val="99"/>
    <w:rsid w:val="0015209B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15209B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15209B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15209B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15209B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"/>
    <w:uiPriority w:val="99"/>
    <w:rsid w:val="0015209B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15209B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15209B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15209B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15209B"/>
    <w:pPr>
      <w:ind w:left="284"/>
    </w:pPr>
  </w:style>
  <w:style w:type="paragraph" w:customStyle="1" w:styleId="TableTextLeft">
    <w:name w:val="Table Text Left"/>
    <w:basedOn w:val="TableTextBase"/>
    <w:uiPriority w:val="99"/>
    <w:rsid w:val="0015209B"/>
  </w:style>
  <w:style w:type="paragraph" w:customStyle="1" w:styleId="TableTextRight">
    <w:name w:val="Table Text Right"/>
    <w:basedOn w:val="TableTextBase"/>
    <w:uiPriority w:val="99"/>
    <w:rsid w:val="0015209B"/>
    <w:pPr>
      <w:jc w:val="right"/>
    </w:pPr>
  </w:style>
  <w:style w:type="paragraph" w:styleId="TOC1">
    <w:name w:val="toc 1"/>
    <w:basedOn w:val="HeadingBase"/>
    <w:next w:val="Normal"/>
    <w:uiPriority w:val="99"/>
    <w:rsid w:val="0015209B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15209B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15209B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15209B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15209B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15209B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15209B"/>
  </w:style>
  <w:style w:type="paragraph" w:customStyle="1" w:styleId="BoxBullet">
    <w:name w:val="Box Bullet"/>
    <w:basedOn w:val="BoxTextBase"/>
    <w:uiPriority w:val="99"/>
    <w:rsid w:val="0015209B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15209B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15209B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15209B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15209B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15209B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15209B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15209B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1520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09B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2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1520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15209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5209B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15209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15209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15209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15209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15209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15209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15209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15209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15209B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15209B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1520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15209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15209B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15209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15209B"/>
    <w:pPr>
      <w:ind w:left="1260" w:hanging="1260"/>
    </w:pPr>
  </w:style>
  <w:style w:type="paragraph" w:styleId="TOC6">
    <w:name w:val="toc 6"/>
    <w:basedOn w:val="TOC5"/>
    <w:next w:val="Normal"/>
    <w:uiPriority w:val="99"/>
    <w:rsid w:val="00C97917"/>
    <w:pPr>
      <w:tabs>
        <w:tab w:val="left" w:pos="1148"/>
      </w:tabs>
      <w:ind w:left="1134" w:hanging="1134"/>
    </w:pPr>
  </w:style>
  <w:style w:type="paragraph" w:styleId="TOC7">
    <w:name w:val="toc 7"/>
    <w:basedOn w:val="Normal"/>
    <w:next w:val="Normal"/>
    <w:autoRedefine/>
    <w:uiPriority w:val="99"/>
    <w:rsid w:val="0015209B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15209B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15209B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15209B"/>
    <w:pPr>
      <w:numPr>
        <w:numId w:val="34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15209B"/>
    <w:pPr>
      <w:numPr>
        <w:ilvl w:val="1"/>
        <w:numId w:val="35"/>
      </w:numPr>
    </w:pPr>
  </w:style>
  <w:style w:type="paragraph" w:customStyle="1" w:styleId="AppendixGHeading3">
    <w:name w:val="AppendixGHeading3"/>
    <w:basedOn w:val="Heading3"/>
    <w:uiPriority w:val="99"/>
    <w:rsid w:val="0015209B"/>
    <w:pPr>
      <w:numPr>
        <w:numId w:val="30"/>
      </w:numPr>
    </w:pPr>
  </w:style>
  <w:style w:type="character" w:customStyle="1" w:styleId="Italics">
    <w:name w:val="Italics"/>
    <w:basedOn w:val="DefaultParagraphFont"/>
    <w:uiPriority w:val="99"/>
    <w:rPr>
      <w:rFonts w:cs="Times New Roman"/>
      <w:i/>
    </w:rPr>
  </w:style>
  <w:style w:type="paragraph" w:customStyle="1" w:styleId="SinglePara">
    <w:name w:val="Single Para"/>
    <w:basedOn w:val="Normal"/>
    <w:uiPriority w:val="99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5812"/>
      </w:tabs>
      <w:spacing w:line="300" w:lineRule="exact"/>
      <w:jc w:val="left"/>
    </w:pPr>
    <w:rPr>
      <w:rFonts w:ascii="Palatino" w:hAnsi="Palatino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NumberedParagraph">
    <w:name w:val="Numbered Paragraph"/>
    <w:basedOn w:val="Normal"/>
    <w:uiPriority w:val="99"/>
    <w:rsid w:val="0015209B"/>
    <w:pPr>
      <w:numPr>
        <w:numId w:val="24"/>
      </w:numPr>
    </w:pPr>
  </w:style>
  <w:style w:type="character" w:customStyle="1" w:styleId="SingleParagraphChar">
    <w:name w:val="Single Paragraph Char"/>
    <w:basedOn w:val="DefaultParagraphFont"/>
    <w:link w:val="SingleParagraph"/>
    <w:uiPriority w:val="99"/>
    <w:locked/>
    <w:rsid w:val="00A35153"/>
    <w:rPr>
      <w:rFonts w:ascii="Book Antiqua" w:hAnsi="Book Antiqua" w:cs="Times New Roman"/>
      <w:color w:val="000000"/>
      <w:lang w:val="en-AU" w:eastAsia="en-AU" w:bidi="ar-SA"/>
    </w:rPr>
  </w:style>
  <w:style w:type="paragraph" w:customStyle="1" w:styleId="CharCharCharCharCharChar">
    <w:name w:val="Char Char Char Char Char Char"/>
    <w:basedOn w:val="Normal"/>
    <w:uiPriority w:val="99"/>
    <w:rsid w:val="001E482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Heading3noTOC">
    <w:name w:val="Heading 3 no TOC"/>
    <w:basedOn w:val="Heading3"/>
    <w:uiPriority w:val="99"/>
    <w:rsid w:val="0015209B"/>
    <w:pPr>
      <w:outlineLvl w:val="9"/>
    </w:pPr>
  </w:style>
  <w:style w:type="character" w:styleId="FollowedHyperlink">
    <w:name w:val="FollowedHyperlink"/>
    <w:basedOn w:val="DefaultParagraphFont"/>
    <w:uiPriority w:val="99"/>
    <w:rsid w:val="0015209B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15209B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15209B"/>
    <w:pPr>
      <w:numPr>
        <w:numId w:val="35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15209B"/>
  </w:style>
  <w:style w:type="paragraph" w:styleId="Title">
    <w:name w:val="Title"/>
    <w:basedOn w:val="Normal"/>
    <w:link w:val="TitleChar"/>
    <w:uiPriority w:val="99"/>
    <w:qFormat/>
    <w:rsid w:val="00C054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2noTOC">
    <w:name w:val="Heading 2 no TOC"/>
    <w:basedOn w:val="Heading2"/>
    <w:next w:val="Normal"/>
    <w:uiPriority w:val="99"/>
    <w:rsid w:val="0015209B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15209B"/>
    <w:pPr>
      <w:outlineLvl w:val="9"/>
    </w:pPr>
  </w:style>
  <w:style w:type="paragraph" w:styleId="EnvelopeAddress">
    <w:name w:val="envelope address"/>
    <w:basedOn w:val="Normal"/>
    <w:uiPriority w:val="99"/>
    <w:rsid w:val="00F73BC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F73BC2"/>
    <w:pPr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9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</vt:lpstr>
    </vt:vector>
  </TitlesOfParts>
  <Company>The Treasury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</dc:title>
  <dc:creator>Lani McMahon - 3254</dc:creator>
  <cp:lastModifiedBy>Keogh, Vicky</cp:lastModifiedBy>
  <cp:revision>2</cp:revision>
  <cp:lastPrinted>2009-07-29T04:22:00Z</cp:lastPrinted>
  <dcterms:created xsi:type="dcterms:W3CDTF">2016-01-18T00:30:00Z</dcterms:created>
  <dcterms:modified xsi:type="dcterms:W3CDTF">2016-01-18T00:30:00Z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agsFieldForKWizComTags1">
    <vt:lpwstr/>
  </property>
</Properties>
</file>