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1" w:rsidRPr="00420DC2" w:rsidRDefault="00721EC1" w:rsidP="007A652D">
      <w:pPr>
        <w:pStyle w:val="Heading8"/>
      </w:pPr>
      <w:bookmarkStart w:id="0" w:name="_GoBack"/>
      <w:bookmarkEnd w:id="0"/>
      <w:r w:rsidRPr="00420DC2">
        <w:t>Chapter 4</w:t>
      </w:r>
    </w:p>
    <w:p w:rsidR="00165D78" w:rsidRPr="00420DC2" w:rsidRDefault="00165D78" w:rsidP="007A652D">
      <w:pPr>
        <w:pStyle w:val="Heading9"/>
      </w:pPr>
      <w:r w:rsidRPr="00420DC2">
        <w:t>Australia</w:t>
      </w:r>
      <w:r w:rsidR="00CF38A0" w:rsidRPr="00420DC2">
        <w:t>’</w:t>
      </w:r>
      <w:r w:rsidRPr="00420DC2">
        <w:t xml:space="preserve">s </w:t>
      </w:r>
      <w:r w:rsidR="00164AA4" w:rsidRPr="00420DC2">
        <w:t>i</w:t>
      </w:r>
      <w:r w:rsidRPr="00420DC2">
        <w:t xml:space="preserve">nternational </w:t>
      </w:r>
      <w:r w:rsidR="00164AA4" w:rsidRPr="00420DC2">
        <w:t>i</w:t>
      </w:r>
      <w:r w:rsidRPr="00420DC2">
        <w:t xml:space="preserve">nvestment </w:t>
      </w:r>
      <w:r w:rsidR="00164AA4" w:rsidRPr="00420DC2">
        <w:t>p</w:t>
      </w:r>
      <w:r w:rsidRPr="00420DC2">
        <w:t>osition</w:t>
      </w:r>
    </w:p>
    <w:p w:rsidR="00165D78" w:rsidRDefault="00165D78" w:rsidP="00165D78"/>
    <w:p w:rsidR="00F7091E" w:rsidRDefault="00F7091E" w:rsidP="00915640">
      <w:pPr>
        <w:pStyle w:val="Heading1noTOC"/>
        <w:sectPr w:rsidR="00F7091E" w:rsidSect="00C86546">
          <w:headerReference w:type="even" r:id="rId9"/>
          <w:headerReference w:type="default" r:id="rId10"/>
          <w:footerReference w:type="even" r:id="rId11"/>
          <w:footerReference w:type="default" r:id="rId12"/>
          <w:headerReference w:type="first" r:id="rId13"/>
          <w:footnotePr>
            <w:numStart w:val="14"/>
          </w:footnotePr>
          <w:type w:val="continuous"/>
          <w:pgSz w:w="11907" w:h="16840" w:code="9"/>
          <w:pgMar w:top="2466" w:right="2098" w:bottom="2466" w:left="2098" w:header="1899" w:footer="1899" w:gutter="0"/>
          <w:paperSrc w:first="15" w:other="15"/>
          <w:pgNumType w:start="47"/>
          <w:cols w:space="708"/>
          <w:titlePg/>
          <w:docGrid w:linePitch="360"/>
        </w:sectPr>
      </w:pPr>
    </w:p>
    <w:p w:rsidR="00165D78" w:rsidRPr="00420DC2" w:rsidRDefault="00165D78" w:rsidP="00915640">
      <w:pPr>
        <w:pStyle w:val="Heading1noTOC"/>
      </w:pPr>
      <w:r w:rsidRPr="00420DC2">
        <w:lastRenderedPageBreak/>
        <w:t>Australia</w:t>
      </w:r>
      <w:r w:rsidR="00CF38A0" w:rsidRPr="00420DC2">
        <w:t>’</w:t>
      </w:r>
      <w:r w:rsidRPr="00420DC2">
        <w:t xml:space="preserve">s </w:t>
      </w:r>
      <w:r w:rsidR="006F0F95" w:rsidRPr="00420DC2">
        <w:t>i</w:t>
      </w:r>
      <w:r w:rsidRPr="00420DC2">
        <w:t xml:space="preserve">nternational </w:t>
      </w:r>
      <w:r w:rsidR="006F0F95" w:rsidRPr="00420DC2">
        <w:t>i</w:t>
      </w:r>
      <w:r w:rsidRPr="00420DC2">
        <w:t xml:space="preserve">nvestment </w:t>
      </w:r>
      <w:r w:rsidR="006F0F95" w:rsidRPr="00420DC2">
        <w:t>p</w:t>
      </w:r>
      <w:r w:rsidRPr="00420DC2">
        <w:t>osition</w:t>
      </w:r>
    </w:p>
    <w:p w:rsidR="00165D78" w:rsidRPr="00420DC2" w:rsidRDefault="00165D78" w:rsidP="00165D78">
      <w:pPr>
        <w:pStyle w:val="Heading2"/>
      </w:pPr>
      <w:r w:rsidRPr="00420DC2">
        <w:t>Introduction</w:t>
      </w:r>
    </w:p>
    <w:p w:rsidR="00165D78" w:rsidRPr="0047417F" w:rsidRDefault="00165D78" w:rsidP="00165D78">
      <w:r w:rsidRPr="0047417F">
        <w:t>One of the Government</w:t>
      </w:r>
      <w:r w:rsidR="00CF38A0">
        <w:t>’</w:t>
      </w:r>
      <w:r w:rsidRPr="0047417F">
        <w:t xml:space="preserve">s principal </w:t>
      </w:r>
      <w:r w:rsidR="00006614">
        <w:t xml:space="preserve">policy </w:t>
      </w:r>
      <w:r w:rsidRPr="0047417F">
        <w:t xml:space="preserve">objectives is to generate and capture benefits for </w:t>
      </w:r>
      <w:r>
        <w:t xml:space="preserve">the </w:t>
      </w:r>
      <w:r w:rsidRPr="0047417F">
        <w:t>Australia</w:t>
      </w:r>
      <w:r>
        <w:t>n community</w:t>
      </w:r>
      <w:r w:rsidRPr="0047417F">
        <w:t xml:space="preserve"> through international trade and investment liberalisation</w:t>
      </w:r>
      <w:r>
        <w:t xml:space="preserve">. </w:t>
      </w:r>
      <w:r w:rsidRPr="0047417F">
        <w:t>This is pursued through a multifaceted policy involving complementary multilateral, regional and bilateral engagement.</w:t>
      </w:r>
    </w:p>
    <w:p w:rsidR="00165D78" w:rsidRPr="0047417F" w:rsidRDefault="00165D78" w:rsidP="00165D78">
      <w:r w:rsidRPr="0047417F">
        <w:t xml:space="preserve">The </w:t>
      </w:r>
      <w:r w:rsidR="00446B4A">
        <w:t>Treasury</w:t>
      </w:r>
      <w:r w:rsidR="00CF38A0">
        <w:t>’</w:t>
      </w:r>
      <w:r w:rsidR="00446B4A">
        <w:t xml:space="preserve">s </w:t>
      </w:r>
      <w:r w:rsidRPr="0047417F">
        <w:t>Foreign Investment</w:t>
      </w:r>
      <w:r>
        <w:t xml:space="preserve"> and Trade</w:t>
      </w:r>
      <w:r w:rsidRPr="0047417F">
        <w:t xml:space="preserve"> Policy Division </w:t>
      </w:r>
      <w:r w:rsidR="001D5CC8">
        <w:t>(</w:t>
      </w:r>
      <w:r w:rsidR="00890E25" w:rsidRPr="00890E25">
        <w:t>the Division</w:t>
      </w:r>
      <w:r w:rsidR="001D5CC8">
        <w:t xml:space="preserve">) </w:t>
      </w:r>
      <w:r w:rsidRPr="0047417F">
        <w:t>is responsible for ensuring effective representation of Australia</w:t>
      </w:r>
      <w:r w:rsidR="00CF38A0">
        <w:t>’</w:t>
      </w:r>
      <w:r w:rsidRPr="0047417F">
        <w:t xml:space="preserve">s </w:t>
      </w:r>
      <w:r w:rsidR="00114484">
        <w:t>F</w:t>
      </w:r>
      <w:r w:rsidR="00114484" w:rsidRPr="0047417F">
        <w:t xml:space="preserve">oreign </w:t>
      </w:r>
      <w:r w:rsidR="00114484">
        <w:t>I</w:t>
      </w:r>
      <w:r w:rsidR="00114484" w:rsidRPr="0047417F">
        <w:t xml:space="preserve">nvestment </w:t>
      </w:r>
      <w:r w:rsidR="00114484">
        <w:t>P</w:t>
      </w:r>
      <w:r w:rsidR="00114484" w:rsidRPr="0047417F">
        <w:t>olicy</w:t>
      </w:r>
      <w:r w:rsidR="00114484">
        <w:t xml:space="preserve"> </w:t>
      </w:r>
      <w:r w:rsidR="008266FF">
        <w:t>(the policy)</w:t>
      </w:r>
      <w:r w:rsidRPr="0047417F">
        <w:t xml:space="preserve"> and negotiating position</w:t>
      </w:r>
      <w:r w:rsidR="004745DB">
        <w:t>s</w:t>
      </w:r>
      <w:r w:rsidRPr="0047417F">
        <w:t xml:space="preserve"> on international investment issues</w:t>
      </w:r>
      <w:r>
        <w:t xml:space="preserve">. </w:t>
      </w:r>
      <w:r w:rsidRPr="0047417F">
        <w:t xml:space="preserve">This </w:t>
      </w:r>
      <w:r w:rsidR="004745DB">
        <w:t xml:space="preserve">work </w:t>
      </w:r>
      <w:r w:rsidRPr="0047417F">
        <w:t>includes</w:t>
      </w:r>
      <w:r w:rsidR="008266FF">
        <w:t>:</w:t>
      </w:r>
      <w:r w:rsidRPr="0047417F">
        <w:t xml:space="preserve"> multilateral forums, such as the Organisation for Economic Co</w:t>
      </w:r>
      <w:r w:rsidR="00377D27">
        <w:noBreakHyphen/>
      </w:r>
      <w:r w:rsidRPr="0047417F">
        <w:t>operation and Development (OECD) and the World Trade Organi</w:t>
      </w:r>
      <w:r w:rsidR="00446B4A">
        <w:t>z</w:t>
      </w:r>
      <w:r w:rsidRPr="0047417F">
        <w:t>ation (WTO); regional forums, such as Asia</w:t>
      </w:r>
      <w:r w:rsidR="00377D27">
        <w:noBreakHyphen/>
      </w:r>
      <w:r w:rsidRPr="0047417F">
        <w:t xml:space="preserve">Pacific Economic Cooperation (APEC); and bilateral </w:t>
      </w:r>
      <w:r w:rsidR="007236CF">
        <w:t>mechanisms</w:t>
      </w:r>
      <w:r w:rsidRPr="0047417F">
        <w:t>, such as free trade agreement</w:t>
      </w:r>
      <w:r w:rsidR="007236CF">
        <w:t>s</w:t>
      </w:r>
      <w:r w:rsidRPr="0047417F">
        <w:t xml:space="preserve"> (FTA</w:t>
      </w:r>
      <w:r w:rsidR="007236CF">
        <w:t>s</w:t>
      </w:r>
      <w:r w:rsidRPr="0047417F">
        <w:t>)</w:t>
      </w:r>
      <w:r w:rsidR="001D45EE">
        <w:t xml:space="preserve"> and</w:t>
      </w:r>
      <w:r w:rsidRPr="0047417F">
        <w:t xml:space="preserve"> investment protection and promotion agreement</w:t>
      </w:r>
      <w:r w:rsidR="007236CF">
        <w:t>s</w:t>
      </w:r>
      <w:r w:rsidRPr="0047417F">
        <w:t xml:space="preserve"> (IPPA</w:t>
      </w:r>
      <w:r w:rsidR="007236CF">
        <w:t>s</w:t>
      </w:r>
      <w:r w:rsidRPr="0047417F">
        <w:t>)</w:t>
      </w:r>
      <w:r w:rsidR="007236CF">
        <w:t>.</w:t>
      </w:r>
    </w:p>
    <w:p w:rsidR="00165D78" w:rsidRDefault="00890E25" w:rsidP="00165D78">
      <w:r w:rsidRPr="00890E25">
        <w:t>The Division</w:t>
      </w:r>
      <w:r w:rsidR="00165D78" w:rsidRPr="0047417F">
        <w:t xml:space="preserve"> also </w:t>
      </w:r>
      <w:r w:rsidR="00006614">
        <w:t>supports</w:t>
      </w:r>
      <w:r w:rsidR="00165D78" w:rsidRPr="0047417F">
        <w:t xml:space="preserve"> the Executive Member of the Board</w:t>
      </w:r>
      <w:r w:rsidR="00006614">
        <w:t xml:space="preserve"> in his role</w:t>
      </w:r>
      <w:r w:rsidR="00165D78" w:rsidRPr="0047417F">
        <w:t xml:space="preserve"> as the </w:t>
      </w:r>
      <w:r w:rsidR="00165D78">
        <w:t>Australian National Contact Point (</w:t>
      </w:r>
      <w:r w:rsidR="001D5CC8">
        <w:t xml:space="preserve">the </w:t>
      </w:r>
      <w:r w:rsidR="00165D78">
        <w:t>ANCP)</w:t>
      </w:r>
      <w:r w:rsidR="00165D78" w:rsidRPr="0047417F">
        <w:t xml:space="preserve"> for </w:t>
      </w:r>
      <w:r w:rsidR="00C0342B">
        <w:t>t</w:t>
      </w:r>
      <w:r w:rsidR="00340977" w:rsidRPr="00C0342B">
        <w:t xml:space="preserve">he </w:t>
      </w:r>
      <w:r w:rsidR="00165D78" w:rsidRPr="00446B4A">
        <w:rPr>
          <w:i/>
        </w:rPr>
        <w:t>OECD Guidelines for Multinational Enterprises</w:t>
      </w:r>
      <w:r w:rsidR="00165D78" w:rsidRPr="0047417F">
        <w:t xml:space="preserve"> (the</w:t>
      </w:r>
      <w:r w:rsidR="00165D78">
        <w:t xml:space="preserve"> </w:t>
      </w:r>
      <w:r w:rsidRPr="00890E25">
        <w:t>OECD Guidelines</w:t>
      </w:r>
      <w:r w:rsidR="00165D78" w:rsidRPr="0047417F">
        <w:t>) and related corporate social responsibility issues</w:t>
      </w:r>
      <w:r w:rsidR="00165D78">
        <w:t xml:space="preserve">. </w:t>
      </w:r>
      <w:r w:rsidR="00165D78" w:rsidRPr="0047417F">
        <w:t xml:space="preserve">The role of the </w:t>
      </w:r>
      <w:r w:rsidR="00165D78">
        <w:t xml:space="preserve">ANCP is to ensure the effective promotion </w:t>
      </w:r>
      <w:r w:rsidR="00544A7C">
        <w:t xml:space="preserve">and implementation </w:t>
      </w:r>
      <w:r w:rsidR="00165D78">
        <w:t xml:space="preserve">of the </w:t>
      </w:r>
      <w:r w:rsidRPr="00890E25">
        <w:t>OECD Guidelines</w:t>
      </w:r>
      <w:r w:rsidR="00165D78">
        <w:t xml:space="preserve"> in Australia.</w:t>
      </w:r>
    </w:p>
    <w:p w:rsidR="00165D78" w:rsidRDefault="00165D78" w:rsidP="00165D78">
      <w:r>
        <w:t>Over the past two decades</w:t>
      </w:r>
      <w:r w:rsidR="001C528A">
        <w:t xml:space="preserve">, </w:t>
      </w:r>
      <w:r>
        <w:t>growth in world</w:t>
      </w:r>
      <w:r w:rsidR="00735A88">
        <w:t>wide</w:t>
      </w:r>
      <w:r>
        <w:t xml:space="preserve"> </w:t>
      </w:r>
      <w:r w:rsidR="00735A88">
        <w:t xml:space="preserve">flows of </w:t>
      </w:r>
      <w:r>
        <w:t xml:space="preserve">foreign direct investment (FDI) has been </w:t>
      </w:r>
      <w:r w:rsidR="00006614">
        <w:t>particularly strong</w:t>
      </w:r>
      <w:r>
        <w:t>. This growth in FDI largely reflects the worldwide relaxation of trade and investment controls, together with advancements in information technologies</w:t>
      </w:r>
      <w:r w:rsidR="00647B9F">
        <w:t>, communications and transport</w:t>
      </w:r>
      <w:r w:rsidR="00A80702">
        <w:t>, and the emergence of global production chains</w:t>
      </w:r>
      <w:r w:rsidR="00647B9F">
        <w:t>.</w:t>
      </w:r>
      <w:r w:rsidR="00544A7C">
        <w:t xml:space="preserve"> The global financial crisis </w:t>
      </w:r>
      <w:r w:rsidR="00F96F2A">
        <w:t xml:space="preserve">has impacted adversely on global capital flows. According to OECD </w:t>
      </w:r>
      <w:r w:rsidR="00F67AF6">
        <w:t>data</w:t>
      </w:r>
      <w:r w:rsidR="00F96F2A">
        <w:t xml:space="preserve">, member countries’ outflows of FDI fell </w:t>
      </w:r>
      <w:r w:rsidR="00142B3A">
        <w:t xml:space="preserve">by </w:t>
      </w:r>
      <w:r w:rsidR="00D11CFA">
        <w:t>25</w:t>
      </w:r>
      <w:r w:rsidR="00F96F2A">
        <w:t xml:space="preserve"> per cent while inflows fell by </w:t>
      </w:r>
      <w:r w:rsidR="00D11CFA">
        <w:t>26</w:t>
      </w:r>
      <w:r w:rsidR="00F96F2A">
        <w:t xml:space="preserve"> per cent in 200</w:t>
      </w:r>
      <w:r w:rsidR="00F67AF6">
        <w:t>9</w:t>
      </w:r>
      <w:r w:rsidR="00377D27">
        <w:noBreakHyphen/>
      </w:r>
      <w:r w:rsidR="00102E5A">
        <w:t>10</w:t>
      </w:r>
      <w:r w:rsidR="00F96F2A">
        <w:t xml:space="preserve">. </w:t>
      </w:r>
      <w:r w:rsidR="00142B3A">
        <w:t>Th</w:t>
      </w:r>
      <w:r w:rsidR="00DF41F2">
        <w:t>i</w:t>
      </w:r>
      <w:r w:rsidR="00142B3A">
        <w:t xml:space="preserve">s OECD </w:t>
      </w:r>
      <w:r w:rsidR="00DF41F2">
        <w:t xml:space="preserve">data </w:t>
      </w:r>
      <w:r w:rsidR="00142B3A">
        <w:t>show</w:t>
      </w:r>
      <w:r w:rsidR="00DF41F2">
        <w:t>s</w:t>
      </w:r>
      <w:r w:rsidR="00142B3A">
        <w:t xml:space="preserve"> that </w:t>
      </w:r>
      <w:r w:rsidR="00F96F2A">
        <w:t xml:space="preserve">FDI inflows into Australia </w:t>
      </w:r>
      <w:r w:rsidR="00F67AF6">
        <w:t>f</w:t>
      </w:r>
      <w:r w:rsidR="00F96F2A">
        <w:t>e</w:t>
      </w:r>
      <w:r w:rsidR="00F67AF6">
        <w:t>ll</w:t>
      </w:r>
      <w:r w:rsidR="00F96F2A">
        <w:t xml:space="preserve"> by </w:t>
      </w:r>
      <w:r w:rsidR="00D11CFA">
        <w:t>27</w:t>
      </w:r>
      <w:r w:rsidR="00F96F2A">
        <w:t xml:space="preserve"> per cent while outflows from Australia </w:t>
      </w:r>
      <w:r w:rsidR="00F67AF6">
        <w:t>f</w:t>
      </w:r>
      <w:r w:rsidR="00F96F2A">
        <w:t>e</w:t>
      </w:r>
      <w:r w:rsidR="00F67AF6">
        <w:t>ll</w:t>
      </w:r>
      <w:r w:rsidR="00F96F2A">
        <w:t xml:space="preserve"> by </w:t>
      </w:r>
      <w:r w:rsidR="00D11CFA">
        <w:t>4</w:t>
      </w:r>
      <w:r w:rsidR="00F852D9">
        <w:t>0</w:t>
      </w:r>
      <w:r w:rsidR="00F96F2A">
        <w:t xml:space="preserve"> per cent</w:t>
      </w:r>
      <w:r w:rsidR="00A50B45">
        <w:t xml:space="preserve"> in </w:t>
      </w:r>
      <w:r w:rsidR="00F852D9">
        <w:t>2009</w:t>
      </w:r>
      <w:r w:rsidR="00377D27">
        <w:noBreakHyphen/>
      </w:r>
      <w:r w:rsidR="00F852D9">
        <w:t>1</w:t>
      </w:r>
      <w:r w:rsidR="00A50B45">
        <w:t>0.</w:t>
      </w:r>
      <w:r w:rsidR="002B4644">
        <w:t xml:space="preserve"> </w:t>
      </w:r>
    </w:p>
    <w:p w:rsidR="00165D78" w:rsidRPr="00D24156" w:rsidRDefault="00165D78" w:rsidP="00165D78">
      <w:pPr>
        <w:rPr>
          <w:highlight w:val="yellow"/>
        </w:rPr>
      </w:pPr>
      <w:r w:rsidRPr="0047417F">
        <w:t xml:space="preserve">Australia has traditionally </w:t>
      </w:r>
      <w:r>
        <w:t>relied on</w:t>
      </w:r>
      <w:r w:rsidRPr="0047417F">
        <w:t xml:space="preserve"> inward FDI to meet the shortfall </w:t>
      </w:r>
      <w:r>
        <w:t xml:space="preserve">between </w:t>
      </w:r>
      <w:r w:rsidRPr="0047417F">
        <w:t xml:space="preserve">domestic saving </w:t>
      </w:r>
      <w:r>
        <w:t xml:space="preserve">and the level of </w:t>
      </w:r>
      <w:r w:rsidRPr="0047417F">
        <w:t>domestic investment</w:t>
      </w:r>
      <w:r>
        <w:t>. Foreign investment</w:t>
      </w:r>
      <w:r w:rsidRPr="0047417F">
        <w:t xml:space="preserve"> supplement</w:t>
      </w:r>
      <w:r>
        <w:t>s</w:t>
      </w:r>
      <w:r w:rsidRPr="0047417F">
        <w:t xml:space="preserve"> local savings</w:t>
      </w:r>
      <w:r w:rsidR="001C528A">
        <w:t xml:space="preserve">, </w:t>
      </w:r>
      <w:r w:rsidR="00006614">
        <w:t>thereby supporting</w:t>
      </w:r>
      <w:r w:rsidRPr="0047417F">
        <w:t xml:space="preserve"> higher </w:t>
      </w:r>
      <w:r>
        <w:t xml:space="preserve">rates of </w:t>
      </w:r>
      <w:r w:rsidRPr="0047417F">
        <w:t>economic growth</w:t>
      </w:r>
      <w:r>
        <w:t xml:space="preserve"> and</w:t>
      </w:r>
      <w:r w:rsidRPr="0047417F">
        <w:t xml:space="preserve"> employment</w:t>
      </w:r>
      <w:r>
        <w:t xml:space="preserve"> levels </w:t>
      </w:r>
      <w:r w:rsidRPr="001E1CFB">
        <w:t xml:space="preserve">which in turn </w:t>
      </w:r>
      <w:r w:rsidR="009E3EA5">
        <w:t>improve</w:t>
      </w:r>
      <w:r w:rsidR="001E1CFB">
        <w:t xml:space="preserve"> the wellbeing of the Australian people</w:t>
      </w:r>
      <w:r w:rsidRPr="001E1CFB">
        <w:t>. Inward FDI also continues to</w:t>
      </w:r>
      <w:r>
        <w:t xml:space="preserve"> play a significant role in making Australian industry internationally competitive, and thereby contributing to export growth, facilitating access to new technologies, financing new and often risky innovations, and providing opportunities for global integration and networking.</w:t>
      </w:r>
    </w:p>
    <w:p w:rsidR="00165D78" w:rsidRDefault="00165D78" w:rsidP="00165D78">
      <w:r>
        <w:lastRenderedPageBreak/>
        <w:t xml:space="preserve">Outward FDI enables Australian firms to expand their business beyond the potential constraints imposed by the limited size of the domestic market. By extending their market presence and access to resources, expertise and technology in other markets, Australian firms are </w:t>
      </w:r>
      <w:r w:rsidR="00446B4A">
        <w:t>able</w:t>
      </w:r>
      <w:r>
        <w:t xml:space="preserve"> to become more efficient and competitive in global markets. Outward FDI </w:t>
      </w:r>
      <w:r w:rsidR="001F0A72">
        <w:t xml:space="preserve">also </w:t>
      </w:r>
      <w:r>
        <w:t xml:space="preserve">has a multiplier effect through </w:t>
      </w:r>
      <w:r w:rsidRPr="0047417F">
        <w:t>stimulat</w:t>
      </w:r>
      <w:r>
        <w:t>ing the</w:t>
      </w:r>
      <w:r w:rsidRPr="0047417F">
        <w:t xml:space="preserve"> </w:t>
      </w:r>
      <w:r>
        <w:t>demand for goods and services provided by component and other input suppliers.</w:t>
      </w:r>
    </w:p>
    <w:p w:rsidR="00356EDE" w:rsidRPr="00420DC2" w:rsidRDefault="003E56E7" w:rsidP="00D10D28">
      <w:pPr>
        <w:pStyle w:val="Heading2"/>
      </w:pPr>
      <w:bookmarkStart w:id="1" w:name="P7_1595"/>
      <w:bookmarkEnd w:id="1"/>
      <w:r w:rsidRPr="00420DC2">
        <w:t>Australia’s i</w:t>
      </w:r>
      <w:r w:rsidR="00356EDE" w:rsidRPr="00420DC2">
        <w:t>nternational investment position</w:t>
      </w:r>
    </w:p>
    <w:p w:rsidR="00356EDE" w:rsidRPr="00AB3166" w:rsidRDefault="00356EDE">
      <w:r w:rsidRPr="00AB3166">
        <w:t>This section summarises trends in foreign investment in Australia and Australian investment abroad using Australian Bureau of Statistics (ABS) data</w:t>
      </w:r>
      <w:r w:rsidR="00631FE7">
        <w:t>.</w:t>
      </w:r>
      <w:r w:rsidR="001E1CFB">
        <w:rPr>
          <w:rStyle w:val="FootnoteReference"/>
        </w:rPr>
        <w:footnoteReference w:id="1"/>
      </w:r>
      <w:r w:rsidR="00B938A5">
        <w:t xml:space="preserve"> </w:t>
      </w:r>
      <w:r w:rsidRPr="00AB3166">
        <w:t>Foreign investment in Australia refers to the stock of financial assets in Australia owned by non</w:t>
      </w:r>
      <w:r w:rsidR="00377D27">
        <w:noBreakHyphen/>
      </w:r>
      <w:r w:rsidRPr="00AB3166">
        <w:t>residents and financial transactions that increase or decrease this stock</w:t>
      </w:r>
      <w:r>
        <w:t xml:space="preserve">. </w:t>
      </w:r>
      <w:r w:rsidRPr="00AB3166">
        <w:t>Conversely, Australian investment abroad refers to the stock of foreign financial assets owned by Australian residents and financial transactions that increase or decrease that stock.</w:t>
      </w:r>
    </w:p>
    <w:p w:rsidR="00356EDE" w:rsidRPr="00AB3166" w:rsidRDefault="00356EDE" w:rsidP="008E05BC">
      <w:r w:rsidRPr="00AB3166">
        <w:t>ABS data on Australia</w:t>
      </w:r>
      <w:r w:rsidR="00CF38A0">
        <w:t>’</w:t>
      </w:r>
      <w:r w:rsidRPr="00AB3166">
        <w:t>s international investment</w:t>
      </w:r>
      <w:r>
        <w:t xml:space="preserve"> position</w:t>
      </w:r>
      <w:r w:rsidR="00DD5BAA">
        <w:t xml:space="preserve"> is</w:t>
      </w:r>
      <w:r w:rsidRPr="00AB3166">
        <w:t xml:space="preserve"> compiled in accordance with the relevant international statistical standards promulgated by the OECD and the International Monetary Fund</w:t>
      </w:r>
      <w:r w:rsidR="002034E4">
        <w:t>.</w:t>
      </w:r>
      <w:r w:rsidR="00DD5BAA" w:rsidRPr="00AB3166" w:rsidDel="00DD5BAA">
        <w:t xml:space="preserve"> </w:t>
      </w:r>
      <w:r w:rsidR="002034E4">
        <w:t>This</w:t>
      </w:r>
      <w:r w:rsidR="002034E4" w:rsidRPr="00AB3166">
        <w:t xml:space="preserve"> </w:t>
      </w:r>
      <w:r w:rsidRPr="00AB3166">
        <w:t xml:space="preserve">data </w:t>
      </w:r>
      <w:r w:rsidR="00DD5BAA">
        <w:t>is</w:t>
      </w:r>
      <w:r w:rsidR="00DD5BAA" w:rsidRPr="00AB3166">
        <w:t xml:space="preserve"> </w:t>
      </w:r>
      <w:r w:rsidRPr="00AB3166">
        <w:t>a measure of the actual cross</w:t>
      </w:r>
      <w:r w:rsidR="00377D27">
        <w:noBreakHyphen/>
      </w:r>
      <w:r w:rsidRPr="00AB3166">
        <w:t xml:space="preserve">border transactions and the level of foreign investment held at a particular </w:t>
      </w:r>
      <w:r w:rsidRPr="001E1CFB">
        <w:t xml:space="preserve">time. </w:t>
      </w:r>
      <w:r w:rsidR="00DD5BAA" w:rsidRPr="001E1CFB">
        <w:t xml:space="preserve">By contrast, FIRB statistics relate to proposals </w:t>
      </w:r>
      <w:r w:rsidRPr="001E1CFB">
        <w:t>submitted for approval, regardless</w:t>
      </w:r>
      <w:r w:rsidRPr="00AB3166">
        <w:t xml:space="preserve"> of the source of finance </w:t>
      </w:r>
      <w:r w:rsidR="00DD5BAA">
        <w:t>or whether proposals were actually implemented</w:t>
      </w:r>
      <w:r w:rsidR="00705684">
        <w:t>.</w:t>
      </w:r>
      <w:r w:rsidR="00DD5BAA">
        <w:t xml:space="preserve"> These differences are explained </w:t>
      </w:r>
      <w:r w:rsidRPr="00AB3166">
        <w:t>in Chapter</w:t>
      </w:r>
      <w:r w:rsidR="00DD11AF">
        <w:t> </w:t>
      </w:r>
      <w:r w:rsidRPr="00AB3166">
        <w:t>2.</w:t>
      </w:r>
    </w:p>
    <w:p w:rsidR="00AD5344" w:rsidRPr="00420DC2" w:rsidRDefault="00AD5344" w:rsidP="00AD5344">
      <w:pPr>
        <w:pStyle w:val="Heading3"/>
      </w:pPr>
      <w:r w:rsidRPr="00420DC2">
        <w:t>Foreign investment levels</w:t>
      </w:r>
      <w:r w:rsidR="00D56913" w:rsidRPr="0029178B">
        <w:rPr>
          <w:rFonts w:ascii="Arial Bold" w:hAnsi="Arial Bold"/>
          <w:vertAlign w:val="superscript"/>
        </w:rPr>
        <w:footnoteReference w:id="2"/>
      </w:r>
    </w:p>
    <w:p w:rsidR="00AD5344" w:rsidRPr="0025033C" w:rsidRDefault="00FD126C" w:rsidP="00AD5344">
      <w:r w:rsidRPr="0025033C">
        <w:t>According to ABS statistics</w:t>
      </w:r>
      <w:r w:rsidR="00705684" w:rsidRPr="0025033C">
        <w:rPr>
          <w:rStyle w:val="FootnoteReference"/>
        </w:rPr>
        <w:footnoteReference w:id="3"/>
      </w:r>
      <w:r w:rsidR="00DA1F2B">
        <w:t>,</w:t>
      </w:r>
      <w:r w:rsidR="00AD5344" w:rsidRPr="0025033C">
        <w:t xml:space="preserve"> the stock of foreign investment in Australia </w:t>
      </w:r>
      <w:r w:rsidR="003E56E7" w:rsidRPr="0025033C">
        <w:t xml:space="preserve">at the end of </w:t>
      </w:r>
      <w:r w:rsidR="000D5D58">
        <w:t>June</w:t>
      </w:r>
      <w:r w:rsidR="000D5D58" w:rsidRPr="0025033C">
        <w:t> </w:t>
      </w:r>
      <w:r w:rsidR="00DF4E0F" w:rsidRPr="0025033C">
        <w:t>20</w:t>
      </w:r>
      <w:r w:rsidR="000D5D58">
        <w:t>1</w:t>
      </w:r>
      <w:r w:rsidR="00DF4E0F" w:rsidRPr="0025033C">
        <w:t xml:space="preserve">0 </w:t>
      </w:r>
      <w:r w:rsidR="00AD5344" w:rsidRPr="0025033C">
        <w:t>was $</w:t>
      </w:r>
      <w:r w:rsidR="000D5D58">
        <w:t>1,9</w:t>
      </w:r>
      <w:r w:rsidR="00F246CE">
        <w:t>60</w:t>
      </w:r>
      <w:r w:rsidR="000D5D58">
        <w:t>.</w:t>
      </w:r>
      <w:r w:rsidR="00F246CE">
        <w:t>8</w:t>
      </w:r>
      <w:r w:rsidR="00BC06E3">
        <w:t> </w:t>
      </w:r>
      <w:r w:rsidR="00AD5344" w:rsidRPr="0025033C">
        <w:t>billion. This represents an increase of $</w:t>
      </w:r>
      <w:r w:rsidR="00BC06E3">
        <w:t>16</w:t>
      </w:r>
      <w:r w:rsidR="00AA7FA6">
        <w:t>8</w:t>
      </w:r>
      <w:r w:rsidR="00F246CE">
        <w:t>.4</w:t>
      </w:r>
      <w:r w:rsidR="00BC06E3">
        <w:t> </w:t>
      </w:r>
      <w:r w:rsidR="00AD5344" w:rsidRPr="0025033C">
        <w:t xml:space="preserve">billion over the level at </w:t>
      </w:r>
      <w:r w:rsidR="00C43FAF">
        <w:t xml:space="preserve">the end of </w:t>
      </w:r>
      <w:r w:rsidR="000D5D58">
        <w:t xml:space="preserve">June </w:t>
      </w:r>
      <w:r w:rsidR="00C43FAF">
        <w:t>200</w:t>
      </w:r>
      <w:r w:rsidR="000D5D58">
        <w:t>9</w:t>
      </w:r>
      <w:r w:rsidR="00AD5344" w:rsidRPr="0025033C">
        <w:t xml:space="preserve">. </w:t>
      </w:r>
    </w:p>
    <w:p w:rsidR="00AD5344" w:rsidRDefault="00AD5344" w:rsidP="00AD5344">
      <w:r w:rsidRPr="0025033C">
        <w:t>At the same time</w:t>
      </w:r>
      <w:r w:rsidR="00CF6188">
        <w:t xml:space="preserve">, </w:t>
      </w:r>
      <w:r w:rsidRPr="0025033C">
        <w:t>the stock of Australian investment abroad was $</w:t>
      </w:r>
      <w:r w:rsidR="00AA7FA6">
        <w:t>1,193.</w:t>
      </w:r>
      <w:r w:rsidR="00F246CE">
        <w:t>7</w:t>
      </w:r>
      <w:r w:rsidR="00555EF7">
        <w:t xml:space="preserve"> </w:t>
      </w:r>
      <w:r w:rsidRPr="0025033C">
        <w:t xml:space="preserve">billion. </w:t>
      </w:r>
      <w:r w:rsidR="00AA7FA6">
        <w:t xml:space="preserve">This represents an increase of </w:t>
      </w:r>
      <w:r w:rsidR="00341F87">
        <w:t>$105</w:t>
      </w:r>
      <w:r w:rsidR="00AA7FA6">
        <w:t>.0</w:t>
      </w:r>
      <w:r w:rsidR="009F6509">
        <w:t> </w:t>
      </w:r>
      <w:r w:rsidRPr="0025033C">
        <w:t xml:space="preserve">billion over the stock at </w:t>
      </w:r>
      <w:r w:rsidR="00C43FAF">
        <w:t xml:space="preserve">the end of </w:t>
      </w:r>
      <w:r w:rsidR="00341F87">
        <w:t xml:space="preserve">June </w:t>
      </w:r>
      <w:r w:rsidR="00C43FAF">
        <w:t>200</w:t>
      </w:r>
      <w:r w:rsidR="00341F87">
        <w:t>9</w:t>
      </w:r>
      <w:r w:rsidRPr="0025033C">
        <w:t xml:space="preserve">. </w:t>
      </w:r>
    </w:p>
    <w:p w:rsidR="003E56E7" w:rsidRPr="00420DC2" w:rsidRDefault="003E56E7" w:rsidP="003E56E7">
      <w:pPr>
        <w:pStyle w:val="Heading3"/>
      </w:pPr>
      <w:r w:rsidRPr="00420DC2">
        <w:t xml:space="preserve">Foreign </w:t>
      </w:r>
      <w:r w:rsidR="00705684" w:rsidRPr="00420DC2">
        <w:t xml:space="preserve">direct </w:t>
      </w:r>
      <w:r w:rsidRPr="00420DC2">
        <w:t>investment levels by country</w:t>
      </w:r>
    </w:p>
    <w:p w:rsidR="008A651B" w:rsidRPr="009316E2" w:rsidRDefault="008A651B" w:rsidP="008A651B">
      <w:pPr>
        <w:rPr>
          <w:highlight w:val="yellow"/>
        </w:rPr>
      </w:pPr>
      <w:r w:rsidRPr="001005D7">
        <w:t xml:space="preserve">Chart 4.1 </w:t>
      </w:r>
      <w:r>
        <w:t xml:space="preserve">depicts recent trends in FDI levels between Australia and five </w:t>
      </w:r>
      <w:r w:rsidR="00175A7A">
        <w:t xml:space="preserve">of its </w:t>
      </w:r>
      <w:r>
        <w:t xml:space="preserve">most important FDI partners: </w:t>
      </w:r>
      <w:r w:rsidRPr="001005D7">
        <w:t>the US, the U</w:t>
      </w:r>
      <w:r>
        <w:t xml:space="preserve">nited </w:t>
      </w:r>
      <w:r w:rsidRPr="001005D7">
        <w:t>K</w:t>
      </w:r>
      <w:r>
        <w:t>ingdom (UK)</w:t>
      </w:r>
      <w:r w:rsidRPr="001005D7">
        <w:t>, Japan, New Zealand</w:t>
      </w:r>
      <w:r>
        <w:t xml:space="preserve"> and the European Union (EU) (other than the UK)</w:t>
      </w:r>
      <w:r w:rsidR="00377D27">
        <w:t xml:space="preserve">. </w:t>
      </w:r>
      <w:r w:rsidR="00A727D4">
        <w:t xml:space="preserve">The latest ABS data on foreign direct investment levels by country is for </w:t>
      </w:r>
      <w:r w:rsidR="009F6509">
        <w:t>2009</w:t>
      </w:r>
      <w:r w:rsidR="00A727D4">
        <w:t>.</w:t>
      </w:r>
    </w:p>
    <w:p w:rsidR="008A651B" w:rsidRDefault="008A651B" w:rsidP="008A651B">
      <w:r>
        <w:lastRenderedPageBreak/>
        <w:t>The US is Australia’s single largest source of inward FDI and the most important destination for Australian FDI abroad</w:t>
      </w:r>
      <w:r w:rsidR="009F6509">
        <w:t>. At the end of</w:t>
      </w:r>
      <w:r w:rsidR="009F6509" w:rsidRPr="00340977">
        <w:t xml:space="preserve"> </w:t>
      </w:r>
      <w:r w:rsidR="009F6509">
        <w:t>2009,</w:t>
      </w:r>
      <w:r w:rsidR="009F6509" w:rsidRPr="00340977">
        <w:t xml:space="preserve"> $</w:t>
      </w:r>
      <w:r w:rsidR="009F6509">
        <w:t>99</w:t>
      </w:r>
      <w:r w:rsidR="009F6509" w:rsidRPr="00340977">
        <w:t> billion</w:t>
      </w:r>
      <w:r w:rsidR="009F6509">
        <w:t xml:space="preserve"> or approximately 23 per cent of </w:t>
      </w:r>
      <w:r w:rsidR="00175A7A">
        <w:t xml:space="preserve">the level of </w:t>
      </w:r>
      <w:r w:rsidR="009F6509">
        <w:t>FDI in Australia originated from the US</w:t>
      </w:r>
      <w:r>
        <w:t xml:space="preserve">. </w:t>
      </w:r>
      <w:r w:rsidR="00311A48">
        <w:t xml:space="preserve">The level </w:t>
      </w:r>
      <w:r>
        <w:t xml:space="preserve">of Australian direct investment </w:t>
      </w:r>
      <w:r w:rsidR="00311A48">
        <w:t xml:space="preserve">in </w:t>
      </w:r>
      <w:r>
        <w:t>the US</w:t>
      </w:r>
      <w:r w:rsidR="00175A7A">
        <w:t xml:space="preserve"> </w:t>
      </w:r>
      <w:r w:rsidR="00311A48">
        <w:t>was $</w:t>
      </w:r>
      <w:r w:rsidR="002F5ECB">
        <w:t>100</w:t>
      </w:r>
      <w:r w:rsidR="00311A48">
        <w:t xml:space="preserve"> b</w:t>
      </w:r>
      <w:r w:rsidR="00DA1F2B">
        <w:t>illion at the end of 2009 or 29 </w:t>
      </w:r>
      <w:r w:rsidR="002F5ECB">
        <w:t>per </w:t>
      </w:r>
      <w:r w:rsidR="00311A48">
        <w:t>cent of the level of Australian outward direct investment.</w:t>
      </w:r>
      <w:r w:rsidR="009F6509">
        <w:t xml:space="preserve"> However, </w:t>
      </w:r>
      <w:r w:rsidR="00175A7A">
        <w:t>direct investment to the US had</w:t>
      </w:r>
      <w:r w:rsidR="009F6509">
        <w:t xml:space="preserve"> f</w:t>
      </w:r>
      <w:r w:rsidR="00175A7A">
        <w:t>a</w:t>
      </w:r>
      <w:r w:rsidR="009F6509">
        <w:t>ll</w:t>
      </w:r>
      <w:r w:rsidR="00175A7A">
        <w:t>en</w:t>
      </w:r>
      <w:r w:rsidR="009F6509">
        <w:t xml:space="preserve"> </w:t>
      </w:r>
      <w:r w:rsidR="00311A48">
        <w:t xml:space="preserve">significantly </w:t>
      </w:r>
      <w:r w:rsidR="009F6509">
        <w:t xml:space="preserve">from </w:t>
      </w:r>
      <w:r w:rsidR="00175A7A">
        <w:t>the level at the end of 2008 (</w:t>
      </w:r>
      <w:r w:rsidR="009F6509">
        <w:t>$13</w:t>
      </w:r>
      <w:r w:rsidR="00175A7A">
        <w:t>6</w:t>
      </w:r>
      <w:r w:rsidR="009F6509">
        <w:t> billion</w:t>
      </w:r>
      <w:r w:rsidR="00175A7A">
        <w:t>)</w:t>
      </w:r>
      <w:r w:rsidR="009F6509">
        <w:t>.</w:t>
      </w:r>
      <w:r>
        <w:t xml:space="preserve"> </w:t>
      </w:r>
    </w:p>
    <w:p w:rsidR="008A651B" w:rsidRPr="00340977" w:rsidRDefault="008A651B" w:rsidP="008A651B">
      <w:r>
        <w:t xml:space="preserve">The UK has traditionally been Australia’s other major source of FDI. </w:t>
      </w:r>
      <w:r w:rsidRPr="00340977">
        <w:t xml:space="preserve">At the end of </w:t>
      </w:r>
      <w:r w:rsidR="009F6509">
        <w:t>2009</w:t>
      </w:r>
      <w:r w:rsidRPr="00340977">
        <w:t>, $</w:t>
      </w:r>
      <w:r w:rsidR="009F6509">
        <w:t>63 </w:t>
      </w:r>
      <w:r w:rsidRPr="00340977">
        <w:t xml:space="preserve">billion, or approximately </w:t>
      </w:r>
      <w:r>
        <w:t>1</w:t>
      </w:r>
      <w:r w:rsidR="00175A7A">
        <w:t>4</w:t>
      </w:r>
      <w:r w:rsidR="00555EF7">
        <w:t xml:space="preserve"> </w:t>
      </w:r>
      <w:r w:rsidRPr="00340977">
        <w:t>per</w:t>
      </w:r>
      <w:r w:rsidR="00555EF7">
        <w:t xml:space="preserve"> </w:t>
      </w:r>
      <w:r w:rsidRPr="00340977">
        <w:t xml:space="preserve">cent, of the level of FDI in Australia originated from the UK. The level of Australian direct investment in the UK </w:t>
      </w:r>
      <w:r>
        <w:t>was $</w:t>
      </w:r>
      <w:r w:rsidR="009F6509">
        <w:t>64 </w:t>
      </w:r>
      <w:r>
        <w:t xml:space="preserve">billion at the end of </w:t>
      </w:r>
      <w:r w:rsidR="009F6509">
        <w:t>2009, a significant increase on the $25 billion at the end of 2008</w:t>
      </w:r>
      <w:r>
        <w:t xml:space="preserve">. </w:t>
      </w:r>
    </w:p>
    <w:p w:rsidR="008A651B" w:rsidRPr="00340977" w:rsidRDefault="008A651B" w:rsidP="008A651B">
      <w:r w:rsidRPr="00340977">
        <w:t xml:space="preserve">The level of Japanese FDI in Australia </w:t>
      </w:r>
      <w:r>
        <w:t>at the end of</w:t>
      </w:r>
      <w:r w:rsidRPr="00340977">
        <w:t xml:space="preserve"> </w:t>
      </w:r>
      <w:r w:rsidR="009F6509">
        <w:t>2009</w:t>
      </w:r>
      <w:r w:rsidRPr="00340977">
        <w:t xml:space="preserve"> </w:t>
      </w:r>
      <w:r>
        <w:t>was</w:t>
      </w:r>
      <w:r w:rsidRPr="00340977">
        <w:t xml:space="preserve"> $</w:t>
      </w:r>
      <w:r w:rsidR="009F6509">
        <w:t>45</w:t>
      </w:r>
      <w:r w:rsidR="009F6509" w:rsidRPr="00340977">
        <w:t> </w:t>
      </w:r>
      <w:r w:rsidRPr="00340977">
        <w:t>billion</w:t>
      </w:r>
      <w:r w:rsidR="009F6509">
        <w:t>, up from $3</w:t>
      </w:r>
      <w:r w:rsidR="00311A48">
        <w:t>7</w:t>
      </w:r>
      <w:r w:rsidR="009F6509">
        <w:t> billion at the end of 2008</w:t>
      </w:r>
      <w:r w:rsidRPr="00340977">
        <w:t>. However, Australian FDI in Japan remains at a very low level.</w:t>
      </w:r>
    </w:p>
    <w:p w:rsidR="008A651B" w:rsidRPr="00340977" w:rsidRDefault="008A651B" w:rsidP="008A651B">
      <w:r w:rsidRPr="00340977">
        <w:t>The level of Australian direct investment in New</w:t>
      </w:r>
      <w:r w:rsidR="00555EF7">
        <w:t xml:space="preserve"> </w:t>
      </w:r>
      <w:r w:rsidRPr="00340977">
        <w:t xml:space="preserve">Zealand </w:t>
      </w:r>
      <w:r>
        <w:t>at the end of</w:t>
      </w:r>
      <w:r w:rsidRPr="00340977">
        <w:t xml:space="preserve"> </w:t>
      </w:r>
      <w:r w:rsidR="009F6509">
        <w:t>2009</w:t>
      </w:r>
      <w:r>
        <w:t xml:space="preserve"> was</w:t>
      </w:r>
      <w:r w:rsidRPr="00340977">
        <w:t xml:space="preserve"> $</w:t>
      </w:r>
      <w:r w:rsidR="009F6509">
        <w:t>42</w:t>
      </w:r>
      <w:r w:rsidR="009F6509" w:rsidRPr="00340977">
        <w:t> </w:t>
      </w:r>
      <w:r w:rsidRPr="00340977">
        <w:t>billion. New Zealand direct investment in Australia</w:t>
      </w:r>
      <w:r>
        <w:t xml:space="preserve"> was</w:t>
      </w:r>
      <w:r w:rsidRPr="00340977">
        <w:t xml:space="preserve"> $</w:t>
      </w:r>
      <w:r w:rsidR="009F6509">
        <w:t>6 </w:t>
      </w:r>
      <w:r w:rsidRPr="00340977">
        <w:t xml:space="preserve">billion </w:t>
      </w:r>
      <w:r>
        <w:t>at the end of</w:t>
      </w:r>
      <w:r w:rsidRPr="00340977">
        <w:t xml:space="preserve"> </w:t>
      </w:r>
      <w:r w:rsidR="009F6509">
        <w:t>2009</w:t>
      </w:r>
      <w:r w:rsidRPr="00340977">
        <w:t>.</w:t>
      </w:r>
    </w:p>
    <w:p w:rsidR="003E56E7" w:rsidRDefault="008A651B" w:rsidP="008A651B">
      <w:pPr>
        <w:spacing w:after="360"/>
      </w:pPr>
      <w:r w:rsidRPr="00340977">
        <w:t>The level of EU (excluding the UK) direct investment in the Australian economy grew to $</w:t>
      </w:r>
      <w:r w:rsidR="00311A48">
        <w:t>8</w:t>
      </w:r>
      <w:r>
        <w:t>3</w:t>
      </w:r>
      <w:r w:rsidRPr="00340977">
        <w:t> billion</w:t>
      </w:r>
      <w:r>
        <w:t xml:space="preserve"> by the end of </w:t>
      </w:r>
      <w:r w:rsidR="009F6509">
        <w:t>2009</w:t>
      </w:r>
      <w:r w:rsidRPr="00340977">
        <w:t>. Australian direct investment in the EU</w:t>
      </w:r>
      <w:r>
        <w:t xml:space="preserve"> </w:t>
      </w:r>
      <w:r w:rsidRPr="00340977">
        <w:t xml:space="preserve">(excluding the UK) </w:t>
      </w:r>
      <w:r>
        <w:t>was $2</w:t>
      </w:r>
      <w:r w:rsidR="00311A48">
        <w:t>9</w:t>
      </w:r>
      <w:r>
        <w:t xml:space="preserve"> billion</w:t>
      </w:r>
      <w:r w:rsidRPr="00340977">
        <w:t xml:space="preserve"> at the end of </w:t>
      </w:r>
      <w:r w:rsidR="009F6509">
        <w:t>2009</w:t>
      </w:r>
      <w:r w:rsidRPr="00340977">
        <w:t>.</w:t>
      </w:r>
    </w:p>
    <w:p w:rsidR="00356EDE" w:rsidRPr="00420DC2" w:rsidRDefault="00356EDE" w:rsidP="000A5840">
      <w:pPr>
        <w:pStyle w:val="ChartMainHeading"/>
      </w:pPr>
      <w:r w:rsidRPr="00420DC2">
        <w:lastRenderedPageBreak/>
        <w:t>Chart 4.1</w:t>
      </w:r>
      <w:r w:rsidR="00DC46AB" w:rsidRPr="00420DC2">
        <w:t xml:space="preserve">: </w:t>
      </w:r>
      <w:r w:rsidRPr="00420DC2">
        <w:t>Level of foreign direct investment by</w:t>
      </w:r>
      <w:r w:rsidR="00B9443E" w:rsidRPr="00420DC2">
        <w:t xml:space="preserve"> </w:t>
      </w:r>
      <w:r w:rsidRPr="00420DC2">
        <w:t>country</w:t>
      </w:r>
    </w:p>
    <w:p w:rsidR="00EB00EA" w:rsidRPr="004D47D3" w:rsidRDefault="0045679C" w:rsidP="00377D27">
      <w:pPr>
        <w:pStyle w:val="ChartGraphic"/>
        <w:keepNext/>
      </w:pPr>
      <w:bookmarkStart w:id="2" w:name="OLE_LINK1"/>
      <w:r>
        <w:rPr>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2133600</wp:posOffset>
                </wp:positionV>
                <wp:extent cx="1906905" cy="228600"/>
                <wp:effectExtent l="0" t="0" r="0" b="0"/>
                <wp:wrapNone/>
                <wp:docPr id="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44" w:rsidRPr="00C43FAF" w:rsidRDefault="00F96744" w:rsidP="00C43FAF">
                            <w:pPr>
                              <w:spacing w:after="0" w:line="240" w:lineRule="auto"/>
                              <w:rPr>
                                <w:rFonts w:ascii="Arial" w:hAnsi="Arial" w:cs="Arial"/>
                                <w:sz w:val="16"/>
                                <w:szCs w:val="16"/>
                              </w:rPr>
                            </w:pPr>
                            <w:r>
                              <w:rPr>
                                <w:rFonts w:ascii="Arial" w:hAnsi="Arial" w:cs="Arial"/>
                                <w:sz w:val="16"/>
                                <w:szCs w:val="16"/>
                              </w:rPr>
                              <w:t>Australian direct investment abroad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53.85pt;margin-top:168pt;width:150.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DghQIAABE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" stroked="f">
                <v:textbox>
                  <w:txbxContent>
                    <w:p w:rsidR="00F96744" w:rsidRPr="00C43FAF" w:rsidRDefault="00F96744" w:rsidP="00C43FAF">
                      <w:pPr>
                        <w:spacing w:after="0" w:line="240" w:lineRule="auto"/>
                        <w:rPr>
                          <w:rFonts w:ascii="Arial" w:hAnsi="Arial" w:cs="Arial"/>
                          <w:sz w:val="16"/>
                          <w:szCs w:val="16"/>
                        </w:rPr>
                      </w:pPr>
                      <w:r>
                        <w:rPr>
                          <w:rFonts w:ascii="Arial" w:hAnsi="Arial" w:cs="Arial"/>
                          <w:sz w:val="16"/>
                          <w:szCs w:val="16"/>
                        </w:rPr>
                        <w:t>Australian direct investment abroad</w:t>
                      </w:r>
                    </w:p>
                  </w:txbxContent>
                </v:textbox>
              </v:shape>
            </w:pict>
          </mc:Fallback>
        </mc:AlternateContent>
      </w:r>
      <w:r w:rsidR="00543F24" w:rsidRPr="00543F24">
        <w:t xml:space="preserve"> </w:t>
      </w:r>
      <w:r w:rsidR="00FE789E">
        <w:object w:dxaOrig="7365" w:dyaOrig="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rt 4.1: graphical representation of total value of direct investment in Australia and Australian direct investment abroad by country of origination and destination respectively for the years from 2006 to 2009." style="width:368.25pt;height:226.5pt" o:ole="">
            <v:imagedata r:id="rId14" o:title=""/>
          </v:shape>
          <o:OLEObject Type="Link" ProgID="Excel.Sheet.8" ShapeID="_x0000_i1025" DrawAspect="Content" r:id="rId15" UpdateMode="Always">
            <o:LinkType>EnhancedMetaFile</o:LinkType>
            <o:LockedField>false</o:LockedField>
          </o:OLEObject>
        </w:object>
      </w:r>
    </w:p>
    <w:p w:rsidR="00356EDE" w:rsidRPr="00420DC2" w:rsidRDefault="00356EDE" w:rsidP="00491474">
      <w:pPr>
        <w:pStyle w:val="ChartorTableNote"/>
        <w:jc w:val="left"/>
      </w:pPr>
      <w:r w:rsidRPr="00420DC2">
        <w:t>Source</w:t>
      </w:r>
      <w:r w:rsidR="00DC46AB" w:rsidRPr="00420DC2">
        <w:t>:</w:t>
      </w:r>
      <w:r w:rsidR="005D7159">
        <w:t xml:space="preserve"> </w:t>
      </w:r>
      <w:r w:rsidRPr="00420DC2">
        <w:t xml:space="preserve">ABS </w:t>
      </w:r>
      <w:r w:rsidR="002B4CF3" w:rsidRPr="00420DC2">
        <w:t>c</w:t>
      </w:r>
      <w:r w:rsidRPr="00420DC2">
        <w:t>at</w:t>
      </w:r>
      <w:r w:rsidR="002B4CF3" w:rsidRPr="00420DC2">
        <w:t>.</w:t>
      </w:r>
      <w:r w:rsidRPr="00420DC2">
        <w:t xml:space="preserve"> </w:t>
      </w:r>
      <w:r w:rsidR="002B4CF3" w:rsidRPr="00420DC2">
        <w:t>n</w:t>
      </w:r>
      <w:r w:rsidRPr="00420DC2">
        <w:t xml:space="preserve">o. 5352.0 International Investment Position, Australia: </w:t>
      </w:r>
      <w:r w:rsidR="009F6509" w:rsidRPr="009F6509">
        <w:t>Supplementary Statistics</w:t>
      </w:r>
      <w:r w:rsidR="009F6509">
        <w:t>,</w:t>
      </w:r>
      <w:r w:rsidR="009F6509" w:rsidRPr="009F6509">
        <w:t xml:space="preserve"> </w:t>
      </w:r>
      <w:bookmarkEnd w:id="2"/>
      <w:r w:rsidR="009F6509">
        <w:t>Calendar year </w:t>
      </w:r>
      <w:r w:rsidR="00772386" w:rsidRPr="00420DC2">
        <w:t>200</w:t>
      </w:r>
      <w:r w:rsidR="00510914" w:rsidRPr="00420DC2">
        <w:t>9</w:t>
      </w:r>
      <w:r w:rsidR="00640032" w:rsidRPr="00420DC2">
        <w:t>.</w:t>
      </w:r>
    </w:p>
    <w:p w:rsidR="00DC46AB" w:rsidRPr="00DC46AB" w:rsidRDefault="00DC46AB" w:rsidP="00DC46AB">
      <w:pPr>
        <w:pStyle w:val="SingleParagraph"/>
      </w:pPr>
    </w:p>
    <w:p w:rsidR="00356EDE" w:rsidRPr="00420DC2" w:rsidRDefault="00356EDE" w:rsidP="00D10D28">
      <w:pPr>
        <w:pStyle w:val="Heading3"/>
        <w:spacing w:before="240"/>
      </w:pPr>
      <w:r w:rsidRPr="00420DC2">
        <w:t>Foreign investment flows</w:t>
      </w:r>
    </w:p>
    <w:p w:rsidR="00356EDE" w:rsidRPr="009316E2" w:rsidRDefault="00356EDE">
      <w:pPr>
        <w:rPr>
          <w:highlight w:val="yellow"/>
        </w:rPr>
      </w:pPr>
      <w:r w:rsidRPr="00403760">
        <w:t>Foreign investment transactions involve changes in the levels of Australian foreign assets and liabilities (including the creation or extinction of foreign assets and liabilities)</w:t>
      </w:r>
      <w:r>
        <w:t xml:space="preserve">. </w:t>
      </w:r>
      <w:r w:rsidRPr="00403760">
        <w:t>A current account deficit is balanced by a surplus on the capital and financial account, after allowing for errors and omissions</w:t>
      </w:r>
      <w:r>
        <w:t xml:space="preserve">. </w:t>
      </w:r>
      <w:r w:rsidRPr="00403760">
        <w:t>The balance on the financial account represents net financial transactions with the rest of the world, that is, the inflow of foreign investment into Australia, minus the outflow of Australian investment abroad.</w:t>
      </w:r>
    </w:p>
    <w:p w:rsidR="003E56E7" w:rsidRDefault="00356EDE" w:rsidP="003E56E7">
      <w:r w:rsidRPr="00403760">
        <w:t xml:space="preserve">International investment </w:t>
      </w:r>
      <w:r>
        <w:t>flows and stocks</w:t>
      </w:r>
      <w:r w:rsidRPr="00403760">
        <w:t xml:space="preserve"> are divided into direct, portfolio, financial derivatives, other investment</w:t>
      </w:r>
      <w:r w:rsidR="003F209B">
        <w:t>,</w:t>
      </w:r>
      <w:r w:rsidRPr="00403760">
        <w:t xml:space="preserve"> and reserve assets</w:t>
      </w:r>
      <w:r>
        <w:t xml:space="preserve">. </w:t>
      </w:r>
      <w:r w:rsidRPr="00403760">
        <w:t xml:space="preserve">Under the international standards used to compile ABS foreign investment statistics, direct investment represents capital invested in an enterprise by an investor in another country which gives the investor a </w:t>
      </w:r>
      <w:r w:rsidR="00CF38A0">
        <w:t>‘</w:t>
      </w:r>
      <w:r w:rsidRPr="00403760">
        <w:t>significant influence</w:t>
      </w:r>
      <w:r w:rsidR="00CF38A0">
        <w:t>’</w:t>
      </w:r>
      <w:r w:rsidRPr="00403760">
        <w:t xml:space="preserve"> (either potentially or actually exercised) over </w:t>
      </w:r>
      <w:r w:rsidRPr="003C2EEC">
        <w:t xml:space="preserve">the key policies of the enterprise. </w:t>
      </w:r>
      <w:r w:rsidR="00AA68AC" w:rsidRPr="003C2EEC">
        <w:t>Ownership of 10 </w:t>
      </w:r>
      <w:r w:rsidRPr="003C2EEC">
        <w:t>per cent or more of the ordinary</w:t>
      </w:r>
      <w:r w:rsidRPr="00403760">
        <w:t xml:space="preserve"> shares or voting stock of an enterprise is considered, under the ABS framework, to indicate significant influence by an investor</w:t>
      </w:r>
      <w:r>
        <w:t xml:space="preserve">. </w:t>
      </w:r>
      <w:r w:rsidRPr="00403760">
        <w:t>Portfolio investment is cross</w:t>
      </w:r>
      <w:r w:rsidR="00377D27">
        <w:noBreakHyphen/>
      </w:r>
      <w:r w:rsidRPr="00403760">
        <w:t>border investment in equity and debt securities other than direct investment</w:t>
      </w:r>
      <w:r>
        <w:t xml:space="preserve">. </w:t>
      </w:r>
      <w:r w:rsidR="001D45EE">
        <w:t xml:space="preserve">Financial </w:t>
      </w:r>
      <w:r w:rsidR="001D45EE" w:rsidRPr="003C2EEC">
        <w:t>derivatives are linked to a specific financial instrument or indicator, or to a particular</w:t>
      </w:r>
      <w:r w:rsidR="001D45EE">
        <w:t xml:space="preserve"> commodity. </w:t>
      </w:r>
      <w:r w:rsidRPr="00403760">
        <w:t>Other investment is a residual group that comprises many different kinds of investment</w:t>
      </w:r>
      <w:r>
        <w:t xml:space="preserve">. </w:t>
      </w:r>
      <w:r w:rsidRPr="00403760">
        <w:t>Reserve assets are those external financial assets available to</w:t>
      </w:r>
      <w:r w:rsidR="0031403F">
        <w:t>,</w:t>
      </w:r>
      <w:r w:rsidRPr="00403760">
        <w:t xml:space="preserve"> and controlled by</w:t>
      </w:r>
      <w:r w:rsidR="0031403F">
        <w:t>,</w:t>
      </w:r>
      <w:r w:rsidRPr="00403760">
        <w:t xml:space="preserve"> the Reserve Bank of Australia or the Treasury for use in financing payment imbalances or intervention in foreign exchange markets.</w:t>
      </w:r>
      <w:r w:rsidR="003E56E7" w:rsidRPr="003E56E7">
        <w:t xml:space="preserve"> </w:t>
      </w:r>
    </w:p>
    <w:p w:rsidR="00356EDE" w:rsidRPr="00AB3166" w:rsidRDefault="003E56E7" w:rsidP="003E56E7">
      <w:r>
        <w:lastRenderedPageBreak/>
        <w:t>Table</w:t>
      </w:r>
      <w:r w:rsidR="00555EF7">
        <w:t xml:space="preserve"> </w:t>
      </w:r>
      <w:r>
        <w:t>4.1 provides a breakdown of the flow of foreign investment over the past five</w:t>
      </w:r>
      <w:r w:rsidR="00555EF7">
        <w:t xml:space="preserve"> </w:t>
      </w:r>
      <w:r>
        <w:t>years measured by ABS statistics.</w:t>
      </w:r>
      <w:r w:rsidR="009243BF">
        <w:t xml:space="preserve"> In </w:t>
      </w:r>
      <w:r w:rsidR="00BC06E3">
        <w:t>2009</w:t>
      </w:r>
      <w:r w:rsidR="00377D27">
        <w:noBreakHyphen/>
      </w:r>
      <w:r w:rsidR="00BC06E3">
        <w:t>10</w:t>
      </w:r>
      <w:r w:rsidR="009243BF">
        <w:t>, the inflow of foreign investment into Australia was $</w:t>
      </w:r>
      <w:r w:rsidR="00630C21">
        <w:t>1</w:t>
      </w:r>
      <w:r w:rsidR="00311A48">
        <w:t>4</w:t>
      </w:r>
      <w:r w:rsidR="00380DD9">
        <w:t>1</w:t>
      </w:r>
      <w:r w:rsidR="001C3908">
        <w:t>.</w:t>
      </w:r>
      <w:r w:rsidR="00380DD9">
        <w:t>9</w:t>
      </w:r>
      <w:r w:rsidR="009243BF">
        <w:t xml:space="preserve"> billion. The outflow of Australian investment abroad was $</w:t>
      </w:r>
      <w:r w:rsidR="00311A48">
        <w:t>8</w:t>
      </w:r>
      <w:r w:rsidR="00380DD9">
        <w:t>7</w:t>
      </w:r>
      <w:r w:rsidR="001C3908">
        <w:t>.</w:t>
      </w:r>
      <w:r w:rsidR="00F30DF1">
        <w:t>4</w:t>
      </w:r>
      <w:r w:rsidR="00630C21">
        <w:t> </w:t>
      </w:r>
      <w:r w:rsidR="009243BF">
        <w:t>billion.</w:t>
      </w:r>
      <w:r>
        <w:t xml:space="preserve"> </w:t>
      </w:r>
    </w:p>
    <w:p w:rsidR="00A85AA2" w:rsidRPr="00420DC2" w:rsidRDefault="00A85AA2" w:rsidP="00555EF7">
      <w:pPr>
        <w:pStyle w:val="TableMainHeading"/>
      </w:pPr>
      <w:bookmarkStart w:id="3" w:name="OLE_LINK5"/>
      <w:bookmarkStart w:id="4" w:name="OLE_LINK6"/>
      <w:r w:rsidRPr="00420DC2">
        <w:t>Table 4.</w:t>
      </w:r>
      <w:r w:rsidR="00543F24">
        <w:t>1: Foreign investment flows 2005</w:t>
      </w:r>
      <w:r w:rsidR="00377D27">
        <w:noBreakHyphen/>
      </w:r>
      <w:r w:rsidR="00543F24">
        <w:t>06 to 2009</w:t>
      </w:r>
      <w:r w:rsidR="00377D27">
        <w:noBreakHyphen/>
      </w:r>
      <w:r w:rsidR="00543F24">
        <w:t>10</w:t>
      </w:r>
    </w:p>
    <w:p w:rsidR="00A85AA2" w:rsidRPr="00A85AA2" w:rsidRDefault="000974D2" w:rsidP="00377D27">
      <w:pPr>
        <w:pStyle w:val="TableGraphic"/>
      </w:pPr>
      <w:r>
        <w:object w:dxaOrig="7742" w:dyaOrig="5344">
          <v:shape id="_x0000_i1026" type="#_x0000_t75" alt="Table 4.1: total value of foreign investment flows into and out of Australia, classified by the nature of the investment, for the financial years from 2005-06 to 2009-10." style="width:387pt;height:267pt" o:ole="">
            <v:imagedata r:id="rId16" o:title=""/>
          </v:shape>
          <o:OLEObject Type="Link" ProgID="Excel.Sheet.8" ShapeID="_x0000_i1026" DrawAspect="Content" r:id="rId17" UpdateMode="Always">
            <o:LinkType>EnhancedMetaFile</o:LinkType>
            <o:LockedField/>
          </o:OLEObject>
        </w:object>
      </w:r>
    </w:p>
    <w:p w:rsidR="00356EDE" w:rsidRPr="00AB3166" w:rsidRDefault="00356EDE" w:rsidP="005812EF">
      <w:pPr>
        <w:pStyle w:val="ChartandTableFootnoteAlpha"/>
        <w:tabs>
          <w:tab w:val="clear" w:pos="283"/>
          <w:tab w:val="num" w:pos="360"/>
        </w:tabs>
        <w:ind w:left="360" w:hanging="360"/>
      </w:pPr>
      <w:r w:rsidRPr="00AB3166">
        <w:t>In keeping with balance of payment conventions, credit entries are shown without sign and debit items are shown as negative entries</w:t>
      </w:r>
      <w:r>
        <w:t xml:space="preserve">. </w:t>
      </w:r>
      <w:r w:rsidRPr="00AB3166">
        <w:t>Thus, investment flows going from Australia to offshore destinations are shown as a negative.</w:t>
      </w:r>
    </w:p>
    <w:p w:rsidR="00356EDE" w:rsidRPr="00AB3166" w:rsidRDefault="00356EDE" w:rsidP="005812EF">
      <w:pPr>
        <w:pStyle w:val="ChartandTableFootnoteAlpha"/>
        <w:tabs>
          <w:tab w:val="clear" w:pos="283"/>
          <w:tab w:val="num" w:pos="360"/>
        </w:tabs>
        <w:ind w:left="360" w:hanging="360"/>
      </w:pPr>
      <w:r w:rsidRPr="00AB3166">
        <w:t>Other investment includes all other investment.</w:t>
      </w:r>
    </w:p>
    <w:p w:rsidR="00263844" w:rsidRPr="00AB3166" w:rsidRDefault="00263844" w:rsidP="00D525E8">
      <w:pPr>
        <w:pStyle w:val="ChartorTableNote"/>
      </w:pPr>
      <w:r w:rsidRPr="00AB3166">
        <w:t>Note</w:t>
      </w:r>
      <w:r w:rsidR="005812EF">
        <w:t>:</w:t>
      </w:r>
      <w:r w:rsidR="005D7159">
        <w:t xml:space="preserve"> </w:t>
      </w:r>
      <w:r w:rsidRPr="00AB3166">
        <w:t>Figures may not add due to rounding.</w:t>
      </w:r>
    </w:p>
    <w:p w:rsidR="00356EDE" w:rsidRPr="00AB3166" w:rsidRDefault="00356EDE" w:rsidP="00555EF7">
      <w:pPr>
        <w:pStyle w:val="ChartorTableNote"/>
      </w:pPr>
      <w:r w:rsidRPr="00AB3166">
        <w:t>Source</w:t>
      </w:r>
      <w:r w:rsidR="00DC46AB">
        <w:t>:</w:t>
      </w:r>
      <w:r w:rsidR="005D7159">
        <w:t xml:space="preserve"> </w:t>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w:t>
      </w:r>
      <w:r w:rsidR="002F6EDD">
        <w:t xml:space="preserve">Investment Position, Australia, </w:t>
      </w:r>
      <w:r w:rsidR="00525298">
        <w:t>June</w:t>
      </w:r>
      <w:r w:rsidR="00932DCA">
        <w:t> </w:t>
      </w:r>
      <w:r w:rsidRPr="00AB3166">
        <w:t>Q</w:t>
      </w:r>
      <w:r w:rsidR="00DB24FC">
        <w:t>uar</w:t>
      </w:r>
      <w:r w:rsidRPr="00AB3166">
        <w:t>t</w:t>
      </w:r>
      <w:r w:rsidR="00DB24FC">
        <w:t>e</w:t>
      </w:r>
      <w:r w:rsidRPr="00AB3166">
        <w:t>r</w:t>
      </w:r>
      <w:r>
        <w:t xml:space="preserve"> </w:t>
      </w:r>
      <w:r w:rsidR="004E047C" w:rsidRPr="00AB3166">
        <w:t>20</w:t>
      </w:r>
      <w:r w:rsidR="00525298">
        <w:t>1</w:t>
      </w:r>
      <w:r w:rsidR="004E047C" w:rsidRPr="00AB3166">
        <w:t>0</w:t>
      </w:r>
      <w:r w:rsidRPr="00AB3166">
        <w:t>.</w:t>
      </w:r>
    </w:p>
    <w:bookmarkEnd w:id="3"/>
    <w:bookmarkEnd w:id="4"/>
    <w:p w:rsidR="00555EF7" w:rsidRDefault="00555EF7" w:rsidP="00555EF7">
      <w:pPr>
        <w:pStyle w:val="SingleParagraph"/>
      </w:pPr>
    </w:p>
    <w:p w:rsidR="00356EDE" w:rsidRDefault="00555EF7">
      <w:r>
        <w:br w:type="page"/>
      </w:r>
      <w:r w:rsidR="003E56E7">
        <w:lastRenderedPageBreak/>
        <w:t>Chart 4.2 summarises major trends in foreign investment flows using the data in Table</w:t>
      </w:r>
      <w:r w:rsidR="005B6790">
        <w:t> </w:t>
      </w:r>
      <w:r w:rsidR="003E56E7">
        <w:t>4.1. It indicates that Australia remains a net importer of capital.</w:t>
      </w:r>
    </w:p>
    <w:p w:rsidR="00356EDE" w:rsidRPr="00420DC2" w:rsidRDefault="00356EDE" w:rsidP="009B7173">
      <w:pPr>
        <w:pStyle w:val="ChartMainHeading"/>
      </w:pPr>
      <w:r w:rsidRPr="00420DC2">
        <w:t>Chart 4.2</w:t>
      </w:r>
      <w:r w:rsidR="00DC46AB" w:rsidRPr="00420DC2">
        <w:t xml:space="preserve">: </w:t>
      </w:r>
      <w:r w:rsidRPr="00420DC2">
        <w:t>Foreign investment flows</w:t>
      </w:r>
      <w:r w:rsidR="00FE2189" w:rsidRPr="00420DC2">
        <w:t xml:space="preserve"> 200</w:t>
      </w:r>
      <w:r w:rsidR="00543F24">
        <w:t>5</w:t>
      </w:r>
      <w:r w:rsidR="00377D27">
        <w:noBreakHyphen/>
      </w:r>
      <w:r w:rsidR="00543F24">
        <w:t>06</w:t>
      </w:r>
      <w:r w:rsidR="00FE2189" w:rsidRPr="00420DC2">
        <w:t xml:space="preserve"> to </w:t>
      </w:r>
      <w:r w:rsidR="00543F24">
        <w:t>2009</w:t>
      </w:r>
      <w:r w:rsidR="00377D27">
        <w:noBreakHyphen/>
      </w:r>
      <w:r w:rsidR="00543F24">
        <w:t>10</w:t>
      </w:r>
    </w:p>
    <w:p w:rsidR="00356EDE" w:rsidRPr="0078289E" w:rsidRDefault="00FE789E" w:rsidP="00377D27">
      <w:pPr>
        <w:pStyle w:val="ChartGraphic"/>
      </w:pPr>
      <w:r>
        <w:object w:dxaOrig="7363" w:dyaOrig="3959">
          <v:shape id="_x0000_i1027" type="#_x0000_t75" alt="Chart 4.2: graphical representation of foreign investment flows into and out of Australia for the financial years from 2005-06 to 2009-10." style="width:368.25pt;height:198pt" o:ole="">
            <v:imagedata r:id="rId18" o:title=""/>
          </v:shape>
          <o:OLEObject Type="Link" ProgID="Excel.Sheet.8" ShapeID="_x0000_i1027" DrawAspect="Content" r:id="rId19" UpdateMode="Always">
            <o:LinkType>EnhancedMetaFile</o:LinkType>
            <o:LockedField/>
          </o:OLEObject>
        </w:object>
      </w:r>
    </w:p>
    <w:p w:rsidR="00356EDE" w:rsidRPr="00AB3166" w:rsidRDefault="00356EDE" w:rsidP="00D525E8">
      <w:pPr>
        <w:pStyle w:val="ChartandTableFootnoteAlpha"/>
        <w:numPr>
          <w:ilvl w:val="0"/>
          <w:numId w:val="44"/>
        </w:numPr>
      </w:pPr>
      <w:r w:rsidRPr="00AB3166">
        <w:t>The net foreign investment figure has been derived from determining the difference between foreign investment in Australia and Australian investment abroad.</w:t>
      </w:r>
    </w:p>
    <w:p w:rsidR="00356EDE" w:rsidRPr="00AB3166" w:rsidRDefault="00356EDE" w:rsidP="00E050FB">
      <w:pPr>
        <w:pStyle w:val="ChartorTableNote"/>
      </w:pPr>
      <w:r w:rsidRPr="00AB3166">
        <w:t>Source</w:t>
      </w:r>
      <w:r w:rsidR="00DC46AB">
        <w:t>:</w:t>
      </w:r>
      <w:r w:rsidR="005D7159">
        <w:t xml:space="preserve"> </w:t>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Investment Position, Australia, </w:t>
      </w:r>
      <w:r w:rsidR="00525298">
        <w:t>June</w:t>
      </w:r>
      <w:r w:rsidR="00932DCA">
        <w:t> </w:t>
      </w:r>
      <w:r w:rsidRPr="00AB3166">
        <w:t>Q</w:t>
      </w:r>
      <w:r w:rsidR="0080625A">
        <w:t>uar</w:t>
      </w:r>
      <w:r w:rsidRPr="00AB3166">
        <w:t>t</w:t>
      </w:r>
      <w:r w:rsidR="0080625A">
        <w:t>e</w:t>
      </w:r>
      <w:r w:rsidRPr="00AB3166">
        <w:t>r</w:t>
      </w:r>
      <w:r>
        <w:t xml:space="preserve"> </w:t>
      </w:r>
      <w:r w:rsidR="00FA0835" w:rsidRPr="00AB3166">
        <w:t>20</w:t>
      </w:r>
      <w:r w:rsidR="00525298">
        <w:t>1</w:t>
      </w:r>
      <w:r w:rsidR="00FA0835" w:rsidRPr="00AB3166">
        <w:t>0</w:t>
      </w:r>
      <w:r w:rsidRPr="00AB3166">
        <w:t>.</w:t>
      </w:r>
    </w:p>
    <w:p w:rsidR="00356EDE" w:rsidRPr="00167A9E" w:rsidRDefault="00356EDE" w:rsidP="0064725F">
      <w:pPr>
        <w:pStyle w:val="SingleParagraph"/>
      </w:pPr>
    </w:p>
    <w:sectPr w:rsidR="00356EDE" w:rsidRPr="00167A9E" w:rsidSect="00F7091E">
      <w:footerReference w:type="first" r:id="rId20"/>
      <w:footnotePr>
        <w:numStart w:val="14"/>
      </w:footnotePr>
      <w:type w:val="oddPage"/>
      <w:pgSz w:w="11907" w:h="16840" w:code="9"/>
      <w:pgMar w:top="2466" w:right="2098" w:bottom="2466" w:left="2098" w:header="1899" w:footer="189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44" w:rsidRDefault="00F96744">
      <w:r>
        <w:separator/>
      </w:r>
    </w:p>
  </w:endnote>
  <w:endnote w:type="continuationSeparator" w:id="0">
    <w:p w:rsidR="00F96744" w:rsidRDefault="00F9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44" w:rsidRPr="00420DC2" w:rsidRDefault="0045679C" w:rsidP="00E60510">
    <w:pPr>
      <w:pStyle w:val="FooterEven"/>
    </w:pPr>
    <w:r>
      <w:fldChar w:fldCharType="begin"/>
    </w:r>
    <w:r>
      <w:instrText xml:space="preserve"> PAGE </w:instrText>
    </w:r>
    <w:r>
      <w:fldChar w:fldCharType="separate"/>
    </w:r>
    <w:r>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A0" w:rsidRDefault="00CD44A0">
    <w:pPr>
      <w:pStyle w:val="FooterOdd"/>
    </w:pPr>
    <w:r>
      <w:t xml:space="preserve">Page </w:t>
    </w:r>
    <w:r w:rsidR="0045679C">
      <w:fldChar w:fldCharType="begin"/>
    </w:r>
    <w:r w:rsidR="0045679C">
      <w:instrText xml:space="preserve"> PAGE  \* Arabic  \* MERGEFORMA</w:instrText>
    </w:r>
    <w:r w:rsidR="0045679C">
      <w:instrText xml:space="preserve">T </w:instrText>
    </w:r>
    <w:r w:rsidR="0045679C">
      <w:fldChar w:fldCharType="separate"/>
    </w:r>
    <w:r w:rsidR="0045679C">
      <w:rPr>
        <w:noProof/>
      </w:rPr>
      <w:t>53</w:t>
    </w:r>
    <w:r w:rsidR="0045679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1E" w:rsidRPr="0058190C" w:rsidRDefault="0045679C" w:rsidP="0058190C">
    <w:pPr>
      <w:pStyle w:val="FooterOdd"/>
    </w:pPr>
    <w:r>
      <w:fldChar w:fldCharType="begin"/>
    </w:r>
    <w:r>
      <w:instrText xml:space="preserve"> PAGE </w:instrText>
    </w:r>
    <w:r>
      <w:fldChar w:fldCharType="separate"/>
    </w:r>
    <w:r>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44" w:rsidRDefault="00F96744" w:rsidP="002C71C1">
      <w:pPr>
        <w:spacing w:before="120" w:after="120" w:line="240" w:lineRule="auto"/>
      </w:pPr>
      <w:r>
        <w:separator/>
      </w:r>
    </w:p>
  </w:footnote>
  <w:footnote w:type="continuationSeparator" w:id="0">
    <w:p w:rsidR="00F96744" w:rsidRDefault="00F96744">
      <w:r>
        <w:continuationSeparator/>
      </w:r>
    </w:p>
  </w:footnote>
  <w:footnote w:id="1">
    <w:p w:rsidR="00F96744" w:rsidRDefault="00F96744" w:rsidP="006C1177">
      <w:pPr>
        <w:pStyle w:val="FootnoteText"/>
        <w:spacing w:after="40"/>
      </w:pPr>
      <w:r w:rsidRPr="00486BE3">
        <w:rPr>
          <w:rStyle w:val="FootnoteReference"/>
          <w:vertAlign w:val="baseline"/>
        </w:rPr>
        <w:footnoteRef/>
      </w:r>
      <w:r>
        <w:t xml:space="preserve"> </w:t>
      </w:r>
      <w:r>
        <w:tab/>
        <w:t xml:space="preserve">As </w:t>
      </w:r>
      <w:r w:rsidRPr="00340977">
        <w:t>ABS data is subject to periodic revision,</w:t>
      </w:r>
      <w:r>
        <w:t xml:space="preserve"> data included in the current report may differ from that published for the same period in previous reports.</w:t>
      </w:r>
    </w:p>
  </w:footnote>
  <w:footnote w:id="2">
    <w:p w:rsidR="00F96744" w:rsidRDefault="00F96744" w:rsidP="006C1177">
      <w:pPr>
        <w:pStyle w:val="FootnoteText"/>
        <w:spacing w:after="40"/>
      </w:pPr>
      <w:r w:rsidRPr="00486BE3">
        <w:rPr>
          <w:rStyle w:val="FootnoteReference"/>
          <w:vertAlign w:val="baseline"/>
        </w:rPr>
        <w:footnoteRef/>
      </w:r>
      <w:r>
        <w:t xml:space="preserve"> </w:t>
      </w:r>
      <w:r>
        <w:tab/>
        <w:t>Prior to 2005</w:t>
      </w:r>
      <w:r>
        <w:noBreakHyphen/>
        <w:t xml:space="preserve">06, foreign investment levels were reported on a calendar year basis.  </w:t>
      </w:r>
    </w:p>
  </w:footnote>
  <w:footnote w:id="3">
    <w:p w:rsidR="00F96744" w:rsidRDefault="00F96744">
      <w:pPr>
        <w:pStyle w:val="FootnoteText"/>
      </w:pPr>
      <w:r w:rsidRPr="00486BE3">
        <w:rPr>
          <w:rStyle w:val="FootnoteReference"/>
          <w:vertAlign w:val="baseline"/>
        </w:rPr>
        <w:footnoteRef/>
      </w:r>
      <w:r>
        <w:t xml:space="preserve"> </w:t>
      </w:r>
      <w:r>
        <w:tab/>
      </w:r>
      <w:r w:rsidRPr="000823F0">
        <w:t xml:space="preserve">Source: ABS cat. no. 5302.0 Balance of Payments and International Investment Position, Australia, </w:t>
      </w:r>
      <w:r>
        <w:t>June</w:t>
      </w:r>
      <w:r w:rsidRPr="000823F0">
        <w:t xml:space="preserve"> Quarter 20</w:t>
      </w:r>
      <w:r>
        <w:t>1</w:t>
      </w:r>
      <w:r w:rsidRPr="000823F0">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8" w:rsidRDefault="00C86546" w:rsidP="00C86546">
    <w:pPr>
      <w:pStyle w:val="HeaderEven"/>
    </w:pPr>
    <w:r w:rsidRPr="00A74688">
      <w:t>Foreign Investment</w:t>
    </w:r>
    <w:r>
      <w:t xml:space="preserve"> Review Board Annual Report 2009</w:t>
    </w:r>
    <w:r w:rsidRPr="00A74688">
      <w:t>-</w:t>
    </w:r>
    <w:r>
      <w:t>10</w:t>
    </w:r>
    <w:r w:rsidRPr="00A7468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44" w:rsidRDefault="00F96744">
    <w:pPr>
      <w:framePr w:wrap="around" w:hAnchor="page" w:x="14460" w:yAlign="bottom" w:anchorLock="1"/>
      <w:textDirection w:val="tbRl"/>
      <w:rPr>
        <w:rStyle w:val="FramedHeader"/>
        <w:color w:val="008080"/>
      </w:rPr>
    </w:pPr>
    <w:r>
      <w:rPr>
        <w:color w:val="008080"/>
      </w:rPr>
      <w:t xml:space="preserve">Chapter 4: International Investment issues and Australia’s International Investment Position  </w:t>
    </w:r>
    <w:r w:rsidR="00B97F18">
      <w:rPr>
        <w:color w:val="008080"/>
      </w:rPr>
      <w:fldChar w:fldCharType="begin"/>
    </w:r>
    <w:r>
      <w:rPr>
        <w:color w:val="008080"/>
      </w:rPr>
      <w:instrText xml:space="preserve"> PAGE  \* MERGEFORMAT </w:instrText>
    </w:r>
    <w:r w:rsidR="00B97F18">
      <w:rPr>
        <w:color w:val="008080"/>
      </w:rPr>
      <w:fldChar w:fldCharType="separate"/>
    </w:r>
    <w:r w:rsidR="0045679C">
      <w:rPr>
        <w:noProof/>
        <w:color w:val="008080"/>
      </w:rPr>
      <w:t>53</w:t>
    </w:r>
    <w:r w:rsidR="00B97F18">
      <w:rPr>
        <w:color w:val="008080"/>
      </w:rPr>
      <w:fldChar w:fldCharType="end"/>
    </w:r>
    <w:r w:rsidR="00B97F18">
      <w:rPr>
        <w:rStyle w:val="FramedHeader"/>
        <w:color w:val="008080"/>
      </w:rPr>
      <w:fldChar w:fldCharType="begin"/>
    </w:r>
    <w:r>
      <w:rPr>
        <w:rStyle w:val="FramedHeader"/>
        <w:color w:val="008080"/>
      </w:rPr>
      <w:instrText xml:space="preserve"> SUBJECT  \* MERGEFORMAT </w:instrText>
    </w:r>
    <w:r w:rsidR="00B97F18">
      <w:rPr>
        <w:rStyle w:val="FramedHeader"/>
        <w:color w:val="008080"/>
      </w:rPr>
      <w:fldChar w:fldCharType="end"/>
    </w:r>
  </w:p>
  <w:p w:rsidR="00F96744" w:rsidRPr="00420DC2" w:rsidRDefault="00F96744">
    <w:pPr>
      <w:pStyle w:val="HeaderOdd"/>
    </w:pPr>
    <w:r>
      <w:t xml:space="preserve">Chapter 4: </w:t>
    </w:r>
    <w:r w:rsidRPr="00420DC2">
      <w:t>Australia’s international investment position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44" w:rsidRDefault="00B97F18">
    <w:pPr>
      <w:framePr w:wrap="around" w:hAnchor="page" w:x="14460" w:yAlign="top" w:anchorLock="1"/>
      <w:textDirection w:val="tbRl"/>
      <w:rPr>
        <w:rStyle w:val="FramedHeader"/>
        <w:color w:val="008080"/>
      </w:rPr>
    </w:pPr>
    <w:r>
      <w:rPr>
        <w:rStyle w:val="FramedHeader"/>
        <w:color w:val="008080"/>
      </w:rPr>
      <w:fldChar w:fldCharType="begin"/>
    </w:r>
    <w:r w:rsidR="00F96744">
      <w:rPr>
        <w:rStyle w:val="FramedHeader"/>
        <w:color w:val="008080"/>
      </w:rPr>
      <w:instrText xml:space="preserve"> PAGE  \* MERGEFORMAT </w:instrText>
    </w:r>
    <w:r>
      <w:rPr>
        <w:rStyle w:val="FramedHeader"/>
        <w:color w:val="008080"/>
      </w:rPr>
      <w:fldChar w:fldCharType="separate"/>
    </w:r>
    <w:r w:rsidR="0045679C">
      <w:rPr>
        <w:rStyle w:val="FramedHeader"/>
        <w:noProof/>
        <w:color w:val="008080"/>
      </w:rPr>
      <w:t>49</w:t>
    </w:r>
    <w:r>
      <w:rPr>
        <w:rStyle w:val="FramedHeader"/>
        <w:color w:val="008080"/>
      </w:rPr>
      <w:fldChar w:fldCharType="end"/>
    </w:r>
    <w:r w:rsidR="00F96744">
      <w:rPr>
        <w:rStyle w:val="FramedHeader"/>
        <w:color w:val="008080"/>
      </w:rPr>
      <w:t xml:space="preserve">  </w:t>
    </w:r>
    <w:r w:rsidR="00F96744">
      <w:rPr>
        <w:color w:val="008080"/>
      </w:rPr>
      <w:t>Foreign Investment Review Board Report 2002</w:t>
    </w:r>
    <w:r w:rsidR="00F96744">
      <w:rPr>
        <w:color w:val="008080"/>
      </w:rPr>
      <w:noBreakHyphen/>
      <w:t>03</w:t>
    </w:r>
    <w:r>
      <w:rPr>
        <w:rStyle w:val="FramedHeader"/>
        <w:color w:val="008080"/>
      </w:rPr>
      <w:fldChar w:fldCharType="begin"/>
    </w:r>
    <w:r w:rsidR="00F96744">
      <w:rPr>
        <w:rStyle w:val="FramedHeader"/>
        <w:color w:val="008080"/>
      </w:rPr>
      <w:instrText xml:space="preserve"> SUBJECT  \* MERGEFORMAT </w:instrText>
    </w:r>
    <w:r>
      <w:rPr>
        <w:rStyle w:val="FramedHeader"/>
        <w:color w:val="008080"/>
      </w:rPr>
      <w:fldChar w:fldCharType="end"/>
    </w:r>
  </w:p>
  <w:p w:rsidR="00F96744" w:rsidRDefault="00F96744" w:rsidP="007B6942">
    <w:pPr>
      <w:framePr w:wrap="around" w:hAnchor="page" w:x="14460" w:y="1" w:anchorLock="1"/>
      <w:textDirection w:val="tbRl"/>
      <w:rPr>
        <w:rStyle w:val="FramedHeader"/>
      </w:rPr>
    </w:pPr>
    <w:r>
      <w:rPr>
        <w:rStyle w:val="FramedHeader"/>
      </w:rPr>
      <w:t>Foreign Investment Review Board Annual Report 2004</w:t>
    </w:r>
    <w:r>
      <w:rPr>
        <w:rStyle w:val="FramedHeader"/>
      </w:rPr>
      <w:noBreakHyphen/>
      <w:t>05</w:t>
    </w:r>
  </w:p>
  <w:p w:rsidR="00F96744" w:rsidRPr="00420DC2" w:rsidRDefault="00F96744" w:rsidP="0015426A">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788CE0"/>
    <w:lvl w:ilvl="0">
      <w:start w:val="1"/>
      <w:numFmt w:val="decimal"/>
      <w:lvlText w:val="%1."/>
      <w:lvlJc w:val="left"/>
      <w:pPr>
        <w:tabs>
          <w:tab w:val="num" w:pos="1492"/>
        </w:tabs>
        <w:ind w:left="1492" w:hanging="360"/>
      </w:pPr>
    </w:lvl>
  </w:abstractNum>
  <w:abstractNum w:abstractNumId="1">
    <w:nsid w:val="FFFFFF7D"/>
    <w:multiLevelType w:val="singleLevel"/>
    <w:tmpl w:val="649886A6"/>
    <w:lvl w:ilvl="0">
      <w:start w:val="1"/>
      <w:numFmt w:val="decimal"/>
      <w:lvlText w:val="%1."/>
      <w:lvlJc w:val="left"/>
      <w:pPr>
        <w:tabs>
          <w:tab w:val="num" w:pos="1209"/>
        </w:tabs>
        <w:ind w:left="1209" w:hanging="360"/>
      </w:pPr>
    </w:lvl>
  </w:abstractNum>
  <w:abstractNum w:abstractNumId="2">
    <w:nsid w:val="FFFFFF7E"/>
    <w:multiLevelType w:val="singleLevel"/>
    <w:tmpl w:val="3B6AD838"/>
    <w:lvl w:ilvl="0">
      <w:start w:val="1"/>
      <w:numFmt w:val="decimal"/>
      <w:lvlText w:val="%1."/>
      <w:lvlJc w:val="left"/>
      <w:pPr>
        <w:tabs>
          <w:tab w:val="num" w:pos="926"/>
        </w:tabs>
        <w:ind w:left="926" w:hanging="360"/>
      </w:pPr>
    </w:lvl>
  </w:abstractNum>
  <w:abstractNum w:abstractNumId="3">
    <w:nsid w:val="FFFFFF7F"/>
    <w:multiLevelType w:val="singleLevel"/>
    <w:tmpl w:val="AE42B90A"/>
    <w:lvl w:ilvl="0">
      <w:start w:val="1"/>
      <w:numFmt w:val="decimal"/>
      <w:lvlText w:val="%1."/>
      <w:lvlJc w:val="left"/>
      <w:pPr>
        <w:tabs>
          <w:tab w:val="num" w:pos="643"/>
        </w:tabs>
        <w:ind w:left="643" w:hanging="360"/>
      </w:pPr>
    </w:lvl>
  </w:abstractNum>
  <w:abstractNum w:abstractNumId="4">
    <w:nsid w:val="FFFFFF80"/>
    <w:multiLevelType w:val="singleLevel"/>
    <w:tmpl w:val="5E601E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A4D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5A2A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F4E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6E884"/>
    <w:lvl w:ilvl="0">
      <w:start w:val="1"/>
      <w:numFmt w:val="decimal"/>
      <w:lvlText w:val="%1."/>
      <w:lvlJc w:val="left"/>
      <w:pPr>
        <w:tabs>
          <w:tab w:val="num" w:pos="360"/>
        </w:tabs>
        <w:ind w:left="360" w:hanging="360"/>
      </w:pPr>
    </w:lvl>
  </w:abstractNum>
  <w:abstractNum w:abstractNumId="9">
    <w:nsid w:val="FFFFFF89"/>
    <w:multiLevelType w:val="singleLevel"/>
    <w:tmpl w:val="015C703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ind w:left="0" w:firstLine="0"/>
      </w:pPr>
      <w:rPr>
        <w:rFonts w:ascii="Arial" w:hAnsi="Arial" w:cs="Arial"/>
        <w:b/>
        <w:i w:val="0"/>
        <w:color w:val="2B7C32"/>
        <w:sz w:val="2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18B22D4"/>
    <w:multiLevelType w:val="singleLevel"/>
    <w:tmpl w:val="0C09000F"/>
    <w:lvl w:ilvl="0">
      <w:start w:val="1"/>
      <w:numFmt w:val="decimal"/>
      <w:lvlText w:val="%1."/>
      <w:lvlJc w:val="left"/>
      <w:pPr>
        <w:tabs>
          <w:tab w:val="num" w:pos="720"/>
        </w:tabs>
        <w:ind w:left="720" w:hanging="360"/>
      </w:pPr>
    </w:lvl>
  </w:abstractNum>
  <w:abstractNum w:abstractNumId="23">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6">
    <w:nsid w:val="52BA7462"/>
    <w:multiLevelType w:val="multilevel"/>
    <w:tmpl w:val="5A7A97A2"/>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5357C1"/>
    <w:multiLevelType w:val="singleLevel"/>
    <w:tmpl w:val="0C09000F"/>
    <w:name w:val="AppendixAList"/>
    <w:lvl w:ilvl="0">
      <w:start w:val="1"/>
      <w:numFmt w:val="decimal"/>
      <w:lvlText w:val="%1."/>
      <w:lvlJc w:val="left"/>
      <w:pPr>
        <w:tabs>
          <w:tab w:val="num" w:pos="720"/>
        </w:tabs>
        <w:ind w:left="720" w:hanging="360"/>
      </w:pPr>
    </w:lvl>
  </w:abstractNum>
  <w:abstractNum w:abstractNumId="28">
    <w:nsid w:val="56E01CD5"/>
    <w:multiLevelType w:val="singleLevel"/>
    <w:tmpl w:val="ADDA07C0"/>
    <w:name w:val="StandardBulletedList"/>
    <w:lvl w:ilvl="0">
      <w:start w:val="1"/>
      <w:numFmt w:val="bullet"/>
      <w:lvlText w:val="•"/>
      <w:lvlJc w:val="left"/>
      <w:pPr>
        <w:tabs>
          <w:tab w:val="num" w:pos="567"/>
        </w:tabs>
        <w:ind w:left="567" w:hanging="567"/>
      </w:pPr>
      <w:rPr>
        <w:rFonts w:ascii="Times New Roman" w:hAnsi="Times New Roman" w:cs="Times New Roman" w:hint="default"/>
      </w:rPr>
    </w:lvl>
  </w:abstractNum>
  <w:abstractNum w:abstractNumId="2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C433E7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nsid w:val="5E8840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FB0D17"/>
    <w:multiLevelType w:val="singleLevel"/>
    <w:tmpl w:val="0C09000F"/>
    <w:name w:val="RecommendationBulletedList"/>
    <w:lvl w:ilvl="0">
      <w:start w:val="1"/>
      <w:numFmt w:val="decimal"/>
      <w:lvlText w:val="%1."/>
      <w:lvlJc w:val="left"/>
      <w:pPr>
        <w:tabs>
          <w:tab w:val="num" w:pos="720"/>
        </w:tabs>
        <w:ind w:left="720" w:hanging="360"/>
      </w:pPr>
    </w:lvl>
  </w:abstractNum>
  <w:abstractNum w:abstractNumId="35">
    <w:nsid w:val="66022277"/>
    <w:multiLevelType w:val="singleLevel"/>
    <w:tmpl w:val="9C7240A2"/>
    <w:lvl w:ilvl="0">
      <w:start w:val="1"/>
      <w:numFmt w:val="lowerLetter"/>
      <w:lvlRestart w:val="0"/>
      <w:lvlText w:val="(%1)"/>
      <w:lvlJc w:val="left"/>
      <w:pPr>
        <w:tabs>
          <w:tab w:val="num" w:pos="283"/>
        </w:tabs>
        <w:ind w:left="283" w:hanging="283"/>
      </w:pPr>
      <w:rPr>
        <w:rFonts w:ascii="Book Antiqua" w:hAnsi="Book Antiqua" w:hint="default"/>
      </w:rPr>
    </w:lvl>
  </w:abstractNum>
  <w:abstractNum w:abstractNumId="36">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18"/>
  </w:num>
  <w:num w:numId="4">
    <w:abstractNumId w:val="24"/>
  </w:num>
  <w:num w:numId="5">
    <w:abstractNumId w:val="13"/>
  </w:num>
  <w:num w:numId="6">
    <w:abstractNumId w:val="13"/>
  </w:num>
  <w:num w:numId="7">
    <w:abstractNumId w:val="13"/>
  </w:num>
  <w:num w:numId="8">
    <w:abstractNumId w:val="37"/>
  </w:num>
  <w:num w:numId="9">
    <w:abstractNumId w:val="29"/>
  </w:num>
  <w:num w:numId="10">
    <w:abstractNumId w:val="10"/>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35"/>
  </w:num>
  <w:num w:numId="25">
    <w:abstractNumId w:val="26"/>
  </w:num>
  <w:num w:numId="26">
    <w:abstractNumId w:val="35"/>
    <w:lvlOverride w:ilvl="0">
      <w:startOverride w:val="1"/>
    </w:lvlOverride>
  </w:num>
  <w:num w:numId="27">
    <w:abstractNumId w:val="24"/>
  </w:num>
  <w:num w:numId="28">
    <w:abstractNumId w:val="17"/>
  </w:num>
  <w:num w:numId="29">
    <w:abstractNumId w:val="33"/>
  </w:num>
  <w:num w:numId="30">
    <w:abstractNumId w:val="31"/>
  </w:num>
  <w:num w:numId="31">
    <w:abstractNumId w:val="36"/>
  </w:num>
  <w:num w:numId="32">
    <w:abstractNumId w:val="24"/>
  </w:num>
  <w:num w:numId="33">
    <w:abstractNumId w:val="30"/>
  </w:num>
  <w:num w:numId="34">
    <w:abstractNumId w:val="21"/>
  </w:num>
  <w:num w:numId="35">
    <w:abstractNumId w:val="28"/>
  </w:num>
  <w:num w:numId="36">
    <w:abstractNumId w:val="11"/>
  </w:num>
  <w:num w:numId="37">
    <w:abstractNumId w:val="23"/>
  </w:num>
  <w:num w:numId="38">
    <w:abstractNumId w:val="12"/>
  </w:num>
  <w:num w:numId="39">
    <w:abstractNumId w:val="24"/>
  </w:num>
  <w:num w:numId="40">
    <w:abstractNumId w:val="24"/>
    <w:lvlOverride w:ilvl="0">
      <w:startOverride w:val="1"/>
    </w:lvlOverride>
  </w:num>
  <w:num w:numId="41">
    <w:abstractNumId w:val="24"/>
    <w:lvlOverride w:ilvl="0">
      <w:startOverride w:val="1"/>
    </w:lvlOverride>
  </w:num>
  <w:num w:numId="42">
    <w:abstractNumId w:val="19"/>
  </w:num>
  <w:num w:numId="43">
    <w:abstractNumId w:val="16"/>
  </w:num>
  <w:num w:numId="4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4273"/>
  </w:hdrShapeDefault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AE6EA3-1FB1-4D34-AF36-A836386C703A}"/>
    <w:docVar w:name="dgnword-eventsink" w:val="11530488"/>
  </w:docVars>
  <w:rsids>
    <w:rsidRoot w:val="00C2453E"/>
    <w:rsid w:val="00002202"/>
    <w:rsid w:val="00003A65"/>
    <w:rsid w:val="00006614"/>
    <w:rsid w:val="0000760A"/>
    <w:rsid w:val="00012E70"/>
    <w:rsid w:val="0001438E"/>
    <w:rsid w:val="000147C8"/>
    <w:rsid w:val="00014BAD"/>
    <w:rsid w:val="00017E37"/>
    <w:rsid w:val="00021810"/>
    <w:rsid w:val="00021A10"/>
    <w:rsid w:val="0002273B"/>
    <w:rsid w:val="00023D83"/>
    <w:rsid w:val="00026A58"/>
    <w:rsid w:val="00026B45"/>
    <w:rsid w:val="00026C31"/>
    <w:rsid w:val="00031396"/>
    <w:rsid w:val="00031518"/>
    <w:rsid w:val="00032305"/>
    <w:rsid w:val="000361BF"/>
    <w:rsid w:val="000417AB"/>
    <w:rsid w:val="00044166"/>
    <w:rsid w:val="00044969"/>
    <w:rsid w:val="00051204"/>
    <w:rsid w:val="00051235"/>
    <w:rsid w:val="00052922"/>
    <w:rsid w:val="000540E4"/>
    <w:rsid w:val="00057BAC"/>
    <w:rsid w:val="00057EDC"/>
    <w:rsid w:val="000607C0"/>
    <w:rsid w:val="00061BCE"/>
    <w:rsid w:val="00062C71"/>
    <w:rsid w:val="00063BCA"/>
    <w:rsid w:val="0006403A"/>
    <w:rsid w:val="00065200"/>
    <w:rsid w:val="00065D9B"/>
    <w:rsid w:val="00066824"/>
    <w:rsid w:val="0006715B"/>
    <w:rsid w:val="000676D7"/>
    <w:rsid w:val="000700F7"/>
    <w:rsid w:val="0007369A"/>
    <w:rsid w:val="000742B7"/>
    <w:rsid w:val="00081169"/>
    <w:rsid w:val="000823F0"/>
    <w:rsid w:val="00082C5C"/>
    <w:rsid w:val="00090C01"/>
    <w:rsid w:val="00092122"/>
    <w:rsid w:val="000974D2"/>
    <w:rsid w:val="000974DB"/>
    <w:rsid w:val="000A07A4"/>
    <w:rsid w:val="000A1A21"/>
    <w:rsid w:val="000A1BD2"/>
    <w:rsid w:val="000A2D88"/>
    <w:rsid w:val="000A4395"/>
    <w:rsid w:val="000A5840"/>
    <w:rsid w:val="000B0130"/>
    <w:rsid w:val="000B01F7"/>
    <w:rsid w:val="000B16ED"/>
    <w:rsid w:val="000B1985"/>
    <w:rsid w:val="000B4175"/>
    <w:rsid w:val="000B5B3C"/>
    <w:rsid w:val="000B5FCF"/>
    <w:rsid w:val="000B695F"/>
    <w:rsid w:val="000B6BA3"/>
    <w:rsid w:val="000B72D1"/>
    <w:rsid w:val="000D2789"/>
    <w:rsid w:val="000D3CC6"/>
    <w:rsid w:val="000D50E6"/>
    <w:rsid w:val="000D5D58"/>
    <w:rsid w:val="000D68D7"/>
    <w:rsid w:val="000D6D5D"/>
    <w:rsid w:val="000E0E78"/>
    <w:rsid w:val="000E4925"/>
    <w:rsid w:val="000E6B3F"/>
    <w:rsid w:val="000F0B9D"/>
    <w:rsid w:val="000F2880"/>
    <w:rsid w:val="000F2DDB"/>
    <w:rsid w:val="000F337B"/>
    <w:rsid w:val="000F39AB"/>
    <w:rsid w:val="00101029"/>
    <w:rsid w:val="00101514"/>
    <w:rsid w:val="001026D3"/>
    <w:rsid w:val="001028F4"/>
    <w:rsid w:val="00102E5A"/>
    <w:rsid w:val="001031AF"/>
    <w:rsid w:val="00104FB1"/>
    <w:rsid w:val="00106975"/>
    <w:rsid w:val="00113993"/>
    <w:rsid w:val="00114484"/>
    <w:rsid w:val="00114FA8"/>
    <w:rsid w:val="00121486"/>
    <w:rsid w:val="00122EDB"/>
    <w:rsid w:val="00126133"/>
    <w:rsid w:val="00127559"/>
    <w:rsid w:val="00130638"/>
    <w:rsid w:val="00130C6F"/>
    <w:rsid w:val="00134914"/>
    <w:rsid w:val="00142A7D"/>
    <w:rsid w:val="00142B3A"/>
    <w:rsid w:val="00143E75"/>
    <w:rsid w:val="00145C70"/>
    <w:rsid w:val="0014704E"/>
    <w:rsid w:val="001500B2"/>
    <w:rsid w:val="00150509"/>
    <w:rsid w:val="0015207E"/>
    <w:rsid w:val="001521FC"/>
    <w:rsid w:val="00152AC1"/>
    <w:rsid w:val="0015426A"/>
    <w:rsid w:val="00155E6E"/>
    <w:rsid w:val="0016121F"/>
    <w:rsid w:val="00161CBF"/>
    <w:rsid w:val="00162C71"/>
    <w:rsid w:val="00164AA4"/>
    <w:rsid w:val="00165744"/>
    <w:rsid w:val="00165D78"/>
    <w:rsid w:val="00167792"/>
    <w:rsid w:val="00171A70"/>
    <w:rsid w:val="00172892"/>
    <w:rsid w:val="00175A7A"/>
    <w:rsid w:val="00181130"/>
    <w:rsid w:val="00182CBD"/>
    <w:rsid w:val="00184F83"/>
    <w:rsid w:val="001855EF"/>
    <w:rsid w:val="001868A5"/>
    <w:rsid w:val="0018775E"/>
    <w:rsid w:val="00195C04"/>
    <w:rsid w:val="001A114B"/>
    <w:rsid w:val="001A224F"/>
    <w:rsid w:val="001A6CD8"/>
    <w:rsid w:val="001B1924"/>
    <w:rsid w:val="001B3FD3"/>
    <w:rsid w:val="001B54CB"/>
    <w:rsid w:val="001C2B53"/>
    <w:rsid w:val="001C3908"/>
    <w:rsid w:val="001C39B7"/>
    <w:rsid w:val="001C3F84"/>
    <w:rsid w:val="001C528A"/>
    <w:rsid w:val="001C5A0C"/>
    <w:rsid w:val="001D2F71"/>
    <w:rsid w:val="001D45EE"/>
    <w:rsid w:val="001D5CC8"/>
    <w:rsid w:val="001E1CFB"/>
    <w:rsid w:val="001E34A2"/>
    <w:rsid w:val="001F0A72"/>
    <w:rsid w:val="001F376E"/>
    <w:rsid w:val="001F5EB1"/>
    <w:rsid w:val="001F6709"/>
    <w:rsid w:val="0020174E"/>
    <w:rsid w:val="002020AA"/>
    <w:rsid w:val="002034E4"/>
    <w:rsid w:val="00203E71"/>
    <w:rsid w:val="0020503B"/>
    <w:rsid w:val="00207DB6"/>
    <w:rsid w:val="00211985"/>
    <w:rsid w:val="002140D0"/>
    <w:rsid w:val="00217CFA"/>
    <w:rsid w:val="0022061D"/>
    <w:rsid w:val="00220C25"/>
    <w:rsid w:val="00224283"/>
    <w:rsid w:val="00227006"/>
    <w:rsid w:val="0022754D"/>
    <w:rsid w:val="002349B0"/>
    <w:rsid w:val="002377E2"/>
    <w:rsid w:val="00237900"/>
    <w:rsid w:val="00241C0B"/>
    <w:rsid w:val="00241FFF"/>
    <w:rsid w:val="00244E33"/>
    <w:rsid w:val="0024653F"/>
    <w:rsid w:val="002469B8"/>
    <w:rsid w:val="002476F8"/>
    <w:rsid w:val="00247735"/>
    <w:rsid w:val="00247796"/>
    <w:rsid w:val="0025031C"/>
    <w:rsid w:val="0025033C"/>
    <w:rsid w:val="00250527"/>
    <w:rsid w:val="00252344"/>
    <w:rsid w:val="00252A63"/>
    <w:rsid w:val="002603B4"/>
    <w:rsid w:val="00261732"/>
    <w:rsid w:val="00263844"/>
    <w:rsid w:val="002661B0"/>
    <w:rsid w:val="00270032"/>
    <w:rsid w:val="00271AED"/>
    <w:rsid w:val="00274684"/>
    <w:rsid w:val="002823B4"/>
    <w:rsid w:val="002844AB"/>
    <w:rsid w:val="002901FC"/>
    <w:rsid w:val="0029178B"/>
    <w:rsid w:val="00291FCB"/>
    <w:rsid w:val="0029245F"/>
    <w:rsid w:val="00292514"/>
    <w:rsid w:val="00292C29"/>
    <w:rsid w:val="002937A9"/>
    <w:rsid w:val="002947AC"/>
    <w:rsid w:val="00295621"/>
    <w:rsid w:val="00295E7F"/>
    <w:rsid w:val="00296939"/>
    <w:rsid w:val="002A00C8"/>
    <w:rsid w:val="002A25DB"/>
    <w:rsid w:val="002B01D9"/>
    <w:rsid w:val="002B3AFE"/>
    <w:rsid w:val="002B4644"/>
    <w:rsid w:val="002B4B5F"/>
    <w:rsid w:val="002B4CF3"/>
    <w:rsid w:val="002B6BC9"/>
    <w:rsid w:val="002C0677"/>
    <w:rsid w:val="002C5EBC"/>
    <w:rsid w:val="002C6DAE"/>
    <w:rsid w:val="002C71C1"/>
    <w:rsid w:val="002D0B0C"/>
    <w:rsid w:val="002D6546"/>
    <w:rsid w:val="002E0338"/>
    <w:rsid w:val="002E1E38"/>
    <w:rsid w:val="002E26F4"/>
    <w:rsid w:val="002E5181"/>
    <w:rsid w:val="002E65FA"/>
    <w:rsid w:val="002E6E0F"/>
    <w:rsid w:val="002F11D8"/>
    <w:rsid w:val="002F3731"/>
    <w:rsid w:val="002F5ECB"/>
    <w:rsid w:val="002F6EDD"/>
    <w:rsid w:val="00301870"/>
    <w:rsid w:val="00311A48"/>
    <w:rsid w:val="0031403F"/>
    <w:rsid w:val="0031458F"/>
    <w:rsid w:val="00320D04"/>
    <w:rsid w:val="003211E3"/>
    <w:rsid w:val="003225BA"/>
    <w:rsid w:val="00324155"/>
    <w:rsid w:val="003256D5"/>
    <w:rsid w:val="003333FA"/>
    <w:rsid w:val="0033355B"/>
    <w:rsid w:val="00333756"/>
    <w:rsid w:val="00336A21"/>
    <w:rsid w:val="00340977"/>
    <w:rsid w:val="00341558"/>
    <w:rsid w:val="00341F87"/>
    <w:rsid w:val="00342AF3"/>
    <w:rsid w:val="003458AD"/>
    <w:rsid w:val="00350A91"/>
    <w:rsid w:val="00355747"/>
    <w:rsid w:val="00356EDE"/>
    <w:rsid w:val="00356F90"/>
    <w:rsid w:val="003577BB"/>
    <w:rsid w:val="00362AD5"/>
    <w:rsid w:val="0036313B"/>
    <w:rsid w:val="00366618"/>
    <w:rsid w:val="00367242"/>
    <w:rsid w:val="00367337"/>
    <w:rsid w:val="00373230"/>
    <w:rsid w:val="00374510"/>
    <w:rsid w:val="00377D27"/>
    <w:rsid w:val="00380DD9"/>
    <w:rsid w:val="00381A32"/>
    <w:rsid w:val="00383B9E"/>
    <w:rsid w:val="00384815"/>
    <w:rsid w:val="00386D67"/>
    <w:rsid w:val="003919B4"/>
    <w:rsid w:val="0039240F"/>
    <w:rsid w:val="0039364D"/>
    <w:rsid w:val="00393C1A"/>
    <w:rsid w:val="00395BA4"/>
    <w:rsid w:val="0039634C"/>
    <w:rsid w:val="003A2F89"/>
    <w:rsid w:val="003A4350"/>
    <w:rsid w:val="003A6FE6"/>
    <w:rsid w:val="003B7AD2"/>
    <w:rsid w:val="003B7E69"/>
    <w:rsid w:val="003B7FF0"/>
    <w:rsid w:val="003C0970"/>
    <w:rsid w:val="003C2EEC"/>
    <w:rsid w:val="003C699A"/>
    <w:rsid w:val="003C7420"/>
    <w:rsid w:val="003D22DE"/>
    <w:rsid w:val="003D694C"/>
    <w:rsid w:val="003D6A2D"/>
    <w:rsid w:val="003E2396"/>
    <w:rsid w:val="003E56E7"/>
    <w:rsid w:val="003F0865"/>
    <w:rsid w:val="003F209B"/>
    <w:rsid w:val="003F24EE"/>
    <w:rsid w:val="003F607F"/>
    <w:rsid w:val="00400335"/>
    <w:rsid w:val="004013BA"/>
    <w:rsid w:val="00407FB7"/>
    <w:rsid w:val="00411AB1"/>
    <w:rsid w:val="004158E4"/>
    <w:rsid w:val="00416F70"/>
    <w:rsid w:val="00420DC2"/>
    <w:rsid w:val="0042494D"/>
    <w:rsid w:val="00424FC1"/>
    <w:rsid w:val="00426F0D"/>
    <w:rsid w:val="00431606"/>
    <w:rsid w:val="00434D0D"/>
    <w:rsid w:val="0043718F"/>
    <w:rsid w:val="00446B4A"/>
    <w:rsid w:val="0045261C"/>
    <w:rsid w:val="00452CFF"/>
    <w:rsid w:val="0045679C"/>
    <w:rsid w:val="00456ECF"/>
    <w:rsid w:val="00457C80"/>
    <w:rsid w:val="00457EB1"/>
    <w:rsid w:val="00460C59"/>
    <w:rsid w:val="00461DF0"/>
    <w:rsid w:val="00464A2F"/>
    <w:rsid w:val="00471298"/>
    <w:rsid w:val="004745DB"/>
    <w:rsid w:val="00475714"/>
    <w:rsid w:val="00476D51"/>
    <w:rsid w:val="00477685"/>
    <w:rsid w:val="00480428"/>
    <w:rsid w:val="004834E7"/>
    <w:rsid w:val="00483724"/>
    <w:rsid w:val="00486AF3"/>
    <w:rsid w:val="00486BE3"/>
    <w:rsid w:val="00487342"/>
    <w:rsid w:val="00490642"/>
    <w:rsid w:val="00491474"/>
    <w:rsid w:val="00491595"/>
    <w:rsid w:val="00497292"/>
    <w:rsid w:val="004A0509"/>
    <w:rsid w:val="004A0938"/>
    <w:rsid w:val="004A1F21"/>
    <w:rsid w:val="004A2113"/>
    <w:rsid w:val="004A25B1"/>
    <w:rsid w:val="004A2C8F"/>
    <w:rsid w:val="004A2DF1"/>
    <w:rsid w:val="004A3D78"/>
    <w:rsid w:val="004A681A"/>
    <w:rsid w:val="004A6A8B"/>
    <w:rsid w:val="004A7AA9"/>
    <w:rsid w:val="004A7DE7"/>
    <w:rsid w:val="004B0B6E"/>
    <w:rsid w:val="004B10B0"/>
    <w:rsid w:val="004B3304"/>
    <w:rsid w:val="004C0C69"/>
    <w:rsid w:val="004C1378"/>
    <w:rsid w:val="004C2A77"/>
    <w:rsid w:val="004C2FDC"/>
    <w:rsid w:val="004C4BBA"/>
    <w:rsid w:val="004C4DC6"/>
    <w:rsid w:val="004C59C3"/>
    <w:rsid w:val="004D0BFF"/>
    <w:rsid w:val="004D47D3"/>
    <w:rsid w:val="004D4CEA"/>
    <w:rsid w:val="004E047C"/>
    <w:rsid w:val="004E23AD"/>
    <w:rsid w:val="004E69A5"/>
    <w:rsid w:val="004F2064"/>
    <w:rsid w:val="004F6624"/>
    <w:rsid w:val="004F6DAF"/>
    <w:rsid w:val="00510914"/>
    <w:rsid w:val="0051160F"/>
    <w:rsid w:val="0051429E"/>
    <w:rsid w:val="00514921"/>
    <w:rsid w:val="0051515F"/>
    <w:rsid w:val="00524837"/>
    <w:rsid w:val="00525298"/>
    <w:rsid w:val="005304A1"/>
    <w:rsid w:val="005318B8"/>
    <w:rsid w:val="0053668A"/>
    <w:rsid w:val="00540197"/>
    <w:rsid w:val="005420DF"/>
    <w:rsid w:val="00543F24"/>
    <w:rsid w:val="005446D7"/>
    <w:rsid w:val="00544941"/>
    <w:rsid w:val="00544A7C"/>
    <w:rsid w:val="00552CD7"/>
    <w:rsid w:val="0055353D"/>
    <w:rsid w:val="005536F8"/>
    <w:rsid w:val="00554BFB"/>
    <w:rsid w:val="00554EBA"/>
    <w:rsid w:val="005556E0"/>
    <w:rsid w:val="00555EF7"/>
    <w:rsid w:val="0055709B"/>
    <w:rsid w:val="00562132"/>
    <w:rsid w:val="005621E7"/>
    <w:rsid w:val="0056276E"/>
    <w:rsid w:val="00562A83"/>
    <w:rsid w:val="00563568"/>
    <w:rsid w:val="00564463"/>
    <w:rsid w:val="00565B35"/>
    <w:rsid w:val="00566BB0"/>
    <w:rsid w:val="00567EC1"/>
    <w:rsid w:val="00575261"/>
    <w:rsid w:val="0058122A"/>
    <w:rsid w:val="005812EF"/>
    <w:rsid w:val="0058190C"/>
    <w:rsid w:val="005832C1"/>
    <w:rsid w:val="00584182"/>
    <w:rsid w:val="00586506"/>
    <w:rsid w:val="005879FC"/>
    <w:rsid w:val="005913F5"/>
    <w:rsid w:val="005A1B70"/>
    <w:rsid w:val="005A2864"/>
    <w:rsid w:val="005A7ED2"/>
    <w:rsid w:val="005B0607"/>
    <w:rsid w:val="005B0DB4"/>
    <w:rsid w:val="005B1529"/>
    <w:rsid w:val="005B2A87"/>
    <w:rsid w:val="005B4E8D"/>
    <w:rsid w:val="005B555E"/>
    <w:rsid w:val="005B6790"/>
    <w:rsid w:val="005D5312"/>
    <w:rsid w:val="005D5E49"/>
    <w:rsid w:val="005D7159"/>
    <w:rsid w:val="005D7B47"/>
    <w:rsid w:val="005E05C9"/>
    <w:rsid w:val="005E2E18"/>
    <w:rsid w:val="005E3C2A"/>
    <w:rsid w:val="005E4DB8"/>
    <w:rsid w:val="005F030A"/>
    <w:rsid w:val="005F0423"/>
    <w:rsid w:val="006013DF"/>
    <w:rsid w:val="0060295A"/>
    <w:rsid w:val="00604677"/>
    <w:rsid w:val="00614D03"/>
    <w:rsid w:val="00621BEA"/>
    <w:rsid w:val="00623B70"/>
    <w:rsid w:val="00624208"/>
    <w:rsid w:val="00624762"/>
    <w:rsid w:val="00625E1A"/>
    <w:rsid w:val="00630C21"/>
    <w:rsid w:val="00631FE7"/>
    <w:rsid w:val="00632821"/>
    <w:rsid w:val="00636067"/>
    <w:rsid w:val="00636DEE"/>
    <w:rsid w:val="00637DE9"/>
    <w:rsid w:val="00640032"/>
    <w:rsid w:val="00642703"/>
    <w:rsid w:val="00643963"/>
    <w:rsid w:val="00644906"/>
    <w:rsid w:val="00646C2B"/>
    <w:rsid w:val="0064725F"/>
    <w:rsid w:val="00647B9F"/>
    <w:rsid w:val="00650B14"/>
    <w:rsid w:val="0065123F"/>
    <w:rsid w:val="00651A1D"/>
    <w:rsid w:val="00651A5A"/>
    <w:rsid w:val="006542CD"/>
    <w:rsid w:val="00654594"/>
    <w:rsid w:val="00660C71"/>
    <w:rsid w:val="00661098"/>
    <w:rsid w:val="006616DF"/>
    <w:rsid w:val="00661C4A"/>
    <w:rsid w:val="006669BA"/>
    <w:rsid w:val="00673302"/>
    <w:rsid w:val="00673BFE"/>
    <w:rsid w:val="0067467A"/>
    <w:rsid w:val="00674A80"/>
    <w:rsid w:val="00675930"/>
    <w:rsid w:val="006764A1"/>
    <w:rsid w:val="00677502"/>
    <w:rsid w:val="00680BF6"/>
    <w:rsid w:val="006816DC"/>
    <w:rsid w:val="00682DC6"/>
    <w:rsid w:val="00685750"/>
    <w:rsid w:val="00686015"/>
    <w:rsid w:val="006916EE"/>
    <w:rsid w:val="00692A4B"/>
    <w:rsid w:val="00694171"/>
    <w:rsid w:val="00694E5A"/>
    <w:rsid w:val="00694F4E"/>
    <w:rsid w:val="0069706F"/>
    <w:rsid w:val="006A21CC"/>
    <w:rsid w:val="006A24D7"/>
    <w:rsid w:val="006A326E"/>
    <w:rsid w:val="006A3758"/>
    <w:rsid w:val="006A79DC"/>
    <w:rsid w:val="006B324E"/>
    <w:rsid w:val="006B3973"/>
    <w:rsid w:val="006B44EC"/>
    <w:rsid w:val="006B6411"/>
    <w:rsid w:val="006B69C4"/>
    <w:rsid w:val="006C1177"/>
    <w:rsid w:val="006C1A01"/>
    <w:rsid w:val="006C2A64"/>
    <w:rsid w:val="006C5C23"/>
    <w:rsid w:val="006C75D0"/>
    <w:rsid w:val="006C7E3A"/>
    <w:rsid w:val="006D0136"/>
    <w:rsid w:val="006D3594"/>
    <w:rsid w:val="006D4AED"/>
    <w:rsid w:val="006D5F68"/>
    <w:rsid w:val="006D7C6B"/>
    <w:rsid w:val="006E0A92"/>
    <w:rsid w:val="006E4F59"/>
    <w:rsid w:val="006F0F95"/>
    <w:rsid w:val="006F200F"/>
    <w:rsid w:val="006F3820"/>
    <w:rsid w:val="006F6E32"/>
    <w:rsid w:val="00700565"/>
    <w:rsid w:val="00701CD4"/>
    <w:rsid w:val="007026D5"/>
    <w:rsid w:val="00702B16"/>
    <w:rsid w:val="0070351F"/>
    <w:rsid w:val="00705684"/>
    <w:rsid w:val="00706D59"/>
    <w:rsid w:val="00713970"/>
    <w:rsid w:val="007141FD"/>
    <w:rsid w:val="0071755C"/>
    <w:rsid w:val="00721EC1"/>
    <w:rsid w:val="007236CF"/>
    <w:rsid w:val="00723A97"/>
    <w:rsid w:val="00723AEA"/>
    <w:rsid w:val="00724822"/>
    <w:rsid w:val="00724974"/>
    <w:rsid w:val="0073097E"/>
    <w:rsid w:val="007329D2"/>
    <w:rsid w:val="00735A88"/>
    <w:rsid w:val="00736B72"/>
    <w:rsid w:val="007410CE"/>
    <w:rsid w:val="00744E91"/>
    <w:rsid w:val="00755E6A"/>
    <w:rsid w:val="00757114"/>
    <w:rsid w:val="007613F1"/>
    <w:rsid w:val="00761B6A"/>
    <w:rsid w:val="00761BC5"/>
    <w:rsid w:val="00762DBC"/>
    <w:rsid w:val="00763386"/>
    <w:rsid w:val="007715B4"/>
    <w:rsid w:val="00772386"/>
    <w:rsid w:val="00773A1D"/>
    <w:rsid w:val="00776CB8"/>
    <w:rsid w:val="007803E8"/>
    <w:rsid w:val="00781954"/>
    <w:rsid w:val="0078210B"/>
    <w:rsid w:val="0078289E"/>
    <w:rsid w:val="00783E8B"/>
    <w:rsid w:val="00784AFE"/>
    <w:rsid w:val="00786D85"/>
    <w:rsid w:val="0079338C"/>
    <w:rsid w:val="0079470B"/>
    <w:rsid w:val="00794995"/>
    <w:rsid w:val="007958C8"/>
    <w:rsid w:val="00796BB0"/>
    <w:rsid w:val="007A02EE"/>
    <w:rsid w:val="007A2D93"/>
    <w:rsid w:val="007A3547"/>
    <w:rsid w:val="007A3BE4"/>
    <w:rsid w:val="007A4A49"/>
    <w:rsid w:val="007A5094"/>
    <w:rsid w:val="007A652D"/>
    <w:rsid w:val="007A735C"/>
    <w:rsid w:val="007A7776"/>
    <w:rsid w:val="007A7A5F"/>
    <w:rsid w:val="007B35BC"/>
    <w:rsid w:val="007B3F77"/>
    <w:rsid w:val="007B474A"/>
    <w:rsid w:val="007B53CC"/>
    <w:rsid w:val="007B6942"/>
    <w:rsid w:val="007B6EEF"/>
    <w:rsid w:val="007B7157"/>
    <w:rsid w:val="007C21BC"/>
    <w:rsid w:val="007C4974"/>
    <w:rsid w:val="007C767B"/>
    <w:rsid w:val="007D0BB1"/>
    <w:rsid w:val="007D38D0"/>
    <w:rsid w:val="007D4479"/>
    <w:rsid w:val="007D6607"/>
    <w:rsid w:val="007D6776"/>
    <w:rsid w:val="007E31F8"/>
    <w:rsid w:val="007E489A"/>
    <w:rsid w:val="007E6377"/>
    <w:rsid w:val="007F1357"/>
    <w:rsid w:val="007F1AB9"/>
    <w:rsid w:val="007F258A"/>
    <w:rsid w:val="007F42C7"/>
    <w:rsid w:val="00801B08"/>
    <w:rsid w:val="0080361E"/>
    <w:rsid w:val="0080625A"/>
    <w:rsid w:val="008101A1"/>
    <w:rsid w:val="0081043B"/>
    <w:rsid w:val="00810521"/>
    <w:rsid w:val="00810E36"/>
    <w:rsid w:val="00810E68"/>
    <w:rsid w:val="008150C6"/>
    <w:rsid w:val="0081580D"/>
    <w:rsid w:val="008215C5"/>
    <w:rsid w:val="008231F0"/>
    <w:rsid w:val="00824275"/>
    <w:rsid w:val="008254DE"/>
    <w:rsid w:val="008266FF"/>
    <w:rsid w:val="00826B98"/>
    <w:rsid w:val="0082713C"/>
    <w:rsid w:val="00832938"/>
    <w:rsid w:val="00832CCE"/>
    <w:rsid w:val="00836490"/>
    <w:rsid w:val="0084181D"/>
    <w:rsid w:val="008418C0"/>
    <w:rsid w:val="00845457"/>
    <w:rsid w:val="00845CAE"/>
    <w:rsid w:val="00845DB1"/>
    <w:rsid w:val="0085045D"/>
    <w:rsid w:val="008518C0"/>
    <w:rsid w:val="00851925"/>
    <w:rsid w:val="00853875"/>
    <w:rsid w:val="00855450"/>
    <w:rsid w:val="00860FE9"/>
    <w:rsid w:val="00863A3C"/>
    <w:rsid w:val="00867C8F"/>
    <w:rsid w:val="00870840"/>
    <w:rsid w:val="008712AA"/>
    <w:rsid w:val="00877A35"/>
    <w:rsid w:val="008846C1"/>
    <w:rsid w:val="00885268"/>
    <w:rsid w:val="00887CE8"/>
    <w:rsid w:val="00890E25"/>
    <w:rsid w:val="00891937"/>
    <w:rsid w:val="008927B9"/>
    <w:rsid w:val="008A05D2"/>
    <w:rsid w:val="008A083E"/>
    <w:rsid w:val="008A1176"/>
    <w:rsid w:val="008A3007"/>
    <w:rsid w:val="008A3BCC"/>
    <w:rsid w:val="008A404F"/>
    <w:rsid w:val="008A458A"/>
    <w:rsid w:val="008A651B"/>
    <w:rsid w:val="008A73C6"/>
    <w:rsid w:val="008B1411"/>
    <w:rsid w:val="008B264E"/>
    <w:rsid w:val="008B530E"/>
    <w:rsid w:val="008B7D20"/>
    <w:rsid w:val="008B7D39"/>
    <w:rsid w:val="008C1F4E"/>
    <w:rsid w:val="008C637A"/>
    <w:rsid w:val="008D0052"/>
    <w:rsid w:val="008D1114"/>
    <w:rsid w:val="008D35CA"/>
    <w:rsid w:val="008D363A"/>
    <w:rsid w:val="008D47E5"/>
    <w:rsid w:val="008D6C61"/>
    <w:rsid w:val="008D783D"/>
    <w:rsid w:val="008E05BC"/>
    <w:rsid w:val="008E392A"/>
    <w:rsid w:val="008E6FAE"/>
    <w:rsid w:val="008E7B4D"/>
    <w:rsid w:val="008F0953"/>
    <w:rsid w:val="008F3201"/>
    <w:rsid w:val="008F3ECA"/>
    <w:rsid w:val="008F5720"/>
    <w:rsid w:val="008F68C0"/>
    <w:rsid w:val="008F7887"/>
    <w:rsid w:val="009022C7"/>
    <w:rsid w:val="00903714"/>
    <w:rsid w:val="00903E45"/>
    <w:rsid w:val="00904F92"/>
    <w:rsid w:val="00910CD1"/>
    <w:rsid w:val="00912B04"/>
    <w:rsid w:val="00913423"/>
    <w:rsid w:val="009144F4"/>
    <w:rsid w:val="00915640"/>
    <w:rsid w:val="00917E0F"/>
    <w:rsid w:val="0092107C"/>
    <w:rsid w:val="00921241"/>
    <w:rsid w:val="00921500"/>
    <w:rsid w:val="00921563"/>
    <w:rsid w:val="009225E8"/>
    <w:rsid w:val="009243BF"/>
    <w:rsid w:val="0092671B"/>
    <w:rsid w:val="00927045"/>
    <w:rsid w:val="0093186F"/>
    <w:rsid w:val="009324CB"/>
    <w:rsid w:val="00932DCA"/>
    <w:rsid w:val="00933D3C"/>
    <w:rsid w:val="00934EAD"/>
    <w:rsid w:val="00936058"/>
    <w:rsid w:val="00937A85"/>
    <w:rsid w:val="00937EEB"/>
    <w:rsid w:val="00942FD5"/>
    <w:rsid w:val="009430DE"/>
    <w:rsid w:val="00943B71"/>
    <w:rsid w:val="00944CE4"/>
    <w:rsid w:val="009450A0"/>
    <w:rsid w:val="00946E5E"/>
    <w:rsid w:val="00947FB8"/>
    <w:rsid w:val="00950542"/>
    <w:rsid w:val="00952A54"/>
    <w:rsid w:val="00953B3F"/>
    <w:rsid w:val="009555DD"/>
    <w:rsid w:val="00956B43"/>
    <w:rsid w:val="00960EA8"/>
    <w:rsid w:val="0096599B"/>
    <w:rsid w:val="00971E35"/>
    <w:rsid w:val="00972D51"/>
    <w:rsid w:val="0097392C"/>
    <w:rsid w:val="009741EA"/>
    <w:rsid w:val="009745A2"/>
    <w:rsid w:val="0097597B"/>
    <w:rsid w:val="00980F4C"/>
    <w:rsid w:val="009814BA"/>
    <w:rsid w:val="00982C31"/>
    <w:rsid w:val="00983B78"/>
    <w:rsid w:val="009875BE"/>
    <w:rsid w:val="00991A76"/>
    <w:rsid w:val="009932ED"/>
    <w:rsid w:val="00994389"/>
    <w:rsid w:val="0099591B"/>
    <w:rsid w:val="009A1926"/>
    <w:rsid w:val="009A6C3A"/>
    <w:rsid w:val="009B12AF"/>
    <w:rsid w:val="009B1896"/>
    <w:rsid w:val="009B1F17"/>
    <w:rsid w:val="009B2E29"/>
    <w:rsid w:val="009B4312"/>
    <w:rsid w:val="009B6E2B"/>
    <w:rsid w:val="009B7173"/>
    <w:rsid w:val="009B7713"/>
    <w:rsid w:val="009C23FE"/>
    <w:rsid w:val="009C55AF"/>
    <w:rsid w:val="009C7EB4"/>
    <w:rsid w:val="009D5E5A"/>
    <w:rsid w:val="009E2EED"/>
    <w:rsid w:val="009E3EA5"/>
    <w:rsid w:val="009E5574"/>
    <w:rsid w:val="009E6ABA"/>
    <w:rsid w:val="009E740B"/>
    <w:rsid w:val="009F2145"/>
    <w:rsid w:val="009F34F8"/>
    <w:rsid w:val="009F6509"/>
    <w:rsid w:val="00A006F9"/>
    <w:rsid w:val="00A00E88"/>
    <w:rsid w:val="00A017D2"/>
    <w:rsid w:val="00A02455"/>
    <w:rsid w:val="00A109BF"/>
    <w:rsid w:val="00A10CC0"/>
    <w:rsid w:val="00A115C6"/>
    <w:rsid w:val="00A12869"/>
    <w:rsid w:val="00A14B30"/>
    <w:rsid w:val="00A20096"/>
    <w:rsid w:val="00A20B77"/>
    <w:rsid w:val="00A214F2"/>
    <w:rsid w:val="00A226F6"/>
    <w:rsid w:val="00A23A5D"/>
    <w:rsid w:val="00A23B38"/>
    <w:rsid w:val="00A2636A"/>
    <w:rsid w:val="00A2752C"/>
    <w:rsid w:val="00A30094"/>
    <w:rsid w:val="00A315B4"/>
    <w:rsid w:val="00A376B0"/>
    <w:rsid w:val="00A4051F"/>
    <w:rsid w:val="00A41D0B"/>
    <w:rsid w:val="00A46CCF"/>
    <w:rsid w:val="00A50379"/>
    <w:rsid w:val="00A506B4"/>
    <w:rsid w:val="00A50B45"/>
    <w:rsid w:val="00A525DC"/>
    <w:rsid w:val="00A529A1"/>
    <w:rsid w:val="00A52DE7"/>
    <w:rsid w:val="00A566D6"/>
    <w:rsid w:val="00A60BCC"/>
    <w:rsid w:val="00A633A4"/>
    <w:rsid w:val="00A6360B"/>
    <w:rsid w:val="00A67579"/>
    <w:rsid w:val="00A70E90"/>
    <w:rsid w:val="00A727D4"/>
    <w:rsid w:val="00A77F99"/>
    <w:rsid w:val="00A80702"/>
    <w:rsid w:val="00A81644"/>
    <w:rsid w:val="00A821C6"/>
    <w:rsid w:val="00A82B47"/>
    <w:rsid w:val="00A838B2"/>
    <w:rsid w:val="00A839EF"/>
    <w:rsid w:val="00A85AA2"/>
    <w:rsid w:val="00A90026"/>
    <w:rsid w:val="00A90343"/>
    <w:rsid w:val="00A92679"/>
    <w:rsid w:val="00A929C7"/>
    <w:rsid w:val="00AA1B94"/>
    <w:rsid w:val="00AA3E94"/>
    <w:rsid w:val="00AA68AC"/>
    <w:rsid w:val="00AA6C8D"/>
    <w:rsid w:val="00AA7444"/>
    <w:rsid w:val="00AA797E"/>
    <w:rsid w:val="00AA7DEB"/>
    <w:rsid w:val="00AA7FA6"/>
    <w:rsid w:val="00AB0147"/>
    <w:rsid w:val="00AB06D5"/>
    <w:rsid w:val="00AB433D"/>
    <w:rsid w:val="00AB4624"/>
    <w:rsid w:val="00AC089C"/>
    <w:rsid w:val="00AC1AF1"/>
    <w:rsid w:val="00AC33A2"/>
    <w:rsid w:val="00AC42D3"/>
    <w:rsid w:val="00AC5EBC"/>
    <w:rsid w:val="00AC6639"/>
    <w:rsid w:val="00AD3E6A"/>
    <w:rsid w:val="00AD5344"/>
    <w:rsid w:val="00AD5905"/>
    <w:rsid w:val="00AD690C"/>
    <w:rsid w:val="00AE16AC"/>
    <w:rsid w:val="00AE19A2"/>
    <w:rsid w:val="00AE2DDD"/>
    <w:rsid w:val="00AE3BD9"/>
    <w:rsid w:val="00AE409D"/>
    <w:rsid w:val="00AE43BB"/>
    <w:rsid w:val="00AF05CC"/>
    <w:rsid w:val="00AF1044"/>
    <w:rsid w:val="00AF2519"/>
    <w:rsid w:val="00AF2CB8"/>
    <w:rsid w:val="00AF36FA"/>
    <w:rsid w:val="00AF4758"/>
    <w:rsid w:val="00AF4FEB"/>
    <w:rsid w:val="00B00439"/>
    <w:rsid w:val="00B01BEC"/>
    <w:rsid w:val="00B03115"/>
    <w:rsid w:val="00B063BC"/>
    <w:rsid w:val="00B0748A"/>
    <w:rsid w:val="00B138CD"/>
    <w:rsid w:val="00B14106"/>
    <w:rsid w:val="00B20821"/>
    <w:rsid w:val="00B2178A"/>
    <w:rsid w:val="00B227E0"/>
    <w:rsid w:val="00B239A8"/>
    <w:rsid w:val="00B26381"/>
    <w:rsid w:val="00B268BA"/>
    <w:rsid w:val="00B32D79"/>
    <w:rsid w:val="00B3419E"/>
    <w:rsid w:val="00B352E9"/>
    <w:rsid w:val="00B37D2F"/>
    <w:rsid w:val="00B41CC9"/>
    <w:rsid w:val="00B42B2E"/>
    <w:rsid w:val="00B4344D"/>
    <w:rsid w:val="00B542DF"/>
    <w:rsid w:val="00B550A7"/>
    <w:rsid w:val="00B63421"/>
    <w:rsid w:val="00B6479E"/>
    <w:rsid w:val="00B6650F"/>
    <w:rsid w:val="00B668F3"/>
    <w:rsid w:val="00B70CB5"/>
    <w:rsid w:val="00B7339C"/>
    <w:rsid w:val="00B75557"/>
    <w:rsid w:val="00B86056"/>
    <w:rsid w:val="00B90AE3"/>
    <w:rsid w:val="00B938A5"/>
    <w:rsid w:val="00B94383"/>
    <w:rsid w:val="00B9443E"/>
    <w:rsid w:val="00B97F18"/>
    <w:rsid w:val="00BA1806"/>
    <w:rsid w:val="00BA18B3"/>
    <w:rsid w:val="00BA23B4"/>
    <w:rsid w:val="00BB2FF5"/>
    <w:rsid w:val="00BB31C3"/>
    <w:rsid w:val="00BB3C9A"/>
    <w:rsid w:val="00BC052F"/>
    <w:rsid w:val="00BC06E3"/>
    <w:rsid w:val="00BC2279"/>
    <w:rsid w:val="00BC65CB"/>
    <w:rsid w:val="00BC6C40"/>
    <w:rsid w:val="00BD0736"/>
    <w:rsid w:val="00BD16F8"/>
    <w:rsid w:val="00BD2FC2"/>
    <w:rsid w:val="00BD490D"/>
    <w:rsid w:val="00BD665F"/>
    <w:rsid w:val="00BD727B"/>
    <w:rsid w:val="00BE100C"/>
    <w:rsid w:val="00BE3860"/>
    <w:rsid w:val="00BE79A3"/>
    <w:rsid w:val="00BF1E73"/>
    <w:rsid w:val="00BF2F62"/>
    <w:rsid w:val="00BF4645"/>
    <w:rsid w:val="00BF57BD"/>
    <w:rsid w:val="00BF6D4F"/>
    <w:rsid w:val="00BF7D13"/>
    <w:rsid w:val="00C0342B"/>
    <w:rsid w:val="00C03C4F"/>
    <w:rsid w:val="00C03FAA"/>
    <w:rsid w:val="00C05C6F"/>
    <w:rsid w:val="00C05CFF"/>
    <w:rsid w:val="00C07832"/>
    <w:rsid w:val="00C10252"/>
    <w:rsid w:val="00C10C8D"/>
    <w:rsid w:val="00C13520"/>
    <w:rsid w:val="00C14DC3"/>
    <w:rsid w:val="00C15607"/>
    <w:rsid w:val="00C20DAE"/>
    <w:rsid w:val="00C22603"/>
    <w:rsid w:val="00C243BA"/>
    <w:rsid w:val="00C2453E"/>
    <w:rsid w:val="00C25EC8"/>
    <w:rsid w:val="00C27658"/>
    <w:rsid w:val="00C27F14"/>
    <w:rsid w:val="00C31C1E"/>
    <w:rsid w:val="00C329D4"/>
    <w:rsid w:val="00C345C1"/>
    <w:rsid w:val="00C35385"/>
    <w:rsid w:val="00C36773"/>
    <w:rsid w:val="00C43FAF"/>
    <w:rsid w:val="00C45823"/>
    <w:rsid w:val="00C4692F"/>
    <w:rsid w:val="00C47087"/>
    <w:rsid w:val="00C47661"/>
    <w:rsid w:val="00C51B83"/>
    <w:rsid w:val="00C54380"/>
    <w:rsid w:val="00C57883"/>
    <w:rsid w:val="00C669D4"/>
    <w:rsid w:val="00C702E8"/>
    <w:rsid w:val="00C744FB"/>
    <w:rsid w:val="00C75975"/>
    <w:rsid w:val="00C76AFE"/>
    <w:rsid w:val="00C76E3A"/>
    <w:rsid w:val="00C86546"/>
    <w:rsid w:val="00C9069C"/>
    <w:rsid w:val="00C929AA"/>
    <w:rsid w:val="00C93CC4"/>
    <w:rsid w:val="00C94C9C"/>
    <w:rsid w:val="00C94F2F"/>
    <w:rsid w:val="00C95CC1"/>
    <w:rsid w:val="00C96802"/>
    <w:rsid w:val="00CA303A"/>
    <w:rsid w:val="00CA52B4"/>
    <w:rsid w:val="00CB16A3"/>
    <w:rsid w:val="00CB4BF2"/>
    <w:rsid w:val="00CB7441"/>
    <w:rsid w:val="00CC24D7"/>
    <w:rsid w:val="00CC4FB4"/>
    <w:rsid w:val="00CC5DFD"/>
    <w:rsid w:val="00CC799F"/>
    <w:rsid w:val="00CC7BC2"/>
    <w:rsid w:val="00CD00EA"/>
    <w:rsid w:val="00CD44A0"/>
    <w:rsid w:val="00CD531E"/>
    <w:rsid w:val="00CD5BD0"/>
    <w:rsid w:val="00CD6E97"/>
    <w:rsid w:val="00CE3B7F"/>
    <w:rsid w:val="00CE6F2D"/>
    <w:rsid w:val="00CF19A7"/>
    <w:rsid w:val="00CF2648"/>
    <w:rsid w:val="00CF38A0"/>
    <w:rsid w:val="00CF45A0"/>
    <w:rsid w:val="00CF6188"/>
    <w:rsid w:val="00D02728"/>
    <w:rsid w:val="00D0559F"/>
    <w:rsid w:val="00D10D28"/>
    <w:rsid w:val="00D11CFA"/>
    <w:rsid w:val="00D130BC"/>
    <w:rsid w:val="00D143C3"/>
    <w:rsid w:val="00D153F2"/>
    <w:rsid w:val="00D23687"/>
    <w:rsid w:val="00D312A9"/>
    <w:rsid w:val="00D31AC9"/>
    <w:rsid w:val="00D333CA"/>
    <w:rsid w:val="00D35BFD"/>
    <w:rsid w:val="00D40608"/>
    <w:rsid w:val="00D40877"/>
    <w:rsid w:val="00D43F2A"/>
    <w:rsid w:val="00D476E8"/>
    <w:rsid w:val="00D47AA4"/>
    <w:rsid w:val="00D5103D"/>
    <w:rsid w:val="00D525E8"/>
    <w:rsid w:val="00D52937"/>
    <w:rsid w:val="00D55CC1"/>
    <w:rsid w:val="00D55CE2"/>
    <w:rsid w:val="00D56913"/>
    <w:rsid w:val="00D57129"/>
    <w:rsid w:val="00D57548"/>
    <w:rsid w:val="00D6006B"/>
    <w:rsid w:val="00D60C1D"/>
    <w:rsid w:val="00D61274"/>
    <w:rsid w:val="00D637DA"/>
    <w:rsid w:val="00D71687"/>
    <w:rsid w:val="00D726FB"/>
    <w:rsid w:val="00D76923"/>
    <w:rsid w:val="00D778ED"/>
    <w:rsid w:val="00D816B0"/>
    <w:rsid w:val="00D81C1B"/>
    <w:rsid w:val="00D82294"/>
    <w:rsid w:val="00D83544"/>
    <w:rsid w:val="00D83553"/>
    <w:rsid w:val="00D85279"/>
    <w:rsid w:val="00D870B9"/>
    <w:rsid w:val="00D96298"/>
    <w:rsid w:val="00D97A37"/>
    <w:rsid w:val="00DA134C"/>
    <w:rsid w:val="00DA1F2B"/>
    <w:rsid w:val="00DA3EE4"/>
    <w:rsid w:val="00DA576C"/>
    <w:rsid w:val="00DA6712"/>
    <w:rsid w:val="00DA6911"/>
    <w:rsid w:val="00DB1338"/>
    <w:rsid w:val="00DB1EFC"/>
    <w:rsid w:val="00DB21B9"/>
    <w:rsid w:val="00DB24FC"/>
    <w:rsid w:val="00DB2A4E"/>
    <w:rsid w:val="00DB4F25"/>
    <w:rsid w:val="00DB643B"/>
    <w:rsid w:val="00DB7C8C"/>
    <w:rsid w:val="00DC2C6F"/>
    <w:rsid w:val="00DC2F1A"/>
    <w:rsid w:val="00DC46AB"/>
    <w:rsid w:val="00DC6179"/>
    <w:rsid w:val="00DC72C0"/>
    <w:rsid w:val="00DD11AF"/>
    <w:rsid w:val="00DD2026"/>
    <w:rsid w:val="00DD3C9D"/>
    <w:rsid w:val="00DD4FB2"/>
    <w:rsid w:val="00DD5BAA"/>
    <w:rsid w:val="00DE0272"/>
    <w:rsid w:val="00DE1C3E"/>
    <w:rsid w:val="00DE2229"/>
    <w:rsid w:val="00DE2D8B"/>
    <w:rsid w:val="00DE3335"/>
    <w:rsid w:val="00DE5843"/>
    <w:rsid w:val="00DE6936"/>
    <w:rsid w:val="00DE70BC"/>
    <w:rsid w:val="00DE7F59"/>
    <w:rsid w:val="00DF0169"/>
    <w:rsid w:val="00DF17E2"/>
    <w:rsid w:val="00DF3CB1"/>
    <w:rsid w:val="00DF41F2"/>
    <w:rsid w:val="00DF4312"/>
    <w:rsid w:val="00DF4E0F"/>
    <w:rsid w:val="00DF50B5"/>
    <w:rsid w:val="00DF591C"/>
    <w:rsid w:val="00E01D55"/>
    <w:rsid w:val="00E04B39"/>
    <w:rsid w:val="00E050FB"/>
    <w:rsid w:val="00E0654D"/>
    <w:rsid w:val="00E10CAD"/>
    <w:rsid w:val="00E172CA"/>
    <w:rsid w:val="00E17CCA"/>
    <w:rsid w:val="00E25167"/>
    <w:rsid w:val="00E25FE6"/>
    <w:rsid w:val="00E30906"/>
    <w:rsid w:val="00E33432"/>
    <w:rsid w:val="00E339D6"/>
    <w:rsid w:val="00E342A3"/>
    <w:rsid w:val="00E36B39"/>
    <w:rsid w:val="00E37609"/>
    <w:rsid w:val="00E4653B"/>
    <w:rsid w:val="00E51DC9"/>
    <w:rsid w:val="00E52141"/>
    <w:rsid w:val="00E52384"/>
    <w:rsid w:val="00E56EDA"/>
    <w:rsid w:val="00E60510"/>
    <w:rsid w:val="00E61266"/>
    <w:rsid w:val="00E62D04"/>
    <w:rsid w:val="00E634B0"/>
    <w:rsid w:val="00E642C5"/>
    <w:rsid w:val="00E723B1"/>
    <w:rsid w:val="00E72B38"/>
    <w:rsid w:val="00E74F36"/>
    <w:rsid w:val="00E769C5"/>
    <w:rsid w:val="00E76C05"/>
    <w:rsid w:val="00E76DE0"/>
    <w:rsid w:val="00E776C5"/>
    <w:rsid w:val="00E81755"/>
    <w:rsid w:val="00E82975"/>
    <w:rsid w:val="00E83956"/>
    <w:rsid w:val="00E86D20"/>
    <w:rsid w:val="00E90861"/>
    <w:rsid w:val="00E91D77"/>
    <w:rsid w:val="00E957F6"/>
    <w:rsid w:val="00E96881"/>
    <w:rsid w:val="00EA0806"/>
    <w:rsid w:val="00EA0E0F"/>
    <w:rsid w:val="00EA27B9"/>
    <w:rsid w:val="00EA2B4F"/>
    <w:rsid w:val="00EB00EA"/>
    <w:rsid w:val="00EB1CC8"/>
    <w:rsid w:val="00EB3BDC"/>
    <w:rsid w:val="00EB3DC1"/>
    <w:rsid w:val="00EB502D"/>
    <w:rsid w:val="00EB531D"/>
    <w:rsid w:val="00EB6F52"/>
    <w:rsid w:val="00EC104A"/>
    <w:rsid w:val="00EC34C3"/>
    <w:rsid w:val="00EC7869"/>
    <w:rsid w:val="00ED05CE"/>
    <w:rsid w:val="00ED2A2E"/>
    <w:rsid w:val="00ED7740"/>
    <w:rsid w:val="00ED798E"/>
    <w:rsid w:val="00EE05E6"/>
    <w:rsid w:val="00EE3172"/>
    <w:rsid w:val="00EE553A"/>
    <w:rsid w:val="00EE5FBC"/>
    <w:rsid w:val="00EE784E"/>
    <w:rsid w:val="00EF0EFA"/>
    <w:rsid w:val="00EF1E5F"/>
    <w:rsid w:val="00EF4B2E"/>
    <w:rsid w:val="00EF6437"/>
    <w:rsid w:val="00EF734E"/>
    <w:rsid w:val="00F06CE2"/>
    <w:rsid w:val="00F11164"/>
    <w:rsid w:val="00F143D8"/>
    <w:rsid w:val="00F1609C"/>
    <w:rsid w:val="00F16F54"/>
    <w:rsid w:val="00F20B4F"/>
    <w:rsid w:val="00F217F3"/>
    <w:rsid w:val="00F23DFD"/>
    <w:rsid w:val="00F246CE"/>
    <w:rsid w:val="00F25F1B"/>
    <w:rsid w:val="00F26FAC"/>
    <w:rsid w:val="00F30DF1"/>
    <w:rsid w:val="00F31394"/>
    <w:rsid w:val="00F33A0E"/>
    <w:rsid w:val="00F33B1E"/>
    <w:rsid w:val="00F350B8"/>
    <w:rsid w:val="00F352D3"/>
    <w:rsid w:val="00F36C8F"/>
    <w:rsid w:val="00F37695"/>
    <w:rsid w:val="00F467EB"/>
    <w:rsid w:val="00F53A0B"/>
    <w:rsid w:val="00F54EBC"/>
    <w:rsid w:val="00F61D00"/>
    <w:rsid w:val="00F67AF6"/>
    <w:rsid w:val="00F7091E"/>
    <w:rsid w:val="00F7230E"/>
    <w:rsid w:val="00F81278"/>
    <w:rsid w:val="00F8378F"/>
    <w:rsid w:val="00F842F7"/>
    <w:rsid w:val="00F843D1"/>
    <w:rsid w:val="00F852D9"/>
    <w:rsid w:val="00F865B0"/>
    <w:rsid w:val="00F9058D"/>
    <w:rsid w:val="00F90BCE"/>
    <w:rsid w:val="00F92A74"/>
    <w:rsid w:val="00F94C9B"/>
    <w:rsid w:val="00F96744"/>
    <w:rsid w:val="00F96F2A"/>
    <w:rsid w:val="00FA0835"/>
    <w:rsid w:val="00FA6080"/>
    <w:rsid w:val="00FA790F"/>
    <w:rsid w:val="00FB047E"/>
    <w:rsid w:val="00FB054B"/>
    <w:rsid w:val="00FB127E"/>
    <w:rsid w:val="00FC3CA2"/>
    <w:rsid w:val="00FC3DC9"/>
    <w:rsid w:val="00FC46C1"/>
    <w:rsid w:val="00FC49F1"/>
    <w:rsid w:val="00FC4B3F"/>
    <w:rsid w:val="00FC518C"/>
    <w:rsid w:val="00FC72A1"/>
    <w:rsid w:val="00FD126C"/>
    <w:rsid w:val="00FE2189"/>
    <w:rsid w:val="00FE789E"/>
    <w:rsid w:val="00FF3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1B9"/>
    <w:pPr>
      <w:spacing w:after="240" w:line="260" w:lineRule="exact"/>
      <w:jc w:val="both"/>
    </w:pPr>
    <w:rPr>
      <w:rFonts w:ascii="Book Antiqua" w:hAnsi="Book Antiqua"/>
      <w:color w:val="000000"/>
    </w:rPr>
  </w:style>
  <w:style w:type="paragraph" w:styleId="Heading1">
    <w:name w:val="heading 1"/>
    <w:basedOn w:val="HeadingBase"/>
    <w:next w:val="Normal"/>
    <w:qFormat/>
    <w:rsid w:val="00DB21B9"/>
    <w:pPr>
      <w:keepNext/>
      <w:spacing w:before="284" w:after="113"/>
      <w:outlineLvl w:val="0"/>
    </w:pPr>
    <w:rPr>
      <w:rFonts w:cs="Arial"/>
      <w:b/>
      <w:bCs/>
      <w:kern w:val="32"/>
      <w:sz w:val="48"/>
      <w:szCs w:val="48"/>
    </w:rPr>
  </w:style>
  <w:style w:type="paragraph" w:styleId="Heading2">
    <w:name w:val="heading 2"/>
    <w:basedOn w:val="HeadingBase"/>
    <w:next w:val="Normal"/>
    <w:qFormat/>
    <w:rsid w:val="00DB21B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DB21B9"/>
    <w:pPr>
      <w:keepNext/>
      <w:spacing w:before="57" w:after="57" w:line="280" w:lineRule="exact"/>
      <w:outlineLvl w:val="2"/>
    </w:pPr>
    <w:rPr>
      <w:rFonts w:cs="Arial"/>
      <w:b/>
      <w:bCs/>
      <w:sz w:val="24"/>
      <w:szCs w:val="26"/>
    </w:rPr>
  </w:style>
  <w:style w:type="paragraph" w:styleId="Heading4">
    <w:name w:val="heading 4"/>
    <w:basedOn w:val="HeadingBase"/>
    <w:next w:val="Normal"/>
    <w:qFormat/>
    <w:rsid w:val="00DB21B9"/>
    <w:pPr>
      <w:keepNext/>
      <w:spacing w:before="57" w:after="57" w:line="280" w:lineRule="exact"/>
      <w:outlineLvl w:val="3"/>
    </w:pPr>
    <w:rPr>
      <w:b/>
      <w:bCs/>
      <w:szCs w:val="22"/>
    </w:rPr>
  </w:style>
  <w:style w:type="paragraph" w:styleId="Heading5">
    <w:name w:val="heading 5"/>
    <w:basedOn w:val="HeadingBase"/>
    <w:next w:val="Normal"/>
    <w:qFormat/>
    <w:rsid w:val="00DB21B9"/>
    <w:pPr>
      <w:keepNext/>
      <w:spacing w:before="57" w:after="57" w:line="280" w:lineRule="exact"/>
      <w:outlineLvl w:val="4"/>
    </w:pPr>
    <w:rPr>
      <w:bCs/>
      <w:iCs/>
    </w:rPr>
  </w:style>
  <w:style w:type="paragraph" w:styleId="Heading6">
    <w:name w:val="heading 6"/>
    <w:basedOn w:val="HeadingBase"/>
    <w:next w:val="Normal"/>
    <w:qFormat/>
    <w:rsid w:val="00DB21B9"/>
    <w:pPr>
      <w:keepNext/>
      <w:spacing w:after="120"/>
      <w:outlineLvl w:val="5"/>
    </w:pPr>
    <w:rPr>
      <w:bCs/>
      <w:szCs w:val="22"/>
    </w:rPr>
  </w:style>
  <w:style w:type="paragraph" w:styleId="Heading7">
    <w:name w:val="heading 7"/>
    <w:basedOn w:val="Heading2"/>
    <w:next w:val="Normal"/>
    <w:qFormat/>
    <w:rsid w:val="00DB21B9"/>
    <w:pPr>
      <w:jc w:val="right"/>
      <w:outlineLvl w:val="6"/>
    </w:pPr>
  </w:style>
  <w:style w:type="paragraph" w:styleId="Heading8">
    <w:name w:val="heading 8"/>
    <w:basedOn w:val="HeadingBase"/>
    <w:next w:val="Normal"/>
    <w:qFormat/>
    <w:rsid w:val="00DB21B9"/>
    <w:pPr>
      <w:keepNext/>
      <w:spacing w:before="284" w:after="360"/>
      <w:jc w:val="right"/>
      <w:outlineLvl w:val="7"/>
    </w:pPr>
    <w:rPr>
      <w:iCs/>
      <w:sz w:val="48"/>
      <w:szCs w:val="24"/>
    </w:rPr>
  </w:style>
  <w:style w:type="paragraph" w:styleId="Heading9">
    <w:name w:val="heading 9"/>
    <w:basedOn w:val="HeadingBase"/>
    <w:next w:val="Normal"/>
    <w:qFormat/>
    <w:rsid w:val="00DB21B9"/>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DB21B9"/>
    <w:pPr>
      <w:spacing w:after="0"/>
    </w:pPr>
  </w:style>
  <w:style w:type="character" w:styleId="Hyperlink">
    <w:name w:val="Hyperlink"/>
    <w:basedOn w:val="DefaultParagraphFont"/>
    <w:rsid w:val="00DB21B9"/>
    <w:rPr>
      <w:color w:val="000000"/>
      <w:u w:val="none"/>
    </w:rPr>
  </w:style>
  <w:style w:type="character" w:styleId="FootnoteReference">
    <w:name w:val="footnote reference"/>
    <w:basedOn w:val="DefaultParagraphFont"/>
    <w:rsid w:val="00DB21B9"/>
    <w:rPr>
      <w:vertAlign w:val="superscript"/>
    </w:rPr>
  </w:style>
  <w:style w:type="paragraph" w:styleId="BalloonText">
    <w:name w:val="Balloon Text"/>
    <w:basedOn w:val="Normal"/>
    <w:rsid w:val="00DB21B9"/>
    <w:rPr>
      <w:rFonts w:ascii="Tahoma" w:hAnsi="Tahoma" w:cs="Tahoma"/>
      <w:sz w:val="16"/>
      <w:szCs w:val="16"/>
    </w:rPr>
  </w:style>
  <w:style w:type="character" w:styleId="PageNumber">
    <w:name w:val="page number"/>
    <w:basedOn w:val="DefaultParagraphFont"/>
    <w:rsid w:val="00FE789E"/>
    <w:rPr>
      <w:rFonts w:ascii="Times" w:hAnsi="Times"/>
      <w:color w:val="72B4E7"/>
      <w:sz w:val="18"/>
      <w:szCs w:val="18"/>
    </w:rPr>
  </w:style>
  <w:style w:type="paragraph" w:styleId="FootnoteText">
    <w:name w:val="footnote text"/>
    <w:basedOn w:val="Normal"/>
    <w:link w:val="FootnoteTextChar"/>
    <w:rsid w:val="00DB21B9"/>
    <w:pPr>
      <w:tabs>
        <w:tab w:val="left" w:pos="284"/>
      </w:tabs>
      <w:spacing w:after="0" w:line="240" w:lineRule="auto"/>
      <w:ind w:left="284" w:hanging="284"/>
    </w:pPr>
    <w:rPr>
      <w:sz w:val="18"/>
    </w:rPr>
  </w:style>
  <w:style w:type="paragraph" w:customStyle="1" w:styleId="Bullet">
    <w:name w:val="Bullet"/>
    <w:basedOn w:val="Normal"/>
    <w:rsid w:val="00DB21B9"/>
    <w:pPr>
      <w:numPr>
        <w:numId w:val="1"/>
      </w:numPr>
      <w:ind w:left="284" w:hanging="284"/>
    </w:pPr>
  </w:style>
  <w:style w:type="paragraph" w:customStyle="1" w:styleId="DashChar">
    <w:name w:val="Dash Char"/>
    <w:basedOn w:val="Normal"/>
    <w:link w:val="DashCharChar"/>
    <w:rsid w:val="005F0423"/>
    <w:pPr>
      <w:tabs>
        <w:tab w:val="num" w:pos="567"/>
      </w:tabs>
      <w:ind w:left="568" w:hanging="284"/>
    </w:pPr>
  </w:style>
  <w:style w:type="paragraph" w:customStyle="1" w:styleId="DoubleDot">
    <w:name w:val="Double Dot"/>
    <w:basedOn w:val="Normal"/>
    <w:rsid w:val="00DB21B9"/>
    <w:pPr>
      <w:numPr>
        <w:ilvl w:val="2"/>
        <w:numId w:val="1"/>
      </w:numPr>
    </w:pPr>
  </w:style>
  <w:style w:type="paragraph" w:customStyle="1" w:styleId="OutlineNumbered1">
    <w:name w:val="Outline Numbered 1"/>
    <w:basedOn w:val="Normal"/>
    <w:rsid w:val="00DB21B9"/>
    <w:pPr>
      <w:numPr>
        <w:numId w:val="2"/>
      </w:numPr>
    </w:pPr>
  </w:style>
  <w:style w:type="paragraph" w:customStyle="1" w:styleId="OutlineNumbered2">
    <w:name w:val="Outline Numbered 2"/>
    <w:basedOn w:val="Normal"/>
    <w:rsid w:val="00DB21B9"/>
    <w:pPr>
      <w:numPr>
        <w:ilvl w:val="1"/>
        <w:numId w:val="2"/>
      </w:numPr>
    </w:pPr>
  </w:style>
  <w:style w:type="paragraph" w:customStyle="1" w:styleId="OutlineNumbered3">
    <w:name w:val="Outline Numbered 3"/>
    <w:basedOn w:val="Normal"/>
    <w:rsid w:val="00DB21B9"/>
    <w:pPr>
      <w:numPr>
        <w:ilvl w:val="2"/>
        <w:numId w:val="2"/>
      </w:numPr>
    </w:pPr>
  </w:style>
  <w:style w:type="paragraph" w:customStyle="1" w:styleId="AlphaParagraph">
    <w:name w:val="Alpha Paragraph"/>
    <w:basedOn w:val="Normal"/>
    <w:rsid w:val="00DB21B9"/>
    <w:pPr>
      <w:numPr>
        <w:numId w:val="3"/>
      </w:numPr>
    </w:pPr>
  </w:style>
  <w:style w:type="paragraph" w:customStyle="1" w:styleId="HeadingBase">
    <w:name w:val="Heading Base"/>
    <w:next w:val="Normal"/>
    <w:rsid w:val="00FE789E"/>
    <w:rPr>
      <w:rFonts w:ascii="Arial" w:hAnsi="Arial"/>
      <w:color w:val="72B4E7"/>
    </w:rPr>
  </w:style>
  <w:style w:type="paragraph" w:customStyle="1" w:styleId="AppendixHeading">
    <w:name w:val="Appendix Heading"/>
    <w:basedOn w:val="HeadingBase"/>
    <w:next w:val="Normal"/>
    <w:rsid w:val="00DB21B9"/>
    <w:pPr>
      <w:spacing w:before="720" w:after="360"/>
    </w:pPr>
    <w:rPr>
      <w:rFonts w:ascii="Arial Bold" w:hAnsi="Arial Bold"/>
      <w:b/>
      <w:smallCaps/>
      <w:sz w:val="36"/>
      <w:szCs w:val="36"/>
    </w:rPr>
  </w:style>
  <w:style w:type="character" w:customStyle="1" w:styleId="Bold">
    <w:name w:val="Bold"/>
    <w:basedOn w:val="DefaultParagraphFont"/>
    <w:rsid w:val="00DB21B9"/>
    <w:rPr>
      <w:b/>
    </w:rPr>
  </w:style>
  <w:style w:type="paragraph" w:customStyle="1" w:styleId="BoxHeading">
    <w:name w:val="Box Heading"/>
    <w:basedOn w:val="HeadingBase"/>
    <w:next w:val="BoxText"/>
    <w:rsid w:val="00DB21B9"/>
    <w:pPr>
      <w:spacing w:before="120" w:after="120"/>
    </w:pPr>
    <w:rPr>
      <w:b/>
      <w:sz w:val="22"/>
    </w:rPr>
  </w:style>
  <w:style w:type="paragraph" w:customStyle="1" w:styleId="BoxTextBase">
    <w:name w:val="Box Text Base"/>
    <w:basedOn w:val="Normal"/>
    <w:rsid w:val="00DB21B9"/>
    <w:pPr>
      <w:spacing w:before="120" w:after="120" w:line="240" w:lineRule="auto"/>
    </w:pPr>
  </w:style>
  <w:style w:type="paragraph" w:customStyle="1" w:styleId="ChartandTableFootnoteAlpha">
    <w:name w:val="Chart and Table Footnote Alpha"/>
    <w:rsid w:val="00DB21B9"/>
    <w:pPr>
      <w:numPr>
        <w:numId w:val="4"/>
      </w:numPr>
      <w:jc w:val="both"/>
    </w:pPr>
    <w:rPr>
      <w:rFonts w:ascii="Arial" w:hAnsi="Arial"/>
      <w:color w:val="000000"/>
      <w:sz w:val="16"/>
      <w:szCs w:val="16"/>
    </w:rPr>
  </w:style>
  <w:style w:type="paragraph" w:customStyle="1" w:styleId="ChartGraphic">
    <w:name w:val="Chart Graphic"/>
    <w:basedOn w:val="HeadingBase"/>
    <w:rsid w:val="00DB21B9"/>
    <w:pPr>
      <w:jc w:val="center"/>
    </w:pPr>
  </w:style>
  <w:style w:type="paragraph" w:customStyle="1" w:styleId="ChartMainHeading">
    <w:name w:val="Chart Main Heading"/>
    <w:basedOn w:val="HeadingBase"/>
    <w:next w:val="ChartGraphic"/>
    <w:rsid w:val="00DB21B9"/>
    <w:pPr>
      <w:keepNext/>
      <w:spacing w:before="170" w:after="113"/>
      <w:jc w:val="center"/>
    </w:pPr>
    <w:rPr>
      <w:b/>
      <w:sz w:val="22"/>
    </w:rPr>
  </w:style>
  <w:style w:type="paragraph" w:customStyle="1" w:styleId="ChartorTableNote">
    <w:name w:val="Chart or Table Note"/>
    <w:next w:val="Normal"/>
    <w:rsid w:val="00DB21B9"/>
    <w:pPr>
      <w:jc w:val="both"/>
    </w:pPr>
    <w:rPr>
      <w:rFonts w:ascii="Arial" w:hAnsi="Arial"/>
      <w:color w:val="000000"/>
      <w:sz w:val="16"/>
    </w:rPr>
  </w:style>
  <w:style w:type="paragraph" w:customStyle="1" w:styleId="ChartSecondHeading">
    <w:name w:val="Chart Second Heading"/>
    <w:basedOn w:val="HeadingBase"/>
    <w:next w:val="ChartGraphic"/>
    <w:rsid w:val="00DB21B9"/>
    <w:pPr>
      <w:keepNext/>
      <w:spacing w:after="20"/>
      <w:jc w:val="center"/>
    </w:pPr>
  </w:style>
  <w:style w:type="paragraph" w:customStyle="1" w:styleId="Classification">
    <w:name w:val="Classification"/>
    <w:basedOn w:val="HeadingBase"/>
    <w:next w:val="Footer"/>
    <w:rsid w:val="00DB21B9"/>
    <w:pPr>
      <w:spacing w:after="120"/>
      <w:jc w:val="center"/>
    </w:pPr>
    <w:rPr>
      <w:b/>
      <w:smallCaps/>
    </w:rPr>
  </w:style>
  <w:style w:type="paragraph" w:styleId="Footer">
    <w:name w:val="footer"/>
    <w:basedOn w:val="HeadingBase"/>
    <w:rsid w:val="00DB21B9"/>
    <w:rPr>
      <w:sz w:val="18"/>
    </w:rPr>
  </w:style>
  <w:style w:type="paragraph" w:customStyle="1" w:styleId="ContentsHeading">
    <w:name w:val="Contents Heading"/>
    <w:basedOn w:val="HeadingBase"/>
    <w:next w:val="Normal"/>
    <w:rsid w:val="00DB21B9"/>
    <w:pPr>
      <w:spacing w:after="360"/>
    </w:pPr>
    <w:rPr>
      <w:smallCaps/>
      <w:sz w:val="36"/>
      <w:szCs w:val="36"/>
    </w:rPr>
  </w:style>
  <w:style w:type="paragraph" w:customStyle="1" w:styleId="CoverTitleMain">
    <w:name w:val="Cover Title Main"/>
    <w:basedOn w:val="HeadingBase"/>
    <w:next w:val="Normal"/>
    <w:rsid w:val="00DB21B9"/>
    <w:pPr>
      <w:spacing w:after="360"/>
      <w:jc w:val="right"/>
    </w:pPr>
    <w:rPr>
      <w:b/>
      <w:sz w:val="44"/>
    </w:rPr>
  </w:style>
  <w:style w:type="paragraph" w:customStyle="1" w:styleId="CoverTitleSub">
    <w:name w:val="Cover Title Sub"/>
    <w:basedOn w:val="HeadingBase"/>
    <w:rsid w:val="00DB21B9"/>
    <w:pPr>
      <w:spacing w:after="360"/>
      <w:jc w:val="center"/>
    </w:pPr>
    <w:rPr>
      <w:sz w:val="36"/>
    </w:rPr>
  </w:style>
  <w:style w:type="paragraph" w:customStyle="1" w:styleId="FooterCentered">
    <w:name w:val="Footer Centered"/>
    <w:basedOn w:val="Footer"/>
    <w:rsid w:val="00DB21B9"/>
    <w:pPr>
      <w:jc w:val="center"/>
    </w:pPr>
  </w:style>
  <w:style w:type="paragraph" w:customStyle="1" w:styleId="FooterEven">
    <w:name w:val="Footer Even"/>
    <w:basedOn w:val="Footer"/>
    <w:rsid w:val="00DB21B9"/>
  </w:style>
  <w:style w:type="paragraph" w:customStyle="1" w:styleId="FooterOdd">
    <w:name w:val="Footer Odd"/>
    <w:basedOn w:val="Footer"/>
    <w:rsid w:val="00DB21B9"/>
    <w:pPr>
      <w:jc w:val="right"/>
    </w:pPr>
  </w:style>
  <w:style w:type="character" w:customStyle="1" w:styleId="FramedFooter">
    <w:name w:val="Framed Footer"/>
    <w:rsid w:val="00DB21B9"/>
    <w:rPr>
      <w:rFonts w:ascii="Swis721 Lt BT" w:hAnsi="Swis721 Lt BT"/>
      <w:color w:val="005ABB"/>
      <w:sz w:val="18"/>
      <w:szCs w:val="18"/>
    </w:rPr>
  </w:style>
  <w:style w:type="character" w:customStyle="1" w:styleId="FramedHeader">
    <w:name w:val="Framed Header"/>
    <w:basedOn w:val="DefaultParagraphFont"/>
    <w:rsid w:val="00DB21B9"/>
    <w:rPr>
      <w:rFonts w:ascii="Arial" w:hAnsi="Arial"/>
      <w:dstrike w:val="0"/>
      <w:color w:val="005ABB"/>
      <w:sz w:val="18"/>
      <w:szCs w:val="18"/>
      <w:vertAlign w:val="baseline"/>
    </w:rPr>
  </w:style>
  <w:style w:type="paragraph" w:styleId="Header">
    <w:name w:val="header"/>
    <w:basedOn w:val="HeadingBase"/>
    <w:rsid w:val="00DB21B9"/>
    <w:rPr>
      <w:sz w:val="18"/>
    </w:rPr>
  </w:style>
  <w:style w:type="paragraph" w:customStyle="1" w:styleId="HeaderEven">
    <w:name w:val="Header Even"/>
    <w:basedOn w:val="Header"/>
    <w:rsid w:val="00DB21B9"/>
  </w:style>
  <w:style w:type="paragraph" w:customStyle="1" w:styleId="HeaderOdd">
    <w:name w:val="Header Odd"/>
    <w:basedOn w:val="Header"/>
    <w:rsid w:val="00DB21B9"/>
    <w:pPr>
      <w:jc w:val="right"/>
    </w:pPr>
  </w:style>
  <w:style w:type="paragraph" w:styleId="NormalIndent">
    <w:name w:val="Normal Indent"/>
    <w:basedOn w:val="Normal"/>
    <w:rsid w:val="00DB21B9"/>
    <w:pPr>
      <w:ind w:left="567"/>
    </w:pPr>
  </w:style>
  <w:style w:type="paragraph" w:customStyle="1" w:styleId="RecommendationHeading">
    <w:name w:val="Recommendation Heading"/>
    <w:basedOn w:val="HeadingBase"/>
    <w:next w:val="RecommendationText"/>
    <w:rsid w:val="00DB21B9"/>
    <w:pPr>
      <w:spacing w:after="240"/>
    </w:pPr>
    <w:rPr>
      <w:b/>
      <w:sz w:val="22"/>
    </w:rPr>
  </w:style>
  <w:style w:type="paragraph" w:customStyle="1" w:styleId="RecommendationBaseText">
    <w:name w:val="Recommendation Base Text"/>
    <w:basedOn w:val="Normal"/>
    <w:rsid w:val="00DB21B9"/>
  </w:style>
  <w:style w:type="paragraph" w:customStyle="1" w:styleId="RecommendationText">
    <w:name w:val="Recommendation Text"/>
    <w:basedOn w:val="RecommendationBaseText"/>
    <w:rsid w:val="00DB21B9"/>
  </w:style>
  <w:style w:type="paragraph" w:customStyle="1" w:styleId="TableTextBase">
    <w:name w:val="Table Text Base"/>
    <w:rsid w:val="00DB21B9"/>
    <w:pPr>
      <w:spacing w:before="40" w:after="40"/>
    </w:pPr>
    <w:rPr>
      <w:rFonts w:ascii="Arial" w:hAnsi="Arial"/>
      <w:color w:val="000000"/>
      <w:sz w:val="16"/>
    </w:rPr>
  </w:style>
  <w:style w:type="paragraph" w:customStyle="1" w:styleId="TableColumnHeadingCentred">
    <w:name w:val="Table Column Heading Centred"/>
    <w:basedOn w:val="TableTextBase"/>
    <w:rsid w:val="00DB21B9"/>
    <w:pPr>
      <w:jc w:val="center"/>
    </w:pPr>
    <w:rPr>
      <w:b/>
    </w:rPr>
  </w:style>
  <w:style w:type="paragraph" w:customStyle="1" w:styleId="TableColumnHeadingLeft">
    <w:name w:val="Table Column Heading Left"/>
    <w:basedOn w:val="TableTextBase"/>
    <w:rsid w:val="00DB21B9"/>
    <w:rPr>
      <w:b/>
    </w:rPr>
  </w:style>
  <w:style w:type="paragraph" w:customStyle="1" w:styleId="TableColumnHeadingRight">
    <w:name w:val="Table Column Heading Right"/>
    <w:basedOn w:val="TableTextBase"/>
    <w:rsid w:val="00DB21B9"/>
    <w:pPr>
      <w:jc w:val="right"/>
    </w:pPr>
    <w:rPr>
      <w:b/>
    </w:rPr>
  </w:style>
  <w:style w:type="paragraph" w:customStyle="1" w:styleId="TableGraphic">
    <w:name w:val="Table Graphic"/>
    <w:basedOn w:val="HeadingBase"/>
    <w:next w:val="Normal"/>
    <w:rsid w:val="00DB21B9"/>
    <w:pPr>
      <w:spacing w:after="20"/>
      <w:ind w:right="-113"/>
    </w:pPr>
    <w:rPr>
      <w:rFonts w:ascii="Helvetica" w:hAnsi="Helvetica"/>
    </w:rPr>
  </w:style>
  <w:style w:type="paragraph" w:customStyle="1" w:styleId="TableMainHeading">
    <w:name w:val="Table Main Heading"/>
    <w:basedOn w:val="HeadingBase"/>
    <w:next w:val="TableGraphic"/>
    <w:rsid w:val="00DB21B9"/>
    <w:pPr>
      <w:keepNext/>
      <w:spacing w:before="170" w:after="113"/>
    </w:pPr>
    <w:rPr>
      <w:b/>
      <w:sz w:val="22"/>
    </w:rPr>
  </w:style>
  <w:style w:type="paragraph" w:customStyle="1" w:styleId="TableMainHeadingContd">
    <w:name w:val="Table Main Heading Contd"/>
    <w:basedOn w:val="HeadingBase"/>
    <w:next w:val="TableGraphic"/>
    <w:rsid w:val="00DB21B9"/>
    <w:pPr>
      <w:keepNext/>
      <w:spacing w:after="20"/>
    </w:pPr>
    <w:rPr>
      <w:b/>
      <w:sz w:val="22"/>
    </w:rPr>
  </w:style>
  <w:style w:type="paragraph" w:customStyle="1" w:styleId="TableSecondHeading">
    <w:name w:val="Table Second Heading"/>
    <w:basedOn w:val="HeadingBase"/>
    <w:next w:val="TableGraphic"/>
    <w:rsid w:val="00DB21B9"/>
    <w:pPr>
      <w:keepNext/>
      <w:spacing w:after="20"/>
    </w:pPr>
  </w:style>
  <w:style w:type="paragraph" w:customStyle="1" w:styleId="TableTextCentered">
    <w:name w:val="Table Text Centered"/>
    <w:basedOn w:val="TableTextBase"/>
    <w:rsid w:val="00DB21B9"/>
    <w:pPr>
      <w:jc w:val="center"/>
    </w:pPr>
  </w:style>
  <w:style w:type="paragraph" w:customStyle="1" w:styleId="TableTextIndented">
    <w:name w:val="Table Text Indented"/>
    <w:basedOn w:val="TableTextBase"/>
    <w:rsid w:val="00DB21B9"/>
    <w:pPr>
      <w:ind w:left="284"/>
    </w:pPr>
  </w:style>
  <w:style w:type="paragraph" w:customStyle="1" w:styleId="TableTextLeft">
    <w:name w:val="Table Text Left"/>
    <w:basedOn w:val="TableTextBase"/>
    <w:rsid w:val="00DB21B9"/>
  </w:style>
  <w:style w:type="paragraph" w:customStyle="1" w:styleId="TableTextRight">
    <w:name w:val="Table Text Right"/>
    <w:basedOn w:val="TableTextBase"/>
    <w:rsid w:val="00DB21B9"/>
    <w:pPr>
      <w:jc w:val="right"/>
    </w:pPr>
  </w:style>
  <w:style w:type="paragraph" w:styleId="TOC1">
    <w:name w:val="toc 1"/>
    <w:basedOn w:val="HeadingBase"/>
    <w:next w:val="Normal"/>
    <w:rsid w:val="00DB21B9"/>
    <w:pPr>
      <w:tabs>
        <w:tab w:val="right" w:leader="dot" w:pos="7700"/>
      </w:tabs>
      <w:spacing w:before="180"/>
      <w:ind w:right="851"/>
    </w:pPr>
    <w:rPr>
      <w:b/>
      <w:smallCaps/>
      <w:noProof/>
      <w:sz w:val="22"/>
      <w:szCs w:val="22"/>
    </w:rPr>
  </w:style>
  <w:style w:type="paragraph" w:styleId="TOC2">
    <w:name w:val="toc 2"/>
    <w:basedOn w:val="Normal"/>
    <w:next w:val="Normal"/>
    <w:rsid w:val="00DB21B9"/>
    <w:pPr>
      <w:tabs>
        <w:tab w:val="right" w:leader="dot" w:pos="7700"/>
      </w:tabs>
      <w:spacing w:after="0"/>
      <w:ind w:right="851"/>
      <w:jc w:val="left"/>
    </w:pPr>
    <w:rPr>
      <w:noProof/>
    </w:rPr>
  </w:style>
  <w:style w:type="paragraph" w:styleId="TOC3">
    <w:name w:val="toc 3"/>
    <w:basedOn w:val="Normal"/>
    <w:next w:val="Normal"/>
    <w:rsid w:val="00DB21B9"/>
    <w:pPr>
      <w:tabs>
        <w:tab w:val="right" w:leader="dot" w:pos="7700"/>
      </w:tabs>
      <w:spacing w:after="0" w:line="240" w:lineRule="auto"/>
      <w:ind w:left="284" w:right="851"/>
      <w:jc w:val="left"/>
    </w:pPr>
    <w:rPr>
      <w:noProof/>
    </w:rPr>
  </w:style>
  <w:style w:type="paragraph" w:styleId="TOC4">
    <w:name w:val="toc 4"/>
    <w:basedOn w:val="Normal"/>
    <w:next w:val="Normal"/>
    <w:rsid w:val="00DB21B9"/>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DB21B9"/>
    <w:rPr>
      <w:i/>
    </w:rPr>
  </w:style>
  <w:style w:type="paragraph" w:customStyle="1" w:styleId="OneLevelNumberedParagraph">
    <w:name w:val="One Level Numbered Paragraph"/>
    <w:basedOn w:val="Normal"/>
    <w:rsid w:val="00DB21B9"/>
    <w:pPr>
      <w:numPr>
        <w:numId w:val="10"/>
      </w:numPr>
    </w:pPr>
  </w:style>
  <w:style w:type="paragraph" w:customStyle="1" w:styleId="BoxText">
    <w:name w:val="Box Text"/>
    <w:basedOn w:val="BoxTextBase"/>
    <w:rsid w:val="00DB21B9"/>
  </w:style>
  <w:style w:type="paragraph" w:customStyle="1" w:styleId="BoxBullet">
    <w:name w:val="Box Bullet"/>
    <w:basedOn w:val="BoxTextBase"/>
    <w:rsid w:val="00DB21B9"/>
    <w:pPr>
      <w:numPr>
        <w:numId w:val="9"/>
      </w:numPr>
    </w:pPr>
  </w:style>
  <w:style w:type="paragraph" w:customStyle="1" w:styleId="BoxDash">
    <w:name w:val="Box Dash"/>
    <w:basedOn w:val="Normal"/>
    <w:rsid w:val="00DB21B9"/>
    <w:pPr>
      <w:numPr>
        <w:ilvl w:val="1"/>
        <w:numId w:val="9"/>
      </w:numPr>
    </w:pPr>
  </w:style>
  <w:style w:type="paragraph" w:customStyle="1" w:styleId="BoxDoubleDot">
    <w:name w:val="Box Double Dot"/>
    <w:basedOn w:val="BoxTextBase"/>
    <w:rsid w:val="00DB21B9"/>
    <w:pPr>
      <w:numPr>
        <w:ilvl w:val="2"/>
        <w:numId w:val="9"/>
      </w:numPr>
    </w:pPr>
  </w:style>
  <w:style w:type="paragraph" w:customStyle="1" w:styleId="RecommendationBullet">
    <w:name w:val="Recommendation Bullet"/>
    <w:basedOn w:val="RecommendationBaseText"/>
    <w:rsid w:val="00DB21B9"/>
    <w:pPr>
      <w:numPr>
        <w:numId w:val="11"/>
      </w:numPr>
    </w:pPr>
  </w:style>
  <w:style w:type="paragraph" w:customStyle="1" w:styleId="RecommendationDash">
    <w:name w:val="Recommendation Dash"/>
    <w:basedOn w:val="RecommendationBaseText"/>
    <w:rsid w:val="00DB21B9"/>
    <w:pPr>
      <w:numPr>
        <w:ilvl w:val="1"/>
        <w:numId w:val="11"/>
      </w:numPr>
    </w:pPr>
  </w:style>
  <w:style w:type="paragraph" w:customStyle="1" w:styleId="RecommendationDoubleDot">
    <w:name w:val="Recommendation Double Dot"/>
    <w:basedOn w:val="RecommendationBaseText"/>
    <w:rsid w:val="00DB21B9"/>
    <w:pPr>
      <w:numPr>
        <w:ilvl w:val="2"/>
        <w:numId w:val="11"/>
      </w:numPr>
    </w:pPr>
  </w:style>
  <w:style w:type="character" w:customStyle="1" w:styleId="Boldanditalic">
    <w:name w:val="Bold and italic"/>
    <w:basedOn w:val="DefaultParagraphFont"/>
    <w:rsid w:val="00DB21B9"/>
    <w:rPr>
      <w:b/>
      <w:i/>
    </w:rPr>
  </w:style>
  <w:style w:type="paragraph" w:styleId="Caption">
    <w:name w:val="caption"/>
    <w:basedOn w:val="Normal"/>
    <w:next w:val="Normal"/>
    <w:qFormat/>
    <w:rsid w:val="00DB21B9"/>
    <w:pPr>
      <w:spacing w:before="120" w:after="120"/>
    </w:pPr>
    <w:rPr>
      <w:b/>
      <w:bCs/>
    </w:rPr>
  </w:style>
  <w:style w:type="character" w:styleId="CommentReference">
    <w:name w:val="annotation reference"/>
    <w:basedOn w:val="DefaultParagraphFont"/>
    <w:rsid w:val="00DB21B9"/>
    <w:rPr>
      <w:sz w:val="16"/>
      <w:szCs w:val="16"/>
    </w:rPr>
  </w:style>
  <w:style w:type="paragraph" w:styleId="CommentText">
    <w:name w:val="annotation text"/>
    <w:basedOn w:val="Normal"/>
    <w:rsid w:val="00DB21B9"/>
  </w:style>
  <w:style w:type="paragraph" w:styleId="CommentSubject">
    <w:name w:val="annotation subject"/>
    <w:basedOn w:val="CommentText"/>
    <w:next w:val="CommentText"/>
    <w:rsid w:val="00DB21B9"/>
    <w:rPr>
      <w:b/>
      <w:bCs/>
    </w:rPr>
  </w:style>
  <w:style w:type="paragraph" w:styleId="DocumentMap">
    <w:name w:val="Document Map"/>
    <w:basedOn w:val="Normal"/>
    <w:rsid w:val="00DB21B9"/>
    <w:pPr>
      <w:shd w:val="clear" w:color="auto" w:fill="000080"/>
    </w:pPr>
    <w:rPr>
      <w:rFonts w:ascii="Tahoma" w:hAnsi="Tahoma" w:cs="Tahoma"/>
    </w:rPr>
  </w:style>
  <w:style w:type="character" w:styleId="EndnoteReference">
    <w:name w:val="endnote reference"/>
    <w:basedOn w:val="DefaultParagraphFont"/>
    <w:rsid w:val="00DB21B9"/>
    <w:rPr>
      <w:vertAlign w:val="superscript"/>
    </w:rPr>
  </w:style>
  <w:style w:type="paragraph" w:styleId="EndnoteText">
    <w:name w:val="endnote text"/>
    <w:basedOn w:val="Normal"/>
    <w:rsid w:val="00DB21B9"/>
  </w:style>
  <w:style w:type="paragraph" w:styleId="Index1">
    <w:name w:val="index 1"/>
    <w:basedOn w:val="Normal"/>
    <w:next w:val="Normal"/>
    <w:autoRedefine/>
    <w:rsid w:val="00DB21B9"/>
    <w:pPr>
      <w:ind w:left="200" w:hanging="200"/>
    </w:pPr>
  </w:style>
  <w:style w:type="paragraph" w:styleId="Index2">
    <w:name w:val="index 2"/>
    <w:basedOn w:val="Normal"/>
    <w:next w:val="Normal"/>
    <w:autoRedefine/>
    <w:rsid w:val="00DB21B9"/>
    <w:pPr>
      <w:ind w:left="400" w:hanging="200"/>
    </w:pPr>
  </w:style>
  <w:style w:type="paragraph" w:styleId="Index3">
    <w:name w:val="index 3"/>
    <w:basedOn w:val="Normal"/>
    <w:next w:val="Normal"/>
    <w:autoRedefine/>
    <w:rsid w:val="00DB21B9"/>
    <w:pPr>
      <w:ind w:left="600" w:hanging="200"/>
    </w:pPr>
  </w:style>
  <w:style w:type="paragraph" w:styleId="Index4">
    <w:name w:val="index 4"/>
    <w:basedOn w:val="Normal"/>
    <w:next w:val="Normal"/>
    <w:autoRedefine/>
    <w:rsid w:val="00DB21B9"/>
    <w:pPr>
      <w:ind w:left="800" w:hanging="200"/>
    </w:pPr>
  </w:style>
  <w:style w:type="paragraph" w:styleId="Index5">
    <w:name w:val="index 5"/>
    <w:basedOn w:val="Normal"/>
    <w:next w:val="Normal"/>
    <w:autoRedefine/>
    <w:rsid w:val="00DB21B9"/>
    <w:pPr>
      <w:ind w:left="1000" w:hanging="200"/>
    </w:pPr>
  </w:style>
  <w:style w:type="paragraph" w:styleId="Index6">
    <w:name w:val="index 6"/>
    <w:basedOn w:val="Normal"/>
    <w:next w:val="Normal"/>
    <w:autoRedefine/>
    <w:rsid w:val="00DB21B9"/>
    <w:pPr>
      <w:ind w:left="1200" w:hanging="200"/>
    </w:pPr>
  </w:style>
  <w:style w:type="paragraph" w:styleId="Index7">
    <w:name w:val="index 7"/>
    <w:basedOn w:val="Normal"/>
    <w:next w:val="Normal"/>
    <w:autoRedefine/>
    <w:rsid w:val="00DB21B9"/>
    <w:pPr>
      <w:ind w:left="1400" w:hanging="200"/>
    </w:pPr>
  </w:style>
  <w:style w:type="paragraph" w:styleId="Index8">
    <w:name w:val="index 8"/>
    <w:basedOn w:val="Normal"/>
    <w:next w:val="Normal"/>
    <w:autoRedefine/>
    <w:rsid w:val="00DB21B9"/>
    <w:pPr>
      <w:ind w:left="1600" w:hanging="200"/>
    </w:pPr>
  </w:style>
  <w:style w:type="paragraph" w:styleId="Index9">
    <w:name w:val="index 9"/>
    <w:basedOn w:val="Normal"/>
    <w:next w:val="Normal"/>
    <w:autoRedefine/>
    <w:rsid w:val="00DB21B9"/>
    <w:pPr>
      <w:ind w:left="1800" w:hanging="200"/>
    </w:pPr>
  </w:style>
  <w:style w:type="paragraph" w:styleId="IndexHeading">
    <w:name w:val="index heading"/>
    <w:basedOn w:val="Normal"/>
    <w:next w:val="Index1"/>
    <w:rsid w:val="00FE789E"/>
    <w:rPr>
      <w:rFonts w:ascii="Arial" w:hAnsi="Arial" w:cs="Arial"/>
      <w:b/>
      <w:bCs/>
      <w:color w:val="72B4E7"/>
    </w:rPr>
  </w:style>
  <w:style w:type="paragraph" w:styleId="MacroText">
    <w:name w:val="macro"/>
    <w:rsid w:val="00DB21B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DB21B9"/>
    <w:pPr>
      <w:ind w:left="200" w:hanging="200"/>
    </w:pPr>
  </w:style>
  <w:style w:type="paragraph" w:styleId="TableofFigures">
    <w:name w:val="table of figures"/>
    <w:basedOn w:val="Normal"/>
    <w:next w:val="Normal"/>
    <w:rsid w:val="00DB21B9"/>
    <w:pPr>
      <w:ind w:left="400" w:hanging="400"/>
    </w:pPr>
  </w:style>
  <w:style w:type="paragraph" w:styleId="TOAHeading">
    <w:name w:val="toa heading"/>
    <w:basedOn w:val="Normal"/>
    <w:next w:val="Normal"/>
    <w:rsid w:val="00DB21B9"/>
    <w:pPr>
      <w:spacing w:before="120"/>
    </w:pPr>
    <w:rPr>
      <w:rFonts w:ascii="Arial" w:hAnsi="Arial" w:cs="Arial"/>
      <w:b/>
      <w:bCs/>
      <w:sz w:val="24"/>
      <w:szCs w:val="24"/>
    </w:rPr>
  </w:style>
  <w:style w:type="paragraph" w:styleId="TOC5">
    <w:name w:val="toc 5"/>
    <w:basedOn w:val="TOC2"/>
    <w:next w:val="Normal"/>
    <w:autoRedefine/>
    <w:rsid w:val="00DB21B9"/>
    <w:pPr>
      <w:ind w:left="1260" w:hanging="1260"/>
    </w:pPr>
  </w:style>
  <w:style w:type="paragraph" w:styleId="TOC6">
    <w:name w:val="toc 6"/>
    <w:basedOn w:val="TOC5"/>
    <w:next w:val="Normal"/>
    <w:rsid w:val="00DB21B9"/>
    <w:pPr>
      <w:tabs>
        <w:tab w:val="left" w:pos="1080"/>
        <w:tab w:val="left" w:pos="1134"/>
      </w:tabs>
      <w:ind w:left="1080" w:hanging="1080"/>
    </w:pPr>
  </w:style>
  <w:style w:type="paragraph" w:styleId="TOC7">
    <w:name w:val="toc 7"/>
    <w:basedOn w:val="Normal"/>
    <w:next w:val="Normal"/>
    <w:autoRedefine/>
    <w:rsid w:val="00DB21B9"/>
    <w:pPr>
      <w:ind w:left="1200"/>
    </w:pPr>
  </w:style>
  <w:style w:type="paragraph" w:styleId="TOC8">
    <w:name w:val="toc 8"/>
    <w:basedOn w:val="Normal"/>
    <w:next w:val="Normal"/>
    <w:autoRedefine/>
    <w:rsid w:val="00DB21B9"/>
    <w:pPr>
      <w:ind w:left="1400"/>
    </w:pPr>
  </w:style>
  <w:style w:type="paragraph" w:styleId="TOC9">
    <w:name w:val="toc 9"/>
    <w:basedOn w:val="Normal"/>
    <w:next w:val="Normal"/>
    <w:autoRedefine/>
    <w:rsid w:val="00DB21B9"/>
    <w:pPr>
      <w:ind w:left="1600"/>
    </w:pPr>
  </w:style>
  <w:style w:type="paragraph" w:customStyle="1" w:styleId="AppendixAHeading3">
    <w:name w:val="AppendixAHeading3"/>
    <w:basedOn w:val="Heading3"/>
    <w:next w:val="AppendixAHeading4"/>
    <w:rsid w:val="00DB21B9"/>
    <w:pPr>
      <w:numPr>
        <w:numId w:val="42"/>
      </w:numPr>
    </w:pPr>
    <w:rPr>
      <w:rFonts w:ascii="Arial Bold" w:hAnsi="Arial Bold"/>
      <w:i/>
    </w:rPr>
  </w:style>
  <w:style w:type="paragraph" w:customStyle="1" w:styleId="AppendixAHeading4">
    <w:name w:val="AppendixAHeading4"/>
    <w:basedOn w:val="Heading4"/>
    <w:next w:val="Bullet"/>
    <w:rsid w:val="00DB21B9"/>
    <w:pPr>
      <w:numPr>
        <w:ilvl w:val="1"/>
        <w:numId w:val="43"/>
      </w:numPr>
    </w:pPr>
  </w:style>
  <w:style w:type="paragraph" w:customStyle="1" w:styleId="AppendixGHeading3">
    <w:name w:val="AppendixGHeading3"/>
    <w:basedOn w:val="Heading3"/>
    <w:rsid w:val="00DB21B9"/>
    <w:pPr>
      <w:numPr>
        <w:numId w:val="34"/>
      </w:numPr>
    </w:pPr>
  </w:style>
  <w:style w:type="paragraph" w:customStyle="1" w:styleId="ChartHeading">
    <w:name w:val="Chart Heading"/>
    <w:basedOn w:val="HeadingBase"/>
    <w:next w:val="ChartGraphic"/>
    <w:rsid w:val="005F0423"/>
    <w:pPr>
      <w:keepNext/>
      <w:spacing w:before="170" w:after="113" w:line="240" w:lineRule="exact"/>
      <w:jc w:val="center"/>
    </w:pPr>
    <w:rPr>
      <w:b/>
      <w:sz w:val="22"/>
    </w:rPr>
  </w:style>
  <w:style w:type="paragraph" w:customStyle="1" w:styleId="NumberedParagraph">
    <w:name w:val="Numbered Paragraph"/>
    <w:basedOn w:val="Normal"/>
    <w:rsid w:val="00DB21B9"/>
    <w:pPr>
      <w:numPr>
        <w:numId w:val="28"/>
      </w:numPr>
    </w:pPr>
  </w:style>
  <w:style w:type="paragraph" w:customStyle="1" w:styleId="TableHeading">
    <w:name w:val="Table Heading"/>
    <w:basedOn w:val="HeadingBase"/>
    <w:next w:val="TableGraphic"/>
    <w:rsid w:val="005F0423"/>
    <w:pPr>
      <w:keepNext/>
      <w:spacing w:before="170" w:after="113" w:line="240" w:lineRule="exact"/>
    </w:pPr>
    <w:rPr>
      <w:b/>
      <w:sz w:val="22"/>
    </w:rPr>
  </w:style>
  <w:style w:type="paragraph" w:customStyle="1" w:styleId="ChartandTableFootnoteSmall">
    <w:name w:val="Chart and Table Footnote Small"/>
    <w:basedOn w:val="Normal"/>
    <w:rsid w:val="005F0423"/>
    <w:pPr>
      <w:spacing w:after="0" w:line="240" w:lineRule="auto"/>
      <w:ind w:left="284" w:hanging="284"/>
      <w:jc w:val="left"/>
    </w:pPr>
    <w:rPr>
      <w:rFonts w:ascii="Helvetica" w:hAnsi="Helvetica"/>
      <w:sz w:val="15"/>
    </w:rPr>
  </w:style>
  <w:style w:type="paragraph" w:customStyle="1" w:styleId="Source">
    <w:name w:val="Source"/>
    <w:basedOn w:val="HeadingBase"/>
    <w:next w:val="Normal"/>
    <w:rsid w:val="005F0423"/>
    <w:rPr>
      <w:color w:val="000000"/>
      <w:sz w:val="16"/>
    </w:rPr>
  </w:style>
  <w:style w:type="paragraph" w:customStyle="1" w:styleId="Normalbold">
    <w:name w:val="Normal bold"/>
    <w:basedOn w:val="Normal"/>
    <w:rsid w:val="005F0423"/>
    <w:pPr>
      <w:jc w:val="left"/>
    </w:pPr>
    <w:rPr>
      <w:b/>
    </w:rPr>
  </w:style>
  <w:style w:type="paragraph" w:styleId="NormalWeb">
    <w:name w:val="Normal (Web)"/>
    <w:basedOn w:val="Normal"/>
    <w:rsid w:val="005F0423"/>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rsid w:val="005F0423"/>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rsid w:val="005F0423"/>
    <w:rPr>
      <w:rFonts w:ascii="Book Antiqua" w:hAnsi="Book Antiqua"/>
      <w:color w:val="000000"/>
    </w:rPr>
  </w:style>
  <w:style w:type="character" w:styleId="FollowedHyperlink">
    <w:name w:val="FollowedHyperlink"/>
    <w:basedOn w:val="DefaultParagraphFont"/>
    <w:rsid w:val="00DB21B9"/>
    <w:rPr>
      <w:color w:val="000000"/>
      <w:u w:val="none"/>
    </w:rPr>
  </w:style>
  <w:style w:type="table" w:styleId="TableGrid">
    <w:name w:val="Table Grid"/>
    <w:basedOn w:val="TableNormal"/>
    <w:rsid w:val="00D476E8"/>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rsid w:val="00DB21B9"/>
    <w:pPr>
      <w:numPr>
        <w:ilvl w:val="1"/>
        <w:numId w:val="1"/>
      </w:numPr>
      <w:ind w:left="568"/>
    </w:pPr>
  </w:style>
  <w:style w:type="paragraph" w:customStyle="1" w:styleId="Heading3TOC">
    <w:name w:val="Heading 3 TOC"/>
    <w:basedOn w:val="Heading3"/>
    <w:rsid w:val="00721EC1"/>
    <w:pPr>
      <w:jc w:val="both"/>
    </w:pPr>
  </w:style>
  <w:style w:type="paragraph" w:customStyle="1" w:styleId="CharChar1Char">
    <w:name w:val="Char Char1 Char"/>
    <w:basedOn w:val="Normal"/>
    <w:rsid w:val="008A651B"/>
    <w:pPr>
      <w:spacing w:after="160" w:line="240" w:lineRule="exact"/>
      <w:jc w:val="left"/>
    </w:pPr>
    <w:rPr>
      <w:rFonts w:ascii="Times New Roman" w:hAnsi="Times New Roman"/>
      <w:color w:val="auto"/>
      <w:sz w:val="22"/>
      <w:lang w:val="en-GB" w:eastAsia="en-US"/>
    </w:rPr>
  </w:style>
  <w:style w:type="character" w:customStyle="1" w:styleId="FootnoteTextChar">
    <w:name w:val="Footnote Text Char"/>
    <w:basedOn w:val="DefaultParagraphFont"/>
    <w:link w:val="FootnoteText"/>
    <w:rsid w:val="00DD4FB2"/>
    <w:rPr>
      <w:rFonts w:ascii="Book Antiqua" w:hAnsi="Book Antiqua"/>
      <w:color w:val="000000"/>
      <w:sz w:val="18"/>
    </w:rPr>
  </w:style>
  <w:style w:type="paragraph" w:customStyle="1" w:styleId="Heading3noTOC">
    <w:name w:val="Heading 3 no TOC"/>
    <w:basedOn w:val="Heading3"/>
    <w:rsid w:val="00DB21B9"/>
    <w:pPr>
      <w:outlineLvl w:val="9"/>
    </w:pPr>
  </w:style>
  <w:style w:type="paragraph" w:customStyle="1" w:styleId="Style1">
    <w:name w:val="Style1"/>
    <w:basedOn w:val="AppendixAHeading3"/>
    <w:next w:val="AppendixAHeading4"/>
    <w:rsid w:val="00DB21B9"/>
    <w:pPr>
      <w:numPr>
        <w:numId w:val="0"/>
      </w:numPr>
    </w:pPr>
  </w:style>
  <w:style w:type="paragraph" w:customStyle="1" w:styleId="AppendixAHeading3NotItalic">
    <w:name w:val="AppendixAHeading3NotItalic"/>
    <w:basedOn w:val="HeadingBase"/>
    <w:next w:val="AppendixAHeading4"/>
    <w:rsid w:val="00DB21B9"/>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rsid w:val="00DB21B9"/>
  </w:style>
  <w:style w:type="paragraph" w:customStyle="1" w:styleId="CharChar1CharCharCharCharCharCharCharCharCharCharCharCharCharCharCharChar">
    <w:name w:val="Char Char1 Char Char Char Char Char Char Char Char Char Char Char Char Char Char Char Char"/>
    <w:basedOn w:val="Normal"/>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rsid w:val="00DB21B9"/>
    <w:pPr>
      <w:outlineLvl w:val="9"/>
    </w:pPr>
    <w:rPr>
      <w:rFonts w:ascii="Arial" w:hAnsi="Arial"/>
    </w:rPr>
  </w:style>
  <w:style w:type="paragraph" w:customStyle="1" w:styleId="Heading9noTOC">
    <w:name w:val="Heading 9 no TOC"/>
    <w:basedOn w:val="Heading9"/>
    <w:rsid w:val="00DB21B9"/>
    <w:pPr>
      <w:outlineLvl w:val="9"/>
    </w:pPr>
  </w:style>
  <w:style w:type="character" w:styleId="IntenseEmphasis">
    <w:name w:val="Intense Emphasis"/>
    <w:basedOn w:val="DefaultParagraphFont"/>
    <w:uiPriority w:val="21"/>
    <w:qFormat/>
    <w:rsid w:val="00DB21B9"/>
    <w:rPr>
      <w:b/>
      <w:bCs/>
      <w:i/>
      <w:iCs/>
      <w:color w:val="005ABB"/>
    </w:rPr>
  </w:style>
  <w:style w:type="paragraph" w:styleId="IntenseQuote">
    <w:name w:val="Intense Quote"/>
    <w:basedOn w:val="Normal"/>
    <w:next w:val="Normal"/>
    <w:link w:val="IntenseQuoteChar"/>
    <w:uiPriority w:val="30"/>
    <w:qFormat/>
    <w:rsid w:val="00DB21B9"/>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DB21B9"/>
    <w:rPr>
      <w:rFonts w:ascii="Book Antiqua" w:hAnsi="Book Antiqua"/>
      <w:b/>
      <w:bCs/>
      <w:i/>
      <w:iCs/>
      <w:color w:val="005ABB"/>
    </w:rPr>
  </w:style>
  <w:style w:type="paragraph" w:styleId="TOCHeading">
    <w:name w:val="TOC Heading"/>
    <w:basedOn w:val="Heading1"/>
    <w:next w:val="Normal"/>
    <w:uiPriority w:val="39"/>
    <w:semiHidden/>
    <w:unhideWhenUsed/>
    <w:qFormat/>
    <w:rsid w:val="00DB21B9"/>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DB21B9"/>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DB21B9"/>
    <w:rPr>
      <w:rFonts w:asciiTheme="majorHAnsi" w:eastAsiaTheme="majorEastAsia" w:hAnsiTheme="majorHAnsi" w:cstheme="majorBidi"/>
      <w:i/>
      <w:iCs/>
      <w:color w:val="005ABB"/>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1B9"/>
    <w:pPr>
      <w:spacing w:after="240" w:line="260" w:lineRule="exact"/>
      <w:jc w:val="both"/>
    </w:pPr>
    <w:rPr>
      <w:rFonts w:ascii="Book Antiqua" w:hAnsi="Book Antiqua"/>
      <w:color w:val="000000"/>
    </w:rPr>
  </w:style>
  <w:style w:type="paragraph" w:styleId="Heading1">
    <w:name w:val="heading 1"/>
    <w:basedOn w:val="HeadingBase"/>
    <w:next w:val="Normal"/>
    <w:qFormat/>
    <w:rsid w:val="00DB21B9"/>
    <w:pPr>
      <w:keepNext/>
      <w:spacing w:before="284" w:after="113"/>
      <w:outlineLvl w:val="0"/>
    </w:pPr>
    <w:rPr>
      <w:rFonts w:cs="Arial"/>
      <w:b/>
      <w:bCs/>
      <w:kern w:val="32"/>
      <w:sz w:val="48"/>
      <w:szCs w:val="48"/>
    </w:rPr>
  </w:style>
  <w:style w:type="paragraph" w:styleId="Heading2">
    <w:name w:val="heading 2"/>
    <w:basedOn w:val="HeadingBase"/>
    <w:next w:val="Normal"/>
    <w:qFormat/>
    <w:rsid w:val="00DB21B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DB21B9"/>
    <w:pPr>
      <w:keepNext/>
      <w:spacing w:before="57" w:after="57" w:line="280" w:lineRule="exact"/>
      <w:outlineLvl w:val="2"/>
    </w:pPr>
    <w:rPr>
      <w:rFonts w:cs="Arial"/>
      <w:b/>
      <w:bCs/>
      <w:sz w:val="24"/>
      <w:szCs w:val="26"/>
    </w:rPr>
  </w:style>
  <w:style w:type="paragraph" w:styleId="Heading4">
    <w:name w:val="heading 4"/>
    <w:basedOn w:val="HeadingBase"/>
    <w:next w:val="Normal"/>
    <w:qFormat/>
    <w:rsid w:val="00DB21B9"/>
    <w:pPr>
      <w:keepNext/>
      <w:spacing w:before="57" w:after="57" w:line="280" w:lineRule="exact"/>
      <w:outlineLvl w:val="3"/>
    </w:pPr>
    <w:rPr>
      <w:b/>
      <w:bCs/>
      <w:szCs w:val="22"/>
    </w:rPr>
  </w:style>
  <w:style w:type="paragraph" w:styleId="Heading5">
    <w:name w:val="heading 5"/>
    <w:basedOn w:val="HeadingBase"/>
    <w:next w:val="Normal"/>
    <w:qFormat/>
    <w:rsid w:val="00DB21B9"/>
    <w:pPr>
      <w:keepNext/>
      <w:spacing w:before="57" w:after="57" w:line="280" w:lineRule="exact"/>
      <w:outlineLvl w:val="4"/>
    </w:pPr>
    <w:rPr>
      <w:bCs/>
      <w:iCs/>
    </w:rPr>
  </w:style>
  <w:style w:type="paragraph" w:styleId="Heading6">
    <w:name w:val="heading 6"/>
    <w:basedOn w:val="HeadingBase"/>
    <w:next w:val="Normal"/>
    <w:qFormat/>
    <w:rsid w:val="00DB21B9"/>
    <w:pPr>
      <w:keepNext/>
      <w:spacing w:after="120"/>
      <w:outlineLvl w:val="5"/>
    </w:pPr>
    <w:rPr>
      <w:bCs/>
      <w:szCs w:val="22"/>
    </w:rPr>
  </w:style>
  <w:style w:type="paragraph" w:styleId="Heading7">
    <w:name w:val="heading 7"/>
    <w:basedOn w:val="Heading2"/>
    <w:next w:val="Normal"/>
    <w:qFormat/>
    <w:rsid w:val="00DB21B9"/>
    <w:pPr>
      <w:jc w:val="right"/>
      <w:outlineLvl w:val="6"/>
    </w:pPr>
  </w:style>
  <w:style w:type="paragraph" w:styleId="Heading8">
    <w:name w:val="heading 8"/>
    <w:basedOn w:val="HeadingBase"/>
    <w:next w:val="Normal"/>
    <w:qFormat/>
    <w:rsid w:val="00DB21B9"/>
    <w:pPr>
      <w:keepNext/>
      <w:spacing w:before="284" w:after="360"/>
      <w:jc w:val="right"/>
      <w:outlineLvl w:val="7"/>
    </w:pPr>
    <w:rPr>
      <w:iCs/>
      <w:sz w:val="48"/>
      <w:szCs w:val="24"/>
    </w:rPr>
  </w:style>
  <w:style w:type="paragraph" w:styleId="Heading9">
    <w:name w:val="heading 9"/>
    <w:basedOn w:val="HeadingBase"/>
    <w:next w:val="Normal"/>
    <w:qFormat/>
    <w:rsid w:val="00DB21B9"/>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DB21B9"/>
    <w:pPr>
      <w:spacing w:after="0"/>
    </w:pPr>
  </w:style>
  <w:style w:type="character" w:styleId="Hyperlink">
    <w:name w:val="Hyperlink"/>
    <w:basedOn w:val="DefaultParagraphFont"/>
    <w:rsid w:val="00DB21B9"/>
    <w:rPr>
      <w:color w:val="000000"/>
      <w:u w:val="none"/>
    </w:rPr>
  </w:style>
  <w:style w:type="character" w:styleId="FootnoteReference">
    <w:name w:val="footnote reference"/>
    <w:basedOn w:val="DefaultParagraphFont"/>
    <w:rsid w:val="00DB21B9"/>
    <w:rPr>
      <w:vertAlign w:val="superscript"/>
    </w:rPr>
  </w:style>
  <w:style w:type="paragraph" w:styleId="BalloonText">
    <w:name w:val="Balloon Text"/>
    <w:basedOn w:val="Normal"/>
    <w:rsid w:val="00DB21B9"/>
    <w:rPr>
      <w:rFonts w:ascii="Tahoma" w:hAnsi="Tahoma" w:cs="Tahoma"/>
      <w:sz w:val="16"/>
      <w:szCs w:val="16"/>
    </w:rPr>
  </w:style>
  <w:style w:type="character" w:styleId="PageNumber">
    <w:name w:val="page number"/>
    <w:basedOn w:val="DefaultParagraphFont"/>
    <w:rsid w:val="00FE789E"/>
    <w:rPr>
      <w:rFonts w:ascii="Times" w:hAnsi="Times"/>
      <w:color w:val="72B4E7"/>
      <w:sz w:val="18"/>
      <w:szCs w:val="18"/>
    </w:rPr>
  </w:style>
  <w:style w:type="paragraph" w:styleId="FootnoteText">
    <w:name w:val="footnote text"/>
    <w:basedOn w:val="Normal"/>
    <w:link w:val="FootnoteTextChar"/>
    <w:rsid w:val="00DB21B9"/>
    <w:pPr>
      <w:tabs>
        <w:tab w:val="left" w:pos="284"/>
      </w:tabs>
      <w:spacing w:after="0" w:line="240" w:lineRule="auto"/>
      <w:ind w:left="284" w:hanging="284"/>
    </w:pPr>
    <w:rPr>
      <w:sz w:val="18"/>
    </w:rPr>
  </w:style>
  <w:style w:type="paragraph" w:customStyle="1" w:styleId="Bullet">
    <w:name w:val="Bullet"/>
    <w:basedOn w:val="Normal"/>
    <w:rsid w:val="00DB21B9"/>
    <w:pPr>
      <w:numPr>
        <w:numId w:val="1"/>
      </w:numPr>
      <w:ind w:left="284" w:hanging="284"/>
    </w:pPr>
  </w:style>
  <w:style w:type="paragraph" w:customStyle="1" w:styleId="DashChar">
    <w:name w:val="Dash Char"/>
    <w:basedOn w:val="Normal"/>
    <w:link w:val="DashCharChar"/>
    <w:rsid w:val="005F0423"/>
    <w:pPr>
      <w:tabs>
        <w:tab w:val="num" w:pos="567"/>
      </w:tabs>
      <w:ind w:left="568" w:hanging="284"/>
    </w:pPr>
  </w:style>
  <w:style w:type="paragraph" w:customStyle="1" w:styleId="DoubleDot">
    <w:name w:val="Double Dot"/>
    <w:basedOn w:val="Normal"/>
    <w:rsid w:val="00DB21B9"/>
    <w:pPr>
      <w:numPr>
        <w:ilvl w:val="2"/>
        <w:numId w:val="1"/>
      </w:numPr>
    </w:pPr>
  </w:style>
  <w:style w:type="paragraph" w:customStyle="1" w:styleId="OutlineNumbered1">
    <w:name w:val="Outline Numbered 1"/>
    <w:basedOn w:val="Normal"/>
    <w:rsid w:val="00DB21B9"/>
    <w:pPr>
      <w:numPr>
        <w:numId w:val="2"/>
      </w:numPr>
    </w:pPr>
  </w:style>
  <w:style w:type="paragraph" w:customStyle="1" w:styleId="OutlineNumbered2">
    <w:name w:val="Outline Numbered 2"/>
    <w:basedOn w:val="Normal"/>
    <w:rsid w:val="00DB21B9"/>
    <w:pPr>
      <w:numPr>
        <w:ilvl w:val="1"/>
        <w:numId w:val="2"/>
      </w:numPr>
    </w:pPr>
  </w:style>
  <w:style w:type="paragraph" w:customStyle="1" w:styleId="OutlineNumbered3">
    <w:name w:val="Outline Numbered 3"/>
    <w:basedOn w:val="Normal"/>
    <w:rsid w:val="00DB21B9"/>
    <w:pPr>
      <w:numPr>
        <w:ilvl w:val="2"/>
        <w:numId w:val="2"/>
      </w:numPr>
    </w:pPr>
  </w:style>
  <w:style w:type="paragraph" w:customStyle="1" w:styleId="AlphaParagraph">
    <w:name w:val="Alpha Paragraph"/>
    <w:basedOn w:val="Normal"/>
    <w:rsid w:val="00DB21B9"/>
    <w:pPr>
      <w:numPr>
        <w:numId w:val="3"/>
      </w:numPr>
    </w:pPr>
  </w:style>
  <w:style w:type="paragraph" w:customStyle="1" w:styleId="HeadingBase">
    <w:name w:val="Heading Base"/>
    <w:next w:val="Normal"/>
    <w:rsid w:val="00FE789E"/>
    <w:rPr>
      <w:rFonts w:ascii="Arial" w:hAnsi="Arial"/>
      <w:color w:val="72B4E7"/>
    </w:rPr>
  </w:style>
  <w:style w:type="paragraph" w:customStyle="1" w:styleId="AppendixHeading">
    <w:name w:val="Appendix Heading"/>
    <w:basedOn w:val="HeadingBase"/>
    <w:next w:val="Normal"/>
    <w:rsid w:val="00DB21B9"/>
    <w:pPr>
      <w:spacing w:before="720" w:after="360"/>
    </w:pPr>
    <w:rPr>
      <w:rFonts w:ascii="Arial Bold" w:hAnsi="Arial Bold"/>
      <w:b/>
      <w:smallCaps/>
      <w:sz w:val="36"/>
      <w:szCs w:val="36"/>
    </w:rPr>
  </w:style>
  <w:style w:type="character" w:customStyle="1" w:styleId="Bold">
    <w:name w:val="Bold"/>
    <w:basedOn w:val="DefaultParagraphFont"/>
    <w:rsid w:val="00DB21B9"/>
    <w:rPr>
      <w:b/>
    </w:rPr>
  </w:style>
  <w:style w:type="paragraph" w:customStyle="1" w:styleId="BoxHeading">
    <w:name w:val="Box Heading"/>
    <w:basedOn w:val="HeadingBase"/>
    <w:next w:val="BoxText"/>
    <w:rsid w:val="00DB21B9"/>
    <w:pPr>
      <w:spacing w:before="120" w:after="120"/>
    </w:pPr>
    <w:rPr>
      <w:b/>
      <w:sz w:val="22"/>
    </w:rPr>
  </w:style>
  <w:style w:type="paragraph" w:customStyle="1" w:styleId="BoxTextBase">
    <w:name w:val="Box Text Base"/>
    <w:basedOn w:val="Normal"/>
    <w:rsid w:val="00DB21B9"/>
    <w:pPr>
      <w:spacing w:before="120" w:after="120" w:line="240" w:lineRule="auto"/>
    </w:pPr>
  </w:style>
  <w:style w:type="paragraph" w:customStyle="1" w:styleId="ChartandTableFootnoteAlpha">
    <w:name w:val="Chart and Table Footnote Alpha"/>
    <w:rsid w:val="00DB21B9"/>
    <w:pPr>
      <w:numPr>
        <w:numId w:val="4"/>
      </w:numPr>
      <w:jc w:val="both"/>
    </w:pPr>
    <w:rPr>
      <w:rFonts w:ascii="Arial" w:hAnsi="Arial"/>
      <w:color w:val="000000"/>
      <w:sz w:val="16"/>
      <w:szCs w:val="16"/>
    </w:rPr>
  </w:style>
  <w:style w:type="paragraph" w:customStyle="1" w:styleId="ChartGraphic">
    <w:name w:val="Chart Graphic"/>
    <w:basedOn w:val="HeadingBase"/>
    <w:rsid w:val="00DB21B9"/>
    <w:pPr>
      <w:jc w:val="center"/>
    </w:pPr>
  </w:style>
  <w:style w:type="paragraph" w:customStyle="1" w:styleId="ChartMainHeading">
    <w:name w:val="Chart Main Heading"/>
    <w:basedOn w:val="HeadingBase"/>
    <w:next w:val="ChartGraphic"/>
    <w:rsid w:val="00DB21B9"/>
    <w:pPr>
      <w:keepNext/>
      <w:spacing w:before="170" w:after="113"/>
      <w:jc w:val="center"/>
    </w:pPr>
    <w:rPr>
      <w:b/>
      <w:sz w:val="22"/>
    </w:rPr>
  </w:style>
  <w:style w:type="paragraph" w:customStyle="1" w:styleId="ChartorTableNote">
    <w:name w:val="Chart or Table Note"/>
    <w:next w:val="Normal"/>
    <w:rsid w:val="00DB21B9"/>
    <w:pPr>
      <w:jc w:val="both"/>
    </w:pPr>
    <w:rPr>
      <w:rFonts w:ascii="Arial" w:hAnsi="Arial"/>
      <w:color w:val="000000"/>
      <w:sz w:val="16"/>
    </w:rPr>
  </w:style>
  <w:style w:type="paragraph" w:customStyle="1" w:styleId="ChartSecondHeading">
    <w:name w:val="Chart Second Heading"/>
    <w:basedOn w:val="HeadingBase"/>
    <w:next w:val="ChartGraphic"/>
    <w:rsid w:val="00DB21B9"/>
    <w:pPr>
      <w:keepNext/>
      <w:spacing w:after="20"/>
      <w:jc w:val="center"/>
    </w:pPr>
  </w:style>
  <w:style w:type="paragraph" w:customStyle="1" w:styleId="Classification">
    <w:name w:val="Classification"/>
    <w:basedOn w:val="HeadingBase"/>
    <w:next w:val="Footer"/>
    <w:rsid w:val="00DB21B9"/>
    <w:pPr>
      <w:spacing w:after="120"/>
      <w:jc w:val="center"/>
    </w:pPr>
    <w:rPr>
      <w:b/>
      <w:smallCaps/>
    </w:rPr>
  </w:style>
  <w:style w:type="paragraph" w:styleId="Footer">
    <w:name w:val="footer"/>
    <w:basedOn w:val="HeadingBase"/>
    <w:rsid w:val="00DB21B9"/>
    <w:rPr>
      <w:sz w:val="18"/>
    </w:rPr>
  </w:style>
  <w:style w:type="paragraph" w:customStyle="1" w:styleId="ContentsHeading">
    <w:name w:val="Contents Heading"/>
    <w:basedOn w:val="HeadingBase"/>
    <w:next w:val="Normal"/>
    <w:rsid w:val="00DB21B9"/>
    <w:pPr>
      <w:spacing w:after="360"/>
    </w:pPr>
    <w:rPr>
      <w:smallCaps/>
      <w:sz w:val="36"/>
      <w:szCs w:val="36"/>
    </w:rPr>
  </w:style>
  <w:style w:type="paragraph" w:customStyle="1" w:styleId="CoverTitleMain">
    <w:name w:val="Cover Title Main"/>
    <w:basedOn w:val="HeadingBase"/>
    <w:next w:val="Normal"/>
    <w:rsid w:val="00DB21B9"/>
    <w:pPr>
      <w:spacing w:after="360"/>
      <w:jc w:val="right"/>
    </w:pPr>
    <w:rPr>
      <w:b/>
      <w:sz w:val="44"/>
    </w:rPr>
  </w:style>
  <w:style w:type="paragraph" w:customStyle="1" w:styleId="CoverTitleSub">
    <w:name w:val="Cover Title Sub"/>
    <w:basedOn w:val="HeadingBase"/>
    <w:rsid w:val="00DB21B9"/>
    <w:pPr>
      <w:spacing w:after="360"/>
      <w:jc w:val="center"/>
    </w:pPr>
    <w:rPr>
      <w:sz w:val="36"/>
    </w:rPr>
  </w:style>
  <w:style w:type="paragraph" w:customStyle="1" w:styleId="FooterCentered">
    <w:name w:val="Footer Centered"/>
    <w:basedOn w:val="Footer"/>
    <w:rsid w:val="00DB21B9"/>
    <w:pPr>
      <w:jc w:val="center"/>
    </w:pPr>
  </w:style>
  <w:style w:type="paragraph" w:customStyle="1" w:styleId="FooterEven">
    <w:name w:val="Footer Even"/>
    <w:basedOn w:val="Footer"/>
    <w:rsid w:val="00DB21B9"/>
  </w:style>
  <w:style w:type="paragraph" w:customStyle="1" w:styleId="FooterOdd">
    <w:name w:val="Footer Odd"/>
    <w:basedOn w:val="Footer"/>
    <w:rsid w:val="00DB21B9"/>
    <w:pPr>
      <w:jc w:val="right"/>
    </w:pPr>
  </w:style>
  <w:style w:type="character" w:customStyle="1" w:styleId="FramedFooter">
    <w:name w:val="Framed Footer"/>
    <w:rsid w:val="00DB21B9"/>
    <w:rPr>
      <w:rFonts w:ascii="Swis721 Lt BT" w:hAnsi="Swis721 Lt BT"/>
      <w:color w:val="005ABB"/>
      <w:sz w:val="18"/>
      <w:szCs w:val="18"/>
    </w:rPr>
  </w:style>
  <w:style w:type="character" w:customStyle="1" w:styleId="FramedHeader">
    <w:name w:val="Framed Header"/>
    <w:basedOn w:val="DefaultParagraphFont"/>
    <w:rsid w:val="00DB21B9"/>
    <w:rPr>
      <w:rFonts w:ascii="Arial" w:hAnsi="Arial"/>
      <w:dstrike w:val="0"/>
      <w:color w:val="005ABB"/>
      <w:sz w:val="18"/>
      <w:szCs w:val="18"/>
      <w:vertAlign w:val="baseline"/>
    </w:rPr>
  </w:style>
  <w:style w:type="paragraph" w:styleId="Header">
    <w:name w:val="header"/>
    <w:basedOn w:val="HeadingBase"/>
    <w:rsid w:val="00DB21B9"/>
    <w:rPr>
      <w:sz w:val="18"/>
    </w:rPr>
  </w:style>
  <w:style w:type="paragraph" w:customStyle="1" w:styleId="HeaderEven">
    <w:name w:val="Header Even"/>
    <w:basedOn w:val="Header"/>
    <w:rsid w:val="00DB21B9"/>
  </w:style>
  <w:style w:type="paragraph" w:customStyle="1" w:styleId="HeaderOdd">
    <w:name w:val="Header Odd"/>
    <w:basedOn w:val="Header"/>
    <w:rsid w:val="00DB21B9"/>
    <w:pPr>
      <w:jc w:val="right"/>
    </w:pPr>
  </w:style>
  <w:style w:type="paragraph" w:styleId="NormalIndent">
    <w:name w:val="Normal Indent"/>
    <w:basedOn w:val="Normal"/>
    <w:rsid w:val="00DB21B9"/>
    <w:pPr>
      <w:ind w:left="567"/>
    </w:pPr>
  </w:style>
  <w:style w:type="paragraph" w:customStyle="1" w:styleId="RecommendationHeading">
    <w:name w:val="Recommendation Heading"/>
    <w:basedOn w:val="HeadingBase"/>
    <w:next w:val="RecommendationText"/>
    <w:rsid w:val="00DB21B9"/>
    <w:pPr>
      <w:spacing w:after="240"/>
    </w:pPr>
    <w:rPr>
      <w:b/>
      <w:sz w:val="22"/>
    </w:rPr>
  </w:style>
  <w:style w:type="paragraph" w:customStyle="1" w:styleId="RecommendationBaseText">
    <w:name w:val="Recommendation Base Text"/>
    <w:basedOn w:val="Normal"/>
    <w:rsid w:val="00DB21B9"/>
  </w:style>
  <w:style w:type="paragraph" w:customStyle="1" w:styleId="RecommendationText">
    <w:name w:val="Recommendation Text"/>
    <w:basedOn w:val="RecommendationBaseText"/>
    <w:rsid w:val="00DB21B9"/>
  </w:style>
  <w:style w:type="paragraph" w:customStyle="1" w:styleId="TableTextBase">
    <w:name w:val="Table Text Base"/>
    <w:rsid w:val="00DB21B9"/>
    <w:pPr>
      <w:spacing w:before="40" w:after="40"/>
    </w:pPr>
    <w:rPr>
      <w:rFonts w:ascii="Arial" w:hAnsi="Arial"/>
      <w:color w:val="000000"/>
      <w:sz w:val="16"/>
    </w:rPr>
  </w:style>
  <w:style w:type="paragraph" w:customStyle="1" w:styleId="TableColumnHeadingCentred">
    <w:name w:val="Table Column Heading Centred"/>
    <w:basedOn w:val="TableTextBase"/>
    <w:rsid w:val="00DB21B9"/>
    <w:pPr>
      <w:jc w:val="center"/>
    </w:pPr>
    <w:rPr>
      <w:b/>
    </w:rPr>
  </w:style>
  <w:style w:type="paragraph" w:customStyle="1" w:styleId="TableColumnHeadingLeft">
    <w:name w:val="Table Column Heading Left"/>
    <w:basedOn w:val="TableTextBase"/>
    <w:rsid w:val="00DB21B9"/>
    <w:rPr>
      <w:b/>
    </w:rPr>
  </w:style>
  <w:style w:type="paragraph" w:customStyle="1" w:styleId="TableColumnHeadingRight">
    <w:name w:val="Table Column Heading Right"/>
    <w:basedOn w:val="TableTextBase"/>
    <w:rsid w:val="00DB21B9"/>
    <w:pPr>
      <w:jc w:val="right"/>
    </w:pPr>
    <w:rPr>
      <w:b/>
    </w:rPr>
  </w:style>
  <w:style w:type="paragraph" w:customStyle="1" w:styleId="TableGraphic">
    <w:name w:val="Table Graphic"/>
    <w:basedOn w:val="HeadingBase"/>
    <w:next w:val="Normal"/>
    <w:rsid w:val="00DB21B9"/>
    <w:pPr>
      <w:spacing w:after="20"/>
      <w:ind w:right="-113"/>
    </w:pPr>
    <w:rPr>
      <w:rFonts w:ascii="Helvetica" w:hAnsi="Helvetica"/>
    </w:rPr>
  </w:style>
  <w:style w:type="paragraph" w:customStyle="1" w:styleId="TableMainHeading">
    <w:name w:val="Table Main Heading"/>
    <w:basedOn w:val="HeadingBase"/>
    <w:next w:val="TableGraphic"/>
    <w:rsid w:val="00DB21B9"/>
    <w:pPr>
      <w:keepNext/>
      <w:spacing w:before="170" w:after="113"/>
    </w:pPr>
    <w:rPr>
      <w:b/>
      <w:sz w:val="22"/>
    </w:rPr>
  </w:style>
  <w:style w:type="paragraph" w:customStyle="1" w:styleId="TableMainHeadingContd">
    <w:name w:val="Table Main Heading Contd"/>
    <w:basedOn w:val="HeadingBase"/>
    <w:next w:val="TableGraphic"/>
    <w:rsid w:val="00DB21B9"/>
    <w:pPr>
      <w:keepNext/>
      <w:spacing w:after="20"/>
    </w:pPr>
    <w:rPr>
      <w:b/>
      <w:sz w:val="22"/>
    </w:rPr>
  </w:style>
  <w:style w:type="paragraph" w:customStyle="1" w:styleId="TableSecondHeading">
    <w:name w:val="Table Second Heading"/>
    <w:basedOn w:val="HeadingBase"/>
    <w:next w:val="TableGraphic"/>
    <w:rsid w:val="00DB21B9"/>
    <w:pPr>
      <w:keepNext/>
      <w:spacing w:after="20"/>
    </w:pPr>
  </w:style>
  <w:style w:type="paragraph" w:customStyle="1" w:styleId="TableTextCentered">
    <w:name w:val="Table Text Centered"/>
    <w:basedOn w:val="TableTextBase"/>
    <w:rsid w:val="00DB21B9"/>
    <w:pPr>
      <w:jc w:val="center"/>
    </w:pPr>
  </w:style>
  <w:style w:type="paragraph" w:customStyle="1" w:styleId="TableTextIndented">
    <w:name w:val="Table Text Indented"/>
    <w:basedOn w:val="TableTextBase"/>
    <w:rsid w:val="00DB21B9"/>
    <w:pPr>
      <w:ind w:left="284"/>
    </w:pPr>
  </w:style>
  <w:style w:type="paragraph" w:customStyle="1" w:styleId="TableTextLeft">
    <w:name w:val="Table Text Left"/>
    <w:basedOn w:val="TableTextBase"/>
    <w:rsid w:val="00DB21B9"/>
  </w:style>
  <w:style w:type="paragraph" w:customStyle="1" w:styleId="TableTextRight">
    <w:name w:val="Table Text Right"/>
    <w:basedOn w:val="TableTextBase"/>
    <w:rsid w:val="00DB21B9"/>
    <w:pPr>
      <w:jc w:val="right"/>
    </w:pPr>
  </w:style>
  <w:style w:type="paragraph" w:styleId="TOC1">
    <w:name w:val="toc 1"/>
    <w:basedOn w:val="HeadingBase"/>
    <w:next w:val="Normal"/>
    <w:rsid w:val="00DB21B9"/>
    <w:pPr>
      <w:tabs>
        <w:tab w:val="right" w:leader="dot" w:pos="7700"/>
      </w:tabs>
      <w:spacing w:before="180"/>
      <w:ind w:right="851"/>
    </w:pPr>
    <w:rPr>
      <w:b/>
      <w:smallCaps/>
      <w:noProof/>
      <w:sz w:val="22"/>
      <w:szCs w:val="22"/>
    </w:rPr>
  </w:style>
  <w:style w:type="paragraph" w:styleId="TOC2">
    <w:name w:val="toc 2"/>
    <w:basedOn w:val="Normal"/>
    <w:next w:val="Normal"/>
    <w:rsid w:val="00DB21B9"/>
    <w:pPr>
      <w:tabs>
        <w:tab w:val="right" w:leader="dot" w:pos="7700"/>
      </w:tabs>
      <w:spacing w:after="0"/>
      <w:ind w:right="851"/>
      <w:jc w:val="left"/>
    </w:pPr>
    <w:rPr>
      <w:noProof/>
    </w:rPr>
  </w:style>
  <w:style w:type="paragraph" w:styleId="TOC3">
    <w:name w:val="toc 3"/>
    <w:basedOn w:val="Normal"/>
    <w:next w:val="Normal"/>
    <w:rsid w:val="00DB21B9"/>
    <w:pPr>
      <w:tabs>
        <w:tab w:val="right" w:leader="dot" w:pos="7700"/>
      </w:tabs>
      <w:spacing w:after="0" w:line="240" w:lineRule="auto"/>
      <w:ind w:left="284" w:right="851"/>
      <w:jc w:val="left"/>
    </w:pPr>
    <w:rPr>
      <w:noProof/>
    </w:rPr>
  </w:style>
  <w:style w:type="paragraph" w:styleId="TOC4">
    <w:name w:val="toc 4"/>
    <w:basedOn w:val="Normal"/>
    <w:next w:val="Normal"/>
    <w:rsid w:val="00DB21B9"/>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DB21B9"/>
    <w:rPr>
      <w:i/>
    </w:rPr>
  </w:style>
  <w:style w:type="paragraph" w:customStyle="1" w:styleId="OneLevelNumberedParagraph">
    <w:name w:val="One Level Numbered Paragraph"/>
    <w:basedOn w:val="Normal"/>
    <w:rsid w:val="00DB21B9"/>
    <w:pPr>
      <w:numPr>
        <w:numId w:val="10"/>
      </w:numPr>
    </w:pPr>
  </w:style>
  <w:style w:type="paragraph" w:customStyle="1" w:styleId="BoxText">
    <w:name w:val="Box Text"/>
    <w:basedOn w:val="BoxTextBase"/>
    <w:rsid w:val="00DB21B9"/>
  </w:style>
  <w:style w:type="paragraph" w:customStyle="1" w:styleId="BoxBullet">
    <w:name w:val="Box Bullet"/>
    <w:basedOn w:val="BoxTextBase"/>
    <w:rsid w:val="00DB21B9"/>
    <w:pPr>
      <w:numPr>
        <w:numId w:val="9"/>
      </w:numPr>
    </w:pPr>
  </w:style>
  <w:style w:type="paragraph" w:customStyle="1" w:styleId="BoxDash">
    <w:name w:val="Box Dash"/>
    <w:basedOn w:val="Normal"/>
    <w:rsid w:val="00DB21B9"/>
    <w:pPr>
      <w:numPr>
        <w:ilvl w:val="1"/>
        <w:numId w:val="9"/>
      </w:numPr>
    </w:pPr>
  </w:style>
  <w:style w:type="paragraph" w:customStyle="1" w:styleId="BoxDoubleDot">
    <w:name w:val="Box Double Dot"/>
    <w:basedOn w:val="BoxTextBase"/>
    <w:rsid w:val="00DB21B9"/>
    <w:pPr>
      <w:numPr>
        <w:ilvl w:val="2"/>
        <w:numId w:val="9"/>
      </w:numPr>
    </w:pPr>
  </w:style>
  <w:style w:type="paragraph" w:customStyle="1" w:styleId="RecommendationBullet">
    <w:name w:val="Recommendation Bullet"/>
    <w:basedOn w:val="RecommendationBaseText"/>
    <w:rsid w:val="00DB21B9"/>
    <w:pPr>
      <w:numPr>
        <w:numId w:val="11"/>
      </w:numPr>
    </w:pPr>
  </w:style>
  <w:style w:type="paragraph" w:customStyle="1" w:styleId="RecommendationDash">
    <w:name w:val="Recommendation Dash"/>
    <w:basedOn w:val="RecommendationBaseText"/>
    <w:rsid w:val="00DB21B9"/>
    <w:pPr>
      <w:numPr>
        <w:ilvl w:val="1"/>
        <w:numId w:val="11"/>
      </w:numPr>
    </w:pPr>
  </w:style>
  <w:style w:type="paragraph" w:customStyle="1" w:styleId="RecommendationDoubleDot">
    <w:name w:val="Recommendation Double Dot"/>
    <w:basedOn w:val="RecommendationBaseText"/>
    <w:rsid w:val="00DB21B9"/>
    <w:pPr>
      <w:numPr>
        <w:ilvl w:val="2"/>
        <w:numId w:val="11"/>
      </w:numPr>
    </w:pPr>
  </w:style>
  <w:style w:type="character" w:customStyle="1" w:styleId="Boldanditalic">
    <w:name w:val="Bold and italic"/>
    <w:basedOn w:val="DefaultParagraphFont"/>
    <w:rsid w:val="00DB21B9"/>
    <w:rPr>
      <w:b/>
      <w:i/>
    </w:rPr>
  </w:style>
  <w:style w:type="paragraph" w:styleId="Caption">
    <w:name w:val="caption"/>
    <w:basedOn w:val="Normal"/>
    <w:next w:val="Normal"/>
    <w:qFormat/>
    <w:rsid w:val="00DB21B9"/>
    <w:pPr>
      <w:spacing w:before="120" w:after="120"/>
    </w:pPr>
    <w:rPr>
      <w:b/>
      <w:bCs/>
    </w:rPr>
  </w:style>
  <w:style w:type="character" w:styleId="CommentReference">
    <w:name w:val="annotation reference"/>
    <w:basedOn w:val="DefaultParagraphFont"/>
    <w:rsid w:val="00DB21B9"/>
    <w:rPr>
      <w:sz w:val="16"/>
      <w:szCs w:val="16"/>
    </w:rPr>
  </w:style>
  <w:style w:type="paragraph" w:styleId="CommentText">
    <w:name w:val="annotation text"/>
    <w:basedOn w:val="Normal"/>
    <w:rsid w:val="00DB21B9"/>
  </w:style>
  <w:style w:type="paragraph" w:styleId="CommentSubject">
    <w:name w:val="annotation subject"/>
    <w:basedOn w:val="CommentText"/>
    <w:next w:val="CommentText"/>
    <w:rsid w:val="00DB21B9"/>
    <w:rPr>
      <w:b/>
      <w:bCs/>
    </w:rPr>
  </w:style>
  <w:style w:type="paragraph" w:styleId="DocumentMap">
    <w:name w:val="Document Map"/>
    <w:basedOn w:val="Normal"/>
    <w:rsid w:val="00DB21B9"/>
    <w:pPr>
      <w:shd w:val="clear" w:color="auto" w:fill="000080"/>
    </w:pPr>
    <w:rPr>
      <w:rFonts w:ascii="Tahoma" w:hAnsi="Tahoma" w:cs="Tahoma"/>
    </w:rPr>
  </w:style>
  <w:style w:type="character" w:styleId="EndnoteReference">
    <w:name w:val="endnote reference"/>
    <w:basedOn w:val="DefaultParagraphFont"/>
    <w:rsid w:val="00DB21B9"/>
    <w:rPr>
      <w:vertAlign w:val="superscript"/>
    </w:rPr>
  </w:style>
  <w:style w:type="paragraph" w:styleId="EndnoteText">
    <w:name w:val="endnote text"/>
    <w:basedOn w:val="Normal"/>
    <w:rsid w:val="00DB21B9"/>
  </w:style>
  <w:style w:type="paragraph" w:styleId="Index1">
    <w:name w:val="index 1"/>
    <w:basedOn w:val="Normal"/>
    <w:next w:val="Normal"/>
    <w:autoRedefine/>
    <w:rsid w:val="00DB21B9"/>
    <w:pPr>
      <w:ind w:left="200" w:hanging="200"/>
    </w:pPr>
  </w:style>
  <w:style w:type="paragraph" w:styleId="Index2">
    <w:name w:val="index 2"/>
    <w:basedOn w:val="Normal"/>
    <w:next w:val="Normal"/>
    <w:autoRedefine/>
    <w:rsid w:val="00DB21B9"/>
    <w:pPr>
      <w:ind w:left="400" w:hanging="200"/>
    </w:pPr>
  </w:style>
  <w:style w:type="paragraph" w:styleId="Index3">
    <w:name w:val="index 3"/>
    <w:basedOn w:val="Normal"/>
    <w:next w:val="Normal"/>
    <w:autoRedefine/>
    <w:rsid w:val="00DB21B9"/>
    <w:pPr>
      <w:ind w:left="600" w:hanging="200"/>
    </w:pPr>
  </w:style>
  <w:style w:type="paragraph" w:styleId="Index4">
    <w:name w:val="index 4"/>
    <w:basedOn w:val="Normal"/>
    <w:next w:val="Normal"/>
    <w:autoRedefine/>
    <w:rsid w:val="00DB21B9"/>
    <w:pPr>
      <w:ind w:left="800" w:hanging="200"/>
    </w:pPr>
  </w:style>
  <w:style w:type="paragraph" w:styleId="Index5">
    <w:name w:val="index 5"/>
    <w:basedOn w:val="Normal"/>
    <w:next w:val="Normal"/>
    <w:autoRedefine/>
    <w:rsid w:val="00DB21B9"/>
    <w:pPr>
      <w:ind w:left="1000" w:hanging="200"/>
    </w:pPr>
  </w:style>
  <w:style w:type="paragraph" w:styleId="Index6">
    <w:name w:val="index 6"/>
    <w:basedOn w:val="Normal"/>
    <w:next w:val="Normal"/>
    <w:autoRedefine/>
    <w:rsid w:val="00DB21B9"/>
    <w:pPr>
      <w:ind w:left="1200" w:hanging="200"/>
    </w:pPr>
  </w:style>
  <w:style w:type="paragraph" w:styleId="Index7">
    <w:name w:val="index 7"/>
    <w:basedOn w:val="Normal"/>
    <w:next w:val="Normal"/>
    <w:autoRedefine/>
    <w:rsid w:val="00DB21B9"/>
    <w:pPr>
      <w:ind w:left="1400" w:hanging="200"/>
    </w:pPr>
  </w:style>
  <w:style w:type="paragraph" w:styleId="Index8">
    <w:name w:val="index 8"/>
    <w:basedOn w:val="Normal"/>
    <w:next w:val="Normal"/>
    <w:autoRedefine/>
    <w:rsid w:val="00DB21B9"/>
    <w:pPr>
      <w:ind w:left="1600" w:hanging="200"/>
    </w:pPr>
  </w:style>
  <w:style w:type="paragraph" w:styleId="Index9">
    <w:name w:val="index 9"/>
    <w:basedOn w:val="Normal"/>
    <w:next w:val="Normal"/>
    <w:autoRedefine/>
    <w:rsid w:val="00DB21B9"/>
    <w:pPr>
      <w:ind w:left="1800" w:hanging="200"/>
    </w:pPr>
  </w:style>
  <w:style w:type="paragraph" w:styleId="IndexHeading">
    <w:name w:val="index heading"/>
    <w:basedOn w:val="Normal"/>
    <w:next w:val="Index1"/>
    <w:rsid w:val="00FE789E"/>
    <w:rPr>
      <w:rFonts w:ascii="Arial" w:hAnsi="Arial" w:cs="Arial"/>
      <w:b/>
      <w:bCs/>
      <w:color w:val="72B4E7"/>
    </w:rPr>
  </w:style>
  <w:style w:type="paragraph" w:styleId="MacroText">
    <w:name w:val="macro"/>
    <w:rsid w:val="00DB21B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DB21B9"/>
    <w:pPr>
      <w:ind w:left="200" w:hanging="200"/>
    </w:pPr>
  </w:style>
  <w:style w:type="paragraph" w:styleId="TableofFigures">
    <w:name w:val="table of figures"/>
    <w:basedOn w:val="Normal"/>
    <w:next w:val="Normal"/>
    <w:rsid w:val="00DB21B9"/>
    <w:pPr>
      <w:ind w:left="400" w:hanging="400"/>
    </w:pPr>
  </w:style>
  <w:style w:type="paragraph" w:styleId="TOAHeading">
    <w:name w:val="toa heading"/>
    <w:basedOn w:val="Normal"/>
    <w:next w:val="Normal"/>
    <w:rsid w:val="00DB21B9"/>
    <w:pPr>
      <w:spacing w:before="120"/>
    </w:pPr>
    <w:rPr>
      <w:rFonts w:ascii="Arial" w:hAnsi="Arial" w:cs="Arial"/>
      <w:b/>
      <w:bCs/>
      <w:sz w:val="24"/>
      <w:szCs w:val="24"/>
    </w:rPr>
  </w:style>
  <w:style w:type="paragraph" w:styleId="TOC5">
    <w:name w:val="toc 5"/>
    <w:basedOn w:val="TOC2"/>
    <w:next w:val="Normal"/>
    <w:autoRedefine/>
    <w:rsid w:val="00DB21B9"/>
    <w:pPr>
      <w:ind w:left="1260" w:hanging="1260"/>
    </w:pPr>
  </w:style>
  <w:style w:type="paragraph" w:styleId="TOC6">
    <w:name w:val="toc 6"/>
    <w:basedOn w:val="TOC5"/>
    <w:next w:val="Normal"/>
    <w:rsid w:val="00DB21B9"/>
    <w:pPr>
      <w:tabs>
        <w:tab w:val="left" w:pos="1080"/>
        <w:tab w:val="left" w:pos="1134"/>
      </w:tabs>
      <w:ind w:left="1080" w:hanging="1080"/>
    </w:pPr>
  </w:style>
  <w:style w:type="paragraph" w:styleId="TOC7">
    <w:name w:val="toc 7"/>
    <w:basedOn w:val="Normal"/>
    <w:next w:val="Normal"/>
    <w:autoRedefine/>
    <w:rsid w:val="00DB21B9"/>
    <w:pPr>
      <w:ind w:left="1200"/>
    </w:pPr>
  </w:style>
  <w:style w:type="paragraph" w:styleId="TOC8">
    <w:name w:val="toc 8"/>
    <w:basedOn w:val="Normal"/>
    <w:next w:val="Normal"/>
    <w:autoRedefine/>
    <w:rsid w:val="00DB21B9"/>
    <w:pPr>
      <w:ind w:left="1400"/>
    </w:pPr>
  </w:style>
  <w:style w:type="paragraph" w:styleId="TOC9">
    <w:name w:val="toc 9"/>
    <w:basedOn w:val="Normal"/>
    <w:next w:val="Normal"/>
    <w:autoRedefine/>
    <w:rsid w:val="00DB21B9"/>
    <w:pPr>
      <w:ind w:left="1600"/>
    </w:pPr>
  </w:style>
  <w:style w:type="paragraph" w:customStyle="1" w:styleId="AppendixAHeading3">
    <w:name w:val="AppendixAHeading3"/>
    <w:basedOn w:val="Heading3"/>
    <w:next w:val="AppendixAHeading4"/>
    <w:rsid w:val="00DB21B9"/>
    <w:pPr>
      <w:numPr>
        <w:numId w:val="42"/>
      </w:numPr>
    </w:pPr>
    <w:rPr>
      <w:rFonts w:ascii="Arial Bold" w:hAnsi="Arial Bold"/>
      <w:i/>
    </w:rPr>
  </w:style>
  <w:style w:type="paragraph" w:customStyle="1" w:styleId="AppendixAHeading4">
    <w:name w:val="AppendixAHeading4"/>
    <w:basedOn w:val="Heading4"/>
    <w:next w:val="Bullet"/>
    <w:rsid w:val="00DB21B9"/>
    <w:pPr>
      <w:numPr>
        <w:ilvl w:val="1"/>
        <w:numId w:val="43"/>
      </w:numPr>
    </w:pPr>
  </w:style>
  <w:style w:type="paragraph" w:customStyle="1" w:styleId="AppendixGHeading3">
    <w:name w:val="AppendixGHeading3"/>
    <w:basedOn w:val="Heading3"/>
    <w:rsid w:val="00DB21B9"/>
    <w:pPr>
      <w:numPr>
        <w:numId w:val="34"/>
      </w:numPr>
    </w:pPr>
  </w:style>
  <w:style w:type="paragraph" w:customStyle="1" w:styleId="ChartHeading">
    <w:name w:val="Chart Heading"/>
    <w:basedOn w:val="HeadingBase"/>
    <w:next w:val="ChartGraphic"/>
    <w:rsid w:val="005F0423"/>
    <w:pPr>
      <w:keepNext/>
      <w:spacing w:before="170" w:after="113" w:line="240" w:lineRule="exact"/>
      <w:jc w:val="center"/>
    </w:pPr>
    <w:rPr>
      <w:b/>
      <w:sz w:val="22"/>
    </w:rPr>
  </w:style>
  <w:style w:type="paragraph" w:customStyle="1" w:styleId="NumberedParagraph">
    <w:name w:val="Numbered Paragraph"/>
    <w:basedOn w:val="Normal"/>
    <w:rsid w:val="00DB21B9"/>
    <w:pPr>
      <w:numPr>
        <w:numId w:val="28"/>
      </w:numPr>
    </w:pPr>
  </w:style>
  <w:style w:type="paragraph" w:customStyle="1" w:styleId="TableHeading">
    <w:name w:val="Table Heading"/>
    <w:basedOn w:val="HeadingBase"/>
    <w:next w:val="TableGraphic"/>
    <w:rsid w:val="005F0423"/>
    <w:pPr>
      <w:keepNext/>
      <w:spacing w:before="170" w:after="113" w:line="240" w:lineRule="exact"/>
    </w:pPr>
    <w:rPr>
      <w:b/>
      <w:sz w:val="22"/>
    </w:rPr>
  </w:style>
  <w:style w:type="paragraph" w:customStyle="1" w:styleId="ChartandTableFootnoteSmall">
    <w:name w:val="Chart and Table Footnote Small"/>
    <w:basedOn w:val="Normal"/>
    <w:rsid w:val="005F0423"/>
    <w:pPr>
      <w:spacing w:after="0" w:line="240" w:lineRule="auto"/>
      <w:ind w:left="284" w:hanging="284"/>
      <w:jc w:val="left"/>
    </w:pPr>
    <w:rPr>
      <w:rFonts w:ascii="Helvetica" w:hAnsi="Helvetica"/>
      <w:sz w:val="15"/>
    </w:rPr>
  </w:style>
  <w:style w:type="paragraph" w:customStyle="1" w:styleId="Source">
    <w:name w:val="Source"/>
    <w:basedOn w:val="HeadingBase"/>
    <w:next w:val="Normal"/>
    <w:rsid w:val="005F0423"/>
    <w:rPr>
      <w:color w:val="000000"/>
      <w:sz w:val="16"/>
    </w:rPr>
  </w:style>
  <w:style w:type="paragraph" w:customStyle="1" w:styleId="Normalbold">
    <w:name w:val="Normal bold"/>
    <w:basedOn w:val="Normal"/>
    <w:rsid w:val="005F0423"/>
    <w:pPr>
      <w:jc w:val="left"/>
    </w:pPr>
    <w:rPr>
      <w:b/>
    </w:rPr>
  </w:style>
  <w:style w:type="paragraph" w:styleId="NormalWeb">
    <w:name w:val="Normal (Web)"/>
    <w:basedOn w:val="Normal"/>
    <w:rsid w:val="005F0423"/>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rsid w:val="005F0423"/>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rsid w:val="005F0423"/>
    <w:rPr>
      <w:rFonts w:ascii="Book Antiqua" w:hAnsi="Book Antiqua"/>
      <w:color w:val="000000"/>
    </w:rPr>
  </w:style>
  <w:style w:type="character" w:styleId="FollowedHyperlink">
    <w:name w:val="FollowedHyperlink"/>
    <w:basedOn w:val="DefaultParagraphFont"/>
    <w:rsid w:val="00DB21B9"/>
    <w:rPr>
      <w:color w:val="000000"/>
      <w:u w:val="none"/>
    </w:rPr>
  </w:style>
  <w:style w:type="table" w:styleId="TableGrid">
    <w:name w:val="Table Grid"/>
    <w:basedOn w:val="TableNormal"/>
    <w:rsid w:val="00D476E8"/>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rsid w:val="00DB21B9"/>
    <w:pPr>
      <w:numPr>
        <w:ilvl w:val="1"/>
        <w:numId w:val="1"/>
      </w:numPr>
      <w:ind w:left="568"/>
    </w:pPr>
  </w:style>
  <w:style w:type="paragraph" w:customStyle="1" w:styleId="Heading3TOC">
    <w:name w:val="Heading 3 TOC"/>
    <w:basedOn w:val="Heading3"/>
    <w:rsid w:val="00721EC1"/>
    <w:pPr>
      <w:jc w:val="both"/>
    </w:pPr>
  </w:style>
  <w:style w:type="paragraph" w:customStyle="1" w:styleId="CharChar1Char">
    <w:name w:val="Char Char1 Char"/>
    <w:basedOn w:val="Normal"/>
    <w:rsid w:val="008A651B"/>
    <w:pPr>
      <w:spacing w:after="160" w:line="240" w:lineRule="exact"/>
      <w:jc w:val="left"/>
    </w:pPr>
    <w:rPr>
      <w:rFonts w:ascii="Times New Roman" w:hAnsi="Times New Roman"/>
      <w:color w:val="auto"/>
      <w:sz w:val="22"/>
      <w:lang w:val="en-GB" w:eastAsia="en-US"/>
    </w:rPr>
  </w:style>
  <w:style w:type="character" w:customStyle="1" w:styleId="FootnoteTextChar">
    <w:name w:val="Footnote Text Char"/>
    <w:basedOn w:val="DefaultParagraphFont"/>
    <w:link w:val="FootnoteText"/>
    <w:rsid w:val="00DD4FB2"/>
    <w:rPr>
      <w:rFonts w:ascii="Book Antiqua" w:hAnsi="Book Antiqua"/>
      <w:color w:val="000000"/>
      <w:sz w:val="18"/>
    </w:rPr>
  </w:style>
  <w:style w:type="paragraph" w:customStyle="1" w:styleId="Heading3noTOC">
    <w:name w:val="Heading 3 no TOC"/>
    <w:basedOn w:val="Heading3"/>
    <w:rsid w:val="00DB21B9"/>
    <w:pPr>
      <w:outlineLvl w:val="9"/>
    </w:pPr>
  </w:style>
  <w:style w:type="paragraph" w:customStyle="1" w:styleId="Style1">
    <w:name w:val="Style1"/>
    <w:basedOn w:val="AppendixAHeading3"/>
    <w:next w:val="AppendixAHeading4"/>
    <w:rsid w:val="00DB21B9"/>
    <w:pPr>
      <w:numPr>
        <w:numId w:val="0"/>
      </w:numPr>
    </w:pPr>
  </w:style>
  <w:style w:type="paragraph" w:customStyle="1" w:styleId="AppendixAHeading3NotItalic">
    <w:name w:val="AppendixAHeading3NotItalic"/>
    <w:basedOn w:val="HeadingBase"/>
    <w:next w:val="AppendixAHeading4"/>
    <w:rsid w:val="00DB21B9"/>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rsid w:val="00DB21B9"/>
  </w:style>
  <w:style w:type="paragraph" w:customStyle="1" w:styleId="CharChar1CharCharCharCharCharCharCharCharCharCharCharCharCharCharCharChar">
    <w:name w:val="Char Char1 Char Char Char Char Char Char Char Char Char Char Char Char Char Char Char Char"/>
    <w:basedOn w:val="Normal"/>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rsid w:val="00DB21B9"/>
    <w:pPr>
      <w:outlineLvl w:val="9"/>
    </w:pPr>
    <w:rPr>
      <w:rFonts w:ascii="Arial" w:hAnsi="Arial"/>
    </w:rPr>
  </w:style>
  <w:style w:type="paragraph" w:customStyle="1" w:styleId="Heading9noTOC">
    <w:name w:val="Heading 9 no TOC"/>
    <w:basedOn w:val="Heading9"/>
    <w:rsid w:val="00DB21B9"/>
    <w:pPr>
      <w:outlineLvl w:val="9"/>
    </w:pPr>
  </w:style>
  <w:style w:type="character" w:styleId="IntenseEmphasis">
    <w:name w:val="Intense Emphasis"/>
    <w:basedOn w:val="DefaultParagraphFont"/>
    <w:uiPriority w:val="21"/>
    <w:qFormat/>
    <w:rsid w:val="00DB21B9"/>
    <w:rPr>
      <w:b/>
      <w:bCs/>
      <w:i/>
      <w:iCs/>
      <w:color w:val="005ABB"/>
    </w:rPr>
  </w:style>
  <w:style w:type="paragraph" w:styleId="IntenseQuote">
    <w:name w:val="Intense Quote"/>
    <w:basedOn w:val="Normal"/>
    <w:next w:val="Normal"/>
    <w:link w:val="IntenseQuoteChar"/>
    <w:uiPriority w:val="30"/>
    <w:qFormat/>
    <w:rsid w:val="00DB21B9"/>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DB21B9"/>
    <w:rPr>
      <w:rFonts w:ascii="Book Antiqua" w:hAnsi="Book Antiqua"/>
      <w:b/>
      <w:bCs/>
      <w:i/>
      <w:iCs/>
      <w:color w:val="005ABB"/>
    </w:rPr>
  </w:style>
  <w:style w:type="paragraph" w:styleId="TOCHeading">
    <w:name w:val="TOC Heading"/>
    <w:basedOn w:val="Heading1"/>
    <w:next w:val="Normal"/>
    <w:uiPriority w:val="39"/>
    <w:semiHidden/>
    <w:unhideWhenUsed/>
    <w:qFormat/>
    <w:rsid w:val="00DB21B9"/>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DB21B9"/>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DB21B9"/>
    <w:rPr>
      <w:rFonts w:asciiTheme="majorHAnsi" w:eastAsiaTheme="majorEastAsia" w:hAnsiTheme="majorHAnsi" w:cstheme="majorBidi"/>
      <w:i/>
      <w:iCs/>
      <w:color w:val="005ABB"/>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00">
      <w:bodyDiv w:val="1"/>
      <w:marLeft w:val="0"/>
      <w:marRight w:val="0"/>
      <w:marTop w:val="0"/>
      <w:marBottom w:val="0"/>
      <w:divBdr>
        <w:top w:val="none" w:sz="0" w:space="0" w:color="auto"/>
        <w:left w:val="none" w:sz="0" w:space="0" w:color="auto"/>
        <w:bottom w:val="none" w:sz="0" w:space="0" w:color="auto"/>
        <w:right w:val="none" w:sz="0" w:space="0" w:color="auto"/>
      </w:divBdr>
    </w:div>
    <w:div w:id="223420559">
      <w:bodyDiv w:val="1"/>
      <w:marLeft w:val="0"/>
      <w:marRight w:val="0"/>
      <w:marTop w:val="0"/>
      <w:marBottom w:val="0"/>
      <w:divBdr>
        <w:top w:val="none" w:sz="0" w:space="0" w:color="auto"/>
        <w:left w:val="none" w:sz="0" w:space="0" w:color="auto"/>
        <w:bottom w:val="none" w:sz="0" w:space="0" w:color="auto"/>
        <w:right w:val="none" w:sz="0" w:space="0" w:color="auto"/>
      </w:divBdr>
    </w:div>
    <w:div w:id="264922822">
      <w:bodyDiv w:val="1"/>
      <w:marLeft w:val="0"/>
      <w:marRight w:val="0"/>
      <w:marTop w:val="0"/>
      <w:marBottom w:val="0"/>
      <w:divBdr>
        <w:top w:val="none" w:sz="0" w:space="0" w:color="auto"/>
        <w:left w:val="none" w:sz="0" w:space="0" w:color="auto"/>
        <w:bottom w:val="none" w:sz="0" w:space="0" w:color="auto"/>
        <w:right w:val="none" w:sz="0" w:space="0" w:color="auto"/>
      </w:divBdr>
    </w:div>
    <w:div w:id="635456774">
      <w:bodyDiv w:val="1"/>
      <w:marLeft w:val="0"/>
      <w:marRight w:val="0"/>
      <w:marTop w:val="0"/>
      <w:marBottom w:val="0"/>
      <w:divBdr>
        <w:top w:val="none" w:sz="0" w:space="0" w:color="auto"/>
        <w:left w:val="none" w:sz="0" w:space="0" w:color="auto"/>
        <w:bottom w:val="none" w:sz="0" w:space="0" w:color="auto"/>
        <w:right w:val="none" w:sz="0" w:space="0" w:color="auto"/>
      </w:divBdr>
    </w:div>
    <w:div w:id="831532439">
      <w:bodyDiv w:val="1"/>
      <w:marLeft w:val="0"/>
      <w:marRight w:val="0"/>
      <w:marTop w:val="0"/>
      <w:marBottom w:val="0"/>
      <w:divBdr>
        <w:top w:val="none" w:sz="0" w:space="0" w:color="auto"/>
        <w:left w:val="none" w:sz="0" w:space="0" w:color="auto"/>
        <w:bottom w:val="none" w:sz="0" w:space="0" w:color="auto"/>
        <w:right w:val="none" w:sz="0" w:space="0" w:color="auto"/>
      </w:divBdr>
      <w:divsChild>
        <w:div w:id="1052388243">
          <w:marLeft w:val="0"/>
          <w:marRight w:val="0"/>
          <w:marTop w:val="0"/>
          <w:marBottom w:val="0"/>
          <w:divBdr>
            <w:top w:val="none" w:sz="0" w:space="0" w:color="auto"/>
            <w:left w:val="none" w:sz="0" w:space="0" w:color="auto"/>
            <w:bottom w:val="none" w:sz="0" w:space="0" w:color="auto"/>
            <w:right w:val="none" w:sz="0" w:space="0" w:color="auto"/>
          </w:divBdr>
        </w:div>
      </w:divsChild>
    </w:div>
    <w:div w:id="893347701">
      <w:bodyDiv w:val="1"/>
      <w:marLeft w:val="0"/>
      <w:marRight w:val="0"/>
      <w:marTop w:val="0"/>
      <w:marBottom w:val="0"/>
      <w:divBdr>
        <w:top w:val="none" w:sz="0" w:space="0" w:color="auto"/>
        <w:left w:val="none" w:sz="0" w:space="0" w:color="auto"/>
        <w:bottom w:val="none" w:sz="0" w:space="0" w:color="auto"/>
        <w:right w:val="none" w:sz="0" w:space="0" w:color="auto"/>
      </w:divBdr>
      <w:divsChild>
        <w:div w:id="604119571">
          <w:marLeft w:val="0"/>
          <w:marRight w:val="0"/>
          <w:marTop w:val="0"/>
          <w:marBottom w:val="0"/>
          <w:divBdr>
            <w:top w:val="none" w:sz="0" w:space="0" w:color="auto"/>
            <w:left w:val="none" w:sz="0" w:space="0" w:color="auto"/>
            <w:bottom w:val="none" w:sz="0" w:space="0" w:color="auto"/>
            <w:right w:val="none" w:sz="0" w:space="0" w:color="auto"/>
          </w:divBdr>
        </w:div>
      </w:divsChild>
    </w:div>
    <w:div w:id="1064984191">
      <w:bodyDiv w:val="1"/>
      <w:marLeft w:val="0"/>
      <w:marRight w:val="0"/>
      <w:marTop w:val="0"/>
      <w:marBottom w:val="0"/>
      <w:divBdr>
        <w:top w:val="none" w:sz="0" w:space="0" w:color="auto"/>
        <w:left w:val="none" w:sz="0" w:space="0" w:color="auto"/>
        <w:bottom w:val="none" w:sz="0" w:space="0" w:color="auto"/>
        <w:right w:val="none" w:sz="0" w:space="0" w:color="auto"/>
      </w:divBdr>
    </w:div>
    <w:div w:id="1106776341">
      <w:bodyDiv w:val="1"/>
      <w:marLeft w:val="0"/>
      <w:marRight w:val="0"/>
      <w:marTop w:val="0"/>
      <w:marBottom w:val="0"/>
      <w:divBdr>
        <w:top w:val="none" w:sz="0" w:space="0" w:color="auto"/>
        <w:left w:val="none" w:sz="0" w:space="0" w:color="auto"/>
        <w:bottom w:val="none" w:sz="0" w:space="0" w:color="auto"/>
        <w:right w:val="none" w:sz="0" w:space="0" w:color="auto"/>
      </w:divBdr>
    </w:div>
    <w:div w:id="1280376913">
      <w:bodyDiv w:val="1"/>
      <w:marLeft w:val="0"/>
      <w:marRight w:val="0"/>
      <w:marTop w:val="0"/>
      <w:marBottom w:val="0"/>
      <w:divBdr>
        <w:top w:val="none" w:sz="0" w:space="0" w:color="auto"/>
        <w:left w:val="none" w:sz="0" w:space="0" w:color="auto"/>
        <w:bottom w:val="none" w:sz="0" w:space="0" w:color="auto"/>
        <w:right w:val="none" w:sz="0" w:space="0" w:color="auto"/>
      </w:divBdr>
      <w:divsChild>
        <w:div w:id="932276523">
          <w:marLeft w:val="0"/>
          <w:marRight w:val="0"/>
          <w:marTop w:val="0"/>
          <w:marBottom w:val="0"/>
          <w:divBdr>
            <w:top w:val="none" w:sz="0" w:space="0" w:color="auto"/>
            <w:left w:val="none" w:sz="0" w:space="0" w:color="auto"/>
            <w:bottom w:val="none" w:sz="0" w:space="0" w:color="auto"/>
            <w:right w:val="none" w:sz="0" w:space="0" w:color="auto"/>
          </w:divBdr>
        </w:div>
      </w:divsChild>
    </w:div>
    <w:div w:id="1534919767">
      <w:bodyDiv w:val="1"/>
      <w:marLeft w:val="0"/>
      <w:marRight w:val="0"/>
      <w:marTop w:val="0"/>
      <w:marBottom w:val="0"/>
      <w:divBdr>
        <w:top w:val="none" w:sz="0" w:space="0" w:color="auto"/>
        <w:left w:val="none" w:sz="0" w:space="0" w:color="auto"/>
        <w:bottom w:val="none" w:sz="0" w:space="0" w:color="auto"/>
        <w:right w:val="none" w:sz="0" w:space="0" w:color="auto"/>
      </w:divBdr>
    </w:div>
    <w:div w:id="1638142907">
      <w:bodyDiv w:val="1"/>
      <w:marLeft w:val="0"/>
      <w:marRight w:val="0"/>
      <w:marTop w:val="0"/>
      <w:marBottom w:val="0"/>
      <w:divBdr>
        <w:top w:val="none" w:sz="0" w:space="0" w:color="auto"/>
        <w:left w:val="none" w:sz="0" w:space="0" w:color="auto"/>
        <w:bottom w:val="none" w:sz="0" w:space="0" w:color="auto"/>
        <w:right w:val="none" w:sz="0" w:space="0" w:color="auto"/>
      </w:divBdr>
    </w:div>
    <w:div w:id="1694379985">
      <w:bodyDiv w:val="1"/>
      <w:marLeft w:val="0"/>
      <w:marRight w:val="0"/>
      <w:marTop w:val="0"/>
      <w:marBottom w:val="0"/>
      <w:divBdr>
        <w:top w:val="none" w:sz="0" w:space="0" w:color="auto"/>
        <w:left w:val="none" w:sz="0" w:space="0" w:color="auto"/>
        <w:bottom w:val="none" w:sz="0" w:space="0" w:color="auto"/>
        <w:right w:val="none" w:sz="0" w:space="0" w:color="auto"/>
      </w:divBdr>
      <w:divsChild>
        <w:div w:id="272709622">
          <w:marLeft w:val="0"/>
          <w:marRight w:val="0"/>
          <w:marTop w:val="0"/>
          <w:marBottom w:val="0"/>
          <w:divBdr>
            <w:top w:val="none" w:sz="0" w:space="0" w:color="auto"/>
            <w:left w:val="none" w:sz="0" w:space="0" w:color="auto"/>
            <w:bottom w:val="none" w:sz="0" w:space="0" w:color="auto"/>
            <w:right w:val="none" w:sz="0" w:space="0" w:color="auto"/>
          </w:divBdr>
        </w:div>
      </w:divsChild>
    </w:div>
    <w:div w:id="1884437970">
      <w:bodyDiv w:val="1"/>
      <w:marLeft w:val="0"/>
      <w:marRight w:val="0"/>
      <w:marTop w:val="0"/>
      <w:marBottom w:val="0"/>
      <w:divBdr>
        <w:top w:val="none" w:sz="0" w:space="0" w:color="auto"/>
        <w:left w:val="none" w:sz="0" w:space="0" w:color="auto"/>
        <w:bottom w:val="none" w:sz="0" w:space="0" w:color="auto"/>
        <w:right w:val="none" w:sz="0" w:space="0" w:color="auto"/>
      </w:divBdr>
    </w:div>
    <w:div w:id="2023164522">
      <w:bodyDiv w:val="1"/>
      <w:marLeft w:val="0"/>
      <w:marRight w:val="0"/>
      <w:marTop w:val="0"/>
      <w:marBottom w:val="0"/>
      <w:divBdr>
        <w:top w:val="none" w:sz="0" w:space="0" w:color="auto"/>
        <w:left w:val="none" w:sz="0" w:space="0" w:color="auto"/>
        <w:bottom w:val="none" w:sz="0" w:space="0" w:color="auto"/>
        <w:right w:val="none" w:sz="0" w:space="0" w:color="auto"/>
      </w:divBdr>
    </w:div>
    <w:div w:id="20492597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file:///\\romulus\mg$\FIR_BR\Divisional%20Administration\Annual%20reports%20-%20FIRB%20&amp;%20Treasury\FIRB%20Annual%20Report\2009-10%20Annual%20Report\Tables%20and%20Charts\2009-10%20Table%204.1.xlsx!Sheet1!R2C1:R26C6"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file:///\\romulus\mg$\FIR_BR\Divisional%20Administration\Annual%20reports%20-%20FIRB%20&amp;%20Treasury\FIRB%20Annual%20Report\2009-10%20Annual%20Report\Tables%20and%20Charts\2009-10%20Chart%204.1.xlsx!Sheet1!%5b2009-10%20Chart%204.1.xlsx%5dSheet1%20Chart%2010" TargetMode="External"/><Relationship Id="rId10" Type="http://schemas.openxmlformats.org/officeDocument/2006/relationships/header" Target="header2.xml"/><Relationship Id="rId19" Type="http://schemas.openxmlformats.org/officeDocument/2006/relationships/oleObject" Target="file:///\\romulus\mg$\FIR_BR\Divisional%20Administration\Annual%20reports%20-%20FIRB%20&amp;%20Treasury\FIRB%20Annual%20Report\2009-10%20Annual%20Report\Tables%20and%20Charts\2009-10%20Chart%204.2.xlsx!Sheet1!%5b2009-10%20Chart%204.2.xlsx%5dSheet1%20Chart%20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FIRB%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345C-2E5F-4A8F-9D71-EF810307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Annual Report.dotm</Template>
  <TotalTime>0</TotalTime>
  <Pages>8</Pages>
  <Words>1528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Chapter 4</vt:lpstr>
    </vt:vector>
  </TitlesOfParts>
  <Company>The Treasury</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Lani McMahon - 3254</dc:creator>
  <cp:lastModifiedBy>Keogh, Vicky</cp:lastModifiedBy>
  <cp:revision>2</cp:revision>
  <cp:lastPrinted>2011-03-20T23:48:00Z</cp:lastPrinted>
  <dcterms:created xsi:type="dcterms:W3CDTF">2016-01-18T00:05:00Z</dcterms:created>
  <dcterms:modified xsi:type="dcterms:W3CDTF">2016-01-18T00:05:00Z</dcterms:modified>
</cp:coreProperties>
</file>