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D1" w:rsidRPr="00B0254C" w:rsidRDefault="00BC220C" w:rsidP="0095770A">
      <w:pPr>
        <w:pStyle w:val="Heading1"/>
      </w:pPr>
      <w:bookmarkStart w:id="0" w:name="_GoBack"/>
      <w:bookmarkEnd w:id="0"/>
      <w:r w:rsidRPr="00B0254C">
        <w:t>Glossary</w:t>
      </w:r>
    </w:p>
    <w:tbl>
      <w:tblPr>
        <w:tblW w:w="0" w:type="auto"/>
        <w:tblInd w:w="108" w:type="dxa"/>
        <w:tblLook w:val="01E0" w:firstRow="1" w:lastRow="1" w:firstColumn="1" w:lastColumn="1" w:noHBand="0" w:noVBand="0"/>
      </w:tblPr>
      <w:tblGrid>
        <w:gridCol w:w="2478"/>
        <w:gridCol w:w="472"/>
        <w:gridCol w:w="4790"/>
      </w:tblGrid>
      <w:tr w:rsidR="00BC220C" w:rsidTr="00C16C56">
        <w:trPr>
          <w:cantSplit/>
        </w:trPr>
        <w:tc>
          <w:tcPr>
            <w:tcW w:w="2478" w:type="dxa"/>
          </w:tcPr>
          <w:p w:rsidR="00BC220C" w:rsidRDefault="004E071E" w:rsidP="00C16C56">
            <w:pPr>
              <w:spacing w:before="120" w:after="120"/>
              <w:jc w:val="left"/>
            </w:pPr>
            <w:r>
              <w:t>A</w:t>
            </w:r>
            <w:r w:rsidRPr="00AA2818">
              <w:t xml:space="preserve">ggregate </w:t>
            </w:r>
            <w:r w:rsidR="00BC220C" w:rsidRPr="00AA2818">
              <w:t>substantial interest</w:t>
            </w:r>
            <w:r w:rsidR="00862EEB">
              <w:t xml:space="preserve"> in a corporation</w:t>
            </w:r>
          </w:p>
        </w:tc>
        <w:tc>
          <w:tcPr>
            <w:tcW w:w="5262" w:type="dxa"/>
            <w:gridSpan w:val="2"/>
          </w:tcPr>
          <w:p w:rsidR="00BC220C" w:rsidRDefault="004E071E" w:rsidP="00C16C56">
            <w:pPr>
              <w:spacing w:before="120" w:after="120"/>
            </w:pPr>
            <w:r>
              <w:t>W</w:t>
            </w:r>
            <w:r w:rsidRPr="00AA2818">
              <w:t xml:space="preserve">here </w:t>
            </w:r>
            <w:r w:rsidR="00BC220C" w:rsidRPr="00AA2818">
              <w:t>two or more persons</w:t>
            </w:r>
            <w:r w:rsidR="004C51F9">
              <w:t>,</w:t>
            </w:r>
            <w:r w:rsidR="00BC220C" w:rsidRPr="00AA2818">
              <w:t xml:space="preserve"> together with any associate(s), </w:t>
            </w:r>
            <w:r w:rsidR="00CA7BF7">
              <w:t>are in</w:t>
            </w:r>
            <w:r w:rsidR="00BC220C" w:rsidRPr="00AA2818">
              <w:t xml:space="preserve"> a position to control not less than </w:t>
            </w:r>
            <w:r w:rsidR="00BC220C">
              <w:t>40</w:t>
            </w:r>
            <w:r w:rsidR="00BC220C" w:rsidRPr="00AA2818">
              <w:t> per cent of the voting power</w:t>
            </w:r>
            <w:r w:rsidR="004C51F9">
              <w:t>,</w:t>
            </w:r>
            <w:r w:rsidR="00BC220C" w:rsidRPr="00AA2818">
              <w:t xml:space="preserve"> or hold interests in not less than </w:t>
            </w:r>
            <w:r w:rsidR="00BC220C">
              <w:t>40</w:t>
            </w:r>
            <w:r w:rsidR="00BC220C" w:rsidRPr="00AA2818">
              <w:t> per</w:t>
            </w:r>
            <w:r w:rsidR="005C5704">
              <w:t> </w:t>
            </w:r>
            <w:r w:rsidR="00BC220C" w:rsidRPr="00AA2818">
              <w:t>cent of the issued shares, of a corpor</w:t>
            </w:r>
            <w:r w:rsidR="00BC220C">
              <w:t>ation</w:t>
            </w:r>
            <w:r w:rsidR="00AC2895">
              <w:t xml:space="preserve"> (section </w:t>
            </w:r>
            <w:r w:rsidR="00862EEB">
              <w:t xml:space="preserve">9 </w:t>
            </w:r>
            <w:r w:rsidR="00AC2895">
              <w:t>of the FATA).</w:t>
            </w:r>
          </w:p>
        </w:tc>
      </w:tr>
      <w:tr w:rsidR="00A60A0B" w:rsidTr="00C16C56">
        <w:trPr>
          <w:cantSplit/>
        </w:trPr>
        <w:tc>
          <w:tcPr>
            <w:tcW w:w="2478" w:type="dxa"/>
          </w:tcPr>
          <w:p w:rsidR="00A60A0B" w:rsidRDefault="00A60A0B" w:rsidP="00C16C56">
            <w:pPr>
              <w:spacing w:after="120"/>
              <w:jc w:val="left"/>
            </w:pPr>
            <w:r>
              <w:t>Applications approved (/approvals)</w:t>
            </w:r>
          </w:p>
        </w:tc>
        <w:tc>
          <w:tcPr>
            <w:tcW w:w="5262" w:type="dxa"/>
            <w:gridSpan w:val="2"/>
          </w:tcPr>
          <w:p w:rsidR="00A60A0B" w:rsidRDefault="00A60A0B" w:rsidP="00C16C56">
            <w:pPr>
              <w:spacing w:after="120"/>
            </w:pPr>
            <w:r>
              <w:t>Comprise all foreign investment proposals approved either with or without conditions.</w:t>
            </w:r>
          </w:p>
        </w:tc>
      </w:tr>
      <w:tr w:rsidR="00BC220C" w:rsidTr="00C16C56">
        <w:trPr>
          <w:cantSplit/>
        </w:trPr>
        <w:tc>
          <w:tcPr>
            <w:tcW w:w="2478" w:type="dxa"/>
          </w:tcPr>
          <w:p w:rsidR="00BC220C" w:rsidRDefault="004E071E" w:rsidP="00C16C56">
            <w:pPr>
              <w:spacing w:after="120"/>
              <w:jc w:val="left"/>
            </w:pPr>
            <w:r>
              <w:t xml:space="preserve">Applications </w:t>
            </w:r>
            <w:r w:rsidR="00BC220C">
              <w:t>considered</w:t>
            </w:r>
          </w:p>
        </w:tc>
        <w:tc>
          <w:tcPr>
            <w:tcW w:w="5262" w:type="dxa"/>
            <w:gridSpan w:val="2"/>
          </w:tcPr>
          <w:p w:rsidR="00BC220C" w:rsidRDefault="00CA7BF7" w:rsidP="00C16C56">
            <w:pPr>
              <w:spacing w:after="120"/>
            </w:pPr>
            <w:r>
              <w:t>Comprise</w:t>
            </w:r>
            <w:r w:rsidR="004E071E">
              <w:t xml:space="preserve"> </w:t>
            </w:r>
            <w:r w:rsidR="00BC220C">
              <w:t>all foreign investment proposals finalised (that is, approved, rejected, withdrawn or exempt)</w:t>
            </w:r>
            <w:r w:rsidR="00AC2895">
              <w:t>.</w:t>
            </w:r>
          </w:p>
        </w:tc>
      </w:tr>
      <w:tr w:rsidR="00BC220C" w:rsidTr="00C16C56">
        <w:trPr>
          <w:cantSplit/>
        </w:trPr>
        <w:tc>
          <w:tcPr>
            <w:tcW w:w="2478" w:type="dxa"/>
          </w:tcPr>
          <w:p w:rsidR="00BC220C" w:rsidRDefault="004E071E" w:rsidP="00C16C56">
            <w:pPr>
              <w:spacing w:after="120"/>
              <w:jc w:val="left"/>
            </w:pPr>
            <w:r>
              <w:t>A</w:t>
            </w:r>
            <w:r w:rsidR="00BC220C">
              <w:t>pplications decided</w:t>
            </w:r>
          </w:p>
        </w:tc>
        <w:tc>
          <w:tcPr>
            <w:tcW w:w="5262" w:type="dxa"/>
            <w:gridSpan w:val="2"/>
          </w:tcPr>
          <w:p w:rsidR="00BC220C" w:rsidRDefault="00CA7BF7" w:rsidP="00C16C56">
            <w:pPr>
              <w:spacing w:after="120"/>
            </w:pPr>
            <w:r>
              <w:t>Comprise</w:t>
            </w:r>
            <w:r w:rsidR="00BC220C">
              <w:t xml:space="preserve"> all foreign investment proposals approved or rejected (that is, excluding proposals withdrawn or determined exempt)</w:t>
            </w:r>
            <w:r w:rsidR="00AC2895">
              <w:t>.</w:t>
            </w:r>
          </w:p>
        </w:tc>
      </w:tr>
      <w:tr w:rsidR="00BC220C" w:rsidTr="00C16C56">
        <w:trPr>
          <w:cantSplit/>
        </w:trPr>
        <w:tc>
          <w:tcPr>
            <w:tcW w:w="2478" w:type="dxa"/>
          </w:tcPr>
          <w:p w:rsidR="00BC220C" w:rsidRDefault="004E071E" w:rsidP="00C16C56">
            <w:pPr>
              <w:spacing w:after="120"/>
              <w:jc w:val="left"/>
            </w:pPr>
            <w:r>
              <w:t>A</w:t>
            </w:r>
            <w:r w:rsidR="00BC220C">
              <w:t>pplications rejected</w:t>
            </w:r>
          </w:p>
        </w:tc>
        <w:tc>
          <w:tcPr>
            <w:tcW w:w="5262" w:type="dxa"/>
            <w:gridSpan w:val="2"/>
          </w:tcPr>
          <w:p w:rsidR="00BC220C" w:rsidRDefault="007F252C" w:rsidP="00C16C56">
            <w:pPr>
              <w:spacing w:after="120"/>
            </w:pPr>
            <w:r>
              <w:t>Comprise</w:t>
            </w:r>
            <w:r w:rsidR="00BC220C">
              <w:t xml:space="preserve"> all foreign</w:t>
            </w:r>
            <w:r w:rsidR="00A60A0B">
              <w:t xml:space="preserve"> investment proposals </w:t>
            </w:r>
            <w:r w:rsidR="00690E66">
              <w:t xml:space="preserve">that are either </w:t>
            </w:r>
            <w:r w:rsidR="000235C4">
              <w:t xml:space="preserve">rejected under the policy or subject to a Final Order </w:t>
            </w:r>
            <w:r w:rsidR="0095770A">
              <w:t xml:space="preserve">or a </w:t>
            </w:r>
            <w:r w:rsidR="0095770A" w:rsidRPr="00C16C56">
              <w:rPr>
                <w:rStyle w:val="Normalitalics"/>
                <w:i w:val="0"/>
              </w:rPr>
              <w:t>Divestiture Order</w:t>
            </w:r>
            <w:r w:rsidR="0095770A">
              <w:t xml:space="preserve"> </w:t>
            </w:r>
            <w:r w:rsidR="000235C4">
              <w:t>under the FATA</w:t>
            </w:r>
            <w:r w:rsidR="00AC2895">
              <w:t>.</w:t>
            </w:r>
          </w:p>
        </w:tc>
      </w:tr>
      <w:tr w:rsidR="003024FF" w:rsidTr="00C16C56">
        <w:trPr>
          <w:cantSplit/>
        </w:trPr>
        <w:tc>
          <w:tcPr>
            <w:tcW w:w="2478" w:type="dxa"/>
          </w:tcPr>
          <w:p w:rsidR="003024FF" w:rsidRDefault="003024FF" w:rsidP="00C16C56">
            <w:pPr>
              <w:spacing w:after="120"/>
              <w:jc w:val="left"/>
            </w:pPr>
            <w:r>
              <w:t>Australian rural land</w:t>
            </w:r>
          </w:p>
        </w:tc>
        <w:tc>
          <w:tcPr>
            <w:tcW w:w="5262" w:type="dxa"/>
            <w:gridSpan w:val="2"/>
          </w:tcPr>
          <w:p w:rsidR="003024FF" w:rsidRDefault="00C73ED0" w:rsidP="00C16C56">
            <w:pPr>
              <w:spacing w:after="120"/>
            </w:pPr>
            <w:r>
              <w:t>Refers to land that is used wholly and exclusively for carrying on a primary production business.</w:t>
            </w:r>
          </w:p>
        </w:tc>
      </w:tr>
      <w:tr w:rsidR="003024FF" w:rsidTr="00C16C56">
        <w:trPr>
          <w:cantSplit/>
        </w:trPr>
        <w:tc>
          <w:tcPr>
            <w:tcW w:w="2478" w:type="dxa"/>
          </w:tcPr>
          <w:p w:rsidR="003024FF" w:rsidRDefault="003024FF" w:rsidP="00C16C56">
            <w:pPr>
              <w:spacing w:after="120"/>
              <w:jc w:val="left"/>
            </w:pPr>
            <w:r>
              <w:t>Australian urban land</w:t>
            </w:r>
          </w:p>
        </w:tc>
        <w:tc>
          <w:tcPr>
            <w:tcW w:w="5262" w:type="dxa"/>
            <w:gridSpan w:val="2"/>
          </w:tcPr>
          <w:p w:rsidR="003024FF" w:rsidRDefault="00C73ED0" w:rsidP="00C16C56">
            <w:pPr>
              <w:spacing w:after="120"/>
            </w:pPr>
            <w:r>
              <w:t>Refers to all other land in Australia that is not Australian rural land.</w:t>
            </w:r>
          </w:p>
        </w:tc>
      </w:tr>
      <w:tr w:rsidR="00DA0082" w:rsidTr="00C16C56">
        <w:trPr>
          <w:cantSplit/>
        </w:trPr>
        <w:tc>
          <w:tcPr>
            <w:tcW w:w="2478" w:type="dxa"/>
          </w:tcPr>
          <w:p w:rsidR="00DA0082" w:rsidRDefault="00DA0082" w:rsidP="00C16C56">
            <w:pPr>
              <w:spacing w:after="120"/>
              <w:jc w:val="left"/>
            </w:pPr>
            <w:r>
              <w:t>Australian urban land corporations and trust estates</w:t>
            </w:r>
          </w:p>
        </w:tc>
        <w:tc>
          <w:tcPr>
            <w:tcW w:w="5262" w:type="dxa"/>
            <w:gridSpan w:val="2"/>
          </w:tcPr>
          <w:p w:rsidR="00DA0082" w:rsidRDefault="00DA0082" w:rsidP="00C16C56">
            <w:pPr>
              <w:spacing w:after="120"/>
            </w:pPr>
            <w:r>
              <w:t>A corporation (excluding holding companies) or trust estate where more than half of its assets are in the form of Australian urban land (section 13D of the FATA).</w:t>
            </w:r>
          </w:p>
        </w:tc>
      </w:tr>
      <w:tr w:rsidR="005C5704" w:rsidTr="00C16C56">
        <w:trPr>
          <w:cantSplit/>
        </w:trPr>
        <w:tc>
          <w:tcPr>
            <w:tcW w:w="2478" w:type="dxa"/>
          </w:tcPr>
          <w:p w:rsidR="005C5704" w:rsidRDefault="005C5704" w:rsidP="00C16C56">
            <w:pPr>
              <w:spacing w:after="120"/>
              <w:jc w:val="left"/>
            </w:pPr>
            <w:r>
              <w:t>Corporate reorganisations</w:t>
            </w:r>
          </w:p>
        </w:tc>
        <w:tc>
          <w:tcPr>
            <w:tcW w:w="5262" w:type="dxa"/>
            <w:gridSpan w:val="2"/>
          </w:tcPr>
          <w:p w:rsidR="005C5704" w:rsidRDefault="005C5704" w:rsidP="00C16C56">
            <w:pPr>
              <w:spacing w:after="120"/>
            </w:pPr>
            <w:r>
              <w:t xml:space="preserve">Corporate reorganisations encompass a wide range of transactions including corporate restructures and transfers of assets or shares within a </w:t>
            </w:r>
            <w:r w:rsidR="00D252C5">
              <w:t xml:space="preserve">corporate </w:t>
            </w:r>
            <w:r>
              <w:t>group.</w:t>
            </w:r>
          </w:p>
        </w:tc>
      </w:tr>
      <w:tr w:rsidR="00DA0082" w:rsidTr="00C16C56">
        <w:trPr>
          <w:cantSplit/>
        </w:trPr>
        <w:tc>
          <w:tcPr>
            <w:tcW w:w="2478" w:type="dxa"/>
          </w:tcPr>
          <w:p w:rsidR="00DA0082" w:rsidRDefault="00DA0082" w:rsidP="00C16C56">
            <w:pPr>
              <w:spacing w:after="120"/>
              <w:jc w:val="left"/>
            </w:pPr>
            <w:r>
              <w:t>D</w:t>
            </w:r>
            <w:r w:rsidRPr="00F9357C">
              <w:t xml:space="preserve">ivestiture </w:t>
            </w:r>
            <w:r w:rsidR="00C7585A">
              <w:t>Order</w:t>
            </w:r>
          </w:p>
        </w:tc>
        <w:tc>
          <w:tcPr>
            <w:tcW w:w="5262" w:type="dxa"/>
            <w:gridSpan w:val="2"/>
          </w:tcPr>
          <w:p w:rsidR="00DA0082" w:rsidRPr="002867B7" w:rsidRDefault="00DA0082" w:rsidP="00C16C56">
            <w:pPr>
              <w:spacing w:after="120"/>
            </w:pPr>
            <w:r>
              <w:t xml:space="preserve">An </w:t>
            </w:r>
            <w:r w:rsidR="000235C4">
              <w:t>O</w:t>
            </w:r>
            <w:r>
              <w:t>rder that requires an interest already acquired to be disposed of.</w:t>
            </w:r>
          </w:p>
        </w:tc>
      </w:tr>
      <w:tr w:rsidR="00DA0082" w:rsidTr="00C16C56">
        <w:trPr>
          <w:cantSplit/>
        </w:trPr>
        <w:tc>
          <w:tcPr>
            <w:tcW w:w="2478" w:type="dxa"/>
          </w:tcPr>
          <w:p w:rsidR="00DA0082" w:rsidRDefault="00DA0082" w:rsidP="00C16C56">
            <w:pPr>
              <w:spacing w:after="120"/>
              <w:jc w:val="left"/>
            </w:pPr>
            <w:r>
              <w:t>FIMS</w:t>
            </w:r>
          </w:p>
        </w:tc>
        <w:tc>
          <w:tcPr>
            <w:tcW w:w="5262" w:type="dxa"/>
            <w:gridSpan w:val="2"/>
          </w:tcPr>
          <w:p w:rsidR="00DA0082" w:rsidRDefault="00DA0082" w:rsidP="00C16C56">
            <w:pPr>
              <w:spacing w:after="120"/>
            </w:pPr>
            <w:r>
              <w:t xml:space="preserve">The Foreign Investment Management System is the </w:t>
            </w:r>
            <w:r w:rsidR="008F3CBF">
              <w:t>D</w:t>
            </w:r>
            <w:r>
              <w:t xml:space="preserve">ivision’s </w:t>
            </w:r>
            <w:r w:rsidR="00D252C5">
              <w:t xml:space="preserve">electronic </w:t>
            </w:r>
            <w:r>
              <w:t>case management system.</w:t>
            </w:r>
          </w:p>
        </w:tc>
      </w:tr>
      <w:tr w:rsidR="003024FF" w:rsidTr="00C16C56">
        <w:trPr>
          <w:cantSplit/>
        </w:trPr>
        <w:tc>
          <w:tcPr>
            <w:tcW w:w="2478" w:type="dxa"/>
          </w:tcPr>
          <w:p w:rsidR="003024FF" w:rsidRDefault="003024FF" w:rsidP="00C16C56">
            <w:pPr>
              <w:spacing w:after="120"/>
              <w:jc w:val="left"/>
            </w:pPr>
            <w:r>
              <w:t>F</w:t>
            </w:r>
            <w:r w:rsidRPr="00F9357C">
              <w:t xml:space="preserve">inal </w:t>
            </w:r>
            <w:r>
              <w:t>Order</w:t>
            </w:r>
          </w:p>
        </w:tc>
        <w:tc>
          <w:tcPr>
            <w:tcW w:w="5262" w:type="dxa"/>
            <w:gridSpan w:val="2"/>
          </w:tcPr>
          <w:p w:rsidR="003024FF" w:rsidRPr="002867B7" w:rsidRDefault="003024FF" w:rsidP="00C16C56">
            <w:pPr>
              <w:spacing w:after="120"/>
            </w:pPr>
            <w:r>
              <w:t>An Order that prohibits a proposed acquisition.</w:t>
            </w:r>
          </w:p>
        </w:tc>
      </w:tr>
      <w:tr w:rsidR="00BB7F93" w:rsidRPr="00AD7E16" w:rsidTr="00C16C56">
        <w:trPr>
          <w:cantSplit/>
        </w:trPr>
        <w:tc>
          <w:tcPr>
            <w:tcW w:w="2478" w:type="dxa"/>
          </w:tcPr>
          <w:p w:rsidR="00BB7F93" w:rsidRPr="00AD7E16" w:rsidRDefault="00BB7F93" w:rsidP="00C16C56">
            <w:pPr>
              <w:spacing w:after="120"/>
              <w:jc w:val="left"/>
            </w:pPr>
            <w:r w:rsidRPr="00AD7E16">
              <w:lastRenderedPageBreak/>
              <w:t>Foreign Direct Investment / FDI</w:t>
            </w:r>
          </w:p>
        </w:tc>
        <w:tc>
          <w:tcPr>
            <w:tcW w:w="5262" w:type="dxa"/>
            <w:gridSpan w:val="2"/>
          </w:tcPr>
          <w:p w:rsidR="00BB7F93" w:rsidRPr="00AD7E16" w:rsidRDefault="00EC6C51" w:rsidP="00C16C56">
            <w:pPr>
              <w:spacing w:after="120"/>
              <w:jc w:val="left"/>
            </w:pPr>
            <w:r w:rsidRPr="00AD7E16">
              <w:t xml:space="preserve">A direct investment has </w:t>
            </w:r>
            <w:r w:rsidR="00BB7F93" w:rsidRPr="00AD7E16">
              <w:t xml:space="preserve">the objective of </w:t>
            </w:r>
            <w:r w:rsidR="001E37D6" w:rsidRPr="00AD7E16">
              <w:t>establishing</w:t>
            </w:r>
            <w:r w:rsidR="00BB7F93" w:rsidRPr="00AD7E16">
              <w:t xml:space="preserve"> a lasting interest</w:t>
            </w:r>
            <w:r w:rsidR="001E37D6" w:rsidRPr="00AD7E16">
              <w:t xml:space="preserve"> in, and a strategic long</w:t>
            </w:r>
            <w:r w:rsidR="00523F78">
              <w:noBreakHyphen/>
            </w:r>
            <w:r w:rsidR="001E37D6" w:rsidRPr="00AD7E16">
              <w:t>term relationship with</w:t>
            </w:r>
            <w:r w:rsidRPr="00AD7E16">
              <w:t>,</w:t>
            </w:r>
            <w:r w:rsidR="00BB7F93" w:rsidRPr="00AD7E16">
              <w:t xml:space="preserve"> </w:t>
            </w:r>
            <w:r w:rsidRPr="00AD7E16">
              <w:t xml:space="preserve">the target </w:t>
            </w:r>
            <w:r w:rsidR="001E37D6" w:rsidRPr="00AD7E16">
              <w:t>company</w:t>
            </w:r>
            <w:r w:rsidR="00BB7F93" w:rsidRPr="00AD7E16">
              <w:t xml:space="preserve">. </w:t>
            </w:r>
            <w:r w:rsidR="00B20227" w:rsidRPr="00AD7E16">
              <w:t xml:space="preserve">It </w:t>
            </w:r>
            <w:r w:rsidR="001E37D6" w:rsidRPr="00AD7E16">
              <w:t>may include a</w:t>
            </w:r>
            <w:r w:rsidR="00BB7F93" w:rsidRPr="00AD7E16">
              <w:t xml:space="preserve"> </w:t>
            </w:r>
            <w:r w:rsidR="00B20227" w:rsidRPr="00AD7E16">
              <w:t xml:space="preserve">significant </w:t>
            </w:r>
            <w:r w:rsidR="00BB7F93" w:rsidRPr="00AD7E16">
              <w:t xml:space="preserve">degree of influence </w:t>
            </w:r>
            <w:r w:rsidR="00B20227" w:rsidRPr="00AD7E16">
              <w:t xml:space="preserve">by the investor </w:t>
            </w:r>
            <w:r w:rsidR="00845FF9" w:rsidRPr="00AD7E16">
              <w:t>in the</w:t>
            </w:r>
            <w:r w:rsidR="00BB7F93" w:rsidRPr="00AD7E16">
              <w:t xml:space="preserve"> management of the </w:t>
            </w:r>
            <w:r w:rsidR="00B20227" w:rsidRPr="00AD7E16">
              <w:t>target company</w:t>
            </w:r>
            <w:r w:rsidR="00BB7F93" w:rsidRPr="00AD7E16">
              <w:t xml:space="preserve">. </w:t>
            </w:r>
            <w:r w:rsidR="003E1522">
              <w:t xml:space="preserve">It is international practice to define a direct investment as </w:t>
            </w:r>
            <w:r w:rsidR="008A597A">
              <w:t xml:space="preserve">acquiring an interest of </w:t>
            </w:r>
            <w:r w:rsidR="003E1522">
              <w:t>10 per cent or more for statistical purposes.</w:t>
            </w:r>
            <w:r w:rsidR="00B53A4F">
              <w:t xml:space="preserve"> Interests below 10 per </w:t>
            </w:r>
            <w:r w:rsidR="008A597A">
              <w:t>cent may also be direct investments if the investor can use those investments to influence or control the company.</w:t>
            </w:r>
          </w:p>
        </w:tc>
      </w:tr>
      <w:tr w:rsidR="00DA0082" w:rsidTr="00C16C56">
        <w:trPr>
          <w:cantSplit/>
        </w:trPr>
        <w:tc>
          <w:tcPr>
            <w:tcW w:w="2478" w:type="dxa"/>
          </w:tcPr>
          <w:p w:rsidR="00DA0082" w:rsidRDefault="00DA0082" w:rsidP="00C16C56">
            <w:pPr>
              <w:spacing w:after="120"/>
              <w:jc w:val="left"/>
            </w:pPr>
            <w:r w:rsidRPr="00103F26">
              <w:t>F</w:t>
            </w:r>
            <w:r>
              <w:t>oreign Investment Review Board (FIRB or</w:t>
            </w:r>
            <w:r w:rsidR="006B1AB9">
              <w:t xml:space="preserve"> </w:t>
            </w:r>
            <w:r w:rsidRPr="00103F26">
              <w:t>the Board)</w:t>
            </w:r>
          </w:p>
        </w:tc>
        <w:tc>
          <w:tcPr>
            <w:tcW w:w="5262" w:type="dxa"/>
            <w:gridSpan w:val="2"/>
          </w:tcPr>
          <w:p w:rsidR="00DA0082" w:rsidRDefault="00DA0082" w:rsidP="00C16C56">
            <w:pPr>
              <w:spacing w:after="120"/>
              <w:jc w:val="left"/>
            </w:pPr>
            <w:r>
              <w:t>A non</w:t>
            </w:r>
            <w:r w:rsidR="00523F78">
              <w:noBreakHyphen/>
            </w:r>
            <w:r>
              <w:t>statutory body established in 1976 to advise the Treasurer on foreign investment policy and its administration.</w:t>
            </w:r>
          </w:p>
        </w:tc>
      </w:tr>
      <w:tr w:rsidR="00CA7BF7" w:rsidTr="00C16C56">
        <w:trPr>
          <w:cantSplit/>
          <w:trHeight w:val="205"/>
        </w:trPr>
        <w:tc>
          <w:tcPr>
            <w:tcW w:w="2478" w:type="dxa"/>
            <w:vMerge w:val="restart"/>
          </w:tcPr>
          <w:p w:rsidR="00CA7BF7" w:rsidRDefault="00CA7BF7" w:rsidP="00C16C56">
            <w:pPr>
              <w:spacing w:after="120"/>
              <w:jc w:val="left"/>
            </w:pPr>
            <w:r>
              <w:t>Foreign person</w:t>
            </w:r>
          </w:p>
        </w:tc>
        <w:tc>
          <w:tcPr>
            <w:tcW w:w="472" w:type="dxa"/>
          </w:tcPr>
          <w:p w:rsidR="00CA7BF7" w:rsidRDefault="00CA7BF7" w:rsidP="00C16C56">
            <w:pPr>
              <w:pStyle w:val="paragraph"/>
              <w:tabs>
                <w:tab w:val="clear" w:pos="1531"/>
                <w:tab w:val="right" w:pos="432"/>
                <w:tab w:val="left" w:pos="612"/>
              </w:tabs>
              <w:ind w:left="612" w:hanging="612"/>
              <w:jc w:val="left"/>
            </w:pPr>
            <w:r>
              <w:t>(a)</w:t>
            </w:r>
          </w:p>
        </w:tc>
        <w:tc>
          <w:tcPr>
            <w:tcW w:w="4790" w:type="dxa"/>
            <w:shd w:val="clear" w:color="auto" w:fill="auto"/>
          </w:tcPr>
          <w:p w:rsidR="00CA7BF7" w:rsidRDefault="005C5704" w:rsidP="00C16C56">
            <w:pPr>
              <w:pStyle w:val="paragraph"/>
              <w:tabs>
                <w:tab w:val="clear" w:pos="1531"/>
                <w:tab w:val="right" w:pos="432"/>
                <w:tab w:val="left" w:pos="612"/>
              </w:tabs>
              <w:ind w:left="0" w:firstLine="0"/>
              <w:jc w:val="left"/>
            </w:pPr>
            <w:r>
              <w:t>A</w:t>
            </w:r>
            <w:r w:rsidR="00CA7BF7">
              <w:t xml:space="preserve"> natural pe</w:t>
            </w:r>
            <w:r w:rsidR="00A42A82">
              <w:t xml:space="preserve">rson not ordinarily resident in </w:t>
            </w:r>
            <w:r w:rsidR="00CA7BF7">
              <w:t>Australia;</w:t>
            </w:r>
          </w:p>
        </w:tc>
      </w:tr>
      <w:tr w:rsidR="00CA7BF7" w:rsidTr="00C16C56">
        <w:trPr>
          <w:cantSplit/>
          <w:trHeight w:val="797"/>
        </w:trPr>
        <w:tc>
          <w:tcPr>
            <w:tcW w:w="2478" w:type="dxa"/>
            <w:vMerge/>
          </w:tcPr>
          <w:p w:rsidR="00CA7BF7" w:rsidRDefault="00CA7BF7" w:rsidP="00C16C56">
            <w:pPr>
              <w:spacing w:after="120"/>
              <w:jc w:val="left"/>
            </w:pPr>
          </w:p>
        </w:tc>
        <w:tc>
          <w:tcPr>
            <w:tcW w:w="472" w:type="dxa"/>
          </w:tcPr>
          <w:p w:rsidR="00CA7BF7" w:rsidRDefault="00CA7BF7" w:rsidP="00C16C56">
            <w:pPr>
              <w:pStyle w:val="paragraph"/>
              <w:tabs>
                <w:tab w:val="clear" w:pos="1531"/>
                <w:tab w:val="right" w:pos="432"/>
                <w:tab w:val="left" w:pos="612"/>
              </w:tabs>
              <w:ind w:left="612" w:hanging="612"/>
              <w:jc w:val="left"/>
            </w:pPr>
            <w:r>
              <w:t>(b)</w:t>
            </w:r>
          </w:p>
        </w:tc>
        <w:tc>
          <w:tcPr>
            <w:tcW w:w="4790" w:type="dxa"/>
            <w:shd w:val="clear" w:color="auto" w:fill="auto"/>
          </w:tcPr>
          <w:p w:rsidR="00CA7BF7" w:rsidRDefault="00CA7BF7" w:rsidP="00C16C56">
            <w:pPr>
              <w:pStyle w:val="paragraph"/>
              <w:tabs>
                <w:tab w:val="clear" w:pos="1531"/>
                <w:tab w:val="right" w:pos="432"/>
                <w:tab w:val="left" w:pos="612"/>
              </w:tabs>
              <w:ind w:left="0" w:firstLine="0"/>
              <w:jc w:val="left"/>
            </w:pPr>
            <w:r>
              <w:t>a corporation in which a natural person not ordinarily resident in Australia or a foreign corporation holds a controlling interest;</w:t>
            </w:r>
          </w:p>
        </w:tc>
      </w:tr>
      <w:tr w:rsidR="00CA7BF7" w:rsidTr="00C16C56">
        <w:trPr>
          <w:cantSplit/>
          <w:trHeight w:val="870"/>
        </w:trPr>
        <w:tc>
          <w:tcPr>
            <w:tcW w:w="2478" w:type="dxa"/>
            <w:vMerge/>
          </w:tcPr>
          <w:p w:rsidR="00CA7BF7" w:rsidRDefault="00CA7BF7" w:rsidP="00C16C56">
            <w:pPr>
              <w:spacing w:after="120"/>
              <w:jc w:val="left"/>
            </w:pPr>
          </w:p>
        </w:tc>
        <w:tc>
          <w:tcPr>
            <w:tcW w:w="472" w:type="dxa"/>
          </w:tcPr>
          <w:p w:rsidR="00CA7BF7" w:rsidRDefault="00CA7BF7" w:rsidP="00C16C56">
            <w:pPr>
              <w:pStyle w:val="paragraph"/>
              <w:tabs>
                <w:tab w:val="clear" w:pos="1531"/>
                <w:tab w:val="right" w:pos="432"/>
                <w:tab w:val="left" w:pos="612"/>
              </w:tabs>
              <w:ind w:left="612" w:hanging="612"/>
              <w:jc w:val="left"/>
            </w:pPr>
            <w:r>
              <w:t>(c)</w:t>
            </w:r>
          </w:p>
        </w:tc>
        <w:tc>
          <w:tcPr>
            <w:tcW w:w="4790" w:type="dxa"/>
            <w:shd w:val="clear" w:color="auto" w:fill="auto"/>
          </w:tcPr>
          <w:p w:rsidR="00CA7BF7" w:rsidRDefault="00CA7BF7" w:rsidP="00C16C56">
            <w:pPr>
              <w:pStyle w:val="paragraph"/>
              <w:tabs>
                <w:tab w:val="clear" w:pos="1531"/>
                <w:tab w:val="right" w:pos="432"/>
                <w:tab w:val="left" w:pos="612"/>
              </w:tabs>
              <w:ind w:left="0" w:firstLine="0"/>
              <w:jc w:val="left"/>
            </w:pPr>
            <w:r>
              <w:t>a corporation in which two or more persons, each of whom is either a natural person not ordinarily resident in Australia or a foreign corporation, hold an aggregate controlling interest;</w:t>
            </w:r>
          </w:p>
        </w:tc>
      </w:tr>
      <w:tr w:rsidR="00CA7BF7" w:rsidTr="00C16C56">
        <w:trPr>
          <w:cantSplit/>
          <w:trHeight w:val="839"/>
        </w:trPr>
        <w:tc>
          <w:tcPr>
            <w:tcW w:w="2478" w:type="dxa"/>
            <w:vMerge/>
          </w:tcPr>
          <w:p w:rsidR="00CA7BF7" w:rsidRDefault="00CA7BF7" w:rsidP="00C16C56">
            <w:pPr>
              <w:spacing w:after="120"/>
              <w:jc w:val="left"/>
            </w:pPr>
          </w:p>
        </w:tc>
        <w:tc>
          <w:tcPr>
            <w:tcW w:w="472" w:type="dxa"/>
          </w:tcPr>
          <w:p w:rsidR="00CA7BF7" w:rsidRDefault="00CA7BF7" w:rsidP="00C16C56">
            <w:pPr>
              <w:pStyle w:val="paragraph"/>
              <w:tabs>
                <w:tab w:val="clear" w:pos="1531"/>
                <w:tab w:val="right" w:pos="432"/>
                <w:tab w:val="left" w:pos="612"/>
              </w:tabs>
              <w:ind w:left="612" w:hanging="612"/>
              <w:jc w:val="left"/>
            </w:pPr>
            <w:r>
              <w:t>(d)</w:t>
            </w:r>
          </w:p>
        </w:tc>
        <w:tc>
          <w:tcPr>
            <w:tcW w:w="4790" w:type="dxa"/>
            <w:shd w:val="clear" w:color="auto" w:fill="auto"/>
          </w:tcPr>
          <w:p w:rsidR="00CA7BF7" w:rsidRDefault="00CA7BF7" w:rsidP="00C16C56">
            <w:pPr>
              <w:pStyle w:val="paragraph"/>
              <w:tabs>
                <w:tab w:val="clear" w:pos="1531"/>
                <w:tab w:val="right" w:pos="432"/>
                <w:tab w:val="left" w:pos="612"/>
              </w:tabs>
              <w:ind w:left="0" w:firstLine="0"/>
              <w:jc w:val="left"/>
            </w:pPr>
            <w:r>
              <w:t>the trustee of a trust estate in which a natural person not ordinarily resident in Australia or a foreign corporation holds a substantial interest; or</w:t>
            </w:r>
          </w:p>
        </w:tc>
      </w:tr>
      <w:tr w:rsidR="00CA7BF7" w:rsidTr="00C16C56">
        <w:trPr>
          <w:cantSplit/>
          <w:trHeight w:val="788"/>
        </w:trPr>
        <w:tc>
          <w:tcPr>
            <w:tcW w:w="2478" w:type="dxa"/>
            <w:vMerge/>
          </w:tcPr>
          <w:p w:rsidR="00CA7BF7" w:rsidRDefault="00CA7BF7" w:rsidP="00C16C56">
            <w:pPr>
              <w:spacing w:after="120"/>
              <w:jc w:val="left"/>
            </w:pPr>
          </w:p>
        </w:tc>
        <w:tc>
          <w:tcPr>
            <w:tcW w:w="472" w:type="dxa"/>
          </w:tcPr>
          <w:p w:rsidR="00CA7BF7" w:rsidRDefault="00CA7BF7" w:rsidP="00C16C56">
            <w:pPr>
              <w:pStyle w:val="paragraph"/>
              <w:tabs>
                <w:tab w:val="clear" w:pos="1531"/>
                <w:tab w:val="right" w:pos="432"/>
                <w:tab w:val="left" w:pos="612"/>
              </w:tabs>
              <w:ind w:left="612" w:hanging="612"/>
              <w:jc w:val="left"/>
            </w:pPr>
            <w:r>
              <w:t>(e)</w:t>
            </w:r>
          </w:p>
        </w:tc>
        <w:tc>
          <w:tcPr>
            <w:tcW w:w="4790" w:type="dxa"/>
            <w:shd w:val="clear" w:color="auto" w:fill="auto"/>
          </w:tcPr>
          <w:p w:rsidR="00CA7BF7" w:rsidRDefault="00CA7BF7" w:rsidP="00C16C56">
            <w:pPr>
              <w:pStyle w:val="paragraph"/>
              <w:tabs>
                <w:tab w:val="clear" w:pos="1531"/>
                <w:tab w:val="right" w:pos="432"/>
                <w:tab w:val="left" w:pos="612"/>
              </w:tabs>
              <w:ind w:left="0" w:firstLine="0"/>
              <w:jc w:val="left"/>
            </w:pPr>
            <w:proofErr w:type="gramStart"/>
            <w:r>
              <w:t>the</w:t>
            </w:r>
            <w:proofErr w:type="gramEnd"/>
            <w:r>
              <w:t xml:space="preserve"> trustee of a trust estate in which two or more persons, each of whom is either a natural person not ordinarily resident in Australia or a foreign corporation, hold an aggregate substantial interest.</w:t>
            </w:r>
          </w:p>
        </w:tc>
      </w:tr>
      <w:tr w:rsidR="00CA7BF7" w:rsidTr="00C16C56">
        <w:trPr>
          <w:cantSplit/>
          <w:trHeight w:val="399"/>
        </w:trPr>
        <w:tc>
          <w:tcPr>
            <w:tcW w:w="2478" w:type="dxa"/>
            <w:vMerge/>
          </w:tcPr>
          <w:p w:rsidR="00CA7BF7" w:rsidRDefault="00CA7BF7" w:rsidP="00C16C56">
            <w:pPr>
              <w:spacing w:after="120"/>
              <w:jc w:val="left"/>
            </w:pPr>
          </w:p>
        </w:tc>
        <w:tc>
          <w:tcPr>
            <w:tcW w:w="5262" w:type="dxa"/>
            <w:gridSpan w:val="2"/>
          </w:tcPr>
          <w:p w:rsidR="00CA7BF7" w:rsidRDefault="00CA7BF7" w:rsidP="00C16C56">
            <w:pPr>
              <w:pStyle w:val="paragraph"/>
              <w:tabs>
                <w:tab w:val="clear" w:pos="1531"/>
                <w:tab w:val="right" w:pos="432"/>
                <w:tab w:val="left" w:pos="612"/>
              </w:tabs>
              <w:spacing w:after="120"/>
              <w:ind w:left="0" w:firstLine="0"/>
              <w:jc w:val="left"/>
            </w:pPr>
            <w:r>
              <w:t>(Section 5 of the FATA)</w:t>
            </w:r>
          </w:p>
        </w:tc>
      </w:tr>
      <w:tr w:rsidR="00DA0082" w:rsidTr="00C16C56">
        <w:trPr>
          <w:cantSplit/>
        </w:trPr>
        <w:tc>
          <w:tcPr>
            <w:tcW w:w="2478" w:type="dxa"/>
          </w:tcPr>
          <w:p w:rsidR="00DA0082" w:rsidRDefault="00DA0082" w:rsidP="00C16C56">
            <w:pPr>
              <w:spacing w:after="120"/>
              <w:jc w:val="left"/>
            </w:pPr>
            <w:r>
              <w:t xml:space="preserve">Interim </w:t>
            </w:r>
            <w:r w:rsidR="00C7585A">
              <w:t>Order</w:t>
            </w:r>
          </w:p>
        </w:tc>
        <w:tc>
          <w:tcPr>
            <w:tcW w:w="5262" w:type="dxa"/>
            <w:gridSpan w:val="2"/>
          </w:tcPr>
          <w:p w:rsidR="00DA0082" w:rsidRDefault="00DA0082" w:rsidP="00C16C56">
            <w:pPr>
              <w:spacing w:after="120"/>
              <w:jc w:val="left"/>
            </w:pPr>
            <w:r>
              <w:t xml:space="preserve">An </w:t>
            </w:r>
            <w:r w:rsidR="000235C4">
              <w:t>O</w:t>
            </w:r>
            <w:r>
              <w:t xml:space="preserve">rder that extends the available statutory examination period </w:t>
            </w:r>
            <w:r w:rsidR="009079BE">
              <w:t xml:space="preserve">and prohibits a proposed acquisition </w:t>
            </w:r>
            <w:r w:rsidR="005C5704">
              <w:t>for</w:t>
            </w:r>
            <w:r>
              <w:t xml:space="preserve"> up to 90 days.</w:t>
            </w:r>
          </w:p>
        </w:tc>
      </w:tr>
      <w:tr w:rsidR="00DA0082" w:rsidTr="00C16C56">
        <w:trPr>
          <w:cantSplit/>
        </w:trPr>
        <w:tc>
          <w:tcPr>
            <w:tcW w:w="2478" w:type="dxa"/>
          </w:tcPr>
          <w:p w:rsidR="00DA0082" w:rsidRDefault="00DA0082" w:rsidP="00C16C56">
            <w:pPr>
              <w:spacing w:after="120"/>
              <w:jc w:val="left"/>
            </w:pPr>
            <w:r>
              <w:t>Offshore takeover</w:t>
            </w:r>
          </w:p>
        </w:tc>
        <w:tc>
          <w:tcPr>
            <w:tcW w:w="5262" w:type="dxa"/>
            <w:gridSpan w:val="2"/>
          </w:tcPr>
          <w:p w:rsidR="00DA0082" w:rsidRDefault="005C06BD" w:rsidP="00C16C56">
            <w:pPr>
              <w:spacing w:after="120"/>
              <w:jc w:val="left"/>
            </w:pPr>
            <w:r>
              <w:t>Where an offshore company (/foreign person) that holds Australian assets or conducts a business in Australia is acquired by another foreign person, and the Australian assets or businesses of the target company are valued at less than 50</w:t>
            </w:r>
            <w:r w:rsidR="003E1059">
              <w:t xml:space="preserve"> </w:t>
            </w:r>
            <w:r>
              <w:t>per</w:t>
            </w:r>
            <w:r w:rsidR="003E1059">
              <w:t xml:space="preserve"> </w:t>
            </w:r>
            <w:r>
              <w:t xml:space="preserve">cent of its </w:t>
            </w:r>
            <w:r w:rsidR="00005EB7">
              <w:t>global</w:t>
            </w:r>
            <w:r>
              <w:t xml:space="preserve"> assets.</w:t>
            </w:r>
          </w:p>
        </w:tc>
      </w:tr>
      <w:tr w:rsidR="000E5845" w:rsidTr="00C16C56">
        <w:trPr>
          <w:cantSplit/>
        </w:trPr>
        <w:tc>
          <w:tcPr>
            <w:tcW w:w="2478" w:type="dxa"/>
          </w:tcPr>
          <w:p w:rsidR="000E5845" w:rsidRPr="00C16C56" w:rsidRDefault="000E5845" w:rsidP="00C16C56">
            <w:pPr>
              <w:spacing w:after="120"/>
              <w:jc w:val="left"/>
              <w:rPr>
                <w:rStyle w:val="Normalitalics"/>
                <w:i w:val="0"/>
              </w:rPr>
            </w:pPr>
            <w:r w:rsidRPr="00C16C56">
              <w:rPr>
                <w:rStyle w:val="Normalitalics"/>
                <w:i w:val="0"/>
              </w:rPr>
              <w:t>Off</w:t>
            </w:r>
            <w:r w:rsidR="00523F78">
              <w:rPr>
                <w:rStyle w:val="Normalitalics"/>
                <w:i w:val="0"/>
              </w:rPr>
              <w:noBreakHyphen/>
            </w:r>
            <w:r w:rsidRPr="00C16C56">
              <w:rPr>
                <w:rStyle w:val="Normalitalics"/>
                <w:i w:val="0"/>
              </w:rPr>
              <w:t>the</w:t>
            </w:r>
            <w:r w:rsidR="00523F78">
              <w:rPr>
                <w:rStyle w:val="Normalitalics"/>
                <w:i w:val="0"/>
              </w:rPr>
              <w:noBreakHyphen/>
            </w:r>
            <w:r w:rsidRPr="00C16C56">
              <w:rPr>
                <w:rStyle w:val="Normalitalics"/>
                <w:i w:val="0"/>
              </w:rPr>
              <w:t>plan</w:t>
            </w:r>
          </w:p>
        </w:tc>
        <w:tc>
          <w:tcPr>
            <w:tcW w:w="5262" w:type="dxa"/>
            <w:gridSpan w:val="2"/>
          </w:tcPr>
          <w:p w:rsidR="000E5845" w:rsidRPr="00C16C56" w:rsidRDefault="000E5845" w:rsidP="00C16C56">
            <w:pPr>
              <w:spacing w:after="120"/>
              <w:jc w:val="left"/>
              <w:rPr>
                <w:rStyle w:val="Normalitalics"/>
                <w:i w:val="0"/>
              </w:rPr>
            </w:pPr>
            <w:r w:rsidRPr="00C16C56">
              <w:rPr>
                <w:rStyle w:val="Normalitalics"/>
                <w:i w:val="0"/>
              </w:rPr>
              <w:t>An acquisition of a dwelling under construction or completed that has not been lived in or</w:t>
            </w:r>
            <w:r w:rsidR="009079BE" w:rsidRPr="00C16C56">
              <w:rPr>
                <w:rStyle w:val="Normalitalics"/>
                <w:i w:val="0"/>
              </w:rPr>
              <w:t xml:space="preserve"> previously</w:t>
            </w:r>
            <w:r w:rsidRPr="00C16C56">
              <w:rPr>
                <w:rStyle w:val="Normalitalics"/>
                <w:i w:val="0"/>
              </w:rPr>
              <w:t xml:space="preserve"> sold. </w:t>
            </w:r>
          </w:p>
        </w:tc>
      </w:tr>
      <w:tr w:rsidR="004C51F9" w:rsidTr="00C16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8" w:type="dxa"/>
            <w:tcBorders>
              <w:top w:val="nil"/>
              <w:left w:val="nil"/>
              <w:bottom w:val="nil"/>
              <w:right w:val="nil"/>
            </w:tcBorders>
          </w:tcPr>
          <w:p w:rsidR="004C51F9" w:rsidRDefault="004C51F9" w:rsidP="00C16C56">
            <w:pPr>
              <w:spacing w:after="120"/>
              <w:jc w:val="left"/>
            </w:pPr>
            <w:r>
              <w:t>Portfolio investment</w:t>
            </w:r>
          </w:p>
        </w:tc>
        <w:tc>
          <w:tcPr>
            <w:tcW w:w="5262" w:type="dxa"/>
            <w:gridSpan w:val="2"/>
            <w:tcBorders>
              <w:top w:val="nil"/>
              <w:left w:val="nil"/>
              <w:bottom w:val="nil"/>
              <w:right w:val="nil"/>
            </w:tcBorders>
          </w:tcPr>
          <w:p w:rsidR="004C51F9" w:rsidRDefault="004C51F9" w:rsidP="00C16C56">
            <w:pPr>
              <w:spacing w:after="120"/>
              <w:jc w:val="left"/>
            </w:pPr>
            <w:r>
              <w:t>Passive or non</w:t>
            </w:r>
            <w:r w:rsidR="00523F78">
              <w:noBreakHyphen/>
            </w:r>
            <w:r>
              <w:t>direct investment.</w:t>
            </w:r>
          </w:p>
        </w:tc>
      </w:tr>
      <w:tr w:rsidR="004C51F9" w:rsidTr="00C16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8" w:type="dxa"/>
            <w:tcBorders>
              <w:top w:val="nil"/>
              <w:left w:val="nil"/>
              <w:bottom w:val="nil"/>
              <w:right w:val="nil"/>
            </w:tcBorders>
          </w:tcPr>
          <w:p w:rsidR="004C51F9" w:rsidRDefault="004C51F9" w:rsidP="00C16C56">
            <w:pPr>
              <w:spacing w:after="120"/>
              <w:jc w:val="left"/>
            </w:pPr>
            <w:r>
              <w:lastRenderedPageBreak/>
              <w:t>Proposed investment</w:t>
            </w:r>
          </w:p>
        </w:tc>
        <w:tc>
          <w:tcPr>
            <w:tcW w:w="5262" w:type="dxa"/>
            <w:gridSpan w:val="2"/>
            <w:tcBorders>
              <w:top w:val="nil"/>
              <w:left w:val="nil"/>
              <w:bottom w:val="nil"/>
              <w:right w:val="nil"/>
            </w:tcBorders>
          </w:tcPr>
          <w:p w:rsidR="004C51F9" w:rsidRDefault="004C51F9" w:rsidP="00C16C56">
            <w:pPr>
              <w:spacing w:after="120"/>
              <w:jc w:val="left"/>
            </w:pPr>
            <w:r>
              <w:t>Proposed investment associated with foreign investment proposals comprises the aggregate of acquisition costs and development expenditure in the case of existing businesses, and the aggregate of establishment costs and development expenditure in the case of new businesses.</w:t>
            </w:r>
          </w:p>
        </w:tc>
      </w:tr>
      <w:tr w:rsidR="00DA0082" w:rsidTr="00C16C56">
        <w:trPr>
          <w:cantSplit/>
        </w:trPr>
        <w:tc>
          <w:tcPr>
            <w:tcW w:w="2478" w:type="dxa"/>
          </w:tcPr>
          <w:p w:rsidR="00DA0082" w:rsidRDefault="00DA0082" w:rsidP="00C16C56">
            <w:pPr>
              <w:spacing w:after="120"/>
              <w:jc w:val="left"/>
            </w:pPr>
            <w:r>
              <w:t>S</w:t>
            </w:r>
            <w:r w:rsidRPr="00AA2818">
              <w:t>ubstantial interest</w:t>
            </w:r>
            <w:r>
              <w:t xml:space="preserve"> in a corporation</w:t>
            </w:r>
          </w:p>
        </w:tc>
        <w:tc>
          <w:tcPr>
            <w:tcW w:w="5262" w:type="dxa"/>
            <w:gridSpan w:val="2"/>
          </w:tcPr>
          <w:p w:rsidR="00DA0082" w:rsidRPr="00C76393" w:rsidRDefault="00DA0082" w:rsidP="00C16C56">
            <w:pPr>
              <w:spacing w:after="120"/>
              <w:jc w:val="left"/>
            </w:pPr>
            <w:r w:rsidRPr="00C76393">
              <w:t>Where a person, alone or together with any associate(s), is in a position to control not less than 15 per cent of the voting power</w:t>
            </w:r>
            <w:r w:rsidR="004C51F9">
              <w:t>,</w:t>
            </w:r>
            <w:r w:rsidRPr="00C76393">
              <w:t xml:space="preserve"> or hold</w:t>
            </w:r>
            <w:r w:rsidR="009E4E39" w:rsidRPr="00C76393">
              <w:t>s interests in not less than 15 per </w:t>
            </w:r>
            <w:r w:rsidRPr="00C76393">
              <w:t>cent of the issued shares, of a corporation (section</w:t>
            </w:r>
            <w:r w:rsidR="00C76393">
              <w:t> </w:t>
            </w:r>
            <w:r w:rsidRPr="00C76393">
              <w:t>9 of the FATA).</w:t>
            </w:r>
          </w:p>
        </w:tc>
      </w:tr>
      <w:tr w:rsidR="004777EF" w:rsidTr="00C16C56">
        <w:trPr>
          <w:cantSplit/>
        </w:trPr>
        <w:tc>
          <w:tcPr>
            <w:tcW w:w="2478" w:type="dxa"/>
          </w:tcPr>
          <w:p w:rsidR="004777EF" w:rsidRDefault="004777EF" w:rsidP="00C16C56">
            <w:pPr>
              <w:spacing w:after="120"/>
              <w:jc w:val="left"/>
            </w:pPr>
            <w:r>
              <w:t>Threshold</w:t>
            </w:r>
          </w:p>
        </w:tc>
        <w:tc>
          <w:tcPr>
            <w:tcW w:w="5262" w:type="dxa"/>
            <w:gridSpan w:val="2"/>
          </w:tcPr>
          <w:p w:rsidR="004777EF" w:rsidRDefault="002D3241" w:rsidP="00C16C56">
            <w:pPr>
              <w:spacing w:after="120"/>
              <w:jc w:val="left"/>
            </w:pPr>
            <w:r>
              <w:t>Monetary figure</w:t>
            </w:r>
            <w:r w:rsidR="004777EF">
              <w:t xml:space="preserve"> under either the policy or the FATA at which </w:t>
            </w:r>
            <w:r>
              <w:t>foreign persons are expected or required to notify a</w:t>
            </w:r>
            <w:r w:rsidR="00D252C5">
              <w:t>n investment</w:t>
            </w:r>
            <w:r>
              <w:t xml:space="preserve"> proposal to the Treasurer.</w:t>
            </w:r>
          </w:p>
        </w:tc>
      </w:tr>
    </w:tbl>
    <w:p w:rsidR="00E42476" w:rsidRDefault="00E42476" w:rsidP="007001D0">
      <w:pPr>
        <w:sectPr w:rsidR="00E42476" w:rsidSect="002C2B85">
          <w:headerReference w:type="even" r:id="rId8"/>
          <w:headerReference w:type="default" r:id="rId9"/>
          <w:footerReference w:type="even" r:id="rId10"/>
          <w:footerReference w:type="default" r:id="rId11"/>
          <w:headerReference w:type="first" r:id="rId12"/>
          <w:footerReference w:type="first" r:id="rId13"/>
          <w:pgSz w:w="11906" w:h="16838" w:code="9"/>
          <w:pgMar w:top="2466" w:right="2098" w:bottom="2466" w:left="2098" w:header="1899" w:footer="1899" w:gutter="0"/>
          <w:pgNumType w:fmt="lowerRoman" w:start="11"/>
          <w:cols w:space="708"/>
          <w:titlePg/>
          <w:docGrid w:linePitch="360"/>
        </w:sectPr>
      </w:pPr>
    </w:p>
    <w:p w:rsidR="00B33CD1" w:rsidRPr="00067E1D" w:rsidRDefault="00B33CD1" w:rsidP="007001D0"/>
    <w:sectPr w:rsidR="00B33CD1" w:rsidRPr="00067E1D" w:rsidSect="00E42476">
      <w:footerReference w:type="first" r:id="rId14"/>
      <w:pgSz w:w="11906" w:h="16838" w:code="9"/>
      <w:pgMar w:top="2466" w:right="2098" w:bottom="2466" w:left="2098" w:header="1899" w:footer="189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56" w:rsidRDefault="00C16C56">
      <w:r>
        <w:separator/>
      </w:r>
    </w:p>
  </w:endnote>
  <w:endnote w:type="continuationSeparator" w:id="0">
    <w:p w:rsidR="00C16C56" w:rsidRDefault="00C1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wis721 Lt BT">
    <w:altName w:val="Microsoft YaHei"/>
    <w:charset w:val="00"/>
    <w:family w:val="swiss"/>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A6" w:rsidRPr="00E42476" w:rsidRDefault="00FD32D0">
    <w:pPr>
      <w:pStyle w:val="Footer"/>
    </w:pPr>
    <w:r>
      <w:fldChar w:fldCharType="begin"/>
    </w:r>
    <w:r>
      <w:instrText xml:space="preserve"> PAGE </w:instrText>
    </w:r>
    <w:r>
      <w:fldChar w:fldCharType="separate"/>
    </w:r>
    <w:r>
      <w:rPr>
        <w:noProof/>
      </w:rPr>
      <w:t>xii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A6" w:rsidRPr="00E42476" w:rsidRDefault="00FD32D0" w:rsidP="00E42476">
    <w:pPr>
      <w:pStyle w:val="FooterOdd"/>
    </w:pPr>
    <w:r>
      <w:fldChar w:fldCharType="begin"/>
    </w:r>
    <w:r>
      <w:instrText xml:space="preserve"> PAGE </w:instrText>
    </w:r>
    <w:r>
      <w:fldChar w:fldCharType="separate"/>
    </w:r>
    <w:r>
      <w:rPr>
        <w:noProof/>
      </w:rPr>
      <w:t>xiii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A6" w:rsidRPr="00CB11B4" w:rsidRDefault="005D5A52" w:rsidP="00E42476">
    <w:pPr>
      <w:pStyle w:val="FooterOdd"/>
    </w:pPr>
    <w:r w:rsidRPr="00CB11B4">
      <w:rPr>
        <w:rStyle w:val="PageNumber"/>
        <w:rFonts w:ascii="Arial" w:hAnsi="Arial"/>
      </w:rPr>
      <w:fldChar w:fldCharType="begin"/>
    </w:r>
    <w:r w:rsidR="00085EA6" w:rsidRPr="00CB11B4">
      <w:rPr>
        <w:rStyle w:val="PageNumber"/>
        <w:rFonts w:ascii="Arial" w:hAnsi="Arial"/>
      </w:rPr>
      <w:instrText xml:space="preserve"> PAGE </w:instrText>
    </w:r>
    <w:r w:rsidRPr="00CB11B4">
      <w:rPr>
        <w:rStyle w:val="PageNumber"/>
        <w:rFonts w:ascii="Arial" w:hAnsi="Arial"/>
      </w:rPr>
      <w:fldChar w:fldCharType="separate"/>
    </w:r>
    <w:r w:rsidR="00FD32D0">
      <w:rPr>
        <w:rStyle w:val="PageNumber"/>
        <w:rFonts w:ascii="Arial" w:hAnsi="Arial"/>
        <w:noProof/>
      </w:rPr>
      <w:t>xi</w:t>
    </w:r>
    <w:r w:rsidRPr="00CB11B4">
      <w:rPr>
        <w:rStyle w:val="PageNumber"/>
        <w:rFonts w:ascii="Arial" w:hAnsi="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A6" w:rsidRPr="00B0254C" w:rsidRDefault="00085EA6" w:rsidP="00E42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56" w:rsidRDefault="00C16C56">
      <w:r>
        <w:separator/>
      </w:r>
    </w:p>
  </w:footnote>
  <w:footnote w:type="continuationSeparator" w:id="0">
    <w:p w:rsidR="00C16C56" w:rsidRDefault="00C16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7B" w:rsidRDefault="00296F44" w:rsidP="00296F44">
    <w:pPr>
      <w:pStyle w:val="HeaderEven"/>
    </w:pPr>
    <w:r w:rsidRPr="00053957">
      <w:t>Foreign Investment</w:t>
    </w:r>
    <w:r>
      <w:t xml:space="preserve"> Review Board Annual Report 2009</w:t>
    </w:r>
    <w:r w:rsidRPr="00053957">
      <w:t>-</w:t>
    </w:r>
    <w: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44" w:rsidRDefault="00296F44" w:rsidP="00296F44">
    <w:pPr>
      <w:pStyle w:val="HeaderOdd"/>
    </w:pPr>
    <w:r>
      <w:t>Glossary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44" w:rsidRDefault="00296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F68FCE"/>
    <w:lvl w:ilvl="0">
      <w:start w:val="1"/>
      <w:numFmt w:val="decimal"/>
      <w:lvlText w:val="%1."/>
      <w:lvlJc w:val="left"/>
      <w:pPr>
        <w:tabs>
          <w:tab w:val="num" w:pos="1492"/>
        </w:tabs>
        <w:ind w:left="1492" w:hanging="360"/>
      </w:pPr>
    </w:lvl>
  </w:abstractNum>
  <w:abstractNum w:abstractNumId="1">
    <w:nsid w:val="FFFFFF7D"/>
    <w:multiLevelType w:val="singleLevel"/>
    <w:tmpl w:val="BD2AA960"/>
    <w:lvl w:ilvl="0">
      <w:start w:val="1"/>
      <w:numFmt w:val="decimal"/>
      <w:lvlText w:val="%1."/>
      <w:lvlJc w:val="left"/>
      <w:pPr>
        <w:tabs>
          <w:tab w:val="num" w:pos="1209"/>
        </w:tabs>
        <w:ind w:left="1209" w:hanging="360"/>
      </w:pPr>
    </w:lvl>
  </w:abstractNum>
  <w:abstractNum w:abstractNumId="2">
    <w:nsid w:val="FFFFFF7E"/>
    <w:multiLevelType w:val="singleLevel"/>
    <w:tmpl w:val="021686F8"/>
    <w:lvl w:ilvl="0">
      <w:start w:val="1"/>
      <w:numFmt w:val="decimal"/>
      <w:lvlText w:val="%1."/>
      <w:lvlJc w:val="left"/>
      <w:pPr>
        <w:tabs>
          <w:tab w:val="num" w:pos="926"/>
        </w:tabs>
        <w:ind w:left="926" w:hanging="360"/>
      </w:pPr>
    </w:lvl>
  </w:abstractNum>
  <w:abstractNum w:abstractNumId="3">
    <w:nsid w:val="FFFFFF7F"/>
    <w:multiLevelType w:val="singleLevel"/>
    <w:tmpl w:val="0B12EBAE"/>
    <w:lvl w:ilvl="0">
      <w:start w:val="1"/>
      <w:numFmt w:val="decimal"/>
      <w:lvlText w:val="%1."/>
      <w:lvlJc w:val="left"/>
      <w:pPr>
        <w:tabs>
          <w:tab w:val="num" w:pos="643"/>
        </w:tabs>
        <w:ind w:left="643" w:hanging="360"/>
      </w:pPr>
    </w:lvl>
  </w:abstractNum>
  <w:abstractNum w:abstractNumId="4">
    <w:nsid w:val="FFFFFF80"/>
    <w:multiLevelType w:val="singleLevel"/>
    <w:tmpl w:val="C6E6E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A26B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4C56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761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3C8666"/>
    <w:lvl w:ilvl="0">
      <w:start w:val="1"/>
      <w:numFmt w:val="decimal"/>
      <w:lvlText w:val="%1."/>
      <w:lvlJc w:val="left"/>
      <w:pPr>
        <w:tabs>
          <w:tab w:val="num" w:pos="360"/>
        </w:tabs>
        <w:ind w:left="360" w:hanging="360"/>
      </w:pPr>
    </w:lvl>
  </w:abstractNum>
  <w:abstractNum w:abstractNumId="9">
    <w:nsid w:val="FFFFFF89"/>
    <w:multiLevelType w:val="singleLevel"/>
    <w:tmpl w:val="4AA2BC58"/>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20B16FC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ind w:left="0" w:firstLine="0"/>
      </w:pPr>
      <w:rPr>
        <w:rFonts w:ascii="Arial" w:hAnsi="Arial" w:cs="Arial"/>
        <w:b/>
        <w:i w:val="0"/>
        <w:color w:val="2B7C32"/>
        <w:sz w:val="2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C723F30"/>
    <w:multiLevelType w:val="singleLevel"/>
    <w:tmpl w:val="1430D9F2"/>
    <w:name w:val="StandardNumberedParagraphList"/>
    <w:lvl w:ilvl="0">
      <w:start w:val="2"/>
      <w:numFmt w:val="decimal"/>
      <w:pStyle w:val="NumberedParagraph"/>
      <w:lvlText w:val="%1."/>
      <w:lvlJc w:val="left"/>
      <w:pPr>
        <w:tabs>
          <w:tab w:val="num" w:pos="567"/>
        </w:tabs>
        <w:ind w:left="0" w:firstLine="0"/>
      </w:pPr>
    </w:lvl>
  </w:abstractNum>
  <w:abstractNum w:abstractNumId="18">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b w:val="0"/>
        <w:i w:val="0"/>
        <w:sz w:val="20"/>
      </w:rPr>
    </w:lvl>
  </w:abstractNum>
  <w:abstractNum w:abstractNumId="19">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1">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2">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4">
    <w:nsid w:val="51FC68E7"/>
    <w:multiLevelType w:val="multilevel"/>
    <w:tmpl w:val="0220E126"/>
    <w:lvl w:ilvl="0">
      <w:start w:val="1"/>
      <w:numFmt w:val="upperLetter"/>
      <w:lvlRestart w:val="0"/>
      <w:suff w:val="nothing"/>
      <w:lvlText w:val=""/>
      <w:lvlJc w:val="left"/>
      <w:pPr>
        <w:ind w:left="0" w:firstLine="0"/>
      </w:pPr>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ascii="Helvetica" w:hAnsi="Helvetica" w:hint="default"/>
        <w:b w:val="0"/>
        <w:i w:val="0"/>
        <w:color w:val="F8981D"/>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5">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581A16E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8">
    <w:nsid w:val="6E186C1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4"/>
  </w:num>
  <w:num w:numId="3">
    <w:abstractNumId w:val="18"/>
  </w:num>
  <w:num w:numId="4">
    <w:abstractNumId w:val="23"/>
  </w:num>
  <w:num w:numId="5">
    <w:abstractNumId w:val="13"/>
  </w:num>
  <w:num w:numId="6">
    <w:abstractNumId w:val="29"/>
  </w:num>
  <w:num w:numId="7">
    <w:abstractNumId w:val="25"/>
  </w:num>
  <w:num w:numId="8">
    <w:abstractNumId w:val="10"/>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0"/>
  </w:num>
  <w:num w:numId="22">
    <w:abstractNumId w:val="17"/>
  </w:num>
  <w:num w:numId="23">
    <w:abstractNumId w:val="28"/>
  </w:num>
  <w:num w:numId="24">
    <w:abstractNumId w:val="26"/>
  </w:num>
  <w:num w:numId="25">
    <w:abstractNumId w:val="21"/>
  </w:num>
  <w:num w:numId="26">
    <w:abstractNumId w:val="11"/>
  </w:num>
  <w:num w:numId="27">
    <w:abstractNumId w:val="22"/>
  </w:num>
  <w:num w:numId="28">
    <w:abstractNumId w:val="12"/>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D1"/>
    <w:rsid w:val="00005EB7"/>
    <w:rsid w:val="00012A91"/>
    <w:rsid w:val="00013EED"/>
    <w:rsid w:val="000235C4"/>
    <w:rsid w:val="00034B11"/>
    <w:rsid w:val="0005600E"/>
    <w:rsid w:val="00057F89"/>
    <w:rsid w:val="000654A1"/>
    <w:rsid w:val="00067E1D"/>
    <w:rsid w:val="000725C0"/>
    <w:rsid w:val="00072D35"/>
    <w:rsid w:val="0007528B"/>
    <w:rsid w:val="00085EA6"/>
    <w:rsid w:val="000A0A6C"/>
    <w:rsid w:val="000A6DBE"/>
    <w:rsid w:val="000C47EE"/>
    <w:rsid w:val="000E5845"/>
    <w:rsid w:val="000F388D"/>
    <w:rsid w:val="00103F26"/>
    <w:rsid w:val="00121EB0"/>
    <w:rsid w:val="0014497A"/>
    <w:rsid w:val="00145F0D"/>
    <w:rsid w:val="0017329D"/>
    <w:rsid w:val="001951A6"/>
    <w:rsid w:val="001A310F"/>
    <w:rsid w:val="001B236B"/>
    <w:rsid w:val="001B5F75"/>
    <w:rsid w:val="001C2B99"/>
    <w:rsid w:val="001E37D6"/>
    <w:rsid w:val="00211F4F"/>
    <w:rsid w:val="00237EF1"/>
    <w:rsid w:val="00276330"/>
    <w:rsid w:val="00281784"/>
    <w:rsid w:val="00291D23"/>
    <w:rsid w:val="00296F44"/>
    <w:rsid w:val="002C2B85"/>
    <w:rsid w:val="002D3241"/>
    <w:rsid w:val="002E1CDC"/>
    <w:rsid w:val="003024FF"/>
    <w:rsid w:val="00303F28"/>
    <w:rsid w:val="00311FF4"/>
    <w:rsid w:val="0037056D"/>
    <w:rsid w:val="003713B0"/>
    <w:rsid w:val="00373C63"/>
    <w:rsid w:val="00392BEC"/>
    <w:rsid w:val="003A07DF"/>
    <w:rsid w:val="003A29B8"/>
    <w:rsid w:val="003D08EA"/>
    <w:rsid w:val="003E1059"/>
    <w:rsid w:val="003E1522"/>
    <w:rsid w:val="003E3153"/>
    <w:rsid w:val="003F27B5"/>
    <w:rsid w:val="003F2BFF"/>
    <w:rsid w:val="0041706F"/>
    <w:rsid w:val="0042268F"/>
    <w:rsid w:val="00452CE8"/>
    <w:rsid w:val="00457BC3"/>
    <w:rsid w:val="004777EF"/>
    <w:rsid w:val="004816D3"/>
    <w:rsid w:val="0048677B"/>
    <w:rsid w:val="00491E91"/>
    <w:rsid w:val="00496D8B"/>
    <w:rsid w:val="004A298B"/>
    <w:rsid w:val="004A3CE4"/>
    <w:rsid w:val="004A6200"/>
    <w:rsid w:val="004B36ED"/>
    <w:rsid w:val="004B4398"/>
    <w:rsid w:val="004B7110"/>
    <w:rsid w:val="004B767D"/>
    <w:rsid w:val="004C51F9"/>
    <w:rsid w:val="004D0376"/>
    <w:rsid w:val="004E071E"/>
    <w:rsid w:val="004F0525"/>
    <w:rsid w:val="0050504A"/>
    <w:rsid w:val="00507444"/>
    <w:rsid w:val="00514C8A"/>
    <w:rsid w:val="0051579A"/>
    <w:rsid w:val="00523F78"/>
    <w:rsid w:val="005319DD"/>
    <w:rsid w:val="00534344"/>
    <w:rsid w:val="0055069B"/>
    <w:rsid w:val="00580674"/>
    <w:rsid w:val="005844EB"/>
    <w:rsid w:val="005C0475"/>
    <w:rsid w:val="005C06BD"/>
    <w:rsid w:val="005C5704"/>
    <w:rsid w:val="005D324C"/>
    <w:rsid w:val="005D3A00"/>
    <w:rsid w:val="005D5A52"/>
    <w:rsid w:val="00620281"/>
    <w:rsid w:val="00624C5F"/>
    <w:rsid w:val="006521F9"/>
    <w:rsid w:val="00665E0B"/>
    <w:rsid w:val="00674567"/>
    <w:rsid w:val="00690E66"/>
    <w:rsid w:val="006B1581"/>
    <w:rsid w:val="006B1AB9"/>
    <w:rsid w:val="006B521A"/>
    <w:rsid w:val="006B75AC"/>
    <w:rsid w:val="006B7D9D"/>
    <w:rsid w:val="006C1DA7"/>
    <w:rsid w:val="006C31A1"/>
    <w:rsid w:val="006C7A6B"/>
    <w:rsid w:val="006D79E2"/>
    <w:rsid w:val="007001D0"/>
    <w:rsid w:val="00704679"/>
    <w:rsid w:val="007079AA"/>
    <w:rsid w:val="00736688"/>
    <w:rsid w:val="00744679"/>
    <w:rsid w:val="00755BB2"/>
    <w:rsid w:val="00756415"/>
    <w:rsid w:val="00794222"/>
    <w:rsid w:val="007A0BB0"/>
    <w:rsid w:val="007A3A7E"/>
    <w:rsid w:val="007A5C96"/>
    <w:rsid w:val="007A5E19"/>
    <w:rsid w:val="007C440D"/>
    <w:rsid w:val="007D15B8"/>
    <w:rsid w:val="007F252C"/>
    <w:rsid w:val="00816859"/>
    <w:rsid w:val="0081798B"/>
    <w:rsid w:val="0082680E"/>
    <w:rsid w:val="00845FF9"/>
    <w:rsid w:val="0084674A"/>
    <w:rsid w:val="00862115"/>
    <w:rsid w:val="00862EEB"/>
    <w:rsid w:val="00875360"/>
    <w:rsid w:val="008A597A"/>
    <w:rsid w:val="008B73F8"/>
    <w:rsid w:val="008C3406"/>
    <w:rsid w:val="008D0AE4"/>
    <w:rsid w:val="008F3CBF"/>
    <w:rsid w:val="009079BE"/>
    <w:rsid w:val="00912EF5"/>
    <w:rsid w:val="0094299A"/>
    <w:rsid w:val="009461AE"/>
    <w:rsid w:val="0095770A"/>
    <w:rsid w:val="009706FB"/>
    <w:rsid w:val="00982707"/>
    <w:rsid w:val="009856FC"/>
    <w:rsid w:val="00990953"/>
    <w:rsid w:val="00995433"/>
    <w:rsid w:val="009E2C57"/>
    <w:rsid w:val="009E4E39"/>
    <w:rsid w:val="00A00FB8"/>
    <w:rsid w:val="00A17485"/>
    <w:rsid w:val="00A20139"/>
    <w:rsid w:val="00A42A82"/>
    <w:rsid w:val="00A5091B"/>
    <w:rsid w:val="00A56339"/>
    <w:rsid w:val="00A60A0B"/>
    <w:rsid w:val="00A664AF"/>
    <w:rsid w:val="00A707A1"/>
    <w:rsid w:val="00A8756D"/>
    <w:rsid w:val="00AC2895"/>
    <w:rsid w:val="00AD7E16"/>
    <w:rsid w:val="00AF0EB2"/>
    <w:rsid w:val="00AF376F"/>
    <w:rsid w:val="00B0254C"/>
    <w:rsid w:val="00B02E54"/>
    <w:rsid w:val="00B20227"/>
    <w:rsid w:val="00B212AC"/>
    <w:rsid w:val="00B33CD1"/>
    <w:rsid w:val="00B44C2C"/>
    <w:rsid w:val="00B538E2"/>
    <w:rsid w:val="00B53A4F"/>
    <w:rsid w:val="00B544DC"/>
    <w:rsid w:val="00B7388C"/>
    <w:rsid w:val="00B8183E"/>
    <w:rsid w:val="00B94FB4"/>
    <w:rsid w:val="00BB163A"/>
    <w:rsid w:val="00BB28D5"/>
    <w:rsid w:val="00BB7F93"/>
    <w:rsid w:val="00BC220C"/>
    <w:rsid w:val="00BC7D15"/>
    <w:rsid w:val="00C16C56"/>
    <w:rsid w:val="00C33476"/>
    <w:rsid w:val="00C665D5"/>
    <w:rsid w:val="00C73ED0"/>
    <w:rsid w:val="00C7585A"/>
    <w:rsid w:val="00C76393"/>
    <w:rsid w:val="00CA33A1"/>
    <w:rsid w:val="00CA4C05"/>
    <w:rsid w:val="00CA7BF7"/>
    <w:rsid w:val="00CB11B4"/>
    <w:rsid w:val="00CC48F6"/>
    <w:rsid w:val="00CE697D"/>
    <w:rsid w:val="00CF52A7"/>
    <w:rsid w:val="00D038D0"/>
    <w:rsid w:val="00D07FEC"/>
    <w:rsid w:val="00D10AC0"/>
    <w:rsid w:val="00D1312D"/>
    <w:rsid w:val="00D22699"/>
    <w:rsid w:val="00D252C5"/>
    <w:rsid w:val="00D361D3"/>
    <w:rsid w:val="00D43EE7"/>
    <w:rsid w:val="00D44BB8"/>
    <w:rsid w:val="00D503DB"/>
    <w:rsid w:val="00D57BD4"/>
    <w:rsid w:val="00D62001"/>
    <w:rsid w:val="00D676AA"/>
    <w:rsid w:val="00D8235F"/>
    <w:rsid w:val="00D943F6"/>
    <w:rsid w:val="00DA0082"/>
    <w:rsid w:val="00DA1444"/>
    <w:rsid w:val="00DB344F"/>
    <w:rsid w:val="00DC7675"/>
    <w:rsid w:val="00E0546C"/>
    <w:rsid w:val="00E14733"/>
    <w:rsid w:val="00E245C2"/>
    <w:rsid w:val="00E24997"/>
    <w:rsid w:val="00E42476"/>
    <w:rsid w:val="00E53422"/>
    <w:rsid w:val="00E54185"/>
    <w:rsid w:val="00E57FF6"/>
    <w:rsid w:val="00E6177C"/>
    <w:rsid w:val="00E63843"/>
    <w:rsid w:val="00E67C17"/>
    <w:rsid w:val="00E810C4"/>
    <w:rsid w:val="00E82EF0"/>
    <w:rsid w:val="00E85091"/>
    <w:rsid w:val="00E91C30"/>
    <w:rsid w:val="00E96A6E"/>
    <w:rsid w:val="00EA4082"/>
    <w:rsid w:val="00EB0502"/>
    <w:rsid w:val="00EC6C51"/>
    <w:rsid w:val="00F351B3"/>
    <w:rsid w:val="00F41BE8"/>
    <w:rsid w:val="00F44599"/>
    <w:rsid w:val="00F454E0"/>
    <w:rsid w:val="00F54EA3"/>
    <w:rsid w:val="00F66428"/>
    <w:rsid w:val="00F776D3"/>
    <w:rsid w:val="00FC4D84"/>
    <w:rsid w:val="00FD317D"/>
    <w:rsid w:val="00FD32D0"/>
    <w:rsid w:val="00FF5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EED"/>
    <w:pPr>
      <w:spacing w:after="240" w:line="260" w:lineRule="exact"/>
      <w:jc w:val="both"/>
    </w:pPr>
    <w:rPr>
      <w:rFonts w:ascii="Book Antiqua" w:hAnsi="Book Antiqua"/>
      <w:color w:val="000000"/>
    </w:rPr>
  </w:style>
  <w:style w:type="paragraph" w:styleId="Heading1">
    <w:name w:val="heading 1"/>
    <w:basedOn w:val="HeadingBase"/>
    <w:next w:val="Normal"/>
    <w:qFormat/>
    <w:rsid w:val="00013EED"/>
    <w:pPr>
      <w:keepNext/>
      <w:spacing w:before="284" w:after="113"/>
      <w:outlineLvl w:val="0"/>
    </w:pPr>
    <w:rPr>
      <w:rFonts w:cs="Arial"/>
      <w:b/>
      <w:bCs/>
      <w:kern w:val="32"/>
      <w:sz w:val="48"/>
      <w:szCs w:val="48"/>
    </w:rPr>
  </w:style>
  <w:style w:type="paragraph" w:styleId="Heading2">
    <w:name w:val="heading 2"/>
    <w:basedOn w:val="HeadingBase"/>
    <w:next w:val="Normal"/>
    <w:qFormat/>
    <w:rsid w:val="00013EED"/>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qFormat/>
    <w:rsid w:val="00013EED"/>
    <w:pPr>
      <w:keepNext/>
      <w:spacing w:before="57" w:after="57" w:line="280" w:lineRule="exact"/>
      <w:outlineLvl w:val="2"/>
    </w:pPr>
    <w:rPr>
      <w:rFonts w:cs="Arial"/>
      <w:b/>
      <w:bCs/>
      <w:sz w:val="24"/>
      <w:szCs w:val="26"/>
    </w:rPr>
  </w:style>
  <w:style w:type="paragraph" w:styleId="Heading4">
    <w:name w:val="heading 4"/>
    <w:basedOn w:val="HeadingBase"/>
    <w:next w:val="Normal"/>
    <w:qFormat/>
    <w:rsid w:val="00013EED"/>
    <w:pPr>
      <w:keepNext/>
      <w:spacing w:before="57" w:after="57" w:line="280" w:lineRule="exact"/>
      <w:outlineLvl w:val="3"/>
    </w:pPr>
    <w:rPr>
      <w:b/>
      <w:bCs/>
      <w:szCs w:val="22"/>
    </w:rPr>
  </w:style>
  <w:style w:type="paragraph" w:styleId="Heading5">
    <w:name w:val="heading 5"/>
    <w:basedOn w:val="HeadingBase"/>
    <w:next w:val="Normal"/>
    <w:qFormat/>
    <w:rsid w:val="00013EED"/>
    <w:pPr>
      <w:keepNext/>
      <w:spacing w:before="57" w:after="57" w:line="280" w:lineRule="exact"/>
      <w:outlineLvl w:val="4"/>
    </w:pPr>
    <w:rPr>
      <w:bCs/>
      <w:iCs/>
    </w:rPr>
  </w:style>
  <w:style w:type="paragraph" w:styleId="Heading6">
    <w:name w:val="heading 6"/>
    <w:basedOn w:val="HeadingBase"/>
    <w:next w:val="Normal"/>
    <w:qFormat/>
    <w:rsid w:val="00013EED"/>
    <w:pPr>
      <w:keepNext/>
      <w:spacing w:after="120"/>
      <w:outlineLvl w:val="5"/>
    </w:pPr>
    <w:rPr>
      <w:bCs/>
      <w:szCs w:val="22"/>
    </w:rPr>
  </w:style>
  <w:style w:type="paragraph" w:styleId="Heading7">
    <w:name w:val="heading 7"/>
    <w:basedOn w:val="Heading2"/>
    <w:next w:val="Normal"/>
    <w:qFormat/>
    <w:rsid w:val="00013EED"/>
    <w:pPr>
      <w:jc w:val="right"/>
      <w:outlineLvl w:val="6"/>
    </w:pPr>
  </w:style>
  <w:style w:type="paragraph" w:styleId="Heading8">
    <w:name w:val="heading 8"/>
    <w:basedOn w:val="HeadingBase"/>
    <w:next w:val="Normal"/>
    <w:qFormat/>
    <w:rsid w:val="00013EED"/>
    <w:pPr>
      <w:keepNext/>
      <w:spacing w:before="284" w:after="360"/>
      <w:jc w:val="right"/>
      <w:outlineLvl w:val="7"/>
    </w:pPr>
    <w:rPr>
      <w:iCs/>
      <w:sz w:val="48"/>
      <w:szCs w:val="24"/>
    </w:rPr>
  </w:style>
  <w:style w:type="paragraph" w:styleId="Heading9">
    <w:name w:val="heading 9"/>
    <w:basedOn w:val="HeadingBase"/>
    <w:next w:val="Normal"/>
    <w:qFormat/>
    <w:rsid w:val="00013EED"/>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013EED"/>
    <w:pPr>
      <w:spacing w:after="0"/>
    </w:pPr>
  </w:style>
  <w:style w:type="paragraph" w:customStyle="1" w:styleId="ChartMainHeading">
    <w:name w:val="Chart Main Heading"/>
    <w:basedOn w:val="HeadingBase"/>
    <w:next w:val="ChartGraphic"/>
    <w:rsid w:val="00013EED"/>
    <w:pPr>
      <w:keepNext/>
      <w:spacing w:before="170" w:after="113"/>
      <w:jc w:val="center"/>
    </w:pPr>
    <w:rPr>
      <w:b/>
      <w:sz w:val="22"/>
    </w:rPr>
  </w:style>
  <w:style w:type="paragraph" w:customStyle="1" w:styleId="ChartSecondHeading">
    <w:name w:val="Chart Second Heading"/>
    <w:basedOn w:val="HeadingBase"/>
    <w:next w:val="ChartGraphic"/>
    <w:rsid w:val="00013EED"/>
    <w:pPr>
      <w:keepNext/>
      <w:spacing w:after="20"/>
      <w:jc w:val="center"/>
    </w:pPr>
  </w:style>
  <w:style w:type="paragraph" w:customStyle="1" w:styleId="TableMainHeading">
    <w:name w:val="Table Main Heading"/>
    <w:basedOn w:val="HeadingBase"/>
    <w:next w:val="TableGraphic"/>
    <w:rsid w:val="00013EED"/>
    <w:pPr>
      <w:keepNext/>
      <w:spacing w:before="170" w:after="113"/>
    </w:pPr>
    <w:rPr>
      <w:b/>
      <w:sz w:val="22"/>
    </w:rPr>
  </w:style>
  <w:style w:type="table" w:styleId="TableGrid">
    <w:name w:val="Table Grid"/>
    <w:basedOn w:val="TableNormal"/>
    <w:rsid w:val="00B33CD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13EED"/>
    <w:rPr>
      <w:color w:val="000000"/>
      <w:u w:val="none"/>
    </w:rPr>
  </w:style>
  <w:style w:type="paragraph" w:customStyle="1" w:styleId="Style1">
    <w:name w:val="Style1"/>
    <w:basedOn w:val="AppendixAHeading3"/>
    <w:next w:val="AppendixAHeading4"/>
    <w:rsid w:val="00013EED"/>
    <w:pPr>
      <w:numPr>
        <w:numId w:val="0"/>
      </w:numPr>
    </w:pPr>
  </w:style>
  <w:style w:type="character" w:customStyle="1" w:styleId="Normalitalics">
    <w:name w:val="Normal italics"/>
    <w:basedOn w:val="DefaultParagraphFont"/>
    <w:rsid w:val="00A5091B"/>
    <w:rPr>
      <w:i/>
    </w:rPr>
  </w:style>
  <w:style w:type="paragraph" w:styleId="BalloonText">
    <w:name w:val="Balloon Text"/>
    <w:basedOn w:val="Normal"/>
    <w:rsid w:val="00013EED"/>
    <w:rPr>
      <w:rFonts w:ascii="Tahoma" w:hAnsi="Tahoma" w:cs="Tahoma"/>
      <w:sz w:val="16"/>
      <w:szCs w:val="16"/>
    </w:rPr>
  </w:style>
  <w:style w:type="paragraph" w:customStyle="1" w:styleId="paragraph">
    <w:name w:val="paragraph"/>
    <w:aliases w:val="a,indent(a)"/>
    <w:basedOn w:val="Normal"/>
    <w:rsid w:val="004B7110"/>
    <w:pPr>
      <w:tabs>
        <w:tab w:val="right" w:pos="1531"/>
      </w:tabs>
      <w:spacing w:before="40" w:after="0"/>
      <w:ind w:left="1644" w:hanging="1644"/>
    </w:pPr>
    <w:rPr>
      <w:szCs w:val="24"/>
    </w:rPr>
  </w:style>
  <w:style w:type="paragraph" w:customStyle="1" w:styleId="Definition">
    <w:name w:val="Definition"/>
    <w:aliases w:val="dd"/>
    <w:basedOn w:val="Normal"/>
    <w:rsid w:val="004B7110"/>
    <w:pPr>
      <w:spacing w:before="180" w:after="0"/>
      <w:ind w:left="1134"/>
    </w:pPr>
    <w:rPr>
      <w:szCs w:val="24"/>
    </w:rPr>
  </w:style>
  <w:style w:type="paragraph" w:customStyle="1" w:styleId="AppendixAHeading3NotItalic">
    <w:name w:val="AppendixAHeading3NotItalic"/>
    <w:basedOn w:val="HeadingBase"/>
    <w:next w:val="AppendixAHeading4"/>
    <w:rsid w:val="00013EED"/>
    <w:pPr>
      <w:numPr>
        <w:numId w:val="30"/>
      </w:numPr>
      <w:spacing w:before="57" w:after="57" w:line="280" w:lineRule="exact"/>
    </w:pPr>
    <w:rPr>
      <w:rFonts w:ascii="Arial Bold" w:hAnsi="Arial Bold"/>
      <w:b/>
      <w:sz w:val="24"/>
    </w:rPr>
  </w:style>
  <w:style w:type="character" w:styleId="CommentReference">
    <w:name w:val="annotation reference"/>
    <w:basedOn w:val="DefaultParagraphFont"/>
    <w:rsid w:val="00013EED"/>
    <w:rPr>
      <w:sz w:val="16"/>
      <w:szCs w:val="16"/>
    </w:rPr>
  </w:style>
  <w:style w:type="paragraph" w:styleId="CommentText">
    <w:name w:val="annotation text"/>
    <w:basedOn w:val="Normal"/>
    <w:rsid w:val="00013EED"/>
  </w:style>
  <w:style w:type="paragraph" w:styleId="CommentSubject">
    <w:name w:val="annotation subject"/>
    <w:basedOn w:val="CommentText"/>
    <w:next w:val="CommentText"/>
    <w:rsid w:val="00013EED"/>
    <w:rPr>
      <w:b/>
      <w:bCs/>
    </w:rPr>
  </w:style>
  <w:style w:type="character" w:styleId="Hyperlink">
    <w:name w:val="Hyperlink"/>
    <w:basedOn w:val="DefaultParagraphFont"/>
    <w:rsid w:val="00013EED"/>
    <w:rPr>
      <w:color w:val="000000"/>
      <w:u w:val="none"/>
    </w:rPr>
  </w:style>
  <w:style w:type="character" w:styleId="FootnoteReference">
    <w:name w:val="footnote reference"/>
    <w:basedOn w:val="DefaultParagraphFont"/>
    <w:rsid w:val="00013EED"/>
    <w:rPr>
      <w:vertAlign w:val="superscript"/>
    </w:rPr>
  </w:style>
  <w:style w:type="character" w:styleId="PageNumber">
    <w:name w:val="page number"/>
    <w:basedOn w:val="DefaultParagraphFont"/>
    <w:rsid w:val="00FC4D84"/>
    <w:rPr>
      <w:rFonts w:ascii="Times" w:hAnsi="Times"/>
      <w:color w:val="72B4E7"/>
      <w:sz w:val="18"/>
      <w:szCs w:val="18"/>
    </w:rPr>
  </w:style>
  <w:style w:type="paragraph" w:styleId="FootnoteText">
    <w:name w:val="footnote text"/>
    <w:basedOn w:val="Normal"/>
    <w:rsid w:val="00013EED"/>
    <w:pPr>
      <w:tabs>
        <w:tab w:val="left" w:pos="284"/>
      </w:tabs>
      <w:spacing w:after="0" w:line="240" w:lineRule="auto"/>
      <w:ind w:left="284" w:hanging="284"/>
    </w:pPr>
    <w:rPr>
      <w:sz w:val="18"/>
    </w:rPr>
  </w:style>
  <w:style w:type="paragraph" w:customStyle="1" w:styleId="Bullet">
    <w:name w:val="Bullet"/>
    <w:basedOn w:val="Normal"/>
    <w:rsid w:val="00013EED"/>
    <w:pPr>
      <w:numPr>
        <w:numId w:val="1"/>
      </w:numPr>
      <w:ind w:left="284" w:hanging="284"/>
    </w:pPr>
  </w:style>
  <w:style w:type="paragraph" w:customStyle="1" w:styleId="Dash">
    <w:name w:val="Dash"/>
    <w:basedOn w:val="Normal"/>
    <w:rsid w:val="00013EED"/>
    <w:pPr>
      <w:numPr>
        <w:ilvl w:val="1"/>
        <w:numId w:val="1"/>
      </w:numPr>
      <w:ind w:left="568"/>
    </w:pPr>
  </w:style>
  <w:style w:type="paragraph" w:customStyle="1" w:styleId="DoubleDot">
    <w:name w:val="Double Dot"/>
    <w:basedOn w:val="Normal"/>
    <w:rsid w:val="00013EED"/>
    <w:pPr>
      <w:numPr>
        <w:ilvl w:val="2"/>
        <w:numId w:val="1"/>
      </w:numPr>
    </w:pPr>
  </w:style>
  <w:style w:type="paragraph" w:customStyle="1" w:styleId="OutlineNumbered1">
    <w:name w:val="Outline Numbered 1"/>
    <w:basedOn w:val="Normal"/>
    <w:rsid w:val="00013EED"/>
    <w:pPr>
      <w:numPr>
        <w:numId w:val="2"/>
      </w:numPr>
    </w:pPr>
  </w:style>
  <w:style w:type="paragraph" w:customStyle="1" w:styleId="OutlineNumbered2">
    <w:name w:val="Outline Numbered 2"/>
    <w:basedOn w:val="Normal"/>
    <w:rsid w:val="00013EED"/>
    <w:pPr>
      <w:numPr>
        <w:ilvl w:val="1"/>
        <w:numId w:val="2"/>
      </w:numPr>
    </w:pPr>
  </w:style>
  <w:style w:type="paragraph" w:customStyle="1" w:styleId="OutlineNumbered3">
    <w:name w:val="Outline Numbered 3"/>
    <w:basedOn w:val="Normal"/>
    <w:rsid w:val="00013EED"/>
    <w:pPr>
      <w:numPr>
        <w:ilvl w:val="2"/>
        <w:numId w:val="2"/>
      </w:numPr>
    </w:pPr>
  </w:style>
  <w:style w:type="paragraph" w:customStyle="1" w:styleId="AlphaParagraph">
    <w:name w:val="Alpha Paragraph"/>
    <w:basedOn w:val="Normal"/>
    <w:rsid w:val="00013EED"/>
    <w:pPr>
      <w:numPr>
        <w:numId w:val="3"/>
      </w:numPr>
    </w:pPr>
  </w:style>
  <w:style w:type="paragraph" w:customStyle="1" w:styleId="HeadingBase">
    <w:name w:val="Heading Base"/>
    <w:next w:val="Normal"/>
    <w:rsid w:val="00FC4D84"/>
    <w:rPr>
      <w:rFonts w:ascii="Arial" w:hAnsi="Arial"/>
      <w:color w:val="72B4E7"/>
    </w:rPr>
  </w:style>
  <w:style w:type="paragraph" w:customStyle="1" w:styleId="AppendixHeading">
    <w:name w:val="Appendix Heading"/>
    <w:basedOn w:val="HeadingBase"/>
    <w:next w:val="Normal"/>
    <w:rsid w:val="00013EED"/>
    <w:pPr>
      <w:spacing w:before="720" w:after="360"/>
    </w:pPr>
    <w:rPr>
      <w:rFonts w:ascii="Arial Bold" w:hAnsi="Arial Bold"/>
      <w:b/>
      <w:smallCaps/>
      <w:sz w:val="36"/>
      <w:szCs w:val="36"/>
    </w:rPr>
  </w:style>
  <w:style w:type="character" w:customStyle="1" w:styleId="Bold">
    <w:name w:val="Bold"/>
    <w:basedOn w:val="DefaultParagraphFont"/>
    <w:rsid w:val="00013EED"/>
    <w:rPr>
      <w:b/>
    </w:rPr>
  </w:style>
  <w:style w:type="paragraph" w:customStyle="1" w:styleId="BoxHeading">
    <w:name w:val="Box Heading"/>
    <w:basedOn w:val="HeadingBase"/>
    <w:next w:val="BoxText"/>
    <w:rsid w:val="00013EED"/>
    <w:pPr>
      <w:spacing w:before="120" w:after="120"/>
    </w:pPr>
    <w:rPr>
      <w:b/>
      <w:sz w:val="22"/>
    </w:rPr>
  </w:style>
  <w:style w:type="paragraph" w:customStyle="1" w:styleId="BoxTextBase">
    <w:name w:val="Box Text Base"/>
    <w:basedOn w:val="Normal"/>
    <w:rsid w:val="00013EED"/>
    <w:pPr>
      <w:spacing w:before="120" w:after="120" w:line="240" w:lineRule="auto"/>
    </w:pPr>
  </w:style>
  <w:style w:type="paragraph" w:customStyle="1" w:styleId="ChartandTableFootnoteAlpha">
    <w:name w:val="Chart and Table Footnote Alpha"/>
    <w:rsid w:val="00013EED"/>
    <w:pPr>
      <w:numPr>
        <w:numId w:val="4"/>
      </w:numPr>
      <w:jc w:val="both"/>
    </w:pPr>
    <w:rPr>
      <w:rFonts w:ascii="Arial" w:hAnsi="Arial"/>
      <w:color w:val="000000"/>
      <w:sz w:val="16"/>
      <w:szCs w:val="16"/>
    </w:rPr>
  </w:style>
  <w:style w:type="paragraph" w:customStyle="1" w:styleId="ChartGraphic">
    <w:name w:val="Chart Graphic"/>
    <w:basedOn w:val="HeadingBase"/>
    <w:rsid w:val="00013EED"/>
    <w:pPr>
      <w:jc w:val="center"/>
    </w:pPr>
  </w:style>
  <w:style w:type="paragraph" w:customStyle="1" w:styleId="ChartorTableNote">
    <w:name w:val="Chart or Table Note"/>
    <w:next w:val="Normal"/>
    <w:rsid w:val="00013EED"/>
    <w:pPr>
      <w:jc w:val="both"/>
    </w:pPr>
    <w:rPr>
      <w:rFonts w:ascii="Arial" w:hAnsi="Arial"/>
      <w:color w:val="000000"/>
      <w:sz w:val="16"/>
    </w:rPr>
  </w:style>
  <w:style w:type="paragraph" w:customStyle="1" w:styleId="Classification">
    <w:name w:val="Classification"/>
    <w:basedOn w:val="HeadingBase"/>
    <w:next w:val="Footer"/>
    <w:rsid w:val="00013EED"/>
    <w:pPr>
      <w:spacing w:after="120"/>
      <w:jc w:val="center"/>
    </w:pPr>
    <w:rPr>
      <w:b/>
      <w:smallCaps/>
    </w:rPr>
  </w:style>
  <w:style w:type="paragraph" w:styleId="Footer">
    <w:name w:val="footer"/>
    <w:basedOn w:val="HeadingBase"/>
    <w:rsid w:val="00013EED"/>
    <w:rPr>
      <w:sz w:val="18"/>
    </w:rPr>
  </w:style>
  <w:style w:type="paragraph" w:customStyle="1" w:styleId="ContentsHeading">
    <w:name w:val="Contents Heading"/>
    <w:basedOn w:val="HeadingBase"/>
    <w:next w:val="Normal"/>
    <w:rsid w:val="00013EED"/>
    <w:pPr>
      <w:spacing w:after="360"/>
    </w:pPr>
    <w:rPr>
      <w:smallCaps/>
      <w:sz w:val="36"/>
      <w:szCs w:val="36"/>
    </w:rPr>
  </w:style>
  <w:style w:type="paragraph" w:customStyle="1" w:styleId="CoverTitleMain">
    <w:name w:val="Cover Title Main"/>
    <w:basedOn w:val="HeadingBase"/>
    <w:next w:val="Normal"/>
    <w:rsid w:val="00013EED"/>
    <w:pPr>
      <w:spacing w:after="360"/>
      <w:jc w:val="right"/>
    </w:pPr>
    <w:rPr>
      <w:b/>
      <w:sz w:val="44"/>
    </w:rPr>
  </w:style>
  <w:style w:type="paragraph" w:customStyle="1" w:styleId="CoverTitleSub">
    <w:name w:val="Cover Title Sub"/>
    <w:basedOn w:val="HeadingBase"/>
    <w:rsid w:val="00013EED"/>
    <w:pPr>
      <w:spacing w:after="360"/>
      <w:jc w:val="center"/>
    </w:pPr>
    <w:rPr>
      <w:sz w:val="36"/>
    </w:rPr>
  </w:style>
  <w:style w:type="paragraph" w:customStyle="1" w:styleId="FooterCentered">
    <w:name w:val="Footer Centered"/>
    <w:basedOn w:val="Footer"/>
    <w:rsid w:val="00013EED"/>
    <w:pPr>
      <w:jc w:val="center"/>
    </w:pPr>
  </w:style>
  <w:style w:type="paragraph" w:customStyle="1" w:styleId="FooterEven">
    <w:name w:val="Footer Even"/>
    <w:basedOn w:val="Footer"/>
    <w:rsid w:val="00013EED"/>
  </w:style>
  <w:style w:type="paragraph" w:customStyle="1" w:styleId="FooterOdd">
    <w:name w:val="Footer Odd"/>
    <w:basedOn w:val="Footer"/>
    <w:rsid w:val="00013EED"/>
    <w:pPr>
      <w:jc w:val="right"/>
    </w:pPr>
  </w:style>
  <w:style w:type="character" w:customStyle="1" w:styleId="FramedFooter">
    <w:name w:val="Framed Footer"/>
    <w:rsid w:val="00FC4D84"/>
    <w:rPr>
      <w:rFonts w:ascii="Swis721 Lt BT" w:hAnsi="Swis721 Lt BT"/>
      <w:color w:val="72B4E7"/>
      <w:sz w:val="18"/>
      <w:szCs w:val="18"/>
    </w:rPr>
  </w:style>
  <w:style w:type="character" w:customStyle="1" w:styleId="FramedHeader">
    <w:name w:val="Framed Header"/>
    <w:basedOn w:val="DefaultParagraphFont"/>
    <w:rsid w:val="00FC4D84"/>
    <w:rPr>
      <w:rFonts w:ascii="Arial" w:hAnsi="Arial"/>
      <w:dstrike w:val="0"/>
      <w:color w:val="72B4E7"/>
      <w:sz w:val="18"/>
      <w:szCs w:val="18"/>
      <w:vertAlign w:val="baseline"/>
    </w:rPr>
  </w:style>
  <w:style w:type="paragraph" w:styleId="Header">
    <w:name w:val="header"/>
    <w:basedOn w:val="HeadingBase"/>
    <w:rsid w:val="00013EED"/>
    <w:rPr>
      <w:sz w:val="18"/>
    </w:rPr>
  </w:style>
  <w:style w:type="paragraph" w:customStyle="1" w:styleId="HeaderEven">
    <w:name w:val="Header Even"/>
    <w:basedOn w:val="Header"/>
    <w:rsid w:val="00013EED"/>
  </w:style>
  <w:style w:type="paragraph" w:customStyle="1" w:styleId="HeaderOdd">
    <w:name w:val="Header Odd"/>
    <w:basedOn w:val="Header"/>
    <w:rsid w:val="00013EED"/>
    <w:pPr>
      <w:jc w:val="right"/>
    </w:pPr>
  </w:style>
  <w:style w:type="paragraph" w:styleId="NormalIndent">
    <w:name w:val="Normal Indent"/>
    <w:basedOn w:val="Normal"/>
    <w:rsid w:val="00013EED"/>
    <w:pPr>
      <w:ind w:left="567"/>
    </w:pPr>
  </w:style>
  <w:style w:type="paragraph" w:customStyle="1" w:styleId="RecommendationHeading">
    <w:name w:val="Recommendation Heading"/>
    <w:basedOn w:val="HeadingBase"/>
    <w:next w:val="RecommendationText"/>
    <w:rsid w:val="00013EED"/>
    <w:pPr>
      <w:spacing w:after="240"/>
    </w:pPr>
    <w:rPr>
      <w:b/>
      <w:sz w:val="22"/>
    </w:rPr>
  </w:style>
  <w:style w:type="paragraph" w:customStyle="1" w:styleId="RecommendationBaseText">
    <w:name w:val="Recommendation Base Text"/>
    <w:basedOn w:val="Normal"/>
    <w:rsid w:val="00013EED"/>
  </w:style>
  <w:style w:type="paragraph" w:customStyle="1" w:styleId="RecommendationText">
    <w:name w:val="Recommendation Text"/>
    <w:basedOn w:val="RecommendationBaseText"/>
    <w:rsid w:val="00013EED"/>
  </w:style>
  <w:style w:type="paragraph" w:customStyle="1" w:styleId="TableTextBase">
    <w:name w:val="Table Text Base"/>
    <w:rsid w:val="00013EED"/>
    <w:pPr>
      <w:spacing w:before="40" w:after="40"/>
    </w:pPr>
    <w:rPr>
      <w:rFonts w:ascii="Arial" w:hAnsi="Arial"/>
      <w:color w:val="000000"/>
      <w:sz w:val="16"/>
    </w:rPr>
  </w:style>
  <w:style w:type="paragraph" w:customStyle="1" w:styleId="TableColumnHeadingCentred">
    <w:name w:val="Table Column Heading Centred"/>
    <w:basedOn w:val="TableTextBase"/>
    <w:rsid w:val="00013EED"/>
    <w:pPr>
      <w:jc w:val="center"/>
    </w:pPr>
    <w:rPr>
      <w:b/>
    </w:rPr>
  </w:style>
  <w:style w:type="paragraph" w:customStyle="1" w:styleId="TableColumnHeadingLeft">
    <w:name w:val="Table Column Heading Left"/>
    <w:basedOn w:val="TableTextBase"/>
    <w:rsid w:val="00013EED"/>
    <w:rPr>
      <w:b/>
    </w:rPr>
  </w:style>
  <w:style w:type="paragraph" w:customStyle="1" w:styleId="TableColumnHeadingRight">
    <w:name w:val="Table Column Heading Right"/>
    <w:basedOn w:val="TableTextBase"/>
    <w:rsid w:val="00013EED"/>
    <w:pPr>
      <w:jc w:val="right"/>
    </w:pPr>
    <w:rPr>
      <w:b/>
    </w:rPr>
  </w:style>
  <w:style w:type="paragraph" w:customStyle="1" w:styleId="TableGraphic">
    <w:name w:val="Table Graphic"/>
    <w:basedOn w:val="HeadingBase"/>
    <w:next w:val="Normal"/>
    <w:rsid w:val="00013EED"/>
    <w:pPr>
      <w:spacing w:after="20"/>
      <w:ind w:right="-113"/>
    </w:pPr>
    <w:rPr>
      <w:rFonts w:ascii="Helvetica" w:hAnsi="Helvetica"/>
    </w:rPr>
  </w:style>
  <w:style w:type="paragraph" w:customStyle="1" w:styleId="TableMainHeadingContd">
    <w:name w:val="Table Main Heading Contd"/>
    <w:basedOn w:val="HeadingBase"/>
    <w:next w:val="TableGraphic"/>
    <w:rsid w:val="00013EED"/>
    <w:pPr>
      <w:keepNext/>
      <w:spacing w:after="20"/>
    </w:pPr>
    <w:rPr>
      <w:b/>
      <w:sz w:val="22"/>
    </w:rPr>
  </w:style>
  <w:style w:type="paragraph" w:customStyle="1" w:styleId="TableSecondHeading">
    <w:name w:val="Table Second Heading"/>
    <w:basedOn w:val="HeadingBase"/>
    <w:next w:val="TableGraphic"/>
    <w:rsid w:val="00013EED"/>
    <w:pPr>
      <w:keepNext/>
      <w:spacing w:after="20"/>
    </w:pPr>
  </w:style>
  <w:style w:type="paragraph" w:customStyle="1" w:styleId="TableTextCentered">
    <w:name w:val="Table Text Centered"/>
    <w:basedOn w:val="TableTextBase"/>
    <w:rsid w:val="00013EED"/>
    <w:pPr>
      <w:jc w:val="center"/>
    </w:pPr>
  </w:style>
  <w:style w:type="paragraph" w:customStyle="1" w:styleId="TableTextIndented">
    <w:name w:val="Table Text Indented"/>
    <w:basedOn w:val="TableTextBase"/>
    <w:rsid w:val="00013EED"/>
    <w:pPr>
      <w:ind w:left="284"/>
    </w:pPr>
  </w:style>
  <w:style w:type="paragraph" w:customStyle="1" w:styleId="TableTextLeft">
    <w:name w:val="Table Text Left"/>
    <w:basedOn w:val="TableTextBase"/>
    <w:rsid w:val="00013EED"/>
  </w:style>
  <w:style w:type="paragraph" w:customStyle="1" w:styleId="TableTextRight">
    <w:name w:val="Table Text Right"/>
    <w:basedOn w:val="TableTextBase"/>
    <w:rsid w:val="00013EED"/>
    <w:pPr>
      <w:jc w:val="right"/>
    </w:pPr>
  </w:style>
  <w:style w:type="paragraph" w:styleId="TOC1">
    <w:name w:val="toc 1"/>
    <w:basedOn w:val="HeadingBase"/>
    <w:next w:val="Normal"/>
    <w:rsid w:val="00013EED"/>
    <w:pPr>
      <w:tabs>
        <w:tab w:val="right" w:leader="dot" w:pos="7700"/>
      </w:tabs>
      <w:spacing w:before="180"/>
      <w:ind w:right="851"/>
    </w:pPr>
    <w:rPr>
      <w:b/>
      <w:smallCaps/>
      <w:noProof/>
      <w:sz w:val="22"/>
      <w:szCs w:val="22"/>
    </w:rPr>
  </w:style>
  <w:style w:type="paragraph" w:styleId="TOC2">
    <w:name w:val="toc 2"/>
    <w:basedOn w:val="Normal"/>
    <w:next w:val="Normal"/>
    <w:rsid w:val="00013EED"/>
    <w:pPr>
      <w:tabs>
        <w:tab w:val="right" w:leader="dot" w:pos="7700"/>
      </w:tabs>
      <w:spacing w:after="0"/>
      <w:ind w:right="851"/>
      <w:jc w:val="left"/>
    </w:pPr>
    <w:rPr>
      <w:noProof/>
    </w:rPr>
  </w:style>
  <w:style w:type="paragraph" w:styleId="TOC3">
    <w:name w:val="toc 3"/>
    <w:basedOn w:val="Normal"/>
    <w:next w:val="Normal"/>
    <w:rsid w:val="00013EED"/>
    <w:pPr>
      <w:tabs>
        <w:tab w:val="right" w:leader="dot" w:pos="7700"/>
      </w:tabs>
      <w:spacing w:after="0" w:line="240" w:lineRule="auto"/>
      <w:ind w:left="284" w:right="851"/>
      <w:jc w:val="left"/>
    </w:pPr>
    <w:rPr>
      <w:noProof/>
    </w:rPr>
  </w:style>
  <w:style w:type="paragraph" w:styleId="TOC4">
    <w:name w:val="toc 4"/>
    <w:basedOn w:val="Normal"/>
    <w:next w:val="Normal"/>
    <w:rsid w:val="00013EED"/>
    <w:pPr>
      <w:tabs>
        <w:tab w:val="right" w:leader="dot" w:pos="7700"/>
      </w:tabs>
      <w:spacing w:after="0" w:line="240" w:lineRule="auto"/>
      <w:ind w:left="284" w:right="851" w:hanging="284"/>
      <w:jc w:val="left"/>
    </w:pPr>
    <w:rPr>
      <w:noProof/>
    </w:rPr>
  </w:style>
  <w:style w:type="character" w:customStyle="1" w:styleId="Italic">
    <w:name w:val="Italic"/>
    <w:basedOn w:val="DefaultParagraphFont"/>
    <w:rsid w:val="00013EED"/>
    <w:rPr>
      <w:i/>
    </w:rPr>
  </w:style>
  <w:style w:type="paragraph" w:customStyle="1" w:styleId="OneLevelNumberedParagraph">
    <w:name w:val="One Level Numbered Paragraph"/>
    <w:basedOn w:val="Normal"/>
    <w:rsid w:val="00013EED"/>
    <w:pPr>
      <w:numPr>
        <w:numId w:val="8"/>
      </w:numPr>
    </w:pPr>
  </w:style>
  <w:style w:type="paragraph" w:customStyle="1" w:styleId="BoxText">
    <w:name w:val="Box Text"/>
    <w:basedOn w:val="BoxTextBase"/>
    <w:rsid w:val="00013EED"/>
  </w:style>
  <w:style w:type="paragraph" w:customStyle="1" w:styleId="BoxBullet">
    <w:name w:val="Box Bullet"/>
    <w:basedOn w:val="BoxTextBase"/>
    <w:rsid w:val="00013EED"/>
    <w:pPr>
      <w:numPr>
        <w:numId w:val="7"/>
      </w:numPr>
    </w:pPr>
  </w:style>
  <w:style w:type="paragraph" w:customStyle="1" w:styleId="BoxDash">
    <w:name w:val="Box Dash"/>
    <w:basedOn w:val="Normal"/>
    <w:rsid w:val="00013EED"/>
    <w:pPr>
      <w:numPr>
        <w:ilvl w:val="1"/>
        <w:numId w:val="7"/>
      </w:numPr>
    </w:pPr>
  </w:style>
  <w:style w:type="paragraph" w:customStyle="1" w:styleId="BoxDoubleDot">
    <w:name w:val="Box Double Dot"/>
    <w:basedOn w:val="BoxTextBase"/>
    <w:rsid w:val="00013EED"/>
    <w:pPr>
      <w:numPr>
        <w:ilvl w:val="2"/>
        <w:numId w:val="7"/>
      </w:numPr>
    </w:pPr>
  </w:style>
  <w:style w:type="paragraph" w:customStyle="1" w:styleId="RecommendationBullet">
    <w:name w:val="Recommendation Bullet"/>
    <w:basedOn w:val="RecommendationBaseText"/>
    <w:rsid w:val="00013EED"/>
    <w:pPr>
      <w:numPr>
        <w:numId w:val="9"/>
      </w:numPr>
    </w:pPr>
  </w:style>
  <w:style w:type="paragraph" w:customStyle="1" w:styleId="RecommendationDash">
    <w:name w:val="Recommendation Dash"/>
    <w:basedOn w:val="RecommendationBaseText"/>
    <w:rsid w:val="00013EED"/>
    <w:pPr>
      <w:numPr>
        <w:ilvl w:val="1"/>
        <w:numId w:val="9"/>
      </w:numPr>
    </w:pPr>
  </w:style>
  <w:style w:type="paragraph" w:customStyle="1" w:styleId="RecommendationDoubleDot">
    <w:name w:val="Recommendation Double Dot"/>
    <w:basedOn w:val="RecommendationBaseText"/>
    <w:rsid w:val="00013EED"/>
    <w:pPr>
      <w:numPr>
        <w:ilvl w:val="2"/>
        <w:numId w:val="9"/>
      </w:numPr>
    </w:pPr>
  </w:style>
  <w:style w:type="character" w:customStyle="1" w:styleId="Boldanditalic">
    <w:name w:val="Bold and italic"/>
    <w:basedOn w:val="DefaultParagraphFont"/>
    <w:rsid w:val="00013EED"/>
    <w:rPr>
      <w:b/>
      <w:i/>
    </w:rPr>
  </w:style>
  <w:style w:type="paragraph" w:styleId="Caption">
    <w:name w:val="caption"/>
    <w:basedOn w:val="Normal"/>
    <w:next w:val="Normal"/>
    <w:qFormat/>
    <w:rsid w:val="00013EED"/>
    <w:pPr>
      <w:spacing w:before="120" w:after="120"/>
    </w:pPr>
    <w:rPr>
      <w:b/>
      <w:bCs/>
    </w:rPr>
  </w:style>
  <w:style w:type="paragraph" w:styleId="DocumentMap">
    <w:name w:val="Document Map"/>
    <w:basedOn w:val="Normal"/>
    <w:rsid w:val="00013EED"/>
    <w:pPr>
      <w:shd w:val="clear" w:color="auto" w:fill="000080"/>
    </w:pPr>
    <w:rPr>
      <w:rFonts w:ascii="Tahoma" w:hAnsi="Tahoma" w:cs="Tahoma"/>
    </w:rPr>
  </w:style>
  <w:style w:type="character" w:styleId="EndnoteReference">
    <w:name w:val="endnote reference"/>
    <w:basedOn w:val="DefaultParagraphFont"/>
    <w:rsid w:val="00013EED"/>
    <w:rPr>
      <w:vertAlign w:val="superscript"/>
    </w:rPr>
  </w:style>
  <w:style w:type="paragraph" w:styleId="EndnoteText">
    <w:name w:val="endnote text"/>
    <w:basedOn w:val="Normal"/>
    <w:rsid w:val="00013EED"/>
  </w:style>
  <w:style w:type="paragraph" w:styleId="Index1">
    <w:name w:val="index 1"/>
    <w:basedOn w:val="Normal"/>
    <w:next w:val="Normal"/>
    <w:autoRedefine/>
    <w:rsid w:val="00013EED"/>
    <w:pPr>
      <w:ind w:left="200" w:hanging="200"/>
    </w:pPr>
  </w:style>
  <w:style w:type="paragraph" w:styleId="Index2">
    <w:name w:val="index 2"/>
    <w:basedOn w:val="Normal"/>
    <w:next w:val="Normal"/>
    <w:autoRedefine/>
    <w:rsid w:val="00013EED"/>
    <w:pPr>
      <w:ind w:left="400" w:hanging="200"/>
    </w:pPr>
  </w:style>
  <w:style w:type="paragraph" w:styleId="Index3">
    <w:name w:val="index 3"/>
    <w:basedOn w:val="Normal"/>
    <w:next w:val="Normal"/>
    <w:autoRedefine/>
    <w:rsid w:val="00013EED"/>
    <w:pPr>
      <w:ind w:left="600" w:hanging="200"/>
    </w:pPr>
  </w:style>
  <w:style w:type="paragraph" w:styleId="Index4">
    <w:name w:val="index 4"/>
    <w:basedOn w:val="Normal"/>
    <w:next w:val="Normal"/>
    <w:autoRedefine/>
    <w:rsid w:val="00013EED"/>
    <w:pPr>
      <w:ind w:left="800" w:hanging="200"/>
    </w:pPr>
  </w:style>
  <w:style w:type="paragraph" w:styleId="Index5">
    <w:name w:val="index 5"/>
    <w:basedOn w:val="Normal"/>
    <w:next w:val="Normal"/>
    <w:autoRedefine/>
    <w:rsid w:val="00013EED"/>
    <w:pPr>
      <w:ind w:left="1000" w:hanging="200"/>
    </w:pPr>
  </w:style>
  <w:style w:type="paragraph" w:styleId="Index6">
    <w:name w:val="index 6"/>
    <w:basedOn w:val="Normal"/>
    <w:next w:val="Normal"/>
    <w:autoRedefine/>
    <w:rsid w:val="00013EED"/>
    <w:pPr>
      <w:ind w:left="1200" w:hanging="200"/>
    </w:pPr>
  </w:style>
  <w:style w:type="paragraph" w:styleId="Index7">
    <w:name w:val="index 7"/>
    <w:basedOn w:val="Normal"/>
    <w:next w:val="Normal"/>
    <w:autoRedefine/>
    <w:rsid w:val="00013EED"/>
    <w:pPr>
      <w:ind w:left="1400" w:hanging="200"/>
    </w:pPr>
  </w:style>
  <w:style w:type="paragraph" w:styleId="Index8">
    <w:name w:val="index 8"/>
    <w:basedOn w:val="Normal"/>
    <w:next w:val="Normal"/>
    <w:autoRedefine/>
    <w:rsid w:val="00013EED"/>
    <w:pPr>
      <w:ind w:left="1600" w:hanging="200"/>
    </w:pPr>
  </w:style>
  <w:style w:type="paragraph" w:styleId="Index9">
    <w:name w:val="index 9"/>
    <w:basedOn w:val="Normal"/>
    <w:next w:val="Normal"/>
    <w:autoRedefine/>
    <w:rsid w:val="00013EED"/>
    <w:pPr>
      <w:ind w:left="1800" w:hanging="200"/>
    </w:pPr>
  </w:style>
  <w:style w:type="paragraph" w:styleId="IndexHeading">
    <w:name w:val="index heading"/>
    <w:basedOn w:val="Normal"/>
    <w:next w:val="Index1"/>
    <w:rsid w:val="00FC4D84"/>
    <w:rPr>
      <w:rFonts w:ascii="Arial" w:hAnsi="Arial" w:cs="Arial"/>
      <w:b/>
      <w:bCs/>
      <w:color w:val="72B4E7"/>
    </w:rPr>
  </w:style>
  <w:style w:type="paragraph" w:styleId="MacroText">
    <w:name w:val="macro"/>
    <w:rsid w:val="00013EE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013EED"/>
    <w:pPr>
      <w:ind w:left="200" w:hanging="200"/>
    </w:pPr>
  </w:style>
  <w:style w:type="paragraph" w:styleId="TableofFigures">
    <w:name w:val="table of figures"/>
    <w:basedOn w:val="Normal"/>
    <w:next w:val="Normal"/>
    <w:rsid w:val="00013EED"/>
    <w:pPr>
      <w:ind w:left="400" w:hanging="400"/>
    </w:pPr>
  </w:style>
  <w:style w:type="paragraph" w:styleId="TOAHeading">
    <w:name w:val="toa heading"/>
    <w:basedOn w:val="Normal"/>
    <w:next w:val="Normal"/>
    <w:rsid w:val="00013EED"/>
    <w:pPr>
      <w:spacing w:before="120"/>
    </w:pPr>
    <w:rPr>
      <w:rFonts w:ascii="Arial" w:hAnsi="Arial" w:cs="Arial"/>
      <w:b/>
      <w:bCs/>
      <w:sz w:val="24"/>
      <w:szCs w:val="24"/>
    </w:rPr>
  </w:style>
  <w:style w:type="paragraph" w:styleId="TOC5">
    <w:name w:val="toc 5"/>
    <w:basedOn w:val="TOC2"/>
    <w:next w:val="Normal"/>
    <w:autoRedefine/>
    <w:rsid w:val="00013EED"/>
    <w:pPr>
      <w:ind w:left="1260" w:hanging="1260"/>
    </w:pPr>
  </w:style>
  <w:style w:type="paragraph" w:styleId="TOC6">
    <w:name w:val="toc 6"/>
    <w:basedOn w:val="TOC5"/>
    <w:next w:val="Normal"/>
    <w:rsid w:val="00013EED"/>
    <w:pPr>
      <w:tabs>
        <w:tab w:val="left" w:pos="1080"/>
        <w:tab w:val="left" w:pos="1134"/>
      </w:tabs>
      <w:ind w:left="1080" w:hanging="1080"/>
    </w:pPr>
  </w:style>
  <w:style w:type="paragraph" w:styleId="TOC7">
    <w:name w:val="toc 7"/>
    <w:basedOn w:val="Normal"/>
    <w:next w:val="Normal"/>
    <w:autoRedefine/>
    <w:rsid w:val="00013EED"/>
    <w:pPr>
      <w:ind w:left="1200"/>
    </w:pPr>
  </w:style>
  <w:style w:type="paragraph" w:styleId="TOC8">
    <w:name w:val="toc 8"/>
    <w:basedOn w:val="Normal"/>
    <w:next w:val="Normal"/>
    <w:autoRedefine/>
    <w:rsid w:val="00013EED"/>
    <w:pPr>
      <w:ind w:left="1400"/>
    </w:pPr>
  </w:style>
  <w:style w:type="paragraph" w:styleId="TOC9">
    <w:name w:val="toc 9"/>
    <w:basedOn w:val="Normal"/>
    <w:next w:val="Normal"/>
    <w:autoRedefine/>
    <w:rsid w:val="00013EED"/>
    <w:pPr>
      <w:ind w:left="1600"/>
    </w:pPr>
  </w:style>
  <w:style w:type="paragraph" w:customStyle="1" w:styleId="AppendixAHeading3">
    <w:name w:val="AppendixAHeading3"/>
    <w:basedOn w:val="Heading3"/>
    <w:next w:val="AppendixAHeading4"/>
    <w:rsid w:val="00013EED"/>
    <w:pPr>
      <w:numPr>
        <w:numId w:val="29"/>
      </w:numPr>
    </w:pPr>
    <w:rPr>
      <w:rFonts w:ascii="Arial Bold" w:hAnsi="Arial Bold"/>
      <w:i/>
    </w:rPr>
  </w:style>
  <w:style w:type="paragraph" w:customStyle="1" w:styleId="AppendixAHeading4">
    <w:name w:val="AppendixAHeading4"/>
    <w:basedOn w:val="Heading4"/>
    <w:next w:val="Bullet"/>
    <w:rsid w:val="00013EED"/>
    <w:pPr>
      <w:numPr>
        <w:ilvl w:val="1"/>
        <w:numId w:val="30"/>
      </w:numPr>
    </w:pPr>
  </w:style>
  <w:style w:type="paragraph" w:customStyle="1" w:styleId="AppendixGHeading3">
    <w:name w:val="AppendixGHeading3"/>
    <w:basedOn w:val="Heading3"/>
    <w:rsid w:val="00013EED"/>
    <w:pPr>
      <w:numPr>
        <w:numId w:val="25"/>
      </w:numPr>
    </w:pPr>
  </w:style>
  <w:style w:type="paragraph" w:customStyle="1" w:styleId="NumberedParagraph">
    <w:name w:val="Numbered Paragraph"/>
    <w:basedOn w:val="Normal"/>
    <w:rsid w:val="00013EED"/>
    <w:pPr>
      <w:numPr>
        <w:numId w:val="22"/>
      </w:numPr>
    </w:pPr>
  </w:style>
  <w:style w:type="paragraph" w:customStyle="1" w:styleId="Heading3noTOC">
    <w:name w:val="Heading 3 no TOC"/>
    <w:basedOn w:val="Heading3"/>
    <w:rsid w:val="00013EED"/>
    <w:pPr>
      <w:outlineLvl w:val="9"/>
    </w:pPr>
  </w:style>
  <w:style w:type="paragraph" w:customStyle="1" w:styleId="Heading1noTOC">
    <w:name w:val="Heading 1 no TOC"/>
    <w:basedOn w:val="Heading1"/>
    <w:next w:val="Normal"/>
    <w:rsid w:val="00013EED"/>
  </w:style>
  <w:style w:type="paragraph" w:customStyle="1" w:styleId="Heading2noTOC">
    <w:name w:val="Heading 2 no TOC"/>
    <w:basedOn w:val="Heading2"/>
    <w:next w:val="Normal"/>
    <w:rsid w:val="00013EED"/>
    <w:pPr>
      <w:outlineLvl w:val="9"/>
    </w:pPr>
    <w:rPr>
      <w:rFonts w:ascii="Arial" w:hAnsi="Arial"/>
    </w:rPr>
  </w:style>
  <w:style w:type="paragraph" w:customStyle="1" w:styleId="Heading9noTOC">
    <w:name w:val="Heading 9 no TOC"/>
    <w:basedOn w:val="Heading9"/>
    <w:rsid w:val="00013EED"/>
    <w:pPr>
      <w:outlineLvl w:val="9"/>
    </w:pPr>
  </w:style>
  <w:style w:type="character" w:styleId="IntenseEmphasis">
    <w:name w:val="Intense Emphasis"/>
    <w:basedOn w:val="DefaultParagraphFont"/>
    <w:uiPriority w:val="21"/>
    <w:qFormat/>
    <w:rsid w:val="00013EED"/>
    <w:rPr>
      <w:b/>
      <w:bCs/>
      <w:i/>
      <w:iCs/>
      <w:color w:val="005ABB"/>
    </w:rPr>
  </w:style>
  <w:style w:type="paragraph" w:styleId="IntenseQuote">
    <w:name w:val="Intense Quote"/>
    <w:basedOn w:val="Normal"/>
    <w:next w:val="Normal"/>
    <w:link w:val="IntenseQuoteChar"/>
    <w:uiPriority w:val="30"/>
    <w:qFormat/>
    <w:rsid w:val="00013EED"/>
    <w:pPr>
      <w:pBdr>
        <w:bottom w:val="single" w:sz="4" w:space="4" w:color="4F81BD" w:themeColor="accent1"/>
      </w:pBdr>
      <w:spacing w:before="200" w:after="280"/>
      <w:ind w:left="936" w:right="936"/>
    </w:pPr>
    <w:rPr>
      <w:b/>
      <w:bCs/>
      <w:i/>
      <w:iCs/>
      <w:color w:val="005ABB"/>
    </w:rPr>
  </w:style>
  <w:style w:type="character" w:customStyle="1" w:styleId="IntenseQuoteChar">
    <w:name w:val="Intense Quote Char"/>
    <w:basedOn w:val="DefaultParagraphFont"/>
    <w:link w:val="IntenseQuote"/>
    <w:uiPriority w:val="30"/>
    <w:rsid w:val="00013EED"/>
    <w:rPr>
      <w:rFonts w:ascii="Book Antiqua" w:hAnsi="Book Antiqua"/>
      <w:b/>
      <w:bCs/>
      <w:i/>
      <w:iCs/>
      <w:color w:val="005ABB"/>
    </w:rPr>
  </w:style>
  <w:style w:type="paragraph" w:styleId="TOCHeading">
    <w:name w:val="TOC Heading"/>
    <w:basedOn w:val="Heading1"/>
    <w:next w:val="Normal"/>
    <w:uiPriority w:val="39"/>
    <w:semiHidden/>
    <w:unhideWhenUsed/>
    <w:qFormat/>
    <w:rsid w:val="00013EED"/>
    <w:pPr>
      <w:keepLines/>
      <w:spacing w:before="480" w:after="0" w:line="260" w:lineRule="exact"/>
      <w:jc w:val="both"/>
      <w:outlineLvl w:val="9"/>
    </w:pPr>
    <w:rPr>
      <w:rFonts w:asciiTheme="majorHAnsi" w:eastAsiaTheme="majorEastAsia" w:hAnsiTheme="majorHAnsi" w:cstheme="majorBidi"/>
      <w:kern w:val="0"/>
      <w:sz w:val="28"/>
      <w:szCs w:val="28"/>
    </w:rPr>
  </w:style>
  <w:style w:type="paragraph" w:styleId="Subtitle">
    <w:name w:val="Subtitle"/>
    <w:basedOn w:val="Normal"/>
    <w:next w:val="Normal"/>
    <w:link w:val="SubtitleChar"/>
    <w:qFormat/>
    <w:rsid w:val="00013EED"/>
    <w:pPr>
      <w:numPr>
        <w:ilvl w:val="1"/>
      </w:numPr>
    </w:pPr>
    <w:rPr>
      <w:rFonts w:asciiTheme="majorHAnsi" w:eastAsiaTheme="majorEastAsia" w:hAnsiTheme="majorHAnsi" w:cstheme="majorBidi"/>
      <w:i/>
      <w:iCs/>
      <w:color w:val="005ABB"/>
      <w:spacing w:val="15"/>
      <w:sz w:val="24"/>
      <w:szCs w:val="24"/>
    </w:rPr>
  </w:style>
  <w:style w:type="character" w:customStyle="1" w:styleId="SubtitleChar">
    <w:name w:val="Subtitle Char"/>
    <w:basedOn w:val="DefaultParagraphFont"/>
    <w:link w:val="Subtitle"/>
    <w:rsid w:val="00013EED"/>
    <w:rPr>
      <w:rFonts w:asciiTheme="majorHAnsi" w:eastAsiaTheme="majorEastAsia" w:hAnsiTheme="majorHAnsi" w:cstheme="majorBidi"/>
      <w:i/>
      <w:iCs/>
      <w:color w:val="005ABB"/>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EED"/>
    <w:pPr>
      <w:spacing w:after="240" w:line="260" w:lineRule="exact"/>
      <w:jc w:val="both"/>
    </w:pPr>
    <w:rPr>
      <w:rFonts w:ascii="Book Antiqua" w:hAnsi="Book Antiqua"/>
      <w:color w:val="000000"/>
    </w:rPr>
  </w:style>
  <w:style w:type="paragraph" w:styleId="Heading1">
    <w:name w:val="heading 1"/>
    <w:basedOn w:val="HeadingBase"/>
    <w:next w:val="Normal"/>
    <w:qFormat/>
    <w:rsid w:val="00013EED"/>
    <w:pPr>
      <w:keepNext/>
      <w:spacing w:before="284" w:after="113"/>
      <w:outlineLvl w:val="0"/>
    </w:pPr>
    <w:rPr>
      <w:rFonts w:cs="Arial"/>
      <w:b/>
      <w:bCs/>
      <w:kern w:val="32"/>
      <w:sz w:val="48"/>
      <w:szCs w:val="48"/>
    </w:rPr>
  </w:style>
  <w:style w:type="paragraph" w:styleId="Heading2">
    <w:name w:val="heading 2"/>
    <w:basedOn w:val="HeadingBase"/>
    <w:next w:val="Normal"/>
    <w:qFormat/>
    <w:rsid w:val="00013EED"/>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qFormat/>
    <w:rsid w:val="00013EED"/>
    <w:pPr>
      <w:keepNext/>
      <w:spacing w:before="57" w:after="57" w:line="280" w:lineRule="exact"/>
      <w:outlineLvl w:val="2"/>
    </w:pPr>
    <w:rPr>
      <w:rFonts w:cs="Arial"/>
      <w:b/>
      <w:bCs/>
      <w:sz w:val="24"/>
      <w:szCs w:val="26"/>
    </w:rPr>
  </w:style>
  <w:style w:type="paragraph" w:styleId="Heading4">
    <w:name w:val="heading 4"/>
    <w:basedOn w:val="HeadingBase"/>
    <w:next w:val="Normal"/>
    <w:qFormat/>
    <w:rsid w:val="00013EED"/>
    <w:pPr>
      <w:keepNext/>
      <w:spacing w:before="57" w:after="57" w:line="280" w:lineRule="exact"/>
      <w:outlineLvl w:val="3"/>
    </w:pPr>
    <w:rPr>
      <w:b/>
      <w:bCs/>
      <w:szCs w:val="22"/>
    </w:rPr>
  </w:style>
  <w:style w:type="paragraph" w:styleId="Heading5">
    <w:name w:val="heading 5"/>
    <w:basedOn w:val="HeadingBase"/>
    <w:next w:val="Normal"/>
    <w:qFormat/>
    <w:rsid w:val="00013EED"/>
    <w:pPr>
      <w:keepNext/>
      <w:spacing w:before="57" w:after="57" w:line="280" w:lineRule="exact"/>
      <w:outlineLvl w:val="4"/>
    </w:pPr>
    <w:rPr>
      <w:bCs/>
      <w:iCs/>
    </w:rPr>
  </w:style>
  <w:style w:type="paragraph" w:styleId="Heading6">
    <w:name w:val="heading 6"/>
    <w:basedOn w:val="HeadingBase"/>
    <w:next w:val="Normal"/>
    <w:qFormat/>
    <w:rsid w:val="00013EED"/>
    <w:pPr>
      <w:keepNext/>
      <w:spacing w:after="120"/>
      <w:outlineLvl w:val="5"/>
    </w:pPr>
    <w:rPr>
      <w:bCs/>
      <w:szCs w:val="22"/>
    </w:rPr>
  </w:style>
  <w:style w:type="paragraph" w:styleId="Heading7">
    <w:name w:val="heading 7"/>
    <w:basedOn w:val="Heading2"/>
    <w:next w:val="Normal"/>
    <w:qFormat/>
    <w:rsid w:val="00013EED"/>
    <w:pPr>
      <w:jc w:val="right"/>
      <w:outlineLvl w:val="6"/>
    </w:pPr>
  </w:style>
  <w:style w:type="paragraph" w:styleId="Heading8">
    <w:name w:val="heading 8"/>
    <w:basedOn w:val="HeadingBase"/>
    <w:next w:val="Normal"/>
    <w:qFormat/>
    <w:rsid w:val="00013EED"/>
    <w:pPr>
      <w:keepNext/>
      <w:spacing w:before="284" w:after="360"/>
      <w:jc w:val="right"/>
      <w:outlineLvl w:val="7"/>
    </w:pPr>
    <w:rPr>
      <w:iCs/>
      <w:sz w:val="48"/>
      <w:szCs w:val="24"/>
    </w:rPr>
  </w:style>
  <w:style w:type="paragraph" w:styleId="Heading9">
    <w:name w:val="heading 9"/>
    <w:basedOn w:val="HeadingBase"/>
    <w:next w:val="Normal"/>
    <w:qFormat/>
    <w:rsid w:val="00013EED"/>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013EED"/>
    <w:pPr>
      <w:spacing w:after="0"/>
    </w:pPr>
  </w:style>
  <w:style w:type="paragraph" w:customStyle="1" w:styleId="ChartMainHeading">
    <w:name w:val="Chart Main Heading"/>
    <w:basedOn w:val="HeadingBase"/>
    <w:next w:val="ChartGraphic"/>
    <w:rsid w:val="00013EED"/>
    <w:pPr>
      <w:keepNext/>
      <w:spacing w:before="170" w:after="113"/>
      <w:jc w:val="center"/>
    </w:pPr>
    <w:rPr>
      <w:b/>
      <w:sz w:val="22"/>
    </w:rPr>
  </w:style>
  <w:style w:type="paragraph" w:customStyle="1" w:styleId="ChartSecondHeading">
    <w:name w:val="Chart Second Heading"/>
    <w:basedOn w:val="HeadingBase"/>
    <w:next w:val="ChartGraphic"/>
    <w:rsid w:val="00013EED"/>
    <w:pPr>
      <w:keepNext/>
      <w:spacing w:after="20"/>
      <w:jc w:val="center"/>
    </w:pPr>
  </w:style>
  <w:style w:type="paragraph" w:customStyle="1" w:styleId="TableMainHeading">
    <w:name w:val="Table Main Heading"/>
    <w:basedOn w:val="HeadingBase"/>
    <w:next w:val="TableGraphic"/>
    <w:rsid w:val="00013EED"/>
    <w:pPr>
      <w:keepNext/>
      <w:spacing w:before="170" w:after="113"/>
    </w:pPr>
    <w:rPr>
      <w:b/>
      <w:sz w:val="22"/>
    </w:rPr>
  </w:style>
  <w:style w:type="table" w:styleId="TableGrid">
    <w:name w:val="Table Grid"/>
    <w:basedOn w:val="TableNormal"/>
    <w:rsid w:val="00B33CD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13EED"/>
    <w:rPr>
      <w:color w:val="000000"/>
      <w:u w:val="none"/>
    </w:rPr>
  </w:style>
  <w:style w:type="paragraph" w:customStyle="1" w:styleId="Style1">
    <w:name w:val="Style1"/>
    <w:basedOn w:val="AppendixAHeading3"/>
    <w:next w:val="AppendixAHeading4"/>
    <w:rsid w:val="00013EED"/>
    <w:pPr>
      <w:numPr>
        <w:numId w:val="0"/>
      </w:numPr>
    </w:pPr>
  </w:style>
  <w:style w:type="character" w:customStyle="1" w:styleId="Normalitalics">
    <w:name w:val="Normal italics"/>
    <w:basedOn w:val="DefaultParagraphFont"/>
    <w:rsid w:val="00A5091B"/>
    <w:rPr>
      <w:i/>
    </w:rPr>
  </w:style>
  <w:style w:type="paragraph" w:styleId="BalloonText">
    <w:name w:val="Balloon Text"/>
    <w:basedOn w:val="Normal"/>
    <w:rsid w:val="00013EED"/>
    <w:rPr>
      <w:rFonts w:ascii="Tahoma" w:hAnsi="Tahoma" w:cs="Tahoma"/>
      <w:sz w:val="16"/>
      <w:szCs w:val="16"/>
    </w:rPr>
  </w:style>
  <w:style w:type="paragraph" w:customStyle="1" w:styleId="paragraph">
    <w:name w:val="paragraph"/>
    <w:aliases w:val="a,indent(a)"/>
    <w:basedOn w:val="Normal"/>
    <w:rsid w:val="004B7110"/>
    <w:pPr>
      <w:tabs>
        <w:tab w:val="right" w:pos="1531"/>
      </w:tabs>
      <w:spacing w:before="40" w:after="0"/>
      <w:ind w:left="1644" w:hanging="1644"/>
    </w:pPr>
    <w:rPr>
      <w:szCs w:val="24"/>
    </w:rPr>
  </w:style>
  <w:style w:type="paragraph" w:customStyle="1" w:styleId="Definition">
    <w:name w:val="Definition"/>
    <w:aliases w:val="dd"/>
    <w:basedOn w:val="Normal"/>
    <w:rsid w:val="004B7110"/>
    <w:pPr>
      <w:spacing w:before="180" w:after="0"/>
      <w:ind w:left="1134"/>
    </w:pPr>
    <w:rPr>
      <w:szCs w:val="24"/>
    </w:rPr>
  </w:style>
  <w:style w:type="paragraph" w:customStyle="1" w:styleId="AppendixAHeading3NotItalic">
    <w:name w:val="AppendixAHeading3NotItalic"/>
    <w:basedOn w:val="HeadingBase"/>
    <w:next w:val="AppendixAHeading4"/>
    <w:rsid w:val="00013EED"/>
    <w:pPr>
      <w:numPr>
        <w:numId w:val="30"/>
      </w:numPr>
      <w:spacing w:before="57" w:after="57" w:line="280" w:lineRule="exact"/>
    </w:pPr>
    <w:rPr>
      <w:rFonts w:ascii="Arial Bold" w:hAnsi="Arial Bold"/>
      <w:b/>
      <w:sz w:val="24"/>
    </w:rPr>
  </w:style>
  <w:style w:type="character" w:styleId="CommentReference">
    <w:name w:val="annotation reference"/>
    <w:basedOn w:val="DefaultParagraphFont"/>
    <w:rsid w:val="00013EED"/>
    <w:rPr>
      <w:sz w:val="16"/>
      <w:szCs w:val="16"/>
    </w:rPr>
  </w:style>
  <w:style w:type="paragraph" w:styleId="CommentText">
    <w:name w:val="annotation text"/>
    <w:basedOn w:val="Normal"/>
    <w:rsid w:val="00013EED"/>
  </w:style>
  <w:style w:type="paragraph" w:styleId="CommentSubject">
    <w:name w:val="annotation subject"/>
    <w:basedOn w:val="CommentText"/>
    <w:next w:val="CommentText"/>
    <w:rsid w:val="00013EED"/>
    <w:rPr>
      <w:b/>
      <w:bCs/>
    </w:rPr>
  </w:style>
  <w:style w:type="character" w:styleId="Hyperlink">
    <w:name w:val="Hyperlink"/>
    <w:basedOn w:val="DefaultParagraphFont"/>
    <w:rsid w:val="00013EED"/>
    <w:rPr>
      <w:color w:val="000000"/>
      <w:u w:val="none"/>
    </w:rPr>
  </w:style>
  <w:style w:type="character" w:styleId="FootnoteReference">
    <w:name w:val="footnote reference"/>
    <w:basedOn w:val="DefaultParagraphFont"/>
    <w:rsid w:val="00013EED"/>
    <w:rPr>
      <w:vertAlign w:val="superscript"/>
    </w:rPr>
  </w:style>
  <w:style w:type="character" w:styleId="PageNumber">
    <w:name w:val="page number"/>
    <w:basedOn w:val="DefaultParagraphFont"/>
    <w:rsid w:val="00FC4D84"/>
    <w:rPr>
      <w:rFonts w:ascii="Times" w:hAnsi="Times"/>
      <w:color w:val="72B4E7"/>
      <w:sz w:val="18"/>
      <w:szCs w:val="18"/>
    </w:rPr>
  </w:style>
  <w:style w:type="paragraph" w:styleId="FootnoteText">
    <w:name w:val="footnote text"/>
    <w:basedOn w:val="Normal"/>
    <w:rsid w:val="00013EED"/>
    <w:pPr>
      <w:tabs>
        <w:tab w:val="left" w:pos="284"/>
      </w:tabs>
      <w:spacing w:after="0" w:line="240" w:lineRule="auto"/>
      <w:ind w:left="284" w:hanging="284"/>
    </w:pPr>
    <w:rPr>
      <w:sz w:val="18"/>
    </w:rPr>
  </w:style>
  <w:style w:type="paragraph" w:customStyle="1" w:styleId="Bullet">
    <w:name w:val="Bullet"/>
    <w:basedOn w:val="Normal"/>
    <w:rsid w:val="00013EED"/>
    <w:pPr>
      <w:numPr>
        <w:numId w:val="1"/>
      </w:numPr>
      <w:ind w:left="284" w:hanging="284"/>
    </w:pPr>
  </w:style>
  <w:style w:type="paragraph" w:customStyle="1" w:styleId="Dash">
    <w:name w:val="Dash"/>
    <w:basedOn w:val="Normal"/>
    <w:rsid w:val="00013EED"/>
    <w:pPr>
      <w:numPr>
        <w:ilvl w:val="1"/>
        <w:numId w:val="1"/>
      </w:numPr>
      <w:ind w:left="568"/>
    </w:pPr>
  </w:style>
  <w:style w:type="paragraph" w:customStyle="1" w:styleId="DoubleDot">
    <w:name w:val="Double Dot"/>
    <w:basedOn w:val="Normal"/>
    <w:rsid w:val="00013EED"/>
    <w:pPr>
      <w:numPr>
        <w:ilvl w:val="2"/>
        <w:numId w:val="1"/>
      </w:numPr>
    </w:pPr>
  </w:style>
  <w:style w:type="paragraph" w:customStyle="1" w:styleId="OutlineNumbered1">
    <w:name w:val="Outline Numbered 1"/>
    <w:basedOn w:val="Normal"/>
    <w:rsid w:val="00013EED"/>
    <w:pPr>
      <w:numPr>
        <w:numId w:val="2"/>
      </w:numPr>
    </w:pPr>
  </w:style>
  <w:style w:type="paragraph" w:customStyle="1" w:styleId="OutlineNumbered2">
    <w:name w:val="Outline Numbered 2"/>
    <w:basedOn w:val="Normal"/>
    <w:rsid w:val="00013EED"/>
    <w:pPr>
      <w:numPr>
        <w:ilvl w:val="1"/>
        <w:numId w:val="2"/>
      </w:numPr>
    </w:pPr>
  </w:style>
  <w:style w:type="paragraph" w:customStyle="1" w:styleId="OutlineNumbered3">
    <w:name w:val="Outline Numbered 3"/>
    <w:basedOn w:val="Normal"/>
    <w:rsid w:val="00013EED"/>
    <w:pPr>
      <w:numPr>
        <w:ilvl w:val="2"/>
        <w:numId w:val="2"/>
      </w:numPr>
    </w:pPr>
  </w:style>
  <w:style w:type="paragraph" w:customStyle="1" w:styleId="AlphaParagraph">
    <w:name w:val="Alpha Paragraph"/>
    <w:basedOn w:val="Normal"/>
    <w:rsid w:val="00013EED"/>
    <w:pPr>
      <w:numPr>
        <w:numId w:val="3"/>
      </w:numPr>
    </w:pPr>
  </w:style>
  <w:style w:type="paragraph" w:customStyle="1" w:styleId="HeadingBase">
    <w:name w:val="Heading Base"/>
    <w:next w:val="Normal"/>
    <w:rsid w:val="00FC4D84"/>
    <w:rPr>
      <w:rFonts w:ascii="Arial" w:hAnsi="Arial"/>
      <w:color w:val="72B4E7"/>
    </w:rPr>
  </w:style>
  <w:style w:type="paragraph" w:customStyle="1" w:styleId="AppendixHeading">
    <w:name w:val="Appendix Heading"/>
    <w:basedOn w:val="HeadingBase"/>
    <w:next w:val="Normal"/>
    <w:rsid w:val="00013EED"/>
    <w:pPr>
      <w:spacing w:before="720" w:after="360"/>
    </w:pPr>
    <w:rPr>
      <w:rFonts w:ascii="Arial Bold" w:hAnsi="Arial Bold"/>
      <w:b/>
      <w:smallCaps/>
      <w:sz w:val="36"/>
      <w:szCs w:val="36"/>
    </w:rPr>
  </w:style>
  <w:style w:type="character" w:customStyle="1" w:styleId="Bold">
    <w:name w:val="Bold"/>
    <w:basedOn w:val="DefaultParagraphFont"/>
    <w:rsid w:val="00013EED"/>
    <w:rPr>
      <w:b/>
    </w:rPr>
  </w:style>
  <w:style w:type="paragraph" w:customStyle="1" w:styleId="BoxHeading">
    <w:name w:val="Box Heading"/>
    <w:basedOn w:val="HeadingBase"/>
    <w:next w:val="BoxText"/>
    <w:rsid w:val="00013EED"/>
    <w:pPr>
      <w:spacing w:before="120" w:after="120"/>
    </w:pPr>
    <w:rPr>
      <w:b/>
      <w:sz w:val="22"/>
    </w:rPr>
  </w:style>
  <w:style w:type="paragraph" w:customStyle="1" w:styleId="BoxTextBase">
    <w:name w:val="Box Text Base"/>
    <w:basedOn w:val="Normal"/>
    <w:rsid w:val="00013EED"/>
    <w:pPr>
      <w:spacing w:before="120" w:after="120" w:line="240" w:lineRule="auto"/>
    </w:pPr>
  </w:style>
  <w:style w:type="paragraph" w:customStyle="1" w:styleId="ChartandTableFootnoteAlpha">
    <w:name w:val="Chart and Table Footnote Alpha"/>
    <w:rsid w:val="00013EED"/>
    <w:pPr>
      <w:numPr>
        <w:numId w:val="4"/>
      </w:numPr>
      <w:jc w:val="both"/>
    </w:pPr>
    <w:rPr>
      <w:rFonts w:ascii="Arial" w:hAnsi="Arial"/>
      <w:color w:val="000000"/>
      <w:sz w:val="16"/>
      <w:szCs w:val="16"/>
    </w:rPr>
  </w:style>
  <w:style w:type="paragraph" w:customStyle="1" w:styleId="ChartGraphic">
    <w:name w:val="Chart Graphic"/>
    <w:basedOn w:val="HeadingBase"/>
    <w:rsid w:val="00013EED"/>
    <w:pPr>
      <w:jc w:val="center"/>
    </w:pPr>
  </w:style>
  <w:style w:type="paragraph" w:customStyle="1" w:styleId="ChartorTableNote">
    <w:name w:val="Chart or Table Note"/>
    <w:next w:val="Normal"/>
    <w:rsid w:val="00013EED"/>
    <w:pPr>
      <w:jc w:val="both"/>
    </w:pPr>
    <w:rPr>
      <w:rFonts w:ascii="Arial" w:hAnsi="Arial"/>
      <w:color w:val="000000"/>
      <w:sz w:val="16"/>
    </w:rPr>
  </w:style>
  <w:style w:type="paragraph" w:customStyle="1" w:styleId="Classification">
    <w:name w:val="Classification"/>
    <w:basedOn w:val="HeadingBase"/>
    <w:next w:val="Footer"/>
    <w:rsid w:val="00013EED"/>
    <w:pPr>
      <w:spacing w:after="120"/>
      <w:jc w:val="center"/>
    </w:pPr>
    <w:rPr>
      <w:b/>
      <w:smallCaps/>
    </w:rPr>
  </w:style>
  <w:style w:type="paragraph" w:styleId="Footer">
    <w:name w:val="footer"/>
    <w:basedOn w:val="HeadingBase"/>
    <w:rsid w:val="00013EED"/>
    <w:rPr>
      <w:sz w:val="18"/>
    </w:rPr>
  </w:style>
  <w:style w:type="paragraph" w:customStyle="1" w:styleId="ContentsHeading">
    <w:name w:val="Contents Heading"/>
    <w:basedOn w:val="HeadingBase"/>
    <w:next w:val="Normal"/>
    <w:rsid w:val="00013EED"/>
    <w:pPr>
      <w:spacing w:after="360"/>
    </w:pPr>
    <w:rPr>
      <w:smallCaps/>
      <w:sz w:val="36"/>
      <w:szCs w:val="36"/>
    </w:rPr>
  </w:style>
  <w:style w:type="paragraph" w:customStyle="1" w:styleId="CoverTitleMain">
    <w:name w:val="Cover Title Main"/>
    <w:basedOn w:val="HeadingBase"/>
    <w:next w:val="Normal"/>
    <w:rsid w:val="00013EED"/>
    <w:pPr>
      <w:spacing w:after="360"/>
      <w:jc w:val="right"/>
    </w:pPr>
    <w:rPr>
      <w:b/>
      <w:sz w:val="44"/>
    </w:rPr>
  </w:style>
  <w:style w:type="paragraph" w:customStyle="1" w:styleId="CoverTitleSub">
    <w:name w:val="Cover Title Sub"/>
    <w:basedOn w:val="HeadingBase"/>
    <w:rsid w:val="00013EED"/>
    <w:pPr>
      <w:spacing w:after="360"/>
      <w:jc w:val="center"/>
    </w:pPr>
    <w:rPr>
      <w:sz w:val="36"/>
    </w:rPr>
  </w:style>
  <w:style w:type="paragraph" w:customStyle="1" w:styleId="FooterCentered">
    <w:name w:val="Footer Centered"/>
    <w:basedOn w:val="Footer"/>
    <w:rsid w:val="00013EED"/>
    <w:pPr>
      <w:jc w:val="center"/>
    </w:pPr>
  </w:style>
  <w:style w:type="paragraph" w:customStyle="1" w:styleId="FooterEven">
    <w:name w:val="Footer Even"/>
    <w:basedOn w:val="Footer"/>
    <w:rsid w:val="00013EED"/>
  </w:style>
  <w:style w:type="paragraph" w:customStyle="1" w:styleId="FooterOdd">
    <w:name w:val="Footer Odd"/>
    <w:basedOn w:val="Footer"/>
    <w:rsid w:val="00013EED"/>
    <w:pPr>
      <w:jc w:val="right"/>
    </w:pPr>
  </w:style>
  <w:style w:type="character" w:customStyle="1" w:styleId="FramedFooter">
    <w:name w:val="Framed Footer"/>
    <w:rsid w:val="00FC4D84"/>
    <w:rPr>
      <w:rFonts w:ascii="Swis721 Lt BT" w:hAnsi="Swis721 Lt BT"/>
      <w:color w:val="72B4E7"/>
      <w:sz w:val="18"/>
      <w:szCs w:val="18"/>
    </w:rPr>
  </w:style>
  <w:style w:type="character" w:customStyle="1" w:styleId="FramedHeader">
    <w:name w:val="Framed Header"/>
    <w:basedOn w:val="DefaultParagraphFont"/>
    <w:rsid w:val="00FC4D84"/>
    <w:rPr>
      <w:rFonts w:ascii="Arial" w:hAnsi="Arial"/>
      <w:dstrike w:val="0"/>
      <w:color w:val="72B4E7"/>
      <w:sz w:val="18"/>
      <w:szCs w:val="18"/>
      <w:vertAlign w:val="baseline"/>
    </w:rPr>
  </w:style>
  <w:style w:type="paragraph" w:styleId="Header">
    <w:name w:val="header"/>
    <w:basedOn w:val="HeadingBase"/>
    <w:rsid w:val="00013EED"/>
    <w:rPr>
      <w:sz w:val="18"/>
    </w:rPr>
  </w:style>
  <w:style w:type="paragraph" w:customStyle="1" w:styleId="HeaderEven">
    <w:name w:val="Header Even"/>
    <w:basedOn w:val="Header"/>
    <w:rsid w:val="00013EED"/>
  </w:style>
  <w:style w:type="paragraph" w:customStyle="1" w:styleId="HeaderOdd">
    <w:name w:val="Header Odd"/>
    <w:basedOn w:val="Header"/>
    <w:rsid w:val="00013EED"/>
    <w:pPr>
      <w:jc w:val="right"/>
    </w:pPr>
  </w:style>
  <w:style w:type="paragraph" w:styleId="NormalIndent">
    <w:name w:val="Normal Indent"/>
    <w:basedOn w:val="Normal"/>
    <w:rsid w:val="00013EED"/>
    <w:pPr>
      <w:ind w:left="567"/>
    </w:pPr>
  </w:style>
  <w:style w:type="paragraph" w:customStyle="1" w:styleId="RecommendationHeading">
    <w:name w:val="Recommendation Heading"/>
    <w:basedOn w:val="HeadingBase"/>
    <w:next w:val="RecommendationText"/>
    <w:rsid w:val="00013EED"/>
    <w:pPr>
      <w:spacing w:after="240"/>
    </w:pPr>
    <w:rPr>
      <w:b/>
      <w:sz w:val="22"/>
    </w:rPr>
  </w:style>
  <w:style w:type="paragraph" w:customStyle="1" w:styleId="RecommendationBaseText">
    <w:name w:val="Recommendation Base Text"/>
    <w:basedOn w:val="Normal"/>
    <w:rsid w:val="00013EED"/>
  </w:style>
  <w:style w:type="paragraph" w:customStyle="1" w:styleId="RecommendationText">
    <w:name w:val="Recommendation Text"/>
    <w:basedOn w:val="RecommendationBaseText"/>
    <w:rsid w:val="00013EED"/>
  </w:style>
  <w:style w:type="paragraph" w:customStyle="1" w:styleId="TableTextBase">
    <w:name w:val="Table Text Base"/>
    <w:rsid w:val="00013EED"/>
    <w:pPr>
      <w:spacing w:before="40" w:after="40"/>
    </w:pPr>
    <w:rPr>
      <w:rFonts w:ascii="Arial" w:hAnsi="Arial"/>
      <w:color w:val="000000"/>
      <w:sz w:val="16"/>
    </w:rPr>
  </w:style>
  <w:style w:type="paragraph" w:customStyle="1" w:styleId="TableColumnHeadingCentred">
    <w:name w:val="Table Column Heading Centred"/>
    <w:basedOn w:val="TableTextBase"/>
    <w:rsid w:val="00013EED"/>
    <w:pPr>
      <w:jc w:val="center"/>
    </w:pPr>
    <w:rPr>
      <w:b/>
    </w:rPr>
  </w:style>
  <w:style w:type="paragraph" w:customStyle="1" w:styleId="TableColumnHeadingLeft">
    <w:name w:val="Table Column Heading Left"/>
    <w:basedOn w:val="TableTextBase"/>
    <w:rsid w:val="00013EED"/>
    <w:rPr>
      <w:b/>
    </w:rPr>
  </w:style>
  <w:style w:type="paragraph" w:customStyle="1" w:styleId="TableColumnHeadingRight">
    <w:name w:val="Table Column Heading Right"/>
    <w:basedOn w:val="TableTextBase"/>
    <w:rsid w:val="00013EED"/>
    <w:pPr>
      <w:jc w:val="right"/>
    </w:pPr>
    <w:rPr>
      <w:b/>
    </w:rPr>
  </w:style>
  <w:style w:type="paragraph" w:customStyle="1" w:styleId="TableGraphic">
    <w:name w:val="Table Graphic"/>
    <w:basedOn w:val="HeadingBase"/>
    <w:next w:val="Normal"/>
    <w:rsid w:val="00013EED"/>
    <w:pPr>
      <w:spacing w:after="20"/>
      <w:ind w:right="-113"/>
    </w:pPr>
    <w:rPr>
      <w:rFonts w:ascii="Helvetica" w:hAnsi="Helvetica"/>
    </w:rPr>
  </w:style>
  <w:style w:type="paragraph" w:customStyle="1" w:styleId="TableMainHeadingContd">
    <w:name w:val="Table Main Heading Contd"/>
    <w:basedOn w:val="HeadingBase"/>
    <w:next w:val="TableGraphic"/>
    <w:rsid w:val="00013EED"/>
    <w:pPr>
      <w:keepNext/>
      <w:spacing w:after="20"/>
    </w:pPr>
    <w:rPr>
      <w:b/>
      <w:sz w:val="22"/>
    </w:rPr>
  </w:style>
  <w:style w:type="paragraph" w:customStyle="1" w:styleId="TableSecondHeading">
    <w:name w:val="Table Second Heading"/>
    <w:basedOn w:val="HeadingBase"/>
    <w:next w:val="TableGraphic"/>
    <w:rsid w:val="00013EED"/>
    <w:pPr>
      <w:keepNext/>
      <w:spacing w:after="20"/>
    </w:pPr>
  </w:style>
  <w:style w:type="paragraph" w:customStyle="1" w:styleId="TableTextCentered">
    <w:name w:val="Table Text Centered"/>
    <w:basedOn w:val="TableTextBase"/>
    <w:rsid w:val="00013EED"/>
    <w:pPr>
      <w:jc w:val="center"/>
    </w:pPr>
  </w:style>
  <w:style w:type="paragraph" w:customStyle="1" w:styleId="TableTextIndented">
    <w:name w:val="Table Text Indented"/>
    <w:basedOn w:val="TableTextBase"/>
    <w:rsid w:val="00013EED"/>
    <w:pPr>
      <w:ind w:left="284"/>
    </w:pPr>
  </w:style>
  <w:style w:type="paragraph" w:customStyle="1" w:styleId="TableTextLeft">
    <w:name w:val="Table Text Left"/>
    <w:basedOn w:val="TableTextBase"/>
    <w:rsid w:val="00013EED"/>
  </w:style>
  <w:style w:type="paragraph" w:customStyle="1" w:styleId="TableTextRight">
    <w:name w:val="Table Text Right"/>
    <w:basedOn w:val="TableTextBase"/>
    <w:rsid w:val="00013EED"/>
    <w:pPr>
      <w:jc w:val="right"/>
    </w:pPr>
  </w:style>
  <w:style w:type="paragraph" w:styleId="TOC1">
    <w:name w:val="toc 1"/>
    <w:basedOn w:val="HeadingBase"/>
    <w:next w:val="Normal"/>
    <w:rsid w:val="00013EED"/>
    <w:pPr>
      <w:tabs>
        <w:tab w:val="right" w:leader="dot" w:pos="7700"/>
      </w:tabs>
      <w:spacing w:before="180"/>
      <w:ind w:right="851"/>
    </w:pPr>
    <w:rPr>
      <w:b/>
      <w:smallCaps/>
      <w:noProof/>
      <w:sz w:val="22"/>
      <w:szCs w:val="22"/>
    </w:rPr>
  </w:style>
  <w:style w:type="paragraph" w:styleId="TOC2">
    <w:name w:val="toc 2"/>
    <w:basedOn w:val="Normal"/>
    <w:next w:val="Normal"/>
    <w:rsid w:val="00013EED"/>
    <w:pPr>
      <w:tabs>
        <w:tab w:val="right" w:leader="dot" w:pos="7700"/>
      </w:tabs>
      <w:spacing w:after="0"/>
      <w:ind w:right="851"/>
      <w:jc w:val="left"/>
    </w:pPr>
    <w:rPr>
      <w:noProof/>
    </w:rPr>
  </w:style>
  <w:style w:type="paragraph" w:styleId="TOC3">
    <w:name w:val="toc 3"/>
    <w:basedOn w:val="Normal"/>
    <w:next w:val="Normal"/>
    <w:rsid w:val="00013EED"/>
    <w:pPr>
      <w:tabs>
        <w:tab w:val="right" w:leader="dot" w:pos="7700"/>
      </w:tabs>
      <w:spacing w:after="0" w:line="240" w:lineRule="auto"/>
      <w:ind w:left="284" w:right="851"/>
      <w:jc w:val="left"/>
    </w:pPr>
    <w:rPr>
      <w:noProof/>
    </w:rPr>
  </w:style>
  <w:style w:type="paragraph" w:styleId="TOC4">
    <w:name w:val="toc 4"/>
    <w:basedOn w:val="Normal"/>
    <w:next w:val="Normal"/>
    <w:rsid w:val="00013EED"/>
    <w:pPr>
      <w:tabs>
        <w:tab w:val="right" w:leader="dot" w:pos="7700"/>
      </w:tabs>
      <w:spacing w:after="0" w:line="240" w:lineRule="auto"/>
      <w:ind w:left="284" w:right="851" w:hanging="284"/>
      <w:jc w:val="left"/>
    </w:pPr>
    <w:rPr>
      <w:noProof/>
    </w:rPr>
  </w:style>
  <w:style w:type="character" w:customStyle="1" w:styleId="Italic">
    <w:name w:val="Italic"/>
    <w:basedOn w:val="DefaultParagraphFont"/>
    <w:rsid w:val="00013EED"/>
    <w:rPr>
      <w:i/>
    </w:rPr>
  </w:style>
  <w:style w:type="paragraph" w:customStyle="1" w:styleId="OneLevelNumberedParagraph">
    <w:name w:val="One Level Numbered Paragraph"/>
    <w:basedOn w:val="Normal"/>
    <w:rsid w:val="00013EED"/>
    <w:pPr>
      <w:numPr>
        <w:numId w:val="8"/>
      </w:numPr>
    </w:pPr>
  </w:style>
  <w:style w:type="paragraph" w:customStyle="1" w:styleId="BoxText">
    <w:name w:val="Box Text"/>
    <w:basedOn w:val="BoxTextBase"/>
    <w:rsid w:val="00013EED"/>
  </w:style>
  <w:style w:type="paragraph" w:customStyle="1" w:styleId="BoxBullet">
    <w:name w:val="Box Bullet"/>
    <w:basedOn w:val="BoxTextBase"/>
    <w:rsid w:val="00013EED"/>
    <w:pPr>
      <w:numPr>
        <w:numId w:val="7"/>
      </w:numPr>
    </w:pPr>
  </w:style>
  <w:style w:type="paragraph" w:customStyle="1" w:styleId="BoxDash">
    <w:name w:val="Box Dash"/>
    <w:basedOn w:val="Normal"/>
    <w:rsid w:val="00013EED"/>
    <w:pPr>
      <w:numPr>
        <w:ilvl w:val="1"/>
        <w:numId w:val="7"/>
      </w:numPr>
    </w:pPr>
  </w:style>
  <w:style w:type="paragraph" w:customStyle="1" w:styleId="BoxDoubleDot">
    <w:name w:val="Box Double Dot"/>
    <w:basedOn w:val="BoxTextBase"/>
    <w:rsid w:val="00013EED"/>
    <w:pPr>
      <w:numPr>
        <w:ilvl w:val="2"/>
        <w:numId w:val="7"/>
      </w:numPr>
    </w:pPr>
  </w:style>
  <w:style w:type="paragraph" w:customStyle="1" w:styleId="RecommendationBullet">
    <w:name w:val="Recommendation Bullet"/>
    <w:basedOn w:val="RecommendationBaseText"/>
    <w:rsid w:val="00013EED"/>
    <w:pPr>
      <w:numPr>
        <w:numId w:val="9"/>
      </w:numPr>
    </w:pPr>
  </w:style>
  <w:style w:type="paragraph" w:customStyle="1" w:styleId="RecommendationDash">
    <w:name w:val="Recommendation Dash"/>
    <w:basedOn w:val="RecommendationBaseText"/>
    <w:rsid w:val="00013EED"/>
    <w:pPr>
      <w:numPr>
        <w:ilvl w:val="1"/>
        <w:numId w:val="9"/>
      </w:numPr>
    </w:pPr>
  </w:style>
  <w:style w:type="paragraph" w:customStyle="1" w:styleId="RecommendationDoubleDot">
    <w:name w:val="Recommendation Double Dot"/>
    <w:basedOn w:val="RecommendationBaseText"/>
    <w:rsid w:val="00013EED"/>
    <w:pPr>
      <w:numPr>
        <w:ilvl w:val="2"/>
        <w:numId w:val="9"/>
      </w:numPr>
    </w:pPr>
  </w:style>
  <w:style w:type="character" w:customStyle="1" w:styleId="Boldanditalic">
    <w:name w:val="Bold and italic"/>
    <w:basedOn w:val="DefaultParagraphFont"/>
    <w:rsid w:val="00013EED"/>
    <w:rPr>
      <w:b/>
      <w:i/>
    </w:rPr>
  </w:style>
  <w:style w:type="paragraph" w:styleId="Caption">
    <w:name w:val="caption"/>
    <w:basedOn w:val="Normal"/>
    <w:next w:val="Normal"/>
    <w:qFormat/>
    <w:rsid w:val="00013EED"/>
    <w:pPr>
      <w:spacing w:before="120" w:after="120"/>
    </w:pPr>
    <w:rPr>
      <w:b/>
      <w:bCs/>
    </w:rPr>
  </w:style>
  <w:style w:type="paragraph" w:styleId="DocumentMap">
    <w:name w:val="Document Map"/>
    <w:basedOn w:val="Normal"/>
    <w:rsid w:val="00013EED"/>
    <w:pPr>
      <w:shd w:val="clear" w:color="auto" w:fill="000080"/>
    </w:pPr>
    <w:rPr>
      <w:rFonts w:ascii="Tahoma" w:hAnsi="Tahoma" w:cs="Tahoma"/>
    </w:rPr>
  </w:style>
  <w:style w:type="character" w:styleId="EndnoteReference">
    <w:name w:val="endnote reference"/>
    <w:basedOn w:val="DefaultParagraphFont"/>
    <w:rsid w:val="00013EED"/>
    <w:rPr>
      <w:vertAlign w:val="superscript"/>
    </w:rPr>
  </w:style>
  <w:style w:type="paragraph" w:styleId="EndnoteText">
    <w:name w:val="endnote text"/>
    <w:basedOn w:val="Normal"/>
    <w:rsid w:val="00013EED"/>
  </w:style>
  <w:style w:type="paragraph" w:styleId="Index1">
    <w:name w:val="index 1"/>
    <w:basedOn w:val="Normal"/>
    <w:next w:val="Normal"/>
    <w:autoRedefine/>
    <w:rsid w:val="00013EED"/>
    <w:pPr>
      <w:ind w:left="200" w:hanging="200"/>
    </w:pPr>
  </w:style>
  <w:style w:type="paragraph" w:styleId="Index2">
    <w:name w:val="index 2"/>
    <w:basedOn w:val="Normal"/>
    <w:next w:val="Normal"/>
    <w:autoRedefine/>
    <w:rsid w:val="00013EED"/>
    <w:pPr>
      <w:ind w:left="400" w:hanging="200"/>
    </w:pPr>
  </w:style>
  <w:style w:type="paragraph" w:styleId="Index3">
    <w:name w:val="index 3"/>
    <w:basedOn w:val="Normal"/>
    <w:next w:val="Normal"/>
    <w:autoRedefine/>
    <w:rsid w:val="00013EED"/>
    <w:pPr>
      <w:ind w:left="600" w:hanging="200"/>
    </w:pPr>
  </w:style>
  <w:style w:type="paragraph" w:styleId="Index4">
    <w:name w:val="index 4"/>
    <w:basedOn w:val="Normal"/>
    <w:next w:val="Normal"/>
    <w:autoRedefine/>
    <w:rsid w:val="00013EED"/>
    <w:pPr>
      <w:ind w:left="800" w:hanging="200"/>
    </w:pPr>
  </w:style>
  <w:style w:type="paragraph" w:styleId="Index5">
    <w:name w:val="index 5"/>
    <w:basedOn w:val="Normal"/>
    <w:next w:val="Normal"/>
    <w:autoRedefine/>
    <w:rsid w:val="00013EED"/>
    <w:pPr>
      <w:ind w:left="1000" w:hanging="200"/>
    </w:pPr>
  </w:style>
  <w:style w:type="paragraph" w:styleId="Index6">
    <w:name w:val="index 6"/>
    <w:basedOn w:val="Normal"/>
    <w:next w:val="Normal"/>
    <w:autoRedefine/>
    <w:rsid w:val="00013EED"/>
    <w:pPr>
      <w:ind w:left="1200" w:hanging="200"/>
    </w:pPr>
  </w:style>
  <w:style w:type="paragraph" w:styleId="Index7">
    <w:name w:val="index 7"/>
    <w:basedOn w:val="Normal"/>
    <w:next w:val="Normal"/>
    <w:autoRedefine/>
    <w:rsid w:val="00013EED"/>
    <w:pPr>
      <w:ind w:left="1400" w:hanging="200"/>
    </w:pPr>
  </w:style>
  <w:style w:type="paragraph" w:styleId="Index8">
    <w:name w:val="index 8"/>
    <w:basedOn w:val="Normal"/>
    <w:next w:val="Normal"/>
    <w:autoRedefine/>
    <w:rsid w:val="00013EED"/>
    <w:pPr>
      <w:ind w:left="1600" w:hanging="200"/>
    </w:pPr>
  </w:style>
  <w:style w:type="paragraph" w:styleId="Index9">
    <w:name w:val="index 9"/>
    <w:basedOn w:val="Normal"/>
    <w:next w:val="Normal"/>
    <w:autoRedefine/>
    <w:rsid w:val="00013EED"/>
    <w:pPr>
      <w:ind w:left="1800" w:hanging="200"/>
    </w:pPr>
  </w:style>
  <w:style w:type="paragraph" w:styleId="IndexHeading">
    <w:name w:val="index heading"/>
    <w:basedOn w:val="Normal"/>
    <w:next w:val="Index1"/>
    <w:rsid w:val="00FC4D84"/>
    <w:rPr>
      <w:rFonts w:ascii="Arial" w:hAnsi="Arial" w:cs="Arial"/>
      <w:b/>
      <w:bCs/>
      <w:color w:val="72B4E7"/>
    </w:rPr>
  </w:style>
  <w:style w:type="paragraph" w:styleId="MacroText">
    <w:name w:val="macro"/>
    <w:rsid w:val="00013EE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013EED"/>
    <w:pPr>
      <w:ind w:left="200" w:hanging="200"/>
    </w:pPr>
  </w:style>
  <w:style w:type="paragraph" w:styleId="TableofFigures">
    <w:name w:val="table of figures"/>
    <w:basedOn w:val="Normal"/>
    <w:next w:val="Normal"/>
    <w:rsid w:val="00013EED"/>
    <w:pPr>
      <w:ind w:left="400" w:hanging="400"/>
    </w:pPr>
  </w:style>
  <w:style w:type="paragraph" w:styleId="TOAHeading">
    <w:name w:val="toa heading"/>
    <w:basedOn w:val="Normal"/>
    <w:next w:val="Normal"/>
    <w:rsid w:val="00013EED"/>
    <w:pPr>
      <w:spacing w:before="120"/>
    </w:pPr>
    <w:rPr>
      <w:rFonts w:ascii="Arial" w:hAnsi="Arial" w:cs="Arial"/>
      <w:b/>
      <w:bCs/>
      <w:sz w:val="24"/>
      <w:szCs w:val="24"/>
    </w:rPr>
  </w:style>
  <w:style w:type="paragraph" w:styleId="TOC5">
    <w:name w:val="toc 5"/>
    <w:basedOn w:val="TOC2"/>
    <w:next w:val="Normal"/>
    <w:autoRedefine/>
    <w:rsid w:val="00013EED"/>
    <w:pPr>
      <w:ind w:left="1260" w:hanging="1260"/>
    </w:pPr>
  </w:style>
  <w:style w:type="paragraph" w:styleId="TOC6">
    <w:name w:val="toc 6"/>
    <w:basedOn w:val="TOC5"/>
    <w:next w:val="Normal"/>
    <w:rsid w:val="00013EED"/>
    <w:pPr>
      <w:tabs>
        <w:tab w:val="left" w:pos="1080"/>
        <w:tab w:val="left" w:pos="1134"/>
      </w:tabs>
      <w:ind w:left="1080" w:hanging="1080"/>
    </w:pPr>
  </w:style>
  <w:style w:type="paragraph" w:styleId="TOC7">
    <w:name w:val="toc 7"/>
    <w:basedOn w:val="Normal"/>
    <w:next w:val="Normal"/>
    <w:autoRedefine/>
    <w:rsid w:val="00013EED"/>
    <w:pPr>
      <w:ind w:left="1200"/>
    </w:pPr>
  </w:style>
  <w:style w:type="paragraph" w:styleId="TOC8">
    <w:name w:val="toc 8"/>
    <w:basedOn w:val="Normal"/>
    <w:next w:val="Normal"/>
    <w:autoRedefine/>
    <w:rsid w:val="00013EED"/>
    <w:pPr>
      <w:ind w:left="1400"/>
    </w:pPr>
  </w:style>
  <w:style w:type="paragraph" w:styleId="TOC9">
    <w:name w:val="toc 9"/>
    <w:basedOn w:val="Normal"/>
    <w:next w:val="Normal"/>
    <w:autoRedefine/>
    <w:rsid w:val="00013EED"/>
    <w:pPr>
      <w:ind w:left="1600"/>
    </w:pPr>
  </w:style>
  <w:style w:type="paragraph" w:customStyle="1" w:styleId="AppendixAHeading3">
    <w:name w:val="AppendixAHeading3"/>
    <w:basedOn w:val="Heading3"/>
    <w:next w:val="AppendixAHeading4"/>
    <w:rsid w:val="00013EED"/>
    <w:pPr>
      <w:numPr>
        <w:numId w:val="29"/>
      </w:numPr>
    </w:pPr>
    <w:rPr>
      <w:rFonts w:ascii="Arial Bold" w:hAnsi="Arial Bold"/>
      <w:i/>
    </w:rPr>
  </w:style>
  <w:style w:type="paragraph" w:customStyle="1" w:styleId="AppendixAHeading4">
    <w:name w:val="AppendixAHeading4"/>
    <w:basedOn w:val="Heading4"/>
    <w:next w:val="Bullet"/>
    <w:rsid w:val="00013EED"/>
    <w:pPr>
      <w:numPr>
        <w:ilvl w:val="1"/>
        <w:numId w:val="30"/>
      </w:numPr>
    </w:pPr>
  </w:style>
  <w:style w:type="paragraph" w:customStyle="1" w:styleId="AppendixGHeading3">
    <w:name w:val="AppendixGHeading3"/>
    <w:basedOn w:val="Heading3"/>
    <w:rsid w:val="00013EED"/>
    <w:pPr>
      <w:numPr>
        <w:numId w:val="25"/>
      </w:numPr>
    </w:pPr>
  </w:style>
  <w:style w:type="paragraph" w:customStyle="1" w:styleId="NumberedParagraph">
    <w:name w:val="Numbered Paragraph"/>
    <w:basedOn w:val="Normal"/>
    <w:rsid w:val="00013EED"/>
    <w:pPr>
      <w:numPr>
        <w:numId w:val="22"/>
      </w:numPr>
    </w:pPr>
  </w:style>
  <w:style w:type="paragraph" w:customStyle="1" w:styleId="Heading3noTOC">
    <w:name w:val="Heading 3 no TOC"/>
    <w:basedOn w:val="Heading3"/>
    <w:rsid w:val="00013EED"/>
    <w:pPr>
      <w:outlineLvl w:val="9"/>
    </w:pPr>
  </w:style>
  <w:style w:type="paragraph" w:customStyle="1" w:styleId="Heading1noTOC">
    <w:name w:val="Heading 1 no TOC"/>
    <w:basedOn w:val="Heading1"/>
    <w:next w:val="Normal"/>
    <w:rsid w:val="00013EED"/>
  </w:style>
  <w:style w:type="paragraph" w:customStyle="1" w:styleId="Heading2noTOC">
    <w:name w:val="Heading 2 no TOC"/>
    <w:basedOn w:val="Heading2"/>
    <w:next w:val="Normal"/>
    <w:rsid w:val="00013EED"/>
    <w:pPr>
      <w:outlineLvl w:val="9"/>
    </w:pPr>
    <w:rPr>
      <w:rFonts w:ascii="Arial" w:hAnsi="Arial"/>
    </w:rPr>
  </w:style>
  <w:style w:type="paragraph" w:customStyle="1" w:styleId="Heading9noTOC">
    <w:name w:val="Heading 9 no TOC"/>
    <w:basedOn w:val="Heading9"/>
    <w:rsid w:val="00013EED"/>
    <w:pPr>
      <w:outlineLvl w:val="9"/>
    </w:pPr>
  </w:style>
  <w:style w:type="character" w:styleId="IntenseEmphasis">
    <w:name w:val="Intense Emphasis"/>
    <w:basedOn w:val="DefaultParagraphFont"/>
    <w:uiPriority w:val="21"/>
    <w:qFormat/>
    <w:rsid w:val="00013EED"/>
    <w:rPr>
      <w:b/>
      <w:bCs/>
      <w:i/>
      <w:iCs/>
      <w:color w:val="005ABB"/>
    </w:rPr>
  </w:style>
  <w:style w:type="paragraph" w:styleId="IntenseQuote">
    <w:name w:val="Intense Quote"/>
    <w:basedOn w:val="Normal"/>
    <w:next w:val="Normal"/>
    <w:link w:val="IntenseQuoteChar"/>
    <w:uiPriority w:val="30"/>
    <w:qFormat/>
    <w:rsid w:val="00013EED"/>
    <w:pPr>
      <w:pBdr>
        <w:bottom w:val="single" w:sz="4" w:space="4" w:color="4F81BD" w:themeColor="accent1"/>
      </w:pBdr>
      <w:spacing w:before="200" w:after="280"/>
      <w:ind w:left="936" w:right="936"/>
    </w:pPr>
    <w:rPr>
      <w:b/>
      <w:bCs/>
      <w:i/>
      <w:iCs/>
      <w:color w:val="005ABB"/>
    </w:rPr>
  </w:style>
  <w:style w:type="character" w:customStyle="1" w:styleId="IntenseQuoteChar">
    <w:name w:val="Intense Quote Char"/>
    <w:basedOn w:val="DefaultParagraphFont"/>
    <w:link w:val="IntenseQuote"/>
    <w:uiPriority w:val="30"/>
    <w:rsid w:val="00013EED"/>
    <w:rPr>
      <w:rFonts w:ascii="Book Antiqua" w:hAnsi="Book Antiqua"/>
      <w:b/>
      <w:bCs/>
      <w:i/>
      <w:iCs/>
      <w:color w:val="005ABB"/>
    </w:rPr>
  </w:style>
  <w:style w:type="paragraph" w:styleId="TOCHeading">
    <w:name w:val="TOC Heading"/>
    <w:basedOn w:val="Heading1"/>
    <w:next w:val="Normal"/>
    <w:uiPriority w:val="39"/>
    <w:semiHidden/>
    <w:unhideWhenUsed/>
    <w:qFormat/>
    <w:rsid w:val="00013EED"/>
    <w:pPr>
      <w:keepLines/>
      <w:spacing w:before="480" w:after="0" w:line="260" w:lineRule="exact"/>
      <w:jc w:val="both"/>
      <w:outlineLvl w:val="9"/>
    </w:pPr>
    <w:rPr>
      <w:rFonts w:asciiTheme="majorHAnsi" w:eastAsiaTheme="majorEastAsia" w:hAnsiTheme="majorHAnsi" w:cstheme="majorBidi"/>
      <w:kern w:val="0"/>
      <w:sz w:val="28"/>
      <w:szCs w:val="28"/>
    </w:rPr>
  </w:style>
  <w:style w:type="paragraph" w:styleId="Subtitle">
    <w:name w:val="Subtitle"/>
    <w:basedOn w:val="Normal"/>
    <w:next w:val="Normal"/>
    <w:link w:val="SubtitleChar"/>
    <w:qFormat/>
    <w:rsid w:val="00013EED"/>
    <w:pPr>
      <w:numPr>
        <w:ilvl w:val="1"/>
      </w:numPr>
    </w:pPr>
    <w:rPr>
      <w:rFonts w:asciiTheme="majorHAnsi" w:eastAsiaTheme="majorEastAsia" w:hAnsiTheme="majorHAnsi" w:cstheme="majorBidi"/>
      <w:i/>
      <w:iCs/>
      <w:color w:val="005ABB"/>
      <w:spacing w:val="15"/>
      <w:sz w:val="24"/>
      <w:szCs w:val="24"/>
    </w:rPr>
  </w:style>
  <w:style w:type="character" w:customStyle="1" w:styleId="SubtitleChar">
    <w:name w:val="Subtitle Char"/>
    <w:basedOn w:val="DefaultParagraphFont"/>
    <w:link w:val="Subtitle"/>
    <w:rsid w:val="00013EED"/>
    <w:rPr>
      <w:rFonts w:asciiTheme="majorHAnsi" w:eastAsiaTheme="majorEastAsia" w:hAnsiTheme="majorHAnsi" w:cstheme="majorBidi"/>
      <w:i/>
      <w:iCs/>
      <w:color w:val="005ABB"/>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FIRB%20Annual%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Report.dotm</Template>
  <TotalTime>1</TotalTime>
  <Pages>4</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GLOSSARY</vt:lpstr>
    </vt:vector>
  </TitlesOfParts>
  <Company>The Treasury</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creator>cna</dc:creator>
  <cp:lastModifiedBy>Keogh, Vicky</cp:lastModifiedBy>
  <cp:revision>2</cp:revision>
  <cp:lastPrinted>2010-03-25T05:30:00Z</cp:lastPrinted>
  <dcterms:created xsi:type="dcterms:W3CDTF">2016-01-18T00:05:00Z</dcterms:created>
  <dcterms:modified xsi:type="dcterms:W3CDTF">2016-01-18T00:05:00Z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1563702260</vt:i4>
  </property>
  <property fmtid="{D5CDD505-2E9C-101B-9397-08002B2CF9AE}" pid="3" name="_NewReviewCycle">
    <vt:lpwstr/>
  </property>
  <property fmtid="{D5CDD505-2E9C-101B-9397-08002B2CF9AE}" pid="4" name="_EmailSubject">
    <vt:lpwstr>Glossary and Main Points with amendments</vt:lpwstr>
  </property>
  <property fmtid="{D5CDD505-2E9C-101B-9397-08002B2CF9AE}" pid="5" name="_AuthorEmail">
    <vt:lpwstr>David.Gower@TREASURY.GOV.AU</vt:lpwstr>
  </property>
  <property fmtid="{D5CDD505-2E9C-101B-9397-08002B2CF9AE}" pid="6" name="_AuthorEmailDisplayName">
    <vt:lpwstr>Gower, David</vt:lpwstr>
  </property>
  <property fmtid="{D5CDD505-2E9C-101B-9397-08002B2CF9AE}" pid="7" name="_ReviewingToolsShownOnce">
    <vt:lpwstr/>
  </property>
</Properties>
</file>