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C" w:rsidRPr="00F10FFE" w:rsidRDefault="002437EC">
      <w:pPr>
        <w:pStyle w:val="Heading8"/>
        <w:rPr>
          <w:b/>
        </w:rPr>
      </w:pPr>
      <w:bookmarkStart w:id="0" w:name="_GoBack"/>
      <w:bookmarkEnd w:id="0"/>
      <w:r w:rsidRPr="00F10FFE">
        <w:rPr>
          <w:b/>
        </w:rPr>
        <w:t>Appendix F</w:t>
      </w:r>
    </w:p>
    <w:p w:rsidR="002437EC" w:rsidRPr="007F2EC5" w:rsidRDefault="002437EC">
      <w:pPr>
        <w:pStyle w:val="Heading9"/>
        <w:rPr>
          <w:i/>
        </w:rPr>
      </w:pPr>
      <w:r w:rsidRPr="007F2EC5">
        <w:rPr>
          <w:i/>
        </w:rPr>
        <w:t xml:space="preserve">OECD </w:t>
      </w:r>
      <w:r w:rsidR="00C93795" w:rsidRPr="007F2EC5">
        <w:rPr>
          <w:i/>
        </w:rPr>
        <w:t>G</w:t>
      </w:r>
      <w:r w:rsidRPr="007F2EC5">
        <w:rPr>
          <w:i/>
        </w:rPr>
        <w:t>uidelines for</w:t>
      </w:r>
      <w:r w:rsidRPr="007F2EC5">
        <w:rPr>
          <w:i/>
        </w:rPr>
        <w:br/>
      </w:r>
      <w:r w:rsidR="00C93795" w:rsidRPr="007F2EC5">
        <w:rPr>
          <w:i/>
        </w:rPr>
        <w:t>M</w:t>
      </w:r>
      <w:r w:rsidRPr="007F2EC5">
        <w:rPr>
          <w:i/>
        </w:rPr>
        <w:t xml:space="preserve">ultinational </w:t>
      </w:r>
      <w:r w:rsidR="00C93795" w:rsidRPr="007F2EC5">
        <w:rPr>
          <w:i/>
        </w:rPr>
        <w:t>E</w:t>
      </w:r>
      <w:r w:rsidRPr="007F2EC5">
        <w:rPr>
          <w:i/>
        </w:rPr>
        <w:t>nterprises</w:t>
      </w:r>
    </w:p>
    <w:p w:rsidR="002437EC" w:rsidRDefault="002437EC">
      <w:pPr>
        <w:sectPr w:rsidR="002437EC" w:rsidSect="00D3670B">
          <w:headerReference w:type="even" r:id="rId8"/>
          <w:headerReference w:type="default" r:id="rId9"/>
          <w:pgSz w:w="11907" w:h="16840" w:code="9"/>
          <w:pgMar w:top="2466" w:right="2098" w:bottom="2466" w:left="2098" w:header="1899" w:footer="1899" w:gutter="0"/>
          <w:paperSrc w:first="15" w:other="15"/>
          <w:pgNumType w:start="203"/>
          <w:cols w:space="720"/>
          <w:titlePg/>
          <w:docGrid w:linePitch="360"/>
        </w:sectPr>
      </w:pPr>
    </w:p>
    <w:p w:rsidR="002437EC" w:rsidRDefault="002437EC"/>
    <w:p w:rsidR="002437EC" w:rsidRDefault="002437EC">
      <w:pPr>
        <w:pStyle w:val="Heading1"/>
        <w:sectPr w:rsidR="002437EC" w:rsidSect="00FB0765">
          <w:headerReference w:type="first" r:id="rId10"/>
          <w:footerReference w:type="first" r:id="rId11"/>
          <w:pgSz w:w="11907" w:h="16840" w:code="9"/>
          <w:pgMar w:top="2466" w:right="2098" w:bottom="2466" w:left="2098" w:header="1899" w:footer="1899" w:gutter="0"/>
          <w:paperSrc w:first="15" w:other="15"/>
          <w:cols w:space="720"/>
          <w:titlePg/>
          <w:docGrid w:linePitch="360"/>
        </w:sectPr>
      </w:pPr>
    </w:p>
    <w:p w:rsidR="002437EC" w:rsidRPr="008162DA" w:rsidRDefault="002437EC" w:rsidP="008162DA">
      <w:pPr>
        <w:pStyle w:val="Heading1NoTOC"/>
        <w:rPr>
          <w:i/>
        </w:rPr>
      </w:pPr>
      <w:r w:rsidRPr="008162DA">
        <w:rPr>
          <w:i/>
        </w:rPr>
        <w:lastRenderedPageBreak/>
        <w:t xml:space="preserve">OECD </w:t>
      </w:r>
      <w:r w:rsidR="00C93795" w:rsidRPr="008162DA">
        <w:rPr>
          <w:i/>
        </w:rPr>
        <w:t>G</w:t>
      </w:r>
      <w:r w:rsidRPr="008162DA">
        <w:rPr>
          <w:i/>
        </w:rPr>
        <w:t xml:space="preserve">uidelines for </w:t>
      </w:r>
      <w:r w:rsidR="00C93795" w:rsidRPr="008162DA">
        <w:rPr>
          <w:i/>
        </w:rPr>
        <w:t>M</w:t>
      </w:r>
      <w:r w:rsidRPr="008162DA">
        <w:rPr>
          <w:i/>
        </w:rPr>
        <w:t xml:space="preserve">ultinational </w:t>
      </w:r>
      <w:r w:rsidR="00C93795" w:rsidRPr="008162DA">
        <w:rPr>
          <w:i/>
        </w:rPr>
        <w:t>E</w:t>
      </w:r>
      <w:r w:rsidRPr="008162DA">
        <w:rPr>
          <w:i/>
        </w:rPr>
        <w:t>nterprises</w:t>
      </w:r>
    </w:p>
    <w:p w:rsidR="002437EC" w:rsidRDefault="002437EC" w:rsidP="00C40E06">
      <w:pPr>
        <w:pStyle w:val="Heading2noTOC"/>
      </w:pPr>
      <w:r>
        <w:t xml:space="preserve">OECD Declaration on </w:t>
      </w:r>
      <w:r w:rsidR="00BF7F92">
        <w:t>i</w:t>
      </w:r>
      <w:r>
        <w:t xml:space="preserve">nternational </w:t>
      </w:r>
      <w:r w:rsidR="00BF7F92">
        <w:t>i</w:t>
      </w:r>
      <w:r>
        <w:t xml:space="preserve">nvestment and </w:t>
      </w:r>
      <w:r w:rsidR="00BF7F92">
        <w:t>m</w:t>
      </w:r>
      <w:r>
        <w:t xml:space="preserve">ultinational </w:t>
      </w:r>
      <w:r w:rsidR="00BF7F92">
        <w:t>e</w:t>
      </w:r>
      <w:r>
        <w:t>nterprises</w:t>
      </w:r>
    </w:p>
    <w:p w:rsidR="002437EC" w:rsidRDefault="002437EC">
      <w:r>
        <w:t>Australia has associated itself with a declaration and a number of procedural decisions made by the member countries of the Organisation for Economic Co</w:t>
      </w:r>
      <w:r w:rsidR="005C20CD">
        <w:noBreakHyphen/>
      </w:r>
      <w:r>
        <w:t>operation and Development (OECD) in June 1976, on international investment and multinational enterprises</w:t>
      </w:r>
      <w:r w:rsidR="00A407A7">
        <w:t xml:space="preserve">. </w:t>
      </w:r>
      <w:r>
        <w:t>The text of the 1976 Declaration as amended is as follows:</w:t>
      </w:r>
    </w:p>
    <w:p w:rsidR="002437EC" w:rsidRDefault="002437EC" w:rsidP="00C40E06">
      <w:pPr>
        <w:pStyle w:val="Heading3noTOC"/>
      </w:pPr>
      <w:r>
        <w:t>The Governments of OECD Member Countries</w:t>
      </w:r>
    </w:p>
    <w:p w:rsidR="002437EC" w:rsidRDefault="002437EC">
      <w:r>
        <w:t>CONSIDERING:</w:t>
      </w:r>
    </w:p>
    <w:p w:rsidR="002437EC" w:rsidRDefault="002437EC">
      <w:pPr>
        <w:pStyle w:val="Dash"/>
      </w:pPr>
      <w:r>
        <w:t>That international investment has assumed increased importance in the world economy and has considerably contributed to the development of their countries;</w:t>
      </w:r>
    </w:p>
    <w:p w:rsidR="002437EC" w:rsidRDefault="002437EC">
      <w:pPr>
        <w:pStyle w:val="Dash"/>
      </w:pPr>
      <w:r>
        <w:t>That multinational enterprises play an important role in the investment process;</w:t>
      </w:r>
    </w:p>
    <w:p w:rsidR="002437EC" w:rsidRDefault="002437EC">
      <w:pPr>
        <w:pStyle w:val="Dash"/>
      </w:pPr>
      <w:r>
        <w:t>That co</w:t>
      </w:r>
      <w:r w:rsidR="005C20CD">
        <w:noBreakHyphen/>
      </w:r>
      <w:r>
        <w:t>operation by Member economies can improve the foreign investment climate, encourage the positive contribution which multinational enterprises can make to economic and social progress, and minimise and resolve difficulties which may arise from their various operations;</w:t>
      </w:r>
    </w:p>
    <w:p w:rsidR="002437EC" w:rsidRDefault="002437EC">
      <w:pPr>
        <w:pStyle w:val="Dash"/>
      </w:pPr>
      <w:r>
        <w:t>That, while continuing endeavours within the OECD may lead to further international arrangements and agreements in this field, it seems appropriate at this stage to intensify their co</w:t>
      </w:r>
      <w:r w:rsidR="005C20CD">
        <w:noBreakHyphen/>
      </w:r>
      <w:r>
        <w:t>operation and consultation on issues relating to international investment and multinational enterprises through inter</w:t>
      </w:r>
      <w:r w:rsidR="005C20CD">
        <w:noBreakHyphen/>
      </w:r>
      <w:r>
        <w:t>related instruments each of which deals with a different aspect of the matter and together constitute a framework within which the OECD will consider these issues;</w:t>
      </w:r>
    </w:p>
    <w:p w:rsidR="002437EC" w:rsidRDefault="002437EC">
      <w:r>
        <w:t>DECLARE:</w:t>
      </w:r>
    </w:p>
    <w:p w:rsidR="002437EC" w:rsidRDefault="002437EC">
      <w:r>
        <w:t>Guidelines for Multinational Enterprises</w:t>
      </w:r>
    </w:p>
    <w:p w:rsidR="002437EC" w:rsidRDefault="002437EC">
      <w:pPr>
        <w:pStyle w:val="AppendixGGuidelines"/>
      </w:pPr>
      <w:r>
        <w:t>I.</w:t>
      </w:r>
      <w:r>
        <w:tab/>
        <w:t>That they jointly recommend to multinational enterprises operating in their territories the observance of the Guidelines as set forth in Annex 1 hereto having regard to the considerations and understandings which introduce the Guidelines and are an integral part of them;</w:t>
      </w:r>
    </w:p>
    <w:p w:rsidR="002437EC" w:rsidRDefault="002437EC">
      <w:r>
        <w:lastRenderedPageBreak/>
        <w:t>National Treatment</w:t>
      </w:r>
    </w:p>
    <w:p w:rsidR="002437EC" w:rsidRDefault="002437EC">
      <w:pPr>
        <w:pStyle w:val="AppendixGGuidelines"/>
      </w:pPr>
      <w:r>
        <w:t>II.1.</w:t>
      </w:r>
      <w:r>
        <w:tab/>
        <w:t xml:space="preserve">That Member countries should, consistent with their needs to maintain public order, to protect their essential security interests and to fulfil commitments relating to international peace and security, accord to enterprises operating in their territories and owned and controlled directly of indirectly by nationals of another Member country (hereinafter refereed to as </w:t>
      </w:r>
      <w:r w:rsidR="00EF13A5">
        <w:t>‘</w:t>
      </w:r>
      <w:r>
        <w:t>Foreign Controlled Enterprises</w:t>
      </w:r>
      <w:r w:rsidR="00EF13A5">
        <w:t>’</w:t>
      </w:r>
      <w:r>
        <w:t xml:space="preserve">) treatment under their laws, regulations and administrative practices, consistent with international law and no less favourable treatment than that is accorded in like situations to domestic enterprises (hereinafter referred to as </w:t>
      </w:r>
      <w:r w:rsidR="00EF13A5">
        <w:t>‘</w:t>
      </w:r>
      <w:r>
        <w:t>National Treatment);</w:t>
      </w:r>
    </w:p>
    <w:p w:rsidR="002437EC" w:rsidRDefault="002437EC">
      <w:pPr>
        <w:pStyle w:val="AppendixGGuidelines"/>
      </w:pPr>
      <w:r>
        <w:t>2.</w:t>
      </w:r>
      <w:r>
        <w:tab/>
        <w:t xml:space="preserve">That Member countries will consider applying </w:t>
      </w:r>
      <w:r w:rsidR="00EF13A5">
        <w:t>‘</w:t>
      </w:r>
      <w:r>
        <w:t>National Treatment</w:t>
      </w:r>
      <w:r w:rsidR="00EF13A5">
        <w:t>’</w:t>
      </w:r>
      <w:r>
        <w:t xml:space="preserve"> in respect of countries other than Member countries;</w:t>
      </w:r>
    </w:p>
    <w:p w:rsidR="002437EC" w:rsidRDefault="002437EC">
      <w:pPr>
        <w:pStyle w:val="AppendixGGuidelines"/>
      </w:pPr>
      <w:r>
        <w:t>3.</w:t>
      </w:r>
      <w:r>
        <w:tab/>
        <w:t xml:space="preserve">That Member countries will endeavour to ensure that their territorial subdivisions apply </w:t>
      </w:r>
      <w:r w:rsidR="00EF13A5">
        <w:t>‘</w:t>
      </w:r>
      <w:r>
        <w:t>National Treatment</w:t>
      </w:r>
      <w:r w:rsidR="00EF13A5">
        <w:t>’</w:t>
      </w:r>
      <w:r>
        <w:t>;</w:t>
      </w:r>
    </w:p>
    <w:p w:rsidR="002437EC" w:rsidRDefault="002437EC">
      <w:pPr>
        <w:pStyle w:val="AppendixGGuidelines"/>
      </w:pPr>
      <w:r>
        <w:t>4.</w:t>
      </w:r>
      <w:r>
        <w:tab/>
        <w:t>That this Declaration does not deal with the right of Member countries to regulate the entry of foreign investment or the conditions of established foreign enterprises;</w:t>
      </w:r>
    </w:p>
    <w:p w:rsidR="002437EC" w:rsidRDefault="002437EC">
      <w:r>
        <w:t>Conflicting Requirements</w:t>
      </w:r>
    </w:p>
    <w:p w:rsidR="002437EC" w:rsidRDefault="002437EC">
      <w:pPr>
        <w:pStyle w:val="AppendixGGuidelines"/>
      </w:pPr>
      <w:r>
        <w:t>III.</w:t>
      </w:r>
      <w:r>
        <w:tab/>
        <w:t>That they will co</w:t>
      </w:r>
      <w:r w:rsidR="005C20CD">
        <w:noBreakHyphen/>
      </w:r>
      <w:r>
        <w:t>operate with a view to avoiding or minimising the imposition of conflicting requirements in multinational enterprises and that they will take into account the general considerations and practical approaches as set forth in Annex 2 hereto.</w:t>
      </w:r>
    </w:p>
    <w:p w:rsidR="002437EC" w:rsidRDefault="002437EC">
      <w:r>
        <w:t>International Enterprises Incentives and Disincentives</w:t>
      </w:r>
    </w:p>
    <w:p w:rsidR="002437EC" w:rsidRDefault="002437EC">
      <w:pPr>
        <w:pStyle w:val="AppendixGGuidelines"/>
      </w:pPr>
      <w:r>
        <w:t>IV.1.</w:t>
      </w:r>
      <w:r>
        <w:tab/>
        <w:t>That they recognise the need to strengthen their co</w:t>
      </w:r>
      <w:r w:rsidR="005C20CD">
        <w:noBreakHyphen/>
      </w:r>
      <w:r>
        <w:t>operation in the Field of international direct investment;</w:t>
      </w:r>
    </w:p>
    <w:p w:rsidR="002437EC" w:rsidRDefault="002437EC">
      <w:pPr>
        <w:pStyle w:val="AppendixGGuidelines"/>
      </w:pPr>
      <w:r>
        <w:t>2.</w:t>
      </w:r>
      <w:r>
        <w:tab/>
        <w:t xml:space="preserve">That they thus recognise the need to give due weight to the interests of Member countries affected by specific laws, regulations and administrative practices in this field (hereinafter called </w:t>
      </w:r>
      <w:r w:rsidR="00EF13A5">
        <w:t>‘</w:t>
      </w:r>
      <w:r>
        <w:t>measures</w:t>
      </w:r>
      <w:r w:rsidR="00EF13A5">
        <w:t>’</w:t>
      </w:r>
      <w:r>
        <w:t>) providing official incentives and disincentives to international direct investment;</w:t>
      </w:r>
    </w:p>
    <w:p w:rsidR="002437EC" w:rsidRDefault="002437EC">
      <w:pPr>
        <w:pStyle w:val="AppendixGGuidelines"/>
      </w:pPr>
      <w:r>
        <w:t>3.</w:t>
      </w:r>
      <w:r>
        <w:tab/>
        <w:t>That Member countries will endeavour to make such measures as transparent as possible, so that their importance and purpose can be ascertained and that information on them can be readily available;</w:t>
      </w:r>
    </w:p>
    <w:p w:rsidR="002437EC" w:rsidRDefault="002437EC">
      <w:pPr>
        <w:pStyle w:val="AppendixGGuidelines"/>
      </w:pPr>
      <w:r>
        <w:br w:type="page"/>
        <w:t>Consultation Procedures</w:t>
      </w:r>
    </w:p>
    <w:p w:rsidR="002437EC" w:rsidRDefault="002437EC">
      <w:pPr>
        <w:pStyle w:val="AppendixGGuidelines"/>
      </w:pPr>
      <w:r>
        <w:t>V.</w:t>
      </w:r>
      <w:r>
        <w:tab/>
        <w:t>That they are prepared to consult one another on the above matters in conformity with the Decisions of the Council on the Guidelines for Multinational Enterprises, on National Treatment and on International Investment Incentives and Disincentives;</w:t>
      </w:r>
    </w:p>
    <w:p w:rsidR="002437EC" w:rsidRDefault="002437EC">
      <w:r>
        <w:t>Review</w:t>
      </w:r>
    </w:p>
    <w:p w:rsidR="002437EC" w:rsidRDefault="002437EC">
      <w:pPr>
        <w:pStyle w:val="AppendixGGuidelines"/>
      </w:pPr>
      <w:r>
        <w:t>VI.</w:t>
      </w:r>
      <w:r>
        <w:tab/>
        <w:t>That they will review the above matters within three years with a view to improving the effectiveness of international economic co</w:t>
      </w:r>
      <w:r w:rsidR="005C20CD">
        <w:noBreakHyphen/>
      </w:r>
      <w:r>
        <w:t>operation among Member countries on issues relating to international investment and multinational enterprises.</w:t>
      </w:r>
    </w:p>
    <w:p w:rsidR="002437EC" w:rsidRDefault="002437EC" w:rsidP="00C40E06">
      <w:pPr>
        <w:pStyle w:val="Heading2noTOC"/>
      </w:pPr>
      <w:r>
        <w:t xml:space="preserve">Annex 1: Guidelines for </w:t>
      </w:r>
      <w:r w:rsidR="00C93795">
        <w:t>M</w:t>
      </w:r>
      <w:r>
        <w:t xml:space="preserve">ultinational </w:t>
      </w:r>
      <w:r w:rsidR="00C93795">
        <w:t>E</w:t>
      </w:r>
      <w:r>
        <w:t>nterprises</w:t>
      </w:r>
    </w:p>
    <w:p w:rsidR="002437EC" w:rsidRDefault="002437EC" w:rsidP="00C40E06">
      <w:pPr>
        <w:pStyle w:val="Heading3noTOC"/>
      </w:pPr>
      <w:r>
        <w:t>Revised in 2000</w:t>
      </w:r>
    </w:p>
    <w:p w:rsidR="002437EC" w:rsidRDefault="002437EC">
      <w:r>
        <w:t>Preface</w:t>
      </w:r>
    </w:p>
    <w:p w:rsidR="002437EC" w:rsidRDefault="002437EC">
      <w:pPr>
        <w:pStyle w:val="OneLevelNumberedParagraph"/>
      </w:pPr>
      <w:r>
        <w:t xml:space="preserve">The </w:t>
      </w:r>
      <w:r>
        <w:rPr>
          <w:i/>
        </w:rPr>
        <w:t xml:space="preserve">OECD Guidelines for Multinational Enterprises </w:t>
      </w:r>
      <w:r>
        <w:t xml:space="preserve">(the </w:t>
      </w:r>
      <w:r>
        <w:rPr>
          <w:i/>
        </w:rPr>
        <w:t>Guidelines</w:t>
      </w:r>
      <w:r>
        <w:t>) were revised in 2000</w:t>
      </w:r>
      <w:r w:rsidR="00A407A7">
        <w:t xml:space="preserve">. </w:t>
      </w:r>
      <w:r>
        <w:t xml:space="preserve">The </w:t>
      </w:r>
      <w:r>
        <w:rPr>
          <w:i/>
        </w:rPr>
        <w:t>Guidelines</w:t>
      </w:r>
      <w:r>
        <w:t xml:space="preserve"> are recommendations addressed by governments to multinational enterprises</w:t>
      </w:r>
      <w:r w:rsidR="00A407A7">
        <w:t xml:space="preserve">. </w:t>
      </w:r>
      <w:r>
        <w:t>They provide voluntary principles and standards for responsible business conduct consistent with applicable laws</w:t>
      </w:r>
      <w:r w:rsidR="00A407A7">
        <w:t xml:space="preserve">. </w:t>
      </w:r>
      <w:r>
        <w:t xml:space="preserve">The </w:t>
      </w:r>
      <w:r>
        <w:rPr>
          <w:i/>
        </w:rPr>
        <w:t>Guidelines</w:t>
      </w:r>
      <w:r>
        <w:t xml:space="preserve"> aim to ensure that the operations of these enterprises are in harmony with government policies, to strengthen the basis of mutual confidence between enterprises and the societies in which they operate, to help improve the foreign investment climate and to enhance the contribution to sustainable development made by multinational enterprises</w:t>
      </w:r>
      <w:r w:rsidR="00A407A7">
        <w:t xml:space="preserve">. </w:t>
      </w:r>
      <w:r>
        <w:t xml:space="preserve">The </w:t>
      </w:r>
      <w:r>
        <w:rPr>
          <w:i/>
        </w:rPr>
        <w:t>Guidelines</w:t>
      </w:r>
      <w:r>
        <w:t xml:space="preserve"> are part of the </w:t>
      </w:r>
      <w:r>
        <w:rPr>
          <w:i/>
        </w:rPr>
        <w:t xml:space="preserve">OECD Declaration on International Investment and Multinational Enterprises </w:t>
      </w:r>
      <w:r>
        <w:t>the other elements of which relate to national treatment, conflicting requirements on enterprises, and international investment incentives and disincentives.</w:t>
      </w:r>
    </w:p>
    <w:p w:rsidR="002437EC" w:rsidRDefault="002437EC">
      <w:pPr>
        <w:pStyle w:val="OneLevelNumberedParagraph"/>
      </w:pPr>
      <w:r>
        <w:t>International business has experienced far</w:t>
      </w:r>
      <w:r w:rsidR="005C20CD">
        <w:noBreakHyphen/>
      </w:r>
      <w:r>
        <w:t xml:space="preserve">reaching structural change and the </w:t>
      </w:r>
      <w:r>
        <w:rPr>
          <w:i/>
        </w:rPr>
        <w:t>Guidelines</w:t>
      </w:r>
      <w:r>
        <w:t xml:space="preserve"> themselves have evolved to reflect these changes</w:t>
      </w:r>
      <w:r w:rsidR="00A407A7">
        <w:t xml:space="preserve">. </w:t>
      </w:r>
      <w:r>
        <w:t>With the rise of service and knowledge</w:t>
      </w:r>
      <w:r w:rsidR="005C20CD">
        <w:noBreakHyphen/>
      </w:r>
      <w:r>
        <w:t>intensive industries, service and technology enterprises have entered the international marketplace</w:t>
      </w:r>
      <w:r w:rsidR="00A407A7">
        <w:t xml:space="preserve">. </w:t>
      </w:r>
      <w:r>
        <w:t>Large enterprises still account for a major share of international investment, and there is a trend toward large</w:t>
      </w:r>
      <w:r w:rsidR="005C20CD">
        <w:noBreakHyphen/>
      </w:r>
      <w:r>
        <w:t>scale international mergers</w:t>
      </w:r>
      <w:r w:rsidR="00A407A7">
        <w:t xml:space="preserve">. </w:t>
      </w:r>
      <w:r>
        <w:t>At the same time, foreign investment by small</w:t>
      </w:r>
      <w:r w:rsidR="005C20CD">
        <w:noBreakHyphen/>
      </w:r>
      <w:r>
        <w:t>and medium</w:t>
      </w:r>
      <w:r w:rsidR="005C20CD">
        <w:noBreakHyphen/>
      </w:r>
      <w:r>
        <w:t>sized enterprises has also increased and these enterprises now play a significant role on the international scene</w:t>
      </w:r>
      <w:r w:rsidR="00A407A7">
        <w:t xml:space="preserve">. </w:t>
      </w:r>
      <w:r>
        <w:t>Multinational enterprises, like their domestic counterparts, have evolved to encompass a broader range of business arrangements and organisational forms</w:t>
      </w:r>
      <w:r w:rsidR="00A407A7">
        <w:t xml:space="preserve">. </w:t>
      </w:r>
      <w:r>
        <w:t>Strategic alliances and closer relations with suppliers and contractors tend to blur the boundaries of the enterprise.</w:t>
      </w:r>
    </w:p>
    <w:p w:rsidR="002437EC" w:rsidRDefault="002437EC">
      <w:pPr>
        <w:pStyle w:val="OneLevelNumberedParagraph"/>
      </w:pPr>
      <w:r>
        <w:t>The rapid evolution in the structure of multinational enterprises is also reflected in their operations in the developing world, where foreign direct investment has grown rapidly</w:t>
      </w:r>
      <w:r w:rsidR="00A407A7">
        <w:t xml:space="preserve">. </w:t>
      </w:r>
      <w:r>
        <w:t>In developing countries, multinational enterprises have diversified beyond primary production and extractive industries into manufacturing, assembly, domestic market development and services.</w:t>
      </w:r>
    </w:p>
    <w:p w:rsidR="002437EC" w:rsidRDefault="002437EC">
      <w:pPr>
        <w:pStyle w:val="OneLevelNumberedParagraph"/>
      </w:pPr>
      <w:r>
        <w:t>The activities of multinational enterprises, through international trade and investment, have strengthened and deepened the ties that join OECD economies to each other and to the rest of the world</w:t>
      </w:r>
      <w:r w:rsidR="00A407A7">
        <w:t xml:space="preserve">. </w:t>
      </w:r>
      <w:r>
        <w:t>These activities bring substantial benefits to home and host countries</w:t>
      </w:r>
      <w:r w:rsidR="00A407A7">
        <w:t xml:space="preserve">. </w:t>
      </w:r>
      <w:r>
        <w:t>These benefits accrue when multinational enterprises supply the products and services that consumers want to buy at competitive prices and when they provide fair returns to suppliers of capital</w:t>
      </w:r>
      <w:r w:rsidR="00A407A7">
        <w:t xml:space="preserve">. </w:t>
      </w:r>
      <w:r>
        <w:t>Their trade and investment activities contribute to the efficient use of capital, technology and human and natural resources</w:t>
      </w:r>
      <w:r w:rsidR="00A407A7">
        <w:t xml:space="preserve">. </w:t>
      </w:r>
      <w:r>
        <w:t>They facilitate the transfer of technology among the regions of the world and the development of technologies that reflect local conditions</w:t>
      </w:r>
      <w:r w:rsidR="00A407A7">
        <w:t xml:space="preserve">. </w:t>
      </w:r>
      <w:r>
        <w:t>Through both formal training and on</w:t>
      </w:r>
      <w:r w:rsidR="005C20CD">
        <w:noBreakHyphen/>
      </w:r>
      <w:r>
        <w:t>the</w:t>
      </w:r>
      <w:r w:rsidR="005C20CD">
        <w:noBreakHyphen/>
      </w:r>
      <w:r>
        <w:t>job learning enterprises also promote the development of human capital in host countries.</w:t>
      </w:r>
    </w:p>
    <w:p w:rsidR="002437EC" w:rsidRDefault="002437EC">
      <w:pPr>
        <w:pStyle w:val="OneLevelNumberedParagraph"/>
      </w:pPr>
      <w:r>
        <w:t>The nature, scope and speed of economic changes have presented new strategic challenges for enterprises and their stakeholders</w:t>
      </w:r>
      <w:r w:rsidR="00A407A7">
        <w:t xml:space="preserve">. </w:t>
      </w:r>
      <w:r>
        <w:t>Multinational enterprises have the opportunity to implement best practice policies for sustainable development that seek to ensure coherence between social, economic and environmental objectives</w:t>
      </w:r>
      <w:r w:rsidR="00A407A7">
        <w:t xml:space="preserve">. </w:t>
      </w:r>
      <w:r>
        <w:t>The ability of multinational enterprises to promote sustainable development is greatly enhanced when trade and investment are conducted in a context of open, competitive and appropriately regulated markets.</w:t>
      </w:r>
    </w:p>
    <w:p w:rsidR="002437EC" w:rsidRDefault="002437EC">
      <w:pPr>
        <w:pStyle w:val="OneLevelNumberedParagraph"/>
      </w:pPr>
      <w:r>
        <w:t>Many multinational enterprises have demonstrated that respect for high standards of business conduct can enhance growth</w:t>
      </w:r>
      <w:r w:rsidR="00A407A7">
        <w:t xml:space="preserve">. </w:t>
      </w:r>
      <w:r>
        <w:t>Today</w:t>
      </w:r>
      <w:r w:rsidR="00EF13A5">
        <w:t>’</w:t>
      </w:r>
      <w:r>
        <w:t>s competitive forces are intense and multinational enterprises face a variety of legal, social and regulatory settings</w:t>
      </w:r>
      <w:r w:rsidR="00A407A7">
        <w:t xml:space="preserve">. </w:t>
      </w:r>
      <w:r>
        <w:t>In this context, some enterprises may be tempted to neglect appropriate standards and principles of conduct in an attempt to gain undue competitive advantage</w:t>
      </w:r>
      <w:r w:rsidR="00A407A7">
        <w:t xml:space="preserve">. </w:t>
      </w:r>
      <w:r>
        <w:t>Such practices by the few may call into question the reputation of the many and may give rise to public concerns.</w:t>
      </w:r>
    </w:p>
    <w:p w:rsidR="002437EC" w:rsidRDefault="002437EC">
      <w:pPr>
        <w:pStyle w:val="OneLevelNumberedParagraph"/>
      </w:pPr>
      <w:r>
        <w:t>Many enterprises have responded to these public concerns by developing internal programmes, guidance and management systems that underpin their commitment to good corporate citizenship, good practices and good business and employee conduct</w:t>
      </w:r>
      <w:r w:rsidR="00A407A7">
        <w:t xml:space="preserve">. </w:t>
      </w:r>
      <w:r>
        <w:t>Some of them have called upon consulting, auditing and certification services, contributing to the accumulation of expertise in these areas</w:t>
      </w:r>
      <w:r w:rsidR="00A407A7">
        <w:t xml:space="preserve">. </w:t>
      </w:r>
      <w:r>
        <w:t>These efforts have also promoted social dialogue on what constitutes good business conduct</w:t>
      </w:r>
      <w:r w:rsidR="00A407A7">
        <w:t xml:space="preserve">. </w:t>
      </w:r>
      <w:r>
        <w:t xml:space="preserve">The </w:t>
      </w:r>
      <w:r>
        <w:rPr>
          <w:i/>
        </w:rPr>
        <w:t>Guidelines</w:t>
      </w:r>
      <w:r>
        <w:t xml:space="preserve"> clarify the shared expectations for business conduct of the governments adhering to them and provide a point of reference for enterprises</w:t>
      </w:r>
      <w:r w:rsidR="00A407A7">
        <w:t xml:space="preserve">. </w:t>
      </w:r>
      <w:r>
        <w:t xml:space="preserve">Thus, the </w:t>
      </w:r>
      <w:r>
        <w:rPr>
          <w:i/>
        </w:rPr>
        <w:t>Guidelines</w:t>
      </w:r>
      <w:r>
        <w:t xml:space="preserve"> both complement and reinforce private efforts to define and implement responsible business conduct.</w:t>
      </w:r>
    </w:p>
    <w:p w:rsidR="002437EC" w:rsidRDefault="002437EC">
      <w:pPr>
        <w:pStyle w:val="OneLevelNumberedParagraph"/>
      </w:pPr>
      <w:r>
        <w:t>Governments are co</w:t>
      </w:r>
      <w:r w:rsidR="005C20CD">
        <w:noBreakHyphen/>
      </w:r>
      <w:r>
        <w:t>operating with each other and with other actors to strengthen the international legal and policy framework in which business is conducted</w:t>
      </w:r>
      <w:r w:rsidR="00A407A7">
        <w:t xml:space="preserve">. </w:t>
      </w:r>
      <w:r>
        <w:t>The post</w:t>
      </w:r>
      <w:r w:rsidR="005C20CD">
        <w:noBreakHyphen/>
      </w:r>
      <w:r>
        <w:t>war period has seen the development of this framework, starting with the adoption in 1948 of the Universal Declaration of Human Rights</w:t>
      </w:r>
      <w:r w:rsidR="00A407A7">
        <w:t xml:space="preserve">. </w:t>
      </w:r>
      <w:r>
        <w:t>Recent instruments include the ILO Declaration on Fundamental Principles and Rights at Work, the Rio Declaration on Environment and Development and Agenda 21 and the Copenhagen Declaration for Social Development.</w:t>
      </w:r>
    </w:p>
    <w:p w:rsidR="002437EC" w:rsidRDefault="002437EC">
      <w:pPr>
        <w:pStyle w:val="OneLevelNumberedParagraph"/>
      </w:pPr>
      <w:r>
        <w:t>The OECD has also been contributing to the international policy framework</w:t>
      </w:r>
      <w:r w:rsidR="00A407A7">
        <w:t xml:space="preserve">. </w:t>
      </w:r>
      <w:r>
        <w:t xml:space="preserve">Recent developments include the adoption of the Convention on Combating Bribery of Foreign Public Officials in International Business Transactions and of </w:t>
      </w:r>
      <w:r w:rsidRPr="007F2EC5">
        <w:t>the OECD Principles of Corporate Governance, the OECD Guidelines for Consumer Protection in the Context of Electronic Commerce, and ongoing work on the OECD Guidelines on Transfer Pricing for Multinational Enterprises and</w:t>
      </w:r>
      <w:r>
        <w:t xml:space="preserve"> Tax Administrations.</w:t>
      </w:r>
    </w:p>
    <w:p w:rsidR="002437EC" w:rsidRDefault="002437EC">
      <w:pPr>
        <w:pStyle w:val="OneLevelNumberedParagraph"/>
      </w:pPr>
      <w:r>
        <w:t xml:space="preserve">The common aim of the governments adhering to the </w:t>
      </w:r>
      <w:r>
        <w:rPr>
          <w:i/>
        </w:rPr>
        <w:t>Guidelines</w:t>
      </w:r>
      <w:r>
        <w:t xml:space="preserve"> is to encourage the positive contributions that multinational enterprises can make to economic, environmental and social progress and to minimise the difficulties to which their various operations may give rise</w:t>
      </w:r>
      <w:r w:rsidR="00A407A7">
        <w:t xml:space="preserve">. </w:t>
      </w:r>
      <w:r>
        <w:t>In working towards this goal, governments find themselves in partnership with the many businesses, trade unions and other non</w:t>
      </w:r>
      <w:r w:rsidR="005C20CD">
        <w:noBreakHyphen/>
      </w:r>
      <w:r>
        <w:t>governmental organisations that are working in their own ways toward the same end</w:t>
      </w:r>
      <w:r w:rsidR="00A407A7">
        <w:t xml:space="preserve">. </w:t>
      </w:r>
      <w:r>
        <w:t>Governments can help by providing effective domestic policy frameworks that include stable macroeconomic policy, non</w:t>
      </w:r>
      <w:r w:rsidR="005C20CD">
        <w:noBreakHyphen/>
      </w:r>
      <w:r>
        <w:t>discriminatory treatment of firms, appropriate regulation and prudential supervision, an impartial system of courts and law enforcement and efficient and honest public administration</w:t>
      </w:r>
      <w:r w:rsidR="00A407A7">
        <w:t xml:space="preserve">. </w:t>
      </w:r>
      <w:r>
        <w:t>Governments can also help by maintaining and promoting appropriate standards and policies in support of sustainable development and by engaging in ongoing reforms to ensure that public sector activity is efficient and effective</w:t>
      </w:r>
      <w:r w:rsidR="00A407A7">
        <w:t xml:space="preserve">. </w:t>
      </w:r>
      <w:r>
        <w:t xml:space="preserve">Governments adhering to the </w:t>
      </w:r>
      <w:r>
        <w:rPr>
          <w:i/>
        </w:rPr>
        <w:t>Guidelines</w:t>
      </w:r>
      <w:r>
        <w:t xml:space="preserve"> are committed to continual improvement of both domestic and international policies with a view to improving the welfare and living standards of all people.</w:t>
      </w:r>
    </w:p>
    <w:p w:rsidR="002437EC" w:rsidRDefault="002437EC">
      <w:pPr>
        <w:pStyle w:val="AppendixGHeading3"/>
      </w:pPr>
      <w:r>
        <w:t>Concepts and principles</w:t>
      </w:r>
    </w:p>
    <w:p w:rsidR="002437EC" w:rsidRDefault="002437EC">
      <w:pPr>
        <w:pStyle w:val="OneLevelNumberedParagraph"/>
        <w:numPr>
          <w:ilvl w:val="0"/>
          <w:numId w:val="26"/>
        </w:numPr>
      </w:pPr>
      <w:r>
        <w:t xml:space="preserve">The </w:t>
      </w:r>
      <w:r>
        <w:rPr>
          <w:i/>
        </w:rPr>
        <w:t>Guidelines</w:t>
      </w:r>
      <w:r>
        <w:t xml:space="preserve"> are recommendations jointly addressed by governments to multinational enterprises</w:t>
      </w:r>
      <w:r w:rsidR="00A407A7">
        <w:t xml:space="preserve">. </w:t>
      </w:r>
      <w:r>
        <w:t>They provide principles and standards of good practice consistent with applicable laws</w:t>
      </w:r>
      <w:r w:rsidR="00A407A7">
        <w:t xml:space="preserve">. </w:t>
      </w:r>
      <w:r>
        <w:t xml:space="preserve">Observance of the </w:t>
      </w:r>
      <w:r>
        <w:rPr>
          <w:i/>
        </w:rPr>
        <w:t>Guidelines</w:t>
      </w:r>
      <w:r>
        <w:t xml:space="preserve"> by enterprises is voluntary and not legally enforceable.</w:t>
      </w:r>
    </w:p>
    <w:p w:rsidR="002437EC" w:rsidRDefault="002437EC">
      <w:pPr>
        <w:pStyle w:val="OneLevelNumberedParagraph"/>
      </w:pPr>
      <w:r>
        <w:t>Since the operations of multinational enterprises extend throughout the world, international co</w:t>
      </w:r>
      <w:r w:rsidR="005C20CD">
        <w:noBreakHyphen/>
      </w:r>
      <w:r>
        <w:t>operation in this field should extend to all countries</w:t>
      </w:r>
      <w:r w:rsidR="00A407A7">
        <w:t xml:space="preserve">. </w:t>
      </w:r>
      <w:r>
        <w:t xml:space="preserve">Governments adhering to the </w:t>
      </w:r>
      <w:r>
        <w:rPr>
          <w:i/>
        </w:rPr>
        <w:t>Guidelines</w:t>
      </w:r>
      <w:r>
        <w:t xml:space="preserve"> encourage the enterprises operating on their territories to observe the </w:t>
      </w:r>
      <w:r>
        <w:rPr>
          <w:i/>
        </w:rPr>
        <w:t>Guidelines</w:t>
      </w:r>
      <w:r>
        <w:t xml:space="preserve"> wherever they operate, while taking into account the particular circumstances of each host country.</w:t>
      </w:r>
    </w:p>
    <w:p w:rsidR="002437EC" w:rsidRDefault="002437EC">
      <w:pPr>
        <w:pStyle w:val="OneLevelNumberedParagraph"/>
      </w:pPr>
      <w:r>
        <w:t xml:space="preserve">A precise definition of multinational enterprises is not required for the purposes of the </w:t>
      </w:r>
      <w:r>
        <w:rPr>
          <w:i/>
        </w:rPr>
        <w:t>Guidelines</w:t>
      </w:r>
      <w:r w:rsidR="00A407A7">
        <w:t xml:space="preserve">. </w:t>
      </w:r>
      <w:r>
        <w:t>These usually comprise companies or other entities established in more than one country and so linked that they may co</w:t>
      </w:r>
      <w:r w:rsidR="005C20CD">
        <w:noBreakHyphen/>
      </w:r>
      <w:r>
        <w:t>ordinate their operations in various ways</w:t>
      </w:r>
      <w:r w:rsidR="00A407A7">
        <w:t xml:space="preserve">. </w:t>
      </w:r>
      <w:r>
        <w:t>While one or more of these entities may be able to exercise a significant influence over the activities of others, their degree of autonomy within the enterprise may vary widely from one multinational enterprise to another</w:t>
      </w:r>
      <w:r w:rsidR="00A407A7">
        <w:t xml:space="preserve">. </w:t>
      </w:r>
      <w:r>
        <w:t>Ownership may be private, state or mixed</w:t>
      </w:r>
      <w:r w:rsidR="00A407A7">
        <w:t xml:space="preserve">. </w:t>
      </w:r>
      <w:r>
        <w:t xml:space="preserve">The </w:t>
      </w:r>
      <w:r>
        <w:rPr>
          <w:i/>
        </w:rPr>
        <w:t>Guidelines</w:t>
      </w:r>
      <w:r>
        <w:t xml:space="preserve"> are addressed to all the entities within the multinational enterprise (parent companies and/or local entities)</w:t>
      </w:r>
      <w:r w:rsidR="00A407A7">
        <w:t xml:space="preserve">. </w:t>
      </w:r>
      <w:r>
        <w:t>According to the actual distribution of responsibilities among them, the different entities are expected to co</w:t>
      </w:r>
      <w:r w:rsidR="005C20CD">
        <w:noBreakHyphen/>
      </w:r>
      <w:r>
        <w:t xml:space="preserve">operate and to assist one another to facilitate observance of the </w:t>
      </w:r>
      <w:r>
        <w:rPr>
          <w:i/>
        </w:rPr>
        <w:t>Guidelines</w:t>
      </w:r>
      <w:r>
        <w:t>.</w:t>
      </w:r>
    </w:p>
    <w:p w:rsidR="002437EC" w:rsidRDefault="002437EC">
      <w:pPr>
        <w:pStyle w:val="OneLevelNumberedParagraph"/>
      </w:pPr>
      <w:r>
        <w:t xml:space="preserve">The </w:t>
      </w:r>
      <w:r>
        <w:rPr>
          <w:i/>
        </w:rPr>
        <w:t>Guidelines</w:t>
      </w:r>
      <w:r>
        <w:t xml:space="preserve"> are not aimed at introducing differences of treatment between multinational and domestic enterprises; they reflect good practice for all</w:t>
      </w:r>
      <w:r w:rsidR="00A407A7">
        <w:t xml:space="preserve">. </w:t>
      </w:r>
      <w:r>
        <w:t xml:space="preserve">Accordingly, multinational and domestic enterprises are subject to the same expectations in respect of their conduct wherever the </w:t>
      </w:r>
      <w:r>
        <w:rPr>
          <w:i/>
        </w:rPr>
        <w:t>Guidelines</w:t>
      </w:r>
      <w:r>
        <w:t xml:space="preserve"> are relevant to both.</w:t>
      </w:r>
    </w:p>
    <w:p w:rsidR="002437EC" w:rsidRDefault="002437EC">
      <w:pPr>
        <w:pStyle w:val="OneLevelNumberedParagraph"/>
      </w:pPr>
      <w:r>
        <w:t xml:space="preserve">Governments wish to encourage the widest possible observance of the </w:t>
      </w:r>
      <w:r>
        <w:rPr>
          <w:i/>
        </w:rPr>
        <w:t>Guidelines</w:t>
      </w:r>
      <w:r w:rsidR="00A407A7">
        <w:t xml:space="preserve">. </w:t>
      </w:r>
      <w:r>
        <w:t>While it is acknowledged that small</w:t>
      </w:r>
      <w:r w:rsidR="005C20CD">
        <w:noBreakHyphen/>
      </w:r>
      <w:r>
        <w:t xml:space="preserve"> and medium</w:t>
      </w:r>
      <w:r w:rsidR="005C20CD">
        <w:noBreakHyphen/>
      </w:r>
      <w:r>
        <w:t xml:space="preserve">sized enterprises may not have the same capacities as larger enterprises, governments adhering to the </w:t>
      </w:r>
      <w:r>
        <w:rPr>
          <w:i/>
        </w:rPr>
        <w:t>Guidelines</w:t>
      </w:r>
      <w:r>
        <w:t xml:space="preserve"> nevertheless encourage them to observe the </w:t>
      </w:r>
      <w:r>
        <w:rPr>
          <w:i/>
        </w:rPr>
        <w:t>Guidelines</w:t>
      </w:r>
      <w:r>
        <w:t xml:space="preserve"> recommendations to the fullest extent possible.</w:t>
      </w:r>
    </w:p>
    <w:p w:rsidR="002437EC" w:rsidRDefault="002437EC">
      <w:pPr>
        <w:pStyle w:val="OneLevelNumberedParagraph"/>
      </w:pPr>
      <w:r>
        <w:t xml:space="preserve">Governments adhering to the </w:t>
      </w:r>
      <w:r>
        <w:rPr>
          <w:i/>
        </w:rPr>
        <w:t>Guidelines</w:t>
      </w:r>
      <w:r>
        <w:t xml:space="preserve"> should not use them for protectionist purposes nor use them in a way that calls into question the comparative advantage of any country where multinational enterprises invest.</w:t>
      </w:r>
    </w:p>
    <w:p w:rsidR="002437EC" w:rsidRDefault="002437EC">
      <w:pPr>
        <w:pStyle w:val="OneLevelNumberedParagraph"/>
      </w:pPr>
      <w:r>
        <w:t>Governments have the right to prescribe the conditions under which multinational enterprises operate within their jurisdictions, subject to international law</w:t>
      </w:r>
      <w:r w:rsidR="00A407A7">
        <w:t xml:space="preserve">. </w:t>
      </w:r>
      <w:r>
        <w:t>The entities of a multinational enterprise located in various countries are subject to the laws applicable in these countries</w:t>
      </w:r>
      <w:r w:rsidR="00A407A7">
        <w:t xml:space="preserve">. </w:t>
      </w:r>
      <w:r>
        <w:t>When multinational enterprises are subject to conflicting requirements by adhering countries, the governments concerned will co</w:t>
      </w:r>
      <w:r w:rsidR="005C20CD">
        <w:noBreakHyphen/>
      </w:r>
      <w:r>
        <w:t>operate in good faith with a view to resolving problems that may arise.</w:t>
      </w:r>
    </w:p>
    <w:p w:rsidR="002437EC" w:rsidRDefault="002437EC">
      <w:pPr>
        <w:pStyle w:val="OneLevelNumberedParagraph"/>
      </w:pPr>
      <w:r>
        <w:t xml:space="preserve">Governments adhering to the </w:t>
      </w:r>
      <w:r>
        <w:rPr>
          <w:i/>
        </w:rPr>
        <w:t>Guidelines</w:t>
      </w:r>
      <w:r>
        <w:t xml:space="preserve"> set them forth with the understanding that they will fulfil their responsibilities to treat enterprises equitably and in accordance with international law and with their contractual obligations.</w:t>
      </w:r>
    </w:p>
    <w:p w:rsidR="002437EC" w:rsidRDefault="002437EC">
      <w:pPr>
        <w:pStyle w:val="OneLevelNumberedParagraph"/>
      </w:pPr>
      <w:r>
        <w:t>The use of appropriate international dispute settlement mechanisms, including arbitration, is encouraged as a means of facilitating the resolution of legal problems arising between enterprises and host country governments.</w:t>
      </w:r>
    </w:p>
    <w:p w:rsidR="002437EC" w:rsidRDefault="002437EC" w:rsidP="003C61ED">
      <w:pPr>
        <w:pStyle w:val="OneLevelNumberedParagraph"/>
        <w:keepNext/>
        <w:keepLines/>
      </w:pPr>
      <w:r>
        <w:t xml:space="preserve">Governments adhering to the </w:t>
      </w:r>
      <w:r>
        <w:rPr>
          <w:i/>
        </w:rPr>
        <w:t>Guidelines</w:t>
      </w:r>
      <w:r>
        <w:t xml:space="preserve"> will promote them and encourage their use</w:t>
      </w:r>
      <w:r w:rsidR="00A407A7">
        <w:t xml:space="preserve">. </w:t>
      </w:r>
      <w:r>
        <w:t xml:space="preserve">They will establish National Contact Points that promote the </w:t>
      </w:r>
      <w:r>
        <w:rPr>
          <w:i/>
        </w:rPr>
        <w:t>Guidelines</w:t>
      </w:r>
      <w:r>
        <w:t xml:space="preserve"> and act as a forum for discussion of all matters relating to the </w:t>
      </w:r>
      <w:r>
        <w:rPr>
          <w:i/>
        </w:rPr>
        <w:t>Guidelines</w:t>
      </w:r>
      <w:r w:rsidR="00A407A7">
        <w:t xml:space="preserve">. </w:t>
      </w:r>
      <w:r>
        <w:t xml:space="preserve">The adhering Governments will also participate in appropriate review and consultation procedures to address issues concerning interpretation of the </w:t>
      </w:r>
      <w:r>
        <w:rPr>
          <w:i/>
        </w:rPr>
        <w:t>Guidelines</w:t>
      </w:r>
      <w:r>
        <w:t xml:space="preserve"> in a changing world.</w:t>
      </w:r>
    </w:p>
    <w:p w:rsidR="002437EC" w:rsidRDefault="002437EC">
      <w:pPr>
        <w:pStyle w:val="AppendixGHeading3"/>
      </w:pPr>
      <w:r>
        <w:t>General policies</w:t>
      </w:r>
    </w:p>
    <w:p w:rsidR="002437EC" w:rsidRDefault="002437EC">
      <w:r>
        <w:t>Enterprises should take fully into account established policies in the countries in which they operate, and consider the views of other stakeholders</w:t>
      </w:r>
      <w:r w:rsidR="00A407A7">
        <w:t xml:space="preserve">. </w:t>
      </w:r>
      <w:r>
        <w:t>In this regard, enterprises should:</w:t>
      </w:r>
    </w:p>
    <w:p w:rsidR="002437EC" w:rsidRDefault="002437EC">
      <w:pPr>
        <w:pStyle w:val="OneLevelNumberedParagraph"/>
        <w:numPr>
          <w:ilvl w:val="0"/>
          <w:numId w:val="25"/>
        </w:numPr>
      </w:pPr>
      <w:r>
        <w:t>Contribute to economic, social and environmental progress with a view to achieving sustainable development.</w:t>
      </w:r>
    </w:p>
    <w:p w:rsidR="002437EC" w:rsidRDefault="002437EC">
      <w:pPr>
        <w:pStyle w:val="OneLevelNumberedParagraph"/>
      </w:pPr>
      <w:r>
        <w:t>Respect the human rights of those affected by their activities consistent with the host government</w:t>
      </w:r>
      <w:r w:rsidR="00EF13A5">
        <w:t>’</w:t>
      </w:r>
      <w:r>
        <w:t>s international obligations and commitments.</w:t>
      </w:r>
    </w:p>
    <w:p w:rsidR="002437EC" w:rsidRDefault="002437EC">
      <w:pPr>
        <w:pStyle w:val="OneLevelNumberedParagraph"/>
      </w:pPr>
      <w:r>
        <w:t>Encourage local capacity building through close co</w:t>
      </w:r>
      <w:r w:rsidR="005C20CD">
        <w:noBreakHyphen/>
      </w:r>
      <w:r>
        <w:t>operation with the local community, including business interests, as well as developing the enterprise</w:t>
      </w:r>
      <w:r w:rsidR="00EF13A5">
        <w:t>’</w:t>
      </w:r>
      <w:r>
        <w:t>s activities in domestic and foreign markets, consistent with the need for sound commercial practice.</w:t>
      </w:r>
    </w:p>
    <w:p w:rsidR="002437EC" w:rsidRDefault="002437EC">
      <w:pPr>
        <w:pStyle w:val="OneLevelNumberedParagraph"/>
      </w:pPr>
      <w:r>
        <w:t>Encourage human capital formation, in particular by creating employment opportunities and facilitating training opportunities for employees.</w:t>
      </w:r>
    </w:p>
    <w:p w:rsidR="002437EC" w:rsidRDefault="002437EC">
      <w:pPr>
        <w:pStyle w:val="OneLevelNumberedParagraph"/>
      </w:pPr>
      <w:r>
        <w:t>Refrain from seeking or accepting exemptions not contemplated in the statutory or regulatory framework related to environmental, health, safety, labour, taxation, financial incentives, or other issues.</w:t>
      </w:r>
    </w:p>
    <w:p w:rsidR="002437EC" w:rsidRDefault="002437EC">
      <w:pPr>
        <w:pStyle w:val="OneLevelNumberedParagraph"/>
      </w:pPr>
      <w:r>
        <w:t>Support and uphold good corporate governance principles and develop and apply good corporate governance practices.</w:t>
      </w:r>
    </w:p>
    <w:p w:rsidR="002437EC" w:rsidRDefault="002437EC">
      <w:pPr>
        <w:pStyle w:val="OneLevelNumberedParagraph"/>
      </w:pPr>
      <w:r>
        <w:t>Develop and apply effective self</w:t>
      </w:r>
      <w:r w:rsidR="005C20CD">
        <w:noBreakHyphen/>
      </w:r>
      <w:r>
        <w:t>regulatory practices and management systems that foster a relationship of confidence and mutual trust between enterprises and the societies in which they operate.</w:t>
      </w:r>
    </w:p>
    <w:p w:rsidR="002437EC" w:rsidRDefault="002437EC">
      <w:pPr>
        <w:pStyle w:val="OneLevelNumberedParagraph"/>
      </w:pPr>
      <w:r>
        <w:t>Promote employee awareness of, and compliance with, company policies through appropriate dissemination of these policies, including through training programmes.</w:t>
      </w:r>
    </w:p>
    <w:p w:rsidR="002437EC" w:rsidRDefault="002437EC">
      <w:pPr>
        <w:pStyle w:val="OneLevelNumberedParagraph"/>
      </w:pPr>
      <w:r>
        <w:t xml:space="preserve">Refrain from discriminatory or disciplinary action against employees who make </w:t>
      </w:r>
      <w:r>
        <w:rPr>
          <w:i/>
        </w:rPr>
        <w:t xml:space="preserve">bona fide </w:t>
      </w:r>
      <w:r>
        <w:t xml:space="preserve">reports to management or, as appropriate, to the competent public authorities, on practices that contravene the law, the </w:t>
      </w:r>
      <w:r>
        <w:rPr>
          <w:i/>
        </w:rPr>
        <w:t>Guidelines</w:t>
      </w:r>
      <w:r>
        <w:t xml:space="preserve"> or the enterprise</w:t>
      </w:r>
      <w:r w:rsidR="00EF13A5">
        <w:t>’</w:t>
      </w:r>
      <w:r>
        <w:t>s policies.</w:t>
      </w:r>
    </w:p>
    <w:p w:rsidR="002437EC" w:rsidRDefault="002437EC">
      <w:pPr>
        <w:pStyle w:val="OneLevelNumberedParagraph"/>
      </w:pPr>
      <w:r>
        <w:t>Encourage, where practicable, business partners, including suppliers and sub</w:t>
      </w:r>
      <w:r w:rsidR="005C20CD">
        <w:noBreakHyphen/>
      </w:r>
      <w:r>
        <w:t xml:space="preserve">contractors, to apply principles of corporate conduct compatible with the </w:t>
      </w:r>
      <w:r>
        <w:rPr>
          <w:i/>
        </w:rPr>
        <w:t>Guidelines</w:t>
      </w:r>
      <w:r>
        <w:t>.</w:t>
      </w:r>
    </w:p>
    <w:p w:rsidR="002437EC" w:rsidRDefault="002437EC">
      <w:pPr>
        <w:pStyle w:val="OneLevelNumberedParagraph"/>
      </w:pPr>
      <w:r>
        <w:t>Abstain from any improper involvement in local political activities.</w:t>
      </w:r>
    </w:p>
    <w:p w:rsidR="002437EC" w:rsidRPr="00F11FD1" w:rsidRDefault="002437EC" w:rsidP="00F11FD1">
      <w:pPr>
        <w:pStyle w:val="AppendixGHeading3"/>
      </w:pPr>
      <w:r w:rsidRPr="00F11FD1">
        <w:t>Disclosure</w:t>
      </w:r>
    </w:p>
    <w:p w:rsidR="002437EC" w:rsidRDefault="002437EC">
      <w:pPr>
        <w:pStyle w:val="OneLevelNumberedParagraph"/>
        <w:numPr>
          <w:ilvl w:val="0"/>
          <w:numId w:val="10"/>
        </w:numPr>
      </w:pPr>
      <w:r>
        <w:t>Enterprises should ensure that timely, regular, reliable and relevant information is disclosed regarding their activities, structure, financial situation and performance</w:t>
      </w:r>
      <w:r w:rsidR="00A407A7">
        <w:t xml:space="preserve">. </w:t>
      </w:r>
      <w:r>
        <w:t>This information should be disclosed for the enterprise as a whole and, where appropriate, along business lines or geographic areas</w:t>
      </w:r>
      <w:r w:rsidR="00A407A7">
        <w:t xml:space="preserve">. </w:t>
      </w:r>
      <w:r>
        <w:t>Disclosure policies of enterprises should be tailored to the nature, size and location of the enterprise, with due regard taken of costs, business confidentiality and other competitive concerns.</w:t>
      </w:r>
    </w:p>
    <w:p w:rsidR="002437EC" w:rsidRDefault="002437EC">
      <w:pPr>
        <w:pStyle w:val="OneLevelNumberedParagraph"/>
      </w:pPr>
      <w:r>
        <w:t>Enterprises should apply high quality standards for disclosure, accounting, and audit</w:t>
      </w:r>
      <w:r w:rsidR="00A407A7">
        <w:t xml:space="preserve">. </w:t>
      </w:r>
      <w:r>
        <w:t>Enterprises are also encouraged to apply high quality standards for non</w:t>
      </w:r>
      <w:r w:rsidR="005C20CD">
        <w:noBreakHyphen/>
      </w:r>
      <w:r>
        <w:t>financial information including environmental and social reporting where they exist</w:t>
      </w:r>
      <w:r w:rsidR="00A407A7">
        <w:t xml:space="preserve">. </w:t>
      </w:r>
      <w:r>
        <w:t>The standards or policies under which both financial and non</w:t>
      </w:r>
      <w:r w:rsidR="005C20CD">
        <w:noBreakHyphen/>
      </w:r>
      <w:r>
        <w:t>financial information are compiled and published should be reported.</w:t>
      </w:r>
    </w:p>
    <w:p w:rsidR="002437EC" w:rsidRDefault="002437EC">
      <w:pPr>
        <w:pStyle w:val="OneLevelNumberedParagraph"/>
      </w:pPr>
      <w:r>
        <w:t>Enterprises should disclose basic information showing their name, location, and structure, the name, address and telephone number of the parent enterprise and its main affiliates, its percentage ownership, direct and indirect in these affiliates, including shareholdings between them.</w:t>
      </w:r>
    </w:p>
    <w:p w:rsidR="002437EC" w:rsidRDefault="002437EC">
      <w:pPr>
        <w:pStyle w:val="OneLevelNumberedParagraph"/>
      </w:pPr>
      <w:r>
        <w:t>Enterprises should also disclose material information on:</w:t>
      </w:r>
    </w:p>
    <w:p w:rsidR="002437EC" w:rsidRPr="00F11FD1" w:rsidRDefault="002437EC" w:rsidP="00F11FD1">
      <w:pPr>
        <w:pStyle w:val="AlphaParagraph"/>
      </w:pPr>
      <w:r w:rsidRPr="00F11FD1">
        <w:t>The financial and operating results of the company;</w:t>
      </w:r>
    </w:p>
    <w:p w:rsidR="002437EC" w:rsidRPr="00F11FD1" w:rsidRDefault="002437EC" w:rsidP="00F11FD1">
      <w:pPr>
        <w:pStyle w:val="AlphaParagraph"/>
      </w:pPr>
      <w:r w:rsidRPr="00F11FD1">
        <w:t>Company objectives;</w:t>
      </w:r>
    </w:p>
    <w:p w:rsidR="002437EC" w:rsidRPr="00F11FD1" w:rsidRDefault="002437EC" w:rsidP="00F11FD1">
      <w:pPr>
        <w:pStyle w:val="AlphaParagraph"/>
      </w:pPr>
      <w:r w:rsidRPr="00F11FD1">
        <w:t>Major share ownership and voting rights;</w:t>
      </w:r>
    </w:p>
    <w:p w:rsidR="002437EC" w:rsidRPr="00F11FD1" w:rsidRDefault="002437EC" w:rsidP="00F11FD1">
      <w:pPr>
        <w:pStyle w:val="AlphaParagraph"/>
      </w:pPr>
      <w:r w:rsidRPr="00F11FD1">
        <w:t>Members of the board and key executives, and their remuneration;</w:t>
      </w:r>
    </w:p>
    <w:p w:rsidR="002437EC" w:rsidRPr="00F11FD1" w:rsidRDefault="002437EC" w:rsidP="00F11FD1">
      <w:pPr>
        <w:pStyle w:val="AlphaParagraph"/>
      </w:pPr>
      <w:r w:rsidRPr="00F11FD1">
        <w:t>Material foreseeable risk factors;</w:t>
      </w:r>
    </w:p>
    <w:p w:rsidR="002437EC" w:rsidRPr="00F11FD1" w:rsidRDefault="002437EC" w:rsidP="00F11FD1">
      <w:pPr>
        <w:pStyle w:val="AlphaParagraph"/>
      </w:pPr>
      <w:r w:rsidRPr="00F11FD1">
        <w:t>Material issues regarding employees and other stakeholders; and</w:t>
      </w:r>
    </w:p>
    <w:p w:rsidR="002437EC" w:rsidRPr="00F11FD1" w:rsidRDefault="002437EC" w:rsidP="00F11FD1">
      <w:pPr>
        <w:pStyle w:val="AlphaParagraph"/>
      </w:pPr>
      <w:r w:rsidRPr="00F11FD1">
        <w:t>Governance structures and policies.</w:t>
      </w:r>
    </w:p>
    <w:p w:rsidR="002437EC" w:rsidRPr="005B0810" w:rsidRDefault="002437EC" w:rsidP="003C61ED">
      <w:pPr>
        <w:pStyle w:val="OneLevelNumberedParagraph"/>
        <w:keepNext/>
        <w:keepLines/>
      </w:pPr>
      <w:r>
        <w:t xml:space="preserve">Enterprises are encouraged to communicate additional information that could </w:t>
      </w:r>
      <w:r w:rsidRPr="005B0810">
        <w:t>include:</w:t>
      </w:r>
    </w:p>
    <w:p w:rsidR="002437EC" w:rsidRPr="005B0810" w:rsidRDefault="002437EC" w:rsidP="00CC1625">
      <w:pPr>
        <w:pStyle w:val="AlphaParagraph"/>
        <w:numPr>
          <w:ilvl w:val="0"/>
          <w:numId w:val="28"/>
        </w:numPr>
      </w:pPr>
      <w:r w:rsidRPr="005B0810">
        <w:t>Value statements or statements of business conduct intended for public disclosure including information on the social, ethical and environmental policies of the enterprise and other codes of conduct to which the company subscribes</w:t>
      </w:r>
      <w:r w:rsidR="00A407A7" w:rsidRPr="005B0810">
        <w:t xml:space="preserve">. </w:t>
      </w:r>
      <w:r w:rsidRPr="005B0810">
        <w:t>In addition, the date of adoption, the countries and entities to which such statements apply and its performance in relation to these statements may be communicated;</w:t>
      </w:r>
    </w:p>
    <w:p w:rsidR="002437EC" w:rsidRPr="002947A6" w:rsidRDefault="002437EC">
      <w:pPr>
        <w:pStyle w:val="AlphaParagraph"/>
      </w:pPr>
      <w:r w:rsidRPr="002947A6">
        <w:t>Information on systems for managing risks and complying with laws, and on statements or codes of business conduct; and</w:t>
      </w:r>
    </w:p>
    <w:p w:rsidR="002437EC" w:rsidRPr="002947A6" w:rsidRDefault="002437EC">
      <w:pPr>
        <w:pStyle w:val="AlphaParagraph"/>
      </w:pPr>
      <w:r w:rsidRPr="002947A6">
        <w:t>Information on relationships with employees and other stakeholders.</w:t>
      </w:r>
    </w:p>
    <w:p w:rsidR="002437EC" w:rsidRDefault="002437EC">
      <w:pPr>
        <w:pStyle w:val="AppendixGHeading3"/>
      </w:pPr>
      <w:r>
        <w:t>Employment and industrial relations</w:t>
      </w:r>
    </w:p>
    <w:p w:rsidR="002437EC" w:rsidRDefault="002437EC">
      <w:pPr>
        <w:pStyle w:val="OneLevelNumberedParagraph"/>
        <w:numPr>
          <w:ilvl w:val="0"/>
          <w:numId w:val="12"/>
        </w:numPr>
      </w:pPr>
      <w:r>
        <w:t>Enterprises should, within the framework of applicable law, regulations and prevailing labour relations and employment practices:</w:t>
      </w:r>
    </w:p>
    <w:p w:rsidR="002437EC" w:rsidRPr="005B0810" w:rsidRDefault="002437EC" w:rsidP="00CC1625">
      <w:pPr>
        <w:pStyle w:val="AlphaParagraph"/>
        <w:numPr>
          <w:ilvl w:val="0"/>
          <w:numId w:val="11"/>
        </w:numPr>
      </w:pPr>
      <w:r w:rsidRPr="005B0810">
        <w:t>Respect the right of their employees to be represented by trade unions and other bona fide representatives of employees, and engage in constructive negotiations, either individually or through employers</w:t>
      </w:r>
      <w:r w:rsidR="00EF13A5" w:rsidRPr="005B0810">
        <w:t>’</w:t>
      </w:r>
      <w:r w:rsidRPr="005B0810">
        <w:t xml:space="preserve"> associations, with such representatives with a view to reaching agreements on employment conditions; </w:t>
      </w:r>
    </w:p>
    <w:p w:rsidR="002437EC" w:rsidRPr="002947A6" w:rsidRDefault="002437EC">
      <w:pPr>
        <w:pStyle w:val="AlphaParagraph"/>
      </w:pPr>
      <w:r w:rsidRPr="002947A6">
        <w:t>Contribute to the effective abolition of child labour;</w:t>
      </w:r>
    </w:p>
    <w:p w:rsidR="002437EC" w:rsidRPr="002947A6" w:rsidRDefault="002437EC">
      <w:pPr>
        <w:pStyle w:val="AlphaParagraph"/>
      </w:pPr>
      <w:r w:rsidRPr="002947A6">
        <w:t>Contribute to the elimination of all forms of forced or compulsory labour; and</w:t>
      </w:r>
    </w:p>
    <w:p w:rsidR="002437EC" w:rsidRDefault="002437EC">
      <w:pPr>
        <w:pStyle w:val="AlphaParagraph"/>
      </w:pPr>
      <w:r w:rsidRPr="002947A6">
        <w:t>Not discriminate against their employees with respect to employment or occupation on such grounds as race, colour, sex, religion, political opinion, national extraction or social origin, unless selectivity concerning employee characteristics furthers established governmental policies which specifically promote greater equality of employment opportunity or relates to the inherent requirements of a job.</w:t>
      </w:r>
    </w:p>
    <w:p w:rsidR="002437EC" w:rsidRPr="002947A6" w:rsidRDefault="002437EC" w:rsidP="00E5682B">
      <w:pPr>
        <w:pStyle w:val="OneLevelNumberedParagraph"/>
        <w:tabs>
          <w:tab w:val="left" w:pos="1080"/>
        </w:tabs>
        <w:ind w:left="1080" w:hanging="1038"/>
      </w:pPr>
      <w:r>
        <w:t>(a)</w:t>
      </w:r>
      <w:r w:rsidR="00E5682B">
        <w:tab/>
      </w:r>
      <w:r w:rsidRPr="002947A6">
        <w:t xml:space="preserve">Provide facilities to employee representatives as may be necessary to assist in the development of effective collective agreements; </w:t>
      </w:r>
    </w:p>
    <w:p w:rsidR="002437EC" w:rsidRPr="002947A6" w:rsidRDefault="00E5682B" w:rsidP="00E5682B">
      <w:pPr>
        <w:tabs>
          <w:tab w:val="left" w:pos="1080"/>
        </w:tabs>
        <w:ind w:left="1080" w:hanging="506"/>
      </w:pPr>
      <w:r>
        <w:t>(b)</w:t>
      </w:r>
      <w:r>
        <w:tab/>
      </w:r>
      <w:r w:rsidR="002437EC" w:rsidRPr="002947A6">
        <w:t>Provide information to employee representatives which is needed for meaningful negotiations on conditions of employment; and</w:t>
      </w:r>
    </w:p>
    <w:p w:rsidR="002437EC" w:rsidRPr="002947A6" w:rsidRDefault="002437EC" w:rsidP="00E5682B">
      <w:pPr>
        <w:tabs>
          <w:tab w:val="left" w:pos="1080"/>
        </w:tabs>
        <w:ind w:left="1080" w:hanging="506"/>
      </w:pPr>
      <w:r>
        <w:t>(c)</w:t>
      </w:r>
      <w:r w:rsidR="00E5682B">
        <w:tab/>
      </w:r>
      <w:r w:rsidRPr="002947A6">
        <w:t>Promote consultation and co</w:t>
      </w:r>
      <w:r w:rsidR="005C20CD">
        <w:noBreakHyphen/>
      </w:r>
      <w:r w:rsidRPr="002947A6">
        <w:t>operation between employers and employees and their representatives on matters of mutual concern.</w:t>
      </w:r>
    </w:p>
    <w:p w:rsidR="002437EC" w:rsidRDefault="002437EC">
      <w:pPr>
        <w:pStyle w:val="OneLevelNumberedParagraph"/>
      </w:pPr>
      <w:r>
        <w:t>Provide information to employees and their representatives which enables them to obtain a true and fair view of the performance of the entity or, where appropriate, the enterprise as a whole</w:t>
      </w:r>
      <w:r w:rsidR="00A407A7">
        <w:t xml:space="preserve">. </w:t>
      </w:r>
    </w:p>
    <w:p w:rsidR="002437EC" w:rsidRDefault="002437EC" w:rsidP="00F56D28">
      <w:pPr>
        <w:pStyle w:val="OneLevelNumberedParagraph"/>
        <w:tabs>
          <w:tab w:val="left" w:pos="1080"/>
        </w:tabs>
        <w:ind w:left="1080" w:hanging="1080"/>
      </w:pPr>
      <w:r>
        <w:t>(a)</w:t>
      </w:r>
      <w:r w:rsidR="00F56D28">
        <w:tab/>
      </w:r>
      <w:r>
        <w:t>Observe standards of employment and industrial relations not less favourable than those observed by comparable employers in the host country; and</w:t>
      </w:r>
    </w:p>
    <w:p w:rsidR="002437EC" w:rsidRDefault="002437EC" w:rsidP="00F56D28">
      <w:pPr>
        <w:pStyle w:val="AlphaParagraph"/>
        <w:numPr>
          <w:ilvl w:val="0"/>
          <w:numId w:val="0"/>
        </w:numPr>
        <w:tabs>
          <w:tab w:val="left" w:pos="560"/>
          <w:tab w:val="left" w:pos="1080"/>
        </w:tabs>
        <w:ind w:left="1080" w:hanging="480"/>
      </w:pPr>
      <w:r>
        <w:t>(b)</w:t>
      </w:r>
      <w:r>
        <w:tab/>
        <w:t>Take adequate steps to ensure occupational health and safety in their operations.</w:t>
      </w:r>
    </w:p>
    <w:p w:rsidR="002437EC" w:rsidRDefault="002437EC">
      <w:pPr>
        <w:pStyle w:val="OneLevelNumberedParagraph"/>
      </w:pPr>
      <w:r>
        <w:t>In their operations, to the greatest extent practicable, employ local personnel and provide training with a view to improving skill levels, in co</w:t>
      </w:r>
      <w:r w:rsidR="005C20CD">
        <w:noBreakHyphen/>
      </w:r>
      <w:r>
        <w:t>operation with employee representatives and, where appropriate, relevant governmental authorities.</w:t>
      </w:r>
    </w:p>
    <w:p w:rsidR="002437EC" w:rsidRDefault="002437EC">
      <w:pPr>
        <w:pStyle w:val="OneLevelNumberedParagraph"/>
      </w:pPr>
      <w:r>
        <w:t>In considering changes in their operations which would have major effects upon the livelihood of their employees, in particular in the case of the closure of an entity involving collective lay</w:t>
      </w:r>
      <w:r w:rsidR="005C20CD">
        <w:noBreakHyphen/>
      </w:r>
      <w:r>
        <w:t>offs or dismissals, provide reasonable notice of such changes to representatives of their employees, and, where appropriate, to the relevant governmental authorities, and co</w:t>
      </w:r>
      <w:r w:rsidR="005C20CD">
        <w:noBreakHyphen/>
      </w:r>
      <w:r>
        <w:t>operate with the employee representatives and appropriate governmental authorities so as to mitigate to the maximum extent practicable adverse effects</w:t>
      </w:r>
      <w:r w:rsidR="00A407A7">
        <w:t xml:space="preserve">. </w:t>
      </w:r>
      <w:r>
        <w:t>In light of the specific circumstances of each case, it would be appropriate if management were able to give such notice prior to the final decision being taken</w:t>
      </w:r>
      <w:r w:rsidR="00A407A7">
        <w:t xml:space="preserve">. </w:t>
      </w:r>
      <w:r>
        <w:t>Other means may also be employed to provide meaningful co</w:t>
      </w:r>
      <w:r w:rsidR="005C20CD">
        <w:noBreakHyphen/>
      </w:r>
      <w:r>
        <w:t>operation to mitigate the effects of such decisions.</w:t>
      </w:r>
    </w:p>
    <w:p w:rsidR="002437EC" w:rsidRDefault="002437EC">
      <w:pPr>
        <w:pStyle w:val="OneLevelNumberedParagraph"/>
      </w:pPr>
      <w:r>
        <w:t>In the context of bona fide negotiations with representatives of employees on conditions of employment, or while employees are exercising a right to organise, not threaten to transfer the whole or part of an operating unit from the country concerned nor transfer employees from the enterprises</w:t>
      </w:r>
      <w:r w:rsidR="00EF13A5">
        <w:t>’</w:t>
      </w:r>
      <w:r>
        <w:t xml:space="preserve"> component entities in other countries in order to influence unfairly those negotiations or to hinder the exercise of a right to organise.</w:t>
      </w:r>
    </w:p>
    <w:p w:rsidR="002437EC" w:rsidRDefault="002437EC">
      <w:pPr>
        <w:pStyle w:val="OneLevelNumberedParagraph"/>
      </w:pPr>
      <w:r>
        <w:t>Enable authorised representatives of their employees to negotiate on collective bargaining or labour</w:t>
      </w:r>
      <w:r w:rsidR="005C20CD">
        <w:noBreakHyphen/>
      </w:r>
      <w:r>
        <w:t>management relations issues and allow the parties to consult on matters of mutual concern with representatives of management who are authorised to take decisions on these matters.</w:t>
      </w:r>
    </w:p>
    <w:p w:rsidR="002437EC" w:rsidRDefault="002437EC">
      <w:pPr>
        <w:pStyle w:val="AppendixGHeading3"/>
      </w:pPr>
      <w:r>
        <w:t>Environment</w:t>
      </w:r>
    </w:p>
    <w:p w:rsidR="002437EC" w:rsidRDefault="002437EC">
      <w:r>
        <w:t>Enterprises should, within the framework of laws, regulations and administrative practices in the countries in which they operate, and in consideration of relevant international agreements, principles, objectives, and standards, take due account of the need to protect the environment, public health and safety, and generally to conduct their activities in a manner contributing to the wider goal of sustainable development</w:t>
      </w:r>
      <w:r w:rsidR="00A407A7">
        <w:t xml:space="preserve">. </w:t>
      </w:r>
      <w:r>
        <w:t>In particular, enterprises should:</w:t>
      </w:r>
    </w:p>
    <w:p w:rsidR="002437EC" w:rsidRPr="00DE7C28" w:rsidRDefault="002437EC">
      <w:pPr>
        <w:pStyle w:val="OneLevelNumberedParagraph"/>
        <w:numPr>
          <w:ilvl w:val="0"/>
          <w:numId w:val="14"/>
        </w:numPr>
      </w:pPr>
      <w:r w:rsidRPr="00DE7C28">
        <w:t>Establish and maintain a system of environmental management appropriate to the enterprise, including:</w:t>
      </w:r>
    </w:p>
    <w:p w:rsidR="002437EC" w:rsidRPr="005B0810" w:rsidRDefault="002437EC" w:rsidP="00CC1625">
      <w:pPr>
        <w:pStyle w:val="AlphaParagraph"/>
        <w:numPr>
          <w:ilvl w:val="0"/>
          <w:numId w:val="13"/>
        </w:numPr>
      </w:pPr>
      <w:r w:rsidRPr="005B0810">
        <w:t>Collection and evaluation of adequate and timely information regarding the environmental, health, and safety impacts of their activities;</w:t>
      </w:r>
    </w:p>
    <w:p w:rsidR="002437EC" w:rsidRPr="005B0810" w:rsidRDefault="002437EC">
      <w:pPr>
        <w:pStyle w:val="AlphaParagraph"/>
      </w:pPr>
      <w:r w:rsidRPr="005B0810">
        <w:t>Establishment of measurable objectives and, where appropriate, targets for improved environmental performance, including periodically reviewing the continuing relevance of these objectives; and</w:t>
      </w:r>
    </w:p>
    <w:p w:rsidR="002437EC" w:rsidRPr="005B0810" w:rsidRDefault="002437EC">
      <w:pPr>
        <w:pStyle w:val="AlphaParagraph"/>
      </w:pPr>
      <w:r w:rsidRPr="005B0810">
        <w:t>Regular monitoring and verification of progress toward environmental, health, and safety objectives or targets.</w:t>
      </w:r>
    </w:p>
    <w:p w:rsidR="002437EC" w:rsidRPr="005B0810" w:rsidRDefault="002437EC">
      <w:pPr>
        <w:pStyle w:val="OneLevelNumberedParagraph"/>
      </w:pPr>
      <w:r w:rsidRPr="005B0810">
        <w:t>Taking into account concerns about cost, business confidentiality, and the protection of intellectual property rights:</w:t>
      </w:r>
    </w:p>
    <w:p w:rsidR="002437EC" w:rsidRPr="005B0810" w:rsidRDefault="002437EC" w:rsidP="00CC1625">
      <w:pPr>
        <w:pStyle w:val="AlphaParagraph"/>
        <w:numPr>
          <w:ilvl w:val="0"/>
          <w:numId w:val="15"/>
        </w:numPr>
      </w:pPr>
      <w:r w:rsidRPr="005B0810">
        <w:t>Provide the public and employees with adequate and timely information on the potential environment, health and safety impacts of the activities of the enterprise, which could include reporting on progress in improving environmental performance; and</w:t>
      </w:r>
    </w:p>
    <w:p w:rsidR="002437EC" w:rsidRPr="00DE7C28" w:rsidRDefault="002437EC">
      <w:pPr>
        <w:pStyle w:val="AlphaParagraph"/>
      </w:pPr>
      <w:r w:rsidRPr="00DE7C28">
        <w:t>Engage in adequate and timely communication and consultation with the communities directly affected by the environmental, health and safety policies of the enterprise and by their implementation.</w:t>
      </w:r>
    </w:p>
    <w:p w:rsidR="002437EC" w:rsidRDefault="002437EC">
      <w:pPr>
        <w:pStyle w:val="OneLevelNumberedParagraph"/>
      </w:pPr>
      <w:r>
        <w:t>Assess, and address in decision</w:t>
      </w:r>
      <w:r w:rsidR="005C20CD">
        <w:noBreakHyphen/>
      </w:r>
      <w:r>
        <w:t>making, the foreseeable environmental, health, and safety</w:t>
      </w:r>
      <w:r w:rsidR="005C20CD">
        <w:noBreakHyphen/>
      </w:r>
      <w:r>
        <w:t>related impacts associated with the processes, goods and services of the enterprise over their full life cycle</w:t>
      </w:r>
      <w:r w:rsidR="00A407A7">
        <w:t xml:space="preserve">. </w:t>
      </w:r>
      <w:r>
        <w:t>Where these proposed activities may have significant environmental, health, or safety impacts, and where they are subject to a decision of a competent authority, prepare an appropriate environmental impact assessment.</w:t>
      </w:r>
    </w:p>
    <w:p w:rsidR="002437EC" w:rsidRDefault="002437EC">
      <w:pPr>
        <w:pStyle w:val="OneLevelNumberedParagraph"/>
      </w:pPr>
      <w:r>
        <w:t>Consistent with the scientific and technical understanding of the risks, where there are threats of serious damage to the environment, taking also into account human health and safety, not use the lack of full scientific certainty as a reason for postponing cost</w:t>
      </w:r>
      <w:r w:rsidR="005C20CD">
        <w:noBreakHyphen/>
      </w:r>
      <w:r>
        <w:t>effective measures to prevent or minimise such damage.</w:t>
      </w:r>
    </w:p>
    <w:p w:rsidR="002437EC" w:rsidRDefault="002437EC">
      <w:pPr>
        <w:pStyle w:val="OneLevelNumberedParagraph"/>
      </w:pPr>
      <w:r>
        <w:t>Maintain contingency plans for preventing, mitigating, and controlling serious environmental and health damage from their operations, including accidents and emergencies; and mechanisms for immediate reporting to the competent authorities.</w:t>
      </w:r>
    </w:p>
    <w:p w:rsidR="002437EC" w:rsidRPr="005B0810" w:rsidRDefault="002437EC">
      <w:pPr>
        <w:pStyle w:val="OneLevelNumberedParagraph"/>
      </w:pPr>
      <w:r>
        <w:t xml:space="preserve">Continually seek to improve corporate environmental performance, by </w:t>
      </w:r>
      <w:r w:rsidRPr="005B0810">
        <w:t>encouraging, where appropriate, such activities as:</w:t>
      </w:r>
    </w:p>
    <w:p w:rsidR="002437EC" w:rsidRPr="005B0810" w:rsidRDefault="002437EC" w:rsidP="00CC1625">
      <w:pPr>
        <w:pStyle w:val="AlphaParagraph"/>
        <w:numPr>
          <w:ilvl w:val="0"/>
          <w:numId w:val="16"/>
        </w:numPr>
      </w:pPr>
      <w:r w:rsidRPr="005B0810">
        <w:t xml:space="preserve">Adoption of technologies and operating procedures in all parts of the enterprise that reflect standards concerning environmental performance in the best performing part of the enterprise; </w:t>
      </w:r>
    </w:p>
    <w:p w:rsidR="002437EC" w:rsidRPr="00DE7C28" w:rsidRDefault="002437EC">
      <w:pPr>
        <w:pStyle w:val="AlphaParagraph"/>
      </w:pPr>
      <w:r w:rsidRPr="00DE7C28">
        <w:t xml:space="preserve">Development and provision of products or services that have no undue environmental impacts; are safe in their intended use; are efficient in their consumption of energy and natural resources; can be reused, recycled, or disposed of safely; </w:t>
      </w:r>
    </w:p>
    <w:p w:rsidR="002437EC" w:rsidRPr="00DE7C28" w:rsidRDefault="002437EC">
      <w:pPr>
        <w:pStyle w:val="AlphaParagraph"/>
      </w:pPr>
      <w:r w:rsidRPr="00DE7C28">
        <w:t>Promoting higher levels of awareness among customers of the environmental implications of using the products and services of the enterprise; and</w:t>
      </w:r>
    </w:p>
    <w:p w:rsidR="002437EC" w:rsidRPr="00DE7C28" w:rsidRDefault="002437EC">
      <w:pPr>
        <w:pStyle w:val="AlphaParagraph"/>
      </w:pPr>
      <w:r w:rsidRPr="00DE7C28">
        <w:t>Research on ways of improving the environmental performance of the enterprise over the longer term.</w:t>
      </w:r>
    </w:p>
    <w:p w:rsidR="002437EC" w:rsidRDefault="002437EC">
      <w:pPr>
        <w:pStyle w:val="OneLevelNumberedParagraph"/>
      </w:pPr>
      <w:r>
        <w:t>Provide adequate education and training to employees in environmental health and safety matters, including the handling of hazardous materials and the prevention of environmental accidents, as well as more general environmental management areas, such as environmental impact assessment procedures, public relations, and environmental technologies.</w:t>
      </w:r>
    </w:p>
    <w:p w:rsidR="002437EC" w:rsidRDefault="002437EC">
      <w:pPr>
        <w:pStyle w:val="OneLevelNumberedParagraph"/>
      </w:pPr>
      <w:r>
        <w:t>Contribute to the development of environmentally meaningful and economically efficient public policy, for example, by means of partnerships or initiatives that will enhance environmental awareness and protection.</w:t>
      </w:r>
    </w:p>
    <w:p w:rsidR="002437EC" w:rsidRPr="005B0810" w:rsidRDefault="002437EC">
      <w:pPr>
        <w:pStyle w:val="AppendixGHeading3"/>
      </w:pPr>
      <w:r w:rsidRPr="005B0810">
        <w:t>Combating bribery</w:t>
      </w:r>
    </w:p>
    <w:p w:rsidR="002437EC" w:rsidRDefault="002437EC">
      <w:r>
        <w:t>Enterprises should not, directly or indirectly, offer, promise, give, or demand a bribe or other undue advantage to obtain or retain business or other improper advantage</w:t>
      </w:r>
      <w:r w:rsidR="00A407A7">
        <w:t xml:space="preserve">. </w:t>
      </w:r>
      <w:r>
        <w:t>Nor should enterprises be solicited or expected to render a bribe or other undue advantage</w:t>
      </w:r>
      <w:r w:rsidR="00A407A7">
        <w:t xml:space="preserve">. </w:t>
      </w:r>
      <w:r>
        <w:t>In particular, enterprises should:</w:t>
      </w:r>
    </w:p>
    <w:p w:rsidR="002437EC" w:rsidRPr="00DE7C28" w:rsidRDefault="002437EC">
      <w:pPr>
        <w:pStyle w:val="OneLevelNumberedParagraph"/>
        <w:numPr>
          <w:ilvl w:val="0"/>
          <w:numId w:val="17"/>
        </w:numPr>
      </w:pPr>
      <w:r w:rsidRPr="00DE7C28">
        <w:t>Not offer, nor give in to demands, to pay public officials or the employees of business partners any portion of a contract payment</w:t>
      </w:r>
      <w:r w:rsidR="00A407A7">
        <w:t xml:space="preserve">. </w:t>
      </w:r>
      <w:r w:rsidRPr="00DE7C28">
        <w:t>They should not use subcontracts, purchase orders or consulting agreements as means of channelling payments to public officials, to employees of business partners or to their relatives or business associates.</w:t>
      </w:r>
    </w:p>
    <w:p w:rsidR="002437EC" w:rsidRPr="00DE7C28" w:rsidRDefault="002437EC">
      <w:pPr>
        <w:pStyle w:val="OneLevelNumberedParagraph"/>
      </w:pPr>
      <w:r w:rsidRPr="00DE7C28">
        <w:t>Ensure that remuneration of agents is appropriate and for legitimate services only</w:t>
      </w:r>
      <w:r w:rsidR="00A407A7">
        <w:t xml:space="preserve">. </w:t>
      </w:r>
      <w:r w:rsidRPr="00DE7C28">
        <w:t>Where relevant, a list of agents employed in connection with transactions with public bodies and state</w:t>
      </w:r>
      <w:r w:rsidR="005C20CD">
        <w:noBreakHyphen/>
      </w:r>
      <w:r w:rsidRPr="00DE7C28">
        <w:t>owned enterprises should be kept and made available to competent authorities.</w:t>
      </w:r>
    </w:p>
    <w:p w:rsidR="002437EC" w:rsidRPr="00DE7C28" w:rsidRDefault="002437EC">
      <w:pPr>
        <w:pStyle w:val="OneLevelNumberedParagraph"/>
      </w:pPr>
      <w:r w:rsidRPr="00DE7C28">
        <w:t>Enhance the transparency of their activities in the fight against bribery and extortion</w:t>
      </w:r>
      <w:r w:rsidR="00A407A7">
        <w:t xml:space="preserve">. </w:t>
      </w:r>
      <w:r w:rsidRPr="00DE7C28">
        <w:t>Measures could include making public commitments against bribery and extortion and disclosing the management systems the company has adopted in order to honour these commitments</w:t>
      </w:r>
      <w:r w:rsidR="00A407A7">
        <w:t xml:space="preserve">. </w:t>
      </w:r>
      <w:r w:rsidRPr="00DE7C28">
        <w:t>The enterprise should also foster openness and dialogue with the public so as to promote its awareness of and co</w:t>
      </w:r>
      <w:r w:rsidR="005C20CD">
        <w:noBreakHyphen/>
      </w:r>
      <w:r w:rsidRPr="00DE7C28">
        <w:t>operation with the fight against bribery and extortion.</w:t>
      </w:r>
    </w:p>
    <w:p w:rsidR="002437EC" w:rsidRPr="00DE7C28" w:rsidRDefault="002437EC">
      <w:pPr>
        <w:pStyle w:val="OneLevelNumberedParagraph"/>
      </w:pPr>
      <w:r w:rsidRPr="00DE7C28">
        <w:t>Promote employee awareness of and compliance with company policies against bribery and extortion through appropriate dissemination of these policies and through training programmes and disciplinary procedures.</w:t>
      </w:r>
    </w:p>
    <w:p w:rsidR="002437EC" w:rsidRPr="00DE7C28" w:rsidRDefault="002437EC">
      <w:pPr>
        <w:pStyle w:val="OneLevelNumberedParagraph"/>
      </w:pPr>
      <w:r w:rsidRPr="00DE7C28">
        <w:t xml:space="preserve">Adopt management control systems that discourage bribery and corrupt practices, and adopt financial and tax accounting and auditing practices that prevent the establishment of </w:t>
      </w:r>
      <w:r w:rsidR="00EF13A5">
        <w:t>‘</w:t>
      </w:r>
      <w:r w:rsidRPr="00DE7C28">
        <w:t>off the books</w:t>
      </w:r>
      <w:r w:rsidR="00EF13A5">
        <w:t>’</w:t>
      </w:r>
      <w:r w:rsidRPr="00DE7C28">
        <w:t xml:space="preserve"> or secret accounts or the creation of documents which do not properly and fairly record the transactions to which they relate.</w:t>
      </w:r>
    </w:p>
    <w:p w:rsidR="002437EC" w:rsidRPr="00DE7C28" w:rsidRDefault="002437EC">
      <w:pPr>
        <w:pStyle w:val="OneLevelNumberedParagraph"/>
      </w:pPr>
      <w:r w:rsidRPr="00DE7C28">
        <w:t>Not make illegal contributions to candidates for public office or to political parties or to other political organisations</w:t>
      </w:r>
      <w:r w:rsidR="00A407A7">
        <w:t xml:space="preserve">. </w:t>
      </w:r>
      <w:r w:rsidRPr="00DE7C28">
        <w:t>Contributions should fully comply with public disclosure requirements and should be reported to senior management.</w:t>
      </w:r>
    </w:p>
    <w:p w:rsidR="002437EC" w:rsidRDefault="002437EC">
      <w:pPr>
        <w:pStyle w:val="AppendixGHeading3"/>
      </w:pPr>
      <w:r>
        <w:t>Consumer interests</w:t>
      </w:r>
    </w:p>
    <w:p w:rsidR="002437EC" w:rsidRDefault="002437EC">
      <w:r>
        <w:t>When dealing with consumers, enterprises should act in accordance with fair business, marketing and advertising practices and should take all reasonable steps to ensure the safety and quality of the goods or services they provide</w:t>
      </w:r>
      <w:r w:rsidR="00A407A7">
        <w:t xml:space="preserve">. </w:t>
      </w:r>
      <w:r>
        <w:t>In particular, they should:</w:t>
      </w:r>
    </w:p>
    <w:p w:rsidR="002437EC" w:rsidRPr="00DE7C28" w:rsidRDefault="002437EC">
      <w:pPr>
        <w:pStyle w:val="OneLevelNumberedParagraph"/>
        <w:numPr>
          <w:ilvl w:val="0"/>
          <w:numId w:val="18"/>
        </w:numPr>
      </w:pPr>
      <w:r w:rsidRPr="00DE7C28">
        <w:t>Ensure that the goods or services they provide meet all agreed or legally required standards for consumer health and safety, including health warnings and product safety and information labels.</w:t>
      </w:r>
    </w:p>
    <w:p w:rsidR="002437EC" w:rsidRPr="00DE7C28" w:rsidRDefault="002437EC">
      <w:pPr>
        <w:pStyle w:val="OneLevelNumberedParagraph"/>
      </w:pPr>
      <w:r w:rsidRPr="00DE7C28">
        <w:t>As appropriate to the goods or services, provide accurate and clear information regarding their content, safe use, maintenance, storage, and disposal sufficient to enable consumers to make informed decisions.</w:t>
      </w:r>
    </w:p>
    <w:p w:rsidR="002437EC" w:rsidRPr="00DE7C28" w:rsidRDefault="002437EC">
      <w:pPr>
        <w:pStyle w:val="OneLevelNumberedParagraph"/>
      </w:pPr>
      <w:r w:rsidRPr="00DE7C28">
        <w:t>Provide transparent and effective procedures that address consumer complaints and contribute to fair and timely resolution of consumer disputes without undue cost or burden.</w:t>
      </w:r>
    </w:p>
    <w:p w:rsidR="002437EC" w:rsidRPr="00DE7C28" w:rsidRDefault="002437EC">
      <w:pPr>
        <w:pStyle w:val="OneLevelNumberedParagraph"/>
      </w:pPr>
      <w:r w:rsidRPr="00DE7C28">
        <w:t>Not make representations or omissions, nor engage in any other practices, that are deceptive, misleading, fraudulent, or unfair.</w:t>
      </w:r>
    </w:p>
    <w:p w:rsidR="002437EC" w:rsidRPr="00DE7C28" w:rsidRDefault="002437EC">
      <w:pPr>
        <w:pStyle w:val="OneLevelNumberedParagraph"/>
      </w:pPr>
      <w:r w:rsidRPr="00DE7C28">
        <w:t>Respect consumer privacy and provide protection for personal data.</w:t>
      </w:r>
    </w:p>
    <w:p w:rsidR="002437EC" w:rsidRPr="00DE7C28" w:rsidRDefault="002437EC">
      <w:pPr>
        <w:pStyle w:val="OneLevelNumberedParagraph"/>
      </w:pPr>
      <w:r w:rsidRPr="00DE7C28">
        <w:t>Co</w:t>
      </w:r>
      <w:r w:rsidR="005C20CD">
        <w:noBreakHyphen/>
      </w:r>
      <w:r w:rsidRPr="00DE7C28">
        <w:t>operate fully and in a transparent manner with public authorities in the prevention or removal of serious threats to public health and safety deriving from the consumption or use of their products.</w:t>
      </w:r>
    </w:p>
    <w:p w:rsidR="002437EC" w:rsidRDefault="002437EC">
      <w:pPr>
        <w:pStyle w:val="AppendixGHeading3"/>
      </w:pPr>
      <w:r>
        <w:t>Science and technology</w:t>
      </w:r>
    </w:p>
    <w:p w:rsidR="002437EC" w:rsidRDefault="002437EC">
      <w:r>
        <w:t>Enterprises should:</w:t>
      </w:r>
    </w:p>
    <w:p w:rsidR="002437EC" w:rsidRPr="00DE7C28" w:rsidRDefault="002437EC">
      <w:pPr>
        <w:pStyle w:val="OneLevelNumberedParagraph"/>
        <w:numPr>
          <w:ilvl w:val="0"/>
          <w:numId w:val="19"/>
        </w:numPr>
      </w:pPr>
      <w:r w:rsidRPr="00DE7C28">
        <w:t>Endeavour to ensure that their activities are compatible with the science and technology (S&amp;T) policies and plans of the countries in which they operate and as appropriate contribute to the development of local and national innovative capacity.</w:t>
      </w:r>
    </w:p>
    <w:p w:rsidR="002437EC" w:rsidRPr="00DE7C28" w:rsidRDefault="002437EC">
      <w:pPr>
        <w:pStyle w:val="OneLevelNumberedParagraph"/>
      </w:pPr>
      <w:r w:rsidRPr="00DE7C28">
        <w:t>Adopt, where practicable in the course of their business activities, practices that permit the transfer and rapid diffusion of technologies and know</w:t>
      </w:r>
      <w:r w:rsidR="005C20CD">
        <w:noBreakHyphen/>
      </w:r>
      <w:r w:rsidRPr="00DE7C28">
        <w:t>how, with due regard to the protection of intellectual property rights.</w:t>
      </w:r>
    </w:p>
    <w:p w:rsidR="002437EC" w:rsidRPr="00DE7C28" w:rsidRDefault="002437EC">
      <w:pPr>
        <w:pStyle w:val="OneLevelNumberedParagraph"/>
      </w:pPr>
      <w:r w:rsidRPr="00DE7C28">
        <w:t>When appropriate, perform science and technology development work in host countries to address local market needs, as well as employ host country personnel in an S&amp;T capacity and encourage their training, taking into account commercial needs.</w:t>
      </w:r>
    </w:p>
    <w:p w:rsidR="002437EC" w:rsidRPr="00DE7C28" w:rsidRDefault="002437EC">
      <w:pPr>
        <w:pStyle w:val="OneLevelNumberedParagraph"/>
      </w:pPr>
      <w:r w:rsidRPr="00DE7C28">
        <w:t>When granting licenses for the use of intellectual property rights or when otherwise transferring technology, do so on reasonable terms and conditions and in a manner that contributes to the long term development prospects of the host country.</w:t>
      </w:r>
    </w:p>
    <w:p w:rsidR="002437EC" w:rsidRPr="00DE7C28" w:rsidRDefault="002437EC">
      <w:pPr>
        <w:pStyle w:val="OneLevelNumberedParagraph"/>
      </w:pPr>
      <w:r w:rsidRPr="00DE7C28">
        <w:t>Where relevant to commercial objectives, develop ties with local universities, public research institutions, and participate in co</w:t>
      </w:r>
      <w:r w:rsidR="005C20CD">
        <w:noBreakHyphen/>
      </w:r>
      <w:r w:rsidRPr="00DE7C28">
        <w:t>operative research projects with local industry or industry associations.</w:t>
      </w:r>
    </w:p>
    <w:p w:rsidR="002437EC" w:rsidRPr="005B0810" w:rsidRDefault="002437EC">
      <w:pPr>
        <w:pStyle w:val="AppendixGHeading3"/>
      </w:pPr>
      <w:r w:rsidRPr="005B0810">
        <w:t>Competition</w:t>
      </w:r>
    </w:p>
    <w:p w:rsidR="002437EC" w:rsidRDefault="002437EC">
      <w:r>
        <w:t>Enterprises should, within the framework of applicable laws and regulations, conduct their activities in a competitive manner</w:t>
      </w:r>
      <w:r w:rsidR="00A407A7">
        <w:t xml:space="preserve">. </w:t>
      </w:r>
      <w:r>
        <w:t>In particular, enterprises should:</w:t>
      </w:r>
    </w:p>
    <w:p w:rsidR="002437EC" w:rsidRPr="00484205" w:rsidRDefault="002437EC">
      <w:pPr>
        <w:pStyle w:val="OneLevelNumberedParagraph"/>
        <w:numPr>
          <w:ilvl w:val="0"/>
          <w:numId w:val="21"/>
        </w:numPr>
      </w:pPr>
      <w:r w:rsidRPr="00484205">
        <w:t>Refrain from entering into or carrying out anti</w:t>
      </w:r>
      <w:r w:rsidR="005C20CD">
        <w:noBreakHyphen/>
      </w:r>
      <w:r w:rsidRPr="00484205">
        <w:t>competitive agreements among competitors:</w:t>
      </w:r>
    </w:p>
    <w:p w:rsidR="002437EC" w:rsidRPr="005B0810" w:rsidRDefault="002437EC">
      <w:pPr>
        <w:pStyle w:val="AlphaParagraph"/>
        <w:numPr>
          <w:ilvl w:val="0"/>
          <w:numId w:val="20"/>
        </w:numPr>
      </w:pPr>
      <w:r w:rsidRPr="005B0810">
        <w:t>To fix prices;</w:t>
      </w:r>
    </w:p>
    <w:p w:rsidR="002437EC" w:rsidRPr="00DE7C28" w:rsidRDefault="002437EC">
      <w:pPr>
        <w:pStyle w:val="AlphaParagraph"/>
      </w:pPr>
      <w:r w:rsidRPr="00DE7C28">
        <w:t>To make rigged bids (collusive tenders);</w:t>
      </w:r>
    </w:p>
    <w:p w:rsidR="002437EC" w:rsidRPr="00DE7C28" w:rsidRDefault="002437EC">
      <w:pPr>
        <w:pStyle w:val="AlphaParagraph"/>
      </w:pPr>
      <w:r w:rsidRPr="00DE7C28">
        <w:t xml:space="preserve">To establish output restrictions or quotas; or </w:t>
      </w:r>
    </w:p>
    <w:p w:rsidR="002437EC" w:rsidRPr="00DE7C28" w:rsidRDefault="002437EC">
      <w:pPr>
        <w:pStyle w:val="AlphaParagraph"/>
      </w:pPr>
      <w:r w:rsidRPr="00DE7C28">
        <w:t>To share or divide markets by allocating customers, suppliers, territories or lines of commerce;</w:t>
      </w:r>
    </w:p>
    <w:p w:rsidR="002437EC" w:rsidRDefault="002437EC">
      <w:pPr>
        <w:pStyle w:val="OneLevelNumberedParagraph"/>
      </w:pPr>
      <w:r>
        <w:t>Conduct all of their activities in a manner consistent with all applicable competition laws, taking into account the applicability of the competition laws of jurisdictions whose economies would be likely to be harmed by anti</w:t>
      </w:r>
      <w:r w:rsidR="005C20CD">
        <w:noBreakHyphen/>
      </w:r>
      <w:r>
        <w:t>competitive activity on their part.</w:t>
      </w:r>
    </w:p>
    <w:p w:rsidR="002437EC" w:rsidRDefault="002437EC">
      <w:pPr>
        <w:pStyle w:val="OneLevelNumberedParagraph"/>
      </w:pPr>
      <w:r>
        <w:t>Co</w:t>
      </w:r>
      <w:r w:rsidR="005C20CD">
        <w:noBreakHyphen/>
      </w:r>
      <w:r>
        <w:t>operate with the competition authorities of such jurisdictions by, among other things and subject to applicable law and appropriate safeguards, providing as prompt and complete responses as practicable to requests for information.</w:t>
      </w:r>
    </w:p>
    <w:p w:rsidR="002437EC" w:rsidRDefault="002437EC">
      <w:pPr>
        <w:pStyle w:val="OneLevelNumberedParagraph"/>
      </w:pPr>
      <w:r>
        <w:t>Promote employee awareness of the importance of compliance with all applicable competition laws and policies.</w:t>
      </w:r>
    </w:p>
    <w:p w:rsidR="002437EC" w:rsidRDefault="002437EC">
      <w:pPr>
        <w:pStyle w:val="AppendixGHeading3"/>
      </w:pPr>
      <w:r>
        <w:t>Taxation</w:t>
      </w:r>
    </w:p>
    <w:p w:rsidR="002437EC" w:rsidRDefault="002437EC">
      <w:r>
        <w:t>It is important that enterprises contribute to the public finances of host countries by making timely payment of their tax liabilities</w:t>
      </w:r>
      <w:r w:rsidR="00A407A7">
        <w:t xml:space="preserve">. </w:t>
      </w:r>
      <w:r>
        <w:t>In particular, enterprises should comply with the tax laws and regulations in all countries in which they operate and should exert every effort to act in accordance with both the letter and spirit of those laws and regulations</w:t>
      </w:r>
      <w:r w:rsidR="00A407A7">
        <w:t xml:space="preserve">. </w:t>
      </w:r>
      <w:r>
        <w:t>This would include such measures as providing to the relevant authorities the information necessary for the correct determination of taxes to be assessed in connection with their operations and conforming transfer pricing practices to the arm</w:t>
      </w:r>
      <w:r w:rsidR="00EF13A5">
        <w:t>’</w:t>
      </w:r>
      <w:r>
        <w:t>s length principle.</w:t>
      </w:r>
    </w:p>
    <w:p w:rsidR="002437EC" w:rsidRDefault="002437EC" w:rsidP="00C40E06">
      <w:pPr>
        <w:pStyle w:val="Heading2noTOC"/>
      </w:pPr>
      <w:r>
        <w:br w:type="page"/>
        <w:t>Annex 2: Conflicting requirements imposed on multinational enterprises</w:t>
      </w:r>
      <w:r w:rsidR="00100011">
        <w:t xml:space="preserve">: </w:t>
      </w:r>
      <w:r>
        <w:t>General considerations and practical approaches</w:t>
      </w:r>
    </w:p>
    <w:p w:rsidR="002437EC" w:rsidRPr="008822EC" w:rsidRDefault="002437EC">
      <w:pPr>
        <w:rPr>
          <w:i/>
        </w:rPr>
      </w:pPr>
      <w:r w:rsidRPr="008822EC">
        <w:rPr>
          <w:i/>
        </w:rPr>
        <w:t>These considerations and approaches are embodied in Annex 2 to the Declaration on International Investment and Multinational Enterprises, adopted by the Governments of the OECD Member countries in 1976</w:t>
      </w:r>
      <w:r w:rsidR="00A407A7">
        <w:rPr>
          <w:i/>
        </w:rPr>
        <w:t xml:space="preserve">. </w:t>
      </w:r>
      <w:r w:rsidRPr="008822EC">
        <w:rPr>
          <w:i/>
        </w:rPr>
        <w:t>They were adopted with the aim of avoiding or minimising the imposition of conflicting requirements on multinational enterprises by governments</w:t>
      </w:r>
      <w:r w:rsidR="00A407A7">
        <w:rPr>
          <w:i/>
        </w:rPr>
        <w:t xml:space="preserve">. </w:t>
      </w:r>
      <w:r w:rsidRPr="008822EC">
        <w:rPr>
          <w:i/>
        </w:rPr>
        <w:t>In view of this objective, the OECD Council has adopted a procedural decision seeking to promote co</w:t>
      </w:r>
      <w:r w:rsidR="005C20CD">
        <w:rPr>
          <w:i/>
        </w:rPr>
        <w:noBreakHyphen/>
      </w:r>
      <w:r w:rsidRPr="008822EC">
        <w:rPr>
          <w:i/>
        </w:rPr>
        <w:t>operation among Member countries.</w:t>
      </w:r>
    </w:p>
    <w:p w:rsidR="002437EC" w:rsidRDefault="002437EC" w:rsidP="00AD2A4C">
      <w:pPr>
        <w:pStyle w:val="Heading3noTOC"/>
      </w:pPr>
      <w:r>
        <w:t>General considerations</w:t>
      </w:r>
    </w:p>
    <w:p w:rsidR="002437EC" w:rsidRDefault="002437EC">
      <w:pPr>
        <w:pStyle w:val="OneLevelNumberedParagraph"/>
        <w:numPr>
          <w:ilvl w:val="0"/>
          <w:numId w:val="22"/>
        </w:numPr>
      </w:pPr>
      <w:r>
        <w:t>In contemplating new legislation, action under existing legislation or other exercise of jurisdiction which may conflict with the legal requirements or established policies of another Member country and lead to conflicting requirements being imposed on multinational enterprises, the Member countries concerned should:</w:t>
      </w:r>
    </w:p>
    <w:p w:rsidR="002437EC" w:rsidRPr="005B0810" w:rsidRDefault="002437EC">
      <w:pPr>
        <w:pStyle w:val="AlphaParagraph"/>
        <w:numPr>
          <w:ilvl w:val="0"/>
          <w:numId w:val="23"/>
        </w:numPr>
      </w:pPr>
      <w:r w:rsidRPr="005B0810">
        <w:t>Have regard to relevant principles of international law;</w:t>
      </w:r>
    </w:p>
    <w:p w:rsidR="002437EC" w:rsidRPr="00DE7C28" w:rsidRDefault="002437EC">
      <w:pPr>
        <w:pStyle w:val="AlphaParagraph"/>
      </w:pPr>
      <w:r w:rsidRPr="00DE7C28">
        <w:t>Endeavour to avoid or minimise such conflicts and the problems to which they give rise by following an approach of moderation and restraint, respecting and accommodating the interests of other Member countries*;</w:t>
      </w:r>
    </w:p>
    <w:p w:rsidR="002437EC" w:rsidRPr="00DE7C28" w:rsidRDefault="002437EC">
      <w:pPr>
        <w:pStyle w:val="AlphaParagraph"/>
      </w:pPr>
      <w:r w:rsidRPr="00DE7C28">
        <w:t>Take fully into account the sovereignty and legitimate economic, law enforcement and other interests of other Member countries;</w:t>
      </w:r>
    </w:p>
    <w:p w:rsidR="002437EC" w:rsidRPr="00DE7C28" w:rsidRDefault="002437EC">
      <w:pPr>
        <w:pStyle w:val="AlphaParagraph"/>
      </w:pPr>
      <w:r w:rsidRPr="00DE7C28">
        <w:t>Bear in mind the importance of permitting the observance of contractual obligations and the possible adverse impact of measures having a retroactive effect.</w:t>
      </w:r>
    </w:p>
    <w:p w:rsidR="002437EC" w:rsidRDefault="002437EC">
      <w:pPr>
        <w:pStyle w:val="OneLevelNumberedParagraph"/>
      </w:pPr>
      <w:r>
        <w:t>Member countries should endeavour to promote co</w:t>
      </w:r>
      <w:r w:rsidR="005C20CD">
        <w:noBreakHyphen/>
      </w:r>
      <w:r>
        <w:t>operation as an alternative to unilateral action to avoid or minimise conflicting requirements and problems arising therefrom</w:t>
      </w:r>
      <w:r w:rsidR="00A407A7">
        <w:t xml:space="preserve">. </w:t>
      </w:r>
      <w:r>
        <w:t>Member countries should on request consult one another and endeavour to arrive at mutually acceptable solutions to such problems.</w:t>
      </w:r>
    </w:p>
    <w:p w:rsidR="002437EC" w:rsidRDefault="002437EC" w:rsidP="00AD2A4C">
      <w:pPr>
        <w:pStyle w:val="Heading3noTOC"/>
      </w:pPr>
      <w:r>
        <w:t>Practical approaches</w:t>
      </w:r>
    </w:p>
    <w:p w:rsidR="002437EC" w:rsidRDefault="002437EC">
      <w:pPr>
        <w:pStyle w:val="OneLevelNumberedParagraph"/>
      </w:pPr>
      <w:r>
        <w:t>Member countries recognised that in the majority of circumstances, effective co</w:t>
      </w:r>
      <w:r w:rsidR="005C20CD">
        <w:noBreakHyphen/>
      </w:r>
      <w:r>
        <w:t>operation may best be pursued on a bilateral basis</w:t>
      </w:r>
      <w:r w:rsidR="00A407A7">
        <w:t xml:space="preserve">. </w:t>
      </w:r>
      <w:r>
        <w:t>On the other hand, there may be cases where the multilateral approach could be more effective.</w:t>
      </w:r>
    </w:p>
    <w:p w:rsidR="002437EC" w:rsidRDefault="002437EC" w:rsidP="003C61ED">
      <w:pPr>
        <w:pStyle w:val="OneLevelNumberedParagraph"/>
        <w:keepNext/>
        <w:keepLines/>
      </w:pPr>
      <w:r>
        <w:t>Member countries should therefore be prepared to:</w:t>
      </w:r>
    </w:p>
    <w:p w:rsidR="002437EC" w:rsidRPr="005B0810" w:rsidRDefault="002437EC" w:rsidP="00CC1625">
      <w:pPr>
        <w:pStyle w:val="AlphaParagraph"/>
        <w:keepNext/>
        <w:keepLines/>
        <w:numPr>
          <w:ilvl w:val="0"/>
          <w:numId w:val="24"/>
        </w:numPr>
      </w:pPr>
      <w:r w:rsidRPr="005B0810">
        <w:t>Develop mutually beneficial, practical and appropriately safeguarded bilateral arrangements, formal or informal, for notification to and consultation with other Member countries;</w:t>
      </w:r>
    </w:p>
    <w:p w:rsidR="002437EC" w:rsidRPr="00DE7C28" w:rsidRDefault="002437EC">
      <w:pPr>
        <w:pStyle w:val="AlphaParagraph"/>
      </w:pPr>
      <w:r w:rsidRPr="00DE7C28">
        <w:t>Give prompt and sympathetic consideration to requests for notification and bilateral consultation on an ad hoc basis made by any Member country which considers that its interests may be affected by a measure of the type referred to under paragraph 1 above, taken by another Member country with which it does not have such bilateral arrangements;</w:t>
      </w:r>
    </w:p>
    <w:p w:rsidR="002437EC" w:rsidRPr="00DE7C28" w:rsidRDefault="002437EC">
      <w:pPr>
        <w:pStyle w:val="AlphaParagraph"/>
      </w:pPr>
      <w:r w:rsidRPr="00DE7C28">
        <w:t>Inform the other concerned Member countries as soon as practicable of new legislation or regulations proposed by their Governments for adoption which have significant potential for conflict with the legal requirements or established policies of other Member countries and for giving rise to conflicting requirements being imposed on multinational enterprises;</w:t>
      </w:r>
    </w:p>
    <w:p w:rsidR="002437EC" w:rsidRPr="00DE7C28" w:rsidRDefault="002437EC">
      <w:pPr>
        <w:pStyle w:val="AlphaParagraph"/>
      </w:pPr>
      <w:r w:rsidRPr="00DE7C28">
        <w:t>Give prompt and sympathetic consideration to requests by other Member countries for consultation in the Committee on International Investment and Multinational Enterprises or through other mutually acceptable arrangements</w:t>
      </w:r>
      <w:r w:rsidR="00A407A7">
        <w:t xml:space="preserve">. </w:t>
      </w:r>
      <w:r w:rsidRPr="00DE7C28">
        <w:t>Such consultations would be facilitated by notification at the earliest stage practicable;</w:t>
      </w:r>
    </w:p>
    <w:p w:rsidR="002437EC" w:rsidRPr="00DE7C28" w:rsidRDefault="002437EC">
      <w:pPr>
        <w:pStyle w:val="AlphaParagraph"/>
      </w:pPr>
      <w:r w:rsidRPr="00DE7C28">
        <w:t>Give prompt and full consideration to proposals which may be by other Member countries in any such consultations that would lessen or eliminate conflicts.</w:t>
      </w:r>
    </w:p>
    <w:p w:rsidR="002437EC" w:rsidRDefault="002437EC">
      <w:r>
        <w:t>These procedures do not apply to those aspects of restrictive business practices or other matters, which are the subject of existing OECD arrangements.</w:t>
      </w:r>
    </w:p>
    <w:p w:rsidR="00E9602B" w:rsidRDefault="00E9602B">
      <w:pPr>
        <w:sectPr w:rsidR="00E9602B" w:rsidSect="00FD49C4">
          <w:headerReference w:type="even" r:id="rId12"/>
          <w:headerReference w:type="default" r:id="rId13"/>
          <w:footerReference w:type="even" r:id="rId14"/>
          <w:footerReference w:type="default" r:id="rId15"/>
          <w:headerReference w:type="first" r:id="rId16"/>
          <w:footerReference w:type="first" r:id="rId17"/>
          <w:pgSz w:w="11907" w:h="16840" w:code="9"/>
          <w:pgMar w:top="2466" w:right="2098" w:bottom="2466" w:left="2098" w:header="1899" w:footer="1899" w:gutter="0"/>
          <w:paperSrc w:first="15" w:other="15"/>
          <w:pgNumType w:start="205"/>
          <w:cols w:space="708"/>
          <w:titlePg/>
          <w:docGrid w:linePitch="360"/>
        </w:sectPr>
      </w:pPr>
    </w:p>
    <w:p w:rsidR="002437EC" w:rsidRPr="00167A9E" w:rsidRDefault="002437EC"/>
    <w:sectPr w:rsidR="002437EC" w:rsidRPr="00167A9E" w:rsidSect="00FB0765">
      <w:headerReference w:type="first" r:id="rId18"/>
      <w:footerReference w:type="first" r:id="rId19"/>
      <w:pgSz w:w="11907" w:h="16840" w:code="9"/>
      <w:pgMar w:top="2466" w:right="2098" w:bottom="2466" w:left="2098" w:header="1899" w:footer="189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89" w:rsidRDefault="00783F89">
      <w:r>
        <w:separator/>
      </w:r>
    </w:p>
  </w:endnote>
  <w:endnote w:type="continuationSeparator" w:id="0">
    <w:p w:rsidR="00783F89" w:rsidRDefault="007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Pr="000F0677" w:rsidRDefault="00783F89">
    <w:pPr>
      <w:pStyle w:val="FooterEven"/>
    </w:pPr>
    <w:r w:rsidRPr="000F0677">
      <w:fldChar w:fldCharType="begin"/>
    </w:r>
    <w:r w:rsidRPr="000F0677">
      <w:instrText xml:space="preserve"> PAGE </w:instrText>
    </w:r>
    <w:r w:rsidRPr="000F0677">
      <w:fldChar w:fldCharType="separate"/>
    </w:r>
    <w:r w:rsidR="00E45833">
      <w:rPr>
        <w:noProof/>
      </w:rPr>
      <w:t>220</w:t>
    </w:r>
    <w:r w:rsidRPr="000F067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Pr="000F0677" w:rsidRDefault="00783F89">
    <w:pPr>
      <w:pStyle w:val="FooterOdd"/>
    </w:pPr>
    <w:r w:rsidRPr="000F0677">
      <w:fldChar w:fldCharType="begin"/>
    </w:r>
    <w:r w:rsidRPr="000F0677">
      <w:instrText xml:space="preserve"> PAGE </w:instrText>
    </w:r>
    <w:r w:rsidRPr="000F0677">
      <w:fldChar w:fldCharType="separate"/>
    </w:r>
    <w:r w:rsidR="00E45833">
      <w:rPr>
        <w:noProof/>
      </w:rPr>
      <w:t>221</w:t>
    </w:r>
    <w:r w:rsidRPr="000F067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Pr="000F0677" w:rsidRDefault="00783F89">
    <w:pPr>
      <w:pStyle w:val="FooterOdd"/>
    </w:pPr>
    <w:r w:rsidRPr="000F0677">
      <w:fldChar w:fldCharType="begin"/>
    </w:r>
    <w:r w:rsidRPr="000F0677">
      <w:instrText xml:space="preserve"> PAGE </w:instrText>
    </w:r>
    <w:r w:rsidRPr="000F0677">
      <w:fldChar w:fldCharType="separate"/>
    </w:r>
    <w:r w:rsidR="00E45833">
      <w:rPr>
        <w:noProof/>
      </w:rPr>
      <w:t>205</w:t>
    </w:r>
    <w:r w:rsidRPr="000F067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Pr="008068FC" w:rsidRDefault="00783F89">
    <w:pPr>
      <w:pStyle w:val="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89" w:rsidRDefault="00783F89">
      <w:r>
        <w:separator/>
      </w:r>
    </w:p>
  </w:footnote>
  <w:footnote w:type="continuationSeparator" w:id="0">
    <w:p w:rsidR="00783F89" w:rsidRDefault="0078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Even"/>
    </w:pPr>
    <w:r>
      <w:fldChar w:fldCharType="begin"/>
    </w:r>
    <w:r>
      <w:instrText xml:space="preserve"> PAGE  \* MERGEFORMAT </w:instrText>
    </w:r>
    <w:r>
      <w:fldChar w:fldCharType="separate"/>
    </w:r>
    <w:r>
      <w:rPr>
        <w:noProof/>
      </w:rPr>
      <w:t>198</w:t>
    </w:r>
    <w:r>
      <w:fldChar w:fldCharType="end"/>
    </w:r>
    <w:r>
      <w:t xml:space="preserve">  Foreign Investment Review Board Report 2002</w:t>
    </w:r>
    <w:r>
      <w:noBreakHyphen/>
      <w:t>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Odd"/>
    </w:pPr>
    <w:r>
      <w:t xml:space="preserve">Chapter Name  </w:t>
    </w:r>
    <w:r>
      <w:fldChar w:fldCharType="begin"/>
    </w:r>
    <w:r>
      <w:instrText xml:space="preserve"> PAGE  \* MERGEFORMAT </w:instrText>
    </w:r>
    <w:r>
      <w:fldChar w:fldCharType="separate"/>
    </w:r>
    <w:r>
      <w:rPr>
        <w:noProof/>
      </w:rPr>
      <w:t>185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Even"/>
    </w:pPr>
    <w:r>
      <w:t>Foreign Investment Review Board Annual Report 2007</w:t>
    </w:r>
    <w:r>
      <w:noBreakHyphen/>
      <w:t>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Odd"/>
    </w:pPr>
    <w:r>
      <w:t xml:space="preserve">Appendix F: </w:t>
    </w:r>
    <w:r w:rsidRPr="007F2EC5">
      <w:rPr>
        <w:i/>
      </w:rPr>
      <w:t>OECD Guidelines for Multinational Enterprises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Default="0078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CD6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48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0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58C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46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EB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F8A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06D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D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6F6E0"/>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C723F30"/>
    <w:multiLevelType w:val="singleLevel"/>
    <w:tmpl w:val="1430D9F2"/>
    <w:lvl w:ilvl="0">
      <w:start w:val="2"/>
      <w:numFmt w:val="decimal"/>
      <w:pStyle w:val="NumberedParagraph"/>
      <w:lvlText w:val="%1."/>
      <w:lvlJc w:val="left"/>
      <w:pPr>
        <w:tabs>
          <w:tab w:val="num" w:pos="567"/>
        </w:tabs>
      </w:pPr>
      <w:rPr>
        <w:rFonts w:cs="Times New Roman"/>
      </w:rPr>
    </w:lvl>
  </w:abstractNum>
  <w:abstractNum w:abstractNumId="18">
    <w:nsid w:val="2CF44FAF"/>
    <w:multiLevelType w:val="singleLevel"/>
    <w:tmpl w:val="C096D9E0"/>
    <w:name w:val="StandardNumberedParagraphList"/>
    <w:lvl w:ilvl="0">
      <w:start w:val="2"/>
      <w:numFmt w:val="decimal"/>
      <w:lvlText w:val="%1."/>
      <w:lvlJc w:val="left"/>
      <w:pPr>
        <w:tabs>
          <w:tab w:val="num" w:pos="567"/>
        </w:tabs>
        <w:ind w:left="567" w:hanging="567"/>
      </w:pPr>
      <w:rPr>
        <w:rFonts w:cs="Times New Roman"/>
      </w:rPr>
    </w:lvl>
  </w:abstractNum>
  <w:abstractNum w:abstractNumId="19">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0">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2">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3">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65FB0D17"/>
    <w:multiLevelType w:val="singleLevel"/>
    <w:tmpl w:val="0C09000F"/>
    <w:name w:val="RecommendationBulletedList"/>
    <w:lvl w:ilvl="0">
      <w:start w:val="1"/>
      <w:numFmt w:val="decimal"/>
      <w:lvlText w:val="%1."/>
      <w:lvlJc w:val="left"/>
      <w:pPr>
        <w:tabs>
          <w:tab w:val="num" w:pos="720"/>
        </w:tabs>
        <w:ind w:left="720" w:hanging="360"/>
      </w:pPr>
      <w:rPr>
        <w:rFonts w:cs="Times New Roman"/>
      </w:rPr>
    </w:lvl>
  </w:abstractNum>
  <w:abstractNum w:abstractNumId="30">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4"/>
  </w:num>
  <w:num w:numId="3">
    <w:abstractNumId w:val="19"/>
  </w:num>
  <w:num w:numId="4">
    <w:abstractNumId w:val="24"/>
  </w:num>
  <w:num w:numId="5">
    <w:abstractNumId w:val="26"/>
  </w:num>
  <w:num w:numId="6">
    <w:abstractNumId w:val="10"/>
  </w:num>
  <w:num w:numId="7">
    <w:abstractNumId w:val="28"/>
  </w:num>
  <w:num w:numId="8">
    <w:abstractNumId w:val="25"/>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9"/>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num>
  <w:num w:numId="24">
    <w:abstractNumId w:val="19"/>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lvlOverride w:ilvl="0">
      <w:startOverride w:val="1"/>
    </w:lvlOverride>
  </w:num>
  <w:num w:numId="29">
    <w:abstractNumId w:val="13"/>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0"/>
  </w:num>
  <w:num w:numId="42">
    <w:abstractNumId w:val="27"/>
  </w:num>
  <w:num w:numId="43">
    <w:abstractNumId w:val="22"/>
  </w:num>
  <w:num w:numId="44">
    <w:abstractNumId w:val="11"/>
  </w:num>
  <w:num w:numId="45">
    <w:abstractNumId w:val="23"/>
  </w:num>
  <w:num w:numId="46">
    <w:abstractNumId w:val="12"/>
  </w:num>
  <w:num w:numId="47">
    <w:abstractNumId w:val="20"/>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A7"/>
    <w:rsid w:val="00003446"/>
    <w:rsid w:val="00073424"/>
    <w:rsid w:val="000A37F2"/>
    <w:rsid w:val="000D695D"/>
    <w:rsid w:val="000F0677"/>
    <w:rsid w:val="00100011"/>
    <w:rsid w:val="00166EBC"/>
    <w:rsid w:val="00167A9E"/>
    <w:rsid w:val="001F4D9B"/>
    <w:rsid w:val="002437EC"/>
    <w:rsid w:val="00272E0D"/>
    <w:rsid w:val="002947A6"/>
    <w:rsid w:val="002C34E6"/>
    <w:rsid w:val="002D4655"/>
    <w:rsid w:val="003648BE"/>
    <w:rsid w:val="003C61ED"/>
    <w:rsid w:val="003F1307"/>
    <w:rsid w:val="004174F1"/>
    <w:rsid w:val="00463062"/>
    <w:rsid w:val="004703E7"/>
    <w:rsid w:val="00484205"/>
    <w:rsid w:val="004E3FA1"/>
    <w:rsid w:val="00526F3B"/>
    <w:rsid w:val="0056450B"/>
    <w:rsid w:val="00567752"/>
    <w:rsid w:val="005B0810"/>
    <w:rsid w:val="005C20CD"/>
    <w:rsid w:val="00605F48"/>
    <w:rsid w:val="006320A6"/>
    <w:rsid w:val="0067446E"/>
    <w:rsid w:val="006C2E79"/>
    <w:rsid w:val="006D7A49"/>
    <w:rsid w:val="00723DE5"/>
    <w:rsid w:val="00727B00"/>
    <w:rsid w:val="00783F89"/>
    <w:rsid w:val="007B776A"/>
    <w:rsid w:val="007C43A5"/>
    <w:rsid w:val="007D33F7"/>
    <w:rsid w:val="007D359F"/>
    <w:rsid w:val="007F2EC5"/>
    <w:rsid w:val="007F6AA5"/>
    <w:rsid w:val="008068FC"/>
    <w:rsid w:val="008162DA"/>
    <w:rsid w:val="00844A79"/>
    <w:rsid w:val="008453DB"/>
    <w:rsid w:val="00853B25"/>
    <w:rsid w:val="008822EC"/>
    <w:rsid w:val="008B52C0"/>
    <w:rsid w:val="008C23CD"/>
    <w:rsid w:val="008F49DB"/>
    <w:rsid w:val="008F4FAE"/>
    <w:rsid w:val="009C3069"/>
    <w:rsid w:val="009F7C94"/>
    <w:rsid w:val="00A30BED"/>
    <w:rsid w:val="00A407A7"/>
    <w:rsid w:val="00AD2A4C"/>
    <w:rsid w:val="00AE6A0B"/>
    <w:rsid w:val="00AF0DD3"/>
    <w:rsid w:val="00B03A4F"/>
    <w:rsid w:val="00B23614"/>
    <w:rsid w:val="00B314B2"/>
    <w:rsid w:val="00B6087C"/>
    <w:rsid w:val="00B66094"/>
    <w:rsid w:val="00BD7644"/>
    <w:rsid w:val="00BF7F92"/>
    <w:rsid w:val="00C2259A"/>
    <w:rsid w:val="00C40E06"/>
    <w:rsid w:val="00C606FB"/>
    <w:rsid w:val="00C93795"/>
    <w:rsid w:val="00C939D1"/>
    <w:rsid w:val="00CB1F24"/>
    <w:rsid w:val="00CC1625"/>
    <w:rsid w:val="00CE186D"/>
    <w:rsid w:val="00D03593"/>
    <w:rsid w:val="00D21F09"/>
    <w:rsid w:val="00D3670B"/>
    <w:rsid w:val="00DA567A"/>
    <w:rsid w:val="00DC001B"/>
    <w:rsid w:val="00DE7C28"/>
    <w:rsid w:val="00E45833"/>
    <w:rsid w:val="00E56426"/>
    <w:rsid w:val="00E5682B"/>
    <w:rsid w:val="00E9171B"/>
    <w:rsid w:val="00E9497A"/>
    <w:rsid w:val="00E9602B"/>
    <w:rsid w:val="00EE01C9"/>
    <w:rsid w:val="00EF13A5"/>
    <w:rsid w:val="00F10FFE"/>
    <w:rsid w:val="00F11FD1"/>
    <w:rsid w:val="00F319AC"/>
    <w:rsid w:val="00F348C7"/>
    <w:rsid w:val="00F56D28"/>
    <w:rsid w:val="00F7267E"/>
    <w:rsid w:val="00F93CCC"/>
    <w:rsid w:val="00FB0765"/>
    <w:rsid w:val="00FD4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CD"/>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5C20CD"/>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5C20CD"/>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5C20CD"/>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5C20CD"/>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5C20CD"/>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5C20CD"/>
    <w:pPr>
      <w:keepNext/>
      <w:spacing w:after="120"/>
      <w:outlineLvl w:val="5"/>
    </w:pPr>
    <w:rPr>
      <w:bCs/>
      <w:szCs w:val="22"/>
    </w:rPr>
  </w:style>
  <w:style w:type="paragraph" w:styleId="Heading7">
    <w:name w:val="heading 7"/>
    <w:basedOn w:val="Heading2"/>
    <w:next w:val="Normal"/>
    <w:link w:val="Heading7Char"/>
    <w:uiPriority w:val="99"/>
    <w:qFormat/>
    <w:rsid w:val="005C20CD"/>
    <w:pPr>
      <w:jc w:val="right"/>
      <w:outlineLvl w:val="6"/>
    </w:pPr>
  </w:style>
  <w:style w:type="paragraph" w:styleId="Heading8">
    <w:name w:val="heading 8"/>
    <w:basedOn w:val="HeadingBase"/>
    <w:next w:val="Normal"/>
    <w:link w:val="Heading8Char"/>
    <w:uiPriority w:val="99"/>
    <w:qFormat/>
    <w:rsid w:val="005C20CD"/>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5C20CD"/>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5C20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5C20CD"/>
    <w:pPr>
      <w:spacing w:after="0"/>
    </w:pPr>
  </w:style>
  <w:style w:type="character" w:styleId="Hyperlink">
    <w:name w:val="Hyperlink"/>
    <w:basedOn w:val="DefaultParagraphFont"/>
    <w:uiPriority w:val="99"/>
    <w:rsid w:val="005C20CD"/>
    <w:rPr>
      <w:rFonts w:cs="Times New Roman"/>
      <w:color w:val="000000"/>
      <w:u w:val="none"/>
    </w:rPr>
  </w:style>
  <w:style w:type="character" w:styleId="FootnoteReference">
    <w:name w:val="footnote reference"/>
    <w:basedOn w:val="DefaultParagraphFont"/>
    <w:uiPriority w:val="99"/>
    <w:rsid w:val="005C20CD"/>
    <w:rPr>
      <w:rFonts w:cs="Times New Roman"/>
      <w:vertAlign w:val="superscript"/>
    </w:rPr>
  </w:style>
  <w:style w:type="paragraph" w:styleId="BalloonText">
    <w:name w:val="Balloon Text"/>
    <w:basedOn w:val="Normal"/>
    <w:link w:val="BalloonTextChar"/>
    <w:uiPriority w:val="99"/>
    <w:rsid w:val="005C20C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5C20CD"/>
    <w:rPr>
      <w:rFonts w:ascii="Times" w:hAnsi="Times" w:cs="Times New Roman"/>
      <w:color w:val="2B7C32"/>
      <w:sz w:val="18"/>
      <w:szCs w:val="18"/>
    </w:rPr>
  </w:style>
  <w:style w:type="paragraph" w:styleId="FootnoteText">
    <w:name w:val="footnote text"/>
    <w:basedOn w:val="Normal"/>
    <w:link w:val="FootnoteTextChar"/>
    <w:uiPriority w:val="99"/>
    <w:rsid w:val="005C20C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5C20CD"/>
    <w:pPr>
      <w:numPr>
        <w:numId w:val="1"/>
      </w:numPr>
      <w:ind w:left="284" w:hanging="284"/>
    </w:pPr>
  </w:style>
  <w:style w:type="paragraph" w:customStyle="1" w:styleId="Dash">
    <w:name w:val="Dash"/>
    <w:basedOn w:val="Normal"/>
    <w:uiPriority w:val="99"/>
    <w:rsid w:val="005C20CD"/>
    <w:pPr>
      <w:numPr>
        <w:ilvl w:val="1"/>
        <w:numId w:val="1"/>
      </w:numPr>
      <w:ind w:left="568"/>
    </w:pPr>
  </w:style>
  <w:style w:type="paragraph" w:customStyle="1" w:styleId="DoubleDot">
    <w:name w:val="Double Dot"/>
    <w:basedOn w:val="Normal"/>
    <w:uiPriority w:val="99"/>
    <w:rsid w:val="005C20CD"/>
    <w:pPr>
      <w:numPr>
        <w:ilvl w:val="2"/>
        <w:numId w:val="1"/>
      </w:numPr>
    </w:pPr>
  </w:style>
  <w:style w:type="paragraph" w:customStyle="1" w:styleId="OutlineNumbered1">
    <w:name w:val="Outline Numbered 1"/>
    <w:basedOn w:val="Normal"/>
    <w:uiPriority w:val="99"/>
    <w:rsid w:val="005C20CD"/>
    <w:pPr>
      <w:numPr>
        <w:numId w:val="2"/>
      </w:numPr>
    </w:pPr>
  </w:style>
  <w:style w:type="paragraph" w:customStyle="1" w:styleId="OutlineNumbered2">
    <w:name w:val="Outline Numbered 2"/>
    <w:basedOn w:val="Normal"/>
    <w:uiPriority w:val="99"/>
    <w:rsid w:val="005C20CD"/>
    <w:pPr>
      <w:numPr>
        <w:ilvl w:val="1"/>
        <w:numId w:val="2"/>
      </w:numPr>
    </w:pPr>
  </w:style>
  <w:style w:type="paragraph" w:customStyle="1" w:styleId="OutlineNumbered3">
    <w:name w:val="Outline Numbered 3"/>
    <w:basedOn w:val="Normal"/>
    <w:uiPriority w:val="99"/>
    <w:rsid w:val="005C20CD"/>
    <w:pPr>
      <w:numPr>
        <w:ilvl w:val="2"/>
        <w:numId w:val="2"/>
      </w:numPr>
    </w:pPr>
  </w:style>
  <w:style w:type="paragraph" w:customStyle="1" w:styleId="AlphaParagraph">
    <w:name w:val="Alpha Paragraph"/>
    <w:basedOn w:val="Normal"/>
    <w:uiPriority w:val="99"/>
    <w:rsid w:val="005C20CD"/>
    <w:pPr>
      <w:numPr>
        <w:numId w:val="3"/>
      </w:numPr>
    </w:pPr>
  </w:style>
  <w:style w:type="paragraph" w:customStyle="1" w:styleId="HeadingBase">
    <w:name w:val="Heading Base"/>
    <w:next w:val="Normal"/>
    <w:uiPriority w:val="99"/>
    <w:rsid w:val="005C20CD"/>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5C20CD"/>
    <w:pPr>
      <w:spacing w:before="720" w:after="360"/>
    </w:pPr>
    <w:rPr>
      <w:rFonts w:ascii="Arial Bold" w:hAnsi="Arial Bold"/>
      <w:b/>
      <w:smallCaps/>
      <w:sz w:val="36"/>
      <w:szCs w:val="36"/>
    </w:rPr>
  </w:style>
  <w:style w:type="character" w:customStyle="1" w:styleId="Bold">
    <w:name w:val="Bold"/>
    <w:basedOn w:val="DefaultParagraphFont"/>
    <w:uiPriority w:val="99"/>
    <w:rsid w:val="005C20CD"/>
    <w:rPr>
      <w:rFonts w:cs="Times New Roman"/>
      <w:b/>
    </w:rPr>
  </w:style>
  <w:style w:type="paragraph" w:customStyle="1" w:styleId="BoxHeading">
    <w:name w:val="Box Heading"/>
    <w:basedOn w:val="HeadingBase"/>
    <w:next w:val="BoxText"/>
    <w:uiPriority w:val="99"/>
    <w:rsid w:val="005C20CD"/>
    <w:pPr>
      <w:spacing w:before="120" w:after="120"/>
    </w:pPr>
    <w:rPr>
      <w:b/>
      <w:sz w:val="22"/>
    </w:rPr>
  </w:style>
  <w:style w:type="paragraph" w:customStyle="1" w:styleId="BoxTextBase">
    <w:name w:val="Box Text Base"/>
    <w:basedOn w:val="Normal"/>
    <w:uiPriority w:val="99"/>
    <w:rsid w:val="005C20CD"/>
    <w:pPr>
      <w:spacing w:before="120" w:after="120" w:line="240" w:lineRule="auto"/>
    </w:pPr>
  </w:style>
  <w:style w:type="paragraph" w:customStyle="1" w:styleId="ChartandTableFootnoteAlpha">
    <w:name w:val="Chart and Table Footnote Alpha"/>
    <w:uiPriority w:val="99"/>
    <w:rsid w:val="005C20CD"/>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5C20CD"/>
    <w:pPr>
      <w:jc w:val="center"/>
    </w:pPr>
  </w:style>
  <w:style w:type="paragraph" w:customStyle="1" w:styleId="ChartMainHeading">
    <w:name w:val="Chart Main Heading"/>
    <w:basedOn w:val="HeadingBase"/>
    <w:next w:val="ChartGraphic"/>
    <w:uiPriority w:val="99"/>
    <w:rsid w:val="005C20CD"/>
    <w:pPr>
      <w:keepNext/>
      <w:spacing w:before="170" w:after="113"/>
      <w:jc w:val="center"/>
    </w:pPr>
    <w:rPr>
      <w:b/>
      <w:sz w:val="22"/>
    </w:rPr>
  </w:style>
  <w:style w:type="paragraph" w:customStyle="1" w:styleId="ChartorTableNote">
    <w:name w:val="Chart or Table Note"/>
    <w:next w:val="Normal"/>
    <w:uiPriority w:val="99"/>
    <w:rsid w:val="005C20CD"/>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5C20CD"/>
    <w:pPr>
      <w:keepNext/>
      <w:spacing w:after="20"/>
      <w:jc w:val="center"/>
    </w:pPr>
  </w:style>
  <w:style w:type="paragraph" w:customStyle="1" w:styleId="Classification">
    <w:name w:val="Classification"/>
    <w:basedOn w:val="HeadingBase"/>
    <w:next w:val="Footer"/>
    <w:uiPriority w:val="99"/>
    <w:rsid w:val="005C20CD"/>
    <w:pPr>
      <w:spacing w:after="120"/>
      <w:jc w:val="center"/>
    </w:pPr>
    <w:rPr>
      <w:b/>
      <w:smallCaps/>
    </w:rPr>
  </w:style>
  <w:style w:type="paragraph" w:styleId="Footer">
    <w:name w:val="footer"/>
    <w:basedOn w:val="HeadingBase"/>
    <w:link w:val="FooterChar"/>
    <w:uiPriority w:val="99"/>
    <w:rsid w:val="005C20CD"/>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5C20CD"/>
    <w:pPr>
      <w:spacing w:after="360"/>
    </w:pPr>
    <w:rPr>
      <w:smallCaps/>
      <w:sz w:val="36"/>
      <w:szCs w:val="36"/>
    </w:rPr>
  </w:style>
  <w:style w:type="paragraph" w:customStyle="1" w:styleId="CoverTitleMain">
    <w:name w:val="Cover Title Main"/>
    <w:basedOn w:val="HeadingBase"/>
    <w:next w:val="Normal"/>
    <w:uiPriority w:val="99"/>
    <w:rsid w:val="005C20CD"/>
    <w:pPr>
      <w:spacing w:after="360"/>
      <w:jc w:val="right"/>
    </w:pPr>
    <w:rPr>
      <w:b/>
      <w:sz w:val="44"/>
    </w:rPr>
  </w:style>
  <w:style w:type="paragraph" w:customStyle="1" w:styleId="CoverTitleSub">
    <w:name w:val="Cover Title Sub"/>
    <w:basedOn w:val="HeadingBase"/>
    <w:uiPriority w:val="99"/>
    <w:rsid w:val="005C20CD"/>
    <w:pPr>
      <w:spacing w:after="360"/>
      <w:jc w:val="center"/>
    </w:pPr>
    <w:rPr>
      <w:sz w:val="36"/>
    </w:rPr>
  </w:style>
  <w:style w:type="paragraph" w:customStyle="1" w:styleId="FooterCentered">
    <w:name w:val="Footer Centered"/>
    <w:basedOn w:val="Footer"/>
    <w:uiPriority w:val="99"/>
    <w:rsid w:val="005C20CD"/>
    <w:pPr>
      <w:jc w:val="center"/>
    </w:pPr>
  </w:style>
  <w:style w:type="paragraph" w:customStyle="1" w:styleId="FooterEven">
    <w:name w:val="Footer Even"/>
    <w:basedOn w:val="Footer"/>
    <w:uiPriority w:val="99"/>
    <w:rsid w:val="005C20CD"/>
  </w:style>
  <w:style w:type="paragraph" w:customStyle="1" w:styleId="FooterOdd">
    <w:name w:val="Footer Odd"/>
    <w:basedOn w:val="Footer"/>
    <w:uiPriority w:val="99"/>
    <w:rsid w:val="005C20CD"/>
    <w:pPr>
      <w:jc w:val="right"/>
    </w:pPr>
  </w:style>
  <w:style w:type="character" w:customStyle="1" w:styleId="FramedFooter">
    <w:name w:val="Framed Footer"/>
    <w:uiPriority w:val="99"/>
    <w:rsid w:val="005C20CD"/>
    <w:rPr>
      <w:rFonts w:ascii="Arial" w:hAnsi="Arial"/>
      <w:color w:val="2B7C32"/>
      <w:sz w:val="18"/>
    </w:rPr>
  </w:style>
  <w:style w:type="character" w:customStyle="1" w:styleId="FramedHeader">
    <w:name w:val="Framed Header"/>
    <w:basedOn w:val="DefaultParagraphFont"/>
    <w:uiPriority w:val="99"/>
    <w:rsid w:val="005C20CD"/>
    <w:rPr>
      <w:rFonts w:ascii="Arial" w:hAnsi="Arial" w:cs="Times New Roman"/>
      <w:color w:val="2B7C32"/>
      <w:sz w:val="18"/>
      <w:szCs w:val="18"/>
      <w:vertAlign w:val="baseline"/>
    </w:rPr>
  </w:style>
  <w:style w:type="paragraph" w:styleId="Header">
    <w:name w:val="header"/>
    <w:basedOn w:val="HeadingBase"/>
    <w:link w:val="HeaderChar"/>
    <w:uiPriority w:val="99"/>
    <w:rsid w:val="005C20CD"/>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5C20CD"/>
  </w:style>
  <w:style w:type="paragraph" w:customStyle="1" w:styleId="HeaderOdd">
    <w:name w:val="Header Odd"/>
    <w:basedOn w:val="Header"/>
    <w:uiPriority w:val="99"/>
    <w:rsid w:val="005C20CD"/>
    <w:pPr>
      <w:jc w:val="right"/>
    </w:pPr>
  </w:style>
  <w:style w:type="paragraph" w:styleId="NormalIndent">
    <w:name w:val="Normal Indent"/>
    <w:basedOn w:val="Normal"/>
    <w:uiPriority w:val="99"/>
    <w:rsid w:val="005C20CD"/>
    <w:pPr>
      <w:ind w:left="567"/>
    </w:pPr>
  </w:style>
  <w:style w:type="paragraph" w:customStyle="1" w:styleId="RecommendationHeading">
    <w:name w:val="Recommendation Heading"/>
    <w:basedOn w:val="HeadingBase"/>
    <w:next w:val="RecommendationText"/>
    <w:uiPriority w:val="99"/>
    <w:rsid w:val="005C20CD"/>
    <w:pPr>
      <w:spacing w:after="240"/>
    </w:pPr>
    <w:rPr>
      <w:b/>
      <w:sz w:val="22"/>
    </w:rPr>
  </w:style>
  <w:style w:type="paragraph" w:customStyle="1" w:styleId="RecommendationBaseText">
    <w:name w:val="Recommendation Base Text"/>
    <w:basedOn w:val="Normal"/>
    <w:uiPriority w:val="99"/>
    <w:rsid w:val="005C20CD"/>
  </w:style>
  <w:style w:type="paragraph" w:customStyle="1" w:styleId="RecommendationText">
    <w:name w:val="Recommendation Text"/>
    <w:basedOn w:val="RecommendationBaseText"/>
    <w:uiPriority w:val="99"/>
    <w:rsid w:val="005C20CD"/>
  </w:style>
  <w:style w:type="paragraph" w:customStyle="1" w:styleId="TableTextBase">
    <w:name w:val="Table Text Base"/>
    <w:uiPriority w:val="99"/>
    <w:rsid w:val="005C20CD"/>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5C20CD"/>
    <w:pPr>
      <w:jc w:val="center"/>
    </w:pPr>
    <w:rPr>
      <w:b/>
    </w:rPr>
  </w:style>
  <w:style w:type="paragraph" w:customStyle="1" w:styleId="TableColumnHeadingLeft">
    <w:name w:val="Table Column Heading Left"/>
    <w:basedOn w:val="TableTextBase"/>
    <w:uiPriority w:val="99"/>
    <w:rsid w:val="005C20CD"/>
    <w:rPr>
      <w:b/>
    </w:rPr>
  </w:style>
  <w:style w:type="paragraph" w:customStyle="1" w:styleId="TableColumnHeadingRight">
    <w:name w:val="Table Column Heading Right"/>
    <w:basedOn w:val="TableTextBase"/>
    <w:uiPriority w:val="99"/>
    <w:rsid w:val="005C20CD"/>
    <w:pPr>
      <w:jc w:val="right"/>
    </w:pPr>
    <w:rPr>
      <w:b/>
    </w:rPr>
  </w:style>
  <w:style w:type="paragraph" w:customStyle="1" w:styleId="TableGraphic">
    <w:name w:val="Table Graphic"/>
    <w:basedOn w:val="HeadingBase"/>
    <w:next w:val="Normal"/>
    <w:uiPriority w:val="99"/>
    <w:rsid w:val="005C20CD"/>
    <w:pPr>
      <w:spacing w:after="20"/>
      <w:ind w:right="-113"/>
    </w:pPr>
    <w:rPr>
      <w:rFonts w:ascii="Helvetica" w:hAnsi="Helvetica"/>
    </w:rPr>
  </w:style>
  <w:style w:type="paragraph" w:customStyle="1" w:styleId="TableMainHeading">
    <w:name w:val="Table Main Heading"/>
    <w:basedOn w:val="HeadingBase"/>
    <w:next w:val="TableGraphic"/>
    <w:uiPriority w:val="99"/>
    <w:rsid w:val="005C20CD"/>
    <w:pPr>
      <w:keepNext/>
      <w:spacing w:before="170" w:after="113"/>
    </w:pPr>
    <w:rPr>
      <w:b/>
      <w:sz w:val="22"/>
    </w:rPr>
  </w:style>
  <w:style w:type="paragraph" w:customStyle="1" w:styleId="TableMainHeadingContd">
    <w:name w:val="Table Main Heading Contd"/>
    <w:basedOn w:val="HeadingBase"/>
    <w:next w:val="TableGraphic"/>
    <w:uiPriority w:val="99"/>
    <w:rsid w:val="005C20CD"/>
    <w:pPr>
      <w:keepNext/>
      <w:spacing w:after="20"/>
    </w:pPr>
    <w:rPr>
      <w:b/>
      <w:sz w:val="22"/>
    </w:rPr>
  </w:style>
  <w:style w:type="paragraph" w:customStyle="1" w:styleId="TableSecondHeading">
    <w:name w:val="Table Second Heading"/>
    <w:basedOn w:val="HeadingBase"/>
    <w:next w:val="TableGraphic"/>
    <w:uiPriority w:val="99"/>
    <w:rsid w:val="005C20CD"/>
    <w:pPr>
      <w:keepNext/>
      <w:spacing w:after="20"/>
    </w:pPr>
  </w:style>
  <w:style w:type="paragraph" w:customStyle="1" w:styleId="TableTextCentered">
    <w:name w:val="Table Text Centered"/>
    <w:basedOn w:val="TableTextBase"/>
    <w:uiPriority w:val="99"/>
    <w:rsid w:val="005C20CD"/>
    <w:pPr>
      <w:jc w:val="center"/>
    </w:pPr>
  </w:style>
  <w:style w:type="paragraph" w:customStyle="1" w:styleId="TableTextIndented">
    <w:name w:val="Table Text Indented"/>
    <w:basedOn w:val="TableTextBase"/>
    <w:uiPriority w:val="99"/>
    <w:rsid w:val="005C20CD"/>
    <w:pPr>
      <w:ind w:left="284"/>
    </w:pPr>
  </w:style>
  <w:style w:type="paragraph" w:customStyle="1" w:styleId="TableTextLeft">
    <w:name w:val="Table Text Left"/>
    <w:basedOn w:val="TableTextBase"/>
    <w:uiPriority w:val="99"/>
    <w:rsid w:val="005C20CD"/>
  </w:style>
  <w:style w:type="paragraph" w:customStyle="1" w:styleId="TableTextRight">
    <w:name w:val="Table Text Right"/>
    <w:basedOn w:val="TableTextBase"/>
    <w:uiPriority w:val="99"/>
    <w:rsid w:val="005C20CD"/>
    <w:pPr>
      <w:jc w:val="right"/>
    </w:pPr>
  </w:style>
  <w:style w:type="paragraph" w:styleId="TOC1">
    <w:name w:val="toc 1"/>
    <w:basedOn w:val="HeadingBase"/>
    <w:next w:val="Normal"/>
    <w:uiPriority w:val="99"/>
    <w:rsid w:val="005C20CD"/>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5C20CD"/>
    <w:pPr>
      <w:tabs>
        <w:tab w:val="left" w:pos="1247"/>
        <w:tab w:val="right" w:leader="dot" w:pos="7700"/>
      </w:tabs>
      <w:spacing w:after="0"/>
      <w:ind w:right="851"/>
    </w:pPr>
    <w:rPr>
      <w:noProof/>
    </w:rPr>
  </w:style>
  <w:style w:type="paragraph" w:styleId="TOC3">
    <w:name w:val="toc 3"/>
    <w:basedOn w:val="Normal"/>
    <w:next w:val="Normal"/>
    <w:uiPriority w:val="99"/>
    <w:rsid w:val="005C20CD"/>
    <w:pPr>
      <w:tabs>
        <w:tab w:val="right" w:leader="dot" w:pos="7700"/>
      </w:tabs>
      <w:spacing w:after="0" w:line="240" w:lineRule="auto"/>
      <w:ind w:left="284" w:right="851"/>
    </w:pPr>
    <w:rPr>
      <w:noProof/>
    </w:rPr>
  </w:style>
  <w:style w:type="paragraph" w:styleId="TOC4">
    <w:name w:val="toc 4"/>
    <w:basedOn w:val="Normal"/>
    <w:next w:val="Normal"/>
    <w:uiPriority w:val="99"/>
    <w:rsid w:val="005C20CD"/>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5C20CD"/>
    <w:rPr>
      <w:rFonts w:cs="Times New Roman"/>
      <w:i/>
    </w:rPr>
  </w:style>
  <w:style w:type="paragraph" w:customStyle="1" w:styleId="OneLevelNumberedParagraph">
    <w:name w:val="One Level Numbered Paragraph"/>
    <w:basedOn w:val="Normal"/>
    <w:uiPriority w:val="99"/>
    <w:rsid w:val="005C20CD"/>
    <w:pPr>
      <w:numPr>
        <w:numId w:val="6"/>
      </w:numPr>
    </w:pPr>
  </w:style>
  <w:style w:type="paragraph" w:customStyle="1" w:styleId="BoxText">
    <w:name w:val="Box Text"/>
    <w:basedOn w:val="BoxTextBase"/>
    <w:uiPriority w:val="99"/>
    <w:rsid w:val="005C20CD"/>
  </w:style>
  <w:style w:type="paragraph" w:customStyle="1" w:styleId="BoxBullet">
    <w:name w:val="Box Bullet"/>
    <w:basedOn w:val="BoxTextBase"/>
    <w:uiPriority w:val="99"/>
    <w:rsid w:val="005C20CD"/>
    <w:pPr>
      <w:numPr>
        <w:numId w:val="5"/>
      </w:numPr>
    </w:pPr>
  </w:style>
  <w:style w:type="paragraph" w:customStyle="1" w:styleId="BoxDash">
    <w:name w:val="Box Dash"/>
    <w:basedOn w:val="Normal"/>
    <w:uiPriority w:val="99"/>
    <w:rsid w:val="005C20CD"/>
    <w:pPr>
      <w:numPr>
        <w:ilvl w:val="1"/>
        <w:numId w:val="5"/>
      </w:numPr>
    </w:pPr>
  </w:style>
  <w:style w:type="paragraph" w:customStyle="1" w:styleId="BoxDoubleDot">
    <w:name w:val="Box Double Dot"/>
    <w:basedOn w:val="BoxTextBase"/>
    <w:uiPriority w:val="99"/>
    <w:rsid w:val="005C20CD"/>
    <w:pPr>
      <w:numPr>
        <w:ilvl w:val="2"/>
        <w:numId w:val="5"/>
      </w:numPr>
    </w:pPr>
  </w:style>
  <w:style w:type="paragraph" w:customStyle="1" w:styleId="RecommendationBullet">
    <w:name w:val="Recommendation Bullet"/>
    <w:basedOn w:val="RecommendationBaseText"/>
    <w:uiPriority w:val="99"/>
    <w:rsid w:val="005C20CD"/>
    <w:pPr>
      <w:numPr>
        <w:numId w:val="7"/>
      </w:numPr>
    </w:pPr>
  </w:style>
  <w:style w:type="paragraph" w:customStyle="1" w:styleId="RecommendationDash">
    <w:name w:val="Recommendation Dash"/>
    <w:basedOn w:val="RecommendationBaseText"/>
    <w:uiPriority w:val="99"/>
    <w:rsid w:val="005C20CD"/>
    <w:pPr>
      <w:numPr>
        <w:ilvl w:val="1"/>
        <w:numId w:val="7"/>
      </w:numPr>
    </w:pPr>
  </w:style>
  <w:style w:type="paragraph" w:customStyle="1" w:styleId="RecommendationDoubleDot">
    <w:name w:val="Recommendation Double Dot"/>
    <w:basedOn w:val="RecommendationBaseText"/>
    <w:uiPriority w:val="99"/>
    <w:rsid w:val="005C20CD"/>
    <w:pPr>
      <w:numPr>
        <w:ilvl w:val="2"/>
        <w:numId w:val="7"/>
      </w:numPr>
    </w:pPr>
  </w:style>
  <w:style w:type="character" w:customStyle="1" w:styleId="Boldanditalic">
    <w:name w:val="Bold and italic"/>
    <w:basedOn w:val="DefaultParagraphFont"/>
    <w:uiPriority w:val="99"/>
    <w:rsid w:val="005C20CD"/>
    <w:rPr>
      <w:rFonts w:cs="Times New Roman"/>
      <w:b/>
      <w:i/>
    </w:rPr>
  </w:style>
  <w:style w:type="paragraph" w:styleId="Caption">
    <w:name w:val="caption"/>
    <w:basedOn w:val="Normal"/>
    <w:next w:val="Normal"/>
    <w:uiPriority w:val="99"/>
    <w:qFormat/>
    <w:rsid w:val="005C20CD"/>
    <w:pPr>
      <w:spacing w:before="120" w:after="120"/>
    </w:pPr>
    <w:rPr>
      <w:b/>
      <w:bCs/>
    </w:rPr>
  </w:style>
  <w:style w:type="character" w:styleId="CommentReference">
    <w:name w:val="annotation reference"/>
    <w:basedOn w:val="DefaultParagraphFont"/>
    <w:uiPriority w:val="99"/>
    <w:rsid w:val="005C20CD"/>
    <w:rPr>
      <w:rFonts w:cs="Times New Roman"/>
      <w:sz w:val="16"/>
      <w:szCs w:val="16"/>
    </w:rPr>
  </w:style>
  <w:style w:type="paragraph" w:styleId="CommentText">
    <w:name w:val="annotation text"/>
    <w:basedOn w:val="Normal"/>
    <w:link w:val="CommentTextChar"/>
    <w:uiPriority w:val="99"/>
    <w:rsid w:val="005C20CD"/>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5C20CD"/>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5C20C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5C20CD"/>
    <w:rPr>
      <w:rFonts w:cs="Times New Roman"/>
      <w:vertAlign w:val="superscript"/>
    </w:rPr>
  </w:style>
  <w:style w:type="paragraph" w:styleId="EndnoteText">
    <w:name w:val="endnote text"/>
    <w:basedOn w:val="Normal"/>
    <w:link w:val="EndnoteTextChar"/>
    <w:uiPriority w:val="99"/>
    <w:rsid w:val="005C20CD"/>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5C20CD"/>
    <w:pPr>
      <w:ind w:left="200" w:hanging="200"/>
    </w:pPr>
  </w:style>
  <w:style w:type="paragraph" w:styleId="Index2">
    <w:name w:val="index 2"/>
    <w:basedOn w:val="Normal"/>
    <w:next w:val="Normal"/>
    <w:autoRedefine/>
    <w:uiPriority w:val="99"/>
    <w:rsid w:val="005C20CD"/>
    <w:pPr>
      <w:ind w:left="400" w:hanging="200"/>
    </w:pPr>
  </w:style>
  <w:style w:type="paragraph" w:styleId="Index3">
    <w:name w:val="index 3"/>
    <w:basedOn w:val="Normal"/>
    <w:next w:val="Normal"/>
    <w:autoRedefine/>
    <w:uiPriority w:val="99"/>
    <w:rsid w:val="005C20CD"/>
    <w:pPr>
      <w:ind w:left="600" w:hanging="200"/>
    </w:pPr>
  </w:style>
  <w:style w:type="paragraph" w:styleId="Index4">
    <w:name w:val="index 4"/>
    <w:basedOn w:val="Normal"/>
    <w:next w:val="Normal"/>
    <w:autoRedefine/>
    <w:uiPriority w:val="99"/>
    <w:rsid w:val="005C20CD"/>
    <w:pPr>
      <w:ind w:left="800" w:hanging="200"/>
    </w:pPr>
  </w:style>
  <w:style w:type="paragraph" w:styleId="Index5">
    <w:name w:val="index 5"/>
    <w:basedOn w:val="Normal"/>
    <w:next w:val="Normal"/>
    <w:autoRedefine/>
    <w:uiPriority w:val="99"/>
    <w:rsid w:val="005C20CD"/>
    <w:pPr>
      <w:ind w:left="1000" w:hanging="200"/>
    </w:pPr>
  </w:style>
  <w:style w:type="paragraph" w:styleId="Index6">
    <w:name w:val="index 6"/>
    <w:basedOn w:val="Normal"/>
    <w:next w:val="Normal"/>
    <w:autoRedefine/>
    <w:uiPriority w:val="99"/>
    <w:rsid w:val="005C20CD"/>
    <w:pPr>
      <w:ind w:left="1200" w:hanging="200"/>
    </w:pPr>
  </w:style>
  <w:style w:type="paragraph" w:styleId="Index7">
    <w:name w:val="index 7"/>
    <w:basedOn w:val="Normal"/>
    <w:next w:val="Normal"/>
    <w:autoRedefine/>
    <w:uiPriority w:val="99"/>
    <w:rsid w:val="005C20CD"/>
    <w:pPr>
      <w:ind w:left="1400" w:hanging="200"/>
    </w:pPr>
  </w:style>
  <w:style w:type="paragraph" w:styleId="Index8">
    <w:name w:val="index 8"/>
    <w:basedOn w:val="Normal"/>
    <w:next w:val="Normal"/>
    <w:autoRedefine/>
    <w:uiPriority w:val="99"/>
    <w:rsid w:val="005C20CD"/>
    <w:pPr>
      <w:ind w:left="1600" w:hanging="200"/>
    </w:pPr>
  </w:style>
  <w:style w:type="paragraph" w:styleId="Index9">
    <w:name w:val="index 9"/>
    <w:basedOn w:val="Normal"/>
    <w:next w:val="Normal"/>
    <w:autoRedefine/>
    <w:uiPriority w:val="99"/>
    <w:rsid w:val="005C20CD"/>
    <w:pPr>
      <w:ind w:left="1800" w:hanging="200"/>
    </w:pPr>
  </w:style>
  <w:style w:type="paragraph" w:styleId="IndexHeading">
    <w:name w:val="index heading"/>
    <w:basedOn w:val="Normal"/>
    <w:next w:val="Index1"/>
    <w:uiPriority w:val="99"/>
    <w:rsid w:val="005C20CD"/>
    <w:rPr>
      <w:rFonts w:ascii="Arial" w:hAnsi="Arial" w:cs="Arial"/>
      <w:b/>
      <w:bCs/>
      <w:color w:val="2B7C32"/>
    </w:rPr>
  </w:style>
  <w:style w:type="paragraph" w:styleId="MacroText">
    <w:name w:val="macro"/>
    <w:link w:val="MacroTextChar"/>
    <w:uiPriority w:val="99"/>
    <w:rsid w:val="005C20C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5C20CD"/>
    <w:pPr>
      <w:ind w:left="200" w:hanging="200"/>
    </w:pPr>
  </w:style>
  <w:style w:type="paragraph" w:styleId="TableofFigures">
    <w:name w:val="table of figures"/>
    <w:basedOn w:val="Normal"/>
    <w:next w:val="Normal"/>
    <w:uiPriority w:val="99"/>
    <w:rsid w:val="005C20CD"/>
    <w:pPr>
      <w:ind w:left="400" w:hanging="400"/>
    </w:pPr>
  </w:style>
  <w:style w:type="paragraph" w:styleId="TOAHeading">
    <w:name w:val="toa heading"/>
    <w:basedOn w:val="Normal"/>
    <w:next w:val="Normal"/>
    <w:uiPriority w:val="99"/>
    <w:rsid w:val="005C20CD"/>
    <w:pPr>
      <w:spacing w:before="120"/>
    </w:pPr>
    <w:rPr>
      <w:rFonts w:ascii="Arial" w:hAnsi="Arial" w:cs="Arial"/>
      <w:b/>
      <w:bCs/>
      <w:sz w:val="24"/>
      <w:szCs w:val="24"/>
    </w:rPr>
  </w:style>
  <w:style w:type="paragraph" w:styleId="TOC5">
    <w:name w:val="toc 5"/>
    <w:basedOn w:val="TOC2"/>
    <w:next w:val="Normal"/>
    <w:autoRedefine/>
    <w:uiPriority w:val="99"/>
    <w:rsid w:val="005C20CD"/>
    <w:pPr>
      <w:ind w:left="1260" w:hanging="1260"/>
    </w:pPr>
  </w:style>
  <w:style w:type="paragraph" w:styleId="TOC6">
    <w:name w:val="toc 6"/>
    <w:basedOn w:val="Normal"/>
    <w:next w:val="Normal"/>
    <w:autoRedefine/>
    <w:uiPriority w:val="99"/>
    <w:rsid w:val="005C20CD"/>
    <w:pPr>
      <w:ind w:left="1000"/>
    </w:pPr>
  </w:style>
  <w:style w:type="paragraph" w:styleId="TOC7">
    <w:name w:val="toc 7"/>
    <w:basedOn w:val="Normal"/>
    <w:next w:val="Normal"/>
    <w:autoRedefine/>
    <w:uiPriority w:val="99"/>
    <w:rsid w:val="005C20CD"/>
    <w:pPr>
      <w:ind w:left="1200"/>
    </w:pPr>
  </w:style>
  <w:style w:type="paragraph" w:styleId="TOC8">
    <w:name w:val="toc 8"/>
    <w:basedOn w:val="Normal"/>
    <w:next w:val="Normal"/>
    <w:autoRedefine/>
    <w:uiPriority w:val="99"/>
    <w:rsid w:val="005C20CD"/>
    <w:pPr>
      <w:ind w:left="1400"/>
    </w:pPr>
  </w:style>
  <w:style w:type="paragraph" w:styleId="TOC9">
    <w:name w:val="toc 9"/>
    <w:basedOn w:val="Normal"/>
    <w:next w:val="Normal"/>
    <w:autoRedefine/>
    <w:uiPriority w:val="99"/>
    <w:rsid w:val="005C20CD"/>
    <w:pPr>
      <w:ind w:left="1600"/>
    </w:pPr>
  </w:style>
  <w:style w:type="paragraph" w:customStyle="1" w:styleId="AppendixAHeading3">
    <w:name w:val="AppendixAHeading3"/>
    <w:basedOn w:val="Heading3"/>
    <w:next w:val="AppendixAHeading4"/>
    <w:uiPriority w:val="99"/>
    <w:rsid w:val="005C20CD"/>
    <w:pPr>
      <w:numPr>
        <w:numId w:val="47"/>
      </w:numPr>
    </w:pPr>
    <w:rPr>
      <w:rFonts w:ascii="Arial Bold" w:hAnsi="Arial Bold"/>
      <w:i/>
    </w:rPr>
  </w:style>
  <w:style w:type="paragraph" w:customStyle="1" w:styleId="AppendixAHeading4">
    <w:name w:val="AppendixAHeading4"/>
    <w:basedOn w:val="Heading4"/>
    <w:next w:val="Bullet"/>
    <w:uiPriority w:val="99"/>
    <w:rsid w:val="005C20CD"/>
    <w:pPr>
      <w:numPr>
        <w:ilvl w:val="1"/>
        <w:numId w:val="48"/>
      </w:numPr>
    </w:pPr>
  </w:style>
  <w:style w:type="paragraph" w:customStyle="1" w:styleId="AppendixGHeading3">
    <w:name w:val="AppendixGHeading3"/>
    <w:basedOn w:val="Heading3"/>
    <w:uiPriority w:val="99"/>
    <w:rsid w:val="005C20CD"/>
    <w:pPr>
      <w:numPr>
        <w:numId w:val="43"/>
      </w:numPr>
    </w:pPr>
  </w:style>
  <w:style w:type="paragraph" w:customStyle="1" w:styleId="AppendixGGuidelines">
    <w:name w:val="Appendix G Guidelines"/>
    <w:basedOn w:val="Normal"/>
    <w:uiPriority w:val="99"/>
    <w:pPr>
      <w:tabs>
        <w:tab w:val="left" w:pos="567"/>
      </w:tabs>
      <w:ind w:left="567" w:hanging="567"/>
    </w:pPr>
  </w:style>
  <w:style w:type="paragraph" w:styleId="BodyTextIndent2">
    <w:name w:val="Body Text Indent 2"/>
    <w:basedOn w:val="Normal"/>
    <w:link w:val="BodyTextIndent2Char"/>
    <w:uiPriority w:val="99"/>
    <w:pPr>
      <w:ind w:left="300" w:hanging="300"/>
      <w:jc w:val="left"/>
    </w:pPr>
    <w:rPr>
      <w:color w:val="auto"/>
    </w:rPr>
  </w:style>
  <w:style w:type="character" w:customStyle="1" w:styleId="BodyTextIndent2Char">
    <w:name w:val="Body Text Indent 2 Char"/>
    <w:basedOn w:val="DefaultParagraphFont"/>
    <w:link w:val="BodyTextIndent2"/>
    <w:uiPriority w:val="99"/>
    <w:semiHidden/>
    <w:rPr>
      <w:rFonts w:ascii="Book Antiqua" w:hAnsi="Book Antiqua"/>
      <w:color w:val="000000"/>
      <w:sz w:val="20"/>
      <w:szCs w:val="20"/>
    </w:rPr>
  </w:style>
  <w:style w:type="paragraph" w:customStyle="1" w:styleId="NumberedParagraph">
    <w:name w:val="Numbered Paragraph"/>
    <w:basedOn w:val="Normal"/>
    <w:uiPriority w:val="99"/>
    <w:rsid w:val="005C20CD"/>
    <w:pPr>
      <w:numPr>
        <w:numId w:val="27"/>
      </w:numPr>
    </w:pPr>
  </w:style>
  <w:style w:type="paragraph" w:customStyle="1" w:styleId="Heading3noTOC">
    <w:name w:val="Heading 3 no TOC"/>
    <w:basedOn w:val="Heading3"/>
    <w:uiPriority w:val="99"/>
    <w:rsid w:val="005C20CD"/>
    <w:pPr>
      <w:outlineLvl w:val="9"/>
    </w:pPr>
  </w:style>
  <w:style w:type="paragraph" w:customStyle="1" w:styleId="Heading1NoTOC">
    <w:name w:val="Heading 1 No TOC"/>
    <w:basedOn w:val="Heading1"/>
    <w:uiPriority w:val="99"/>
    <w:rsid w:val="008162DA"/>
  </w:style>
  <w:style w:type="character" w:styleId="FollowedHyperlink">
    <w:name w:val="FollowedHyperlink"/>
    <w:basedOn w:val="DefaultParagraphFont"/>
    <w:uiPriority w:val="99"/>
    <w:rsid w:val="005C20CD"/>
    <w:rPr>
      <w:rFonts w:cs="Times New Roman"/>
      <w:color w:val="000000"/>
      <w:u w:val="none"/>
    </w:rPr>
  </w:style>
  <w:style w:type="paragraph" w:customStyle="1" w:styleId="Style1">
    <w:name w:val="Style1"/>
    <w:basedOn w:val="AppendixAHeading3"/>
    <w:next w:val="AppendixAHeading4"/>
    <w:uiPriority w:val="99"/>
    <w:rsid w:val="005C20CD"/>
    <w:pPr>
      <w:numPr>
        <w:numId w:val="0"/>
      </w:numPr>
    </w:pPr>
  </w:style>
  <w:style w:type="paragraph" w:customStyle="1" w:styleId="AppendixAHeading3NotItalic">
    <w:name w:val="AppendixAHeading3NotItalic"/>
    <w:basedOn w:val="HeadingBase"/>
    <w:next w:val="AppendixAHeading4"/>
    <w:uiPriority w:val="99"/>
    <w:rsid w:val="005C20CD"/>
    <w:pPr>
      <w:numPr>
        <w:numId w:val="48"/>
      </w:numPr>
      <w:spacing w:before="57" w:after="57" w:line="280" w:lineRule="exact"/>
    </w:pPr>
    <w:rPr>
      <w:rFonts w:ascii="Arial Bold" w:hAnsi="Arial Bold"/>
      <w:b/>
      <w:sz w:val="24"/>
    </w:rPr>
  </w:style>
  <w:style w:type="paragraph" w:customStyle="1" w:styleId="Heading1noTOC0">
    <w:name w:val="Heading 1 no TOC"/>
    <w:basedOn w:val="Heading1"/>
    <w:next w:val="Normal"/>
    <w:uiPriority w:val="99"/>
    <w:rsid w:val="005C20CD"/>
  </w:style>
  <w:style w:type="paragraph" w:customStyle="1" w:styleId="Heading2noTOC">
    <w:name w:val="Heading 2 no TOC"/>
    <w:basedOn w:val="Heading2"/>
    <w:next w:val="Normal"/>
    <w:uiPriority w:val="99"/>
    <w:rsid w:val="005C20CD"/>
    <w:pPr>
      <w:outlineLvl w:val="9"/>
    </w:pPr>
    <w:rPr>
      <w:rFonts w:ascii="Arial" w:hAnsi="Arial"/>
    </w:rPr>
  </w:style>
  <w:style w:type="paragraph" w:customStyle="1" w:styleId="Heading9noTOC">
    <w:name w:val="Heading 9 no TOC"/>
    <w:basedOn w:val="Heading9"/>
    <w:uiPriority w:val="99"/>
    <w:rsid w:val="005C20C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CD"/>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5C20CD"/>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5C20CD"/>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5C20CD"/>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5C20CD"/>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5C20CD"/>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5C20CD"/>
    <w:pPr>
      <w:keepNext/>
      <w:spacing w:after="120"/>
      <w:outlineLvl w:val="5"/>
    </w:pPr>
    <w:rPr>
      <w:bCs/>
      <w:szCs w:val="22"/>
    </w:rPr>
  </w:style>
  <w:style w:type="paragraph" w:styleId="Heading7">
    <w:name w:val="heading 7"/>
    <w:basedOn w:val="Heading2"/>
    <w:next w:val="Normal"/>
    <w:link w:val="Heading7Char"/>
    <w:uiPriority w:val="99"/>
    <w:qFormat/>
    <w:rsid w:val="005C20CD"/>
    <w:pPr>
      <w:jc w:val="right"/>
      <w:outlineLvl w:val="6"/>
    </w:pPr>
  </w:style>
  <w:style w:type="paragraph" w:styleId="Heading8">
    <w:name w:val="heading 8"/>
    <w:basedOn w:val="HeadingBase"/>
    <w:next w:val="Normal"/>
    <w:link w:val="Heading8Char"/>
    <w:uiPriority w:val="99"/>
    <w:qFormat/>
    <w:rsid w:val="005C20CD"/>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5C20CD"/>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5C20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5C20CD"/>
    <w:pPr>
      <w:spacing w:after="0"/>
    </w:pPr>
  </w:style>
  <w:style w:type="character" w:styleId="Hyperlink">
    <w:name w:val="Hyperlink"/>
    <w:basedOn w:val="DefaultParagraphFont"/>
    <w:uiPriority w:val="99"/>
    <w:rsid w:val="005C20CD"/>
    <w:rPr>
      <w:rFonts w:cs="Times New Roman"/>
      <w:color w:val="000000"/>
      <w:u w:val="none"/>
    </w:rPr>
  </w:style>
  <w:style w:type="character" w:styleId="FootnoteReference">
    <w:name w:val="footnote reference"/>
    <w:basedOn w:val="DefaultParagraphFont"/>
    <w:uiPriority w:val="99"/>
    <w:rsid w:val="005C20CD"/>
    <w:rPr>
      <w:rFonts w:cs="Times New Roman"/>
      <w:vertAlign w:val="superscript"/>
    </w:rPr>
  </w:style>
  <w:style w:type="paragraph" w:styleId="BalloonText">
    <w:name w:val="Balloon Text"/>
    <w:basedOn w:val="Normal"/>
    <w:link w:val="BalloonTextChar"/>
    <w:uiPriority w:val="99"/>
    <w:rsid w:val="005C20C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5C20CD"/>
    <w:rPr>
      <w:rFonts w:ascii="Times" w:hAnsi="Times" w:cs="Times New Roman"/>
      <w:color w:val="2B7C32"/>
      <w:sz w:val="18"/>
      <w:szCs w:val="18"/>
    </w:rPr>
  </w:style>
  <w:style w:type="paragraph" w:styleId="FootnoteText">
    <w:name w:val="footnote text"/>
    <w:basedOn w:val="Normal"/>
    <w:link w:val="FootnoteTextChar"/>
    <w:uiPriority w:val="99"/>
    <w:rsid w:val="005C20C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5C20CD"/>
    <w:pPr>
      <w:numPr>
        <w:numId w:val="1"/>
      </w:numPr>
      <w:ind w:left="284" w:hanging="284"/>
    </w:pPr>
  </w:style>
  <w:style w:type="paragraph" w:customStyle="1" w:styleId="Dash">
    <w:name w:val="Dash"/>
    <w:basedOn w:val="Normal"/>
    <w:uiPriority w:val="99"/>
    <w:rsid w:val="005C20CD"/>
    <w:pPr>
      <w:numPr>
        <w:ilvl w:val="1"/>
        <w:numId w:val="1"/>
      </w:numPr>
      <w:ind w:left="568"/>
    </w:pPr>
  </w:style>
  <w:style w:type="paragraph" w:customStyle="1" w:styleId="DoubleDot">
    <w:name w:val="Double Dot"/>
    <w:basedOn w:val="Normal"/>
    <w:uiPriority w:val="99"/>
    <w:rsid w:val="005C20CD"/>
    <w:pPr>
      <w:numPr>
        <w:ilvl w:val="2"/>
        <w:numId w:val="1"/>
      </w:numPr>
    </w:pPr>
  </w:style>
  <w:style w:type="paragraph" w:customStyle="1" w:styleId="OutlineNumbered1">
    <w:name w:val="Outline Numbered 1"/>
    <w:basedOn w:val="Normal"/>
    <w:uiPriority w:val="99"/>
    <w:rsid w:val="005C20CD"/>
    <w:pPr>
      <w:numPr>
        <w:numId w:val="2"/>
      </w:numPr>
    </w:pPr>
  </w:style>
  <w:style w:type="paragraph" w:customStyle="1" w:styleId="OutlineNumbered2">
    <w:name w:val="Outline Numbered 2"/>
    <w:basedOn w:val="Normal"/>
    <w:uiPriority w:val="99"/>
    <w:rsid w:val="005C20CD"/>
    <w:pPr>
      <w:numPr>
        <w:ilvl w:val="1"/>
        <w:numId w:val="2"/>
      </w:numPr>
    </w:pPr>
  </w:style>
  <w:style w:type="paragraph" w:customStyle="1" w:styleId="OutlineNumbered3">
    <w:name w:val="Outline Numbered 3"/>
    <w:basedOn w:val="Normal"/>
    <w:uiPriority w:val="99"/>
    <w:rsid w:val="005C20CD"/>
    <w:pPr>
      <w:numPr>
        <w:ilvl w:val="2"/>
        <w:numId w:val="2"/>
      </w:numPr>
    </w:pPr>
  </w:style>
  <w:style w:type="paragraph" w:customStyle="1" w:styleId="AlphaParagraph">
    <w:name w:val="Alpha Paragraph"/>
    <w:basedOn w:val="Normal"/>
    <w:uiPriority w:val="99"/>
    <w:rsid w:val="005C20CD"/>
    <w:pPr>
      <w:numPr>
        <w:numId w:val="3"/>
      </w:numPr>
    </w:pPr>
  </w:style>
  <w:style w:type="paragraph" w:customStyle="1" w:styleId="HeadingBase">
    <w:name w:val="Heading Base"/>
    <w:next w:val="Normal"/>
    <w:uiPriority w:val="99"/>
    <w:rsid w:val="005C20CD"/>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5C20CD"/>
    <w:pPr>
      <w:spacing w:before="720" w:after="360"/>
    </w:pPr>
    <w:rPr>
      <w:rFonts w:ascii="Arial Bold" w:hAnsi="Arial Bold"/>
      <w:b/>
      <w:smallCaps/>
      <w:sz w:val="36"/>
      <w:szCs w:val="36"/>
    </w:rPr>
  </w:style>
  <w:style w:type="character" w:customStyle="1" w:styleId="Bold">
    <w:name w:val="Bold"/>
    <w:basedOn w:val="DefaultParagraphFont"/>
    <w:uiPriority w:val="99"/>
    <w:rsid w:val="005C20CD"/>
    <w:rPr>
      <w:rFonts w:cs="Times New Roman"/>
      <w:b/>
    </w:rPr>
  </w:style>
  <w:style w:type="paragraph" w:customStyle="1" w:styleId="BoxHeading">
    <w:name w:val="Box Heading"/>
    <w:basedOn w:val="HeadingBase"/>
    <w:next w:val="BoxText"/>
    <w:uiPriority w:val="99"/>
    <w:rsid w:val="005C20CD"/>
    <w:pPr>
      <w:spacing w:before="120" w:after="120"/>
    </w:pPr>
    <w:rPr>
      <w:b/>
      <w:sz w:val="22"/>
    </w:rPr>
  </w:style>
  <w:style w:type="paragraph" w:customStyle="1" w:styleId="BoxTextBase">
    <w:name w:val="Box Text Base"/>
    <w:basedOn w:val="Normal"/>
    <w:uiPriority w:val="99"/>
    <w:rsid w:val="005C20CD"/>
    <w:pPr>
      <w:spacing w:before="120" w:after="120" w:line="240" w:lineRule="auto"/>
    </w:pPr>
  </w:style>
  <w:style w:type="paragraph" w:customStyle="1" w:styleId="ChartandTableFootnoteAlpha">
    <w:name w:val="Chart and Table Footnote Alpha"/>
    <w:uiPriority w:val="99"/>
    <w:rsid w:val="005C20CD"/>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5C20CD"/>
    <w:pPr>
      <w:jc w:val="center"/>
    </w:pPr>
  </w:style>
  <w:style w:type="paragraph" w:customStyle="1" w:styleId="ChartMainHeading">
    <w:name w:val="Chart Main Heading"/>
    <w:basedOn w:val="HeadingBase"/>
    <w:next w:val="ChartGraphic"/>
    <w:uiPriority w:val="99"/>
    <w:rsid w:val="005C20CD"/>
    <w:pPr>
      <w:keepNext/>
      <w:spacing w:before="170" w:after="113"/>
      <w:jc w:val="center"/>
    </w:pPr>
    <w:rPr>
      <w:b/>
      <w:sz w:val="22"/>
    </w:rPr>
  </w:style>
  <w:style w:type="paragraph" w:customStyle="1" w:styleId="ChartorTableNote">
    <w:name w:val="Chart or Table Note"/>
    <w:next w:val="Normal"/>
    <w:uiPriority w:val="99"/>
    <w:rsid w:val="005C20CD"/>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5C20CD"/>
    <w:pPr>
      <w:keepNext/>
      <w:spacing w:after="20"/>
      <w:jc w:val="center"/>
    </w:pPr>
  </w:style>
  <w:style w:type="paragraph" w:customStyle="1" w:styleId="Classification">
    <w:name w:val="Classification"/>
    <w:basedOn w:val="HeadingBase"/>
    <w:next w:val="Footer"/>
    <w:uiPriority w:val="99"/>
    <w:rsid w:val="005C20CD"/>
    <w:pPr>
      <w:spacing w:after="120"/>
      <w:jc w:val="center"/>
    </w:pPr>
    <w:rPr>
      <w:b/>
      <w:smallCaps/>
    </w:rPr>
  </w:style>
  <w:style w:type="paragraph" w:styleId="Footer">
    <w:name w:val="footer"/>
    <w:basedOn w:val="HeadingBase"/>
    <w:link w:val="FooterChar"/>
    <w:uiPriority w:val="99"/>
    <w:rsid w:val="005C20CD"/>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5C20CD"/>
    <w:pPr>
      <w:spacing w:after="360"/>
    </w:pPr>
    <w:rPr>
      <w:smallCaps/>
      <w:sz w:val="36"/>
      <w:szCs w:val="36"/>
    </w:rPr>
  </w:style>
  <w:style w:type="paragraph" w:customStyle="1" w:styleId="CoverTitleMain">
    <w:name w:val="Cover Title Main"/>
    <w:basedOn w:val="HeadingBase"/>
    <w:next w:val="Normal"/>
    <w:uiPriority w:val="99"/>
    <w:rsid w:val="005C20CD"/>
    <w:pPr>
      <w:spacing w:after="360"/>
      <w:jc w:val="right"/>
    </w:pPr>
    <w:rPr>
      <w:b/>
      <w:sz w:val="44"/>
    </w:rPr>
  </w:style>
  <w:style w:type="paragraph" w:customStyle="1" w:styleId="CoverTitleSub">
    <w:name w:val="Cover Title Sub"/>
    <w:basedOn w:val="HeadingBase"/>
    <w:uiPriority w:val="99"/>
    <w:rsid w:val="005C20CD"/>
    <w:pPr>
      <w:spacing w:after="360"/>
      <w:jc w:val="center"/>
    </w:pPr>
    <w:rPr>
      <w:sz w:val="36"/>
    </w:rPr>
  </w:style>
  <w:style w:type="paragraph" w:customStyle="1" w:styleId="FooterCentered">
    <w:name w:val="Footer Centered"/>
    <w:basedOn w:val="Footer"/>
    <w:uiPriority w:val="99"/>
    <w:rsid w:val="005C20CD"/>
    <w:pPr>
      <w:jc w:val="center"/>
    </w:pPr>
  </w:style>
  <w:style w:type="paragraph" w:customStyle="1" w:styleId="FooterEven">
    <w:name w:val="Footer Even"/>
    <w:basedOn w:val="Footer"/>
    <w:uiPriority w:val="99"/>
    <w:rsid w:val="005C20CD"/>
  </w:style>
  <w:style w:type="paragraph" w:customStyle="1" w:styleId="FooterOdd">
    <w:name w:val="Footer Odd"/>
    <w:basedOn w:val="Footer"/>
    <w:uiPriority w:val="99"/>
    <w:rsid w:val="005C20CD"/>
    <w:pPr>
      <w:jc w:val="right"/>
    </w:pPr>
  </w:style>
  <w:style w:type="character" w:customStyle="1" w:styleId="FramedFooter">
    <w:name w:val="Framed Footer"/>
    <w:uiPriority w:val="99"/>
    <w:rsid w:val="005C20CD"/>
    <w:rPr>
      <w:rFonts w:ascii="Arial" w:hAnsi="Arial"/>
      <w:color w:val="2B7C32"/>
      <w:sz w:val="18"/>
    </w:rPr>
  </w:style>
  <w:style w:type="character" w:customStyle="1" w:styleId="FramedHeader">
    <w:name w:val="Framed Header"/>
    <w:basedOn w:val="DefaultParagraphFont"/>
    <w:uiPriority w:val="99"/>
    <w:rsid w:val="005C20CD"/>
    <w:rPr>
      <w:rFonts w:ascii="Arial" w:hAnsi="Arial" w:cs="Times New Roman"/>
      <w:color w:val="2B7C32"/>
      <w:sz w:val="18"/>
      <w:szCs w:val="18"/>
      <w:vertAlign w:val="baseline"/>
    </w:rPr>
  </w:style>
  <w:style w:type="paragraph" w:styleId="Header">
    <w:name w:val="header"/>
    <w:basedOn w:val="HeadingBase"/>
    <w:link w:val="HeaderChar"/>
    <w:uiPriority w:val="99"/>
    <w:rsid w:val="005C20CD"/>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5C20CD"/>
  </w:style>
  <w:style w:type="paragraph" w:customStyle="1" w:styleId="HeaderOdd">
    <w:name w:val="Header Odd"/>
    <w:basedOn w:val="Header"/>
    <w:uiPriority w:val="99"/>
    <w:rsid w:val="005C20CD"/>
    <w:pPr>
      <w:jc w:val="right"/>
    </w:pPr>
  </w:style>
  <w:style w:type="paragraph" w:styleId="NormalIndent">
    <w:name w:val="Normal Indent"/>
    <w:basedOn w:val="Normal"/>
    <w:uiPriority w:val="99"/>
    <w:rsid w:val="005C20CD"/>
    <w:pPr>
      <w:ind w:left="567"/>
    </w:pPr>
  </w:style>
  <w:style w:type="paragraph" w:customStyle="1" w:styleId="RecommendationHeading">
    <w:name w:val="Recommendation Heading"/>
    <w:basedOn w:val="HeadingBase"/>
    <w:next w:val="RecommendationText"/>
    <w:uiPriority w:val="99"/>
    <w:rsid w:val="005C20CD"/>
    <w:pPr>
      <w:spacing w:after="240"/>
    </w:pPr>
    <w:rPr>
      <w:b/>
      <w:sz w:val="22"/>
    </w:rPr>
  </w:style>
  <w:style w:type="paragraph" w:customStyle="1" w:styleId="RecommendationBaseText">
    <w:name w:val="Recommendation Base Text"/>
    <w:basedOn w:val="Normal"/>
    <w:uiPriority w:val="99"/>
    <w:rsid w:val="005C20CD"/>
  </w:style>
  <w:style w:type="paragraph" w:customStyle="1" w:styleId="RecommendationText">
    <w:name w:val="Recommendation Text"/>
    <w:basedOn w:val="RecommendationBaseText"/>
    <w:uiPriority w:val="99"/>
    <w:rsid w:val="005C20CD"/>
  </w:style>
  <w:style w:type="paragraph" w:customStyle="1" w:styleId="TableTextBase">
    <w:name w:val="Table Text Base"/>
    <w:uiPriority w:val="99"/>
    <w:rsid w:val="005C20CD"/>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5C20CD"/>
    <w:pPr>
      <w:jc w:val="center"/>
    </w:pPr>
    <w:rPr>
      <w:b/>
    </w:rPr>
  </w:style>
  <w:style w:type="paragraph" w:customStyle="1" w:styleId="TableColumnHeadingLeft">
    <w:name w:val="Table Column Heading Left"/>
    <w:basedOn w:val="TableTextBase"/>
    <w:uiPriority w:val="99"/>
    <w:rsid w:val="005C20CD"/>
    <w:rPr>
      <w:b/>
    </w:rPr>
  </w:style>
  <w:style w:type="paragraph" w:customStyle="1" w:styleId="TableColumnHeadingRight">
    <w:name w:val="Table Column Heading Right"/>
    <w:basedOn w:val="TableTextBase"/>
    <w:uiPriority w:val="99"/>
    <w:rsid w:val="005C20CD"/>
    <w:pPr>
      <w:jc w:val="right"/>
    </w:pPr>
    <w:rPr>
      <w:b/>
    </w:rPr>
  </w:style>
  <w:style w:type="paragraph" w:customStyle="1" w:styleId="TableGraphic">
    <w:name w:val="Table Graphic"/>
    <w:basedOn w:val="HeadingBase"/>
    <w:next w:val="Normal"/>
    <w:uiPriority w:val="99"/>
    <w:rsid w:val="005C20CD"/>
    <w:pPr>
      <w:spacing w:after="20"/>
      <w:ind w:right="-113"/>
    </w:pPr>
    <w:rPr>
      <w:rFonts w:ascii="Helvetica" w:hAnsi="Helvetica"/>
    </w:rPr>
  </w:style>
  <w:style w:type="paragraph" w:customStyle="1" w:styleId="TableMainHeading">
    <w:name w:val="Table Main Heading"/>
    <w:basedOn w:val="HeadingBase"/>
    <w:next w:val="TableGraphic"/>
    <w:uiPriority w:val="99"/>
    <w:rsid w:val="005C20CD"/>
    <w:pPr>
      <w:keepNext/>
      <w:spacing w:before="170" w:after="113"/>
    </w:pPr>
    <w:rPr>
      <w:b/>
      <w:sz w:val="22"/>
    </w:rPr>
  </w:style>
  <w:style w:type="paragraph" w:customStyle="1" w:styleId="TableMainHeadingContd">
    <w:name w:val="Table Main Heading Contd"/>
    <w:basedOn w:val="HeadingBase"/>
    <w:next w:val="TableGraphic"/>
    <w:uiPriority w:val="99"/>
    <w:rsid w:val="005C20CD"/>
    <w:pPr>
      <w:keepNext/>
      <w:spacing w:after="20"/>
    </w:pPr>
    <w:rPr>
      <w:b/>
      <w:sz w:val="22"/>
    </w:rPr>
  </w:style>
  <w:style w:type="paragraph" w:customStyle="1" w:styleId="TableSecondHeading">
    <w:name w:val="Table Second Heading"/>
    <w:basedOn w:val="HeadingBase"/>
    <w:next w:val="TableGraphic"/>
    <w:uiPriority w:val="99"/>
    <w:rsid w:val="005C20CD"/>
    <w:pPr>
      <w:keepNext/>
      <w:spacing w:after="20"/>
    </w:pPr>
  </w:style>
  <w:style w:type="paragraph" w:customStyle="1" w:styleId="TableTextCentered">
    <w:name w:val="Table Text Centered"/>
    <w:basedOn w:val="TableTextBase"/>
    <w:uiPriority w:val="99"/>
    <w:rsid w:val="005C20CD"/>
    <w:pPr>
      <w:jc w:val="center"/>
    </w:pPr>
  </w:style>
  <w:style w:type="paragraph" w:customStyle="1" w:styleId="TableTextIndented">
    <w:name w:val="Table Text Indented"/>
    <w:basedOn w:val="TableTextBase"/>
    <w:uiPriority w:val="99"/>
    <w:rsid w:val="005C20CD"/>
    <w:pPr>
      <w:ind w:left="284"/>
    </w:pPr>
  </w:style>
  <w:style w:type="paragraph" w:customStyle="1" w:styleId="TableTextLeft">
    <w:name w:val="Table Text Left"/>
    <w:basedOn w:val="TableTextBase"/>
    <w:uiPriority w:val="99"/>
    <w:rsid w:val="005C20CD"/>
  </w:style>
  <w:style w:type="paragraph" w:customStyle="1" w:styleId="TableTextRight">
    <w:name w:val="Table Text Right"/>
    <w:basedOn w:val="TableTextBase"/>
    <w:uiPriority w:val="99"/>
    <w:rsid w:val="005C20CD"/>
    <w:pPr>
      <w:jc w:val="right"/>
    </w:pPr>
  </w:style>
  <w:style w:type="paragraph" w:styleId="TOC1">
    <w:name w:val="toc 1"/>
    <w:basedOn w:val="HeadingBase"/>
    <w:next w:val="Normal"/>
    <w:uiPriority w:val="99"/>
    <w:rsid w:val="005C20CD"/>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5C20CD"/>
    <w:pPr>
      <w:tabs>
        <w:tab w:val="left" w:pos="1247"/>
        <w:tab w:val="right" w:leader="dot" w:pos="7700"/>
      </w:tabs>
      <w:spacing w:after="0"/>
      <w:ind w:right="851"/>
    </w:pPr>
    <w:rPr>
      <w:noProof/>
    </w:rPr>
  </w:style>
  <w:style w:type="paragraph" w:styleId="TOC3">
    <w:name w:val="toc 3"/>
    <w:basedOn w:val="Normal"/>
    <w:next w:val="Normal"/>
    <w:uiPriority w:val="99"/>
    <w:rsid w:val="005C20CD"/>
    <w:pPr>
      <w:tabs>
        <w:tab w:val="right" w:leader="dot" w:pos="7700"/>
      </w:tabs>
      <w:spacing w:after="0" w:line="240" w:lineRule="auto"/>
      <w:ind w:left="284" w:right="851"/>
    </w:pPr>
    <w:rPr>
      <w:noProof/>
    </w:rPr>
  </w:style>
  <w:style w:type="paragraph" w:styleId="TOC4">
    <w:name w:val="toc 4"/>
    <w:basedOn w:val="Normal"/>
    <w:next w:val="Normal"/>
    <w:uiPriority w:val="99"/>
    <w:rsid w:val="005C20CD"/>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5C20CD"/>
    <w:rPr>
      <w:rFonts w:cs="Times New Roman"/>
      <w:i/>
    </w:rPr>
  </w:style>
  <w:style w:type="paragraph" w:customStyle="1" w:styleId="OneLevelNumberedParagraph">
    <w:name w:val="One Level Numbered Paragraph"/>
    <w:basedOn w:val="Normal"/>
    <w:uiPriority w:val="99"/>
    <w:rsid w:val="005C20CD"/>
    <w:pPr>
      <w:numPr>
        <w:numId w:val="6"/>
      </w:numPr>
    </w:pPr>
  </w:style>
  <w:style w:type="paragraph" w:customStyle="1" w:styleId="BoxText">
    <w:name w:val="Box Text"/>
    <w:basedOn w:val="BoxTextBase"/>
    <w:uiPriority w:val="99"/>
    <w:rsid w:val="005C20CD"/>
  </w:style>
  <w:style w:type="paragraph" w:customStyle="1" w:styleId="BoxBullet">
    <w:name w:val="Box Bullet"/>
    <w:basedOn w:val="BoxTextBase"/>
    <w:uiPriority w:val="99"/>
    <w:rsid w:val="005C20CD"/>
    <w:pPr>
      <w:numPr>
        <w:numId w:val="5"/>
      </w:numPr>
    </w:pPr>
  </w:style>
  <w:style w:type="paragraph" w:customStyle="1" w:styleId="BoxDash">
    <w:name w:val="Box Dash"/>
    <w:basedOn w:val="Normal"/>
    <w:uiPriority w:val="99"/>
    <w:rsid w:val="005C20CD"/>
    <w:pPr>
      <w:numPr>
        <w:ilvl w:val="1"/>
        <w:numId w:val="5"/>
      </w:numPr>
    </w:pPr>
  </w:style>
  <w:style w:type="paragraph" w:customStyle="1" w:styleId="BoxDoubleDot">
    <w:name w:val="Box Double Dot"/>
    <w:basedOn w:val="BoxTextBase"/>
    <w:uiPriority w:val="99"/>
    <w:rsid w:val="005C20CD"/>
    <w:pPr>
      <w:numPr>
        <w:ilvl w:val="2"/>
        <w:numId w:val="5"/>
      </w:numPr>
    </w:pPr>
  </w:style>
  <w:style w:type="paragraph" w:customStyle="1" w:styleId="RecommendationBullet">
    <w:name w:val="Recommendation Bullet"/>
    <w:basedOn w:val="RecommendationBaseText"/>
    <w:uiPriority w:val="99"/>
    <w:rsid w:val="005C20CD"/>
    <w:pPr>
      <w:numPr>
        <w:numId w:val="7"/>
      </w:numPr>
    </w:pPr>
  </w:style>
  <w:style w:type="paragraph" w:customStyle="1" w:styleId="RecommendationDash">
    <w:name w:val="Recommendation Dash"/>
    <w:basedOn w:val="RecommendationBaseText"/>
    <w:uiPriority w:val="99"/>
    <w:rsid w:val="005C20CD"/>
    <w:pPr>
      <w:numPr>
        <w:ilvl w:val="1"/>
        <w:numId w:val="7"/>
      </w:numPr>
    </w:pPr>
  </w:style>
  <w:style w:type="paragraph" w:customStyle="1" w:styleId="RecommendationDoubleDot">
    <w:name w:val="Recommendation Double Dot"/>
    <w:basedOn w:val="RecommendationBaseText"/>
    <w:uiPriority w:val="99"/>
    <w:rsid w:val="005C20CD"/>
    <w:pPr>
      <w:numPr>
        <w:ilvl w:val="2"/>
        <w:numId w:val="7"/>
      </w:numPr>
    </w:pPr>
  </w:style>
  <w:style w:type="character" w:customStyle="1" w:styleId="Boldanditalic">
    <w:name w:val="Bold and italic"/>
    <w:basedOn w:val="DefaultParagraphFont"/>
    <w:uiPriority w:val="99"/>
    <w:rsid w:val="005C20CD"/>
    <w:rPr>
      <w:rFonts w:cs="Times New Roman"/>
      <w:b/>
      <w:i/>
    </w:rPr>
  </w:style>
  <w:style w:type="paragraph" w:styleId="Caption">
    <w:name w:val="caption"/>
    <w:basedOn w:val="Normal"/>
    <w:next w:val="Normal"/>
    <w:uiPriority w:val="99"/>
    <w:qFormat/>
    <w:rsid w:val="005C20CD"/>
    <w:pPr>
      <w:spacing w:before="120" w:after="120"/>
    </w:pPr>
    <w:rPr>
      <w:b/>
      <w:bCs/>
    </w:rPr>
  </w:style>
  <w:style w:type="character" w:styleId="CommentReference">
    <w:name w:val="annotation reference"/>
    <w:basedOn w:val="DefaultParagraphFont"/>
    <w:uiPriority w:val="99"/>
    <w:rsid w:val="005C20CD"/>
    <w:rPr>
      <w:rFonts w:cs="Times New Roman"/>
      <w:sz w:val="16"/>
      <w:szCs w:val="16"/>
    </w:rPr>
  </w:style>
  <w:style w:type="paragraph" w:styleId="CommentText">
    <w:name w:val="annotation text"/>
    <w:basedOn w:val="Normal"/>
    <w:link w:val="CommentTextChar"/>
    <w:uiPriority w:val="99"/>
    <w:rsid w:val="005C20CD"/>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5C20CD"/>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5C20C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5C20CD"/>
    <w:rPr>
      <w:rFonts w:cs="Times New Roman"/>
      <w:vertAlign w:val="superscript"/>
    </w:rPr>
  </w:style>
  <w:style w:type="paragraph" w:styleId="EndnoteText">
    <w:name w:val="endnote text"/>
    <w:basedOn w:val="Normal"/>
    <w:link w:val="EndnoteTextChar"/>
    <w:uiPriority w:val="99"/>
    <w:rsid w:val="005C20CD"/>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5C20CD"/>
    <w:pPr>
      <w:ind w:left="200" w:hanging="200"/>
    </w:pPr>
  </w:style>
  <w:style w:type="paragraph" w:styleId="Index2">
    <w:name w:val="index 2"/>
    <w:basedOn w:val="Normal"/>
    <w:next w:val="Normal"/>
    <w:autoRedefine/>
    <w:uiPriority w:val="99"/>
    <w:rsid w:val="005C20CD"/>
    <w:pPr>
      <w:ind w:left="400" w:hanging="200"/>
    </w:pPr>
  </w:style>
  <w:style w:type="paragraph" w:styleId="Index3">
    <w:name w:val="index 3"/>
    <w:basedOn w:val="Normal"/>
    <w:next w:val="Normal"/>
    <w:autoRedefine/>
    <w:uiPriority w:val="99"/>
    <w:rsid w:val="005C20CD"/>
    <w:pPr>
      <w:ind w:left="600" w:hanging="200"/>
    </w:pPr>
  </w:style>
  <w:style w:type="paragraph" w:styleId="Index4">
    <w:name w:val="index 4"/>
    <w:basedOn w:val="Normal"/>
    <w:next w:val="Normal"/>
    <w:autoRedefine/>
    <w:uiPriority w:val="99"/>
    <w:rsid w:val="005C20CD"/>
    <w:pPr>
      <w:ind w:left="800" w:hanging="200"/>
    </w:pPr>
  </w:style>
  <w:style w:type="paragraph" w:styleId="Index5">
    <w:name w:val="index 5"/>
    <w:basedOn w:val="Normal"/>
    <w:next w:val="Normal"/>
    <w:autoRedefine/>
    <w:uiPriority w:val="99"/>
    <w:rsid w:val="005C20CD"/>
    <w:pPr>
      <w:ind w:left="1000" w:hanging="200"/>
    </w:pPr>
  </w:style>
  <w:style w:type="paragraph" w:styleId="Index6">
    <w:name w:val="index 6"/>
    <w:basedOn w:val="Normal"/>
    <w:next w:val="Normal"/>
    <w:autoRedefine/>
    <w:uiPriority w:val="99"/>
    <w:rsid w:val="005C20CD"/>
    <w:pPr>
      <w:ind w:left="1200" w:hanging="200"/>
    </w:pPr>
  </w:style>
  <w:style w:type="paragraph" w:styleId="Index7">
    <w:name w:val="index 7"/>
    <w:basedOn w:val="Normal"/>
    <w:next w:val="Normal"/>
    <w:autoRedefine/>
    <w:uiPriority w:val="99"/>
    <w:rsid w:val="005C20CD"/>
    <w:pPr>
      <w:ind w:left="1400" w:hanging="200"/>
    </w:pPr>
  </w:style>
  <w:style w:type="paragraph" w:styleId="Index8">
    <w:name w:val="index 8"/>
    <w:basedOn w:val="Normal"/>
    <w:next w:val="Normal"/>
    <w:autoRedefine/>
    <w:uiPriority w:val="99"/>
    <w:rsid w:val="005C20CD"/>
    <w:pPr>
      <w:ind w:left="1600" w:hanging="200"/>
    </w:pPr>
  </w:style>
  <w:style w:type="paragraph" w:styleId="Index9">
    <w:name w:val="index 9"/>
    <w:basedOn w:val="Normal"/>
    <w:next w:val="Normal"/>
    <w:autoRedefine/>
    <w:uiPriority w:val="99"/>
    <w:rsid w:val="005C20CD"/>
    <w:pPr>
      <w:ind w:left="1800" w:hanging="200"/>
    </w:pPr>
  </w:style>
  <w:style w:type="paragraph" w:styleId="IndexHeading">
    <w:name w:val="index heading"/>
    <w:basedOn w:val="Normal"/>
    <w:next w:val="Index1"/>
    <w:uiPriority w:val="99"/>
    <w:rsid w:val="005C20CD"/>
    <w:rPr>
      <w:rFonts w:ascii="Arial" w:hAnsi="Arial" w:cs="Arial"/>
      <w:b/>
      <w:bCs/>
      <w:color w:val="2B7C32"/>
    </w:rPr>
  </w:style>
  <w:style w:type="paragraph" w:styleId="MacroText">
    <w:name w:val="macro"/>
    <w:link w:val="MacroTextChar"/>
    <w:uiPriority w:val="99"/>
    <w:rsid w:val="005C20C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5C20CD"/>
    <w:pPr>
      <w:ind w:left="200" w:hanging="200"/>
    </w:pPr>
  </w:style>
  <w:style w:type="paragraph" w:styleId="TableofFigures">
    <w:name w:val="table of figures"/>
    <w:basedOn w:val="Normal"/>
    <w:next w:val="Normal"/>
    <w:uiPriority w:val="99"/>
    <w:rsid w:val="005C20CD"/>
    <w:pPr>
      <w:ind w:left="400" w:hanging="400"/>
    </w:pPr>
  </w:style>
  <w:style w:type="paragraph" w:styleId="TOAHeading">
    <w:name w:val="toa heading"/>
    <w:basedOn w:val="Normal"/>
    <w:next w:val="Normal"/>
    <w:uiPriority w:val="99"/>
    <w:rsid w:val="005C20CD"/>
    <w:pPr>
      <w:spacing w:before="120"/>
    </w:pPr>
    <w:rPr>
      <w:rFonts w:ascii="Arial" w:hAnsi="Arial" w:cs="Arial"/>
      <w:b/>
      <w:bCs/>
      <w:sz w:val="24"/>
      <w:szCs w:val="24"/>
    </w:rPr>
  </w:style>
  <w:style w:type="paragraph" w:styleId="TOC5">
    <w:name w:val="toc 5"/>
    <w:basedOn w:val="TOC2"/>
    <w:next w:val="Normal"/>
    <w:autoRedefine/>
    <w:uiPriority w:val="99"/>
    <w:rsid w:val="005C20CD"/>
    <w:pPr>
      <w:ind w:left="1260" w:hanging="1260"/>
    </w:pPr>
  </w:style>
  <w:style w:type="paragraph" w:styleId="TOC6">
    <w:name w:val="toc 6"/>
    <w:basedOn w:val="Normal"/>
    <w:next w:val="Normal"/>
    <w:autoRedefine/>
    <w:uiPriority w:val="99"/>
    <w:rsid w:val="005C20CD"/>
    <w:pPr>
      <w:ind w:left="1000"/>
    </w:pPr>
  </w:style>
  <w:style w:type="paragraph" w:styleId="TOC7">
    <w:name w:val="toc 7"/>
    <w:basedOn w:val="Normal"/>
    <w:next w:val="Normal"/>
    <w:autoRedefine/>
    <w:uiPriority w:val="99"/>
    <w:rsid w:val="005C20CD"/>
    <w:pPr>
      <w:ind w:left="1200"/>
    </w:pPr>
  </w:style>
  <w:style w:type="paragraph" w:styleId="TOC8">
    <w:name w:val="toc 8"/>
    <w:basedOn w:val="Normal"/>
    <w:next w:val="Normal"/>
    <w:autoRedefine/>
    <w:uiPriority w:val="99"/>
    <w:rsid w:val="005C20CD"/>
    <w:pPr>
      <w:ind w:left="1400"/>
    </w:pPr>
  </w:style>
  <w:style w:type="paragraph" w:styleId="TOC9">
    <w:name w:val="toc 9"/>
    <w:basedOn w:val="Normal"/>
    <w:next w:val="Normal"/>
    <w:autoRedefine/>
    <w:uiPriority w:val="99"/>
    <w:rsid w:val="005C20CD"/>
    <w:pPr>
      <w:ind w:left="1600"/>
    </w:pPr>
  </w:style>
  <w:style w:type="paragraph" w:customStyle="1" w:styleId="AppendixAHeading3">
    <w:name w:val="AppendixAHeading3"/>
    <w:basedOn w:val="Heading3"/>
    <w:next w:val="AppendixAHeading4"/>
    <w:uiPriority w:val="99"/>
    <w:rsid w:val="005C20CD"/>
    <w:pPr>
      <w:numPr>
        <w:numId w:val="47"/>
      </w:numPr>
    </w:pPr>
    <w:rPr>
      <w:rFonts w:ascii="Arial Bold" w:hAnsi="Arial Bold"/>
      <w:i/>
    </w:rPr>
  </w:style>
  <w:style w:type="paragraph" w:customStyle="1" w:styleId="AppendixAHeading4">
    <w:name w:val="AppendixAHeading4"/>
    <w:basedOn w:val="Heading4"/>
    <w:next w:val="Bullet"/>
    <w:uiPriority w:val="99"/>
    <w:rsid w:val="005C20CD"/>
    <w:pPr>
      <w:numPr>
        <w:ilvl w:val="1"/>
        <w:numId w:val="48"/>
      </w:numPr>
    </w:pPr>
  </w:style>
  <w:style w:type="paragraph" w:customStyle="1" w:styleId="AppendixGHeading3">
    <w:name w:val="AppendixGHeading3"/>
    <w:basedOn w:val="Heading3"/>
    <w:uiPriority w:val="99"/>
    <w:rsid w:val="005C20CD"/>
    <w:pPr>
      <w:numPr>
        <w:numId w:val="43"/>
      </w:numPr>
    </w:pPr>
  </w:style>
  <w:style w:type="paragraph" w:customStyle="1" w:styleId="AppendixGGuidelines">
    <w:name w:val="Appendix G Guidelines"/>
    <w:basedOn w:val="Normal"/>
    <w:uiPriority w:val="99"/>
    <w:pPr>
      <w:tabs>
        <w:tab w:val="left" w:pos="567"/>
      </w:tabs>
      <w:ind w:left="567" w:hanging="567"/>
    </w:pPr>
  </w:style>
  <w:style w:type="paragraph" w:styleId="BodyTextIndent2">
    <w:name w:val="Body Text Indent 2"/>
    <w:basedOn w:val="Normal"/>
    <w:link w:val="BodyTextIndent2Char"/>
    <w:uiPriority w:val="99"/>
    <w:pPr>
      <w:ind w:left="300" w:hanging="300"/>
      <w:jc w:val="left"/>
    </w:pPr>
    <w:rPr>
      <w:color w:val="auto"/>
    </w:rPr>
  </w:style>
  <w:style w:type="character" w:customStyle="1" w:styleId="BodyTextIndent2Char">
    <w:name w:val="Body Text Indent 2 Char"/>
    <w:basedOn w:val="DefaultParagraphFont"/>
    <w:link w:val="BodyTextIndent2"/>
    <w:uiPriority w:val="99"/>
    <w:semiHidden/>
    <w:rPr>
      <w:rFonts w:ascii="Book Antiqua" w:hAnsi="Book Antiqua"/>
      <w:color w:val="000000"/>
      <w:sz w:val="20"/>
      <w:szCs w:val="20"/>
    </w:rPr>
  </w:style>
  <w:style w:type="paragraph" w:customStyle="1" w:styleId="NumberedParagraph">
    <w:name w:val="Numbered Paragraph"/>
    <w:basedOn w:val="Normal"/>
    <w:uiPriority w:val="99"/>
    <w:rsid w:val="005C20CD"/>
    <w:pPr>
      <w:numPr>
        <w:numId w:val="27"/>
      </w:numPr>
    </w:pPr>
  </w:style>
  <w:style w:type="paragraph" w:customStyle="1" w:styleId="Heading3noTOC">
    <w:name w:val="Heading 3 no TOC"/>
    <w:basedOn w:val="Heading3"/>
    <w:uiPriority w:val="99"/>
    <w:rsid w:val="005C20CD"/>
    <w:pPr>
      <w:outlineLvl w:val="9"/>
    </w:pPr>
  </w:style>
  <w:style w:type="paragraph" w:customStyle="1" w:styleId="Heading1NoTOC">
    <w:name w:val="Heading 1 No TOC"/>
    <w:basedOn w:val="Heading1"/>
    <w:uiPriority w:val="99"/>
    <w:rsid w:val="008162DA"/>
  </w:style>
  <w:style w:type="character" w:styleId="FollowedHyperlink">
    <w:name w:val="FollowedHyperlink"/>
    <w:basedOn w:val="DefaultParagraphFont"/>
    <w:uiPriority w:val="99"/>
    <w:rsid w:val="005C20CD"/>
    <w:rPr>
      <w:rFonts w:cs="Times New Roman"/>
      <w:color w:val="000000"/>
      <w:u w:val="none"/>
    </w:rPr>
  </w:style>
  <w:style w:type="paragraph" w:customStyle="1" w:styleId="Style1">
    <w:name w:val="Style1"/>
    <w:basedOn w:val="AppendixAHeading3"/>
    <w:next w:val="AppendixAHeading4"/>
    <w:uiPriority w:val="99"/>
    <w:rsid w:val="005C20CD"/>
    <w:pPr>
      <w:numPr>
        <w:numId w:val="0"/>
      </w:numPr>
    </w:pPr>
  </w:style>
  <w:style w:type="paragraph" w:customStyle="1" w:styleId="AppendixAHeading3NotItalic">
    <w:name w:val="AppendixAHeading3NotItalic"/>
    <w:basedOn w:val="HeadingBase"/>
    <w:next w:val="AppendixAHeading4"/>
    <w:uiPriority w:val="99"/>
    <w:rsid w:val="005C20CD"/>
    <w:pPr>
      <w:numPr>
        <w:numId w:val="48"/>
      </w:numPr>
      <w:spacing w:before="57" w:after="57" w:line="280" w:lineRule="exact"/>
    </w:pPr>
    <w:rPr>
      <w:rFonts w:ascii="Arial Bold" w:hAnsi="Arial Bold"/>
      <w:b/>
      <w:sz w:val="24"/>
    </w:rPr>
  </w:style>
  <w:style w:type="paragraph" w:customStyle="1" w:styleId="Heading1noTOC0">
    <w:name w:val="Heading 1 no TOC"/>
    <w:basedOn w:val="Heading1"/>
    <w:next w:val="Normal"/>
    <w:uiPriority w:val="99"/>
    <w:rsid w:val="005C20CD"/>
  </w:style>
  <w:style w:type="paragraph" w:customStyle="1" w:styleId="Heading2noTOC">
    <w:name w:val="Heading 2 no TOC"/>
    <w:basedOn w:val="Heading2"/>
    <w:next w:val="Normal"/>
    <w:uiPriority w:val="99"/>
    <w:rsid w:val="005C20CD"/>
    <w:pPr>
      <w:outlineLvl w:val="9"/>
    </w:pPr>
    <w:rPr>
      <w:rFonts w:ascii="Arial" w:hAnsi="Arial"/>
    </w:rPr>
  </w:style>
  <w:style w:type="paragraph" w:customStyle="1" w:styleId="Heading9noTOC">
    <w:name w:val="Heading 9 no TOC"/>
    <w:basedOn w:val="Heading9"/>
    <w:uiPriority w:val="99"/>
    <w:rsid w:val="005C20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1</TotalTime>
  <Pages>20</Pages>
  <Words>5503</Words>
  <Characters>31368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Appendix G - FIRB 2007-08 Annual Report</vt:lpstr>
    </vt:vector>
  </TitlesOfParts>
  <Company>Australian Government - The Treasury</Company>
  <LinksUpToDate>false</LinksUpToDate>
  <CharactersWithSpaces>36798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 FIRB 2007-08 Annual Report</dc:title>
  <dc:creator>McCormack, Kate</dc:creator>
  <cp:lastModifiedBy>Keogh, Vicky</cp:lastModifiedBy>
  <cp:revision>2</cp:revision>
  <cp:lastPrinted>2006-12-04T22:57:00Z</cp:lastPrinted>
  <dcterms:created xsi:type="dcterms:W3CDTF">2016-01-18T00:53:00Z</dcterms:created>
  <dcterms:modified xsi:type="dcterms:W3CDTF">2016-01-18T00:53:00Z</dcterms:modified>
</cp:coreProperties>
</file>