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Ref466899730"/>
    <w:bookmarkStart w:id="1" w:name="_GoBack"/>
    <w:bookmarkEnd w:id="1"/>
    <w:p w14:paraId="7EC36374" w14:textId="74BC0040" w:rsidR="005567C6" w:rsidRPr="009F2E4A" w:rsidRDefault="008F1E42" w:rsidP="00A32FFE">
      <w:pPr>
        <w:pStyle w:val="Heading1"/>
        <w:spacing w:before="480"/>
      </w:pPr>
      <w:r>
        <mc:AlternateContent>
          <mc:Choice Requires="wps">
            <w:drawing>
              <wp:anchor distT="0" distB="0" distL="114300" distR="114300" simplePos="0" relativeHeight="251657216" behindDoc="0" locked="0" layoutInCell="1" allowOverlap="1" wp14:anchorId="31CA993B" wp14:editId="7607E4C7">
                <wp:simplePos x="0" y="0"/>
                <wp:positionH relativeFrom="column">
                  <wp:posOffset>3625263</wp:posOffset>
                </wp:positionH>
                <wp:positionV relativeFrom="paragraph">
                  <wp:posOffset>-59197</wp:posOffset>
                </wp:positionV>
                <wp:extent cx="2332734" cy="224155"/>
                <wp:effectExtent l="0" t="0" r="10795" b="4445"/>
                <wp:wrapNone/>
                <wp:docPr id="1" name="Text Box 1"/>
                <wp:cNvGraphicFramePr/>
                <a:graphic xmlns:a="http://schemas.openxmlformats.org/drawingml/2006/main">
                  <a:graphicData uri="http://schemas.microsoft.com/office/word/2010/wordprocessingShape">
                    <wps:wsp>
                      <wps:cNvSpPr txBox="1"/>
                      <wps:spPr>
                        <a:xfrm>
                          <a:off x="0" y="0"/>
                          <a:ext cx="2332734"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3C6335" w14:textId="3900813C" w:rsidR="00172A75" w:rsidRDefault="00502967" w:rsidP="008F1E42">
                            <w:pPr>
                              <w:pStyle w:val="Version"/>
                            </w:pPr>
                            <w:r>
                              <w:t>Last Updated</w:t>
                            </w:r>
                            <w:r w:rsidR="00172A75">
                              <w:t xml:space="preserve">: </w:t>
                            </w:r>
                            <w:r>
                              <w:t>2</w:t>
                            </w:r>
                            <w:r w:rsidR="00BC3122">
                              <w:t>4</w:t>
                            </w:r>
                            <w:r w:rsidR="00AA2372">
                              <w:t xml:space="preserve"> </w:t>
                            </w:r>
                            <w:r w:rsidR="00172A75">
                              <w:t>November 2016</w:t>
                            </w:r>
                          </w:p>
                          <w:p w14:paraId="55C5E423" w14:textId="77777777" w:rsidR="00172A75" w:rsidRPr="005D6E45" w:rsidRDefault="00172A75" w:rsidP="003F2BD2">
                            <w:pPr>
                              <w:pStyle w:val="Version"/>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5.45pt;margin-top:-4.65pt;width:183.7pt;height:1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" filled="f" stroked="f" strokeweight=".5pt">
                <v:textbox inset="0,0,0,0">
                  <w:txbxContent>
                    <w:p w14:paraId="453C6335" w14:textId="3900813C" w:rsidR="00172A75" w:rsidRDefault="00502967" w:rsidP="008F1E42">
                      <w:pPr>
                        <w:pStyle w:val="Version"/>
                      </w:pPr>
                      <w:r>
                        <w:t>Last Updated</w:t>
                      </w:r>
                      <w:r w:rsidR="00172A75">
                        <w:t xml:space="preserve">: </w:t>
                      </w:r>
                      <w:r>
                        <w:t>2</w:t>
                      </w:r>
                      <w:r w:rsidR="00BC3122">
                        <w:t>4</w:t>
                      </w:r>
                      <w:r w:rsidR="00AA2372">
                        <w:t xml:space="preserve"> </w:t>
                      </w:r>
                      <w:r w:rsidR="00172A75">
                        <w:t>November 2016</w:t>
                      </w:r>
                    </w:p>
                    <w:p w14:paraId="55C5E423" w14:textId="77777777" w:rsidR="00172A75" w:rsidRPr="005D6E45" w:rsidRDefault="00172A75" w:rsidP="003F2BD2">
                      <w:pPr>
                        <w:pStyle w:val="Version"/>
                        <w:jc w:val="center"/>
                      </w:pPr>
                    </w:p>
                  </w:txbxContent>
                </v:textbox>
              </v:shape>
            </w:pict>
          </mc:Fallback>
        </mc:AlternateContent>
      </w:r>
      <w:r w:rsidR="00456E50">
        <w:t>Ta</w:t>
      </w:r>
      <w:r w:rsidR="0075796D">
        <w:t>x Conditions</w:t>
      </w:r>
      <w:bookmarkEnd w:id="0"/>
    </w:p>
    <w:p w14:paraId="2EB58A4C" w14:textId="649701BF" w:rsidR="0075796D" w:rsidRPr="00FB4435" w:rsidRDefault="0075796D" w:rsidP="0075796D">
      <w:pPr>
        <w:spacing w:after="150"/>
        <w:rPr>
          <w:rFonts w:asciiTheme="minorHAnsi" w:hAnsiTheme="minorHAnsi" w:cs="Arial"/>
          <w:color w:val="auto"/>
          <w:lang w:val="en-US"/>
        </w:rPr>
      </w:pPr>
      <w:r w:rsidRPr="00FB4435">
        <w:rPr>
          <w:rFonts w:asciiTheme="minorHAnsi" w:hAnsiTheme="minorHAnsi" w:cs="Arial"/>
          <w:color w:val="auto"/>
          <w:lang w:val="en-US"/>
        </w:rPr>
        <w:t xml:space="preserve">Under the </w:t>
      </w:r>
      <w:r w:rsidRPr="00FB4435">
        <w:rPr>
          <w:rFonts w:asciiTheme="minorHAnsi" w:hAnsiTheme="minorHAnsi" w:cs="Arial"/>
          <w:i/>
          <w:color w:val="auto"/>
          <w:lang w:val="en-US"/>
        </w:rPr>
        <w:t>Foreign Acquisitions and Takeovers Act 1975</w:t>
      </w:r>
      <w:r w:rsidRPr="00FB4435">
        <w:rPr>
          <w:rFonts w:asciiTheme="minorHAnsi" w:hAnsiTheme="minorHAnsi" w:cs="Arial"/>
          <w:color w:val="auto"/>
          <w:lang w:val="en-US"/>
        </w:rPr>
        <w:t xml:space="preserve"> (Act), foreign persons who are planning to acquire certain interests are required to notify the Treasurer (such actions are known as </w:t>
      </w:r>
      <w:proofErr w:type="spellStart"/>
      <w:r w:rsidRPr="00FB4435">
        <w:rPr>
          <w:rFonts w:asciiTheme="minorHAnsi" w:hAnsiTheme="minorHAnsi" w:cs="Arial"/>
          <w:color w:val="auto"/>
          <w:lang w:val="en-US"/>
        </w:rPr>
        <w:t>notifiable</w:t>
      </w:r>
      <w:proofErr w:type="spellEnd"/>
      <w:r w:rsidRPr="00FB4435">
        <w:rPr>
          <w:rFonts w:asciiTheme="minorHAnsi" w:hAnsiTheme="minorHAnsi" w:cs="Arial"/>
          <w:color w:val="auto"/>
          <w:lang w:val="en-US"/>
        </w:rPr>
        <w:t xml:space="preserve"> actions). </w:t>
      </w:r>
    </w:p>
    <w:p w14:paraId="0587618D" w14:textId="04FA4623" w:rsidR="0075796D" w:rsidRPr="00FB4435" w:rsidRDefault="007128E6" w:rsidP="0075796D">
      <w:pPr>
        <w:spacing w:after="150"/>
        <w:rPr>
          <w:rFonts w:asciiTheme="minorHAnsi" w:hAnsiTheme="minorHAnsi" w:cs="Arial"/>
          <w:color w:val="auto"/>
          <w:lang w:val="en-US"/>
        </w:rPr>
      </w:pPr>
      <w:r w:rsidRPr="00FB4435">
        <w:rPr>
          <w:rFonts w:asciiTheme="minorHAnsi" w:hAnsiTheme="minorHAnsi" w:cs="Arial"/>
          <w:color w:val="auto"/>
          <w:lang w:val="en-US"/>
        </w:rPr>
        <w:t>If a</w:t>
      </w:r>
      <w:r w:rsidR="00AF28D1">
        <w:rPr>
          <w:rFonts w:asciiTheme="minorHAnsi" w:hAnsiTheme="minorHAnsi" w:cs="Arial"/>
          <w:color w:val="auto"/>
          <w:lang w:val="en-US"/>
        </w:rPr>
        <w:t xml:space="preserve"> </w:t>
      </w:r>
      <w:proofErr w:type="spellStart"/>
      <w:r w:rsidR="00AF28D1">
        <w:rPr>
          <w:rFonts w:asciiTheme="minorHAnsi" w:hAnsiTheme="minorHAnsi" w:cs="Arial"/>
          <w:color w:val="auto"/>
          <w:lang w:val="en-US"/>
        </w:rPr>
        <w:t>notifiable</w:t>
      </w:r>
      <w:proofErr w:type="spellEnd"/>
      <w:r w:rsidRPr="00FB4435">
        <w:rPr>
          <w:rFonts w:asciiTheme="minorHAnsi" w:hAnsiTheme="minorHAnsi" w:cs="Arial"/>
          <w:color w:val="auto"/>
          <w:lang w:val="en-US"/>
        </w:rPr>
        <w:t xml:space="preserve"> action is a significant action </w:t>
      </w:r>
      <w:r w:rsidR="00312128">
        <w:rPr>
          <w:rFonts w:asciiTheme="minorHAnsi" w:hAnsiTheme="minorHAnsi" w:cs="Arial"/>
          <w:color w:val="auto"/>
          <w:lang w:val="en-US"/>
        </w:rPr>
        <w:t xml:space="preserve">(the action) </w:t>
      </w:r>
      <w:r w:rsidRPr="00FB4435">
        <w:rPr>
          <w:rFonts w:asciiTheme="minorHAnsi" w:hAnsiTheme="minorHAnsi" w:cs="Arial"/>
          <w:color w:val="auto"/>
          <w:lang w:val="en-US"/>
        </w:rPr>
        <w:t>then t</w:t>
      </w:r>
      <w:r w:rsidR="0075796D" w:rsidRPr="00FB4435">
        <w:rPr>
          <w:rFonts w:asciiTheme="minorHAnsi" w:hAnsiTheme="minorHAnsi" w:cs="Arial"/>
          <w:color w:val="auto"/>
          <w:lang w:val="en-US"/>
        </w:rPr>
        <w:t xml:space="preserve">he Treasurer will consider </w:t>
      </w:r>
      <w:r w:rsidR="00126090" w:rsidRPr="00FB4435">
        <w:rPr>
          <w:rFonts w:asciiTheme="minorHAnsi" w:hAnsiTheme="minorHAnsi" w:cs="Arial"/>
          <w:color w:val="auto"/>
          <w:lang w:val="en-US"/>
        </w:rPr>
        <w:t xml:space="preserve">whether it </w:t>
      </w:r>
      <w:r w:rsidR="0075796D" w:rsidRPr="00FB4435">
        <w:rPr>
          <w:rFonts w:asciiTheme="minorHAnsi" w:hAnsiTheme="minorHAnsi" w:cs="Arial"/>
          <w:color w:val="auto"/>
          <w:lang w:val="en-US"/>
        </w:rPr>
        <w:t>is contrary to the national interest</w:t>
      </w:r>
      <w:r w:rsidR="00126090" w:rsidRPr="00FB4435">
        <w:rPr>
          <w:rFonts w:asciiTheme="minorHAnsi" w:hAnsiTheme="minorHAnsi" w:cs="Arial"/>
          <w:color w:val="auto"/>
          <w:lang w:val="en-US"/>
        </w:rPr>
        <w:t>. I</w:t>
      </w:r>
      <w:r w:rsidR="0077551B" w:rsidRPr="00FB4435">
        <w:rPr>
          <w:rFonts w:asciiTheme="minorHAnsi" w:hAnsiTheme="minorHAnsi" w:cs="Arial"/>
          <w:color w:val="auto"/>
          <w:lang w:val="en-US"/>
        </w:rPr>
        <w:t xml:space="preserve">f </w:t>
      </w:r>
      <w:r w:rsidR="00126090" w:rsidRPr="00FB4435">
        <w:rPr>
          <w:rFonts w:asciiTheme="minorHAnsi" w:hAnsiTheme="minorHAnsi" w:cs="Arial"/>
          <w:color w:val="auto"/>
          <w:lang w:val="en-US"/>
        </w:rPr>
        <w:t xml:space="preserve">it is considered to </w:t>
      </w:r>
      <w:r w:rsidR="0077551B" w:rsidRPr="00FB4435">
        <w:rPr>
          <w:rFonts w:asciiTheme="minorHAnsi" w:hAnsiTheme="minorHAnsi" w:cs="Arial"/>
          <w:color w:val="auto"/>
          <w:lang w:val="en-US"/>
        </w:rPr>
        <w:t>be contrary to the national interest</w:t>
      </w:r>
      <w:r w:rsidR="00126090" w:rsidRPr="00FB4435">
        <w:rPr>
          <w:rFonts w:asciiTheme="minorHAnsi" w:hAnsiTheme="minorHAnsi" w:cs="Arial"/>
          <w:color w:val="auto"/>
          <w:lang w:val="en-US"/>
        </w:rPr>
        <w:t xml:space="preserve"> the Treasurer may prohibit the </w:t>
      </w:r>
      <w:r w:rsidR="00F878A3">
        <w:rPr>
          <w:rFonts w:asciiTheme="minorHAnsi" w:hAnsiTheme="minorHAnsi" w:cs="Arial"/>
          <w:color w:val="auto"/>
          <w:lang w:val="en-US"/>
        </w:rPr>
        <w:t>action</w:t>
      </w:r>
      <w:r w:rsidR="0075796D" w:rsidRPr="00FB4435">
        <w:rPr>
          <w:rFonts w:asciiTheme="minorHAnsi" w:hAnsiTheme="minorHAnsi" w:cs="Arial"/>
          <w:color w:val="auto"/>
          <w:lang w:val="en-US"/>
        </w:rPr>
        <w:t xml:space="preserve">. The Act also </w:t>
      </w:r>
      <w:r w:rsidR="0077551B" w:rsidRPr="00FB4435">
        <w:rPr>
          <w:rFonts w:asciiTheme="minorHAnsi" w:hAnsiTheme="minorHAnsi" w:cs="Arial"/>
          <w:color w:val="auto"/>
          <w:lang w:val="en-US"/>
        </w:rPr>
        <w:t xml:space="preserve">allows </w:t>
      </w:r>
      <w:r w:rsidR="0075796D" w:rsidRPr="00FB4435">
        <w:rPr>
          <w:rFonts w:asciiTheme="minorHAnsi" w:hAnsiTheme="minorHAnsi" w:cs="Arial"/>
          <w:color w:val="auto"/>
          <w:lang w:val="en-US"/>
        </w:rPr>
        <w:t xml:space="preserve">the Treasurer to </w:t>
      </w:r>
      <w:r w:rsidR="0077551B" w:rsidRPr="00FB4435">
        <w:rPr>
          <w:rFonts w:asciiTheme="minorHAnsi" w:hAnsiTheme="minorHAnsi" w:cs="Arial"/>
          <w:color w:val="auto"/>
          <w:lang w:val="en-US"/>
        </w:rPr>
        <w:t xml:space="preserve">decide that the Commonwealth has </w:t>
      </w:r>
      <w:r w:rsidR="004345F1" w:rsidRPr="00FB4435">
        <w:rPr>
          <w:rFonts w:asciiTheme="minorHAnsi" w:hAnsiTheme="minorHAnsi" w:cs="Arial"/>
          <w:color w:val="auto"/>
          <w:lang w:val="en-US"/>
        </w:rPr>
        <w:t>no objection</w:t>
      </w:r>
      <w:r w:rsidR="0075796D" w:rsidRPr="00FB4435">
        <w:rPr>
          <w:rFonts w:asciiTheme="minorHAnsi" w:hAnsiTheme="minorHAnsi" w:cs="Arial"/>
          <w:color w:val="auto"/>
          <w:lang w:val="en-US"/>
        </w:rPr>
        <w:t xml:space="preserve"> subject to conditions</w:t>
      </w:r>
      <w:r w:rsidR="00F83F29" w:rsidRPr="00FB4435">
        <w:rPr>
          <w:rFonts w:asciiTheme="minorHAnsi" w:hAnsiTheme="minorHAnsi" w:cs="Arial"/>
          <w:color w:val="auto"/>
          <w:lang w:val="en-US"/>
        </w:rPr>
        <w:t xml:space="preserve"> </w:t>
      </w:r>
      <w:r w:rsidR="00294D7C" w:rsidRPr="00FB4435">
        <w:rPr>
          <w:rFonts w:asciiTheme="minorHAnsi" w:hAnsiTheme="minorHAnsi" w:cs="Arial"/>
          <w:color w:val="auto"/>
          <w:lang w:val="en-US"/>
        </w:rPr>
        <w:t xml:space="preserve">to </w:t>
      </w:r>
      <w:r w:rsidR="00F83F29" w:rsidRPr="00FB4435">
        <w:rPr>
          <w:rFonts w:asciiTheme="minorHAnsi" w:hAnsiTheme="minorHAnsi" w:cs="Arial"/>
          <w:color w:val="auto"/>
          <w:lang w:val="en-US"/>
        </w:rPr>
        <w:t>ensure that the action will not be contrary to the national interest</w:t>
      </w:r>
      <w:r w:rsidR="00B606CD">
        <w:rPr>
          <w:rFonts w:asciiTheme="minorHAnsi" w:hAnsiTheme="minorHAnsi" w:cs="Arial"/>
          <w:color w:val="auto"/>
          <w:lang w:val="en-US"/>
        </w:rPr>
        <w:t>.</w:t>
      </w:r>
      <w:r w:rsidRPr="00FB4435">
        <w:rPr>
          <w:rFonts w:asciiTheme="minorHAnsi" w:hAnsiTheme="minorHAnsi" w:cs="Arial"/>
          <w:color w:val="auto"/>
          <w:lang w:val="en-US"/>
        </w:rPr>
        <w:t xml:space="preserve"> (</w:t>
      </w:r>
      <w:r w:rsidR="00B606CD">
        <w:rPr>
          <w:rFonts w:asciiTheme="minorHAnsi" w:hAnsiTheme="minorHAnsi" w:cs="Arial"/>
          <w:color w:val="auto"/>
          <w:lang w:val="en-US"/>
        </w:rPr>
        <w:t>F</w:t>
      </w:r>
      <w:r w:rsidRPr="00FB4435">
        <w:rPr>
          <w:rFonts w:asciiTheme="minorHAnsi" w:hAnsiTheme="minorHAnsi" w:cs="Arial"/>
          <w:color w:val="auto"/>
          <w:lang w:val="en-US"/>
        </w:rPr>
        <w:t xml:space="preserve">or more information on significant and </w:t>
      </w:r>
      <w:proofErr w:type="spellStart"/>
      <w:r w:rsidRPr="00FB4435">
        <w:rPr>
          <w:rFonts w:asciiTheme="minorHAnsi" w:hAnsiTheme="minorHAnsi" w:cs="Arial"/>
          <w:color w:val="auto"/>
          <w:lang w:val="en-US"/>
        </w:rPr>
        <w:t>notifiable</w:t>
      </w:r>
      <w:proofErr w:type="spellEnd"/>
      <w:r w:rsidRPr="00FB4435">
        <w:rPr>
          <w:rFonts w:asciiTheme="minorHAnsi" w:hAnsiTheme="minorHAnsi" w:cs="Arial"/>
          <w:color w:val="auto"/>
          <w:lang w:val="en-US"/>
        </w:rPr>
        <w:t xml:space="preserve"> actions see Guidance Note</w:t>
      </w:r>
      <w:r w:rsidR="00064EB7">
        <w:rPr>
          <w:rFonts w:asciiTheme="minorHAnsi" w:hAnsiTheme="minorHAnsi" w:cs="Arial"/>
          <w:color w:val="auto"/>
          <w:lang w:val="en-US"/>
        </w:rPr>
        <w:t> </w:t>
      </w:r>
      <w:r w:rsidRPr="00FB4435">
        <w:rPr>
          <w:rFonts w:asciiTheme="minorHAnsi" w:hAnsiTheme="minorHAnsi" w:cs="Arial"/>
          <w:color w:val="auto"/>
          <w:lang w:val="en-US"/>
        </w:rPr>
        <w:t>35</w:t>
      </w:r>
      <w:r w:rsidR="00B606CD">
        <w:rPr>
          <w:rFonts w:asciiTheme="minorHAnsi" w:hAnsiTheme="minorHAnsi" w:cs="Arial"/>
          <w:color w:val="auto"/>
          <w:lang w:val="en-US"/>
        </w:rPr>
        <w:t>.</w:t>
      </w:r>
      <w:r w:rsidR="00126090" w:rsidRPr="00FB4435">
        <w:rPr>
          <w:rFonts w:asciiTheme="minorHAnsi" w:hAnsiTheme="minorHAnsi" w:cs="Arial"/>
          <w:color w:val="auto"/>
          <w:lang w:val="en-US"/>
        </w:rPr>
        <w:t>)</w:t>
      </w:r>
    </w:p>
    <w:p w14:paraId="1E06C182" w14:textId="51CFE433" w:rsidR="005567C6" w:rsidRPr="005B41AF" w:rsidRDefault="0075796D" w:rsidP="005B41AF">
      <w:pPr>
        <w:spacing w:after="150"/>
        <w:rPr>
          <w:rFonts w:asciiTheme="minorHAnsi" w:hAnsiTheme="minorHAnsi" w:cs="Arial"/>
          <w:color w:val="auto"/>
          <w:lang w:val="en-US"/>
        </w:rPr>
      </w:pPr>
      <w:r w:rsidRPr="00FB4435">
        <w:rPr>
          <w:rFonts w:asciiTheme="minorHAnsi" w:hAnsiTheme="minorHAnsi" w:cs="Arial"/>
          <w:color w:val="auto"/>
          <w:lang w:val="en-US"/>
        </w:rPr>
        <w:t xml:space="preserve">This Guidance Note </w:t>
      </w:r>
      <w:r w:rsidR="00102EEA" w:rsidRPr="00FB4435">
        <w:rPr>
          <w:rFonts w:asciiTheme="minorHAnsi" w:hAnsiTheme="minorHAnsi" w:cs="Arial"/>
          <w:color w:val="auto"/>
          <w:lang w:val="en-US"/>
        </w:rPr>
        <w:t>outlines</w:t>
      </w:r>
      <w:r w:rsidRPr="00FB4435">
        <w:rPr>
          <w:rFonts w:asciiTheme="minorHAnsi" w:hAnsiTheme="minorHAnsi" w:cs="Arial"/>
          <w:color w:val="auto"/>
          <w:lang w:val="en-US"/>
        </w:rPr>
        <w:t xml:space="preserve"> circumstances in which the Treasurer </w:t>
      </w:r>
      <w:r w:rsidR="00BE5061" w:rsidRPr="00FB4435">
        <w:rPr>
          <w:rFonts w:asciiTheme="minorHAnsi" w:hAnsiTheme="minorHAnsi" w:cs="Arial"/>
          <w:color w:val="auto"/>
          <w:lang w:val="en-US"/>
        </w:rPr>
        <w:t>will consider</w:t>
      </w:r>
      <w:r w:rsidRPr="00FB4435">
        <w:rPr>
          <w:rFonts w:asciiTheme="minorHAnsi" w:hAnsiTheme="minorHAnsi" w:cs="Arial"/>
          <w:color w:val="auto"/>
          <w:lang w:val="en-US"/>
        </w:rPr>
        <w:t xml:space="preserve"> tax</w:t>
      </w:r>
      <w:r w:rsidRPr="00FB4435">
        <w:rPr>
          <w:rFonts w:asciiTheme="minorHAnsi" w:hAnsiTheme="minorHAnsi" w:cs="Arial"/>
          <w:color w:val="auto"/>
          <w:lang w:val="en-US"/>
        </w:rPr>
        <w:noBreakHyphen/>
        <w:t>related conditions</w:t>
      </w:r>
      <w:r w:rsidR="00C27A26">
        <w:rPr>
          <w:rFonts w:asciiTheme="minorHAnsi" w:hAnsiTheme="minorHAnsi" w:cs="Arial"/>
          <w:color w:val="auto"/>
          <w:lang w:val="en-US"/>
        </w:rPr>
        <w:t xml:space="preserve"> and</w:t>
      </w:r>
      <w:r w:rsidR="00DF0A26" w:rsidRPr="00FB4435">
        <w:rPr>
          <w:rFonts w:asciiTheme="minorHAnsi" w:hAnsiTheme="minorHAnsi" w:cs="Arial"/>
          <w:color w:val="auto"/>
          <w:lang w:val="en-US"/>
        </w:rPr>
        <w:t xml:space="preserve"> serves as advice to potential foreign investors of the tax conditions that </w:t>
      </w:r>
      <w:r w:rsidR="00BE5061" w:rsidRPr="00FB4435">
        <w:rPr>
          <w:rFonts w:asciiTheme="minorHAnsi" w:hAnsiTheme="minorHAnsi" w:cs="Arial"/>
          <w:color w:val="auto"/>
          <w:lang w:val="en-US"/>
        </w:rPr>
        <w:t xml:space="preserve">in certain circumstances </w:t>
      </w:r>
      <w:r w:rsidR="00DF0A26" w:rsidRPr="00FB4435">
        <w:rPr>
          <w:rFonts w:asciiTheme="minorHAnsi" w:hAnsiTheme="minorHAnsi" w:cs="Arial"/>
          <w:color w:val="auto"/>
          <w:lang w:val="en-US"/>
        </w:rPr>
        <w:t xml:space="preserve">may be applied to a no objection notification. </w:t>
      </w:r>
      <w:r w:rsidR="00C0123C">
        <w:rPr>
          <w:rFonts w:asciiTheme="minorHAnsi" w:hAnsiTheme="minorHAnsi" w:cs="Arial"/>
          <w:color w:val="auto"/>
          <w:lang w:val="en-US"/>
        </w:rPr>
        <w:t>F</w:t>
      </w:r>
      <w:r w:rsidR="00C0123C" w:rsidRPr="00FB4435">
        <w:rPr>
          <w:rFonts w:asciiTheme="minorHAnsi" w:hAnsiTheme="minorHAnsi" w:cs="Arial"/>
          <w:color w:val="auto"/>
          <w:lang w:val="en-US"/>
        </w:rPr>
        <w:t xml:space="preserve">oreign </w:t>
      </w:r>
      <w:r w:rsidR="00DF0A26" w:rsidRPr="00FB4435">
        <w:rPr>
          <w:rFonts w:asciiTheme="minorHAnsi" w:hAnsiTheme="minorHAnsi" w:cs="Arial"/>
          <w:color w:val="auto"/>
          <w:lang w:val="en-US"/>
        </w:rPr>
        <w:t>investor</w:t>
      </w:r>
      <w:r w:rsidR="0077455D" w:rsidRPr="00FB4435">
        <w:rPr>
          <w:rFonts w:asciiTheme="minorHAnsi" w:hAnsiTheme="minorHAnsi" w:cs="Arial"/>
          <w:color w:val="auto"/>
          <w:lang w:val="en-US"/>
        </w:rPr>
        <w:t>s</w:t>
      </w:r>
      <w:r w:rsidR="00126090" w:rsidRPr="00FB4435" w:rsidDel="00BE5061">
        <w:rPr>
          <w:rFonts w:asciiTheme="minorHAnsi" w:hAnsiTheme="minorHAnsi" w:cs="Arial"/>
          <w:color w:val="auto"/>
          <w:lang w:val="en-US"/>
        </w:rPr>
        <w:t xml:space="preserve"> </w:t>
      </w:r>
      <w:r w:rsidR="00BE5061" w:rsidRPr="00FB4435">
        <w:rPr>
          <w:rFonts w:asciiTheme="minorHAnsi" w:hAnsiTheme="minorHAnsi" w:cs="Arial"/>
          <w:color w:val="auto"/>
          <w:lang w:val="en-US"/>
        </w:rPr>
        <w:t xml:space="preserve">will </w:t>
      </w:r>
      <w:r w:rsidR="00126090" w:rsidRPr="00FB4435">
        <w:rPr>
          <w:rFonts w:asciiTheme="minorHAnsi" w:hAnsiTheme="minorHAnsi" w:cs="Arial"/>
          <w:color w:val="auto"/>
          <w:lang w:val="en-US"/>
        </w:rPr>
        <w:t xml:space="preserve">be </w:t>
      </w:r>
      <w:r w:rsidR="0077455D" w:rsidRPr="00FB4435">
        <w:rPr>
          <w:rFonts w:asciiTheme="minorHAnsi" w:hAnsiTheme="minorHAnsi" w:cs="Arial"/>
          <w:color w:val="auto"/>
          <w:lang w:val="en-US"/>
        </w:rPr>
        <w:t>given an</w:t>
      </w:r>
      <w:r w:rsidR="00DF0A26" w:rsidRPr="00FB4435">
        <w:rPr>
          <w:rFonts w:asciiTheme="minorHAnsi" w:hAnsiTheme="minorHAnsi" w:cs="Arial"/>
          <w:color w:val="auto"/>
          <w:lang w:val="en-US"/>
        </w:rPr>
        <w:t xml:space="preserve"> opportunity to review and respond to the</w:t>
      </w:r>
      <w:r w:rsidR="00C0123C">
        <w:rPr>
          <w:rFonts w:asciiTheme="minorHAnsi" w:hAnsiTheme="minorHAnsi" w:cs="Arial"/>
          <w:color w:val="auto"/>
          <w:lang w:val="en-US"/>
        </w:rPr>
        <w:t>se and any other</w:t>
      </w:r>
      <w:r w:rsidR="00447F90">
        <w:rPr>
          <w:rFonts w:asciiTheme="minorHAnsi" w:hAnsiTheme="minorHAnsi" w:cs="Arial"/>
          <w:color w:val="auto"/>
          <w:lang w:val="en-US"/>
        </w:rPr>
        <w:t xml:space="preserve"> </w:t>
      </w:r>
      <w:r w:rsidR="00DF0A26" w:rsidRPr="00FB4435">
        <w:rPr>
          <w:rFonts w:asciiTheme="minorHAnsi" w:hAnsiTheme="minorHAnsi" w:cs="Arial"/>
          <w:color w:val="auto"/>
          <w:lang w:val="en-US"/>
        </w:rPr>
        <w:t>proposed conditions.</w:t>
      </w:r>
      <w:r w:rsidR="00912D55">
        <w:rPr>
          <w:rFonts w:asciiTheme="minorHAnsi" w:hAnsiTheme="minorHAnsi" w:cs="Arial"/>
          <w:color w:val="auto"/>
          <w:lang w:val="en-US"/>
        </w:rPr>
        <w:t xml:space="preserve"> </w:t>
      </w:r>
      <w:r w:rsidR="0067328A">
        <w:rPr>
          <w:rFonts w:asciiTheme="minorHAnsi" w:hAnsiTheme="minorHAnsi" w:cs="Arial"/>
          <w:color w:val="auto"/>
          <w:lang w:val="en-US"/>
        </w:rPr>
        <w:t xml:space="preserve">Applicants may agree in advance to the conditions in </w:t>
      </w:r>
      <w:r w:rsidR="00912D55">
        <w:rPr>
          <w:rFonts w:asciiTheme="minorHAnsi" w:hAnsiTheme="minorHAnsi" w:cs="Arial"/>
          <w:color w:val="auto"/>
          <w:lang w:val="en-US"/>
        </w:rPr>
        <w:t xml:space="preserve">Part </w:t>
      </w:r>
      <w:proofErr w:type="gramStart"/>
      <w:r w:rsidR="00912D55">
        <w:rPr>
          <w:rFonts w:asciiTheme="minorHAnsi" w:hAnsiTheme="minorHAnsi" w:cs="Arial"/>
          <w:color w:val="auto"/>
          <w:lang w:val="en-US"/>
        </w:rPr>
        <w:t>A</w:t>
      </w:r>
      <w:proofErr w:type="gramEnd"/>
      <w:r w:rsidR="00BC27AB">
        <w:rPr>
          <w:rFonts w:asciiTheme="minorHAnsi" w:hAnsiTheme="minorHAnsi" w:cs="Arial"/>
          <w:color w:val="auto"/>
          <w:lang w:val="en-US"/>
        </w:rPr>
        <w:t xml:space="preserve"> of Attachment A</w:t>
      </w:r>
      <w:r w:rsidR="00912D55">
        <w:rPr>
          <w:rFonts w:asciiTheme="minorHAnsi" w:hAnsiTheme="minorHAnsi" w:cs="Arial"/>
          <w:color w:val="auto"/>
          <w:lang w:val="en-US"/>
        </w:rPr>
        <w:t xml:space="preserve">. </w:t>
      </w:r>
      <w:r w:rsidR="0067328A">
        <w:rPr>
          <w:rFonts w:asciiTheme="minorHAnsi" w:hAnsiTheme="minorHAnsi" w:cs="Arial"/>
          <w:color w:val="auto"/>
          <w:lang w:val="en-US"/>
        </w:rPr>
        <w:t>This does not mean that the conditions will be applied, but in the event that some or all of them are applied no further discussion</w:t>
      </w:r>
      <w:r w:rsidR="00B032AF">
        <w:rPr>
          <w:rFonts w:asciiTheme="minorHAnsi" w:hAnsiTheme="minorHAnsi" w:cs="Arial"/>
          <w:color w:val="auto"/>
          <w:lang w:val="en-US"/>
        </w:rPr>
        <w:t xml:space="preserve"> on those conditions</w:t>
      </w:r>
      <w:r w:rsidR="0067328A">
        <w:rPr>
          <w:rFonts w:asciiTheme="minorHAnsi" w:hAnsiTheme="minorHAnsi" w:cs="Arial"/>
          <w:color w:val="auto"/>
          <w:lang w:val="en-US"/>
        </w:rPr>
        <w:t xml:space="preserve"> will be </w:t>
      </w:r>
      <w:r w:rsidR="00B032AF">
        <w:rPr>
          <w:rFonts w:asciiTheme="minorHAnsi" w:hAnsiTheme="minorHAnsi" w:cs="Arial"/>
          <w:color w:val="auto"/>
          <w:lang w:val="en-US"/>
        </w:rPr>
        <w:t>initiated by the Foreign Investment Review Board (FIRB)</w:t>
      </w:r>
      <w:r w:rsidR="0067328A">
        <w:rPr>
          <w:rFonts w:asciiTheme="minorHAnsi" w:hAnsiTheme="minorHAnsi" w:cs="Arial"/>
          <w:color w:val="auto"/>
          <w:lang w:val="en-US"/>
        </w:rPr>
        <w:t xml:space="preserve">. </w:t>
      </w:r>
    </w:p>
    <w:p w14:paraId="6B55EC26" w14:textId="77777777" w:rsidR="005B41AF" w:rsidRDefault="005B41AF" w:rsidP="000430DA">
      <w:pPr>
        <w:pStyle w:val="Heading2"/>
        <w:keepNext/>
      </w:pPr>
    </w:p>
    <w:p w14:paraId="043A60E9" w14:textId="24E45BB2" w:rsidR="005567C6" w:rsidRDefault="0075796D" w:rsidP="000430DA">
      <w:pPr>
        <w:pStyle w:val="Heading2"/>
        <w:keepNext/>
      </w:pPr>
      <w:r>
        <w:t xml:space="preserve">When </w:t>
      </w:r>
      <w:r w:rsidR="0077551B">
        <w:t xml:space="preserve">May </w:t>
      </w:r>
      <w:r>
        <w:t xml:space="preserve">a </w:t>
      </w:r>
      <w:r w:rsidR="0077551B">
        <w:t>Tax</w:t>
      </w:r>
      <w:r>
        <w:t xml:space="preserve"> condition be imposed?</w:t>
      </w:r>
    </w:p>
    <w:p w14:paraId="76574FB1" w14:textId="21E600F7" w:rsidR="00EA1F9F" w:rsidRPr="00FB4435" w:rsidRDefault="00EA1F9F" w:rsidP="0075796D">
      <w:pPr>
        <w:spacing w:after="150"/>
        <w:rPr>
          <w:rFonts w:asciiTheme="minorHAnsi" w:hAnsiTheme="minorHAnsi" w:cs="Arial"/>
          <w:color w:val="auto"/>
          <w:lang w:val="en-US"/>
        </w:rPr>
      </w:pPr>
      <w:r w:rsidRPr="00FB4435">
        <w:rPr>
          <w:rFonts w:asciiTheme="minorHAnsi" w:hAnsiTheme="minorHAnsi" w:cs="Arial"/>
          <w:color w:val="auto"/>
          <w:lang w:val="en-US"/>
        </w:rPr>
        <w:t xml:space="preserve">In considering whether </w:t>
      </w:r>
      <w:r w:rsidR="00BA1D81">
        <w:rPr>
          <w:rFonts w:asciiTheme="minorHAnsi" w:hAnsiTheme="minorHAnsi" w:cs="Arial"/>
          <w:color w:val="auto"/>
          <w:lang w:val="en-US"/>
        </w:rPr>
        <w:t>actions</w:t>
      </w:r>
      <w:r w:rsidR="00BA1D81" w:rsidRPr="00FB4435">
        <w:rPr>
          <w:rFonts w:asciiTheme="minorHAnsi" w:hAnsiTheme="minorHAnsi" w:cs="Arial"/>
          <w:color w:val="auto"/>
          <w:lang w:val="en-US"/>
        </w:rPr>
        <w:t xml:space="preserve"> </w:t>
      </w:r>
      <w:r w:rsidRPr="00FB4435">
        <w:rPr>
          <w:rFonts w:asciiTheme="minorHAnsi" w:hAnsiTheme="minorHAnsi" w:cs="Arial"/>
          <w:color w:val="auto"/>
          <w:lang w:val="en-US"/>
        </w:rPr>
        <w:t xml:space="preserve">by foreign investors are contrary to the national interest, the </w:t>
      </w:r>
      <w:r w:rsidR="00126090" w:rsidRPr="00FB4435">
        <w:rPr>
          <w:rFonts w:asciiTheme="minorHAnsi" w:hAnsiTheme="minorHAnsi" w:cs="Arial"/>
          <w:color w:val="auto"/>
          <w:lang w:val="en-US"/>
        </w:rPr>
        <w:t>Treasurer</w:t>
      </w:r>
      <w:r w:rsidRPr="00FB4435">
        <w:rPr>
          <w:rFonts w:asciiTheme="minorHAnsi" w:hAnsiTheme="minorHAnsi" w:cs="Arial"/>
          <w:color w:val="auto"/>
          <w:lang w:val="en-US"/>
        </w:rPr>
        <w:t xml:space="preserve"> will consider factors including national security; competition; other Australian Government policies such as taxation; the impact on the economy and the community; and the character of the investor.</w:t>
      </w:r>
      <w:r w:rsidR="00BE3C03" w:rsidRPr="00FB4435">
        <w:rPr>
          <w:rFonts w:asciiTheme="minorHAnsi" w:hAnsiTheme="minorHAnsi" w:cs="Arial"/>
          <w:color w:val="auto"/>
          <w:lang w:val="en-US"/>
        </w:rPr>
        <w:t xml:space="preserve"> For further information, see </w:t>
      </w:r>
      <w:hyperlink r:id="rId8" w:history="1">
        <w:r w:rsidR="00BE3C03" w:rsidRPr="00FB4435">
          <w:rPr>
            <w:rStyle w:val="Hyperlink"/>
            <w:rFonts w:asciiTheme="minorHAnsi" w:hAnsiTheme="minorHAnsi" w:cs="Arial"/>
            <w:color w:val="auto"/>
            <w:lang w:val="en-US"/>
          </w:rPr>
          <w:t>Australia’s Foreign Investment Policy</w:t>
        </w:r>
      </w:hyperlink>
      <w:r w:rsidR="00BE3C03" w:rsidRPr="00FB4435">
        <w:rPr>
          <w:rFonts w:asciiTheme="minorHAnsi" w:hAnsiTheme="minorHAnsi" w:cs="Arial"/>
          <w:color w:val="auto"/>
          <w:lang w:val="en-US"/>
        </w:rPr>
        <w:t>.</w:t>
      </w:r>
    </w:p>
    <w:p w14:paraId="11273D23" w14:textId="2FE76648" w:rsidR="00E62C40" w:rsidRPr="00FB4435" w:rsidRDefault="00E62C40" w:rsidP="0075796D">
      <w:pPr>
        <w:spacing w:after="150"/>
        <w:rPr>
          <w:rFonts w:asciiTheme="minorHAnsi" w:hAnsiTheme="minorHAnsi"/>
          <w:color w:val="auto"/>
        </w:rPr>
      </w:pPr>
      <w:r w:rsidRPr="00FB4435">
        <w:rPr>
          <w:rFonts w:asciiTheme="minorHAnsi" w:hAnsiTheme="minorHAnsi"/>
          <w:color w:val="auto"/>
        </w:rPr>
        <w:t xml:space="preserve">Consistent with those factors, the </w:t>
      </w:r>
      <w:r w:rsidR="00126090" w:rsidRPr="00FB4435">
        <w:rPr>
          <w:rFonts w:asciiTheme="minorHAnsi" w:hAnsiTheme="minorHAnsi"/>
          <w:color w:val="auto"/>
        </w:rPr>
        <w:t>Treasurer does and</w:t>
      </w:r>
      <w:r w:rsidRPr="00FB4435">
        <w:rPr>
          <w:rFonts w:asciiTheme="minorHAnsi" w:hAnsiTheme="minorHAnsi"/>
          <w:color w:val="auto"/>
        </w:rPr>
        <w:t xml:space="preserve"> will</w:t>
      </w:r>
      <w:r w:rsidR="00126090" w:rsidRPr="00FB4435">
        <w:rPr>
          <w:rFonts w:asciiTheme="minorHAnsi" w:hAnsiTheme="minorHAnsi"/>
          <w:color w:val="auto"/>
        </w:rPr>
        <w:t xml:space="preserve"> continue to</w:t>
      </w:r>
      <w:r w:rsidRPr="00FB4435">
        <w:rPr>
          <w:rFonts w:asciiTheme="minorHAnsi" w:hAnsiTheme="minorHAnsi"/>
          <w:color w:val="auto"/>
        </w:rPr>
        <w:t xml:space="preserve"> consider the </w:t>
      </w:r>
      <w:r w:rsidR="00DE7B0A" w:rsidRPr="00FB4435">
        <w:rPr>
          <w:rFonts w:asciiTheme="minorHAnsi" w:hAnsiTheme="minorHAnsi"/>
          <w:color w:val="auto"/>
        </w:rPr>
        <w:t xml:space="preserve">potential </w:t>
      </w:r>
      <w:r w:rsidRPr="00FB4435">
        <w:rPr>
          <w:rFonts w:asciiTheme="minorHAnsi" w:hAnsiTheme="minorHAnsi"/>
          <w:color w:val="auto"/>
        </w:rPr>
        <w:t>impact of a</w:t>
      </w:r>
      <w:r w:rsidR="0007414F">
        <w:rPr>
          <w:rFonts w:asciiTheme="minorHAnsi" w:hAnsiTheme="minorHAnsi"/>
          <w:color w:val="auto"/>
        </w:rPr>
        <w:t>n</w:t>
      </w:r>
      <w:r w:rsidRPr="00FB4435">
        <w:rPr>
          <w:rFonts w:asciiTheme="minorHAnsi" w:hAnsiTheme="minorHAnsi"/>
          <w:color w:val="auto"/>
        </w:rPr>
        <w:t xml:space="preserve"> </w:t>
      </w:r>
      <w:r w:rsidR="0007414F">
        <w:rPr>
          <w:rFonts w:asciiTheme="minorHAnsi" w:hAnsiTheme="minorHAnsi"/>
          <w:color w:val="auto"/>
        </w:rPr>
        <w:t>action</w:t>
      </w:r>
      <w:r w:rsidR="003918A9">
        <w:rPr>
          <w:rFonts w:asciiTheme="minorHAnsi" w:hAnsiTheme="minorHAnsi"/>
          <w:color w:val="auto"/>
        </w:rPr>
        <w:t xml:space="preserve"> on Australian tax</w:t>
      </w:r>
      <w:r w:rsidRPr="00FB4435">
        <w:rPr>
          <w:rFonts w:asciiTheme="minorHAnsi" w:hAnsiTheme="minorHAnsi"/>
          <w:color w:val="auto"/>
        </w:rPr>
        <w:t xml:space="preserve"> revenues</w:t>
      </w:r>
      <w:r w:rsidR="00BE3C03" w:rsidRPr="00FB4435">
        <w:rPr>
          <w:rFonts w:asciiTheme="minorHAnsi" w:hAnsiTheme="minorHAnsi"/>
          <w:color w:val="auto"/>
        </w:rPr>
        <w:t xml:space="preserve"> in determining whether the </w:t>
      </w:r>
      <w:r w:rsidR="0007414F">
        <w:rPr>
          <w:rFonts w:asciiTheme="minorHAnsi" w:hAnsiTheme="minorHAnsi"/>
          <w:color w:val="auto"/>
        </w:rPr>
        <w:t>action</w:t>
      </w:r>
      <w:r w:rsidR="00BE3C03" w:rsidRPr="00FB4435">
        <w:rPr>
          <w:rFonts w:asciiTheme="minorHAnsi" w:hAnsiTheme="minorHAnsi"/>
          <w:color w:val="auto"/>
        </w:rPr>
        <w:t xml:space="preserve"> is contrary to the national interest</w:t>
      </w:r>
      <w:r w:rsidRPr="00FB4435">
        <w:rPr>
          <w:rFonts w:asciiTheme="minorHAnsi" w:hAnsiTheme="minorHAnsi"/>
          <w:color w:val="auto"/>
        </w:rPr>
        <w:t xml:space="preserve">. </w:t>
      </w:r>
    </w:p>
    <w:p w14:paraId="697BA5CC" w14:textId="1EBE1AE4" w:rsidR="002B4F74" w:rsidRDefault="00E62C40" w:rsidP="0075796D">
      <w:pPr>
        <w:spacing w:after="150"/>
        <w:rPr>
          <w:rFonts w:asciiTheme="minorHAnsi" w:hAnsiTheme="minorHAnsi"/>
          <w:color w:val="auto"/>
        </w:rPr>
      </w:pPr>
      <w:r w:rsidRPr="00FB4435">
        <w:rPr>
          <w:rFonts w:asciiTheme="minorHAnsi" w:hAnsiTheme="minorHAnsi"/>
          <w:color w:val="auto"/>
        </w:rPr>
        <w:t xml:space="preserve">The Australian Taxation Office (ATO) is consulted </w:t>
      </w:r>
      <w:r w:rsidR="00523F7E">
        <w:rPr>
          <w:rFonts w:asciiTheme="minorHAnsi" w:hAnsiTheme="minorHAnsi"/>
          <w:color w:val="auto"/>
        </w:rPr>
        <w:t>in</w:t>
      </w:r>
      <w:r w:rsidR="00523F7E" w:rsidRPr="00FB4435">
        <w:rPr>
          <w:rFonts w:asciiTheme="minorHAnsi" w:hAnsiTheme="minorHAnsi"/>
          <w:color w:val="auto"/>
        </w:rPr>
        <w:t xml:space="preserve"> </w:t>
      </w:r>
      <w:r w:rsidR="00B90289" w:rsidRPr="00FB4435">
        <w:rPr>
          <w:rFonts w:asciiTheme="minorHAnsi" w:hAnsiTheme="minorHAnsi"/>
          <w:color w:val="auto"/>
        </w:rPr>
        <w:t>determin</w:t>
      </w:r>
      <w:r w:rsidR="00523F7E">
        <w:rPr>
          <w:rFonts w:asciiTheme="minorHAnsi" w:hAnsiTheme="minorHAnsi"/>
          <w:color w:val="auto"/>
        </w:rPr>
        <w:t>ing</w:t>
      </w:r>
      <w:r w:rsidR="00B90289" w:rsidRPr="00FB4435">
        <w:rPr>
          <w:rFonts w:asciiTheme="minorHAnsi" w:hAnsiTheme="minorHAnsi"/>
          <w:color w:val="auto"/>
        </w:rPr>
        <w:t xml:space="preserve"> </w:t>
      </w:r>
      <w:r w:rsidR="003918A9">
        <w:rPr>
          <w:rFonts w:asciiTheme="minorHAnsi" w:hAnsiTheme="minorHAnsi"/>
          <w:color w:val="auto"/>
        </w:rPr>
        <w:t xml:space="preserve">the potential tax </w:t>
      </w:r>
      <w:r w:rsidR="00B90289" w:rsidRPr="00FB4435">
        <w:rPr>
          <w:rFonts w:asciiTheme="minorHAnsi" w:hAnsiTheme="minorHAnsi"/>
          <w:color w:val="auto"/>
        </w:rPr>
        <w:t>impact of</w:t>
      </w:r>
      <w:r w:rsidRPr="00FB4435">
        <w:rPr>
          <w:rFonts w:asciiTheme="minorHAnsi" w:hAnsiTheme="minorHAnsi"/>
          <w:color w:val="auto"/>
        </w:rPr>
        <w:t xml:space="preserve"> every</w:t>
      </w:r>
      <w:r w:rsidR="001C758A" w:rsidRPr="00FB4435">
        <w:rPr>
          <w:rFonts w:asciiTheme="minorHAnsi" w:hAnsiTheme="minorHAnsi"/>
          <w:color w:val="auto"/>
        </w:rPr>
        <w:t xml:space="preserve"> non</w:t>
      </w:r>
      <w:r w:rsidR="001C758A" w:rsidRPr="00FB4435">
        <w:rPr>
          <w:rFonts w:asciiTheme="minorHAnsi" w:hAnsiTheme="minorHAnsi"/>
          <w:color w:val="auto"/>
        </w:rPr>
        <w:noBreakHyphen/>
        <w:t>residential</w:t>
      </w:r>
      <w:r w:rsidRPr="00FB4435">
        <w:rPr>
          <w:rFonts w:asciiTheme="minorHAnsi" w:hAnsiTheme="minorHAnsi"/>
          <w:color w:val="auto"/>
        </w:rPr>
        <w:t xml:space="preserve"> </w:t>
      </w:r>
      <w:r w:rsidR="001C634D" w:rsidRPr="00FB4435">
        <w:rPr>
          <w:rFonts w:asciiTheme="minorHAnsi" w:hAnsiTheme="minorHAnsi"/>
          <w:color w:val="auto"/>
        </w:rPr>
        <w:t>foreign investment proposal</w:t>
      </w:r>
      <w:r w:rsidR="00B90289" w:rsidRPr="00FB4435">
        <w:rPr>
          <w:rFonts w:asciiTheme="minorHAnsi" w:hAnsiTheme="minorHAnsi"/>
          <w:color w:val="auto"/>
        </w:rPr>
        <w:t xml:space="preserve">. </w:t>
      </w:r>
    </w:p>
    <w:p w14:paraId="4794796C" w14:textId="6659ECF0" w:rsidR="002B4F74" w:rsidRPr="00523F7E" w:rsidRDefault="002B4F74" w:rsidP="00523F7E">
      <w:pPr>
        <w:pStyle w:val="Heading3"/>
        <w:keepNext/>
        <w:rPr>
          <w:lang w:val="en-US"/>
        </w:rPr>
      </w:pPr>
      <w:r w:rsidRPr="002B4F74">
        <w:rPr>
          <w:lang w:val="en-US"/>
        </w:rPr>
        <w:t>IF TAX RISK EXISTS</w:t>
      </w:r>
    </w:p>
    <w:p w14:paraId="42C64604" w14:textId="73091BA5" w:rsidR="00523F7E" w:rsidRDefault="00B90289" w:rsidP="0075796D">
      <w:pPr>
        <w:spacing w:after="150"/>
        <w:rPr>
          <w:rFonts w:asciiTheme="minorHAnsi" w:hAnsiTheme="minorHAnsi"/>
          <w:color w:val="auto"/>
        </w:rPr>
      </w:pPr>
      <w:r w:rsidRPr="00FB4435">
        <w:rPr>
          <w:rFonts w:asciiTheme="minorHAnsi" w:hAnsiTheme="minorHAnsi"/>
          <w:color w:val="auto"/>
        </w:rPr>
        <w:t>If</w:t>
      </w:r>
      <w:r w:rsidR="00AA5FB0" w:rsidRPr="00FB4435">
        <w:rPr>
          <w:rFonts w:asciiTheme="minorHAnsi" w:hAnsiTheme="minorHAnsi"/>
          <w:color w:val="auto"/>
        </w:rPr>
        <w:t>,</w:t>
      </w:r>
      <w:r w:rsidR="00762BA2" w:rsidRPr="00FB4435">
        <w:rPr>
          <w:rFonts w:asciiTheme="minorHAnsi" w:hAnsiTheme="minorHAnsi"/>
          <w:color w:val="auto"/>
        </w:rPr>
        <w:t xml:space="preserve"> following consultation</w:t>
      </w:r>
      <w:r w:rsidR="00AA5FB0" w:rsidRPr="00FB4435">
        <w:rPr>
          <w:rFonts w:asciiTheme="minorHAnsi" w:hAnsiTheme="minorHAnsi"/>
          <w:color w:val="auto"/>
        </w:rPr>
        <w:t xml:space="preserve">, the Treasurer considers the </w:t>
      </w:r>
      <w:r w:rsidR="0007414F">
        <w:rPr>
          <w:rFonts w:asciiTheme="minorHAnsi" w:hAnsiTheme="minorHAnsi"/>
          <w:color w:val="auto"/>
        </w:rPr>
        <w:t>action</w:t>
      </w:r>
      <w:r w:rsidR="0007414F" w:rsidRPr="00FB4435">
        <w:rPr>
          <w:rFonts w:asciiTheme="minorHAnsi" w:hAnsiTheme="minorHAnsi"/>
          <w:color w:val="auto"/>
        </w:rPr>
        <w:t xml:space="preserve"> </w:t>
      </w:r>
      <w:r w:rsidR="00AA5FB0" w:rsidRPr="00FB4435">
        <w:rPr>
          <w:rFonts w:asciiTheme="minorHAnsi" w:hAnsiTheme="minorHAnsi"/>
          <w:color w:val="auto"/>
        </w:rPr>
        <w:t xml:space="preserve">may involve a risk </w:t>
      </w:r>
      <w:r w:rsidR="003918A9">
        <w:rPr>
          <w:rFonts w:asciiTheme="minorHAnsi" w:hAnsiTheme="minorHAnsi"/>
          <w:color w:val="auto"/>
        </w:rPr>
        <w:t xml:space="preserve">to tax </w:t>
      </w:r>
      <w:r w:rsidR="00AA5FB0" w:rsidRPr="00FB4435">
        <w:rPr>
          <w:rFonts w:asciiTheme="minorHAnsi" w:hAnsiTheme="minorHAnsi"/>
          <w:color w:val="auto"/>
        </w:rPr>
        <w:t xml:space="preserve">revenues, then </w:t>
      </w:r>
      <w:r w:rsidRPr="00FB4435">
        <w:rPr>
          <w:rFonts w:asciiTheme="minorHAnsi" w:hAnsiTheme="minorHAnsi"/>
          <w:color w:val="auto"/>
        </w:rPr>
        <w:t xml:space="preserve">the conditions </w:t>
      </w:r>
      <w:r w:rsidR="00A411F4" w:rsidRPr="00FB4435">
        <w:rPr>
          <w:rFonts w:asciiTheme="minorHAnsi" w:hAnsiTheme="minorHAnsi"/>
          <w:color w:val="auto"/>
        </w:rPr>
        <w:t xml:space="preserve">shown </w:t>
      </w:r>
      <w:r w:rsidRPr="00FB4435">
        <w:rPr>
          <w:rFonts w:asciiTheme="minorHAnsi" w:hAnsiTheme="minorHAnsi"/>
          <w:color w:val="auto"/>
        </w:rPr>
        <w:t xml:space="preserve">at </w:t>
      </w:r>
      <w:r w:rsidR="00A30803">
        <w:rPr>
          <w:rFonts w:asciiTheme="minorHAnsi" w:hAnsiTheme="minorHAnsi"/>
          <w:color w:val="auto"/>
        </w:rPr>
        <w:t>Part</w:t>
      </w:r>
      <w:r w:rsidR="00A30803" w:rsidRPr="00FB4435">
        <w:rPr>
          <w:rFonts w:asciiTheme="minorHAnsi" w:hAnsiTheme="minorHAnsi"/>
          <w:color w:val="auto"/>
        </w:rPr>
        <w:t> </w:t>
      </w:r>
      <w:proofErr w:type="gramStart"/>
      <w:r w:rsidR="001C237B" w:rsidRPr="00FB4435">
        <w:rPr>
          <w:rFonts w:asciiTheme="minorHAnsi" w:hAnsiTheme="minorHAnsi"/>
          <w:color w:val="auto"/>
        </w:rPr>
        <w:t>A</w:t>
      </w:r>
      <w:proofErr w:type="gramEnd"/>
      <w:r w:rsidR="001C237B" w:rsidRPr="00FB4435">
        <w:rPr>
          <w:rFonts w:asciiTheme="minorHAnsi" w:hAnsiTheme="minorHAnsi"/>
          <w:color w:val="auto"/>
        </w:rPr>
        <w:t xml:space="preserve"> </w:t>
      </w:r>
      <w:r w:rsidR="00EE2A79" w:rsidRPr="00FB4435">
        <w:rPr>
          <w:rFonts w:asciiTheme="minorHAnsi" w:hAnsiTheme="minorHAnsi"/>
          <w:color w:val="auto"/>
        </w:rPr>
        <w:t>of</w:t>
      </w:r>
      <w:r w:rsidR="001C237B" w:rsidRPr="00FB4435">
        <w:rPr>
          <w:rFonts w:asciiTheme="minorHAnsi" w:hAnsiTheme="minorHAnsi"/>
          <w:color w:val="auto"/>
        </w:rPr>
        <w:t xml:space="preserve"> </w:t>
      </w:r>
      <w:r w:rsidR="00A411F4" w:rsidRPr="00FB4435">
        <w:rPr>
          <w:rFonts w:asciiTheme="minorHAnsi" w:hAnsiTheme="minorHAnsi"/>
          <w:color w:val="auto"/>
        </w:rPr>
        <w:t>Attachment </w:t>
      </w:r>
      <w:r w:rsidRPr="00FB4435">
        <w:rPr>
          <w:rFonts w:asciiTheme="minorHAnsi" w:hAnsiTheme="minorHAnsi"/>
          <w:color w:val="auto"/>
        </w:rPr>
        <w:t xml:space="preserve">A may be imposed as conditions of a </w:t>
      </w:r>
      <w:r w:rsidR="00A411F4" w:rsidRPr="00FB4435">
        <w:rPr>
          <w:rFonts w:asciiTheme="minorHAnsi" w:hAnsiTheme="minorHAnsi"/>
          <w:color w:val="auto"/>
        </w:rPr>
        <w:t>no </w:t>
      </w:r>
      <w:r w:rsidRPr="00FB4435">
        <w:rPr>
          <w:rFonts w:asciiTheme="minorHAnsi" w:hAnsiTheme="minorHAnsi"/>
          <w:color w:val="auto"/>
        </w:rPr>
        <w:t xml:space="preserve">objection </w:t>
      </w:r>
      <w:r w:rsidR="00A411F4" w:rsidRPr="00FB4435">
        <w:rPr>
          <w:rFonts w:asciiTheme="minorHAnsi" w:hAnsiTheme="minorHAnsi"/>
          <w:color w:val="auto"/>
        </w:rPr>
        <w:t>notification</w:t>
      </w:r>
      <w:r w:rsidR="000615DF" w:rsidRPr="00FB4435">
        <w:rPr>
          <w:rFonts w:asciiTheme="minorHAnsi" w:hAnsiTheme="minorHAnsi"/>
          <w:color w:val="auto"/>
        </w:rPr>
        <w:t>,</w:t>
      </w:r>
      <w:r w:rsidR="00A411F4" w:rsidRPr="00FB4435">
        <w:rPr>
          <w:rFonts w:asciiTheme="minorHAnsi" w:hAnsiTheme="minorHAnsi"/>
          <w:color w:val="auto"/>
        </w:rPr>
        <w:t xml:space="preserve"> </w:t>
      </w:r>
      <w:r w:rsidRPr="00FB4435">
        <w:rPr>
          <w:rFonts w:asciiTheme="minorHAnsi" w:hAnsiTheme="minorHAnsi"/>
          <w:color w:val="auto"/>
        </w:rPr>
        <w:t xml:space="preserve">to ensure that the </w:t>
      </w:r>
      <w:r w:rsidR="00A411F4" w:rsidRPr="00FB4435">
        <w:rPr>
          <w:rFonts w:asciiTheme="minorHAnsi" w:hAnsiTheme="minorHAnsi"/>
          <w:color w:val="auto"/>
        </w:rPr>
        <w:t>action</w:t>
      </w:r>
      <w:r w:rsidR="006451E0" w:rsidRPr="00FB4435">
        <w:rPr>
          <w:rFonts w:asciiTheme="minorHAnsi" w:hAnsiTheme="minorHAnsi"/>
          <w:color w:val="auto"/>
        </w:rPr>
        <w:t xml:space="preserve"> will not be, or</w:t>
      </w:r>
      <w:r w:rsidR="00A411F4" w:rsidRPr="00FB4435">
        <w:rPr>
          <w:rFonts w:asciiTheme="minorHAnsi" w:hAnsiTheme="minorHAnsi"/>
          <w:color w:val="auto"/>
        </w:rPr>
        <w:t xml:space="preserve"> </w:t>
      </w:r>
      <w:r w:rsidRPr="00FB4435">
        <w:rPr>
          <w:rFonts w:asciiTheme="minorHAnsi" w:hAnsiTheme="minorHAnsi"/>
          <w:color w:val="auto"/>
        </w:rPr>
        <w:t>is not</w:t>
      </w:r>
      <w:r w:rsidR="006451E0" w:rsidRPr="00FB4435">
        <w:rPr>
          <w:rFonts w:asciiTheme="minorHAnsi" w:hAnsiTheme="minorHAnsi"/>
          <w:color w:val="auto"/>
        </w:rPr>
        <w:t>,</w:t>
      </w:r>
      <w:r w:rsidRPr="00FB4435">
        <w:rPr>
          <w:rFonts w:asciiTheme="minorHAnsi" w:hAnsiTheme="minorHAnsi"/>
          <w:color w:val="auto"/>
        </w:rPr>
        <w:t xml:space="preserve"> contrary to the national interest.</w:t>
      </w:r>
    </w:p>
    <w:p w14:paraId="72B930AB" w14:textId="77777777" w:rsidR="009D3C39" w:rsidRDefault="009D3C39" w:rsidP="00C3328A">
      <w:pPr>
        <w:keepNext/>
        <w:spacing w:after="150"/>
        <w:rPr>
          <w:rFonts w:asciiTheme="minorHAnsi" w:hAnsiTheme="minorHAnsi"/>
          <w:color w:val="auto"/>
        </w:rPr>
      </w:pPr>
      <w:r>
        <w:rPr>
          <w:rFonts w:asciiTheme="minorHAnsi" w:hAnsiTheme="minorHAnsi"/>
          <w:color w:val="auto"/>
        </w:rPr>
        <w:lastRenderedPageBreak/>
        <w:t>S</w:t>
      </w:r>
      <w:r w:rsidRPr="009D3C39">
        <w:rPr>
          <w:rFonts w:asciiTheme="minorHAnsi" w:hAnsiTheme="minorHAnsi"/>
          <w:color w:val="auto"/>
        </w:rPr>
        <w:t>ituations where tax conditions may be imposed to ensure an action is not contrary to the national interest would be to address risks associated with, but not limited to</w:t>
      </w:r>
      <w:r>
        <w:rPr>
          <w:rFonts w:asciiTheme="minorHAnsi" w:hAnsiTheme="minorHAnsi"/>
          <w:color w:val="auto"/>
        </w:rPr>
        <w:t>,</w:t>
      </w:r>
      <w:r w:rsidRPr="009D3C39">
        <w:rPr>
          <w:rFonts w:asciiTheme="minorHAnsi" w:hAnsiTheme="minorHAnsi"/>
          <w:color w:val="auto"/>
        </w:rPr>
        <w:t xml:space="preserve"> the following:</w:t>
      </w:r>
    </w:p>
    <w:p w14:paraId="458D0216" w14:textId="77777777" w:rsidR="009D3C39" w:rsidRDefault="009D3C39" w:rsidP="005B41AF">
      <w:pPr>
        <w:pStyle w:val="Bullet"/>
        <w:keepNext/>
        <w:spacing w:after="0"/>
      </w:pPr>
      <w:r>
        <w:t>Capital gains tax</w:t>
      </w:r>
    </w:p>
    <w:p w14:paraId="4D95EA78" w14:textId="77777777" w:rsidR="009D3C39" w:rsidRDefault="009D3C39" w:rsidP="005B41AF">
      <w:pPr>
        <w:pStyle w:val="Bullet"/>
        <w:keepNext/>
        <w:spacing w:after="0"/>
      </w:pPr>
      <w:r>
        <w:t>Dividend withholding tax</w:t>
      </w:r>
    </w:p>
    <w:p w14:paraId="0B50EDB1" w14:textId="77777777" w:rsidR="009D3C39" w:rsidRDefault="009D3C39" w:rsidP="005B41AF">
      <w:pPr>
        <w:pStyle w:val="Bullet"/>
        <w:keepNext/>
        <w:spacing w:after="0"/>
      </w:pPr>
      <w:r>
        <w:t>Transfer pricing</w:t>
      </w:r>
    </w:p>
    <w:p w14:paraId="3ABB4896" w14:textId="514EE0FE" w:rsidR="009D3C39" w:rsidRDefault="00D67843" w:rsidP="005B41AF">
      <w:pPr>
        <w:pStyle w:val="Bullet"/>
        <w:keepNext/>
        <w:spacing w:after="0"/>
      </w:pPr>
      <w:r>
        <w:t>Low tax jurisdictions</w:t>
      </w:r>
    </w:p>
    <w:p w14:paraId="3DDC7F8E" w14:textId="77777777" w:rsidR="009D3C39" w:rsidRDefault="009D3C39" w:rsidP="005B41AF">
      <w:pPr>
        <w:pStyle w:val="Bullet"/>
        <w:keepNext/>
        <w:spacing w:after="0"/>
      </w:pPr>
      <w:r>
        <w:t>Consolidations</w:t>
      </w:r>
    </w:p>
    <w:p w14:paraId="4F1634FD" w14:textId="77777777" w:rsidR="009D3C39" w:rsidRDefault="009D3C39" w:rsidP="005B41AF">
      <w:pPr>
        <w:pStyle w:val="Bullet"/>
        <w:keepNext/>
        <w:spacing w:after="0"/>
      </w:pPr>
      <w:r>
        <w:t>Non-resident withholding tax</w:t>
      </w:r>
    </w:p>
    <w:p w14:paraId="21FBB5EA" w14:textId="77777777" w:rsidR="009D3C39" w:rsidRDefault="009D3C39" w:rsidP="005B41AF">
      <w:pPr>
        <w:pStyle w:val="Bullet"/>
        <w:keepNext/>
        <w:spacing w:after="0"/>
      </w:pPr>
      <w:r>
        <w:t>Debt and equity risks</w:t>
      </w:r>
    </w:p>
    <w:p w14:paraId="507E89FB" w14:textId="77777777" w:rsidR="009D3C39" w:rsidRDefault="009D3C39" w:rsidP="005B41AF">
      <w:pPr>
        <w:pStyle w:val="Bullet"/>
        <w:keepNext/>
        <w:spacing w:after="0"/>
      </w:pPr>
      <w:r>
        <w:t>Thin capitalisation</w:t>
      </w:r>
    </w:p>
    <w:p w14:paraId="21802FF6" w14:textId="77777777" w:rsidR="009D3C39" w:rsidRDefault="009D3C39" w:rsidP="005B41AF">
      <w:pPr>
        <w:pStyle w:val="Bullet"/>
        <w:keepNext/>
        <w:spacing w:after="0"/>
      </w:pPr>
      <w:r>
        <w:t>Tax avoidance</w:t>
      </w:r>
    </w:p>
    <w:p w14:paraId="4DBCB8AC" w14:textId="77777777" w:rsidR="009D3C39" w:rsidRDefault="009D3C39" w:rsidP="009D3C39">
      <w:pPr>
        <w:pStyle w:val="Bullet"/>
      </w:pPr>
      <w:r>
        <w:t>Tax liabilities on future disposals</w:t>
      </w:r>
    </w:p>
    <w:p w14:paraId="4A4590AD" w14:textId="74A628D9" w:rsidR="0067736C" w:rsidRDefault="0039513B" w:rsidP="00C3328A">
      <w:pPr>
        <w:keepNext/>
        <w:spacing w:after="150"/>
        <w:rPr>
          <w:rFonts w:asciiTheme="minorHAnsi" w:hAnsiTheme="minorHAnsi"/>
          <w:color w:val="auto"/>
        </w:rPr>
      </w:pPr>
      <w:r>
        <w:rPr>
          <w:rFonts w:asciiTheme="minorHAnsi" w:hAnsiTheme="minorHAnsi"/>
          <w:color w:val="auto"/>
        </w:rPr>
        <w:t>Matters that will be taken into consideration include:</w:t>
      </w:r>
    </w:p>
    <w:p w14:paraId="54C5F8A9" w14:textId="7BCB484C" w:rsidR="0067736C" w:rsidRDefault="0067736C" w:rsidP="005B41AF">
      <w:pPr>
        <w:pStyle w:val="Bullet"/>
        <w:keepNext/>
        <w:spacing w:after="0"/>
        <w:ind w:left="357" w:hanging="357"/>
      </w:pPr>
      <w:r>
        <w:t xml:space="preserve">The </w:t>
      </w:r>
      <w:r w:rsidR="00121CFC">
        <w:t xml:space="preserve">complexity of the </w:t>
      </w:r>
      <w:r>
        <w:t>action</w:t>
      </w:r>
    </w:p>
    <w:p w14:paraId="17AE9362" w14:textId="50A42277" w:rsidR="00B90289" w:rsidRDefault="0067736C" w:rsidP="005B41AF">
      <w:pPr>
        <w:pStyle w:val="Bullet"/>
        <w:keepNext/>
        <w:spacing w:after="0"/>
        <w:ind w:left="357" w:hanging="357"/>
      </w:pPr>
      <w:r>
        <w:t>The size of the action</w:t>
      </w:r>
    </w:p>
    <w:p w14:paraId="7F9FEA7D" w14:textId="04FCF466" w:rsidR="0067736C" w:rsidRDefault="00B91E46" w:rsidP="005B41AF">
      <w:pPr>
        <w:pStyle w:val="Bullet"/>
        <w:spacing w:after="240"/>
        <w:ind w:left="357" w:hanging="357"/>
      </w:pPr>
      <w:r>
        <w:t>P</w:t>
      </w:r>
      <w:r w:rsidR="0067736C">
        <w:t>revious interactions with Australia’s tax system</w:t>
      </w:r>
    </w:p>
    <w:p w14:paraId="7B22F4AE" w14:textId="73E3A690" w:rsidR="002B4F74" w:rsidRPr="00523F7E" w:rsidRDefault="003918A9" w:rsidP="00523F7E">
      <w:pPr>
        <w:pStyle w:val="Heading3"/>
        <w:keepNext/>
        <w:rPr>
          <w:lang w:val="en-US"/>
        </w:rPr>
      </w:pPr>
      <w:r>
        <w:rPr>
          <w:lang w:val="en-US"/>
        </w:rPr>
        <w:t>PARTICULAR</w:t>
      </w:r>
      <w:r w:rsidR="002B4F74" w:rsidRPr="002B4F74">
        <w:rPr>
          <w:lang w:val="en-US"/>
        </w:rPr>
        <w:t xml:space="preserve"> TAX RISK</w:t>
      </w:r>
    </w:p>
    <w:p w14:paraId="4A984EA0" w14:textId="21C8BAF9" w:rsidR="00102EEA" w:rsidRPr="00FB4435" w:rsidRDefault="00102EEA" w:rsidP="0075796D">
      <w:pPr>
        <w:spacing w:after="150"/>
        <w:rPr>
          <w:rFonts w:asciiTheme="minorHAnsi" w:hAnsiTheme="minorHAnsi"/>
          <w:color w:val="auto"/>
        </w:rPr>
      </w:pPr>
      <w:r w:rsidRPr="00FB4435">
        <w:rPr>
          <w:rFonts w:asciiTheme="minorHAnsi" w:hAnsiTheme="minorHAnsi"/>
          <w:color w:val="auto"/>
        </w:rPr>
        <w:t>If a</w:t>
      </w:r>
      <w:r w:rsidR="0007414F">
        <w:rPr>
          <w:rFonts w:asciiTheme="minorHAnsi" w:hAnsiTheme="minorHAnsi"/>
          <w:color w:val="auto"/>
        </w:rPr>
        <w:t>n</w:t>
      </w:r>
      <w:r w:rsidRPr="00FB4435">
        <w:rPr>
          <w:rFonts w:asciiTheme="minorHAnsi" w:hAnsiTheme="minorHAnsi"/>
          <w:color w:val="auto"/>
        </w:rPr>
        <w:t xml:space="preserve"> </w:t>
      </w:r>
      <w:r w:rsidR="0007414F">
        <w:rPr>
          <w:rFonts w:asciiTheme="minorHAnsi" w:hAnsiTheme="minorHAnsi"/>
          <w:color w:val="auto"/>
        </w:rPr>
        <w:t xml:space="preserve">action </w:t>
      </w:r>
      <w:r w:rsidRPr="00FB4435">
        <w:rPr>
          <w:rFonts w:asciiTheme="minorHAnsi" w:hAnsiTheme="minorHAnsi"/>
          <w:color w:val="auto"/>
        </w:rPr>
        <w:t xml:space="preserve">is considered to have a </w:t>
      </w:r>
      <w:r w:rsidR="002B4F74">
        <w:rPr>
          <w:rFonts w:asciiTheme="minorHAnsi" w:hAnsiTheme="minorHAnsi"/>
          <w:color w:val="auto"/>
        </w:rPr>
        <w:t xml:space="preserve">significant or </w:t>
      </w:r>
      <w:r w:rsidR="00AA5FB0" w:rsidRPr="00FB4435">
        <w:rPr>
          <w:rFonts w:asciiTheme="minorHAnsi" w:hAnsiTheme="minorHAnsi"/>
          <w:color w:val="auto"/>
        </w:rPr>
        <w:t xml:space="preserve">particular </w:t>
      </w:r>
      <w:r w:rsidRPr="00FB4435">
        <w:rPr>
          <w:rFonts w:asciiTheme="minorHAnsi" w:hAnsiTheme="minorHAnsi"/>
          <w:color w:val="auto"/>
        </w:rPr>
        <w:t>tax risk then</w:t>
      </w:r>
      <w:r w:rsidR="00F311B1" w:rsidRPr="00FB4435">
        <w:rPr>
          <w:rFonts w:asciiTheme="minorHAnsi" w:hAnsiTheme="minorHAnsi"/>
          <w:color w:val="auto"/>
        </w:rPr>
        <w:t xml:space="preserve"> one or both of</w:t>
      </w:r>
      <w:r w:rsidRPr="00FB4435">
        <w:rPr>
          <w:rFonts w:asciiTheme="minorHAnsi" w:hAnsiTheme="minorHAnsi"/>
          <w:color w:val="auto"/>
        </w:rPr>
        <w:t xml:space="preserve"> the additional tax conditions </w:t>
      </w:r>
      <w:r w:rsidR="001C237B" w:rsidRPr="00FB4435">
        <w:rPr>
          <w:rFonts w:asciiTheme="minorHAnsi" w:hAnsiTheme="minorHAnsi"/>
          <w:color w:val="auto"/>
        </w:rPr>
        <w:t xml:space="preserve">shown at </w:t>
      </w:r>
      <w:r w:rsidR="00E060E6">
        <w:rPr>
          <w:rFonts w:asciiTheme="minorHAnsi" w:hAnsiTheme="minorHAnsi"/>
          <w:color w:val="auto"/>
        </w:rPr>
        <w:t>Part</w:t>
      </w:r>
      <w:r w:rsidR="00E060E6" w:rsidRPr="00FB4435">
        <w:rPr>
          <w:rFonts w:asciiTheme="minorHAnsi" w:hAnsiTheme="minorHAnsi"/>
          <w:color w:val="auto"/>
        </w:rPr>
        <w:t> </w:t>
      </w:r>
      <w:r w:rsidR="001C237B" w:rsidRPr="00FB4435">
        <w:rPr>
          <w:rFonts w:asciiTheme="minorHAnsi" w:hAnsiTheme="minorHAnsi"/>
          <w:color w:val="auto"/>
        </w:rPr>
        <w:t xml:space="preserve">B </w:t>
      </w:r>
      <w:r w:rsidR="00EE2A79" w:rsidRPr="00FB4435">
        <w:rPr>
          <w:rFonts w:asciiTheme="minorHAnsi" w:hAnsiTheme="minorHAnsi"/>
          <w:color w:val="auto"/>
        </w:rPr>
        <w:t xml:space="preserve">of </w:t>
      </w:r>
      <w:r w:rsidR="00A411F4" w:rsidRPr="00FB4435">
        <w:rPr>
          <w:rFonts w:asciiTheme="minorHAnsi" w:hAnsiTheme="minorHAnsi"/>
          <w:color w:val="auto"/>
        </w:rPr>
        <w:t>Attachment </w:t>
      </w:r>
      <w:r w:rsidRPr="00FB4435">
        <w:rPr>
          <w:rFonts w:asciiTheme="minorHAnsi" w:hAnsiTheme="minorHAnsi"/>
          <w:color w:val="auto"/>
        </w:rPr>
        <w:t>A may also be imposed.</w:t>
      </w:r>
      <w:r w:rsidR="001E7909">
        <w:rPr>
          <w:rFonts w:asciiTheme="minorHAnsi" w:hAnsiTheme="minorHAnsi"/>
          <w:color w:val="auto"/>
        </w:rPr>
        <w:t xml:space="preserve"> These would be tailored to the particular circumstances</w:t>
      </w:r>
      <w:r w:rsidR="00CF1133">
        <w:rPr>
          <w:rFonts w:asciiTheme="minorHAnsi" w:hAnsiTheme="minorHAnsi"/>
          <w:color w:val="auto"/>
        </w:rPr>
        <w:t xml:space="preserve"> of the action under consideration</w:t>
      </w:r>
      <w:r w:rsidR="001E7909">
        <w:rPr>
          <w:rFonts w:asciiTheme="minorHAnsi" w:hAnsiTheme="minorHAnsi"/>
          <w:color w:val="auto"/>
        </w:rPr>
        <w:t>.</w:t>
      </w:r>
    </w:p>
    <w:p w14:paraId="4D7B5AA7" w14:textId="4361CF70" w:rsidR="000441D9" w:rsidRDefault="001C237B" w:rsidP="000441D9">
      <w:pPr>
        <w:spacing w:after="150"/>
      </w:pPr>
      <w:r w:rsidRPr="00FB4435">
        <w:rPr>
          <w:rFonts w:asciiTheme="minorHAnsi" w:hAnsiTheme="minorHAnsi"/>
          <w:color w:val="auto"/>
        </w:rPr>
        <w:t xml:space="preserve">The imposition of </w:t>
      </w:r>
      <w:r w:rsidR="009C4ED6">
        <w:rPr>
          <w:rFonts w:asciiTheme="minorHAnsi" w:hAnsiTheme="minorHAnsi"/>
          <w:color w:val="auto"/>
        </w:rPr>
        <w:t>tax</w:t>
      </w:r>
      <w:r w:rsidRPr="00FB4435">
        <w:rPr>
          <w:rFonts w:asciiTheme="minorHAnsi" w:hAnsiTheme="minorHAnsi"/>
          <w:color w:val="auto"/>
        </w:rPr>
        <w:t xml:space="preserve"> conditions</w:t>
      </w:r>
      <w:r w:rsidR="00D46F49" w:rsidRPr="00FB4435">
        <w:rPr>
          <w:rFonts w:asciiTheme="minorHAnsi" w:hAnsiTheme="minorHAnsi"/>
          <w:color w:val="auto"/>
        </w:rPr>
        <w:t xml:space="preserve"> will be considered on a case by case basis. </w:t>
      </w:r>
      <w:r w:rsidR="000D118D" w:rsidRPr="00FB4435">
        <w:rPr>
          <w:rFonts w:asciiTheme="minorHAnsi" w:hAnsiTheme="minorHAnsi"/>
          <w:color w:val="auto"/>
        </w:rPr>
        <w:t xml:space="preserve">Whether there is a </w:t>
      </w:r>
      <w:r w:rsidR="00AA5FB0" w:rsidRPr="00FB4435">
        <w:rPr>
          <w:rFonts w:asciiTheme="minorHAnsi" w:hAnsiTheme="minorHAnsi"/>
          <w:color w:val="auto"/>
        </w:rPr>
        <w:t xml:space="preserve">particular </w:t>
      </w:r>
      <w:r w:rsidR="00CE3066" w:rsidRPr="00FB4435">
        <w:rPr>
          <w:rFonts w:asciiTheme="minorHAnsi" w:hAnsiTheme="minorHAnsi"/>
          <w:color w:val="auto"/>
        </w:rPr>
        <w:t xml:space="preserve">risk to Australian tax revenues </w:t>
      </w:r>
      <w:r w:rsidR="00D46F49" w:rsidRPr="00FB4435">
        <w:rPr>
          <w:rFonts w:asciiTheme="minorHAnsi" w:hAnsiTheme="minorHAnsi"/>
          <w:color w:val="auto"/>
        </w:rPr>
        <w:t xml:space="preserve">requiring </w:t>
      </w:r>
      <w:r w:rsidRPr="00FB4435">
        <w:rPr>
          <w:rFonts w:asciiTheme="minorHAnsi" w:hAnsiTheme="minorHAnsi"/>
          <w:color w:val="auto"/>
        </w:rPr>
        <w:t xml:space="preserve">the </w:t>
      </w:r>
      <w:r w:rsidR="00D46F49" w:rsidRPr="00FB4435">
        <w:rPr>
          <w:rFonts w:asciiTheme="minorHAnsi" w:hAnsiTheme="minorHAnsi"/>
          <w:color w:val="auto"/>
        </w:rPr>
        <w:t xml:space="preserve">additional </w:t>
      </w:r>
      <w:r w:rsidR="009C4ED6">
        <w:rPr>
          <w:rFonts w:asciiTheme="minorHAnsi" w:hAnsiTheme="minorHAnsi"/>
          <w:color w:val="auto"/>
        </w:rPr>
        <w:t>tax</w:t>
      </w:r>
      <w:r w:rsidR="00D46F49" w:rsidRPr="00FB4435">
        <w:rPr>
          <w:rFonts w:asciiTheme="minorHAnsi" w:hAnsiTheme="minorHAnsi"/>
          <w:color w:val="auto"/>
        </w:rPr>
        <w:t xml:space="preserve"> conditions </w:t>
      </w:r>
      <w:r w:rsidR="000D118D" w:rsidRPr="00FB4435">
        <w:rPr>
          <w:rFonts w:asciiTheme="minorHAnsi" w:hAnsiTheme="minorHAnsi"/>
          <w:color w:val="auto"/>
        </w:rPr>
        <w:t>will depend on the circumstances of</w:t>
      </w:r>
      <w:r w:rsidR="003918A9">
        <w:rPr>
          <w:rFonts w:asciiTheme="minorHAnsi" w:hAnsiTheme="minorHAnsi"/>
          <w:color w:val="auto"/>
        </w:rPr>
        <w:t xml:space="preserve"> the</w:t>
      </w:r>
      <w:r w:rsidR="000441D9">
        <w:rPr>
          <w:rFonts w:asciiTheme="minorHAnsi" w:hAnsiTheme="minorHAnsi"/>
          <w:color w:val="auto"/>
        </w:rPr>
        <w:t xml:space="preserve"> action.</w:t>
      </w:r>
      <w:r w:rsidR="003918A9">
        <w:rPr>
          <w:rFonts w:asciiTheme="minorHAnsi" w:hAnsiTheme="minorHAnsi"/>
          <w:color w:val="auto"/>
        </w:rPr>
        <w:t xml:space="preserve"> </w:t>
      </w:r>
    </w:p>
    <w:p w14:paraId="7D15617C" w14:textId="17D80F58" w:rsidR="00121CFC" w:rsidRDefault="00581D49" w:rsidP="0075796D">
      <w:pPr>
        <w:spacing w:after="150"/>
        <w:rPr>
          <w:rFonts w:asciiTheme="minorHAnsi" w:hAnsiTheme="minorHAnsi"/>
          <w:color w:val="auto"/>
        </w:rPr>
      </w:pPr>
      <w:r>
        <w:rPr>
          <w:rFonts w:asciiTheme="minorHAnsi" w:hAnsiTheme="minorHAnsi"/>
          <w:color w:val="auto"/>
        </w:rPr>
        <w:t>As with the imposition of any tax condition, if an additional tax condition is to be imposed, the applicant will be given the opportunity to ask questions about the operation and effect of the condition and to provide comments to the decision maker.</w:t>
      </w:r>
      <w:r w:rsidR="00BC27AB">
        <w:rPr>
          <w:rFonts w:asciiTheme="minorHAnsi" w:hAnsiTheme="minorHAnsi"/>
          <w:color w:val="auto"/>
        </w:rPr>
        <w:t xml:space="preserve"> Note that advance agreement </w:t>
      </w:r>
      <w:r w:rsidR="002825DE">
        <w:rPr>
          <w:rFonts w:asciiTheme="minorHAnsi" w:hAnsiTheme="minorHAnsi"/>
          <w:color w:val="auto"/>
        </w:rPr>
        <w:t>(as described on page </w:t>
      </w:r>
      <w:r w:rsidR="002825DE">
        <w:rPr>
          <w:rFonts w:asciiTheme="minorHAnsi" w:hAnsiTheme="minorHAnsi"/>
          <w:color w:val="auto"/>
        </w:rPr>
        <w:fldChar w:fldCharType="begin"/>
      </w:r>
      <w:r w:rsidR="002825DE">
        <w:rPr>
          <w:rFonts w:asciiTheme="minorHAnsi" w:hAnsiTheme="minorHAnsi"/>
          <w:color w:val="auto"/>
        </w:rPr>
        <w:instrText xml:space="preserve"> PAGEREF _Ref466899730 \h </w:instrText>
      </w:r>
      <w:r w:rsidR="002825DE">
        <w:rPr>
          <w:rFonts w:asciiTheme="minorHAnsi" w:hAnsiTheme="minorHAnsi"/>
          <w:color w:val="auto"/>
        </w:rPr>
      </w:r>
      <w:r w:rsidR="002825DE">
        <w:rPr>
          <w:rFonts w:asciiTheme="minorHAnsi" w:hAnsiTheme="minorHAnsi"/>
          <w:color w:val="auto"/>
        </w:rPr>
        <w:fldChar w:fldCharType="separate"/>
      </w:r>
      <w:r w:rsidR="007E6C07">
        <w:rPr>
          <w:rFonts w:asciiTheme="minorHAnsi" w:hAnsiTheme="minorHAnsi"/>
          <w:noProof/>
          <w:color w:val="auto"/>
        </w:rPr>
        <w:t>1</w:t>
      </w:r>
      <w:r w:rsidR="002825DE">
        <w:rPr>
          <w:rFonts w:asciiTheme="minorHAnsi" w:hAnsiTheme="minorHAnsi"/>
          <w:color w:val="auto"/>
        </w:rPr>
        <w:fldChar w:fldCharType="end"/>
      </w:r>
      <w:r w:rsidR="002825DE">
        <w:rPr>
          <w:rFonts w:asciiTheme="minorHAnsi" w:hAnsiTheme="minorHAnsi"/>
          <w:color w:val="auto"/>
        </w:rPr>
        <w:t xml:space="preserve">) </w:t>
      </w:r>
      <w:r w:rsidR="00BC27AB">
        <w:rPr>
          <w:rFonts w:asciiTheme="minorHAnsi" w:hAnsiTheme="minorHAnsi"/>
          <w:color w:val="auto"/>
        </w:rPr>
        <w:t>to the tax conditions in Part A of Attachment A does not prejudice an applicant’s right to comment on any other conditions that may be imposed</w:t>
      </w:r>
      <w:r w:rsidR="002825DE">
        <w:rPr>
          <w:rFonts w:asciiTheme="minorHAnsi" w:hAnsiTheme="minorHAnsi"/>
          <w:color w:val="auto"/>
        </w:rPr>
        <w:t>,</w:t>
      </w:r>
      <w:r w:rsidR="00BC27AB">
        <w:rPr>
          <w:rFonts w:asciiTheme="minorHAnsi" w:hAnsiTheme="minorHAnsi"/>
          <w:color w:val="auto"/>
        </w:rPr>
        <w:t xml:space="preserve"> including any tax conditions that m</w:t>
      </w:r>
      <w:r w:rsidR="00E060E6">
        <w:rPr>
          <w:rFonts w:asciiTheme="minorHAnsi" w:hAnsiTheme="minorHAnsi"/>
          <w:color w:val="auto"/>
        </w:rPr>
        <w:t>ay be imposed under Part B or otherwise.</w:t>
      </w:r>
    </w:p>
    <w:p w14:paraId="3E360875" w14:textId="54799C4B" w:rsidR="002B4F74" w:rsidRPr="00523F7E" w:rsidRDefault="002B4F74" w:rsidP="00523F7E">
      <w:pPr>
        <w:pStyle w:val="Heading3"/>
        <w:keepNext/>
        <w:rPr>
          <w:lang w:val="en-US"/>
        </w:rPr>
      </w:pPr>
      <w:r w:rsidRPr="002B4F74">
        <w:rPr>
          <w:lang w:val="en-US"/>
        </w:rPr>
        <w:t>MINIMAL TAX RISK</w:t>
      </w:r>
    </w:p>
    <w:p w14:paraId="6F85970E" w14:textId="503FCE47" w:rsidR="00523F7E" w:rsidRDefault="00523F7E" w:rsidP="0075796D">
      <w:pPr>
        <w:spacing w:after="150"/>
        <w:rPr>
          <w:rFonts w:asciiTheme="minorHAnsi" w:hAnsiTheme="minorHAnsi"/>
          <w:color w:val="auto"/>
        </w:rPr>
      </w:pPr>
      <w:r w:rsidRPr="00523F7E">
        <w:rPr>
          <w:rFonts w:asciiTheme="minorHAnsi" w:hAnsiTheme="minorHAnsi"/>
          <w:color w:val="auto"/>
        </w:rPr>
        <w:t xml:space="preserve">If the </w:t>
      </w:r>
      <w:r w:rsidR="006B4667">
        <w:rPr>
          <w:rFonts w:asciiTheme="minorHAnsi" w:hAnsiTheme="minorHAnsi"/>
          <w:color w:val="auto"/>
        </w:rPr>
        <w:t xml:space="preserve">national interest would not be served by applying the tax conditions and any </w:t>
      </w:r>
      <w:r w:rsidR="0007414F">
        <w:rPr>
          <w:rFonts w:asciiTheme="minorHAnsi" w:hAnsiTheme="minorHAnsi"/>
          <w:color w:val="auto"/>
        </w:rPr>
        <w:t xml:space="preserve">associated </w:t>
      </w:r>
      <w:r w:rsidRPr="00523F7E">
        <w:rPr>
          <w:rFonts w:asciiTheme="minorHAnsi" w:hAnsiTheme="minorHAnsi"/>
          <w:color w:val="auto"/>
        </w:rPr>
        <w:t xml:space="preserve">tax risk can be managed without the use of tax conditions, then </w:t>
      </w:r>
      <w:r w:rsidR="0007414F">
        <w:rPr>
          <w:rFonts w:asciiTheme="minorHAnsi" w:hAnsiTheme="minorHAnsi"/>
          <w:color w:val="auto"/>
        </w:rPr>
        <w:t xml:space="preserve">they </w:t>
      </w:r>
      <w:r w:rsidRPr="00523F7E">
        <w:rPr>
          <w:rFonts w:asciiTheme="minorHAnsi" w:hAnsiTheme="minorHAnsi"/>
          <w:color w:val="auto"/>
        </w:rPr>
        <w:t>will not be applied.</w:t>
      </w:r>
    </w:p>
    <w:p w14:paraId="7E7F3D68" w14:textId="116F091E" w:rsidR="0075796D" w:rsidRPr="0075796D" w:rsidRDefault="00687820" w:rsidP="000430DA">
      <w:pPr>
        <w:pStyle w:val="Heading2"/>
        <w:keepNext/>
      </w:pPr>
      <w:r>
        <w:t>What is the effect of the</w:t>
      </w:r>
      <w:r w:rsidR="0075796D" w:rsidRPr="0075796D">
        <w:t xml:space="preserve"> conditions</w:t>
      </w:r>
      <w:r>
        <w:t>?</w:t>
      </w:r>
    </w:p>
    <w:p w14:paraId="26DBD5D7" w14:textId="098B5EE1" w:rsidR="00B773C2" w:rsidRDefault="00D46F49" w:rsidP="00866C95">
      <w:pPr>
        <w:spacing w:after="150"/>
        <w:rPr>
          <w:rFonts w:asciiTheme="minorHAnsi" w:hAnsiTheme="minorHAnsi" w:cs="Arial"/>
          <w:color w:val="auto"/>
          <w:lang w:val="en-US"/>
        </w:rPr>
      </w:pPr>
      <w:r w:rsidRPr="00FB4435">
        <w:rPr>
          <w:rFonts w:asciiTheme="minorHAnsi" w:hAnsiTheme="minorHAnsi" w:cs="Arial"/>
          <w:color w:val="auto"/>
          <w:lang w:val="en-US"/>
        </w:rPr>
        <w:t xml:space="preserve">The </w:t>
      </w:r>
      <w:r w:rsidR="00506EFC" w:rsidRPr="00FB4435">
        <w:rPr>
          <w:rFonts w:asciiTheme="minorHAnsi" w:hAnsiTheme="minorHAnsi" w:cs="Arial"/>
          <w:color w:val="auto"/>
          <w:lang w:val="en-US"/>
        </w:rPr>
        <w:t xml:space="preserve">Treasurer </w:t>
      </w:r>
      <w:r w:rsidRPr="00FB4435">
        <w:rPr>
          <w:rFonts w:asciiTheme="minorHAnsi" w:hAnsiTheme="minorHAnsi" w:cs="Arial"/>
          <w:color w:val="auto"/>
          <w:lang w:val="en-US"/>
        </w:rPr>
        <w:t>consider</w:t>
      </w:r>
      <w:r w:rsidR="00506EFC" w:rsidRPr="00FB4435">
        <w:rPr>
          <w:rFonts w:asciiTheme="minorHAnsi" w:hAnsiTheme="minorHAnsi" w:cs="Arial"/>
          <w:color w:val="auto"/>
          <w:lang w:val="en-US"/>
        </w:rPr>
        <w:t>ing or</w:t>
      </w:r>
      <w:r w:rsidRPr="00FB4435">
        <w:rPr>
          <w:rFonts w:asciiTheme="minorHAnsi" w:hAnsiTheme="minorHAnsi" w:cs="Arial"/>
          <w:color w:val="auto"/>
          <w:lang w:val="en-US"/>
        </w:rPr>
        <w:t xml:space="preserve"> imposing </w:t>
      </w:r>
      <w:r w:rsidR="009C4ED6">
        <w:rPr>
          <w:rFonts w:asciiTheme="minorHAnsi" w:hAnsiTheme="minorHAnsi" w:cs="Arial"/>
          <w:color w:val="auto"/>
          <w:lang w:val="en-US"/>
        </w:rPr>
        <w:t>tax</w:t>
      </w:r>
      <w:r w:rsidRPr="00FB4435">
        <w:rPr>
          <w:rFonts w:asciiTheme="minorHAnsi" w:hAnsiTheme="minorHAnsi" w:cs="Arial"/>
          <w:color w:val="auto"/>
          <w:lang w:val="en-US"/>
        </w:rPr>
        <w:t xml:space="preserve"> conditions </w:t>
      </w:r>
      <w:r w:rsidR="00A47EFC" w:rsidRPr="00FB4435">
        <w:rPr>
          <w:rFonts w:asciiTheme="minorHAnsi" w:hAnsiTheme="minorHAnsi" w:cs="Arial"/>
          <w:color w:val="auto"/>
          <w:lang w:val="en-US"/>
        </w:rPr>
        <w:t>is not</w:t>
      </w:r>
      <w:r w:rsidRPr="00FB4435">
        <w:rPr>
          <w:rFonts w:asciiTheme="minorHAnsi" w:hAnsiTheme="minorHAnsi" w:cs="Arial"/>
          <w:color w:val="auto"/>
          <w:lang w:val="en-US"/>
        </w:rPr>
        <w:t xml:space="preserve"> a change to Australia</w:t>
      </w:r>
      <w:r w:rsidR="00506EFC" w:rsidRPr="00FB4435">
        <w:rPr>
          <w:rFonts w:asciiTheme="minorHAnsi" w:hAnsiTheme="minorHAnsi" w:cs="Arial"/>
          <w:color w:val="auto"/>
          <w:lang w:val="en-US"/>
        </w:rPr>
        <w:t xml:space="preserve">’s foreign investment </w:t>
      </w:r>
      <w:r w:rsidR="007E6C07">
        <w:rPr>
          <w:rFonts w:asciiTheme="minorHAnsi" w:hAnsiTheme="minorHAnsi" w:cs="Arial"/>
          <w:color w:val="auto"/>
          <w:lang w:val="en-US"/>
        </w:rPr>
        <w:t>policy</w:t>
      </w:r>
      <w:r w:rsidR="00506EFC" w:rsidRPr="00FB4435">
        <w:rPr>
          <w:rFonts w:asciiTheme="minorHAnsi" w:hAnsiTheme="minorHAnsi" w:cs="Arial"/>
          <w:color w:val="auto"/>
          <w:lang w:val="en-US"/>
        </w:rPr>
        <w:t xml:space="preserve"> or Australia</w:t>
      </w:r>
      <w:r w:rsidRPr="00FB4435">
        <w:rPr>
          <w:rFonts w:asciiTheme="minorHAnsi" w:hAnsiTheme="minorHAnsi" w:cs="Arial"/>
          <w:color w:val="auto"/>
          <w:lang w:val="en-US"/>
        </w:rPr>
        <w:t xml:space="preserve">n </w:t>
      </w:r>
      <w:r w:rsidR="009C4ED6">
        <w:rPr>
          <w:rFonts w:asciiTheme="minorHAnsi" w:hAnsiTheme="minorHAnsi" w:cs="Arial"/>
          <w:color w:val="auto"/>
          <w:lang w:val="en-US"/>
        </w:rPr>
        <w:t>tax</w:t>
      </w:r>
      <w:r w:rsidRPr="00FB4435">
        <w:rPr>
          <w:rFonts w:asciiTheme="minorHAnsi" w:hAnsiTheme="minorHAnsi" w:cs="Arial"/>
          <w:color w:val="auto"/>
          <w:lang w:val="en-US"/>
        </w:rPr>
        <w:t xml:space="preserve"> law. </w:t>
      </w:r>
      <w:r w:rsidR="009C4ED6">
        <w:rPr>
          <w:rFonts w:asciiTheme="minorHAnsi" w:hAnsiTheme="minorHAnsi" w:cs="Arial"/>
          <w:color w:val="auto"/>
          <w:lang w:val="en-US"/>
        </w:rPr>
        <w:t>Consideration of tax</w:t>
      </w:r>
      <w:r w:rsidR="00614D85" w:rsidRPr="00FB4435">
        <w:rPr>
          <w:rFonts w:asciiTheme="minorHAnsi" w:hAnsiTheme="minorHAnsi" w:cs="Arial"/>
          <w:color w:val="auto"/>
          <w:lang w:val="en-US"/>
        </w:rPr>
        <w:t xml:space="preserve"> issues </w:t>
      </w:r>
      <w:r w:rsidR="002A6BB5">
        <w:rPr>
          <w:rFonts w:asciiTheme="minorHAnsi" w:hAnsiTheme="minorHAnsi" w:cs="Arial"/>
          <w:color w:val="auto"/>
          <w:lang w:val="en-US"/>
        </w:rPr>
        <w:t>is</w:t>
      </w:r>
      <w:r w:rsidR="00614D85" w:rsidRPr="00FB4435">
        <w:rPr>
          <w:rFonts w:asciiTheme="minorHAnsi" w:hAnsiTheme="minorHAnsi" w:cs="Arial"/>
          <w:color w:val="auto"/>
          <w:lang w:val="en-US"/>
        </w:rPr>
        <w:t xml:space="preserve"> a longstanding feature of the consideration of the national interest</w:t>
      </w:r>
      <w:r w:rsidR="00161959">
        <w:rPr>
          <w:rFonts w:asciiTheme="minorHAnsi" w:hAnsiTheme="minorHAnsi" w:cs="Arial"/>
          <w:color w:val="auto"/>
          <w:lang w:val="en-US"/>
        </w:rPr>
        <w:t xml:space="preserve">. The ATO will continue to assess the potential tax impact of </w:t>
      </w:r>
      <w:r w:rsidR="0007414F">
        <w:rPr>
          <w:rFonts w:asciiTheme="minorHAnsi" w:hAnsiTheme="minorHAnsi" w:cs="Arial"/>
          <w:color w:val="auto"/>
          <w:lang w:val="en-US"/>
        </w:rPr>
        <w:t>an action</w:t>
      </w:r>
      <w:r w:rsidR="00161959">
        <w:rPr>
          <w:rFonts w:asciiTheme="minorHAnsi" w:hAnsiTheme="minorHAnsi" w:cs="Arial"/>
          <w:color w:val="auto"/>
          <w:lang w:val="en-US"/>
        </w:rPr>
        <w:t xml:space="preserve"> in the same way that it previously has</w:t>
      </w:r>
      <w:r w:rsidR="00614D85" w:rsidRPr="00FB4435">
        <w:rPr>
          <w:rFonts w:asciiTheme="minorHAnsi" w:hAnsiTheme="minorHAnsi" w:cs="Arial"/>
          <w:color w:val="auto"/>
          <w:lang w:val="en-US"/>
        </w:rPr>
        <w:t xml:space="preserve">. </w:t>
      </w:r>
      <w:r w:rsidR="00B773C2">
        <w:rPr>
          <w:rFonts w:asciiTheme="minorHAnsi" w:hAnsiTheme="minorHAnsi" w:cs="Arial"/>
          <w:color w:val="auto"/>
          <w:lang w:val="en-US"/>
        </w:rPr>
        <w:t xml:space="preserve">The information that the ATO requires to conduct its assessment of the potential tax impact of an action does not change as a </w:t>
      </w:r>
      <w:proofErr w:type="gramStart"/>
      <w:r w:rsidR="00B773C2">
        <w:rPr>
          <w:rFonts w:asciiTheme="minorHAnsi" w:hAnsiTheme="minorHAnsi" w:cs="Arial"/>
          <w:color w:val="auto"/>
          <w:lang w:val="en-US"/>
        </w:rPr>
        <w:t>result</w:t>
      </w:r>
      <w:proofErr w:type="gramEnd"/>
      <w:r w:rsidR="00B773C2">
        <w:rPr>
          <w:rFonts w:asciiTheme="minorHAnsi" w:hAnsiTheme="minorHAnsi" w:cs="Arial"/>
          <w:color w:val="auto"/>
          <w:lang w:val="en-US"/>
        </w:rPr>
        <w:t xml:space="preserve"> of the tax conditions.</w:t>
      </w:r>
    </w:p>
    <w:p w14:paraId="5F935DB7" w14:textId="5AA768C1" w:rsidR="00866C95" w:rsidRPr="00FB4435" w:rsidRDefault="00866C95" w:rsidP="00866C95">
      <w:pPr>
        <w:spacing w:after="150"/>
        <w:rPr>
          <w:rFonts w:asciiTheme="minorHAnsi" w:hAnsiTheme="minorHAnsi" w:cs="Arial"/>
          <w:color w:val="auto"/>
          <w:lang w:val="en-US"/>
        </w:rPr>
      </w:pPr>
      <w:r w:rsidRPr="00FB4435">
        <w:rPr>
          <w:rFonts w:asciiTheme="minorHAnsi" w:hAnsiTheme="minorHAnsi" w:cs="Arial"/>
          <w:color w:val="auto"/>
          <w:lang w:val="en-US"/>
        </w:rPr>
        <w:t xml:space="preserve">Conditions imposed by the Treasurer </w:t>
      </w:r>
      <w:r w:rsidR="00BA1D81">
        <w:rPr>
          <w:rFonts w:asciiTheme="minorHAnsi" w:hAnsiTheme="minorHAnsi" w:cs="Arial"/>
          <w:color w:val="auto"/>
          <w:lang w:val="en-US"/>
        </w:rPr>
        <w:t xml:space="preserve">when raising no objection to </w:t>
      </w:r>
      <w:r w:rsidR="007F0565">
        <w:rPr>
          <w:rFonts w:asciiTheme="minorHAnsi" w:hAnsiTheme="minorHAnsi" w:cs="Arial"/>
          <w:color w:val="auto"/>
          <w:lang w:val="en-US"/>
        </w:rPr>
        <w:t xml:space="preserve">an </w:t>
      </w:r>
      <w:r w:rsidR="00F878A3">
        <w:rPr>
          <w:rFonts w:asciiTheme="minorHAnsi" w:hAnsiTheme="minorHAnsi" w:cs="Arial"/>
          <w:color w:val="auto"/>
          <w:lang w:val="en-US"/>
        </w:rPr>
        <w:t>action</w:t>
      </w:r>
      <w:r w:rsidR="00F878A3" w:rsidRPr="00FB4435">
        <w:rPr>
          <w:rFonts w:asciiTheme="minorHAnsi" w:hAnsiTheme="minorHAnsi" w:cs="Arial"/>
          <w:color w:val="auto"/>
          <w:lang w:val="en-US"/>
        </w:rPr>
        <w:t xml:space="preserve"> </w:t>
      </w:r>
      <w:r w:rsidRPr="00FB4435">
        <w:rPr>
          <w:rFonts w:asciiTheme="minorHAnsi" w:hAnsiTheme="minorHAnsi" w:cs="Arial"/>
          <w:color w:val="auto"/>
          <w:lang w:val="en-US"/>
        </w:rPr>
        <w:t xml:space="preserve">are not expected to affect the timeframe for considering </w:t>
      </w:r>
      <w:r w:rsidR="007F7430" w:rsidRPr="00FB4435">
        <w:rPr>
          <w:rFonts w:asciiTheme="minorHAnsi" w:hAnsiTheme="minorHAnsi" w:cs="Arial"/>
          <w:color w:val="auto"/>
          <w:lang w:val="en-US"/>
        </w:rPr>
        <w:t>an</w:t>
      </w:r>
      <w:r w:rsidRPr="00FB4435">
        <w:rPr>
          <w:rFonts w:asciiTheme="minorHAnsi" w:hAnsiTheme="minorHAnsi" w:cs="Arial"/>
          <w:color w:val="auto"/>
          <w:lang w:val="en-US"/>
        </w:rPr>
        <w:t xml:space="preserve"> </w:t>
      </w:r>
      <w:r w:rsidR="0007414F">
        <w:rPr>
          <w:rFonts w:asciiTheme="minorHAnsi" w:hAnsiTheme="minorHAnsi" w:cs="Arial"/>
          <w:color w:val="auto"/>
          <w:lang w:val="en-US"/>
        </w:rPr>
        <w:t>action</w:t>
      </w:r>
      <w:r w:rsidRPr="00FB4435">
        <w:rPr>
          <w:rFonts w:asciiTheme="minorHAnsi" w:hAnsiTheme="minorHAnsi" w:cs="Arial"/>
          <w:color w:val="auto"/>
          <w:lang w:val="en-US"/>
        </w:rPr>
        <w:t xml:space="preserve">. </w:t>
      </w:r>
    </w:p>
    <w:p w14:paraId="697FE6B2" w14:textId="17C5EA1A" w:rsidR="00161959" w:rsidRPr="00FB4435" w:rsidRDefault="00161959" w:rsidP="00161959">
      <w:pPr>
        <w:spacing w:after="150"/>
        <w:rPr>
          <w:rFonts w:asciiTheme="minorHAnsi" w:hAnsiTheme="minorHAnsi" w:cs="Arial"/>
          <w:color w:val="auto"/>
          <w:lang w:val="en-US"/>
        </w:rPr>
      </w:pPr>
      <w:r>
        <w:rPr>
          <w:rFonts w:asciiTheme="minorHAnsi" w:hAnsiTheme="minorHAnsi" w:cs="Arial"/>
          <w:color w:val="auto"/>
          <w:lang w:val="en-US"/>
        </w:rPr>
        <w:lastRenderedPageBreak/>
        <w:t xml:space="preserve">The conditions do not have any impact on Australia’s </w:t>
      </w:r>
      <w:r w:rsidR="009C4ED6">
        <w:rPr>
          <w:rFonts w:asciiTheme="minorHAnsi" w:hAnsiTheme="minorHAnsi" w:cs="Arial"/>
          <w:color w:val="auto"/>
          <w:lang w:val="en-US"/>
        </w:rPr>
        <w:t>tax</w:t>
      </w:r>
      <w:r>
        <w:rPr>
          <w:rFonts w:asciiTheme="minorHAnsi" w:hAnsiTheme="minorHAnsi" w:cs="Arial"/>
          <w:color w:val="auto"/>
          <w:lang w:val="en-US"/>
        </w:rPr>
        <w:t xml:space="preserve"> laws, which continue to operate as per the legislation.</w:t>
      </w:r>
    </w:p>
    <w:p w14:paraId="265AE8A4" w14:textId="44635E9E" w:rsidR="00C3078E" w:rsidRDefault="00D46F49" w:rsidP="0075796D">
      <w:pPr>
        <w:spacing w:after="150"/>
        <w:rPr>
          <w:rFonts w:asciiTheme="minorHAnsi" w:hAnsiTheme="minorHAnsi" w:cs="Arial"/>
          <w:color w:val="auto"/>
          <w:lang w:val="en-US"/>
        </w:rPr>
      </w:pPr>
      <w:r w:rsidRPr="00FB4435">
        <w:rPr>
          <w:rFonts w:asciiTheme="minorHAnsi" w:hAnsiTheme="minorHAnsi" w:cs="Arial"/>
          <w:color w:val="auto"/>
          <w:lang w:val="en-US"/>
        </w:rPr>
        <w:t>The conditions, generally speaking, require compliance with</w:t>
      </w:r>
      <w:r w:rsidR="003E52DB" w:rsidRPr="00FB4435">
        <w:rPr>
          <w:rFonts w:asciiTheme="minorHAnsi" w:hAnsiTheme="minorHAnsi" w:cs="Arial"/>
          <w:color w:val="auto"/>
          <w:lang w:val="en-US"/>
        </w:rPr>
        <w:t xml:space="preserve"> Australia’s tax laws, co</w:t>
      </w:r>
      <w:r w:rsidR="00506EFC" w:rsidRPr="00FB4435">
        <w:rPr>
          <w:rFonts w:asciiTheme="minorHAnsi" w:hAnsiTheme="minorHAnsi" w:cs="Arial"/>
          <w:color w:val="auto"/>
          <w:lang w:val="en-US"/>
        </w:rPr>
        <w:noBreakHyphen/>
      </w:r>
      <w:r w:rsidR="003E52DB" w:rsidRPr="00FB4435">
        <w:rPr>
          <w:rFonts w:asciiTheme="minorHAnsi" w:hAnsiTheme="minorHAnsi" w:cs="Arial"/>
          <w:color w:val="auto"/>
          <w:lang w:val="en-US"/>
        </w:rPr>
        <w:t xml:space="preserve">operation with the ATO by producing information in a timely and complete manner, and </w:t>
      </w:r>
      <w:r w:rsidR="009C4ED6">
        <w:rPr>
          <w:rFonts w:asciiTheme="minorHAnsi" w:hAnsiTheme="minorHAnsi" w:cs="Arial"/>
          <w:color w:val="auto"/>
          <w:lang w:val="en-US"/>
        </w:rPr>
        <w:t>payment of outstanding tax debt, along with reporting on compliance</w:t>
      </w:r>
      <w:r w:rsidR="0007414F">
        <w:rPr>
          <w:rFonts w:asciiTheme="minorHAnsi" w:hAnsiTheme="minorHAnsi" w:cs="Arial"/>
          <w:color w:val="auto"/>
          <w:lang w:val="en-US"/>
        </w:rPr>
        <w:t xml:space="preserve"> with the conditions</w:t>
      </w:r>
      <w:r w:rsidR="009C4ED6">
        <w:rPr>
          <w:rFonts w:asciiTheme="minorHAnsi" w:hAnsiTheme="minorHAnsi" w:cs="Arial"/>
          <w:color w:val="auto"/>
          <w:lang w:val="en-US"/>
        </w:rPr>
        <w:t xml:space="preserve"> and the holding of the asset.</w:t>
      </w:r>
    </w:p>
    <w:p w14:paraId="50BE5C7B" w14:textId="5F896038" w:rsidR="00B10F58" w:rsidRPr="00FB4435" w:rsidRDefault="00B10F58" w:rsidP="0075796D">
      <w:pPr>
        <w:spacing w:after="150"/>
        <w:rPr>
          <w:rFonts w:asciiTheme="minorHAnsi" w:hAnsiTheme="minorHAnsi" w:cs="Arial"/>
          <w:color w:val="auto"/>
          <w:lang w:val="en-US"/>
        </w:rPr>
      </w:pPr>
      <w:r w:rsidRPr="00FB4435">
        <w:rPr>
          <w:rFonts w:asciiTheme="minorHAnsi" w:hAnsiTheme="minorHAnsi" w:cs="Arial"/>
          <w:color w:val="auto"/>
          <w:lang w:val="en-US"/>
        </w:rPr>
        <w:t xml:space="preserve">In </w:t>
      </w:r>
      <w:r w:rsidR="007065CF" w:rsidRPr="00FB4435">
        <w:rPr>
          <w:rFonts w:asciiTheme="minorHAnsi" w:hAnsiTheme="minorHAnsi" w:cs="Arial"/>
          <w:color w:val="auto"/>
          <w:lang w:val="en-US"/>
        </w:rPr>
        <w:t xml:space="preserve">cases with </w:t>
      </w:r>
      <w:r w:rsidR="00B002FD" w:rsidRPr="00FB4435">
        <w:rPr>
          <w:rFonts w:asciiTheme="minorHAnsi" w:hAnsiTheme="minorHAnsi" w:cs="Arial"/>
          <w:color w:val="auto"/>
          <w:lang w:val="en-US"/>
        </w:rPr>
        <w:t xml:space="preserve">a particular </w:t>
      </w:r>
      <w:r w:rsidR="007065CF" w:rsidRPr="00FB4435">
        <w:rPr>
          <w:rFonts w:asciiTheme="minorHAnsi" w:hAnsiTheme="minorHAnsi" w:cs="Arial"/>
          <w:color w:val="auto"/>
          <w:lang w:val="en-US"/>
        </w:rPr>
        <w:t>tax risk</w:t>
      </w:r>
      <w:r w:rsidRPr="00FB4435">
        <w:rPr>
          <w:rFonts w:asciiTheme="minorHAnsi" w:hAnsiTheme="minorHAnsi" w:cs="Arial"/>
          <w:color w:val="auto"/>
          <w:lang w:val="en-US"/>
        </w:rPr>
        <w:t xml:space="preserve"> some conditions may require the investor </w:t>
      </w:r>
      <w:r w:rsidR="00506EFC" w:rsidRPr="00FB4435">
        <w:rPr>
          <w:rFonts w:asciiTheme="minorHAnsi" w:hAnsiTheme="minorHAnsi" w:cs="Arial"/>
          <w:color w:val="auto"/>
          <w:lang w:val="en-US"/>
        </w:rPr>
        <w:t>(</w:t>
      </w:r>
      <w:r w:rsidRPr="00FB4435">
        <w:rPr>
          <w:rFonts w:asciiTheme="minorHAnsi" w:hAnsiTheme="minorHAnsi" w:cs="Arial"/>
          <w:color w:val="auto"/>
          <w:lang w:val="en-US"/>
        </w:rPr>
        <w:t>and/or its associates</w:t>
      </w:r>
      <w:r w:rsidR="00506EFC" w:rsidRPr="00FB4435">
        <w:rPr>
          <w:rFonts w:asciiTheme="minorHAnsi" w:hAnsiTheme="minorHAnsi" w:cs="Arial"/>
          <w:color w:val="auto"/>
          <w:lang w:val="en-US"/>
        </w:rPr>
        <w:t>)</w:t>
      </w:r>
      <w:r w:rsidR="00880D49" w:rsidRPr="00FB4435">
        <w:rPr>
          <w:rFonts w:asciiTheme="minorHAnsi" w:hAnsiTheme="minorHAnsi" w:cs="Arial"/>
          <w:color w:val="auto"/>
          <w:lang w:val="en-US"/>
        </w:rPr>
        <w:t xml:space="preserve"> to enter into </w:t>
      </w:r>
      <w:r w:rsidR="00506EFC" w:rsidRPr="00FB4435">
        <w:rPr>
          <w:rFonts w:asciiTheme="minorHAnsi" w:hAnsiTheme="minorHAnsi" w:cs="Arial"/>
          <w:color w:val="auto"/>
          <w:lang w:val="en-US"/>
        </w:rPr>
        <w:t>good faith negotiations</w:t>
      </w:r>
      <w:r w:rsidR="0007414F">
        <w:rPr>
          <w:rFonts w:asciiTheme="minorHAnsi" w:hAnsiTheme="minorHAnsi" w:cs="Arial"/>
          <w:color w:val="auto"/>
          <w:lang w:val="en-US"/>
        </w:rPr>
        <w:t xml:space="preserve"> with the ATO</w:t>
      </w:r>
      <w:r w:rsidR="00506EFC" w:rsidRPr="00FB4435">
        <w:rPr>
          <w:rFonts w:asciiTheme="minorHAnsi" w:hAnsiTheme="minorHAnsi" w:cs="Arial"/>
          <w:color w:val="auto"/>
          <w:lang w:val="en-US"/>
        </w:rPr>
        <w:t xml:space="preserve"> for </w:t>
      </w:r>
      <w:r w:rsidR="00880D49" w:rsidRPr="00FB4435">
        <w:rPr>
          <w:rFonts w:asciiTheme="minorHAnsi" w:hAnsiTheme="minorHAnsi" w:cs="Arial"/>
          <w:color w:val="auto"/>
          <w:lang w:val="en-US"/>
        </w:rPr>
        <w:t>an</w:t>
      </w:r>
      <w:r w:rsidR="00057941" w:rsidRPr="00FB4435">
        <w:rPr>
          <w:rFonts w:asciiTheme="minorHAnsi" w:hAnsiTheme="minorHAnsi" w:cs="Arial"/>
          <w:color w:val="auto"/>
          <w:lang w:val="en-US"/>
        </w:rPr>
        <w:t xml:space="preserve"> advance pricing arrangement</w:t>
      </w:r>
      <w:r w:rsidR="00880D49" w:rsidRPr="00FB4435">
        <w:rPr>
          <w:rFonts w:asciiTheme="minorHAnsi" w:hAnsiTheme="minorHAnsi" w:cs="Arial"/>
          <w:color w:val="auto"/>
          <w:lang w:val="en-US"/>
        </w:rPr>
        <w:t xml:space="preserve">, </w:t>
      </w:r>
      <w:r w:rsidR="00506EFC" w:rsidRPr="00FB4435">
        <w:rPr>
          <w:rFonts w:asciiTheme="minorHAnsi" w:hAnsiTheme="minorHAnsi" w:cs="Arial"/>
          <w:color w:val="auto"/>
          <w:lang w:val="en-US"/>
        </w:rPr>
        <w:t xml:space="preserve">request a </w:t>
      </w:r>
      <w:r w:rsidR="00880D49" w:rsidRPr="00FB4435">
        <w:rPr>
          <w:rFonts w:asciiTheme="minorHAnsi" w:hAnsiTheme="minorHAnsi" w:cs="Arial"/>
          <w:color w:val="auto"/>
          <w:lang w:val="en-US"/>
        </w:rPr>
        <w:t>private binding ruling</w:t>
      </w:r>
      <w:r w:rsidR="00506EFC" w:rsidRPr="00FB4435">
        <w:rPr>
          <w:rFonts w:asciiTheme="minorHAnsi" w:hAnsiTheme="minorHAnsi" w:cs="Arial"/>
          <w:color w:val="auto"/>
          <w:lang w:val="en-US"/>
        </w:rPr>
        <w:t>,</w:t>
      </w:r>
      <w:r w:rsidR="00880D49" w:rsidRPr="00FB4435">
        <w:rPr>
          <w:rFonts w:asciiTheme="minorHAnsi" w:hAnsiTheme="minorHAnsi" w:cs="Arial"/>
          <w:color w:val="auto"/>
          <w:lang w:val="en-US"/>
        </w:rPr>
        <w:t xml:space="preserve"> or take other action to resolve </w:t>
      </w:r>
      <w:r w:rsidR="009C4ED6">
        <w:rPr>
          <w:rFonts w:asciiTheme="minorHAnsi" w:hAnsiTheme="minorHAnsi" w:cs="Arial"/>
          <w:color w:val="auto"/>
          <w:lang w:val="en-US"/>
        </w:rPr>
        <w:t>tax</w:t>
      </w:r>
      <w:r w:rsidR="00880D49" w:rsidRPr="00FB4435">
        <w:rPr>
          <w:rFonts w:asciiTheme="minorHAnsi" w:hAnsiTheme="minorHAnsi" w:cs="Arial"/>
          <w:color w:val="auto"/>
          <w:lang w:val="en-US"/>
        </w:rPr>
        <w:t xml:space="preserve"> issues. These may not necessarily be required to be completed in order for a no objection </w:t>
      </w:r>
      <w:r w:rsidR="00506EFC" w:rsidRPr="00FB4435">
        <w:rPr>
          <w:rFonts w:asciiTheme="minorHAnsi" w:hAnsiTheme="minorHAnsi" w:cs="Arial"/>
          <w:color w:val="auto"/>
          <w:lang w:val="en-US"/>
        </w:rPr>
        <w:t xml:space="preserve">notification </w:t>
      </w:r>
      <w:r w:rsidR="00880D49" w:rsidRPr="00FB4435">
        <w:rPr>
          <w:rFonts w:asciiTheme="minorHAnsi" w:hAnsiTheme="minorHAnsi" w:cs="Arial"/>
          <w:color w:val="auto"/>
          <w:lang w:val="en-US"/>
        </w:rPr>
        <w:t xml:space="preserve">to be </w:t>
      </w:r>
      <w:r w:rsidR="00506EFC" w:rsidRPr="00FB4435">
        <w:rPr>
          <w:rFonts w:asciiTheme="minorHAnsi" w:hAnsiTheme="minorHAnsi" w:cs="Arial"/>
          <w:color w:val="auto"/>
          <w:lang w:val="en-US"/>
        </w:rPr>
        <w:t>given</w:t>
      </w:r>
      <w:r w:rsidR="00880D49" w:rsidRPr="00FB4435">
        <w:rPr>
          <w:rFonts w:asciiTheme="minorHAnsi" w:hAnsiTheme="minorHAnsi" w:cs="Arial"/>
          <w:color w:val="auto"/>
          <w:lang w:val="en-US"/>
        </w:rPr>
        <w:t xml:space="preserve">, but </w:t>
      </w:r>
      <w:r w:rsidR="00057941" w:rsidRPr="00FB4435">
        <w:rPr>
          <w:rFonts w:asciiTheme="minorHAnsi" w:hAnsiTheme="minorHAnsi" w:cs="Arial"/>
          <w:color w:val="auto"/>
          <w:lang w:val="en-US"/>
        </w:rPr>
        <w:t>may be required within a certain timeframe afterwards.</w:t>
      </w:r>
      <w:r w:rsidR="00353912">
        <w:rPr>
          <w:rFonts w:asciiTheme="minorHAnsi" w:hAnsiTheme="minorHAnsi" w:cs="Arial"/>
          <w:color w:val="auto"/>
          <w:lang w:val="en-US"/>
        </w:rPr>
        <w:t xml:space="preserve"> </w:t>
      </w:r>
    </w:p>
    <w:p w14:paraId="31F2AB47" w14:textId="432BC35E" w:rsidR="008E5BF3" w:rsidRPr="00FB4435" w:rsidRDefault="006B14A5" w:rsidP="0075796D">
      <w:pPr>
        <w:spacing w:after="150"/>
        <w:rPr>
          <w:rFonts w:asciiTheme="minorHAnsi" w:hAnsiTheme="minorHAnsi" w:cs="Arial"/>
          <w:color w:val="auto"/>
          <w:lang w:val="en-US"/>
        </w:rPr>
      </w:pPr>
      <w:r w:rsidRPr="00FB4435">
        <w:rPr>
          <w:rFonts w:asciiTheme="minorHAnsi" w:hAnsiTheme="minorHAnsi" w:cs="Arial"/>
          <w:color w:val="auto"/>
          <w:lang w:val="en-US"/>
        </w:rPr>
        <w:t xml:space="preserve">Foreign investors </w:t>
      </w:r>
      <w:r w:rsidR="001A2546" w:rsidRPr="00FB4435">
        <w:rPr>
          <w:rFonts w:asciiTheme="minorHAnsi" w:hAnsiTheme="minorHAnsi" w:cs="Arial"/>
          <w:color w:val="auto"/>
          <w:lang w:val="en-US"/>
        </w:rPr>
        <w:t xml:space="preserve">will be expected to work with the </w:t>
      </w:r>
      <w:r w:rsidR="008E5BF3" w:rsidRPr="00FB4435">
        <w:rPr>
          <w:rFonts w:asciiTheme="minorHAnsi" w:hAnsiTheme="minorHAnsi" w:cs="Arial"/>
          <w:color w:val="auto"/>
          <w:lang w:val="en-US"/>
        </w:rPr>
        <w:t>ATO</w:t>
      </w:r>
      <w:r w:rsidR="00E64CEF" w:rsidRPr="00FB4435">
        <w:rPr>
          <w:rFonts w:asciiTheme="minorHAnsi" w:hAnsiTheme="minorHAnsi" w:cs="Arial"/>
          <w:color w:val="auto"/>
          <w:lang w:val="en-US"/>
        </w:rPr>
        <w:t xml:space="preserve"> </w:t>
      </w:r>
      <w:r w:rsidR="002271F8" w:rsidRPr="00FB4435">
        <w:rPr>
          <w:rFonts w:asciiTheme="minorHAnsi" w:hAnsiTheme="minorHAnsi" w:cs="Arial"/>
          <w:color w:val="auto"/>
          <w:lang w:val="en-US"/>
        </w:rPr>
        <w:t>in</w:t>
      </w:r>
      <w:r w:rsidR="00E64CEF" w:rsidRPr="00FB4435">
        <w:rPr>
          <w:rFonts w:asciiTheme="minorHAnsi" w:hAnsiTheme="minorHAnsi" w:cs="Arial"/>
          <w:color w:val="auto"/>
          <w:lang w:val="en-US"/>
        </w:rPr>
        <w:t xml:space="preserve"> comply</w:t>
      </w:r>
      <w:r w:rsidR="002271F8" w:rsidRPr="00FB4435">
        <w:rPr>
          <w:rFonts w:asciiTheme="minorHAnsi" w:hAnsiTheme="minorHAnsi" w:cs="Arial"/>
          <w:color w:val="auto"/>
          <w:lang w:val="en-US"/>
        </w:rPr>
        <w:t>ing</w:t>
      </w:r>
      <w:r w:rsidR="00E64CEF" w:rsidRPr="00FB4435">
        <w:rPr>
          <w:rFonts w:asciiTheme="minorHAnsi" w:hAnsiTheme="minorHAnsi" w:cs="Arial"/>
          <w:color w:val="auto"/>
          <w:lang w:val="en-US"/>
        </w:rPr>
        <w:t xml:space="preserve"> with the conditions.</w:t>
      </w:r>
    </w:p>
    <w:p w14:paraId="24FB88F9" w14:textId="0CB2B911" w:rsidR="0075796D" w:rsidRPr="0075796D" w:rsidRDefault="0075796D" w:rsidP="000430DA">
      <w:pPr>
        <w:pStyle w:val="Heading2"/>
        <w:keepNext/>
      </w:pPr>
      <w:bookmarkStart w:id="2" w:name="_Ref461377691"/>
      <w:r w:rsidRPr="0075796D">
        <w:t>What if a tax condition is breached?</w:t>
      </w:r>
      <w:bookmarkEnd w:id="2"/>
    </w:p>
    <w:p w14:paraId="36A1B2FB" w14:textId="30BE85AA" w:rsidR="003809D1" w:rsidRDefault="0075796D" w:rsidP="0075796D">
      <w:pPr>
        <w:spacing w:after="150"/>
        <w:rPr>
          <w:rFonts w:asciiTheme="minorHAnsi" w:hAnsiTheme="minorHAnsi" w:cs="Arial"/>
          <w:color w:val="auto"/>
          <w:lang w:val="en-US"/>
        </w:rPr>
      </w:pPr>
      <w:r w:rsidRPr="00FB4435">
        <w:rPr>
          <w:rFonts w:asciiTheme="minorHAnsi" w:hAnsiTheme="minorHAnsi" w:cs="Arial"/>
          <w:color w:val="auto"/>
          <w:lang w:val="en-US"/>
        </w:rPr>
        <w:t>If a condition is breached</w:t>
      </w:r>
      <w:r w:rsidR="00E62A5B">
        <w:rPr>
          <w:rFonts w:asciiTheme="minorHAnsi" w:hAnsiTheme="minorHAnsi" w:cs="Arial"/>
          <w:color w:val="auto"/>
          <w:lang w:val="en-US"/>
        </w:rPr>
        <w:t>,</w:t>
      </w:r>
      <w:r w:rsidRPr="00FB4435">
        <w:rPr>
          <w:rFonts w:asciiTheme="minorHAnsi" w:hAnsiTheme="minorHAnsi" w:cs="Arial"/>
          <w:color w:val="auto"/>
          <w:lang w:val="en-US"/>
        </w:rPr>
        <w:t xml:space="preserve"> then </w:t>
      </w:r>
      <w:r w:rsidR="00CE0934" w:rsidRPr="00FB4435">
        <w:rPr>
          <w:rFonts w:asciiTheme="minorHAnsi" w:hAnsiTheme="minorHAnsi" w:cs="Arial"/>
          <w:color w:val="auto"/>
          <w:lang w:val="en-US"/>
        </w:rPr>
        <w:t xml:space="preserve">an investor may be subject to </w:t>
      </w:r>
      <w:r w:rsidR="00BE3C03" w:rsidRPr="00FB4435">
        <w:rPr>
          <w:rFonts w:asciiTheme="minorHAnsi" w:hAnsiTheme="minorHAnsi" w:cs="Arial"/>
          <w:color w:val="auto"/>
          <w:lang w:val="en-US"/>
        </w:rPr>
        <w:t>prosecution</w:t>
      </w:r>
      <w:r w:rsidR="008A6BE0">
        <w:rPr>
          <w:rFonts w:asciiTheme="minorHAnsi" w:hAnsiTheme="minorHAnsi" w:cs="Arial"/>
          <w:color w:val="auto"/>
          <w:lang w:val="en-US"/>
        </w:rPr>
        <w:t xml:space="preserve"> or </w:t>
      </w:r>
      <w:r w:rsidR="00F33AB1" w:rsidRPr="00FB4435">
        <w:rPr>
          <w:rFonts w:asciiTheme="minorHAnsi" w:hAnsiTheme="minorHAnsi" w:cs="Arial"/>
          <w:color w:val="auto"/>
          <w:lang w:val="en-US"/>
        </w:rPr>
        <w:t>an application for a civil penalty order</w:t>
      </w:r>
      <w:r w:rsidR="00E62A5B">
        <w:rPr>
          <w:rFonts w:asciiTheme="minorHAnsi" w:hAnsiTheme="minorHAnsi" w:cs="Arial"/>
          <w:color w:val="auto"/>
          <w:lang w:val="en-US"/>
        </w:rPr>
        <w:t xml:space="preserve">. </w:t>
      </w:r>
      <w:r w:rsidR="003E4417">
        <w:rPr>
          <w:rFonts w:asciiTheme="minorHAnsi" w:hAnsiTheme="minorHAnsi" w:cs="Arial"/>
          <w:color w:val="auto"/>
          <w:lang w:val="en-US"/>
        </w:rPr>
        <w:t>It will depend on the breach and the circumstances surrounding it as to w</w:t>
      </w:r>
      <w:r w:rsidR="00E62A5B">
        <w:rPr>
          <w:rFonts w:asciiTheme="minorHAnsi" w:hAnsiTheme="minorHAnsi" w:cs="Arial"/>
          <w:color w:val="auto"/>
          <w:lang w:val="en-US"/>
        </w:rPr>
        <w:t>hether</w:t>
      </w:r>
      <w:r w:rsidR="00D45365">
        <w:rPr>
          <w:rFonts w:asciiTheme="minorHAnsi" w:hAnsiTheme="minorHAnsi" w:cs="Arial"/>
          <w:color w:val="auto"/>
          <w:lang w:val="en-US"/>
        </w:rPr>
        <w:t xml:space="preserve"> legal proceedings are commenced</w:t>
      </w:r>
      <w:r w:rsidR="00F33AB1" w:rsidRPr="00FB4435">
        <w:rPr>
          <w:rFonts w:asciiTheme="minorHAnsi" w:hAnsiTheme="minorHAnsi" w:cs="Arial"/>
          <w:color w:val="auto"/>
          <w:lang w:val="en-US"/>
        </w:rPr>
        <w:t xml:space="preserve">. </w:t>
      </w:r>
    </w:p>
    <w:p w14:paraId="5D1D50BB" w14:textId="5773D5E9" w:rsidR="00E62A5B" w:rsidRDefault="003E4417" w:rsidP="00081786">
      <w:pPr>
        <w:spacing w:after="150"/>
        <w:ind w:right="-142"/>
        <w:rPr>
          <w:rFonts w:asciiTheme="minorHAnsi" w:hAnsiTheme="minorHAnsi" w:cs="Arial"/>
          <w:color w:val="auto"/>
          <w:lang w:val="en-US"/>
        </w:rPr>
      </w:pPr>
      <w:r>
        <w:rPr>
          <w:rFonts w:asciiTheme="minorHAnsi" w:hAnsiTheme="minorHAnsi" w:cs="Arial"/>
          <w:color w:val="auto"/>
          <w:lang w:val="en-US"/>
        </w:rPr>
        <w:t xml:space="preserve">If </w:t>
      </w:r>
      <w:r w:rsidR="007F7430">
        <w:rPr>
          <w:rFonts w:asciiTheme="minorHAnsi" w:hAnsiTheme="minorHAnsi" w:cs="Arial"/>
          <w:color w:val="auto"/>
          <w:lang w:val="en-US"/>
        </w:rPr>
        <w:t>legal proceedings are commenced</w:t>
      </w:r>
      <w:r>
        <w:rPr>
          <w:rFonts w:asciiTheme="minorHAnsi" w:hAnsiTheme="minorHAnsi" w:cs="Arial"/>
          <w:color w:val="auto"/>
          <w:lang w:val="en-US"/>
        </w:rPr>
        <w:t xml:space="preserve"> and</w:t>
      </w:r>
      <w:r w:rsidR="00F33AB1" w:rsidRPr="00FB4435">
        <w:rPr>
          <w:rFonts w:asciiTheme="minorHAnsi" w:hAnsiTheme="minorHAnsi" w:cs="Arial"/>
          <w:color w:val="auto"/>
          <w:lang w:val="en-US"/>
        </w:rPr>
        <w:t xml:space="preserve"> a court finds that a condition has</w:t>
      </w:r>
      <w:r w:rsidR="00E62A5B">
        <w:rPr>
          <w:rFonts w:asciiTheme="minorHAnsi" w:hAnsiTheme="minorHAnsi" w:cs="Arial"/>
          <w:color w:val="auto"/>
          <w:lang w:val="en-US"/>
        </w:rPr>
        <w:t xml:space="preserve"> in fact</w:t>
      </w:r>
      <w:r w:rsidR="00F33AB1" w:rsidRPr="00FB4435">
        <w:rPr>
          <w:rFonts w:asciiTheme="minorHAnsi" w:hAnsiTheme="minorHAnsi" w:cs="Arial"/>
          <w:color w:val="auto"/>
          <w:lang w:val="en-US"/>
        </w:rPr>
        <w:t xml:space="preserve"> been breached</w:t>
      </w:r>
      <w:r w:rsidR="00E62A5B">
        <w:rPr>
          <w:rFonts w:asciiTheme="minorHAnsi" w:hAnsiTheme="minorHAnsi" w:cs="Arial"/>
          <w:color w:val="auto"/>
          <w:lang w:val="en-US"/>
        </w:rPr>
        <w:t xml:space="preserve"> then it is a matter for the courts to apply penalties. For serious breaches where it is contrary to the national interest to allow the investment to continue, then the Treasurer may consider an order requiring disposal of the interest.</w:t>
      </w:r>
      <w:r w:rsidR="00F33AB1" w:rsidRPr="00FB4435">
        <w:rPr>
          <w:rFonts w:asciiTheme="minorHAnsi" w:hAnsiTheme="minorHAnsi" w:cs="Arial"/>
          <w:color w:val="auto"/>
          <w:lang w:val="en-US"/>
        </w:rPr>
        <w:t xml:space="preserve"> </w:t>
      </w:r>
      <w:r w:rsidR="003809D1">
        <w:rPr>
          <w:rFonts w:asciiTheme="minorHAnsi" w:hAnsiTheme="minorHAnsi" w:cs="Arial"/>
          <w:color w:val="auto"/>
          <w:lang w:val="en-US"/>
        </w:rPr>
        <w:t>This would be reserved for the most serious of breaches.</w:t>
      </w:r>
    </w:p>
    <w:p w14:paraId="3C64079C" w14:textId="77777777" w:rsidR="00C745A2" w:rsidRDefault="00C745A2" w:rsidP="000430DA">
      <w:pPr>
        <w:pStyle w:val="Heading2"/>
        <w:keepNext/>
        <w:spacing w:before="360"/>
      </w:pPr>
      <w:bookmarkStart w:id="3" w:name="OLE_LINK2"/>
      <w:bookmarkStart w:id="4" w:name="OLE_LINK3"/>
      <w:bookmarkStart w:id="5" w:name="OLE_LINK4"/>
      <w:r>
        <w:t>Further information</w:t>
      </w:r>
    </w:p>
    <w:p w14:paraId="16E792F2" w14:textId="69284BF0" w:rsidR="009D3C39" w:rsidRDefault="00C745A2" w:rsidP="009D3C39">
      <w:pPr>
        <w:spacing w:after="0"/>
        <w:rPr>
          <w:color w:val="auto"/>
        </w:rPr>
      </w:pPr>
      <w:r w:rsidRPr="00FB4435">
        <w:rPr>
          <w:color w:val="auto"/>
        </w:rPr>
        <w:t xml:space="preserve">Further information is available at </w:t>
      </w:r>
      <w:hyperlink r:id="rId9" w:history="1">
        <w:r w:rsidRPr="00FB4435">
          <w:rPr>
            <w:rStyle w:val="Hyperlink"/>
            <w:color w:val="auto"/>
          </w:rPr>
          <w:t>www.firb.gov.au</w:t>
        </w:r>
      </w:hyperlink>
      <w:r w:rsidRPr="00FB4435">
        <w:rPr>
          <w:color w:val="auto"/>
        </w:rPr>
        <w:t xml:space="preserve"> or by contacting +61 2 6263 3795.</w:t>
      </w:r>
      <w:bookmarkEnd w:id="3"/>
      <w:bookmarkEnd w:id="4"/>
      <w:bookmarkEnd w:id="5"/>
    </w:p>
    <w:p w14:paraId="343F4BAC" w14:textId="667F064D" w:rsidR="005717EA" w:rsidRDefault="005717EA" w:rsidP="009D3C39">
      <w:pPr>
        <w:spacing w:after="0"/>
        <w:rPr>
          <w:color w:val="auto"/>
        </w:rPr>
      </w:pPr>
    </w:p>
    <w:p w14:paraId="6CE34946" w14:textId="77777777" w:rsidR="005717EA" w:rsidRDefault="005717EA" w:rsidP="009D3C39">
      <w:pPr>
        <w:spacing w:after="0"/>
        <w:rPr>
          <w:color w:val="auto"/>
        </w:rPr>
      </w:pPr>
    </w:p>
    <w:p w14:paraId="021DDC0A" w14:textId="77777777" w:rsidR="005717EA" w:rsidRDefault="005717EA" w:rsidP="009D3C39">
      <w:pPr>
        <w:spacing w:after="0"/>
        <w:rPr>
          <w:color w:val="auto"/>
        </w:rPr>
      </w:pPr>
    </w:p>
    <w:p w14:paraId="67ABED81" w14:textId="77777777" w:rsidR="005717EA" w:rsidRDefault="005717EA" w:rsidP="009D3C39">
      <w:pPr>
        <w:spacing w:after="0"/>
        <w:rPr>
          <w:color w:val="auto"/>
        </w:rPr>
      </w:pPr>
    </w:p>
    <w:p w14:paraId="684882B5" w14:textId="77777777" w:rsidR="005717EA" w:rsidRDefault="005717EA" w:rsidP="009D3C39">
      <w:pPr>
        <w:spacing w:after="0"/>
        <w:rPr>
          <w:color w:val="auto"/>
        </w:rPr>
      </w:pPr>
    </w:p>
    <w:p w14:paraId="096AA3E3" w14:textId="77777777" w:rsidR="005717EA" w:rsidRDefault="005717EA" w:rsidP="009D3C39">
      <w:pPr>
        <w:spacing w:after="0"/>
        <w:rPr>
          <w:color w:val="auto"/>
        </w:rPr>
      </w:pPr>
    </w:p>
    <w:p w14:paraId="68527023" w14:textId="77777777" w:rsidR="005717EA" w:rsidRDefault="005717EA" w:rsidP="009D3C39">
      <w:pPr>
        <w:spacing w:after="0"/>
        <w:rPr>
          <w:color w:val="auto"/>
        </w:rPr>
      </w:pPr>
    </w:p>
    <w:p w14:paraId="48C09813" w14:textId="77777777" w:rsidR="005717EA" w:rsidRDefault="005717EA" w:rsidP="009D3C39">
      <w:pPr>
        <w:spacing w:after="0"/>
        <w:rPr>
          <w:color w:val="auto"/>
        </w:rPr>
      </w:pPr>
    </w:p>
    <w:p w14:paraId="75295635" w14:textId="77777777" w:rsidR="005717EA" w:rsidRDefault="005717EA" w:rsidP="009D3C39">
      <w:pPr>
        <w:spacing w:after="0"/>
        <w:rPr>
          <w:color w:val="auto"/>
        </w:rPr>
      </w:pPr>
    </w:p>
    <w:p w14:paraId="6D42B647" w14:textId="77777777" w:rsidR="005717EA" w:rsidRDefault="005717EA" w:rsidP="009D3C39">
      <w:pPr>
        <w:spacing w:after="0"/>
        <w:rPr>
          <w:color w:val="auto"/>
        </w:rPr>
      </w:pPr>
    </w:p>
    <w:p w14:paraId="7FB1FA4D" w14:textId="77777777" w:rsidR="005717EA" w:rsidRDefault="005717EA" w:rsidP="009D3C39">
      <w:pPr>
        <w:spacing w:after="0"/>
        <w:rPr>
          <w:color w:val="auto"/>
        </w:rPr>
      </w:pPr>
    </w:p>
    <w:p w14:paraId="28076BBD" w14:textId="77777777" w:rsidR="005717EA" w:rsidRPr="00FB4435" w:rsidRDefault="005717EA" w:rsidP="009D3C39">
      <w:pPr>
        <w:spacing w:after="0"/>
        <w:rPr>
          <w:color w:val="auto"/>
        </w:rPr>
      </w:pPr>
    </w:p>
    <w:p w14:paraId="786391E3" w14:textId="77777777" w:rsidR="005567C6" w:rsidRDefault="00590916" w:rsidP="00081786">
      <w:pPr>
        <w:spacing w:before="240" w:after="120"/>
        <w:rPr>
          <w:b/>
          <w:sz w:val="18"/>
        </w:rPr>
      </w:pPr>
      <w:r>
        <w:rPr>
          <w:b/>
          <w:sz w:val="18"/>
        </w:rPr>
        <w:pict w14:anchorId="7D5F706D">
          <v:rect id="_x0000_i1025" style="width:462.65pt;height:9.25pt" o:hrpct="989" o:hralign="center" o:hrstd="t" o:hr="t" fillcolor="#a0a0a0" stroked="f"/>
        </w:pict>
      </w:r>
    </w:p>
    <w:p w14:paraId="239F4FF1" w14:textId="52150DC3" w:rsidR="00850D57" w:rsidRDefault="005567C6" w:rsidP="00A32FFE">
      <w:pPr>
        <w:spacing w:after="0"/>
        <w:rPr>
          <w:color w:val="003E74"/>
          <w:sz w:val="20"/>
          <w:szCs w:val="20"/>
        </w:rPr>
      </w:pPr>
      <w:r w:rsidRPr="00A32FFE">
        <w:rPr>
          <w:b/>
          <w:color w:val="003E74"/>
          <w:sz w:val="20"/>
          <w:szCs w:val="20"/>
        </w:rPr>
        <w:t>Important notice</w:t>
      </w:r>
      <w:r w:rsidRPr="00A32FFE">
        <w:rPr>
          <w:color w:val="003E74"/>
          <w:sz w:val="20"/>
          <w:szCs w:val="20"/>
        </w:rPr>
        <w:t>: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Guidance Note is therefore not a substitute for obtaining your own legal advice.</w:t>
      </w:r>
    </w:p>
    <w:p w14:paraId="1922ADA1" w14:textId="6B3B4AB5" w:rsidR="00595F0E" w:rsidRDefault="00595F0E" w:rsidP="00A32FFE">
      <w:pPr>
        <w:spacing w:after="0"/>
        <w:rPr>
          <w:color w:val="003E74"/>
          <w:sz w:val="20"/>
          <w:szCs w:val="20"/>
        </w:rPr>
      </w:pPr>
    </w:p>
    <w:p w14:paraId="0192C9D2" w14:textId="77777777" w:rsidR="00EA1F9F" w:rsidRDefault="00EA1F9F">
      <w:pPr>
        <w:spacing w:after="0"/>
        <w:rPr>
          <w:color w:val="003E74"/>
          <w:sz w:val="20"/>
          <w:szCs w:val="20"/>
        </w:rPr>
        <w:sectPr w:rsidR="00EA1F9F" w:rsidSect="00363533">
          <w:headerReference w:type="even" r:id="rId10"/>
          <w:headerReference w:type="default" r:id="rId11"/>
          <w:footerReference w:type="even" r:id="rId12"/>
          <w:footerReference w:type="default" r:id="rId13"/>
          <w:headerReference w:type="first" r:id="rId14"/>
          <w:footerReference w:type="first" r:id="rId15"/>
          <w:pgSz w:w="11906" w:h="16838"/>
          <w:pgMar w:top="1134" w:right="1274" w:bottom="1134" w:left="1276" w:header="709" w:footer="405" w:gutter="0"/>
          <w:cols w:space="708"/>
          <w:titlePg/>
          <w:docGrid w:linePitch="360"/>
        </w:sectPr>
      </w:pPr>
    </w:p>
    <w:p w14:paraId="45D88168" w14:textId="77777777" w:rsidR="008F17C4" w:rsidRPr="00830DA4" w:rsidRDefault="008F17C4" w:rsidP="008F17C4">
      <w:pPr>
        <w:pStyle w:val="Header"/>
        <w:pBdr>
          <w:bottom w:val="none" w:sz="0" w:space="0" w:color="auto"/>
        </w:pBdr>
        <w:rPr>
          <w:b/>
        </w:rPr>
      </w:pPr>
      <w:r w:rsidRPr="00830DA4">
        <w:rPr>
          <w:b/>
          <w:noProof/>
        </w:rPr>
        <w:t>Attachment A</w:t>
      </w:r>
    </w:p>
    <w:p w14:paraId="192F9D0F" w14:textId="77777777" w:rsidR="008F17C4" w:rsidRDefault="008F17C4" w:rsidP="000430DA">
      <w:pPr>
        <w:keepNext/>
        <w:spacing w:after="0"/>
        <w:ind w:left="426" w:hanging="425"/>
        <w:rPr>
          <w:b/>
          <w:sz w:val="28"/>
          <w:szCs w:val="28"/>
        </w:rPr>
      </w:pPr>
    </w:p>
    <w:p w14:paraId="4FC1BDDC" w14:textId="66C8481C" w:rsidR="00595F0E" w:rsidRPr="00AB6500" w:rsidRDefault="00B90289" w:rsidP="000430DA">
      <w:pPr>
        <w:keepNext/>
        <w:spacing w:after="0"/>
        <w:ind w:left="426" w:hanging="425"/>
        <w:rPr>
          <w:b/>
          <w:sz w:val="28"/>
          <w:szCs w:val="28"/>
        </w:rPr>
      </w:pPr>
      <w:r>
        <w:rPr>
          <w:b/>
          <w:sz w:val="28"/>
          <w:szCs w:val="28"/>
        </w:rPr>
        <w:t>Tax</w:t>
      </w:r>
      <w:r w:rsidR="00830DA4">
        <w:rPr>
          <w:b/>
          <w:sz w:val="28"/>
          <w:szCs w:val="28"/>
        </w:rPr>
        <w:t>ation</w:t>
      </w:r>
      <w:r w:rsidR="00595F0E" w:rsidRPr="00AB6500">
        <w:rPr>
          <w:b/>
          <w:sz w:val="28"/>
          <w:szCs w:val="28"/>
        </w:rPr>
        <w:t xml:space="preserve"> conditions of</w:t>
      </w:r>
      <w:r w:rsidR="00830DA4">
        <w:rPr>
          <w:b/>
          <w:sz w:val="28"/>
          <w:szCs w:val="28"/>
        </w:rPr>
        <w:t xml:space="preserve"> certain no objection decisions</w:t>
      </w:r>
    </w:p>
    <w:p w14:paraId="4B8804A5" w14:textId="77777777" w:rsidR="0039513B" w:rsidRPr="00AB6500" w:rsidRDefault="0039513B" w:rsidP="0039513B">
      <w:pPr>
        <w:pStyle w:val="Heading2"/>
      </w:pPr>
      <w:r>
        <w:t>A. C</w:t>
      </w:r>
      <w:r w:rsidRPr="00AB6500">
        <w:t xml:space="preserve">onditions </w:t>
      </w:r>
      <w:r>
        <w:t xml:space="preserve">that may </w:t>
      </w:r>
      <w:r w:rsidRPr="00AB6500">
        <w:t>apply</w:t>
      </w:r>
      <w:r>
        <w:rPr>
          <w:rFonts w:eastAsia="Calibri"/>
        </w:rPr>
        <w:t xml:space="preserve"> until a termination event</w:t>
      </w:r>
      <w:r w:rsidRPr="00932F4D">
        <w:rPr>
          <w:rFonts w:eastAsia="Calibri"/>
          <w:vertAlign w:val="superscript"/>
        </w:rPr>
        <w:t>1</w:t>
      </w:r>
      <w:r>
        <w:rPr>
          <w:rFonts w:eastAsia="Calibri"/>
        </w:rPr>
        <w:t xml:space="preserve"> occurs:</w:t>
      </w:r>
    </w:p>
    <w:p w14:paraId="3C271D83" w14:textId="77777777" w:rsidR="0039513B" w:rsidRPr="00AB6500" w:rsidRDefault="0039513B" w:rsidP="0039513B">
      <w:pPr>
        <w:numPr>
          <w:ilvl w:val="0"/>
          <w:numId w:val="35"/>
        </w:numPr>
        <w:spacing w:after="240"/>
        <w:ind w:left="426" w:hanging="425"/>
        <w:rPr>
          <w:rFonts w:eastAsia="Calibri"/>
          <w:iCs/>
        </w:rPr>
      </w:pPr>
      <w:r w:rsidRPr="00AB6500">
        <w:rPr>
          <w:rFonts w:eastAsia="Calibri"/>
          <w:iCs/>
        </w:rPr>
        <w:t xml:space="preserve">The applicant must comply with </w:t>
      </w:r>
      <w:r>
        <w:rPr>
          <w:rFonts w:eastAsia="Calibri"/>
          <w:iCs/>
        </w:rPr>
        <w:t xml:space="preserve">the </w:t>
      </w:r>
      <w:r w:rsidRPr="00AB6500">
        <w:rPr>
          <w:rFonts w:eastAsia="Calibri"/>
          <w:iCs/>
        </w:rPr>
        <w:t xml:space="preserve">taxation laws </w:t>
      </w:r>
      <w:r>
        <w:rPr>
          <w:rFonts w:eastAsia="Calibri"/>
          <w:iCs/>
        </w:rPr>
        <w:t xml:space="preserve">of the Commonwealth of Australia </w:t>
      </w:r>
      <w:r w:rsidRPr="00AB6500">
        <w:rPr>
          <w:rFonts w:eastAsia="Calibri"/>
          <w:iCs/>
        </w:rPr>
        <w:t>in relation to the action, and any transactions, operations or assets</w:t>
      </w:r>
      <w:r>
        <w:rPr>
          <w:rFonts w:eastAsia="Calibri"/>
          <w:iCs/>
        </w:rPr>
        <w:t xml:space="preserve"> </w:t>
      </w:r>
      <w:r w:rsidRPr="00AB6500">
        <w:rPr>
          <w:rFonts w:eastAsia="Calibri"/>
          <w:iCs/>
        </w:rPr>
        <w:t>in connection with the assets or operations acquired as a result of the action. </w:t>
      </w:r>
      <w:r>
        <w:rPr>
          <w:rFonts w:eastAsia="Calibri"/>
          <w:iCs/>
        </w:rPr>
        <w:t>An applicant does not breach this condition if it has taken reasonable care to comply with the relevant taxation laws and has a reasonably arguable position.</w:t>
      </w:r>
    </w:p>
    <w:p w14:paraId="43A3EFD3" w14:textId="77777777" w:rsidR="0039513B" w:rsidRPr="00AB6500" w:rsidRDefault="0039513B" w:rsidP="0039513B">
      <w:pPr>
        <w:numPr>
          <w:ilvl w:val="0"/>
          <w:numId w:val="35"/>
        </w:numPr>
        <w:spacing w:after="240"/>
        <w:ind w:left="426" w:hanging="425"/>
        <w:rPr>
          <w:rFonts w:eastAsia="Calibri"/>
          <w:iCs/>
        </w:rPr>
      </w:pPr>
      <w:r w:rsidRPr="00AB6500">
        <w:rPr>
          <w:rFonts w:eastAsia="Calibri"/>
          <w:iCs/>
        </w:rPr>
        <w:t xml:space="preserve">The applicant must use </w:t>
      </w:r>
      <w:r>
        <w:rPr>
          <w:rFonts w:eastAsia="Calibri"/>
          <w:iCs/>
        </w:rPr>
        <w:t>its</w:t>
      </w:r>
      <w:r w:rsidRPr="00AB6500">
        <w:rPr>
          <w:rFonts w:eastAsia="Calibri"/>
          <w:iCs/>
        </w:rPr>
        <w:t xml:space="preserve"> best endeavours to ensure, and within </w:t>
      </w:r>
      <w:r>
        <w:rPr>
          <w:rFonts w:eastAsia="Calibri"/>
          <w:iCs/>
        </w:rPr>
        <w:t>its</w:t>
      </w:r>
      <w:r w:rsidRPr="00AB6500">
        <w:rPr>
          <w:rFonts w:eastAsia="Calibri"/>
          <w:iCs/>
        </w:rPr>
        <w:t xml:space="preserve"> powers must ensure, that </w:t>
      </w:r>
      <w:r>
        <w:rPr>
          <w:rFonts w:eastAsia="Calibri"/>
          <w:iCs/>
        </w:rPr>
        <w:t xml:space="preserve">entities in </w:t>
      </w:r>
      <w:r w:rsidRPr="00AB6500">
        <w:rPr>
          <w:rFonts w:eastAsia="Calibri"/>
          <w:iCs/>
        </w:rPr>
        <w:t xml:space="preserve">its </w:t>
      </w:r>
      <w:r>
        <w:rPr>
          <w:rFonts w:eastAsia="Calibri"/>
          <w:iCs/>
        </w:rPr>
        <w:t>control group</w:t>
      </w:r>
      <w:r w:rsidRPr="000C5402">
        <w:rPr>
          <w:rFonts w:eastAsia="Calibri"/>
          <w:iCs/>
          <w:vertAlign w:val="superscript"/>
        </w:rPr>
        <w:t>2</w:t>
      </w:r>
      <w:r w:rsidRPr="00AB6500">
        <w:rPr>
          <w:rFonts w:eastAsia="Calibri"/>
          <w:iCs/>
        </w:rPr>
        <w:t xml:space="preserve"> comply with </w:t>
      </w:r>
      <w:r>
        <w:rPr>
          <w:rFonts w:eastAsia="Calibri"/>
          <w:iCs/>
        </w:rPr>
        <w:t>the</w:t>
      </w:r>
      <w:r w:rsidRPr="00AB6500">
        <w:rPr>
          <w:rFonts w:eastAsia="Calibri"/>
          <w:iCs/>
        </w:rPr>
        <w:t xml:space="preserve"> taxation laws</w:t>
      </w:r>
      <w:r>
        <w:rPr>
          <w:rFonts w:eastAsia="Calibri"/>
          <w:iCs/>
        </w:rPr>
        <w:t xml:space="preserve"> of the Commonwealth of Australia</w:t>
      </w:r>
      <w:r w:rsidRPr="00AB6500">
        <w:rPr>
          <w:rFonts w:eastAsia="Calibri"/>
          <w:iCs/>
        </w:rPr>
        <w:t xml:space="preserve"> in relation to the action and any transactions, operations or assets</w:t>
      </w:r>
      <w:r>
        <w:rPr>
          <w:rFonts w:eastAsia="Calibri"/>
          <w:iCs/>
        </w:rPr>
        <w:t xml:space="preserve"> </w:t>
      </w:r>
      <w:r w:rsidRPr="00AB6500">
        <w:rPr>
          <w:rFonts w:eastAsia="Calibri"/>
          <w:iCs/>
        </w:rPr>
        <w:t>in connection with the assets or operations acquired as a result of the action.</w:t>
      </w:r>
      <w:r>
        <w:rPr>
          <w:rFonts w:eastAsia="Calibri"/>
          <w:iCs/>
        </w:rPr>
        <w:t xml:space="preserve"> An applicant does not breach this condition if entities in its control group have taken reasonable care to comply with the relevant taxation laws and have a reasonably arguable position.</w:t>
      </w:r>
    </w:p>
    <w:p w14:paraId="03344534" w14:textId="77777777" w:rsidR="0039513B" w:rsidRPr="00AB6500" w:rsidRDefault="0039513B" w:rsidP="0039513B">
      <w:pPr>
        <w:numPr>
          <w:ilvl w:val="0"/>
          <w:numId w:val="35"/>
        </w:numPr>
        <w:spacing w:after="240"/>
        <w:ind w:left="426" w:hanging="425"/>
        <w:rPr>
          <w:rFonts w:eastAsia="Calibri"/>
          <w:iCs/>
        </w:rPr>
      </w:pPr>
      <w:r w:rsidRPr="00AB6500">
        <w:rPr>
          <w:rFonts w:eastAsia="Calibri"/>
          <w:iCs/>
        </w:rPr>
        <w:t>The applicant must provide any documents or information</w:t>
      </w:r>
      <w:r w:rsidRPr="00932F4D">
        <w:rPr>
          <w:rFonts w:eastAsia="Calibri"/>
          <w:iCs/>
          <w:vertAlign w:val="superscript"/>
        </w:rPr>
        <w:t>3</w:t>
      </w:r>
      <w:r w:rsidRPr="00AB6500">
        <w:rPr>
          <w:rFonts w:eastAsia="Calibri"/>
          <w:iCs/>
        </w:rPr>
        <w:t xml:space="preserve"> </w:t>
      </w:r>
      <w:r>
        <w:rPr>
          <w:rFonts w:eastAsia="Calibri"/>
          <w:iCs/>
        </w:rPr>
        <w:t>that is required to be provided to</w:t>
      </w:r>
      <w:r w:rsidRPr="00AB6500">
        <w:rPr>
          <w:rFonts w:eastAsia="Calibri"/>
          <w:iCs/>
        </w:rPr>
        <w:t xml:space="preserve"> the Australian Taxation Office (ATO) </w:t>
      </w:r>
      <w:r>
        <w:rPr>
          <w:rFonts w:eastAsia="Calibri"/>
          <w:iCs/>
        </w:rPr>
        <w:t xml:space="preserve">in accordance with the taxation laws of the Commonwealth of Australia </w:t>
      </w:r>
      <w:r w:rsidRPr="00AB6500">
        <w:rPr>
          <w:rFonts w:eastAsia="Calibri"/>
          <w:iCs/>
        </w:rPr>
        <w:t>in relation to the action and any transactions, operations or assets in connection with assets or operations acquired as a result of the action. These documents or information must be provided within the timeframe specified by the ATO.</w:t>
      </w:r>
      <w:r>
        <w:rPr>
          <w:rFonts w:eastAsia="Calibri"/>
          <w:iCs/>
        </w:rPr>
        <w:t xml:space="preserve"> </w:t>
      </w:r>
    </w:p>
    <w:p w14:paraId="074F7D50" w14:textId="084C1A17" w:rsidR="0039513B" w:rsidRPr="00AB6500" w:rsidRDefault="0039513B" w:rsidP="0039513B">
      <w:pPr>
        <w:numPr>
          <w:ilvl w:val="0"/>
          <w:numId w:val="35"/>
        </w:numPr>
        <w:spacing w:after="240"/>
        <w:ind w:left="426" w:hanging="425"/>
        <w:rPr>
          <w:rFonts w:eastAsia="Calibri"/>
          <w:iCs/>
        </w:rPr>
      </w:pPr>
      <w:r w:rsidRPr="00AB6500">
        <w:rPr>
          <w:rFonts w:eastAsia="Calibri"/>
          <w:iCs/>
        </w:rPr>
        <w:t xml:space="preserve">The applicant must use </w:t>
      </w:r>
      <w:r>
        <w:rPr>
          <w:rFonts w:eastAsia="Calibri"/>
          <w:iCs/>
        </w:rPr>
        <w:t>its</w:t>
      </w:r>
      <w:r w:rsidRPr="00AB6500">
        <w:rPr>
          <w:rFonts w:eastAsia="Calibri"/>
          <w:iCs/>
        </w:rPr>
        <w:t xml:space="preserve"> best endeavours to ensure, and within </w:t>
      </w:r>
      <w:r>
        <w:rPr>
          <w:rFonts w:eastAsia="Calibri"/>
          <w:iCs/>
        </w:rPr>
        <w:t>its</w:t>
      </w:r>
      <w:r w:rsidRPr="00AB6500">
        <w:rPr>
          <w:rFonts w:eastAsia="Calibri"/>
          <w:iCs/>
        </w:rPr>
        <w:t xml:space="preserve"> powers must ensure, that </w:t>
      </w:r>
      <w:r>
        <w:rPr>
          <w:rFonts w:eastAsia="Calibri"/>
          <w:iCs/>
        </w:rPr>
        <w:t xml:space="preserve">entities in </w:t>
      </w:r>
      <w:r w:rsidRPr="00AB6500">
        <w:rPr>
          <w:rFonts w:eastAsia="Calibri"/>
          <w:iCs/>
        </w:rPr>
        <w:t xml:space="preserve">its </w:t>
      </w:r>
      <w:r>
        <w:rPr>
          <w:rFonts w:eastAsia="Calibri"/>
          <w:iCs/>
        </w:rPr>
        <w:t xml:space="preserve">control group </w:t>
      </w:r>
      <w:r w:rsidRPr="00AB6500">
        <w:rPr>
          <w:rFonts w:eastAsia="Calibri"/>
          <w:iCs/>
        </w:rPr>
        <w:t xml:space="preserve">provide any documents or information </w:t>
      </w:r>
      <w:r w:rsidR="003D795F">
        <w:rPr>
          <w:rFonts w:eastAsia="Calibri"/>
          <w:iCs/>
        </w:rPr>
        <w:t>that is required to be provided to</w:t>
      </w:r>
      <w:r w:rsidRPr="00AB6500">
        <w:rPr>
          <w:rFonts w:eastAsia="Calibri"/>
          <w:iCs/>
        </w:rPr>
        <w:t xml:space="preserve"> the ATO</w:t>
      </w:r>
      <w:r>
        <w:rPr>
          <w:rFonts w:eastAsia="Calibri"/>
          <w:iCs/>
        </w:rPr>
        <w:t xml:space="preserve"> in accordance with the taxation laws of the Commonwealth of Australia</w:t>
      </w:r>
      <w:r w:rsidRPr="00AB6500">
        <w:rPr>
          <w:rFonts w:eastAsia="Calibri"/>
          <w:iCs/>
        </w:rPr>
        <w:t xml:space="preserve"> in relation to the action </w:t>
      </w:r>
      <w:r>
        <w:rPr>
          <w:rFonts w:eastAsia="Calibri"/>
          <w:iCs/>
        </w:rPr>
        <w:t>and</w:t>
      </w:r>
      <w:r w:rsidRPr="00AB6500">
        <w:rPr>
          <w:rFonts w:eastAsia="Calibri"/>
          <w:iCs/>
        </w:rPr>
        <w:t xml:space="preserve"> any transactions, operations or assets</w:t>
      </w:r>
      <w:r>
        <w:rPr>
          <w:rFonts w:eastAsia="Calibri"/>
          <w:iCs/>
        </w:rPr>
        <w:t xml:space="preserve"> </w:t>
      </w:r>
      <w:r w:rsidRPr="00AB6500">
        <w:rPr>
          <w:rFonts w:eastAsia="Calibri"/>
          <w:iCs/>
        </w:rPr>
        <w:t>in connection with assets or operations acquired as a result of the action. These documents or information must be provided within the timeframe specified by the ATO.</w:t>
      </w:r>
    </w:p>
    <w:p w14:paraId="0F8719FE" w14:textId="77777777" w:rsidR="0039513B" w:rsidRPr="0087769F" w:rsidRDefault="0039513B" w:rsidP="0039513B">
      <w:pPr>
        <w:numPr>
          <w:ilvl w:val="0"/>
          <w:numId w:val="35"/>
        </w:numPr>
        <w:spacing w:after="240"/>
        <w:ind w:left="426" w:hanging="425"/>
        <w:rPr>
          <w:iCs/>
        </w:rPr>
      </w:pPr>
      <w:r w:rsidRPr="0087769F">
        <w:rPr>
          <w:iCs/>
        </w:rPr>
        <w:t xml:space="preserve">The applicant must pay </w:t>
      </w:r>
      <w:r w:rsidRPr="0046769E">
        <w:rPr>
          <w:iCs/>
        </w:rPr>
        <w:t>its outstanding taxation debt under the taxation laws of the Commonwealth of Australia, and must use its best endeavours to ensure, and within its powers must ensure, that entities in</w:t>
      </w:r>
      <w:r>
        <w:rPr>
          <w:iCs/>
        </w:rPr>
        <w:t xml:space="preserve"> its </w:t>
      </w:r>
      <w:r w:rsidRPr="0046769E">
        <w:rPr>
          <w:iCs/>
        </w:rPr>
        <w:t>control group pay any outstanding taxation debt</w:t>
      </w:r>
      <w:r w:rsidRPr="004008AD">
        <w:rPr>
          <w:iCs/>
        </w:rPr>
        <w:t xml:space="preserve"> under the taxation laws of the Commonwealth of Australia, which is due and payable at the time of the proposed action. </w:t>
      </w:r>
      <w:r>
        <w:rPr>
          <w:iCs/>
        </w:rPr>
        <w:t>This condition does not apply to p</w:t>
      </w:r>
      <w:r w:rsidRPr="004008AD">
        <w:rPr>
          <w:iCs/>
        </w:rPr>
        <w:t>ayment arrangements agreed with the ATO</w:t>
      </w:r>
      <w:r>
        <w:rPr>
          <w:iCs/>
        </w:rPr>
        <w:t xml:space="preserve"> or where the ATO has exercised its discretion to defer part or all of the payment of a disputed amount, to the extent that those arrangements are complied with</w:t>
      </w:r>
      <w:r w:rsidRPr="0087769F">
        <w:rPr>
          <w:iCs/>
        </w:rPr>
        <w:t>.</w:t>
      </w:r>
      <w:r>
        <w:rPr>
          <w:iCs/>
        </w:rPr>
        <w:t xml:space="preserve"> </w:t>
      </w:r>
    </w:p>
    <w:p w14:paraId="4CFCEB06" w14:textId="77777777" w:rsidR="0039513B" w:rsidRPr="001E5B45" w:rsidRDefault="0039513B" w:rsidP="0039513B">
      <w:pPr>
        <w:numPr>
          <w:ilvl w:val="0"/>
          <w:numId w:val="35"/>
        </w:numPr>
        <w:spacing w:after="240"/>
        <w:ind w:left="426" w:right="-283" w:hanging="425"/>
        <w:rPr>
          <w:rFonts w:eastAsia="Calibri" w:cs="Calibri"/>
          <w:iCs/>
        </w:rPr>
      </w:pPr>
      <w:r w:rsidRPr="00AB6500">
        <w:rPr>
          <w:rFonts w:eastAsia="Calibri"/>
          <w:iCs/>
        </w:rPr>
        <w:t>The applicant must provide an annual report to the Foreign Investment Review Board on compliance with these conditions. The first report must cover the</w:t>
      </w:r>
      <w:r>
        <w:rPr>
          <w:rFonts w:eastAsia="Calibri"/>
          <w:iCs/>
        </w:rPr>
        <w:t xml:space="preserve"> period from the date the action takes place to the end of the applicant’s income year for tax purposes.</w:t>
      </w:r>
      <w:r w:rsidRPr="00AB6500">
        <w:rPr>
          <w:rFonts w:eastAsia="Calibri"/>
          <w:iCs/>
        </w:rPr>
        <w:t xml:space="preserve"> All subsequent reports must cover</w:t>
      </w:r>
      <w:r>
        <w:rPr>
          <w:rFonts w:eastAsia="Calibri"/>
          <w:iCs/>
        </w:rPr>
        <w:t xml:space="preserve"> the applicant’s income year for tax purposes.</w:t>
      </w:r>
      <w:r w:rsidRPr="00AB6500">
        <w:rPr>
          <w:rFonts w:eastAsia="Calibri"/>
          <w:iCs/>
        </w:rPr>
        <w:t xml:space="preserve"> </w:t>
      </w:r>
      <w:r>
        <w:rPr>
          <w:rFonts w:eastAsia="Calibri"/>
          <w:iCs/>
        </w:rPr>
        <w:t xml:space="preserve">If the action takes place less than 90 days before the end of the first income year, then that period can be incorporated in the next report. </w:t>
      </w:r>
      <w:r w:rsidRPr="00AB6500">
        <w:rPr>
          <w:rFonts w:eastAsia="Calibri"/>
          <w:iCs/>
        </w:rPr>
        <w:t xml:space="preserve">Each report must be </w:t>
      </w:r>
      <w:r>
        <w:rPr>
          <w:rFonts w:eastAsia="Calibri"/>
          <w:iCs/>
        </w:rPr>
        <w:t>provided by the due date for lodgement of the applicant’s tax return for that year</w:t>
      </w:r>
      <w:r w:rsidRPr="00AB6500">
        <w:rPr>
          <w:rFonts w:eastAsia="Calibri"/>
          <w:iCs/>
        </w:rPr>
        <w:t>.</w:t>
      </w:r>
    </w:p>
    <w:p w14:paraId="1DD113E5" w14:textId="477EED2E" w:rsidR="0039513B" w:rsidRPr="0037539C" w:rsidRDefault="0039513B" w:rsidP="0039513B">
      <w:pPr>
        <w:numPr>
          <w:ilvl w:val="0"/>
          <w:numId w:val="35"/>
        </w:numPr>
        <w:spacing w:after="240"/>
        <w:ind w:left="426" w:hanging="425"/>
        <w:rPr>
          <w:rFonts w:eastAsia="Calibri" w:cs="Calibri"/>
          <w:iCs/>
        </w:rPr>
      </w:pPr>
      <w:r w:rsidRPr="0037539C">
        <w:rPr>
          <w:rFonts w:eastAsia="Calibri"/>
          <w:iCs/>
        </w:rPr>
        <w:t xml:space="preserve">The applicant must advise the Foreign Investment Review Board within </w:t>
      </w:r>
      <w:r>
        <w:rPr>
          <w:rFonts w:eastAsia="Calibri"/>
          <w:iCs/>
        </w:rPr>
        <w:t>60 days</w:t>
      </w:r>
      <w:r w:rsidRPr="0037539C">
        <w:rPr>
          <w:rFonts w:eastAsia="Calibri"/>
          <w:iCs/>
        </w:rPr>
        <w:t xml:space="preserve"> of taking the action</w:t>
      </w:r>
      <w:r>
        <w:rPr>
          <w:rFonts w:eastAsia="Calibri"/>
          <w:iCs/>
        </w:rPr>
        <w:t xml:space="preserve"> that it has done so</w:t>
      </w:r>
      <w:r w:rsidRPr="0037539C">
        <w:rPr>
          <w:rFonts w:eastAsia="Calibri"/>
          <w:iCs/>
        </w:rPr>
        <w:t>.</w:t>
      </w:r>
    </w:p>
    <w:p w14:paraId="78F4F7BA" w14:textId="0A81E9A1" w:rsidR="0039513B" w:rsidRPr="0037539C" w:rsidRDefault="0039513B" w:rsidP="0039513B">
      <w:pPr>
        <w:numPr>
          <w:ilvl w:val="0"/>
          <w:numId w:val="35"/>
        </w:numPr>
        <w:spacing w:after="240"/>
        <w:ind w:left="426" w:hanging="425"/>
        <w:rPr>
          <w:rFonts w:eastAsia="Calibri" w:cs="Calibri"/>
          <w:iCs/>
        </w:rPr>
      </w:pPr>
      <w:r w:rsidRPr="0037539C">
        <w:rPr>
          <w:rFonts w:eastAsia="Calibri"/>
          <w:iCs/>
        </w:rPr>
        <w:t xml:space="preserve">The applicant must advise the Foreign Investment Review Board within </w:t>
      </w:r>
      <w:r>
        <w:rPr>
          <w:rFonts w:eastAsia="Calibri"/>
          <w:iCs/>
        </w:rPr>
        <w:t>60 days</w:t>
      </w:r>
      <w:r w:rsidRPr="0037539C">
        <w:rPr>
          <w:rFonts w:eastAsia="Calibri"/>
          <w:iCs/>
        </w:rPr>
        <w:t xml:space="preserve"> of a terminati</w:t>
      </w:r>
      <w:r>
        <w:rPr>
          <w:rFonts w:eastAsia="Calibri"/>
          <w:iCs/>
        </w:rPr>
        <w:t>o</w:t>
      </w:r>
      <w:r w:rsidRPr="0037539C">
        <w:rPr>
          <w:rFonts w:eastAsia="Calibri"/>
          <w:iCs/>
        </w:rPr>
        <w:t>n event</w:t>
      </w:r>
      <w:r>
        <w:rPr>
          <w:rFonts w:eastAsia="Calibri"/>
          <w:iCs/>
        </w:rPr>
        <w:t xml:space="preserve"> that the event has taken place</w:t>
      </w:r>
      <w:r w:rsidRPr="0037539C">
        <w:rPr>
          <w:rFonts w:eastAsia="Calibri"/>
          <w:iCs/>
        </w:rPr>
        <w:t>.</w:t>
      </w:r>
    </w:p>
    <w:p w14:paraId="68D09BF8" w14:textId="77777777" w:rsidR="0039513B" w:rsidRPr="0039513B" w:rsidRDefault="0039513B" w:rsidP="0039513B">
      <w:pPr>
        <w:spacing w:after="240"/>
        <w:ind w:left="426"/>
        <w:rPr>
          <w:rFonts w:eastAsia="Calibri" w:cs="Calibri"/>
          <w:iCs/>
          <w:sz w:val="22"/>
          <w:szCs w:val="22"/>
        </w:rPr>
      </w:pPr>
      <w:bookmarkStart w:id="6" w:name="Termination_event_definition"/>
      <w:r w:rsidRPr="0039513B">
        <w:rPr>
          <w:rFonts w:eastAsia="Calibri" w:cs="Calibri"/>
          <w:iCs/>
          <w:sz w:val="22"/>
          <w:szCs w:val="22"/>
          <w:vertAlign w:val="superscript"/>
        </w:rPr>
        <w:t>1</w:t>
      </w:r>
      <w:r w:rsidRPr="0039513B">
        <w:rPr>
          <w:rFonts w:eastAsia="Calibri" w:cs="Calibri"/>
          <w:iCs/>
          <w:sz w:val="22"/>
          <w:szCs w:val="22"/>
        </w:rPr>
        <w:t>For the purposes of these conditions a termination event occurs</w:t>
      </w:r>
      <w:bookmarkEnd w:id="6"/>
      <w:r w:rsidRPr="0039513B">
        <w:rPr>
          <w:rFonts w:eastAsia="Calibri" w:cs="Calibri"/>
          <w:iCs/>
          <w:sz w:val="22"/>
          <w:szCs w:val="22"/>
        </w:rPr>
        <w:t>:</w:t>
      </w:r>
    </w:p>
    <w:p w14:paraId="25FC6D9C" w14:textId="77777777" w:rsidR="0039513B" w:rsidRPr="00463C54" w:rsidRDefault="0039513B" w:rsidP="0039513B">
      <w:pPr>
        <w:pStyle w:val="ListParagraph"/>
        <w:numPr>
          <w:ilvl w:val="0"/>
          <w:numId w:val="43"/>
        </w:numPr>
        <w:spacing w:after="0"/>
        <w:rPr>
          <w:sz w:val="22"/>
          <w:szCs w:val="22"/>
        </w:rPr>
      </w:pPr>
      <w:r w:rsidRPr="00463C54">
        <w:rPr>
          <w:sz w:val="22"/>
          <w:szCs w:val="22"/>
        </w:rPr>
        <w:t>when the applicant ceases to hold the interest the acquisition of which was the subject of the no objection notification;</w:t>
      </w:r>
    </w:p>
    <w:p w14:paraId="6005BE74" w14:textId="77777777" w:rsidR="0039513B" w:rsidRPr="00463C54" w:rsidRDefault="0039513B" w:rsidP="0039513B">
      <w:pPr>
        <w:pStyle w:val="ListParagraph"/>
        <w:numPr>
          <w:ilvl w:val="0"/>
          <w:numId w:val="43"/>
        </w:numPr>
        <w:spacing w:after="0"/>
        <w:rPr>
          <w:rFonts w:eastAsia="Calibri" w:cs="Calibri"/>
          <w:iCs/>
          <w:sz w:val="22"/>
          <w:szCs w:val="22"/>
        </w:rPr>
      </w:pPr>
      <w:r w:rsidRPr="00463C54">
        <w:rPr>
          <w:rFonts w:eastAsia="Calibri" w:cs="Calibri"/>
          <w:iCs/>
          <w:sz w:val="22"/>
          <w:szCs w:val="22"/>
        </w:rPr>
        <w:t xml:space="preserve">when the applicant ceases to control, as defined in the </w:t>
      </w:r>
      <w:r w:rsidRPr="00463C54">
        <w:rPr>
          <w:rFonts w:eastAsia="Calibri" w:cs="Calibri"/>
          <w:i/>
          <w:iCs/>
          <w:sz w:val="22"/>
          <w:szCs w:val="22"/>
        </w:rPr>
        <w:t>Foreign Acquisitions and Takeovers Act 1975</w:t>
      </w:r>
      <w:r w:rsidRPr="00463C54">
        <w:rPr>
          <w:rFonts w:eastAsia="Calibri" w:cs="Calibri"/>
          <w:iCs/>
          <w:sz w:val="22"/>
          <w:szCs w:val="22"/>
        </w:rPr>
        <w:t>, the entity or business the control of which was the subject of the no objection notification;</w:t>
      </w:r>
    </w:p>
    <w:p w14:paraId="57685E9A" w14:textId="77777777" w:rsidR="0039513B" w:rsidRPr="00463C54" w:rsidRDefault="0039513B" w:rsidP="0039513B">
      <w:pPr>
        <w:pStyle w:val="ListParagraph"/>
        <w:numPr>
          <w:ilvl w:val="0"/>
          <w:numId w:val="43"/>
        </w:numPr>
        <w:spacing w:after="0"/>
        <w:rPr>
          <w:rFonts w:eastAsia="Calibri" w:cs="Calibri"/>
          <w:iCs/>
          <w:sz w:val="22"/>
          <w:szCs w:val="22"/>
        </w:rPr>
      </w:pPr>
      <w:proofErr w:type="gramStart"/>
      <w:r w:rsidRPr="00463C54">
        <w:rPr>
          <w:rFonts w:eastAsia="Calibri" w:cs="Calibri"/>
          <w:iCs/>
          <w:sz w:val="22"/>
          <w:szCs w:val="22"/>
        </w:rPr>
        <w:t>when</w:t>
      </w:r>
      <w:proofErr w:type="gramEnd"/>
      <w:r w:rsidRPr="00463C54">
        <w:rPr>
          <w:rFonts w:eastAsia="Calibri" w:cs="Calibri"/>
          <w:iCs/>
          <w:sz w:val="22"/>
          <w:szCs w:val="22"/>
        </w:rPr>
        <w:t xml:space="preserve"> the applicant ceases to carry on an Australian business the starting of which was the subject of the no objection notification.</w:t>
      </w:r>
    </w:p>
    <w:p w14:paraId="5A021A74" w14:textId="77777777" w:rsidR="0039513B" w:rsidRPr="00463C54" w:rsidRDefault="0039513B" w:rsidP="0039513B">
      <w:pPr>
        <w:spacing w:after="0"/>
        <w:ind w:left="426"/>
        <w:rPr>
          <w:rFonts w:eastAsia="Calibri" w:cs="Calibri"/>
          <w:iCs/>
        </w:rPr>
      </w:pPr>
    </w:p>
    <w:p w14:paraId="1DBDAC2F" w14:textId="77777777" w:rsidR="0039513B" w:rsidRPr="0039513B" w:rsidRDefault="0039513B" w:rsidP="0039513B">
      <w:pPr>
        <w:spacing w:after="240"/>
        <w:ind w:left="425"/>
        <w:rPr>
          <w:rFonts w:eastAsia="Calibri"/>
          <w:iCs/>
          <w:sz w:val="22"/>
          <w:szCs w:val="22"/>
        </w:rPr>
      </w:pPr>
      <w:r w:rsidRPr="0039513B">
        <w:rPr>
          <w:rFonts w:eastAsia="Calibri" w:cs="Calibri"/>
          <w:iCs/>
          <w:sz w:val="22"/>
          <w:szCs w:val="22"/>
          <w:vertAlign w:val="superscript"/>
        </w:rPr>
        <w:t>2</w:t>
      </w:r>
      <w:r w:rsidRPr="0039513B">
        <w:rPr>
          <w:rFonts w:eastAsia="Calibri" w:cs="Calibri"/>
          <w:iCs/>
          <w:sz w:val="22"/>
          <w:szCs w:val="22"/>
        </w:rPr>
        <w:t xml:space="preserve"> </w:t>
      </w:r>
      <w:r w:rsidRPr="0039513B">
        <w:rPr>
          <w:rFonts w:eastAsia="Calibri"/>
          <w:iCs/>
          <w:sz w:val="22"/>
          <w:szCs w:val="22"/>
        </w:rPr>
        <w:t xml:space="preserve">For the purposes of these conditions, an applicant’s control group consists of entities: </w:t>
      </w:r>
    </w:p>
    <w:p w14:paraId="10834AF6" w14:textId="77777777" w:rsidR="0039513B" w:rsidRPr="00463C54" w:rsidRDefault="0039513B" w:rsidP="0039513B">
      <w:pPr>
        <w:pStyle w:val="ListParagraph"/>
        <w:numPr>
          <w:ilvl w:val="0"/>
          <w:numId w:val="42"/>
        </w:numPr>
        <w:spacing w:after="0"/>
        <w:ind w:left="1134"/>
        <w:rPr>
          <w:rFonts w:eastAsia="Calibri"/>
          <w:iCs/>
          <w:sz w:val="22"/>
          <w:szCs w:val="22"/>
        </w:rPr>
      </w:pPr>
      <w:bookmarkStart w:id="7" w:name="Control_group_definition"/>
      <w:bookmarkEnd w:id="7"/>
      <w:r w:rsidRPr="00463C54">
        <w:rPr>
          <w:rFonts w:eastAsia="Calibri"/>
          <w:iCs/>
          <w:sz w:val="22"/>
          <w:szCs w:val="22"/>
        </w:rPr>
        <w:t>that control the applicant (a controller);</w:t>
      </w:r>
    </w:p>
    <w:p w14:paraId="17DF8893" w14:textId="77777777" w:rsidR="0039513B" w:rsidRPr="00463C54" w:rsidRDefault="0039513B" w:rsidP="0039513B">
      <w:pPr>
        <w:pStyle w:val="ListParagraph"/>
        <w:numPr>
          <w:ilvl w:val="0"/>
          <w:numId w:val="42"/>
        </w:numPr>
        <w:spacing w:after="0"/>
        <w:ind w:left="1134"/>
        <w:rPr>
          <w:rFonts w:eastAsia="Calibri"/>
          <w:iCs/>
          <w:sz w:val="22"/>
          <w:szCs w:val="22"/>
        </w:rPr>
      </w:pPr>
      <w:r w:rsidRPr="00463C54">
        <w:rPr>
          <w:rFonts w:eastAsia="Calibri"/>
          <w:iCs/>
          <w:sz w:val="22"/>
          <w:szCs w:val="22"/>
        </w:rPr>
        <w:t>that a controller controls;</w:t>
      </w:r>
    </w:p>
    <w:p w14:paraId="758734A2" w14:textId="77777777" w:rsidR="0039513B" w:rsidRPr="00463C54" w:rsidRDefault="0039513B" w:rsidP="0039513B">
      <w:pPr>
        <w:pStyle w:val="ListParagraph"/>
        <w:numPr>
          <w:ilvl w:val="0"/>
          <w:numId w:val="42"/>
        </w:numPr>
        <w:spacing w:after="0"/>
        <w:ind w:left="1134"/>
        <w:rPr>
          <w:rFonts w:eastAsia="Calibri"/>
          <w:iCs/>
          <w:sz w:val="22"/>
          <w:szCs w:val="22"/>
        </w:rPr>
      </w:pPr>
      <w:r w:rsidRPr="00463C54">
        <w:rPr>
          <w:rFonts w:eastAsia="Calibri"/>
          <w:iCs/>
          <w:sz w:val="22"/>
          <w:szCs w:val="22"/>
        </w:rPr>
        <w:t xml:space="preserve">that the applicant controls, which includes for the purposes of these conditions an entity that is the subject of the application; </w:t>
      </w:r>
    </w:p>
    <w:p w14:paraId="5EFB24C2" w14:textId="77777777" w:rsidR="0039513B" w:rsidRPr="00463C54" w:rsidRDefault="0039513B" w:rsidP="0039513B">
      <w:pPr>
        <w:spacing w:after="0"/>
        <w:ind w:left="786"/>
        <w:rPr>
          <w:rFonts w:eastAsia="Calibri"/>
          <w:iCs/>
        </w:rPr>
      </w:pPr>
      <w:r w:rsidRPr="00463C54">
        <w:rPr>
          <w:rFonts w:eastAsia="Calibri"/>
          <w:iCs/>
        </w:rPr>
        <w:t>For the purposes of determining a control group, control has the meaning in section</w:t>
      </w:r>
      <w:r w:rsidRPr="00463C54">
        <w:rPr>
          <w:rFonts w:eastAsia="Calibri"/>
          <w:i/>
          <w:iCs/>
        </w:rPr>
        <w:t> </w:t>
      </w:r>
      <w:r w:rsidRPr="00463C54">
        <w:rPr>
          <w:rFonts w:eastAsia="Calibri"/>
          <w:iCs/>
        </w:rPr>
        <w:t>50AA of the</w:t>
      </w:r>
      <w:r w:rsidRPr="00463C54">
        <w:rPr>
          <w:rFonts w:eastAsia="Calibri"/>
          <w:i/>
          <w:iCs/>
        </w:rPr>
        <w:t xml:space="preserve"> Corporations Act 2001</w:t>
      </w:r>
      <w:r w:rsidRPr="00463C54">
        <w:rPr>
          <w:rFonts w:eastAsia="Calibri"/>
          <w:iCs/>
        </w:rPr>
        <w:t>.</w:t>
      </w:r>
    </w:p>
    <w:p w14:paraId="63BE14B2" w14:textId="77777777" w:rsidR="0039513B" w:rsidRPr="00463C54" w:rsidRDefault="0039513B" w:rsidP="0039513B">
      <w:pPr>
        <w:spacing w:after="0"/>
        <w:ind w:left="426"/>
        <w:rPr>
          <w:rFonts w:eastAsia="Calibri" w:cs="Calibri"/>
          <w:iCs/>
          <w:vertAlign w:val="superscript"/>
        </w:rPr>
      </w:pPr>
    </w:p>
    <w:p w14:paraId="0E2CD1ED" w14:textId="77777777" w:rsidR="0039513B" w:rsidRPr="00463C54" w:rsidRDefault="0039513B" w:rsidP="0039513B">
      <w:pPr>
        <w:spacing w:after="0"/>
        <w:ind w:left="426"/>
        <w:rPr>
          <w:rFonts w:eastAsia="Calibri" w:cs="Calibri"/>
          <w:iCs/>
        </w:rPr>
      </w:pPr>
      <w:r w:rsidRPr="00463C54">
        <w:rPr>
          <w:rFonts w:eastAsia="Calibri" w:cs="Calibri"/>
          <w:iCs/>
          <w:vertAlign w:val="superscript"/>
        </w:rPr>
        <w:t>3</w:t>
      </w:r>
      <w:r w:rsidRPr="00463C54">
        <w:rPr>
          <w:rFonts w:eastAsia="Calibri" w:cs="Calibri"/>
          <w:iCs/>
        </w:rPr>
        <w:t xml:space="preserve"> This includes documents or information held, possessed or stored outside Australia.</w:t>
      </w:r>
    </w:p>
    <w:p w14:paraId="687E1BBB" w14:textId="77777777" w:rsidR="0039513B" w:rsidRPr="009D4AB3" w:rsidRDefault="0039513B" w:rsidP="0039513B">
      <w:pPr>
        <w:spacing w:after="0"/>
        <w:ind w:left="426"/>
        <w:rPr>
          <w:rFonts w:eastAsia="Calibri" w:cs="Calibri"/>
          <w:iCs/>
        </w:rPr>
      </w:pPr>
      <w:r w:rsidRPr="009D4AB3">
        <w:rPr>
          <w:rFonts w:eastAsia="Calibri" w:cs="Calibri"/>
          <w:iCs/>
        </w:rPr>
        <w:t xml:space="preserve"> </w:t>
      </w:r>
    </w:p>
    <w:p w14:paraId="48FABC56" w14:textId="77777777" w:rsidR="0039513B" w:rsidRPr="00AB6500" w:rsidRDefault="0039513B" w:rsidP="0039513B">
      <w:pPr>
        <w:pStyle w:val="Heading2"/>
        <w:ind w:right="-425"/>
      </w:pPr>
      <w:r>
        <w:t xml:space="preserve">B. </w:t>
      </w:r>
      <w:r w:rsidRPr="00AB6500">
        <w:t xml:space="preserve">Possible additional conditions for cases where a </w:t>
      </w:r>
      <w:r>
        <w:t>particular</w:t>
      </w:r>
      <w:r w:rsidRPr="00AB6500">
        <w:t xml:space="preserve"> tax risk is identified</w:t>
      </w:r>
    </w:p>
    <w:p w14:paraId="5617FC31" w14:textId="77777777" w:rsidR="0039513B" w:rsidRPr="00AB6500" w:rsidRDefault="0039513B" w:rsidP="0039513B">
      <w:pPr>
        <w:numPr>
          <w:ilvl w:val="0"/>
          <w:numId w:val="36"/>
        </w:numPr>
        <w:spacing w:after="240"/>
        <w:ind w:left="426"/>
      </w:pPr>
      <w:r w:rsidRPr="00AB6500">
        <w:t>The applicant must engage in good faith with the ATO to resolve any tax issues in relation to this transaction and its holding of the investment.</w:t>
      </w:r>
      <w:r w:rsidRPr="00926476">
        <w:rPr>
          <w:vertAlign w:val="superscript"/>
        </w:rPr>
        <w:t>1</w:t>
      </w:r>
      <w:r w:rsidRPr="00AB6500">
        <w:t xml:space="preserve"> </w:t>
      </w:r>
    </w:p>
    <w:p w14:paraId="7132D28B" w14:textId="77777777" w:rsidR="0039513B" w:rsidRPr="00AB6500" w:rsidRDefault="0039513B" w:rsidP="0039513B">
      <w:pPr>
        <w:numPr>
          <w:ilvl w:val="0"/>
          <w:numId w:val="36"/>
        </w:numPr>
        <w:spacing w:after="240"/>
        <w:ind w:left="426"/>
      </w:pPr>
      <w:r w:rsidRPr="00AB6500">
        <w:t>The applicant must provide information as specified by the ATO on a periodic basis including at a minimum a forecast of tax payable.</w:t>
      </w:r>
      <w:r w:rsidRPr="00926476">
        <w:rPr>
          <w:vertAlign w:val="superscript"/>
        </w:rPr>
        <w:t>2</w:t>
      </w:r>
      <w:r w:rsidRPr="00AB6500">
        <w:t xml:space="preserve"> </w:t>
      </w:r>
    </w:p>
    <w:p w14:paraId="0CC6EE36" w14:textId="272C9780" w:rsidR="0039513B" w:rsidRPr="00AB6500" w:rsidRDefault="0039513B" w:rsidP="0039513B">
      <w:pPr>
        <w:ind w:left="567" w:hanging="141"/>
      </w:pPr>
      <w:r w:rsidRPr="00C22ABA">
        <w:rPr>
          <w:rFonts w:eastAsia="Calibri" w:cs="Calibri"/>
          <w:iCs/>
          <w:vertAlign w:val="superscript"/>
        </w:rPr>
        <w:t>1</w:t>
      </w:r>
      <w:r w:rsidRPr="00AB6500">
        <w:t xml:space="preserve"> Depending on the issues raised by the ATO this might include entering into the negotiation of an advance pricing arrangement or the </w:t>
      </w:r>
      <w:r w:rsidR="00BB27F9">
        <w:t>requesting</w:t>
      </w:r>
      <w:r w:rsidR="00BB27F9" w:rsidRPr="00AB6500">
        <w:t xml:space="preserve"> </w:t>
      </w:r>
      <w:r w:rsidRPr="00AB6500">
        <w:t xml:space="preserve">of a private ruling with the ATO within a certain timeframe, </w:t>
      </w:r>
      <w:r>
        <w:t xml:space="preserve">the reporting of information as requested on certain transactions, for example, relating to the transfer pricing rules in </w:t>
      </w:r>
      <w:r w:rsidRPr="00AB6500">
        <w:rPr>
          <w:rFonts w:eastAsia="Calibri"/>
          <w:iCs/>
        </w:rPr>
        <w:t xml:space="preserve">Division 815-B of the </w:t>
      </w:r>
      <w:r w:rsidRPr="00AB6500">
        <w:rPr>
          <w:rFonts w:eastAsia="Calibri"/>
          <w:i/>
          <w:iCs/>
        </w:rPr>
        <w:t>Income Tax Assessment Act</w:t>
      </w:r>
      <w:r w:rsidRPr="00AB6500">
        <w:rPr>
          <w:rFonts w:eastAsia="Calibri"/>
          <w:iCs/>
        </w:rPr>
        <w:t xml:space="preserve"> </w:t>
      </w:r>
      <w:r w:rsidRPr="00AB6500">
        <w:rPr>
          <w:rFonts w:eastAsia="Calibri"/>
          <w:i/>
          <w:iCs/>
        </w:rPr>
        <w:t>1997</w:t>
      </w:r>
      <w:r>
        <w:rPr>
          <w:rFonts w:eastAsia="Calibri"/>
          <w:i/>
          <w:iCs/>
        </w:rPr>
        <w:t>,</w:t>
      </w:r>
      <w:r w:rsidRPr="00AB6500">
        <w:rPr>
          <w:rFonts w:eastAsia="Calibri"/>
          <w:i/>
          <w:iCs/>
        </w:rPr>
        <w:t xml:space="preserve"> </w:t>
      </w:r>
      <w:r w:rsidRPr="009C63BD">
        <w:rPr>
          <w:rFonts w:eastAsia="Calibri"/>
          <w:iCs/>
        </w:rPr>
        <w:t xml:space="preserve">or </w:t>
      </w:r>
      <w:r>
        <w:rPr>
          <w:rFonts w:eastAsia="Calibri"/>
          <w:iCs/>
        </w:rPr>
        <w:t>the anti</w:t>
      </w:r>
      <w:r>
        <w:rPr>
          <w:rFonts w:eastAsia="Calibri"/>
          <w:iCs/>
        </w:rPr>
        <w:noBreakHyphen/>
        <w:t>avoidance rules in</w:t>
      </w:r>
      <w:r w:rsidRPr="00AB6500">
        <w:rPr>
          <w:rFonts w:eastAsia="Calibri"/>
          <w:iCs/>
        </w:rPr>
        <w:t xml:space="preserve"> Part IVA of the </w:t>
      </w:r>
      <w:r w:rsidRPr="00AB6500">
        <w:rPr>
          <w:rFonts w:eastAsia="Calibri"/>
          <w:i/>
          <w:iCs/>
        </w:rPr>
        <w:t>Income Tax Assessment Act</w:t>
      </w:r>
      <w:r w:rsidRPr="00AB6500">
        <w:rPr>
          <w:rFonts w:eastAsia="Calibri"/>
          <w:iCs/>
        </w:rPr>
        <w:t xml:space="preserve"> </w:t>
      </w:r>
      <w:r w:rsidRPr="00AB6500">
        <w:rPr>
          <w:rFonts w:eastAsia="Calibri"/>
          <w:i/>
          <w:iCs/>
        </w:rPr>
        <w:t>1936</w:t>
      </w:r>
      <w:r w:rsidRPr="00AB6500">
        <w:t>. The relevant requirements would be included and tailored as appropriate in each case.</w:t>
      </w:r>
    </w:p>
    <w:p w14:paraId="46AD583F" w14:textId="51A627F4" w:rsidR="0039513B" w:rsidRPr="00405008" w:rsidRDefault="0039513B" w:rsidP="000D7DDE">
      <w:pPr>
        <w:spacing w:after="0"/>
        <w:ind w:left="567" w:hanging="141"/>
        <w:rPr>
          <w:rFonts w:eastAsia="Calibri" w:cs="Calibri"/>
          <w:iCs/>
        </w:rPr>
      </w:pPr>
      <w:r w:rsidRPr="00C22ABA">
        <w:rPr>
          <w:rFonts w:eastAsia="Calibri" w:cs="Calibri"/>
          <w:iCs/>
          <w:vertAlign w:val="superscript"/>
        </w:rPr>
        <w:t>2</w:t>
      </w:r>
      <w:r w:rsidRPr="000C6DFE">
        <w:rPr>
          <w:rFonts w:eastAsia="Calibri" w:cs="Calibri"/>
          <w:iCs/>
          <w:vertAlign w:val="superscript"/>
        </w:rPr>
        <w:t xml:space="preserve"> </w:t>
      </w:r>
      <w:r w:rsidRPr="000C6DFE">
        <w:rPr>
          <w:rFonts w:eastAsia="Calibri" w:cs="Calibri"/>
          <w:iCs/>
        </w:rPr>
        <w:t>This could include a requirement to advise the ATO, and provide an explanation, of significant variations from the forecast of tax payable.</w:t>
      </w:r>
    </w:p>
    <w:p w14:paraId="57508021" w14:textId="77777777" w:rsidR="00567343" w:rsidRDefault="00567343">
      <w:pPr>
        <w:spacing w:after="0"/>
      </w:pPr>
      <w:r>
        <w:br w:type="page"/>
      </w:r>
    </w:p>
    <w:p w14:paraId="1AEB8381" w14:textId="77777777" w:rsidR="007B2B22" w:rsidRDefault="007B2B22" w:rsidP="007B2B22">
      <w:pPr>
        <w:pStyle w:val="Header"/>
        <w:pBdr>
          <w:bottom w:val="none" w:sz="0" w:space="0" w:color="auto"/>
        </w:pBdr>
        <w:spacing w:after="360"/>
        <w:rPr>
          <w:b/>
        </w:rPr>
      </w:pPr>
      <w:r w:rsidRPr="00C03402">
        <w:rPr>
          <w:b/>
        </w:rPr>
        <w:t xml:space="preserve">Attachment </w:t>
      </w:r>
      <w:r>
        <w:rPr>
          <w:b/>
        </w:rPr>
        <w:t>B</w:t>
      </w:r>
    </w:p>
    <w:p w14:paraId="58209FF0" w14:textId="3AFE8305" w:rsidR="007B2B22" w:rsidRDefault="00F25ABD" w:rsidP="007B2B22">
      <w:pPr>
        <w:keepNext/>
        <w:spacing w:after="0"/>
        <w:ind w:left="426" w:hanging="425"/>
        <w:rPr>
          <w:b/>
          <w:sz w:val="28"/>
          <w:szCs w:val="28"/>
        </w:rPr>
      </w:pPr>
      <w:proofErr w:type="gramStart"/>
      <w:r>
        <w:rPr>
          <w:b/>
          <w:sz w:val="28"/>
          <w:szCs w:val="28"/>
        </w:rPr>
        <w:t>Additional information</w:t>
      </w:r>
      <w:r w:rsidR="007B2B22" w:rsidRPr="00DE4E78">
        <w:rPr>
          <w:b/>
          <w:sz w:val="28"/>
          <w:szCs w:val="28"/>
        </w:rPr>
        <w:t xml:space="preserve"> </w:t>
      </w:r>
      <w:r>
        <w:rPr>
          <w:b/>
          <w:sz w:val="28"/>
          <w:szCs w:val="28"/>
        </w:rPr>
        <w:t>on</w:t>
      </w:r>
      <w:r w:rsidR="007B2B22" w:rsidRPr="00DE4E78">
        <w:rPr>
          <w:b/>
          <w:sz w:val="28"/>
          <w:szCs w:val="28"/>
        </w:rPr>
        <w:t xml:space="preserve"> the </w:t>
      </w:r>
      <w:r>
        <w:rPr>
          <w:b/>
          <w:sz w:val="28"/>
          <w:szCs w:val="28"/>
        </w:rPr>
        <w:t>tax c</w:t>
      </w:r>
      <w:r w:rsidR="007B2B22" w:rsidRPr="00DE4E78">
        <w:rPr>
          <w:b/>
          <w:sz w:val="28"/>
          <w:szCs w:val="28"/>
        </w:rPr>
        <w:t>onditions.</w:t>
      </w:r>
      <w:proofErr w:type="gramEnd"/>
    </w:p>
    <w:p w14:paraId="76A49D3D" w14:textId="77777777" w:rsidR="007B2B22" w:rsidRPr="00DE4E78" w:rsidRDefault="007B2B22" w:rsidP="007B2B22">
      <w:pPr>
        <w:keepNext/>
        <w:spacing w:after="0"/>
        <w:ind w:left="426" w:hanging="425"/>
        <w:rPr>
          <w:b/>
          <w:sz w:val="28"/>
          <w:szCs w:val="28"/>
        </w:rPr>
      </w:pPr>
    </w:p>
    <w:p w14:paraId="356C81EC" w14:textId="590AC165" w:rsidR="0043339E" w:rsidRDefault="0043339E" w:rsidP="0043339E">
      <w:pPr>
        <w:spacing w:after="150"/>
        <w:rPr>
          <w:lang w:val="en-US"/>
        </w:rPr>
      </w:pPr>
      <w:r>
        <w:rPr>
          <w:lang w:val="en-US"/>
        </w:rPr>
        <w:t xml:space="preserve">Tax conditions will apply until a termination event occurs. </w:t>
      </w:r>
      <w:r w:rsidR="000B5D91">
        <w:rPr>
          <w:lang w:val="en-US"/>
        </w:rPr>
        <w:t>Termination event</w:t>
      </w:r>
      <w:r>
        <w:rPr>
          <w:lang w:val="en-US"/>
        </w:rPr>
        <w:t xml:space="preserve"> is defined </w:t>
      </w:r>
      <w:r w:rsidR="000B5D91">
        <w:rPr>
          <w:lang w:val="en-US"/>
        </w:rPr>
        <w:t>in the conditions</w:t>
      </w:r>
      <w:r w:rsidR="00303570">
        <w:rPr>
          <w:lang w:val="en-US"/>
        </w:rPr>
        <w:t>,</w:t>
      </w:r>
      <w:r w:rsidR="000B5D91">
        <w:rPr>
          <w:lang w:val="en-US"/>
        </w:rPr>
        <w:t xml:space="preserve"> </w:t>
      </w:r>
      <w:r w:rsidR="00303570">
        <w:rPr>
          <w:lang w:val="en-US"/>
        </w:rPr>
        <w:t>see</w:t>
      </w:r>
      <w:r w:rsidR="000B5D91">
        <w:rPr>
          <w:lang w:val="en-US"/>
        </w:rPr>
        <w:t xml:space="preserve"> page </w:t>
      </w:r>
      <w:r w:rsidR="000B5D91">
        <w:rPr>
          <w:lang w:val="en-US"/>
        </w:rPr>
        <w:fldChar w:fldCharType="begin"/>
      </w:r>
      <w:r w:rsidR="000B5D91">
        <w:rPr>
          <w:lang w:val="en-US"/>
        </w:rPr>
        <w:instrText xml:space="preserve"> PAGEREF Termination_event_definition \h </w:instrText>
      </w:r>
      <w:r w:rsidR="000B5D91">
        <w:rPr>
          <w:lang w:val="en-US"/>
        </w:rPr>
      </w:r>
      <w:r w:rsidR="000B5D91">
        <w:rPr>
          <w:lang w:val="en-US"/>
        </w:rPr>
        <w:fldChar w:fldCharType="separate"/>
      </w:r>
      <w:r w:rsidR="00D607AD">
        <w:rPr>
          <w:noProof/>
          <w:lang w:val="en-US"/>
        </w:rPr>
        <w:t>6</w:t>
      </w:r>
      <w:r w:rsidR="000B5D91">
        <w:rPr>
          <w:lang w:val="en-US"/>
        </w:rPr>
        <w:fldChar w:fldCharType="end"/>
      </w:r>
      <w:r w:rsidR="000B5D91">
        <w:rPr>
          <w:lang w:val="en-US"/>
        </w:rPr>
        <w:t xml:space="preserve"> of this guidance note, as follows</w:t>
      </w:r>
      <w:r>
        <w:rPr>
          <w:lang w:val="en-US"/>
        </w:rPr>
        <w:t>:</w:t>
      </w:r>
    </w:p>
    <w:p w14:paraId="15B8C531" w14:textId="5C35C9D9" w:rsidR="0043339E" w:rsidRPr="00463C54" w:rsidRDefault="0043339E" w:rsidP="0043339E">
      <w:pPr>
        <w:spacing w:after="240"/>
        <w:ind w:left="426"/>
        <w:rPr>
          <w:rFonts w:eastAsia="Calibri" w:cs="Calibri"/>
          <w:iCs/>
        </w:rPr>
      </w:pPr>
      <w:r>
        <w:rPr>
          <w:rFonts w:eastAsia="Calibri" w:cs="Calibri"/>
          <w:iCs/>
        </w:rPr>
        <w:t xml:space="preserve">For the </w:t>
      </w:r>
      <w:r w:rsidRPr="00463C54">
        <w:rPr>
          <w:rFonts w:eastAsia="Calibri" w:cs="Calibri"/>
          <w:iCs/>
        </w:rPr>
        <w:t>purposes of these conditions a termination event occurs:</w:t>
      </w:r>
    </w:p>
    <w:p w14:paraId="6C71A39E" w14:textId="77777777" w:rsidR="0043339E" w:rsidRPr="00463C54" w:rsidRDefault="0043339E" w:rsidP="0043339E">
      <w:pPr>
        <w:pStyle w:val="ListParagraph"/>
        <w:numPr>
          <w:ilvl w:val="0"/>
          <w:numId w:val="44"/>
        </w:numPr>
        <w:spacing w:after="0"/>
        <w:rPr>
          <w:sz w:val="22"/>
          <w:szCs w:val="22"/>
        </w:rPr>
      </w:pPr>
      <w:r w:rsidRPr="00463C54">
        <w:rPr>
          <w:sz w:val="22"/>
          <w:szCs w:val="22"/>
        </w:rPr>
        <w:t>when the applicant ceases to hold the interest the acquisition of which was the subject of the no objection notification;</w:t>
      </w:r>
    </w:p>
    <w:p w14:paraId="5E9ED4CA" w14:textId="77777777" w:rsidR="0043339E" w:rsidRPr="00463C54" w:rsidRDefault="0043339E" w:rsidP="0043339E">
      <w:pPr>
        <w:pStyle w:val="ListParagraph"/>
        <w:numPr>
          <w:ilvl w:val="0"/>
          <w:numId w:val="44"/>
        </w:numPr>
        <w:spacing w:after="0"/>
        <w:rPr>
          <w:rFonts w:eastAsia="Calibri" w:cs="Calibri"/>
          <w:iCs/>
          <w:sz w:val="22"/>
          <w:szCs w:val="22"/>
        </w:rPr>
      </w:pPr>
      <w:r w:rsidRPr="00463C54">
        <w:rPr>
          <w:rFonts w:eastAsia="Calibri" w:cs="Calibri"/>
          <w:iCs/>
          <w:sz w:val="22"/>
          <w:szCs w:val="22"/>
        </w:rPr>
        <w:t xml:space="preserve">when the applicant ceases to control, as defined in the </w:t>
      </w:r>
      <w:r w:rsidRPr="00463C54">
        <w:rPr>
          <w:rFonts w:eastAsia="Calibri" w:cs="Calibri"/>
          <w:i/>
          <w:iCs/>
          <w:sz w:val="22"/>
          <w:szCs w:val="22"/>
        </w:rPr>
        <w:t>Foreign Acquisitions and Takeovers Act 1975</w:t>
      </w:r>
      <w:r w:rsidRPr="00463C54">
        <w:rPr>
          <w:rFonts w:eastAsia="Calibri" w:cs="Calibri"/>
          <w:iCs/>
          <w:sz w:val="22"/>
          <w:szCs w:val="22"/>
        </w:rPr>
        <w:t>, the entity or business the control of which was the subject of the no objection notification;</w:t>
      </w:r>
    </w:p>
    <w:p w14:paraId="0E5634E9" w14:textId="77777777" w:rsidR="0043339E" w:rsidRPr="00463C54" w:rsidRDefault="0043339E" w:rsidP="006774EE">
      <w:pPr>
        <w:pStyle w:val="ListParagraph"/>
        <w:numPr>
          <w:ilvl w:val="0"/>
          <w:numId w:val="44"/>
        </w:numPr>
        <w:rPr>
          <w:rFonts w:eastAsia="Calibri" w:cs="Calibri"/>
          <w:iCs/>
          <w:sz w:val="22"/>
          <w:szCs w:val="22"/>
        </w:rPr>
      </w:pPr>
      <w:proofErr w:type="gramStart"/>
      <w:r w:rsidRPr="00463C54">
        <w:rPr>
          <w:rFonts w:eastAsia="Calibri" w:cs="Calibri"/>
          <w:iCs/>
          <w:sz w:val="22"/>
          <w:szCs w:val="22"/>
        </w:rPr>
        <w:t>when</w:t>
      </w:r>
      <w:proofErr w:type="gramEnd"/>
      <w:r w:rsidRPr="00463C54">
        <w:rPr>
          <w:rFonts w:eastAsia="Calibri" w:cs="Calibri"/>
          <w:iCs/>
          <w:sz w:val="22"/>
          <w:szCs w:val="22"/>
        </w:rPr>
        <w:t xml:space="preserve"> the applicant ceases to carry on an Australian business the starting of which was the subject of the no objection notification.</w:t>
      </w:r>
    </w:p>
    <w:p w14:paraId="5B766871" w14:textId="1EC10298" w:rsidR="0043339E" w:rsidRDefault="0043339E" w:rsidP="0043339E">
      <w:pPr>
        <w:spacing w:after="150"/>
        <w:rPr>
          <w:rFonts w:asciiTheme="minorHAnsi" w:hAnsiTheme="minorHAnsi" w:cs="Arial"/>
          <w:color w:val="auto"/>
          <w:lang w:val="en-US"/>
        </w:rPr>
      </w:pPr>
      <w:r>
        <w:rPr>
          <w:rFonts w:asciiTheme="minorHAnsi" w:hAnsiTheme="minorHAnsi" w:cs="Arial"/>
          <w:color w:val="auto"/>
          <w:lang w:val="en-US"/>
        </w:rPr>
        <w:t xml:space="preserve">The termination event that is applicable depends on the action that is the subject of the no objection decision. </w:t>
      </w:r>
    </w:p>
    <w:p w14:paraId="0CC8367B" w14:textId="4E551619" w:rsidR="00A1278A" w:rsidRDefault="0043339E" w:rsidP="0043339E">
      <w:pPr>
        <w:spacing w:after="150"/>
        <w:rPr>
          <w:rFonts w:asciiTheme="minorHAnsi" w:hAnsiTheme="minorHAnsi" w:cs="Arial"/>
          <w:color w:val="auto"/>
          <w:lang w:val="en-US"/>
        </w:rPr>
      </w:pPr>
      <w:proofErr w:type="gramStart"/>
      <w:r>
        <w:rPr>
          <w:rFonts w:asciiTheme="minorHAnsi" w:hAnsiTheme="minorHAnsi" w:cs="Arial"/>
          <w:color w:val="auto"/>
          <w:lang w:val="en-US"/>
        </w:rPr>
        <w:t>If the action was the gaining of an interest (</w:t>
      </w:r>
      <w:r w:rsidR="0043113A">
        <w:rPr>
          <w:rFonts w:asciiTheme="minorHAnsi" w:hAnsiTheme="minorHAnsi" w:cs="Arial"/>
          <w:color w:val="auto"/>
          <w:lang w:val="en-US"/>
        </w:rPr>
        <w:t>which did not require a change in control for it to be a significant action</w:t>
      </w:r>
      <w:r>
        <w:rPr>
          <w:rFonts w:asciiTheme="minorHAnsi" w:hAnsiTheme="minorHAnsi" w:cs="Arial"/>
          <w:color w:val="auto"/>
          <w:lang w:val="en-US"/>
        </w:rPr>
        <w:t>), then paragraph (a) of the definition of termination event is applicable.</w:t>
      </w:r>
      <w:proofErr w:type="gramEnd"/>
      <w:r>
        <w:rPr>
          <w:rFonts w:asciiTheme="minorHAnsi" w:hAnsiTheme="minorHAnsi" w:cs="Arial"/>
          <w:color w:val="auto"/>
          <w:lang w:val="en-US"/>
        </w:rPr>
        <w:t xml:space="preserve"> </w:t>
      </w:r>
      <w:proofErr w:type="gramStart"/>
      <w:r>
        <w:rPr>
          <w:rFonts w:asciiTheme="minorHAnsi" w:hAnsiTheme="minorHAnsi" w:cs="Arial"/>
          <w:color w:val="auto"/>
          <w:lang w:val="en-US"/>
        </w:rPr>
        <w:t>For example, acquiring a</w:t>
      </w:r>
      <w:r w:rsidR="000B5D91">
        <w:rPr>
          <w:rFonts w:asciiTheme="minorHAnsi" w:hAnsiTheme="minorHAnsi" w:cs="Arial"/>
          <w:color w:val="auto"/>
          <w:lang w:val="en-US"/>
        </w:rPr>
        <w:t>n</w:t>
      </w:r>
      <w:r>
        <w:rPr>
          <w:rFonts w:asciiTheme="minorHAnsi" w:hAnsiTheme="minorHAnsi" w:cs="Arial"/>
          <w:color w:val="auto"/>
          <w:lang w:val="en-US"/>
        </w:rPr>
        <w:t xml:space="preserve"> interest in Australian </w:t>
      </w:r>
      <w:r w:rsidR="000B5D91">
        <w:rPr>
          <w:rFonts w:asciiTheme="minorHAnsi" w:hAnsiTheme="minorHAnsi" w:cs="Arial"/>
          <w:color w:val="auto"/>
          <w:lang w:val="en-US"/>
        </w:rPr>
        <w:t>land</w:t>
      </w:r>
      <w:r w:rsidR="00A1278A">
        <w:rPr>
          <w:rFonts w:asciiTheme="minorHAnsi" w:hAnsiTheme="minorHAnsi" w:cs="Arial"/>
          <w:color w:val="auto"/>
          <w:lang w:val="en-US"/>
        </w:rPr>
        <w:t>.</w:t>
      </w:r>
      <w:proofErr w:type="gramEnd"/>
      <w:r w:rsidR="00A1278A">
        <w:rPr>
          <w:rFonts w:asciiTheme="minorHAnsi" w:hAnsiTheme="minorHAnsi" w:cs="Arial"/>
          <w:color w:val="auto"/>
          <w:lang w:val="en-US"/>
        </w:rPr>
        <w:t xml:space="preserve"> While ever the applicant has any interest in the land, the conditions apply. If an applicant acquired a direct interest in an agribusiness, then while ever the applicant owns a direct interest in the agribusiness, then the conditions apply.</w:t>
      </w:r>
    </w:p>
    <w:p w14:paraId="34E5FBB0" w14:textId="69C56ECD" w:rsidR="0043339E" w:rsidRDefault="0043339E" w:rsidP="0043339E">
      <w:pPr>
        <w:spacing w:after="150"/>
        <w:rPr>
          <w:rFonts w:asciiTheme="minorHAnsi" w:hAnsiTheme="minorHAnsi" w:cs="Arial"/>
          <w:color w:val="auto"/>
          <w:lang w:val="en-US"/>
        </w:rPr>
      </w:pPr>
      <w:r>
        <w:rPr>
          <w:rFonts w:asciiTheme="minorHAnsi" w:hAnsiTheme="minorHAnsi" w:cs="Arial"/>
          <w:color w:val="auto"/>
          <w:lang w:val="en-US"/>
        </w:rPr>
        <w:t xml:space="preserve">If the action </w:t>
      </w:r>
      <w:r w:rsidR="00F25311">
        <w:rPr>
          <w:rFonts w:asciiTheme="minorHAnsi" w:hAnsiTheme="minorHAnsi" w:cs="Arial"/>
          <w:color w:val="auto"/>
          <w:lang w:val="en-US"/>
        </w:rPr>
        <w:t>required</w:t>
      </w:r>
      <w:r>
        <w:rPr>
          <w:rFonts w:asciiTheme="minorHAnsi" w:hAnsiTheme="minorHAnsi" w:cs="Arial"/>
          <w:color w:val="auto"/>
          <w:lang w:val="en-US"/>
        </w:rPr>
        <w:t xml:space="preserve"> the gaining of control, then paragraph (b) of the definition of termination event is applicable. For example, acquiring interests in assets of an Australian business </w:t>
      </w:r>
      <w:r w:rsidR="000B5D91">
        <w:rPr>
          <w:rFonts w:asciiTheme="minorHAnsi" w:hAnsiTheme="minorHAnsi" w:cs="Arial"/>
          <w:color w:val="auto"/>
          <w:lang w:val="en-US"/>
        </w:rPr>
        <w:t>p</w:t>
      </w:r>
      <w:r>
        <w:rPr>
          <w:rFonts w:asciiTheme="minorHAnsi" w:hAnsiTheme="minorHAnsi" w:cs="Arial"/>
          <w:color w:val="auto"/>
          <w:lang w:val="en-US"/>
        </w:rPr>
        <w:t>er paragraph 41(2</w:t>
      </w:r>
      <w:proofErr w:type="gramStart"/>
      <w:r>
        <w:rPr>
          <w:rFonts w:asciiTheme="minorHAnsi" w:hAnsiTheme="minorHAnsi" w:cs="Arial"/>
          <w:color w:val="auto"/>
          <w:lang w:val="en-US"/>
        </w:rPr>
        <w:t>)(</w:t>
      </w:r>
      <w:proofErr w:type="gramEnd"/>
      <w:r>
        <w:rPr>
          <w:rFonts w:asciiTheme="minorHAnsi" w:hAnsiTheme="minorHAnsi" w:cs="Arial"/>
          <w:color w:val="auto"/>
          <w:lang w:val="en-US"/>
        </w:rPr>
        <w:t xml:space="preserve">b) of the </w:t>
      </w:r>
      <w:r w:rsidRPr="00EC0CFA">
        <w:rPr>
          <w:rFonts w:asciiTheme="minorHAnsi" w:hAnsiTheme="minorHAnsi" w:cs="Arial"/>
          <w:i/>
          <w:color w:val="auto"/>
          <w:lang w:val="en-US"/>
        </w:rPr>
        <w:t>F</w:t>
      </w:r>
      <w:r w:rsidR="00EC0CFA" w:rsidRPr="00EC0CFA">
        <w:rPr>
          <w:rFonts w:asciiTheme="minorHAnsi" w:hAnsiTheme="minorHAnsi" w:cs="Arial"/>
          <w:i/>
          <w:color w:val="auto"/>
          <w:lang w:val="en-US"/>
        </w:rPr>
        <w:t>oreign Acquisitions and Takeovers Act 1975</w:t>
      </w:r>
      <w:r w:rsidR="00EC0CFA">
        <w:rPr>
          <w:rFonts w:asciiTheme="minorHAnsi" w:hAnsiTheme="minorHAnsi" w:cs="Arial"/>
          <w:color w:val="auto"/>
          <w:lang w:val="en-US"/>
        </w:rPr>
        <w:t xml:space="preserve"> (F</w:t>
      </w:r>
      <w:r>
        <w:rPr>
          <w:rFonts w:asciiTheme="minorHAnsi" w:hAnsiTheme="minorHAnsi" w:cs="Arial"/>
          <w:color w:val="auto"/>
          <w:lang w:val="en-US"/>
        </w:rPr>
        <w:t>ATA</w:t>
      </w:r>
      <w:r w:rsidR="00EC0CFA">
        <w:rPr>
          <w:rFonts w:asciiTheme="minorHAnsi" w:hAnsiTheme="minorHAnsi" w:cs="Arial"/>
          <w:color w:val="auto"/>
          <w:lang w:val="en-US"/>
        </w:rPr>
        <w:t>)</w:t>
      </w:r>
      <w:r>
        <w:rPr>
          <w:rFonts w:asciiTheme="minorHAnsi" w:hAnsiTheme="minorHAnsi" w:cs="Arial"/>
          <w:color w:val="auto"/>
          <w:lang w:val="en-US"/>
        </w:rPr>
        <w:t xml:space="preserve">. In that case, while ever the applicant </w:t>
      </w:r>
      <w:r w:rsidR="00A1278A">
        <w:rPr>
          <w:rFonts w:asciiTheme="minorHAnsi" w:hAnsiTheme="minorHAnsi" w:cs="Arial"/>
          <w:color w:val="auto"/>
          <w:lang w:val="en-US"/>
        </w:rPr>
        <w:t xml:space="preserve">has </w:t>
      </w:r>
      <w:r>
        <w:rPr>
          <w:rFonts w:asciiTheme="minorHAnsi" w:hAnsiTheme="minorHAnsi" w:cs="Arial"/>
          <w:color w:val="auto"/>
          <w:lang w:val="en-US"/>
        </w:rPr>
        <w:t>control</w:t>
      </w:r>
      <w:r w:rsidR="000B5D91">
        <w:rPr>
          <w:rFonts w:asciiTheme="minorHAnsi" w:hAnsiTheme="minorHAnsi" w:cs="Arial"/>
          <w:color w:val="auto"/>
          <w:lang w:val="en-US"/>
        </w:rPr>
        <w:t xml:space="preserve"> the conditions apply</w:t>
      </w:r>
      <w:r>
        <w:rPr>
          <w:rFonts w:asciiTheme="minorHAnsi" w:hAnsiTheme="minorHAnsi" w:cs="Arial"/>
          <w:color w:val="auto"/>
          <w:lang w:val="en-US"/>
        </w:rPr>
        <w:t>.</w:t>
      </w:r>
    </w:p>
    <w:p w14:paraId="0CAA3555" w14:textId="2AA450B4" w:rsidR="00303570" w:rsidRPr="00FB4435" w:rsidRDefault="00303570" w:rsidP="0043339E">
      <w:pPr>
        <w:spacing w:after="150"/>
        <w:rPr>
          <w:rFonts w:asciiTheme="minorHAnsi" w:hAnsiTheme="minorHAnsi" w:cs="Arial"/>
          <w:color w:val="auto"/>
          <w:lang w:val="en-US"/>
        </w:rPr>
      </w:pPr>
      <w:r>
        <w:rPr>
          <w:rFonts w:asciiTheme="minorHAnsi" w:hAnsiTheme="minorHAnsi" w:cs="Arial"/>
          <w:color w:val="auto"/>
          <w:lang w:val="en-US"/>
        </w:rPr>
        <w:t>If the action was</w:t>
      </w:r>
      <w:r w:rsidR="00055BD7">
        <w:rPr>
          <w:rFonts w:asciiTheme="minorHAnsi" w:hAnsiTheme="minorHAnsi" w:cs="Arial"/>
          <w:color w:val="auto"/>
          <w:lang w:val="en-US"/>
        </w:rPr>
        <w:t xml:space="preserve"> starting an Australian business then paragraph (c) of the definition of termination event is applicable.</w:t>
      </w:r>
    </w:p>
    <w:p w14:paraId="2431324F" w14:textId="0FD70D35" w:rsidR="007B2B22" w:rsidRPr="00581605" w:rsidRDefault="007B2B22" w:rsidP="006774EE">
      <w:pPr>
        <w:pStyle w:val="Heading3"/>
        <w:keepNext/>
        <w:spacing w:before="240"/>
        <w:rPr>
          <w:lang w:val="en-US"/>
        </w:rPr>
      </w:pPr>
      <w:r w:rsidRPr="00581605">
        <w:rPr>
          <w:lang w:val="en-US"/>
        </w:rPr>
        <w:t>CONDITIONS ONE AND TWO – COMPLY WITH AUSTRALIAN TAX LAWS.</w:t>
      </w:r>
    </w:p>
    <w:p w14:paraId="0E63D200" w14:textId="4C10A0A8" w:rsidR="007B2B22" w:rsidRPr="00FB4435" w:rsidRDefault="00E30622" w:rsidP="007B2B22">
      <w:pPr>
        <w:spacing w:after="150"/>
        <w:rPr>
          <w:rFonts w:asciiTheme="minorHAnsi" w:hAnsiTheme="minorHAnsi" w:cs="Arial"/>
          <w:color w:val="auto"/>
          <w:lang w:val="en-US"/>
        </w:rPr>
      </w:pPr>
      <w:r>
        <w:rPr>
          <w:rFonts w:asciiTheme="minorHAnsi" w:hAnsiTheme="minorHAnsi" w:cs="Arial"/>
          <w:color w:val="auto"/>
          <w:lang w:val="en-US"/>
        </w:rPr>
        <w:t>These</w:t>
      </w:r>
      <w:r w:rsidR="007B2B22" w:rsidRPr="00FB4435">
        <w:rPr>
          <w:rFonts w:asciiTheme="minorHAnsi" w:hAnsiTheme="minorHAnsi" w:cs="Arial"/>
          <w:color w:val="auto"/>
          <w:lang w:val="en-US"/>
        </w:rPr>
        <w:t xml:space="preserve"> condition</w:t>
      </w:r>
      <w:r>
        <w:rPr>
          <w:rFonts w:asciiTheme="minorHAnsi" w:hAnsiTheme="minorHAnsi" w:cs="Arial"/>
          <w:color w:val="auto"/>
          <w:lang w:val="en-US"/>
        </w:rPr>
        <w:t xml:space="preserve">s </w:t>
      </w:r>
      <w:r w:rsidR="007B2B22" w:rsidRPr="00FB4435">
        <w:rPr>
          <w:rFonts w:asciiTheme="minorHAnsi" w:hAnsiTheme="minorHAnsi" w:cs="Arial"/>
          <w:color w:val="auto"/>
          <w:lang w:val="en-US"/>
        </w:rPr>
        <w:t>make explicit that it is considered contrary to the national interest if foreign investors operating in Australia do not meet their obligations imposed under the tax laws, in relation to an action.</w:t>
      </w:r>
      <w:r w:rsidR="00312128">
        <w:rPr>
          <w:rFonts w:asciiTheme="minorHAnsi" w:hAnsiTheme="minorHAnsi" w:cs="Arial"/>
          <w:color w:val="auto"/>
          <w:lang w:val="en-US"/>
        </w:rPr>
        <w:t xml:space="preserve"> </w:t>
      </w:r>
    </w:p>
    <w:p w14:paraId="267C008D" w14:textId="77777777" w:rsidR="007B2B22" w:rsidRDefault="007B2B22" w:rsidP="007B2B22">
      <w:pPr>
        <w:spacing w:after="150"/>
        <w:rPr>
          <w:rFonts w:eastAsia="Calibri"/>
          <w:iCs/>
          <w:color w:val="auto"/>
        </w:rPr>
      </w:pPr>
      <w:r w:rsidRPr="00FB4435">
        <w:rPr>
          <w:rFonts w:asciiTheme="minorHAnsi" w:hAnsiTheme="minorHAnsi" w:cs="Arial"/>
          <w:color w:val="auto"/>
          <w:lang w:val="en-US"/>
        </w:rPr>
        <w:t xml:space="preserve">Compliance with </w:t>
      </w:r>
      <w:r w:rsidRPr="00FB4435">
        <w:rPr>
          <w:rFonts w:eastAsia="Calibri"/>
          <w:iCs/>
          <w:color w:val="auto"/>
        </w:rPr>
        <w:t>Australia’s tax laws would be determined by applying the usual legal principles and processes, including reliance on objection or appeal rights by affected entities.</w:t>
      </w:r>
    </w:p>
    <w:p w14:paraId="65328040" w14:textId="6AD885BD" w:rsidR="00A86ADC" w:rsidRDefault="00E30622" w:rsidP="007B2B22">
      <w:pPr>
        <w:spacing w:after="150"/>
        <w:rPr>
          <w:rFonts w:eastAsia="Calibri"/>
          <w:iCs/>
          <w:color w:val="auto"/>
        </w:rPr>
      </w:pPr>
      <w:r>
        <w:rPr>
          <w:rFonts w:eastAsia="Calibri"/>
          <w:iCs/>
          <w:color w:val="auto"/>
        </w:rPr>
        <w:t>If an applicant has taken reasonable care to comply with the relevant tax law and has a reasonably arguable position then it does not breach these conditions.</w:t>
      </w:r>
    </w:p>
    <w:p w14:paraId="7E2DDDB0" w14:textId="78228FA8" w:rsidR="007B2B22" w:rsidRPr="00FB4435" w:rsidRDefault="007B2B22" w:rsidP="007B2B22">
      <w:pPr>
        <w:spacing w:after="150"/>
        <w:rPr>
          <w:rFonts w:eastAsia="Calibri"/>
          <w:iCs/>
          <w:color w:val="auto"/>
        </w:rPr>
      </w:pPr>
      <w:r w:rsidRPr="00FB4435">
        <w:rPr>
          <w:rFonts w:eastAsia="Calibri"/>
          <w:iCs/>
          <w:color w:val="auto"/>
        </w:rPr>
        <w:t xml:space="preserve">See below for the meaning of ‘best endeavours’ </w:t>
      </w:r>
      <w:r w:rsidR="00E30622">
        <w:rPr>
          <w:rFonts w:eastAsia="Calibri"/>
          <w:iCs/>
          <w:color w:val="auto"/>
        </w:rPr>
        <w:t>and ‘control group’</w:t>
      </w:r>
      <w:r w:rsidR="00312128">
        <w:rPr>
          <w:rFonts w:eastAsia="Calibri"/>
          <w:iCs/>
          <w:color w:val="auto"/>
        </w:rPr>
        <w:t xml:space="preserve"> in condition two</w:t>
      </w:r>
      <w:r w:rsidRPr="00FB4435">
        <w:rPr>
          <w:rFonts w:eastAsia="Calibri"/>
          <w:iCs/>
          <w:color w:val="auto"/>
        </w:rPr>
        <w:t>.</w:t>
      </w:r>
    </w:p>
    <w:p w14:paraId="1F67574C" w14:textId="77777777" w:rsidR="007B2B22" w:rsidRPr="00581605" w:rsidRDefault="007B2B22" w:rsidP="006774EE">
      <w:pPr>
        <w:pStyle w:val="Heading3"/>
        <w:keepNext/>
        <w:spacing w:before="240"/>
        <w:rPr>
          <w:lang w:val="en-US"/>
        </w:rPr>
      </w:pPr>
      <w:r w:rsidRPr="00581605">
        <w:rPr>
          <w:lang w:val="en-US"/>
        </w:rPr>
        <w:t>CONDITIONS THREE AND FOUR – PROVIDE DOCUMENTS OR INFORMATION REQUESTED BY THE ATO</w:t>
      </w:r>
    </w:p>
    <w:p w14:paraId="3545FF7C" w14:textId="3AAC7112" w:rsidR="00270A7D" w:rsidRDefault="007B2B22" w:rsidP="007B2B22">
      <w:pPr>
        <w:spacing w:after="150"/>
        <w:rPr>
          <w:rFonts w:eastAsia="Calibri"/>
          <w:iCs/>
          <w:color w:val="auto"/>
        </w:rPr>
      </w:pPr>
      <w:r w:rsidRPr="00FB4435">
        <w:rPr>
          <w:rFonts w:eastAsia="Calibri"/>
          <w:iCs/>
          <w:color w:val="auto"/>
        </w:rPr>
        <w:t xml:space="preserve">To ensure that an action does not give rise to or have ongoing </w:t>
      </w:r>
      <w:r w:rsidR="009C4ED6">
        <w:rPr>
          <w:rFonts w:eastAsia="Calibri"/>
          <w:iCs/>
          <w:color w:val="auto"/>
        </w:rPr>
        <w:t>tax</w:t>
      </w:r>
      <w:r w:rsidRPr="00FB4435">
        <w:rPr>
          <w:rFonts w:eastAsia="Calibri"/>
          <w:iCs/>
          <w:color w:val="auto"/>
        </w:rPr>
        <w:t xml:space="preserve"> issues that would make it contrary to the national interest, these conditions require </w:t>
      </w:r>
      <w:r w:rsidR="00270A7D">
        <w:rPr>
          <w:rFonts w:eastAsia="Calibri"/>
          <w:iCs/>
          <w:color w:val="auto"/>
        </w:rPr>
        <w:t>that information that is requested by the ATO, and which must be provided under tax law, must be provided to the ATO within the timeframe specified by the ATO.</w:t>
      </w:r>
    </w:p>
    <w:p w14:paraId="0C2EEBDE" w14:textId="083890DF" w:rsidR="007B2B22" w:rsidRDefault="007B2B22" w:rsidP="007B2B22">
      <w:pPr>
        <w:spacing w:after="150"/>
        <w:rPr>
          <w:rFonts w:asciiTheme="minorHAnsi" w:hAnsiTheme="minorHAnsi" w:cs="Arial"/>
          <w:color w:val="auto"/>
          <w:lang w:val="en-US"/>
        </w:rPr>
      </w:pPr>
      <w:r w:rsidRPr="00270A7D">
        <w:rPr>
          <w:rFonts w:asciiTheme="minorHAnsi" w:hAnsiTheme="minorHAnsi" w:cs="Arial"/>
          <w:color w:val="auto"/>
          <w:lang w:val="en-US"/>
        </w:rPr>
        <w:t>Compliance with these conditions does not require the applicant to waive any common law or statutory rights or privileges</w:t>
      </w:r>
      <w:r w:rsidR="007E544F" w:rsidRPr="00270A7D">
        <w:rPr>
          <w:rFonts w:asciiTheme="minorHAnsi" w:hAnsiTheme="minorHAnsi" w:cs="Arial"/>
          <w:color w:val="auto"/>
          <w:lang w:val="en-US"/>
        </w:rPr>
        <w:t xml:space="preserve">, or the accountant’s concession as </w:t>
      </w:r>
      <w:r w:rsidR="00270A7D">
        <w:rPr>
          <w:rFonts w:asciiTheme="minorHAnsi" w:hAnsiTheme="minorHAnsi" w:cs="Arial"/>
          <w:color w:val="auto"/>
          <w:lang w:val="en-US"/>
        </w:rPr>
        <w:t>provided</w:t>
      </w:r>
      <w:r w:rsidR="007E544F" w:rsidRPr="00270A7D">
        <w:rPr>
          <w:rFonts w:asciiTheme="minorHAnsi" w:hAnsiTheme="minorHAnsi" w:cs="Arial"/>
          <w:color w:val="auto"/>
          <w:lang w:val="en-US"/>
        </w:rPr>
        <w:t xml:space="preserve"> in the ATO’s access guidelines</w:t>
      </w:r>
      <w:r w:rsidRPr="00270A7D">
        <w:rPr>
          <w:rFonts w:asciiTheme="minorHAnsi" w:hAnsiTheme="minorHAnsi" w:cs="Arial"/>
          <w:color w:val="auto"/>
          <w:lang w:val="en-US"/>
        </w:rPr>
        <w:t>.</w:t>
      </w:r>
    </w:p>
    <w:p w14:paraId="4BB98406" w14:textId="7BB8B418" w:rsidR="007B2B22" w:rsidRPr="00581605" w:rsidRDefault="007B2B22" w:rsidP="006774EE">
      <w:pPr>
        <w:pStyle w:val="Heading3"/>
        <w:keepNext/>
        <w:spacing w:before="240"/>
        <w:rPr>
          <w:lang w:val="en-US"/>
        </w:rPr>
      </w:pPr>
      <w:r w:rsidRPr="00581605">
        <w:rPr>
          <w:lang w:val="en-US"/>
        </w:rPr>
        <w:t xml:space="preserve">CONDITION </w:t>
      </w:r>
      <w:r w:rsidR="00FC2FC6">
        <w:rPr>
          <w:lang w:val="en-US"/>
        </w:rPr>
        <w:t>FIVE</w:t>
      </w:r>
      <w:r w:rsidRPr="00581605">
        <w:rPr>
          <w:lang w:val="en-US"/>
        </w:rPr>
        <w:t xml:space="preserve"> – PAYMENT OF OUTSTANDING </w:t>
      </w:r>
      <w:r w:rsidR="009C4ED6">
        <w:rPr>
          <w:lang w:val="en-US"/>
        </w:rPr>
        <w:t>TAX</w:t>
      </w:r>
      <w:r w:rsidRPr="00581605">
        <w:rPr>
          <w:lang w:val="en-US"/>
        </w:rPr>
        <w:t xml:space="preserve"> DEBT</w:t>
      </w:r>
    </w:p>
    <w:p w14:paraId="270AA5C9" w14:textId="07E023ED" w:rsidR="007B2B22" w:rsidRPr="00FB4435" w:rsidRDefault="007B2B22" w:rsidP="007B2B22">
      <w:pPr>
        <w:spacing w:after="150"/>
        <w:rPr>
          <w:color w:val="auto"/>
        </w:rPr>
      </w:pPr>
      <w:r w:rsidRPr="00FB4435">
        <w:rPr>
          <w:rFonts w:asciiTheme="minorHAnsi" w:hAnsiTheme="minorHAnsi" w:cs="Arial"/>
          <w:color w:val="auto"/>
          <w:lang w:val="en-US"/>
        </w:rPr>
        <w:t xml:space="preserve">It is contrary to the national interest to allow foreign investment by investors who may not engage with the Australian </w:t>
      </w:r>
      <w:r w:rsidR="009C4ED6">
        <w:rPr>
          <w:rFonts w:asciiTheme="minorHAnsi" w:hAnsiTheme="minorHAnsi" w:cs="Arial"/>
          <w:color w:val="auto"/>
          <w:lang w:val="en-US"/>
        </w:rPr>
        <w:t>tax</w:t>
      </w:r>
      <w:r w:rsidRPr="00FB4435">
        <w:rPr>
          <w:rFonts w:asciiTheme="minorHAnsi" w:hAnsiTheme="minorHAnsi" w:cs="Arial"/>
          <w:color w:val="auto"/>
          <w:lang w:val="en-US"/>
        </w:rPr>
        <w:t xml:space="preserve"> system with the highest standards and best practices. The existence of and preparedness to address outstanding debts</w:t>
      </w:r>
      <w:r w:rsidR="006E6A03">
        <w:rPr>
          <w:rFonts w:asciiTheme="minorHAnsi" w:hAnsiTheme="minorHAnsi" w:cs="Arial"/>
          <w:color w:val="auto"/>
          <w:lang w:val="en-US"/>
        </w:rPr>
        <w:t>, that is, debts that are past due and payable,</w:t>
      </w:r>
      <w:r w:rsidRPr="00FB4435">
        <w:rPr>
          <w:rFonts w:asciiTheme="minorHAnsi" w:hAnsiTheme="minorHAnsi" w:cs="Arial"/>
          <w:color w:val="auto"/>
          <w:lang w:val="en-US"/>
        </w:rPr>
        <w:t xml:space="preserve"> is one indicator of these matters. Outstanding </w:t>
      </w:r>
      <w:r w:rsidR="009C4ED6">
        <w:rPr>
          <w:rFonts w:asciiTheme="minorHAnsi" w:hAnsiTheme="minorHAnsi" w:cs="Arial"/>
          <w:color w:val="auto"/>
          <w:lang w:val="en-US"/>
        </w:rPr>
        <w:t>tax</w:t>
      </w:r>
      <w:r w:rsidRPr="00FB4435">
        <w:rPr>
          <w:rFonts w:asciiTheme="minorHAnsi" w:hAnsiTheme="minorHAnsi" w:cs="Arial"/>
          <w:color w:val="auto"/>
          <w:lang w:val="en-US"/>
        </w:rPr>
        <w:t xml:space="preserve"> debts </w:t>
      </w:r>
      <w:r w:rsidRPr="00FB4435">
        <w:rPr>
          <w:color w:val="auto"/>
        </w:rPr>
        <w:t xml:space="preserve">are a pecuniary liability due and payable to the Commonwealth arising directly under a </w:t>
      </w:r>
      <w:r w:rsidR="009C4ED6">
        <w:rPr>
          <w:color w:val="auto"/>
        </w:rPr>
        <w:t>tax</w:t>
      </w:r>
      <w:r w:rsidRPr="00FB4435">
        <w:rPr>
          <w:color w:val="auto"/>
        </w:rPr>
        <w:t xml:space="preserve"> law. </w:t>
      </w:r>
    </w:p>
    <w:p w14:paraId="5E86CE0F" w14:textId="6C7A8E5A" w:rsidR="007B2B22" w:rsidRPr="00FB4435" w:rsidRDefault="007B2B22" w:rsidP="007B2B22">
      <w:pPr>
        <w:spacing w:after="150"/>
        <w:rPr>
          <w:color w:val="auto"/>
        </w:rPr>
      </w:pPr>
      <w:r w:rsidRPr="00FB4435">
        <w:rPr>
          <w:color w:val="auto"/>
        </w:rPr>
        <w:t xml:space="preserve">The ATO may, at its discretion, permit an entity to pay outstanding </w:t>
      </w:r>
      <w:r w:rsidR="009C4ED6">
        <w:rPr>
          <w:color w:val="auto"/>
        </w:rPr>
        <w:t>tax</w:t>
      </w:r>
      <w:r w:rsidRPr="00FB4435">
        <w:rPr>
          <w:color w:val="auto"/>
        </w:rPr>
        <w:t xml:space="preserve"> debts by instalments or in another manner as permitted by the ATO. Those arrangements are not impacted by this condition.</w:t>
      </w:r>
    </w:p>
    <w:p w14:paraId="749BFE92" w14:textId="77777777" w:rsidR="007B2B22" w:rsidRDefault="007B2B22" w:rsidP="00B505B5">
      <w:pPr>
        <w:spacing w:after="150"/>
        <w:ind w:right="-142"/>
        <w:rPr>
          <w:color w:val="auto"/>
        </w:rPr>
      </w:pPr>
      <w:r w:rsidRPr="00FB4435">
        <w:rPr>
          <w:color w:val="auto"/>
        </w:rPr>
        <w:t>For example, where an entity has exercised its right to dispute its liability for an outstanding tax debt by lodging an objection or filing an appeal, and the ATO has exercised its discretion to agree, subject to conditions such as payment of a portion of the outstanding amount or provision of relevant security, not to take recovery action while the objection or appeal is pending.</w:t>
      </w:r>
    </w:p>
    <w:p w14:paraId="1F82212D" w14:textId="4C8E6307" w:rsidR="007B2B22" w:rsidRPr="00FB4435" w:rsidRDefault="00BB27F9" w:rsidP="007B2B22">
      <w:pPr>
        <w:spacing w:after="150"/>
        <w:rPr>
          <w:color w:val="auto"/>
        </w:rPr>
      </w:pPr>
      <w:r>
        <w:rPr>
          <w:color w:val="auto"/>
        </w:rPr>
        <w:t xml:space="preserve">Payment of an outstanding tax debt that is not subject to an ATO payment arrangement </w:t>
      </w:r>
      <w:r w:rsidR="000B56DF">
        <w:rPr>
          <w:color w:val="auto"/>
        </w:rPr>
        <w:t>may</w:t>
      </w:r>
      <w:r>
        <w:rPr>
          <w:color w:val="auto"/>
        </w:rPr>
        <w:t xml:space="preserve"> be required prior to the action being taken.</w:t>
      </w:r>
    </w:p>
    <w:p w14:paraId="5E3F71AB" w14:textId="345B79B3" w:rsidR="007B2B22" w:rsidRPr="002C4E17" w:rsidRDefault="007B2B22" w:rsidP="006774EE">
      <w:pPr>
        <w:pStyle w:val="Heading3"/>
        <w:keepNext/>
        <w:spacing w:before="240"/>
        <w:rPr>
          <w:lang w:val="en-US"/>
        </w:rPr>
      </w:pPr>
      <w:r w:rsidRPr="002C4E17">
        <w:rPr>
          <w:lang w:val="en-US"/>
        </w:rPr>
        <w:t>CONDITION</w:t>
      </w:r>
      <w:r>
        <w:rPr>
          <w:lang w:val="en-US"/>
        </w:rPr>
        <w:t xml:space="preserve"> </w:t>
      </w:r>
      <w:r w:rsidR="00FC2FC6">
        <w:rPr>
          <w:lang w:val="en-US"/>
        </w:rPr>
        <w:t>SIX</w:t>
      </w:r>
      <w:r>
        <w:rPr>
          <w:lang w:val="en-US"/>
        </w:rPr>
        <w:t xml:space="preserve"> </w:t>
      </w:r>
      <w:r w:rsidR="00991F64">
        <w:rPr>
          <w:lang w:val="en-US"/>
        </w:rPr>
        <w:t>–</w:t>
      </w:r>
      <w:r>
        <w:rPr>
          <w:lang w:val="en-US"/>
        </w:rPr>
        <w:t xml:space="preserve"> </w:t>
      </w:r>
      <w:r w:rsidRPr="002C4E17">
        <w:rPr>
          <w:lang w:val="en-US"/>
        </w:rPr>
        <w:t>ANNUAL</w:t>
      </w:r>
      <w:r w:rsidR="00991F64">
        <w:rPr>
          <w:lang w:val="en-US"/>
        </w:rPr>
        <w:t xml:space="preserve"> </w:t>
      </w:r>
      <w:r w:rsidRPr="002C4E17">
        <w:rPr>
          <w:lang w:val="en-US"/>
        </w:rPr>
        <w:t>REPORT TO THE FOREIGN INVESTMENT REVIEW BOARD</w:t>
      </w:r>
    </w:p>
    <w:p w14:paraId="42F8A169" w14:textId="1316461F" w:rsidR="007B2B22" w:rsidRDefault="00AD504D" w:rsidP="007B2B22">
      <w:pPr>
        <w:spacing w:after="150"/>
        <w:rPr>
          <w:rFonts w:asciiTheme="minorHAnsi" w:hAnsiTheme="minorHAnsi" w:cs="Arial"/>
          <w:color w:val="auto"/>
          <w:lang w:val="en-US"/>
        </w:rPr>
      </w:pPr>
      <w:r>
        <w:rPr>
          <w:rFonts w:asciiTheme="minorHAnsi" w:hAnsiTheme="minorHAnsi" w:cs="Arial"/>
          <w:color w:val="auto"/>
          <w:lang w:val="en-US"/>
        </w:rPr>
        <w:t xml:space="preserve">A reporting template is provided at Attachment C for </w:t>
      </w:r>
      <w:r w:rsidR="009051C7">
        <w:rPr>
          <w:rFonts w:asciiTheme="minorHAnsi" w:hAnsiTheme="minorHAnsi" w:cs="Arial"/>
          <w:color w:val="auto"/>
          <w:lang w:val="en-US"/>
        </w:rPr>
        <w:t>applicant</w:t>
      </w:r>
      <w:r w:rsidR="005C3F2F">
        <w:rPr>
          <w:rFonts w:asciiTheme="minorHAnsi" w:hAnsiTheme="minorHAnsi" w:cs="Arial"/>
          <w:color w:val="auto"/>
          <w:lang w:val="en-US"/>
        </w:rPr>
        <w:t>s</w:t>
      </w:r>
      <w:r w:rsidR="00873FEA" w:rsidRPr="00FB4435">
        <w:rPr>
          <w:rFonts w:asciiTheme="minorHAnsi" w:hAnsiTheme="minorHAnsi" w:cs="Arial"/>
          <w:color w:val="auto"/>
          <w:lang w:val="en-US"/>
        </w:rPr>
        <w:t xml:space="preserve"> </w:t>
      </w:r>
      <w:r>
        <w:rPr>
          <w:rFonts w:asciiTheme="minorHAnsi" w:hAnsiTheme="minorHAnsi" w:cs="Arial"/>
          <w:color w:val="auto"/>
          <w:lang w:val="en-US"/>
        </w:rPr>
        <w:t>that are</w:t>
      </w:r>
      <w:r w:rsidR="007B2B22" w:rsidRPr="00FB4435">
        <w:rPr>
          <w:rFonts w:asciiTheme="minorHAnsi" w:hAnsiTheme="minorHAnsi" w:cs="Arial"/>
          <w:color w:val="auto"/>
          <w:lang w:val="en-US"/>
        </w:rPr>
        <w:t xml:space="preserve"> required to report to the Foreign Investment Review Board on compliance with </w:t>
      </w:r>
      <w:r w:rsidR="009C4ED6">
        <w:rPr>
          <w:rFonts w:asciiTheme="minorHAnsi" w:hAnsiTheme="minorHAnsi" w:cs="Arial"/>
          <w:color w:val="auto"/>
          <w:lang w:val="en-US"/>
        </w:rPr>
        <w:t>tax</w:t>
      </w:r>
      <w:r w:rsidR="007B2B22" w:rsidRPr="00FB4435">
        <w:rPr>
          <w:rFonts w:asciiTheme="minorHAnsi" w:hAnsiTheme="minorHAnsi" w:cs="Arial"/>
          <w:color w:val="auto"/>
          <w:lang w:val="en-US"/>
        </w:rPr>
        <w:t xml:space="preserve"> conditions, as per condition </w:t>
      </w:r>
      <w:r w:rsidR="00FC2FC6">
        <w:rPr>
          <w:rFonts w:asciiTheme="minorHAnsi" w:hAnsiTheme="minorHAnsi" w:cs="Arial"/>
          <w:color w:val="auto"/>
          <w:lang w:val="en-US"/>
        </w:rPr>
        <w:t>six</w:t>
      </w:r>
      <w:r w:rsidR="007B2B22" w:rsidRPr="00FB4435">
        <w:rPr>
          <w:rFonts w:asciiTheme="minorHAnsi" w:hAnsiTheme="minorHAnsi" w:cs="Arial"/>
          <w:color w:val="auto"/>
          <w:lang w:val="en-US"/>
        </w:rPr>
        <w:t xml:space="preserve"> in Attachment A.</w:t>
      </w:r>
      <w:r w:rsidR="004149E4">
        <w:rPr>
          <w:rFonts w:asciiTheme="minorHAnsi" w:hAnsiTheme="minorHAnsi" w:cs="Arial"/>
          <w:color w:val="auto"/>
          <w:lang w:val="en-US"/>
        </w:rPr>
        <w:t xml:space="preserve"> The report may be modified to suit particular circumstances.</w:t>
      </w:r>
    </w:p>
    <w:p w14:paraId="0DDA6909" w14:textId="41130CC7" w:rsidR="00536F28" w:rsidRDefault="00536F28" w:rsidP="007B2B22">
      <w:pPr>
        <w:spacing w:after="150"/>
        <w:rPr>
          <w:rFonts w:asciiTheme="minorHAnsi" w:hAnsiTheme="minorHAnsi" w:cs="Arial"/>
          <w:color w:val="auto"/>
          <w:lang w:val="en-US"/>
        </w:rPr>
      </w:pPr>
      <w:r>
        <w:rPr>
          <w:rFonts w:asciiTheme="minorHAnsi" w:hAnsiTheme="minorHAnsi" w:cs="Arial"/>
          <w:color w:val="auto"/>
          <w:lang w:val="en-US"/>
        </w:rPr>
        <w:t>If an applicant has a number of investments that have conditions imposed, it may complete a single report clearly identifying which investments are being reported upon and which of them did or did not comply with the relevant conditions.</w:t>
      </w:r>
    </w:p>
    <w:p w14:paraId="60433D39" w14:textId="7E769049" w:rsidR="008C5EA6" w:rsidRDefault="00FE5FB6" w:rsidP="008C5EA6">
      <w:pPr>
        <w:spacing w:after="150"/>
        <w:rPr>
          <w:rFonts w:asciiTheme="minorHAnsi" w:hAnsiTheme="minorHAnsi" w:cs="Arial"/>
          <w:color w:val="auto"/>
          <w:lang w:val="en-US"/>
        </w:rPr>
      </w:pPr>
      <w:r>
        <w:rPr>
          <w:rFonts w:asciiTheme="minorHAnsi" w:hAnsiTheme="minorHAnsi" w:cs="Arial"/>
          <w:color w:val="auto"/>
          <w:lang w:val="en-US"/>
        </w:rPr>
        <w:t>Income year refers to an Australian income year for tax purposes</w:t>
      </w:r>
      <w:r w:rsidR="00105D5F">
        <w:rPr>
          <w:rFonts w:asciiTheme="minorHAnsi" w:hAnsiTheme="minorHAnsi" w:cs="Arial"/>
          <w:color w:val="auto"/>
          <w:lang w:val="en-US"/>
        </w:rPr>
        <w:t xml:space="preserve"> (including an approved substituted accounting period)</w:t>
      </w:r>
      <w:r>
        <w:rPr>
          <w:rFonts w:asciiTheme="minorHAnsi" w:hAnsiTheme="minorHAnsi" w:cs="Arial"/>
          <w:color w:val="auto"/>
          <w:lang w:val="en-US"/>
        </w:rPr>
        <w:t xml:space="preserve">. </w:t>
      </w:r>
      <w:r w:rsidR="008C5EA6">
        <w:rPr>
          <w:rFonts w:asciiTheme="minorHAnsi" w:hAnsiTheme="minorHAnsi" w:cs="Arial"/>
          <w:color w:val="auto"/>
          <w:lang w:val="en-US"/>
        </w:rPr>
        <w:t xml:space="preserve">If the applicant is not required to lodge tax returns in Australia </w:t>
      </w:r>
      <w:r>
        <w:rPr>
          <w:rFonts w:asciiTheme="minorHAnsi" w:hAnsiTheme="minorHAnsi" w:cs="Arial"/>
          <w:color w:val="auto"/>
          <w:lang w:val="en-US"/>
        </w:rPr>
        <w:t xml:space="preserve">the FIRB should be advised and </w:t>
      </w:r>
      <w:r w:rsidR="008C5EA6">
        <w:rPr>
          <w:rFonts w:asciiTheme="minorHAnsi" w:hAnsiTheme="minorHAnsi" w:cs="Arial"/>
          <w:color w:val="auto"/>
          <w:lang w:val="en-US"/>
        </w:rPr>
        <w:t>a substitute reporting period will be</w:t>
      </w:r>
      <w:r>
        <w:rPr>
          <w:rFonts w:asciiTheme="minorHAnsi" w:hAnsiTheme="minorHAnsi" w:cs="Arial"/>
          <w:color w:val="auto"/>
          <w:lang w:val="en-US"/>
        </w:rPr>
        <w:t xml:space="preserve"> determined</w:t>
      </w:r>
      <w:r w:rsidR="008C5EA6">
        <w:rPr>
          <w:rFonts w:asciiTheme="minorHAnsi" w:hAnsiTheme="minorHAnsi" w:cs="Arial"/>
          <w:color w:val="auto"/>
          <w:lang w:val="en-US"/>
        </w:rPr>
        <w:t>.</w:t>
      </w:r>
    </w:p>
    <w:p w14:paraId="4AEB3340" w14:textId="08C2920A" w:rsidR="008C5EA6" w:rsidRDefault="008C5EA6" w:rsidP="007B2B22">
      <w:pPr>
        <w:spacing w:after="150"/>
        <w:rPr>
          <w:rFonts w:asciiTheme="minorHAnsi" w:hAnsiTheme="minorHAnsi" w:cs="Arial"/>
          <w:color w:val="auto"/>
          <w:lang w:val="en-US"/>
        </w:rPr>
      </w:pPr>
      <w:r>
        <w:rPr>
          <w:rFonts w:asciiTheme="minorHAnsi" w:hAnsiTheme="minorHAnsi" w:cs="Arial"/>
          <w:color w:val="auto"/>
          <w:lang w:val="en-US"/>
        </w:rPr>
        <w:t>See ‘</w:t>
      </w:r>
      <w:r>
        <w:rPr>
          <w:rFonts w:asciiTheme="minorHAnsi" w:hAnsiTheme="minorHAnsi" w:cs="Arial"/>
          <w:color w:val="auto"/>
          <w:lang w:val="en-US"/>
        </w:rPr>
        <w:fldChar w:fldCharType="begin"/>
      </w:r>
      <w:r>
        <w:rPr>
          <w:rFonts w:asciiTheme="minorHAnsi" w:hAnsiTheme="minorHAnsi" w:cs="Arial"/>
          <w:color w:val="auto"/>
          <w:lang w:val="en-US"/>
        </w:rPr>
        <w:instrText xml:space="preserve"> REF _Ref461377691 \h </w:instrText>
      </w:r>
      <w:r>
        <w:rPr>
          <w:rFonts w:asciiTheme="minorHAnsi" w:hAnsiTheme="minorHAnsi" w:cs="Arial"/>
          <w:color w:val="auto"/>
          <w:lang w:val="en-US"/>
        </w:rPr>
      </w:r>
      <w:r>
        <w:rPr>
          <w:rFonts w:asciiTheme="minorHAnsi" w:hAnsiTheme="minorHAnsi" w:cs="Arial"/>
          <w:color w:val="auto"/>
          <w:lang w:val="en-US"/>
        </w:rPr>
        <w:fldChar w:fldCharType="separate"/>
      </w:r>
      <w:r w:rsidR="007E6C07" w:rsidRPr="0075796D">
        <w:t>What if a tax condition is breached?</w:t>
      </w:r>
      <w:r>
        <w:rPr>
          <w:rFonts w:asciiTheme="minorHAnsi" w:hAnsiTheme="minorHAnsi" w:cs="Arial"/>
          <w:color w:val="auto"/>
          <w:lang w:val="en-US"/>
        </w:rPr>
        <w:fldChar w:fldCharType="end"/>
      </w:r>
      <w:proofErr w:type="gramStart"/>
      <w:r>
        <w:rPr>
          <w:rFonts w:asciiTheme="minorHAnsi" w:hAnsiTheme="minorHAnsi" w:cs="Arial"/>
          <w:color w:val="auto"/>
          <w:lang w:val="en-US"/>
        </w:rPr>
        <w:t>’ on</w:t>
      </w:r>
      <w:r w:rsidRPr="008C5EA6">
        <w:rPr>
          <w:rFonts w:asciiTheme="minorHAnsi" w:hAnsiTheme="minorHAnsi" w:cs="Arial"/>
          <w:color w:val="auto"/>
          <w:lang w:val="en-US"/>
        </w:rPr>
        <w:t xml:space="preserve"> </w:t>
      </w:r>
      <w:r>
        <w:rPr>
          <w:rFonts w:asciiTheme="minorHAnsi" w:hAnsiTheme="minorHAnsi" w:cs="Arial"/>
          <w:color w:val="auto"/>
          <w:lang w:val="en-US"/>
        </w:rPr>
        <w:t xml:space="preserve">page </w:t>
      </w:r>
      <w:r>
        <w:rPr>
          <w:rFonts w:asciiTheme="minorHAnsi" w:hAnsiTheme="minorHAnsi" w:cs="Arial"/>
          <w:color w:val="auto"/>
          <w:lang w:val="en-US"/>
        </w:rPr>
        <w:fldChar w:fldCharType="begin"/>
      </w:r>
      <w:r>
        <w:rPr>
          <w:rFonts w:asciiTheme="minorHAnsi" w:hAnsiTheme="minorHAnsi" w:cs="Arial"/>
          <w:color w:val="auto"/>
          <w:lang w:val="en-US"/>
        </w:rPr>
        <w:instrText xml:space="preserve"> PAGEREF _Ref461377691 \h </w:instrText>
      </w:r>
      <w:r>
        <w:rPr>
          <w:rFonts w:asciiTheme="minorHAnsi" w:hAnsiTheme="minorHAnsi" w:cs="Arial"/>
          <w:color w:val="auto"/>
          <w:lang w:val="en-US"/>
        </w:rPr>
      </w:r>
      <w:r>
        <w:rPr>
          <w:rFonts w:asciiTheme="minorHAnsi" w:hAnsiTheme="minorHAnsi" w:cs="Arial"/>
          <w:color w:val="auto"/>
          <w:lang w:val="en-US"/>
        </w:rPr>
        <w:fldChar w:fldCharType="separate"/>
      </w:r>
      <w:r w:rsidR="007E6C07">
        <w:rPr>
          <w:rFonts w:asciiTheme="minorHAnsi" w:hAnsiTheme="minorHAnsi" w:cs="Arial"/>
          <w:noProof/>
          <w:color w:val="auto"/>
          <w:lang w:val="en-US"/>
        </w:rPr>
        <w:t>3</w:t>
      </w:r>
      <w:r>
        <w:rPr>
          <w:rFonts w:asciiTheme="minorHAnsi" w:hAnsiTheme="minorHAnsi" w:cs="Arial"/>
          <w:color w:val="auto"/>
          <w:lang w:val="en-US"/>
        </w:rPr>
        <w:fldChar w:fldCharType="end"/>
      </w:r>
      <w:r>
        <w:rPr>
          <w:rFonts w:asciiTheme="minorHAnsi" w:hAnsiTheme="minorHAnsi" w:cs="Arial"/>
          <w:color w:val="auto"/>
          <w:lang w:val="en-US"/>
        </w:rPr>
        <w:t>.</w:t>
      </w:r>
      <w:proofErr w:type="gramEnd"/>
    </w:p>
    <w:p w14:paraId="6D2E595F" w14:textId="7B3C4612" w:rsidR="00596324" w:rsidRPr="00596324" w:rsidRDefault="00596324" w:rsidP="00596324">
      <w:pPr>
        <w:spacing w:after="150"/>
        <w:rPr>
          <w:rFonts w:asciiTheme="minorHAnsi" w:hAnsiTheme="minorHAnsi" w:cs="Arial"/>
          <w:color w:val="auto"/>
          <w:lang w:val="en-US"/>
        </w:rPr>
      </w:pPr>
      <w:r>
        <w:rPr>
          <w:rFonts w:asciiTheme="minorHAnsi" w:hAnsiTheme="minorHAnsi" w:cs="Arial"/>
          <w:color w:val="auto"/>
          <w:lang w:val="en-US"/>
        </w:rPr>
        <w:t>The report m</w:t>
      </w:r>
      <w:r w:rsidRPr="00596324">
        <w:rPr>
          <w:rFonts w:asciiTheme="minorHAnsi" w:hAnsiTheme="minorHAnsi" w:cs="Arial"/>
          <w:color w:val="auto"/>
          <w:lang w:val="en-US"/>
        </w:rPr>
        <w:t xml:space="preserve">ust be signed by an </w:t>
      </w:r>
      <w:proofErr w:type="spellStart"/>
      <w:r w:rsidRPr="00596324">
        <w:rPr>
          <w:rFonts w:asciiTheme="minorHAnsi" w:hAnsiTheme="minorHAnsi" w:cs="Arial"/>
          <w:color w:val="auto"/>
          <w:lang w:val="en-US"/>
        </w:rPr>
        <w:t>authorised</w:t>
      </w:r>
      <w:proofErr w:type="spellEnd"/>
      <w:r w:rsidRPr="00596324">
        <w:rPr>
          <w:rFonts w:asciiTheme="minorHAnsi" w:hAnsiTheme="minorHAnsi" w:cs="Arial"/>
          <w:color w:val="auto"/>
          <w:lang w:val="en-US"/>
        </w:rPr>
        <w:t xml:space="preserve"> person. </w:t>
      </w:r>
      <w:proofErr w:type="spellStart"/>
      <w:r w:rsidRPr="00596324">
        <w:rPr>
          <w:rFonts w:asciiTheme="minorHAnsi" w:hAnsiTheme="minorHAnsi" w:cs="Arial"/>
          <w:color w:val="auto"/>
          <w:lang w:val="en-US"/>
        </w:rPr>
        <w:t>Authorised</w:t>
      </w:r>
      <w:proofErr w:type="spellEnd"/>
      <w:r w:rsidRPr="00596324">
        <w:rPr>
          <w:rFonts w:asciiTheme="minorHAnsi" w:hAnsiTheme="minorHAnsi" w:cs="Arial"/>
          <w:color w:val="auto"/>
          <w:lang w:val="en-US"/>
        </w:rPr>
        <w:t xml:space="preserve"> person includes an officer of an entity as per section 4 of </w:t>
      </w:r>
      <w:r w:rsidR="00EE5E61">
        <w:rPr>
          <w:rFonts w:asciiTheme="minorHAnsi" w:hAnsiTheme="minorHAnsi" w:cs="Arial"/>
          <w:color w:val="auto"/>
          <w:lang w:val="en-US"/>
        </w:rPr>
        <w:t xml:space="preserve">the </w:t>
      </w:r>
      <w:r w:rsidRPr="00596324">
        <w:rPr>
          <w:rFonts w:asciiTheme="minorHAnsi" w:hAnsiTheme="minorHAnsi" w:cs="Arial"/>
          <w:color w:val="auto"/>
          <w:lang w:val="en-US"/>
        </w:rPr>
        <w:t>FATA.</w:t>
      </w:r>
    </w:p>
    <w:p w14:paraId="45EB0B08" w14:textId="77777777" w:rsidR="00983689" w:rsidRDefault="00596324" w:rsidP="00172A75">
      <w:pPr>
        <w:spacing w:after="0"/>
        <w:rPr>
          <w:rFonts w:asciiTheme="minorHAnsi" w:hAnsiTheme="minorHAnsi" w:cs="Arial"/>
          <w:color w:val="auto"/>
          <w:lang w:val="en-US"/>
        </w:rPr>
      </w:pPr>
      <w:r w:rsidRPr="00596324">
        <w:rPr>
          <w:rFonts w:asciiTheme="minorHAnsi" w:hAnsiTheme="minorHAnsi" w:cs="Arial"/>
          <w:color w:val="auto"/>
          <w:lang w:val="en-US"/>
        </w:rPr>
        <w:t xml:space="preserve">Reports should be </w:t>
      </w:r>
      <w:r w:rsidR="00B505B5">
        <w:rPr>
          <w:rFonts w:asciiTheme="minorHAnsi" w:hAnsiTheme="minorHAnsi" w:cs="Arial"/>
          <w:color w:val="auto"/>
          <w:lang w:val="en-US"/>
        </w:rPr>
        <w:t>emailed</w:t>
      </w:r>
      <w:r w:rsidRPr="00596324">
        <w:rPr>
          <w:rFonts w:asciiTheme="minorHAnsi" w:hAnsiTheme="minorHAnsi" w:cs="Arial"/>
          <w:color w:val="auto"/>
          <w:lang w:val="en-US"/>
        </w:rPr>
        <w:t xml:space="preserve"> to:</w:t>
      </w:r>
      <w:r w:rsidR="00983689">
        <w:rPr>
          <w:rFonts w:asciiTheme="minorHAnsi" w:hAnsiTheme="minorHAnsi" w:cs="Arial"/>
          <w:color w:val="auto"/>
          <w:lang w:val="en-US"/>
        </w:rPr>
        <w:tab/>
      </w:r>
      <w:r w:rsidR="00983689">
        <w:rPr>
          <w:rFonts w:asciiTheme="minorHAnsi" w:hAnsiTheme="minorHAnsi" w:cs="Arial"/>
          <w:color w:val="auto"/>
          <w:lang w:val="en-US"/>
        </w:rPr>
        <w:tab/>
      </w:r>
      <w:r w:rsidRPr="00596324">
        <w:rPr>
          <w:rFonts w:asciiTheme="minorHAnsi" w:hAnsiTheme="minorHAnsi" w:cs="Arial"/>
          <w:color w:val="auto"/>
          <w:lang w:val="en-US"/>
        </w:rPr>
        <w:t>The Executive Member</w:t>
      </w:r>
    </w:p>
    <w:p w14:paraId="5D0C79B3" w14:textId="77777777" w:rsidR="00983689" w:rsidRDefault="00596324" w:rsidP="00172A75">
      <w:pPr>
        <w:spacing w:after="0"/>
        <w:ind w:left="3600" w:firstLine="720"/>
        <w:rPr>
          <w:rFonts w:asciiTheme="minorHAnsi" w:hAnsiTheme="minorHAnsi" w:cs="Arial"/>
          <w:color w:val="auto"/>
          <w:lang w:val="en-US"/>
        </w:rPr>
      </w:pPr>
      <w:r w:rsidRPr="00596324">
        <w:rPr>
          <w:rFonts w:asciiTheme="minorHAnsi" w:hAnsiTheme="minorHAnsi" w:cs="Arial"/>
          <w:color w:val="auto"/>
          <w:lang w:val="en-US"/>
        </w:rPr>
        <w:t>Foreign Investment Review Board</w:t>
      </w:r>
    </w:p>
    <w:p w14:paraId="65EDA877" w14:textId="42A5AB3C" w:rsidR="00596324" w:rsidRDefault="00590916" w:rsidP="00172A75">
      <w:pPr>
        <w:ind w:left="3600" w:firstLine="720"/>
        <w:rPr>
          <w:rFonts w:asciiTheme="minorHAnsi" w:hAnsiTheme="minorHAnsi" w:cs="Arial"/>
          <w:color w:val="auto"/>
          <w:lang w:val="en-US"/>
        </w:rPr>
      </w:pPr>
      <w:hyperlink r:id="rId16" w:history="1">
        <w:r w:rsidR="00B505B5" w:rsidRPr="009916D2">
          <w:rPr>
            <w:rStyle w:val="Hyperlink"/>
            <w:rFonts w:asciiTheme="minorHAnsi" w:hAnsiTheme="minorHAnsi" w:cs="Arial"/>
            <w:u w:val="single"/>
            <w:lang w:val="en-US"/>
          </w:rPr>
          <w:t>FIRBCompliance@Treasury.gov.au</w:t>
        </w:r>
      </w:hyperlink>
    </w:p>
    <w:p w14:paraId="1F2C44EB" w14:textId="1201F0FF" w:rsidR="00B505B5" w:rsidRPr="00596324" w:rsidRDefault="00596324" w:rsidP="00172A75">
      <w:pPr>
        <w:spacing w:after="0"/>
        <w:rPr>
          <w:rFonts w:asciiTheme="minorHAnsi" w:hAnsiTheme="minorHAnsi" w:cs="Arial"/>
          <w:color w:val="auto"/>
          <w:lang w:val="en-US"/>
        </w:rPr>
      </w:pPr>
      <w:r w:rsidRPr="00596324">
        <w:rPr>
          <w:rFonts w:asciiTheme="minorHAnsi" w:hAnsiTheme="minorHAnsi" w:cs="Arial"/>
          <w:color w:val="auto"/>
          <w:lang w:val="en-US"/>
        </w:rPr>
        <w:t>Or posted to</w:t>
      </w:r>
      <w:r w:rsidR="00B505B5">
        <w:rPr>
          <w:rFonts w:asciiTheme="minorHAnsi" w:hAnsiTheme="minorHAnsi" w:cs="Arial"/>
          <w:color w:val="auto"/>
          <w:lang w:val="en-US"/>
        </w:rPr>
        <w:t>:</w:t>
      </w:r>
      <w:r w:rsidR="00983689">
        <w:rPr>
          <w:rFonts w:asciiTheme="minorHAnsi" w:hAnsiTheme="minorHAnsi" w:cs="Arial"/>
          <w:color w:val="auto"/>
          <w:lang w:val="en-US"/>
        </w:rPr>
        <w:tab/>
      </w:r>
      <w:r w:rsidR="00983689">
        <w:rPr>
          <w:rFonts w:asciiTheme="minorHAnsi" w:hAnsiTheme="minorHAnsi" w:cs="Arial"/>
          <w:color w:val="auto"/>
          <w:lang w:val="en-US"/>
        </w:rPr>
        <w:tab/>
      </w:r>
      <w:r w:rsidR="00983689">
        <w:rPr>
          <w:rFonts w:asciiTheme="minorHAnsi" w:hAnsiTheme="minorHAnsi" w:cs="Arial"/>
          <w:color w:val="auto"/>
          <w:lang w:val="en-US"/>
        </w:rPr>
        <w:tab/>
      </w:r>
      <w:r w:rsidR="00983689">
        <w:rPr>
          <w:rFonts w:asciiTheme="minorHAnsi" w:hAnsiTheme="minorHAnsi" w:cs="Arial"/>
          <w:color w:val="auto"/>
          <w:lang w:val="en-US"/>
        </w:rPr>
        <w:tab/>
      </w:r>
      <w:r w:rsidR="00983689">
        <w:rPr>
          <w:rFonts w:asciiTheme="minorHAnsi" w:hAnsiTheme="minorHAnsi" w:cs="Arial"/>
          <w:color w:val="auto"/>
          <w:lang w:val="en-US"/>
        </w:rPr>
        <w:tab/>
      </w:r>
      <w:r w:rsidR="00B505B5" w:rsidRPr="00596324">
        <w:rPr>
          <w:rFonts w:asciiTheme="minorHAnsi" w:hAnsiTheme="minorHAnsi" w:cs="Arial"/>
          <w:color w:val="auto"/>
          <w:lang w:val="en-US"/>
        </w:rPr>
        <w:t>The Executive Member</w:t>
      </w:r>
    </w:p>
    <w:p w14:paraId="005CB1F5" w14:textId="77777777" w:rsidR="00B505B5" w:rsidRPr="00596324" w:rsidRDefault="00B505B5" w:rsidP="00172A75">
      <w:pPr>
        <w:spacing w:after="0"/>
        <w:ind w:left="4320"/>
        <w:rPr>
          <w:rFonts w:asciiTheme="minorHAnsi" w:hAnsiTheme="minorHAnsi" w:cs="Arial"/>
          <w:color w:val="auto"/>
          <w:lang w:val="en-US"/>
        </w:rPr>
      </w:pPr>
      <w:r w:rsidRPr="00596324">
        <w:rPr>
          <w:rFonts w:asciiTheme="minorHAnsi" w:hAnsiTheme="minorHAnsi" w:cs="Arial"/>
          <w:color w:val="auto"/>
          <w:lang w:val="en-US"/>
        </w:rPr>
        <w:t>Foreign Investment Review Board</w:t>
      </w:r>
    </w:p>
    <w:p w14:paraId="0AFC8949" w14:textId="77777777" w:rsidR="00596324" w:rsidRPr="00596324" w:rsidRDefault="00596324" w:rsidP="00172A75">
      <w:pPr>
        <w:spacing w:after="0"/>
        <w:ind w:left="3600" w:firstLine="720"/>
        <w:rPr>
          <w:rFonts w:asciiTheme="minorHAnsi" w:hAnsiTheme="minorHAnsi" w:cs="Arial"/>
          <w:color w:val="auto"/>
          <w:lang w:val="en-US"/>
        </w:rPr>
      </w:pPr>
      <w:r w:rsidRPr="00596324">
        <w:rPr>
          <w:rFonts w:asciiTheme="minorHAnsi" w:hAnsiTheme="minorHAnsi" w:cs="Arial"/>
          <w:color w:val="auto"/>
          <w:lang w:val="en-US"/>
        </w:rPr>
        <w:t>The Treasury</w:t>
      </w:r>
    </w:p>
    <w:p w14:paraId="58993F04" w14:textId="77777777" w:rsidR="00596324" w:rsidRDefault="00596324" w:rsidP="00172A75">
      <w:pPr>
        <w:spacing w:after="0"/>
        <w:ind w:left="3600" w:firstLine="720"/>
        <w:rPr>
          <w:rFonts w:asciiTheme="minorHAnsi" w:hAnsiTheme="minorHAnsi" w:cs="Arial"/>
          <w:color w:val="auto"/>
          <w:lang w:val="en-US"/>
        </w:rPr>
      </w:pPr>
      <w:r w:rsidRPr="00596324">
        <w:rPr>
          <w:rFonts w:asciiTheme="minorHAnsi" w:hAnsiTheme="minorHAnsi" w:cs="Arial"/>
          <w:color w:val="auto"/>
          <w:lang w:val="en-US"/>
        </w:rPr>
        <w:t>Langton Crescent</w:t>
      </w:r>
    </w:p>
    <w:p w14:paraId="152B6E05" w14:textId="0A136894" w:rsidR="00596324" w:rsidRPr="00596324" w:rsidRDefault="00596324" w:rsidP="00172A75">
      <w:pPr>
        <w:spacing w:after="0"/>
        <w:ind w:left="3600" w:firstLine="720"/>
        <w:rPr>
          <w:rFonts w:asciiTheme="minorHAnsi" w:hAnsiTheme="minorHAnsi" w:cs="Arial"/>
          <w:color w:val="auto"/>
          <w:lang w:val="en-US"/>
        </w:rPr>
      </w:pPr>
      <w:proofErr w:type="spellStart"/>
      <w:r w:rsidRPr="00596324">
        <w:rPr>
          <w:rFonts w:asciiTheme="minorHAnsi" w:hAnsiTheme="minorHAnsi" w:cs="Arial"/>
          <w:color w:val="auto"/>
          <w:lang w:val="en-US"/>
        </w:rPr>
        <w:t>Parkes</w:t>
      </w:r>
      <w:proofErr w:type="spellEnd"/>
      <w:r w:rsidRPr="00596324">
        <w:rPr>
          <w:rFonts w:asciiTheme="minorHAnsi" w:hAnsiTheme="minorHAnsi" w:cs="Arial"/>
          <w:color w:val="auto"/>
          <w:lang w:val="en-US"/>
        </w:rPr>
        <w:t xml:space="preserve"> ACT 2600</w:t>
      </w:r>
    </w:p>
    <w:p w14:paraId="74B576CA" w14:textId="582042A9" w:rsidR="00FC2FC6" w:rsidRPr="002C4E17" w:rsidRDefault="00FC2FC6" w:rsidP="00C504E1">
      <w:pPr>
        <w:pStyle w:val="Heading3"/>
        <w:keepNext/>
        <w:spacing w:before="240"/>
        <w:rPr>
          <w:lang w:val="en-US"/>
        </w:rPr>
      </w:pPr>
      <w:r w:rsidRPr="002C4E17">
        <w:rPr>
          <w:lang w:val="en-US"/>
        </w:rPr>
        <w:t>CONDITION</w:t>
      </w:r>
      <w:r>
        <w:rPr>
          <w:lang w:val="en-US"/>
        </w:rPr>
        <w:t xml:space="preserve"> SEVEN – ADVISE THAT THE ACTION HAS BEEN TAKEN</w:t>
      </w:r>
    </w:p>
    <w:p w14:paraId="709B2AC7" w14:textId="603FD1FE" w:rsidR="00FC2FC6" w:rsidRDefault="00FB7E81" w:rsidP="00FC2FC6">
      <w:pPr>
        <w:spacing w:after="150"/>
        <w:rPr>
          <w:rFonts w:asciiTheme="minorHAnsi" w:hAnsiTheme="minorHAnsi" w:cs="Arial"/>
          <w:color w:val="auto"/>
          <w:lang w:val="en-US"/>
        </w:rPr>
      </w:pPr>
      <w:r>
        <w:rPr>
          <w:rFonts w:asciiTheme="minorHAnsi" w:hAnsiTheme="minorHAnsi" w:cs="Arial"/>
          <w:color w:val="auto"/>
          <w:lang w:val="en-US"/>
        </w:rPr>
        <w:t xml:space="preserve">If the applicant takes the action </w:t>
      </w:r>
      <w:r w:rsidR="00251C4B">
        <w:rPr>
          <w:rFonts w:asciiTheme="minorHAnsi" w:hAnsiTheme="minorHAnsi" w:cs="Arial"/>
          <w:color w:val="auto"/>
          <w:lang w:val="en-US"/>
        </w:rPr>
        <w:t xml:space="preserve">that is the subject of the no objection decision </w:t>
      </w:r>
      <w:r>
        <w:rPr>
          <w:rFonts w:asciiTheme="minorHAnsi" w:hAnsiTheme="minorHAnsi" w:cs="Arial"/>
          <w:color w:val="auto"/>
          <w:lang w:val="en-US"/>
        </w:rPr>
        <w:t>it must advise the Foreign Investment Review Board within 60 days.</w:t>
      </w:r>
    </w:p>
    <w:p w14:paraId="521A712D" w14:textId="15AE22C5" w:rsidR="00983689" w:rsidRDefault="00983689" w:rsidP="00983689">
      <w:pPr>
        <w:keepNext/>
        <w:spacing w:after="0"/>
        <w:rPr>
          <w:rFonts w:asciiTheme="minorHAnsi" w:hAnsiTheme="minorHAnsi" w:cs="Arial"/>
          <w:color w:val="auto"/>
          <w:lang w:val="en-US"/>
        </w:rPr>
      </w:pPr>
      <w:r>
        <w:rPr>
          <w:rFonts w:asciiTheme="minorHAnsi" w:hAnsiTheme="minorHAnsi" w:cs="Arial"/>
          <w:color w:val="auto"/>
          <w:lang w:val="en-US"/>
        </w:rPr>
        <w:t>Details</w:t>
      </w:r>
      <w:r w:rsidRPr="00596324">
        <w:rPr>
          <w:rFonts w:asciiTheme="minorHAnsi" w:hAnsiTheme="minorHAnsi" w:cs="Arial"/>
          <w:color w:val="auto"/>
          <w:lang w:val="en-US"/>
        </w:rPr>
        <w:t xml:space="preserve"> should be </w:t>
      </w:r>
      <w:r>
        <w:rPr>
          <w:rFonts w:asciiTheme="minorHAnsi" w:hAnsiTheme="minorHAnsi" w:cs="Arial"/>
          <w:color w:val="auto"/>
          <w:lang w:val="en-US"/>
        </w:rPr>
        <w:t>emailed</w:t>
      </w:r>
      <w:r w:rsidRPr="00596324">
        <w:rPr>
          <w:rFonts w:asciiTheme="minorHAnsi" w:hAnsiTheme="minorHAnsi" w:cs="Arial"/>
          <w:color w:val="auto"/>
          <w:lang w:val="en-US"/>
        </w:rPr>
        <w:t xml:space="preserve"> to:</w:t>
      </w:r>
      <w:r>
        <w:rPr>
          <w:rFonts w:asciiTheme="minorHAnsi" w:hAnsiTheme="minorHAnsi" w:cs="Arial"/>
          <w:color w:val="auto"/>
          <w:lang w:val="en-US"/>
        </w:rPr>
        <w:tab/>
      </w:r>
      <w:r>
        <w:rPr>
          <w:rFonts w:asciiTheme="minorHAnsi" w:hAnsiTheme="minorHAnsi" w:cs="Arial"/>
          <w:color w:val="auto"/>
          <w:lang w:val="en-US"/>
        </w:rPr>
        <w:tab/>
      </w:r>
      <w:r>
        <w:rPr>
          <w:rFonts w:asciiTheme="minorHAnsi" w:hAnsiTheme="minorHAnsi" w:cs="Arial"/>
          <w:color w:val="auto"/>
          <w:lang w:val="en-US"/>
        </w:rPr>
        <w:tab/>
      </w:r>
      <w:r w:rsidRPr="00596324">
        <w:rPr>
          <w:rFonts w:asciiTheme="minorHAnsi" w:hAnsiTheme="minorHAnsi" w:cs="Arial"/>
          <w:color w:val="auto"/>
          <w:lang w:val="en-US"/>
        </w:rPr>
        <w:t>The Executive Member</w:t>
      </w:r>
    </w:p>
    <w:p w14:paraId="5B74A676" w14:textId="77777777" w:rsidR="00983689" w:rsidRDefault="00983689" w:rsidP="00983689">
      <w:pPr>
        <w:keepNext/>
        <w:spacing w:after="0"/>
        <w:ind w:left="3600" w:firstLine="720"/>
        <w:rPr>
          <w:rFonts w:asciiTheme="minorHAnsi" w:hAnsiTheme="minorHAnsi" w:cs="Arial"/>
          <w:color w:val="auto"/>
          <w:lang w:val="en-US"/>
        </w:rPr>
      </w:pPr>
      <w:r w:rsidRPr="00596324">
        <w:rPr>
          <w:rFonts w:asciiTheme="minorHAnsi" w:hAnsiTheme="minorHAnsi" w:cs="Arial"/>
          <w:color w:val="auto"/>
          <w:lang w:val="en-US"/>
        </w:rPr>
        <w:t>Foreign Investment Review Board</w:t>
      </w:r>
    </w:p>
    <w:p w14:paraId="2522D1EA" w14:textId="77777777" w:rsidR="00983689" w:rsidRDefault="00590916" w:rsidP="00983689">
      <w:pPr>
        <w:keepNext/>
        <w:ind w:left="3600" w:firstLine="720"/>
        <w:rPr>
          <w:rFonts w:asciiTheme="minorHAnsi" w:hAnsiTheme="minorHAnsi" w:cs="Arial"/>
          <w:color w:val="auto"/>
          <w:lang w:val="en-US"/>
        </w:rPr>
      </w:pPr>
      <w:hyperlink r:id="rId17" w:history="1">
        <w:r w:rsidR="00983689" w:rsidRPr="009916D2">
          <w:rPr>
            <w:rStyle w:val="Hyperlink"/>
            <w:rFonts w:asciiTheme="minorHAnsi" w:hAnsiTheme="minorHAnsi" w:cs="Arial"/>
            <w:u w:val="single"/>
            <w:lang w:val="en-US"/>
          </w:rPr>
          <w:t>FIRBCompliance@Treasury.gov.au</w:t>
        </w:r>
      </w:hyperlink>
    </w:p>
    <w:p w14:paraId="43DBB7B4" w14:textId="77777777" w:rsidR="00983689" w:rsidRPr="00596324" w:rsidRDefault="00983689" w:rsidP="00983689">
      <w:pPr>
        <w:keepNext/>
        <w:spacing w:after="0"/>
        <w:rPr>
          <w:rFonts w:asciiTheme="minorHAnsi" w:hAnsiTheme="minorHAnsi" w:cs="Arial"/>
          <w:color w:val="auto"/>
          <w:lang w:val="en-US"/>
        </w:rPr>
      </w:pPr>
      <w:r w:rsidRPr="00596324">
        <w:rPr>
          <w:rFonts w:asciiTheme="minorHAnsi" w:hAnsiTheme="minorHAnsi" w:cs="Arial"/>
          <w:color w:val="auto"/>
          <w:lang w:val="en-US"/>
        </w:rPr>
        <w:t>Or posted to</w:t>
      </w:r>
      <w:r>
        <w:rPr>
          <w:rFonts w:asciiTheme="minorHAnsi" w:hAnsiTheme="minorHAnsi" w:cs="Arial"/>
          <w:color w:val="auto"/>
          <w:lang w:val="en-US"/>
        </w:rPr>
        <w:t>:</w:t>
      </w:r>
      <w:r>
        <w:rPr>
          <w:rFonts w:asciiTheme="minorHAnsi" w:hAnsiTheme="minorHAnsi" w:cs="Arial"/>
          <w:color w:val="auto"/>
          <w:lang w:val="en-US"/>
        </w:rPr>
        <w:tab/>
      </w:r>
      <w:r>
        <w:rPr>
          <w:rFonts w:asciiTheme="minorHAnsi" w:hAnsiTheme="minorHAnsi" w:cs="Arial"/>
          <w:color w:val="auto"/>
          <w:lang w:val="en-US"/>
        </w:rPr>
        <w:tab/>
      </w:r>
      <w:r>
        <w:rPr>
          <w:rFonts w:asciiTheme="minorHAnsi" w:hAnsiTheme="minorHAnsi" w:cs="Arial"/>
          <w:color w:val="auto"/>
          <w:lang w:val="en-US"/>
        </w:rPr>
        <w:tab/>
      </w:r>
      <w:r>
        <w:rPr>
          <w:rFonts w:asciiTheme="minorHAnsi" w:hAnsiTheme="minorHAnsi" w:cs="Arial"/>
          <w:color w:val="auto"/>
          <w:lang w:val="en-US"/>
        </w:rPr>
        <w:tab/>
      </w:r>
      <w:r>
        <w:rPr>
          <w:rFonts w:asciiTheme="minorHAnsi" w:hAnsiTheme="minorHAnsi" w:cs="Arial"/>
          <w:color w:val="auto"/>
          <w:lang w:val="en-US"/>
        </w:rPr>
        <w:tab/>
      </w:r>
      <w:r w:rsidRPr="00596324">
        <w:rPr>
          <w:rFonts w:asciiTheme="minorHAnsi" w:hAnsiTheme="minorHAnsi" w:cs="Arial"/>
          <w:color w:val="auto"/>
          <w:lang w:val="en-US"/>
        </w:rPr>
        <w:t>The Executive Member</w:t>
      </w:r>
    </w:p>
    <w:p w14:paraId="5F2348FC" w14:textId="77777777" w:rsidR="00983689" w:rsidRPr="00596324" w:rsidRDefault="00983689" w:rsidP="00983689">
      <w:pPr>
        <w:keepNext/>
        <w:spacing w:after="0"/>
        <w:ind w:left="4320"/>
        <w:rPr>
          <w:rFonts w:asciiTheme="minorHAnsi" w:hAnsiTheme="minorHAnsi" w:cs="Arial"/>
          <w:color w:val="auto"/>
          <w:lang w:val="en-US"/>
        </w:rPr>
      </w:pPr>
      <w:r w:rsidRPr="00596324">
        <w:rPr>
          <w:rFonts w:asciiTheme="minorHAnsi" w:hAnsiTheme="minorHAnsi" w:cs="Arial"/>
          <w:color w:val="auto"/>
          <w:lang w:val="en-US"/>
        </w:rPr>
        <w:t>Foreign Investment Review Board</w:t>
      </w:r>
    </w:p>
    <w:p w14:paraId="67B3C828" w14:textId="77777777" w:rsidR="00983689" w:rsidRPr="00596324" w:rsidRDefault="00983689" w:rsidP="00983689">
      <w:pPr>
        <w:keepNext/>
        <w:spacing w:after="0"/>
        <w:ind w:left="3600" w:firstLine="720"/>
        <w:rPr>
          <w:rFonts w:asciiTheme="minorHAnsi" w:hAnsiTheme="minorHAnsi" w:cs="Arial"/>
          <w:color w:val="auto"/>
          <w:lang w:val="en-US"/>
        </w:rPr>
      </w:pPr>
      <w:r w:rsidRPr="00596324">
        <w:rPr>
          <w:rFonts w:asciiTheme="minorHAnsi" w:hAnsiTheme="minorHAnsi" w:cs="Arial"/>
          <w:color w:val="auto"/>
          <w:lang w:val="en-US"/>
        </w:rPr>
        <w:t>The Treasury</w:t>
      </w:r>
    </w:p>
    <w:p w14:paraId="771293D9" w14:textId="77777777" w:rsidR="00983689" w:rsidRDefault="00983689" w:rsidP="00983689">
      <w:pPr>
        <w:keepNext/>
        <w:spacing w:after="0"/>
        <w:ind w:left="3600" w:firstLine="720"/>
        <w:rPr>
          <w:rFonts w:asciiTheme="minorHAnsi" w:hAnsiTheme="minorHAnsi" w:cs="Arial"/>
          <w:color w:val="auto"/>
          <w:lang w:val="en-US"/>
        </w:rPr>
      </w:pPr>
      <w:r w:rsidRPr="00596324">
        <w:rPr>
          <w:rFonts w:asciiTheme="minorHAnsi" w:hAnsiTheme="minorHAnsi" w:cs="Arial"/>
          <w:color w:val="auto"/>
          <w:lang w:val="en-US"/>
        </w:rPr>
        <w:t>Langton Crescent</w:t>
      </w:r>
    </w:p>
    <w:p w14:paraId="1EBEEC90" w14:textId="77777777" w:rsidR="00983689" w:rsidRPr="00596324" w:rsidRDefault="00983689" w:rsidP="00983689">
      <w:pPr>
        <w:keepNext/>
        <w:spacing w:after="0"/>
        <w:ind w:left="3600" w:firstLine="720"/>
        <w:rPr>
          <w:rFonts w:asciiTheme="minorHAnsi" w:hAnsiTheme="minorHAnsi" w:cs="Arial"/>
          <w:color w:val="auto"/>
          <w:lang w:val="en-US"/>
        </w:rPr>
      </w:pPr>
      <w:proofErr w:type="spellStart"/>
      <w:r w:rsidRPr="00596324">
        <w:rPr>
          <w:rFonts w:asciiTheme="minorHAnsi" w:hAnsiTheme="minorHAnsi" w:cs="Arial"/>
          <w:color w:val="auto"/>
          <w:lang w:val="en-US"/>
        </w:rPr>
        <w:t>Parkes</w:t>
      </w:r>
      <w:proofErr w:type="spellEnd"/>
      <w:r w:rsidRPr="00596324">
        <w:rPr>
          <w:rFonts w:asciiTheme="minorHAnsi" w:hAnsiTheme="minorHAnsi" w:cs="Arial"/>
          <w:color w:val="auto"/>
          <w:lang w:val="en-US"/>
        </w:rPr>
        <w:t xml:space="preserve"> ACT 2600</w:t>
      </w:r>
    </w:p>
    <w:p w14:paraId="3C84416D" w14:textId="1D86060A" w:rsidR="00FC2FC6" w:rsidRPr="002C4E17" w:rsidRDefault="00983689" w:rsidP="00983689">
      <w:pPr>
        <w:pStyle w:val="Heading3"/>
        <w:keepNext/>
        <w:spacing w:before="240"/>
        <w:rPr>
          <w:lang w:val="en-US"/>
        </w:rPr>
      </w:pPr>
      <w:r w:rsidRPr="002C4E17">
        <w:rPr>
          <w:lang w:val="en-US"/>
        </w:rPr>
        <w:t xml:space="preserve"> </w:t>
      </w:r>
      <w:r w:rsidR="00FC2FC6" w:rsidRPr="002C4E17">
        <w:rPr>
          <w:lang w:val="en-US"/>
        </w:rPr>
        <w:t>CONDITION</w:t>
      </w:r>
      <w:r w:rsidR="00FC2FC6">
        <w:rPr>
          <w:lang w:val="en-US"/>
        </w:rPr>
        <w:t xml:space="preserve"> EIGHT – ADVISE THAT A TERMINATION EVENT HAS TAKEN PLACE</w:t>
      </w:r>
    </w:p>
    <w:p w14:paraId="38CED671" w14:textId="0A98F27E" w:rsidR="00FC2FC6" w:rsidRDefault="0043339E" w:rsidP="00FC2FC6">
      <w:pPr>
        <w:spacing w:after="150"/>
        <w:rPr>
          <w:rFonts w:asciiTheme="minorHAnsi" w:hAnsiTheme="minorHAnsi" w:cs="Arial"/>
          <w:color w:val="auto"/>
          <w:lang w:val="en-US"/>
        </w:rPr>
      </w:pPr>
      <w:r>
        <w:rPr>
          <w:rFonts w:asciiTheme="minorHAnsi" w:hAnsiTheme="minorHAnsi" w:cs="Arial"/>
          <w:color w:val="auto"/>
          <w:lang w:val="en-US"/>
        </w:rPr>
        <w:t>If the conditions no longer apply to the applicant</w:t>
      </w:r>
      <w:r w:rsidR="00FB7E81">
        <w:rPr>
          <w:rFonts w:asciiTheme="minorHAnsi" w:hAnsiTheme="minorHAnsi" w:cs="Arial"/>
          <w:color w:val="auto"/>
          <w:lang w:val="en-US"/>
        </w:rPr>
        <w:t xml:space="preserve"> because a termination event has occurred, it must advise the Fore</w:t>
      </w:r>
      <w:r w:rsidR="00251C4B">
        <w:rPr>
          <w:rFonts w:asciiTheme="minorHAnsi" w:hAnsiTheme="minorHAnsi" w:cs="Arial"/>
          <w:color w:val="auto"/>
          <w:lang w:val="en-US"/>
        </w:rPr>
        <w:t>ign Investment Review Board within 60 days.</w:t>
      </w:r>
      <w:r w:rsidR="00C3328A">
        <w:rPr>
          <w:rFonts w:asciiTheme="minorHAnsi" w:hAnsiTheme="minorHAnsi" w:cs="Arial"/>
          <w:color w:val="auto"/>
          <w:lang w:val="en-US"/>
        </w:rPr>
        <w:t xml:space="preserve"> Details should be sent to the same address as for condition seven.</w:t>
      </w:r>
    </w:p>
    <w:p w14:paraId="1F74A5FC" w14:textId="15F06855" w:rsidR="007B2B22" w:rsidRPr="002C4E17" w:rsidRDefault="007B2B22" w:rsidP="007B2B22">
      <w:pPr>
        <w:pStyle w:val="Heading3"/>
        <w:keepNext/>
        <w:rPr>
          <w:lang w:val="en-US"/>
        </w:rPr>
      </w:pPr>
      <w:r w:rsidRPr="002C4E17">
        <w:rPr>
          <w:lang w:val="en-US"/>
        </w:rPr>
        <w:t xml:space="preserve">MEANING OF </w:t>
      </w:r>
      <w:r w:rsidR="002B0876">
        <w:rPr>
          <w:lang w:val="en-US"/>
        </w:rPr>
        <w:t xml:space="preserve">CONTROL GROUP AND </w:t>
      </w:r>
      <w:r w:rsidRPr="002C4E17">
        <w:rPr>
          <w:lang w:val="en-US"/>
        </w:rPr>
        <w:t>BEST ENDEAVOURS</w:t>
      </w:r>
    </w:p>
    <w:p w14:paraId="591070DD" w14:textId="092B651B" w:rsidR="007B2B22" w:rsidRDefault="007B2B22" w:rsidP="007B2B22">
      <w:pPr>
        <w:spacing w:after="150"/>
        <w:rPr>
          <w:rFonts w:eastAsia="Calibri"/>
          <w:iCs/>
          <w:color w:val="auto"/>
        </w:rPr>
      </w:pPr>
      <w:r w:rsidRPr="00FB4435">
        <w:rPr>
          <w:rFonts w:eastAsia="Calibri"/>
          <w:iCs/>
          <w:color w:val="auto"/>
        </w:rPr>
        <w:t xml:space="preserve">Conditions 2, 4 and </w:t>
      </w:r>
      <w:r w:rsidR="00FC2FC6">
        <w:rPr>
          <w:rFonts w:eastAsia="Calibri"/>
          <w:iCs/>
          <w:color w:val="auto"/>
        </w:rPr>
        <w:t>5</w:t>
      </w:r>
      <w:r w:rsidRPr="00FB4435">
        <w:rPr>
          <w:rFonts w:eastAsia="Calibri"/>
          <w:iCs/>
          <w:color w:val="auto"/>
        </w:rPr>
        <w:t xml:space="preserve"> in Part </w:t>
      </w:r>
      <w:proofErr w:type="gramStart"/>
      <w:r w:rsidRPr="00FB4435">
        <w:rPr>
          <w:rFonts w:eastAsia="Calibri"/>
          <w:iCs/>
          <w:color w:val="auto"/>
        </w:rPr>
        <w:t>A</w:t>
      </w:r>
      <w:proofErr w:type="gramEnd"/>
      <w:r w:rsidRPr="00FB4435">
        <w:rPr>
          <w:rFonts w:eastAsia="Calibri"/>
          <w:iCs/>
          <w:color w:val="auto"/>
        </w:rPr>
        <w:t xml:space="preserve"> of Attachment A require that the applicant must use </w:t>
      </w:r>
      <w:r w:rsidR="00B32B2D">
        <w:rPr>
          <w:rFonts w:eastAsia="Calibri"/>
          <w:iCs/>
          <w:color w:val="auto"/>
        </w:rPr>
        <w:t>its</w:t>
      </w:r>
      <w:r w:rsidRPr="00FB4435">
        <w:rPr>
          <w:rFonts w:eastAsia="Calibri"/>
          <w:iCs/>
          <w:color w:val="auto"/>
        </w:rPr>
        <w:t xml:space="preserve"> best endeavours to ensure, and within </w:t>
      </w:r>
      <w:r w:rsidR="00B32B2D">
        <w:rPr>
          <w:rFonts w:eastAsia="Calibri"/>
          <w:iCs/>
          <w:color w:val="auto"/>
        </w:rPr>
        <w:t xml:space="preserve">its </w:t>
      </w:r>
      <w:r w:rsidR="00FC2FC6">
        <w:rPr>
          <w:rFonts w:eastAsia="Calibri"/>
          <w:iCs/>
          <w:color w:val="auto"/>
        </w:rPr>
        <w:t xml:space="preserve">powers must ensure, that entities in its control group </w:t>
      </w:r>
      <w:r w:rsidRPr="00FB4435">
        <w:rPr>
          <w:rFonts w:eastAsia="Calibri"/>
          <w:iCs/>
          <w:color w:val="auto"/>
        </w:rPr>
        <w:t>do certain things.</w:t>
      </w:r>
    </w:p>
    <w:p w14:paraId="42DF3CC7" w14:textId="4BD160BC" w:rsidR="002B0876" w:rsidRPr="00FB4435" w:rsidRDefault="002B0876" w:rsidP="002B0876">
      <w:pPr>
        <w:pStyle w:val="Heading4"/>
      </w:pPr>
      <w:bookmarkStart w:id="8" w:name="_Ref450751500"/>
      <w:r>
        <w:rPr>
          <w:rFonts w:eastAsia="Calibri"/>
        </w:rPr>
        <w:t>Control group</w:t>
      </w:r>
      <w:bookmarkEnd w:id="8"/>
    </w:p>
    <w:p w14:paraId="2B6F92CE" w14:textId="1CFE3A2D" w:rsidR="002B0876" w:rsidRDefault="00DF7A8F" w:rsidP="007B2B22">
      <w:pPr>
        <w:spacing w:after="150"/>
        <w:rPr>
          <w:rFonts w:asciiTheme="minorHAnsi" w:hAnsiTheme="minorHAnsi" w:cs="Arial"/>
          <w:color w:val="auto"/>
          <w:lang w:val="en-US"/>
        </w:rPr>
      </w:pPr>
      <w:r>
        <w:rPr>
          <w:rFonts w:asciiTheme="minorHAnsi" w:hAnsiTheme="minorHAnsi" w:cs="Arial"/>
          <w:color w:val="auto"/>
          <w:lang w:val="en-US"/>
        </w:rPr>
        <w:t>A control group consists of entities that: control the applicant</w:t>
      </w:r>
      <w:r w:rsidR="00076250">
        <w:rPr>
          <w:rFonts w:asciiTheme="minorHAnsi" w:hAnsiTheme="minorHAnsi" w:cs="Arial"/>
          <w:color w:val="auto"/>
          <w:lang w:val="en-US"/>
        </w:rPr>
        <w:t xml:space="preserve"> (a controller)</w:t>
      </w:r>
      <w:r>
        <w:rPr>
          <w:rFonts w:asciiTheme="minorHAnsi" w:hAnsiTheme="minorHAnsi" w:cs="Arial"/>
          <w:color w:val="auto"/>
          <w:lang w:val="en-US"/>
        </w:rPr>
        <w:t xml:space="preserve">; any </w:t>
      </w:r>
      <w:r w:rsidR="00076250">
        <w:rPr>
          <w:rFonts w:asciiTheme="minorHAnsi" w:hAnsiTheme="minorHAnsi" w:cs="Arial"/>
          <w:color w:val="auto"/>
          <w:lang w:val="en-US"/>
        </w:rPr>
        <w:t>entities that a controller controls</w:t>
      </w:r>
      <w:r w:rsidR="00F721F2">
        <w:rPr>
          <w:rFonts w:asciiTheme="minorHAnsi" w:hAnsiTheme="minorHAnsi" w:cs="Arial"/>
          <w:color w:val="auto"/>
          <w:lang w:val="en-US"/>
        </w:rPr>
        <w:t>;</w:t>
      </w:r>
      <w:r w:rsidR="00076250">
        <w:rPr>
          <w:rFonts w:asciiTheme="minorHAnsi" w:hAnsiTheme="minorHAnsi" w:cs="Arial"/>
          <w:color w:val="auto"/>
          <w:lang w:val="en-US"/>
        </w:rPr>
        <w:t xml:space="preserve"> </w:t>
      </w:r>
      <w:r w:rsidR="00961768">
        <w:rPr>
          <w:rFonts w:asciiTheme="minorHAnsi" w:hAnsiTheme="minorHAnsi" w:cs="Arial"/>
          <w:color w:val="auto"/>
          <w:lang w:val="en-US"/>
        </w:rPr>
        <w:t>and that the applicant controls.</w:t>
      </w:r>
    </w:p>
    <w:p w14:paraId="1459B834" w14:textId="036E37D5" w:rsidR="00255719" w:rsidRDefault="00255719" w:rsidP="007B2B22">
      <w:pPr>
        <w:spacing w:after="150"/>
        <w:rPr>
          <w:rFonts w:asciiTheme="minorHAnsi" w:hAnsiTheme="minorHAnsi" w:cs="Arial"/>
          <w:color w:val="auto"/>
          <w:lang w:val="en-US"/>
        </w:rPr>
      </w:pPr>
      <w:r>
        <w:rPr>
          <w:rFonts w:asciiTheme="minorHAnsi" w:hAnsiTheme="minorHAnsi" w:cs="Arial"/>
          <w:color w:val="auto"/>
          <w:lang w:val="en-US"/>
        </w:rPr>
        <w:t xml:space="preserve">Control for this purpose is defined in section 50AA of the </w:t>
      </w:r>
      <w:r w:rsidRPr="00255719">
        <w:rPr>
          <w:rFonts w:asciiTheme="minorHAnsi" w:hAnsiTheme="minorHAnsi" w:cs="Arial"/>
          <w:i/>
          <w:color w:val="auto"/>
          <w:lang w:val="en-US"/>
        </w:rPr>
        <w:t>Corporations Act 2001</w:t>
      </w:r>
      <w:r>
        <w:rPr>
          <w:rFonts w:asciiTheme="minorHAnsi" w:hAnsiTheme="minorHAnsi" w:cs="Arial"/>
          <w:i/>
          <w:color w:val="auto"/>
          <w:lang w:val="en-US"/>
        </w:rPr>
        <w:t xml:space="preserve">. </w:t>
      </w:r>
      <w:r w:rsidR="009F07BF">
        <w:rPr>
          <w:rFonts w:asciiTheme="minorHAnsi" w:hAnsiTheme="minorHAnsi" w:cs="Arial"/>
          <w:i/>
          <w:color w:val="auto"/>
          <w:lang w:val="en-US"/>
        </w:rPr>
        <w:t>S</w:t>
      </w:r>
      <w:r>
        <w:rPr>
          <w:rFonts w:asciiTheme="minorHAnsi" w:hAnsiTheme="minorHAnsi" w:cs="Arial"/>
          <w:color w:val="auto"/>
          <w:lang w:val="en-US"/>
        </w:rPr>
        <w:t>ection</w:t>
      </w:r>
      <w:r w:rsidR="009F07BF">
        <w:rPr>
          <w:rFonts w:asciiTheme="minorHAnsi" w:hAnsiTheme="minorHAnsi" w:cs="Arial"/>
          <w:color w:val="auto"/>
          <w:lang w:val="en-US"/>
        </w:rPr>
        <w:t> 50AA</w:t>
      </w:r>
      <w:r>
        <w:rPr>
          <w:rFonts w:asciiTheme="minorHAnsi" w:hAnsiTheme="minorHAnsi" w:cs="Arial"/>
          <w:color w:val="auto"/>
          <w:lang w:val="en-US"/>
        </w:rPr>
        <w:t xml:space="preserve"> refers to the capacity to determine the outcome of decisions about another entity’s financial and operating policies. It </w:t>
      </w:r>
      <w:r w:rsidR="008E3684">
        <w:rPr>
          <w:rFonts w:asciiTheme="minorHAnsi" w:hAnsiTheme="minorHAnsi" w:cs="Arial"/>
          <w:color w:val="auto"/>
          <w:lang w:val="en-US"/>
        </w:rPr>
        <w:t>considers</w:t>
      </w:r>
      <w:r>
        <w:rPr>
          <w:rFonts w:asciiTheme="minorHAnsi" w:hAnsiTheme="minorHAnsi" w:cs="Arial"/>
          <w:color w:val="auto"/>
          <w:lang w:val="en-US"/>
        </w:rPr>
        <w:t xml:space="preserve"> practical influence (rather than the rights that can be enforce</w:t>
      </w:r>
      <w:r w:rsidR="009F07BF">
        <w:rPr>
          <w:rFonts w:asciiTheme="minorHAnsi" w:hAnsiTheme="minorHAnsi" w:cs="Arial"/>
          <w:color w:val="auto"/>
          <w:lang w:val="en-US"/>
        </w:rPr>
        <w:t>d</w:t>
      </w:r>
      <w:r>
        <w:rPr>
          <w:rFonts w:asciiTheme="minorHAnsi" w:hAnsiTheme="minorHAnsi" w:cs="Arial"/>
          <w:color w:val="auto"/>
          <w:lang w:val="en-US"/>
        </w:rPr>
        <w:t xml:space="preserve">) and practices or patterns of behavior. It excludes circumstances where an entity has the capacity to influence decisions about another entity’s financial and operating policies but is under a legal obligation to exercise that capacity for the benefit of someone other than </w:t>
      </w:r>
      <w:r w:rsidR="008E3684">
        <w:rPr>
          <w:rFonts w:asciiTheme="minorHAnsi" w:hAnsiTheme="minorHAnsi" w:cs="Arial"/>
          <w:color w:val="auto"/>
          <w:lang w:val="en-US"/>
        </w:rPr>
        <w:t>its own</w:t>
      </w:r>
      <w:r>
        <w:rPr>
          <w:rFonts w:asciiTheme="minorHAnsi" w:hAnsiTheme="minorHAnsi" w:cs="Arial"/>
          <w:color w:val="auto"/>
          <w:lang w:val="en-US"/>
        </w:rPr>
        <w:t xml:space="preserve"> members.</w:t>
      </w:r>
    </w:p>
    <w:p w14:paraId="04571CD1" w14:textId="5ABE4ED2" w:rsidR="009B6817" w:rsidRPr="00255719" w:rsidRDefault="009B6817" w:rsidP="007B2B22">
      <w:pPr>
        <w:spacing w:after="150"/>
        <w:rPr>
          <w:rFonts w:asciiTheme="minorHAnsi" w:hAnsiTheme="minorHAnsi" w:cs="Arial"/>
          <w:color w:val="auto"/>
          <w:lang w:val="en-US"/>
        </w:rPr>
      </w:pPr>
      <w:r>
        <w:rPr>
          <w:rFonts w:asciiTheme="minorHAnsi" w:hAnsiTheme="minorHAnsi" w:cs="Arial"/>
          <w:color w:val="auto"/>
          <w:lang w:val="en-US"/>
        </w:rPr>
        <w:t>Furthermore, conditions two and four only apply to entities in an entity’s control group</w:t>
      </w:r>
      <w:r w:rsidR="00F02CE0">
        <w:rPr>
          <w:rFonts w:asciiTheme="minorHAnsi" w:hAnsiTheme="minorHAnsi" w:cs="Arial"/>
          <w:color w:val="auto"/>
          <w:lang w:val="en-US"/>
        </w:rPr>
        <w:t xml:space="preserve"> </w:t>
      </w:r>
      <w:r w:rsidR="00F02CE0" w:rsidRPr="002B171D">
        <w:rPr>
          <w:rFonts w:asciiTheme="minorHAnsi" w:hAnsiTheme="minorHAnsi" w:cs="Arial"/>
          <w:i/>
          <w:color w:val="auto"/>
          <w:lang w:val="en-US"/>
        </w:rPr>
        <w:t>in relation to</w:t>
      </w:r>
      <w:r w:rsidR="00F02CE0">
        <w:rPr>
          <w:rFonts w:asciiTheme="minorHAnsi" w:hAnsiTheme="minorHAnsi" w:cs="Arial"/>
          <w:color w:val="auto"/>
          <w:lang w:val="en-US"/>
        </w:rPr>
        <w:t xml:space="preserve"> </w:t>
      </w:r>
      <w:r w:rsidR="00F02CE0" w:rsidRPr="00AB6500">
        <w:rPr>
          <w:rFonts w:eastAsia="Calibri"/>
          <w:iCs/>
        </w:rPr>
        <w:t>the action and any transactions, operations or assets</w:t>
      </w:r>
      <w:r w:rsidR="00F02CE0">
        <w:rPr>
          <w:rFonts w:eastAsia="Calibri"/>
          <w:iCs/>
        </w:rPr>
        <w:t xml:space="preserve"> </w:t>
      </w:r>
      <w:r w:rsidR="00F02CE0" w:rsidRPr="00AB6500">
        <w:rPr>
          <w:rFonts w:eastAsia="Calibri"/>
          <w:iCs/>
        </w:rPr>
        <w:t>in connection with the assets or operations acquired as a result of the action.</w:t>
      </w:r>
      <w:r w:rsidR="00F02CE0">
        <w:rPr>
          <w:rFonts w:asciiTheme="minorHAnsi" w:hAnsiTheme="minorHAnsi" w:cs="Arial"/>
          <w:color w:val="auto"/>
          <w:lang w:val="en-US"/>
        </w:rPr>
        <w:t xml:space="preserve"> </w:t>
      </w:r>
    </w:p>
    <w:p w14:paraId="1C6E54C1" w14:textId="4FB62490" w:rsidR="008E3684" w:rsidRDefault="008E3684" w:rsidP="008E3684">
      <w:pPr>
        <w:pStyle w:val="Heading4"/>
        <w:rPr>
          <w:lang w:val="en-US"/>
        </w:rPr>
      </w:pPr>
      <w:r>
        <w:rPr>
          <w:lang w:val="en-US"/>
        </w:rPr>
        <w:t xml:space="preserve">Best </w:t>
      </w:r>
      <w:proofErr w:type="spellStart"/>
      <w:r>
        <w:rPr>
          <w:lang w:val="en-US"/>
        </w:rPr>
        <w:t>endeavours</w:t>
      </w:r>
      <w:proofErr w:type="spellEnd"/>
      <w:r>
        <w:rPr>
          <w:lang w:val="en-US"/>
        </w:rPr>
        <w:t xml:space="preserve"> and within its powers</w:t>
      </w:r>
    </w:p>
    <w:p w14:paraId="657385BE" w14:textId="14415B94" w:rsidR="008E3684" w:rsidRDefault="008E3684" w:rsidP="008C2041">
      <w:pPr>
        <w:spacing w:after="240"/>
        <w:rPr>
          <w:rFonts w:asciiTheme="minorHAnsi" w:hAnsiTheme="minorHAnsi" w:cs="Arial"/>
          <w:color w:val="auto"/>
          <w:lang w:val="en-US"/>
        </w:rPr>
      </w:pPr>
      <w:r>
        <w:rPr>
          <w:rFonts w:asciiTheme="minorHAnsi" w:hAnsiTheme="minorHAnsi" w:cs="Arial"/>
          <w:color w:val="auto"/>
          <w:lang w:val="en-US"/>
        </w:rPr>
        <w:t xml:space="preserve">If an applicant controls another entity as per the definition of section 50AA of the </w:t>
      </w:r>
      <w:r w:rsidRPr="008E3684">
        <w:rPr>
          <w:rFonts w:asciiTheme="minorHAnsi" w:hAnsiTheme="minorHAnsi" w:cs="Arial"/>
          <w:i/>
          <w:color w:val="auto"/>
          <w:lang w:val="en-US"/>
        </w:rPr>
        <w:t>Corporations Act 2001</w:t>
      </w:r>
      <w:r>
        <w:rPr>
          <w:rFonts w:asciiTheme="minorHAnsi" w:hAnsiTheme="minorHAnsi" w:cs="Arial"/>
          <w:color w:val="auto"/>
          <w:lang w:val="en-US"/>
        </w:rPr>
        <w:t>,</w:t>
      </w:r>
      <w:r w:rsidR="006840D7">
        <w:rPr>
          <w:rFonts w:asciiTheme="minorHAnsi" w:hAnsiTheme="minorHAnsi" w:cs="Arial"/>
          <w:color w:val="auto"/>
          <w:lang w:val="en-US"/>
        </w:rPr>
        <w:t xml:space="preserve"> then it would generally be expected that it is within the applicant’s powers to ensure that the other entity act</w:t>
      </w:r>
      <w:r w:rsidR="00E12E40">
        <w:rPr>
          <w:rFonts w:asciiTheme="minorHAnsi" w:hAnsiTheme="minorHAnsi" w:cs="Arial"/>
          <w:color w:val="auto"/>
          <w:lang w:val="en-US"/>
        </w:rPr>
        <w:t>s</w:t>
      </w:r>
      <w:r w:rsidR="006840D7">
        <w:rPr>
          <w:rFonts w:asciiTheme="minorHAnsi" w:hAnsiTheme="minorHAnsi" w:cs="Arial"/>
          <w:color w:val="auto"/>
          <w:lang w:val="en-US"/>
        </w:rPr>
        <w:t xml:space="preserve"> in accordance with </w:t>
      </w:r>
      <w:r w:rsidR="00E12E40">
        <w:rPr>
          <w:rFonts w:asciiTheme="minorHAnsi" w:hAnsiTheme="minorHAnsi" w:cs="Arial"/>
          <w:color w:val="auto"/>
          <w:lang w:val="en-US"/>
        </w:rPr>
        <w:t>whichever of conditions 2, 4 and 5 have been applied</w:t>
      </w:r>
      <w:r w:rsidR="006840D7">
        <w:rPr>
          <w:rFonts w:asciiTheme="minorHAnsi" w:hAnsiTheme="minorHAnsi" w:cs="Arial"/>
          <w:color w:val="auto"/>
          <w:lang w:val="en-US"/>
        </w:rPr>
        <w:t>.</w:t>
      </w:r>
    </w:p>
    <w:p w14:paraId="7F9CD3E1" w14:textId="77777777" w:rsidR="00E743E9" w:rsidRDefault="006840D7" w:rsidP="008C2041">
      <w:pPr>
        <w:spacing w:after="240"/>
        <w:rPr>
          <w:rFonts w:asciiTheme="minorHAnsi" w:hAnsiTheme="minorHAnsi" w:cs="Arial"/>
          <w:color w:val="auto"/>
          <w:lang w:val="en-US"/>
        </w:rPr>
      </w:pPr>
      <w:r>
        <w:rPr>
          <w:rFonts w:asciiTheme="minorHAnsi" w:hAnsiTheme="minorHAnsi" w:cs="Arial"/>
          <w:color w:val="auto"/>
          <w:lang w:val="en-US"/>
        </w:rPr>
        <w:t xml:space="preserve">For </w:t>
      </w:r>
      <w:r w:rsidR="00E12E40">
        <w:rPr>
          <w:rFonts w:asciiTheme="minorHAnsi" w:hAnsiTheme="minorHAnsi" w:cs="Arial"/>
          <w:color w:val="auto"/>
          <w:lang w:val="en-US"/>
        </w:rPr>
        <w:t>an entity</w:t>
      </w:r>
      <w:r>
        <w:rPr>
          <w:rFonts w:asciiTheme="minorHAnsi" w:hAnsiTheme="minorHAnsi" w:cs="Arial"/>
          <w:color w:val="auto"/>
          <w:lang w:val="en-US"/>
        </w:rPr>
        <w:t xml:space="preserve"> in the applicant</w:t>
      </w:r>
      <w:r w:rsidR="00E12E40">
        <w:rPr>
          <w:rFonts w:asciiTheme="minorHAnsi" w:hAnsiTheme="minorHAnsi" w:cs="Arial"/>
          <w:color w:val="auto"/>
          <w:lang w:val="en-US"/>
        </w:rPr>
        <w:t>’</w:t>
      </w:r>
      <w:r>
        <w:rPr>
          <w:rFonts w:asciiTheme="minorHAnsi" w:hAnsiTheme="minorHAnsi" w:cs="Arial"/>
          <w:color w:val="auto"/>
          <w:lang w:val="en-US"/>
        </w:rPr>
        <w:t xml:space="preserve">s control group that the applicant does not control, the applicant is expected to use its best </w:t>
      </w:r>
      <w:proofErr w:type="spellStart"/>
      <w:r>
        <w:rPr>
          <w:rFonts w:asciiTheme="minorHAnsi" w:hAnsiTheme="minorHAnsi" w:cs="Arial"/>
          <w:color w:val="auto"/>
          <w:lang w:val="en-US"/>
        </w:rPr>
        <w:t>endeavours</w:t>
      </w:r>
      <w:proofErr w:type="spellEnd"/>
      <w:r>
        <w:rPr>
          <w:rFonts w:asciiTheme="minorHAnsi" w:hAnsiTheme="minorHAnsi" w:cs="Arial"/>
          <w:color w:val="auto"/>
          <w:lang w:val="en-US"/>
        </w:rPr>
        <w:t xml:space="preserve"> to ensure that</w:t>
      </w:r>
      <w:r w:rsidR="00E12E40">
        <w:rPr>
          <w:rFonts w:asciiTheme="minorHAnsi" w:hAnsiTheme="minorHAnsi" w:cs="Arial"/>
          <w:color w:val="auto"/>
          <w:lang w:val="en-US"/>
        </w:rPr>
        <w:t xml:space="preserve"> the other entity acts in accordance with the relevant condition. </w:t>
      </w:r>
    </w:p>
    <w:p w14:paraId="2FDABBDB" w14:textId="12350AFF" w:rsidR="006840D7" w:rsidRDefault="00E12E40" w:rsidP="008C2041">
      <w:pPr>
        <w:spacing w:after="240"/>
        <w:rPr>
          <w:rFonts w:asciiTheme="minorHAnsi" w:hAnsiTheme="minorHAnsi" w:cs="Arial"/>
          <w:color w:val="auto"/>
          <w:lang w:val="en-US"/>
        </w:rPr>
      </w:pPr>
      <w:r>
        <w:rPr>
          <w:rFonts w:asciiTheme="minorHAnsi" w:hAnsiTheme="minorHAnsi" w:cs="Arial"/>
          <w:color w:val="auto"/>
          <w:lang w:val="en-US"/>
        </w:rPr>
        <w:t>Depending on the circumstances this might involve making representations to that entity</w:t>
      </w:r>
      <w:r w:rsidR="005E739E">
        <w:rPr>
          <w:rFonts w:asciiTheme="minorHAnsi" w:hAnsiTheme="minorHAnsi" w:cs="Arial"/>
          <w:color w:val="auto"/>
          <w:lang w:val="en-US"/>
        </w:rPr>
        <w:t xml:space="preserve"> and the controlling entity in relation to the relevant conditions in person </w:t>
      </w:r>
      <w:r w:rsidR="008F7649">
        <w:rPr>
          <w:rFonts w:asciiTheme="minorHAnsi" w:hAnsiTheme="minorHAnsi" w:cs="Arial"/>
          <w:color w:val="auto"/>
          <w:lang w:val="en-US"/>
        </w:rPr>
        <w:t>and/</w:t>
      </w:r>
      <w:r w:rsidR="005E739E">
        <w:rPr>
          <w:rFonts w:asciiTheme="minorHAnsi" w:hAnsiTheme="minorHAnsi" w:cs="Arial"/>
          <w:color w:val="auto"/>
          <w:lang w:val="en-US"/>
        </w:rPr>
        <w:t xml:space="preserve">or in writing. </w:t>
      </w:r>
      <w:r w:rsidR="008F7649">
        <w:rPr>
          <w:rFonts w:asciiTheme="minorHAnsi" w:hAnsiTheme="minorHAnsi" w:cs="Arial"/>
          <w:color w:val="auto"/>
          <w:lang w:val="en-US"/>
        </w:rPr>
        <w:t xml:space="preserve">Best </w:t>
      </w:r>
      <w:proofErr w:type="spellStart"/>
      <w:r w:rsidR="008F7649">
        <w:rPr>
          <w:rFonts w:asciiTheme="minorHAnsi" w:hAnsiTheme="minorHAnsi" w:cs="Arial"/>
          <w:color w:val="auto"/>
          <w:lang w:val="en-US"/>
        </w:rPr>
        <w:t>endeavours</w:t>
      </w:r>
      <w:proofErr w:type="spellEnd"/>
      <w:r w:rsidR="008F7649">
        <w:rPr>
          <w:rFonts w:asciiTheme="minorHAnsi" w:hAnsiTheme="minorHAnsi" w:cs="Arial"/>
          <w:color w:val="auto"/>
          <w:lang w:val="en-US"/>
        </w:rPr>
        <w:t xml:space="preserve"> means to do all one reasonably can and this will depend</w:t>
      </w:r>
      <w:r w:rsidR="005E739E">
        <w:rPr>
          <w:rFonts w:asciiTheme="minorHAnsi" w:hAnsiTheme="minorHAnsi" w:cs="Arial"/>
          <w:color w:val="auto"/>
          <w:lang w:val="en-US"/>
        </w:rPr>
        <w:t xml:space="preserve"> on the relationships between the entities</w:t>
      </w:r>
      <w:r w:rsidR="008F7649">
        <w:rPr>
          <w:rFonts w:asciiTheme="minorHAnsi" w:hAnsiTheme="minorHAnsi" w:cs="Arial"/>
          <w:color w:val="auto"/>
          <w:lang w:val="en-US"/>
        </w:rPr>
        <w:t>,</w:t>
      </w:r>
      <w:r w:rsidR="005E739E">
        <w:rPr>
          <w:rFonts w:asciiTheme="minorHAnsi" w:hAnsiTheme="minorHAnsi" w:cs="Arial"/>
          <w:color w:val="auto"/>
          <w:lang w:val="en-US"/>
        </w:rPr>
        <w:t xml:space="preserve"> the conditions that have been applied</w:t>
      </w:r>
      <w:r w:rsidR="009B5046">
        <w:rPr>
          <w:rFonts w:asciiTheme="minorHAnsi" w:hAnsiTheme="minorHAnsi" w:cs="Arial"/>
          <w:color w:val="auto"/>
          <w:lang w:val="en-US"/>
        </w:rPr>
        <w:t xml:space="preserve"> and the particular circumstances</w:t>
      </w:r>
      <w:r w:rsidR="005E739E">
        <w:rPr>
          <w:rFonts w:asciiTheme="minorHAnsi" w:hAnsiTheme="minorHAnsi" w:cs="Arial"/>
          <w:color w:val="auto"/>
          <w:lang w:val="en-US"/>
        </w:rPr>
        <w:t>.</w:t>
      </w:r>
    </w:p>
    <w:p w14:paraId="195C5CF5" w14:textId="480C0821" w:rsidR="00C422A0" w:rsidRPr="009B5046" w:rsidRDefault="009B5046" w:rsidP="009B5046">
      <w:pPr>
        <w:pStyle w:val="Heading3"/>
        <w:keepNext/>
        <w:rPr>
          <w:lang w:val="en-US"/>
        </w:rPr>
      </w:pPr>
      <w:r>
        <w:rPr>
          <w:lang w:val="en-US"/>
        </w:rPr>
        <w:t>POSSIBLE A</w:t>
      </w:r>
      <w:r w:rsidR="00E619FA">
        <w:rPr>
          <w:lang w:val="en-US"/>
        </w:rPr>
        <w:t>DDITIONAL CONDITION</w:t>
      </w:r>
      <w:r w:rsidR="00D312C8">
        <w:rPr>
          <w:lang w:val="en-US"/>
        </w:rPr>
        <w:t>S</w:t>
      </w:r>
    </w:p>
    <w:p w14:paraId="6F944854" w14:textId="77777777" w:rsidR="00172A75" w:rsidRDefault="00D312C8" w:rsidP="00172A75">
      <w:pPr>
        <w:spacing w:before="280"/>
      </w:pPr>
      <w:r>
        <w:t xml:space="preserve">These conditions may be applied if a particular tax risk is identified and would be tailored to the circumstances in each case. </w:t>
      </w:r>
      <w:r w:rsidR="0078087C">
        <w:t xml:space="preserve">The imposition of additional tax conditions is not expected to impact the timing of a no objection decision. It is expected that the vast majority of additional conditions would involve action by the applicant after a no objection decision is made. </w:t>
      </w:r>
      <w:r w:rsidR="00172A75">
        <w:br w:type="page"/>
      </w:r>
    </w:p>
    <w:p w14:paraId="06361991" w14:textId="492C40D2" w:rsidR="00DE4E78" w:rsidRPr="00DE4E78" w:rsidRDefault="00DE4E78" w:rsidP="00172A75">
      <w:pPr>
        <w:spacing w:before="280"/>
        <w:rPr>
          <w:b/>
          <w:sz w:val="22"/>
          <w:szCs w:val="22"/>
        </w:rPr>
      </w:pPr>
      <w:r w:rsidRPr="00DE4E78">
        <w:rPr>
          <w:b/>
          <w:sz w:val="22"/>
          <w:szCs w:val="22"/>
        </w:rPr>
        <w:t xml:space="preserve">Attachment </w:t>
      </w:r>
      <w:r w:rsidR="007B2B22">
        <w:rPr>
          <w:b/>
          <w:sz w:val="22"/>
          <w:szCs w:val="22"/>
        </w:rPr>
        <w:t>C</w:t>
      </w:r>
    </w:p>
    <w:p w14:paraId="18C4DA09" w14:textId="77777777" w:rsidR="00DE4E78" w:rsidRDefault="00DE4E78" w:rsidP="000430DA">
      <w:pPr>
        <w:keepNext/>
        <w:spacing w:after="0"/>
        <w:ind w:left="425" w:hanging="425"/>
        <w:rPr>
          <w:b/>
          <w:sz w:val="28"/>
          <w:szCs w:val="28"/>
        </w:rPr>
      </w:pPr>
    </w:p>
    <w:p w14:paraId="7C91A0C0" w14:textId="4893C663" w:rsidR="008F4F78" w:rsidRDefault="008F4F78" w:rsidP="000430DA">
      <w:pPr>
        <w:keepNext/>
        <w:spacing w:after="0"/>
        <w:ind w:left="425" w:hanging="425"/>
        <w:rPr>
          <w:b/>
          <w:sz w:val="28"/>
          <w:szCs w:val="28"/>
        </w:rPr>
      </w:pPr>
      <w:r>
        <w:rPr>
          <w:b/>
          <w:sz w:val="28"/>
          <w:szCs w:val="28"/>
        </w:rPr>
        <w:t xml:space="preserve">Compliance report on </w:t>
      </w:r>
      <w:r w:rsidR="005153F8">
        <w:rPr>
          <w:b/>
          <w:sz w:val="28"/>
          <w:szCs w:val="28"/>
        </w:rPr>
        <w:t xml:space="preserve">foreign investment </w:t>
      </w:r>
      <w:r w:rsidR="009C4ED6">
        <w:rPr>
          <w:b/>
          <w:sz w:val="28"/>
          <w:szCs w:val="28"/>
        </w:rPr>
        <w:t>tax</w:t>
      </w:r>
      <w:r w:rsidR="005153F8">
        <w:rPr>
          <w:b/>
          <w:sz w:val="28"/>
          <w:szCs w:val="28"/>
        </w:rPr>
        <w:t xml:space="preserve"> conditions</w:t>
      </w:r>
    </w:p>
    <w:p w14:paraId="4179259D" w14:textId="1437E423" w:rsidR="008F4F78" w:rsidRDefault="00362006" w:rsidP="000430DA">
      <w:pPr>
        <w:keepNext/>
        <w:tabs>
          <w:tab w:val="left" w:pos="1515"/>
        </w:tabs>
        <w:spacing w:after="0"/>
        <w:ind w:left="426" w:hanging="425"/>
        <w:rPr>
          <w:b/>
          <w:sz w:val="28"/>
          <w:szCs w:val="28"/>
        </w:rPr>
      </w:pPr>
      <w:r>
        <w:rPr>
          <w:b/>
          <w:sz w:val="28"/>
          <w:szCs w:val="28"/>
        </w:rPr>
        <w:tab/>
      </w:r>
      <w:r>
        <w:rPr>
          <w:b/>
          <w:sz w:val="28"/>
          <w:szCs w:val="28"/>
        </w:rPr>
        <w:tab/>
      </w:r>
    </w:p>
    <w:p w14:paraId="0BBE278C" w14:textId="2AE6FABD" w:rsidR="008F4F78" w:rsidRPr="00362006" w:rsidRDefault="008F4F78" w:rsidP="000430DA">
      <w:pPr>
        <w:keepNext/>
        <w:spacing w:after="0"/>
        <w:ind w:left="426" w:hanging="425"/>
        <w:rPr>
          <w:b/>
        </w:rPr>
      </w:pPr>
      <w:r w:rsidRPr="00362006">
        <w:rPr>
          <w:b/>
        </w:rPr>
        <w:t xml:space="preserve">Investor: </w:t>
      </w:r>
      <w:r w:rsidR="00875424">
        <w:rPr>
          <w:b/>
          <w:color w:val="4F81BD" w:themeColor="accent1"/>
        </w:rPr>
        <w:t xml:space="preserve">Foreign Investor </w:t>
      </w:r>
      <w:proofErr w:type="spellStart"/>
      <w:r w:rsidR="00875424">
        <w:rPr>
          <w:b/>
          <w:color w:val="4F81BD" w:themeColor="accent1"/>
        </w:rPr>
        <w:t>Plc</w:t>
      </w:r>
      <w:proofErr w:type="spellEnd"/>
    </w:p>
    <w:p w14:paraId="16C261F3" w14:textId="77777777" w:rsidR="00362006" w:rsidRPr="00362006" w:rsidRDefault="00362006" w:rsidP="000430DA">
      <w:pPr>
        <w:keepNext/>
        <w:spacing w:after="0"/>
        <w:ind w:left="426" w:hanging="425"/>
        <w:rPr>
          <w:b/>
        </w:rPr>
      </w:pPr>
    </w:p>
    <w:p w14:paraId="58B4A55F" w14:textId="6CCCD59D" w:rsidR="00875424" w:rsidRDefault="004149E4" w:rsidP="000430DA">
      <w:pPr>
        <w:keepNext/>
        <w:spacing w:after="0"/>
        <w:ind w:left="426" w:hanging="425"/>
        <w:rPr>
          <w:b/>
        </w:rPr>
      </w:pPr>
      <w:r>
        <w:rPr>
          <w:b/>
        </w:rPr>
        <w:t>Action</w:t>
      </w:r>
      <w:r w:rsidR="00536F28">
        <w:rPr>
          <w:b/>
        </w:rPr>
        <w:t>(s)</w:t>
      </w:r>
      <w:r w:rsidR="0018567A" w:rsidRPr="00362006">
        <w:rPr>
          <w:b/>
        </w:rPr>
        <w:t xml:space="preserve"> </w:t>
      </w:r>
      <w:r w:rsidR="00186B3B">
        <w:rPr>
          <w:b/>
        </w:rPr>
        <w:t>in this report</w:t>
      </w:r>
      <w:r w:rsidR="00362006" w:rsidRPr="00362006">
        <w:rPr>
          <w:b/>
        </w:rPr>
        <w:t xml:space="preserve">: </w:t>
      </w:r>
    </w:p>
    <w:p w14:paraId="6F8418FB" w14:textId="2539119E" w:rsidR="00875424" w:rsidRDefault="005153F8" w:rsidP="000430DA">
      <w:pPr>
        <w:keepNext/>
        <w:spacing w:after="0"/>
        <w:ind w:left="426" w:hanging="425"/>
        <w:rPr>
          <w:b/>
          <w:color w:val="4F81BD" w:themeColor="accent1"/>
        </w:rPr>
      </w:pPr>
      <w:r>
        <w:rPr>
          <w:b/>
          <w:color w:val="4F81BD" w:themeColor="accent1"/>
        </w:rPr>
        <w:t>Security interest</w:t>
      </w:r>
      <w:r w:rsidR="00362006" w:rsidRPr="00195648">
        <w:rPr>
          <w:b/>
          <w:color w:val="4F81BD" w:themeColor="accent1"/>
        </w:rPr>
        <w:t xml:space="preserve"> in </w:t>
      </w:r>
      <w:r w:rsidR="00875424">
        <w:rPr>
          <w:b/>
          <w:color w:val="4F81BD" w:themeColor="accent1"/>
        </w:rPr>
        <w:t>ABC</w:t>
      </w:r>
      <w:r w:rsidR="00362006" w:rsidRPr="00195648">
        <w:rPr>
          <w:b/>
          <w:color w:val="4F81BD" w:themeColor="accent1"/>
        </w:rPr>
        <w:t xml:space="preserve"> Limited</w:t>
      </w:r>
    </w:p>
    <w:p w14:paraId="76952D32" w14:textId="1293363F" w:rsidR="00875424" w:rsidRDefault="00875424" w:rsidP="00875424">
      <w:pPr>
        <w:keepNext/>
        <w:spacing w:after="0"/>
        <w:rPr>
          <w:b/>
          <w:color w:val="4F81BD" w:themeColor="accent1"/>
        </w:rPr>
      </w:pPr>
      <w:r>
        <w:rPr>
          <w:b/>
          <w:color w:val="4F81BD" w:themeColor="accent1"/>
        </w:rPr>
        <w:t>Approved date month year</w:t>
      </w:r>
      <w:r w:rsidR="00186B3B">
        <w:rPr>
          <w:b/>
          <w:color w:val="4F81BD" w:themeColor="accent1"/>
        </w:rPr>
        <w:tab/>
      </w:r>
      <w:r>
        <w:rPr>
          <w:b/>
          <w:color w:val="4F81BD" w:themeColor="accent1"/>
        </w:rPr>
        <w:t>Acquired date month year</w:t>
      </w:r>
      <w:r w:rsidR="00536F28">
        <w:rPr>
          <w:b/>
          <w:color w:val="4F81BD" w:themeColor="accent1"/>
        </w:rPr>
        <w:t xml:space="preserve"> </w:t>
      </w:r>
    </w:p>
    <w:p w14:paraId="1965A7A7" w14:textId="77777777" w:rsidR="00875424" w:rsidRDefault="00875424" w:rsidP="000430DA">
      <w:pPr>
        <w:keepNext/>
        <w:spacing w:after="0"/>
        <w:ind w:left="426" w:hanging="425"/>
        <w:rPr>
          <w:b/>
          <w:color w:val="4F81BD" w:themeColor="accent1"/>
        </w:rPr>
      </w:pPr>
    </w:p>
    <w:p w14:paraId="3A3460F9" w14:textId="53F3E082" w:rsidR="00362006" w:rsidRPr="00362006" w:rsidRDefault="00536F28" w:rsidP="000430DA">
      <w:pPr>
        <w:keepNext/>
        <w:spacing w:after="0"/>
        <w:ind w:left="426" w:hanging="425"/>
        <w:rPr>
          <w:b/>
        </w:rPr>
      </w:pPr>
      <w:r>
        <w:rPr>
          <w:b/>
          <w:color w:val="4F81BD" w:themeColor="accent1"/>
        </w:rPr>
        <w:t xml:space="preserve">Security interest in </w:t>
      </w:r>
      <w:r w:rsidR="00875424">
        <w:rPr>
          <w:b/>
          <w:color w:val="4F81BD" w:themeColor="accent1"/>
        </w:rPr>
        <w:t>DEF</w:t>
      </w:r>
      <w:r>
        <w:rPr>
          <w:b/>
          <w:color w:val="4F81BD" w:themeColor="accent1"/>
        </w:rPr>
        <w:t xml:space="preserve"> Limited</w:t>
      </w:r>
    </w:p>
    <w:p w14:paraId="79BE25B2" w14:textId="08B221EF" w:rsidR="00875424" w:rsidRDefault="00875424" w:rsidP="00875424">
      <w:pPr>
        <w:keepNext/>
        <w:spacing w:after="0"/>
        <w:rPr>
          <w:b/>
          <w:color w:val="4F81BD" w:themeColor="accent1"/>
        </w:rPr>
      </w:pPr>
      <w:r>
        <w:rPr>
          <w:b/>
          <w:color w:val="4F81BD" w:themeColor="accent1"/>
        </w:rPr>
        <w:t>Approved date month year</w:t>
      </w:r>
      <w:r w:rsidR="00186B3B">
        <w:rPr>
          <w:b/>
          <w:color w:val="4F81BD" w:themeColor="accent1"/>
        </w:rPr>
        <w:tab/>
      </w:r>
      <w:r>
        <w:rPr>
          <w:b/>
          <w:color w:val="4F81BD" w:themeColor="accent1"/>
        </w:rPr>
        <w:t xml:space="preserve">Acquired date month year </w:t>
      </w:r>
    </w:p>
    <w:p w14:paraId="6B1E8F0E" w14:textId="77777777" w:rsidR="00362006" w:rsidRDefault="00362006" w:rsidP="000430DA">
      <w:pPr>
        <w:keepNext/>
        <w:spacing w:after="0"/>
        <w:ind w:left="426" w:hanging="425"/>
        <w:rPr>
          <w:b/>
        </w:rPr>
      </w:pPr>
    </w:p>
    <w:p w14:paraId="5B7A6864" w14:textId="704ACA87" w:rsidR="00362006" w:rsidRDefault="00186B3B" w:rsidP="00875424">
      <w:pPr>
        <w:keepNext/>
        <w:spacing w:after="0"/>
        <w:ind w:left="426" w:hanging="425"/>
        <w:rPr>
          <w:b/>
        </w:rPr>
      </w:pPr>
      <w:r>
        <w:rPr>
          <w:b/>
        </w:rPr>
        <w:t>Reporting year</w:t>
      </w:r>
    </w:p>
    <w:p w14:paraId="2BBBDB87" w14:textId="77777777" w:rsidR="00A50FF2" w:rsidRPr="00362006" w:rsidRDefault="00A50FF2" w:rsidP="000430DA">
      <w:pPr>
        <w:keepNext/>
        <w:spacing w:after="0"/>
        <w:ind w:left="426" w:hanging="425"/>
        <w:rPr>
          <w:b/>
        </w:rPr>
      </w:pPr>
    </w:p>
    <w:p w14:paraId="18FFE793" w14:textId="40E08CC1" w:rsidR="008F4F78" w:rsidRDefault="00843117" w:rsidP="000430DA">
      <w:pPr>
        <w:keepNext/>
        <w:spacing w:after="0"/>
        <w:ind w:left="426" w:hanging="425"/>
        <w:rPr>
          <w:color w:val="4F81BD" w:themeColor="accent1"/>
        </w:rPr>
      </w:pPr>
      <w:r>
        <w:rPr>
          <w:color w:val="4F81BD" w:themeColor="accent1"/>
        </w:rPr>
        <w:t>Example condition 1</w:t>
      </w:r>
    </w:p>
    <w:p w14:paraId="5F2C46B6" w14:textId="3AA07C0E" w:rsidR="008F4F78" w:rsidRDefault="009C4ED6" w:rsidP="00EC0CFA">
      <w:pPr>
        <w:keepNext/>
        <w:keepLines/>
        <w:spacing w:after="240"/>
        <w:rPr>
          <w:rFonts w:eastAsia="Calibri"/>
          <w:iCs/>
        </w:rPr>
      </w:pPr>
      <w:r w:rsidRPr="00AB6500">
        <w:rPr>
          <w:rFonts w:eastAsia="Calibri"/>
          <w:iCs/>
        </w:rPr>
        <w:t xml:space="preserve">The applicant must comply with </w:t>
      </w:r>
      <w:r>
        <w:rPr>
          <w:rFonts w:eastAsia="Calibri"/>
          <w:iCs/>
        </w:rPr>
        <w:t xml:space="preserve">the </w:t>
      </w:r>
      <w:r w:rsidRPr="00AB6500">
        <w:rPr>
          <w:rFonts w:eastAsia="Calibri"/>
          <w:iCs/>
        </w:rPr>
        <w:t xml:space="preserve">taxation laws </w:t>
      </w:r>
      <w:r>
        <w:rPr>
          <w:rFonts w:eastAsia="Calibri"/>
          <w:iCs/>
        </w:rPr>
        <w:t xml:space="preserve">of the Commonwealth of Australia </w:t>
      </w:r>
      <w:r w:rsidRPr="00AB6500">
        <w:rPr>
          <w:rFonts w:eastAsia="Calibri"/>
          <w:iCs/>
        </w:rPr>
        <w:t>in relation to the action, and any transactions, operations or assets</w:t>
      </w:r>
      <w:r>
        <w:rPr>
          <w:rFonts w:eastAsia="Calibri"/>
          <w:iCs/>
        </w:rPr>
        <w:t xml:space="preserve"> </w:t>
      </w:r>
      <w:r w:rsidRPr="00AB6500">
        <w:rPr>
          <w:rFonts w:eastAsia="Calibri"/>
          <w:iCs/>
        </w:rPr>
        <w:t>in connection with the assets or operations acquired as a result of the action. </w:t>
      </w:r>
      <w:r>
        <w:rPr>
          <w:rFonts w:eastAsia="Calibri"/>
          <w:iCs/>
        </w:rPr>
        <w:t>An applicant does not breach this condition if it has taken reasonable care to comply with the relevant taxation laws and has a reasonably arguable position.</w:t>
      </w:r>
    </w:p>
    <w:p w14:paraId="772EBB0E" w14:textId="2C132B8D" w:rsidR="00362006" w:rsidRDefault="00362006" w:rsidP="00EC0CFA">
      <w:pPr>
        <w:keepNext/>
        <w:keepLines/>
        <w:spacing w:after="240"/>
        <w:rPr>
          <w:rFonts w:eastAsia="Calibri"/>
          <w:iCs/>
        </w:rPr>
      </w:pPr>
      <w:r>
        <w:rPr>
          <w:rFonts w:eastAsia="Calibri"/>
          <w:iCs/>
        </w:rPr>
        <w:t>Complied</w:t>
      </w:r>
      <w:r w:rsidR="009B5046">
        <w:rPr>
          <w:rFonts w:eastAsia="Calibri"/>
          <w:iCs/>
        </w:rPr>
        <w:t xml:space="preserve"> for all </w:t>
      </w:r>
      <w:r w:rsidR="004149E4">
        <w:rPr>
          <w:rFonts w:eastAsia="Calibri"/>
          <w:iCs/>
        </w:rPr>
        <w:t xml:space="preserve">actions </w:t>
      </w:r>
      <w:r w:rsidR="00BD61FE">
        <w:rPr>
          <w:rFonts w:eastAsia="Calibri"/>
          <w:iCs/>
        </w:rPr>
        <w:t>listed above</w:t>
      </w:r>
      <w:r w:rsidR="009B5046">
        <w:rPr>
          <w:rFonts w:eastAsia="Calibri"/>
          <w:iCs/>
        </w:rPr>
        <w:t xml:space="preserve"> with this condition</w:t>
      </w:r>
      <w:r>
        <w:rPr>
          <w:rFonts w:eastAsia="Calibri"/>
          <w:iCs/>
        </w:rPr>
        <w:tab/>
        <w:t>Yes / No</w:t>
      </w:r>
    </w:p>
    <w:p w14:paraId="47967EC8" w14:textId="589C2F29" w:rsidR="00362006" w:rsidRDefault="000100DD" w:rsidP="00EC0CFA">
      <w:pPr>
        <w:keepNext/>
        <w:keepLines/>
        <w:spacing w:after="240"/>
        <w:rPr>
          <w:rFonts w:eastAsia="Calibri"/>
          <w:iCs/>
        </w:rPr>
      </w:pPr>
      <w:r>
        <w:rPr>
          <w:rFonts w:eastAsia="Calibri"/>
          <w:iCs/>
        </w:rPr>
        <w:t>D</w:t>
      </w:r>
      <w:r w:rsidR="00362006">
        <w:rPr>
          <w:rFonts w:eastAsia="Calibri"/>
          <w:iCs/>
        </w:rPr>
        <w:t>etails</w:t>
      </w:r>
      <w:r>
        <w:rPr>
          <w:rFonts w:eastAsia="Calibri"/>
          <w:iCs/>
        </w:rPr>
        <w:t xml:space="preserve"> (must be provided if there was noncompliance</w:t>
      </w:r>
      <w:r w:rsidR="00A50FF2">
        <w:rPr>
          <w:rFonts w:eastAsia="Calibri"/>
          <w:iCs/>
        </w:rPr>
        <w:t xml:space="preserve"> or there is a dispute with the ATO</w:t>
      </w:r>
      <w:r w:rsidR="00C34E9F">
        <w:rPr>
          <w:rFonts w:eastAsia="Calibri"/>
          <w:iCs/>
        </w:rPr>
        <w:t>, i.e. the ATO</w:t>
      </w:r>
      <w:r w:rsidR="00761786">
        <w:rPr>
          <w:rFonts w:eastAsia="Calibri"/>
          <w:iCs/>
        </w:rPr>
        <w:t xml:space="preserve"> has advised that it</w:t>
      </w:r>
      <w:r w:rsidR="00C34E9F">
        <w:rPr>
          <w:rFonts w:eastAsia="Calibri"/>
          <w:iCs/>
        </w:rPr>
        <w:t xml:space="preserve"> disagrees with the position taken by the applicant</w:t>
      </w:r>
      <w:r>
        <w:rPr>
          <w:rFonts w:eastAsia="Calibri"/>
          <w:iCs/>
        </w:rPr>
        <w:t>)</w:t>
      </w:r>
      <w:r w:rsidR="00362006">
        <w:rPr>
          <w:rFonts w:eastAsia="Calibri"/>
          <w:iCs/>
        </w:rPr>
        <w:t>:</w:t>
      </w:r>
    </w:p>
    <w:p w14:paraId="2768E40E" w14:textId="35C47420" w:rsidR="00843117" w:rsidRPr="00A50FF2" w:rsidRDefault="00843117" w:rsidP="00843117">
      <w:pPr>
        <w:keepNext/>
        <w:spacing w:after="0"/>
        <w:ind w:left="426" w:hanging="425"/>
        <w:rPr>
          <w:color w:val="4F81BD" w:themeColor="accent1"/>
        </w:rPr>
      </w:pPr>
      <w:r>
        <w:rPr>
          <w:color w:val="4F81BD" w:themeColor="accent1"/>
        </w:rPr>
        <w:t xml:space="preserve">(Add </w:t>
      </w:r>
      <w:r w:rsidR="00BD61FE">
        <w:rPr>
          <w:color w:val="4F81BD" w:themeColor="accent1"/>
        </w:rPr>
        <w:t xml:space="preserve">other </w:t>
      </w:r>
      <w:r>
        <w:rPr>
          <w:color w:val="4F81BD" w:themeColor="accent1"/>
        </w:rPr>
        <w:t>conditions that were imposed as part of the no objection decision)</w:t>
      </w:r>
    </w:p>
    <w:p w14:paraId="2A75EE55" w14:textId="77777777" w:rsidR="0012481A" w:rsidRDefault="0012481A" w:rsidP="00D64DA7">
      <w:pPr>
        <w:spacing w:after="240"/>
        <w:ind w:left="425"/>
        <w:rPr>
          <w:rFonts w:eastAsia="Calibri"/>
          <w:iCs/>
        </w:rPr>
      </w:pPr>
    </w:p>
    <w:p w14:paraId="4A938791" w14:textId="0482BD59" w:rsidR="0012481A" w:rsidRDefault="0012481A" w:rsidP="0012481A">
      <w:pPr>
        <w:keepNext/>
        <w:keepLines/>
        <w:spacing w:after="240"/>
        <w:rPr>
          <w:rFonts w:eastAsia="Calibri"/>
          <w:b/>
          <w:iCs/>
        </w:rPr>
      </w:pPr>
      <w:r w:rsidRPr="0012481A">
        <w:rPr>
          <w:rFonts w:eastAsia="Calibri"/>
          <w:b/>
          <w:iCs/>
        </w:rPr>
        <w:t>Additional information for the Foreign Investment Review Board</w:t>
      </w:r>
    </w:p>
    <w:p w14:paraId="71D49C72" w14:textId="5432DAF0" w:rsidR="0012481A" w:rsidRDefault="0012481A" w:rsidP="00D64DA7">
      <w:pPr>
        <w:spacing w:after="240"/>
        <w:rPr>
          <w:color w:val="4F81BD" w:themeColor="accent1"/>
        </w:rPr>
      </w:pPr>
      <w:r w:rsidRPr="0012481A">
        <w:rPr>
          <w:color w:val="4F81BD" w:themeColor="accent1"/>
        </w:rPr>
        <w:t xml:space="preserve">(Include </w:t>
      </w:r>
      <w:r>
        <w:rPr>
          <w:color w:val="4F81BD" w:themeColor="accent1"/>
        </w:rPr>
        <w:t xml:space="preserve">any </w:t>
      </w:r>
      <w:r w:rsidRPr="0012481A">
        <w:rPr>
          <w:color w:val="4F81BD" w:themeColor="accent1"/>
        </w:rPr>
        <w:t xml:space="preserve">additional </w:t>
      </w:r>
      <w:r>
        <w:rPr>
          <w:color w:val="4F81BD" w:themeColor="accent1"/>
        </w:rPr>
        <w:t>information that you would like to provide to the Board</w:t>
      </w:r>
      <w:r w:rsidR="00F3663B">
        <w:rPr>
          <w:color w:val="4F81BD" w:themeColor="accent1"/>
        </w:rPr>
        <w:t xml:space="preserve"> in relation to the taxation conditions</w:t>
      </w:r>
      <w:r w:rsidRPr="0012481A">
        <w:rPr>
          <w:color w:val="4F81BD" w:themeColor="accent1"/>
        </w:rPr>
        <w:t>)</w:t>
      </w:r>
    </w:p>
    <w:p w14:paraId="7DA733EF" w14:textId="5D5EDBC5" w:rsidR="00C238DA" w:rsidRDefault="00C238DA" w:rsidP="00D64DA7">
      <w:pPr>
        <w:spacing w:after="240"/>
        <w:rPr>
          <w:rFonts w:eastAsia="Calibri"/>
          <w:b/>
          <w:iCs/>
        </w:rPr>
      </w:pPr>
      <w:r>
        <w:rPr>
          <w:rFonts w:eastAsia="Calibri"/>
          <w:b/>
          <w:iCs/>
        </w:rPr>
        <w:t>Signed</w:t>
      </w:r>
    </w:p>
    <w:p w14:paraId="1BD0BF65" w14:textId="77777777" w:rsidR="00172A75" w:rsidRDefault="00172A75" w:rsidP="00172A75">
      <w:pPr>
        <w:spacing w:after="0"/>
        <w:rPr>
          <w:rFonts w:asciiTheme="minorHAnsi" w:hAnsiTheme="minorHAnsi" w:cs="Arial"/>
          <w:color w:val="auto"/>
          <w:lang w:val="en-US"/>
        </w:rPr>
      </w:pPr>
      <w:r w:rsidRPr="00596324">
        <w:rPr>
          <w:rFonts w:asciiTheme="minorHAnsi" w:hAnsiTheme="minorHAnsi" w:cs="Arial"/>
          <w:color w:val="auto"/>
          <w:lang w:val="en-US"/>
        </w:rPr>
        <w:t xml:space="preserve">Reports should be </w:t>
      </w:r>
      <w:r>
        <w:rPr>
          <w:rFonts w:asciiTheme="minorHAnsi" w:hAnsiTheme="minorHAnsi" w:cs="Arial"/>
          <w:color w:val="auto"/>
          <w:lang w:val="en-US"/>
        </w:rPr>
        <w:t>emailed</w:t>
      </w:r>
      <w:r w:rsidRPr="00596324">
        <w:rPr>
          <w:rFonts w:asciiTheme="minorHAnsi" w:hAnsiTheme="minorHAnsi" w:cs="Arial"/>
          <w:color w:val="auto"/>
          <w:lang w:val="en-US"/>
        </w:rPr>
        <w:t xml:space="preserve"> to:</w:t>
      </w:r>
      <w:r>
        <w:rPr>
          <w:rFonts w:asciiTheme="minorHAnsi" w:hAnsiTheme="minorHAnsi" w:cs="Arial"/>
          <w:color w:val="auto"/>
          <w:lang w:val="en-US"/>
        </w:rPr>
        <w:tab/>
      </w:r>
      <w:r>
        <w:rPr>
          <w:rFonts w:asciiTheme="minorHAnsi" w:hAnsiTheme="minorHAnsi" w:cs="Arial"/>
          <w:color w:val="auto"/>
          <w:lang w:val="en-US"/>
        </w:rPr>
        <w:tab/>
      </w:r>
      <w:r w:rsidRPr="00596324">
        <w:rPr>
          <w:rFonts w:asciiTheme="minorHAnsi" w:hAnsiTheme="minorHAnsi" w:cs="Arial"/>
          <w:color w:val="auto"/>
          <w:lang w:val="en-US"/>
        </w:rPr>
        <w:t>The Executive Member</w:t>
      </w:r>
    </w:p>
    <w:p w14:paraId="1301EBAE" w14:textId="77777777" w:rsidR="00172A75" w:rsidRDefault="00172A75" w:rsidP="00172A75">
      <w:pPr>
        <w:spacing w:after="0"/>
        <w:ind w:left="3600" w:firstLine="720"/>
        <w:rPr>
          <w:rFonts w:asciiTheme="minorHAnsi" w:hAnsiTheme="minorHAnsi" w:cs="Arial"/>
          <w:color w:val="auto"/>
          <w:lang w:val="en-US"/>
        </w:rPr>
      </w:pPr>
      <w:r w:rsidRPr="00596324">
        <w:rPr>
          <w:rFonts w:asciiTheme="minorHAnsi" w:hAnsiTheme="minorHAnsi" w:cs="Arial"/>
          <w:color w:val="auto"/>
          <w:lang w:val="en-US"/>
        </w:rPr>
        <w:t>Foreign Investment Review Board</w:t>
      </w:r>
    </w:p>
    <w:p w14:paraId="59006A4F" w14:textId="77777777" w:rsidR="00172A75" w:rsidRDefault="00590916" w:rsidP="00172A75">
      <w:pPr>
        <w:ind w:left="3600" w:firstLine="720"/>
        <w:rPr>
          <w:rFonts w:asciiTheme="minorHAnsi" w:hAnsiTheme="minorHAnsi" w:cs="Arial"/>
          <w:color w:val="auto"/>
          <w:lang w:val="en-US"/>
        </w:rPr>
      </w:pPr>
      <w:hyperlink r:id="rId18" w:history="1">
        <w:r w:rsidR="00172A75" w:rsidRPr="009916D2">
          <w:rPr>
            <w:rStyle w:val="Hyperlink"/>
            <w:rFonts w:asciiTheme="minorHAnsi" w:hAnsiTheme="minorHAnsi" w:cs="Arial"/>
            <w:u w:val="single"/>
            <w:lang w:val="en-US"/>
          </w:rPr>
          <w:t>FIRBCompliance@Treasury.gov.au</w:t>
        </w:r>
      </w:hyperlink>
    </w:p>
    <w:p w14:paraId="542AA35B" w14:textId="77777777" w:rsidR="00172A75" w:rsidRPr="00596324" w:rsidRDefault="00172A75" w:rsidP="00172A75">
      <w:pPr>
        <w:spacing w:after="0"/>
        <w:rPr>
          <w:rFonts w:asciiTheme="minorHAnsi" w:hAnsiTheme="minorHAnsi" w:cs="Arial"/>
          <w:color w:val="auto"/>
          <w:lang w:val="en-US"/>
        </w:rPr>
      </w:pPr>
      <w:r w:rsidRPr="00596324">
        <w:rPr>
          <w:rFonts w:asciiTheme="minorHAnsi" w:hAnsiTheme="minorHAnsi" w:cs="Arial"/>
          <w:color w:val="auto"/>
          <w:lang w:val="en-US"/>
        </w:rPr>
        <w:t>Or posted to</w:t>
      </w:r>
      <w:r>
        <w:rPr>
          <w:rFonts w:asciiTheme="minorHAnsi" w:hAnsiTheme="minorHAnsi" w:cs="Arial"/>
          <w:color w:val="auto"/>
          <w:lang w:val="en-US"/>
        </w:rPr>
        <w:t>:</w:t>
      </w:r>
      <w:r>
        <w:rPr>
          <w:rFonts w:asciiTheme="minorHAnsi" w:hAnsiTheme="minorHAnsi" w:cs="Arial"/>
          <w:color w:val="auto"/>
          <w:lang w:val="en-US"/>
        </w:rPr>
        <w:tab/>
      </w:r>
      <w:r>
        <w:rPr>
          <w:rFonts w:asciiTheme="minorHAnsi" w:hAnsiTheme="minorHAnsi" w:cs="Arial"/>
          <w:color w:val="auto"/>
          <w:lang w:val="en-US"/>
        </w:rPr>
        <w:tab/>
      </w:r>
      <w:r>
        <w:rPr>
          <w:rFonts w:asciiTheme="minorHAnsi" w:hAnsiTheme="minorHAnsi" w:cs="Arial"/>
          <w:color w:val="auto"/>
          <w:lang w:val="en-US"/>
        </w:rPr>
        <w:tab/>
      </w:r>
      <w:r>
        <w:rPr>
          <w:rFonts w:asciiTheme="minorHAnsi" w:hAnsiTheme="minorHAnsi" w:cs="Arial"/>
          <w:color w:val="auto"/>
          <w:lang w:val="en-US"/>
        </w:rPr>
        <w:tab/>
      </w:r>
      <w:r>
        <w:rPr>
          <w:rFonts w:asciiTheme="minorHAnsi" w:hAnsiTheme="minorHAnsi" w:cs="Arial"/>
          <w:color w:val="auto"/>
          <w:lang w:val="en-US"/>
        </w:rPr>
        <w:tab/>
      </w:r>
      <w:r w:rsidRPr="00596324">
        <w:rPr>
          <w:rFonts w:asciiTheme="minorHAnsi" w:hAnsiTheme="minorHAnsi" w:cs="Arial"/>
          <w:color w:val="auto"/>
          <w:lang w:val="en-US"/>
        </w:rPr>
        <w:t>The Executive Member</w:t>
      </w:r>
    </w:p>
    <w:p w14:paraId="02C9AF1B" w14:textId="77777777" w:rsidR="00172A75" w:rsidRPr="00596324" w:rsidRDefault="00172A75" w:rsidP="00172A75">
      <w:pPr>
        <w:spacing w:after="0"/>
        <w:ind w:left="4320"/>
        <w:rPr>
          <w:rFonts w:asciiTheme="minorHAnsi" w:hAnsiTheme="minorHAnsi" w:cs="Arial"/>
          <w:color w:val="auto"/>
          <w:lang w:val="en-US"/>
        </w:rPr>
      </w:pPr>
      <w:r w:rsidRPr="00596324">
        <w:rPr>
          <w:rFonts w:asciiTheme="minorHAnsi" w:hAnsiTheme="minorHAnsi" w:cs="Arial"/>
          <w:color w:val="auto"/>
          <w:lang w:val="en-US"/>
        </w:rPr>
        <w:t>Foreign Investment Review Board</w:t>
      </w:r>
    </w:p>
    <w:p w14:paraId="7D65767C" w14:textId="77777777" w:rsidR="00172A75" w:rsidRPr="00596324" w:rsidRDefault="00172A75" w:rsidP="00172A75">
      <w:pPr>
        <w:spacing w:after="0"/>
        <w:ind w:left="3600" w:firstLine="720"/>
        <w:rPr>
          <w:rFonts w:asciiTheme="minorHAnsi" w:hAnsiTheme="minorHAnsi" w:cs="Arial"/>
          <w:color w:val="auto"/>
          <w:lang w:val="en-US"/>
        </w:rPr>
      </w:pPr>
      <w:r w:rsidRPr="00596324">
        <w:rPr>
          <w:rFonts w:asciiTheme="minorHAnsi" w:hAnsiTheme="minorHAnsi" w:cs="Arial"/>
          <w:color w:val="auto"/>
          <w:lang w:val="en-US"/>
        </w:rPr>
        <w:t>The Treasury</w:t>
      </w:r>
    </w:p>
    <w:p w14:paraId="387F8010" w14:textId="77777777" w:rsidR="00172A75" w:rsidRDefault="00172A75" w:rsidP="00172A75">
      <w:pPr>
        <w:spacing w:after="0"/>
        <w:ind w:left="3600" w:firstLine="720"/>
        <w:rPr>
          <w:rFonts w:asciiTheme="minorHAnsi" w:hAnsiTheme="minorHAnsi" w:cs="Arial"/>
          <w:color w:val="auto"/>
          <w:lang w:val="en-US"/>
        </w:rPr>
      </w:pPr>
      <w:r w:rsidRPr="00596324">
        <w:rPr>
          <w:rFonts w:asciiTheme="minorHAnsi" w:hAnsiTheme="minorHAnsi" w:cs="Arial"/>
          <w:color w:val="auto"/>
          <w:lang w:val="en-US"/>
        </w:rPr>
        <w:t>Langton Crescent</w:t>
      </w:r>
    </w:p>
    <w:p w14:paraId="70259754" w14:textId="77777777" w:rsidR="00172A75" w:rsidRPr="00596324" w:rsidRDefault="00172A75" w:rsidP="00172A75">
      <w:pPr>
        <w:spacing w:after="0"/>
        <w:ind w:left="3600" w:firstLine="720"/>
        <w:rPr>
          <w:rFonts w:asciiTheme="minorHAnsi" w:hAnsiTheme="minorHAnsi" w:cs="Arial"/>
          <w:color w:val="auto"/>
          <w:lang w:val="en-US"/>
        </w:rPr>
      </w:pPr>
      <w:proofErr w:type="spellStart"/>
      <w:r w:rsidRPr="00596324">
        <w:rPr>
          <w:rFonts w:asciiTheme="minorHAnsi" w:hAnsiTheme="minorHAnsi" w:cs="Arial"/>
          <w:color w:val="auto"/>
          <w:lang w:val="en-US"/>
        </w:rPr>
        <w:t>Parkes</w:t>
      </w:r>
      <w:proofErr w:type="spellEnd"/>
      <w:r w:rsidRPr="00596324">
        <w:rPr>
          <w:rFonts w:asciiTheme="minorHAnsi" w:hAnsiTheme="minorHAnsi" w:cs="Arial"/>
          <w:color w:val="auto"/>
          <w:lang w:val="en-US"/>
        </w:rPr>
        <w:t xml:space="preserve"> ACT 2600</w:t>
      </w:r>
    </w:p>
    <w:sectPr w:rsidR="00172A75" w:rsidRPr="00596324" w:rsidSect="00363533">
      <w:headerReference w:type="even" r:id="rId19"/>
      <w:headerReference w:type="default" r:id="rId20"/>
      <w:headerReference w:type="first" r:id="rId21"/>
      <w:pgSz w:w="11906" w:h="16838"/>
      <w:pgMar w:top="1134" w:right="1274" w:bottom="1134" w:left="1276" w:header="709" w:footer="4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24D93" w14:textId="77777777" w:rsidR="00172A75" w:rsidRDefault="00172A75" w:rsidP="007A5561">
      <w:pPr>
        <w:spacing w:after="0"/>
      </w:pPr>
      <w:r>
        <w:separator/>
      </w:r>
    </w:p>
  </w:endnote>
  <w:endnote w:type="continuationSeparator" w:id="0">
    <w:p w14:paraId="005A40C0" w14:textId="77777777" w:rsidR="00172A75" w:rsidRDefault="00172A75" w:rsidP="007A5561">
      <w:pPr>
        <w:spacing w:after="0"/>
      </w:pPr>
      <w:r>
        <w:continuationSeparator/>
      </w:r>
    </w:p>
  </w:endnote>
  <w:endnote w:type="continuationNotice" w:id="1">
    <w:p w14:paraId="482A83E6" w14:textId="77777777" w:rsidR="00172A75" w:rsidRDefault="00172A7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80B9B" w14:textId="77777777" w:rsidR="00172A75" w:rsidRPr="00A112BE" w:rsidRDefault="00172A75" w:rsidP="00A112BE">
    <w:pPr>
      <w:pStyle w:val="Footer"/>
      <w:tabs>
        <w:tab w:val="clear" w:pos="8306"/>
        <w:tab w:val="right" w:pos="9356"/>
      </w:tabs>
      <w:spacing w:after="480"/>
      <w:jc w:val="right"/>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071E8" w14:textId="0E4A9DBE" w:rsidR="00172A75" w:rsidRPr="008F1E42" w:rsidRDefault="00172A75" w:rsidP="008F1E42">
    <w:pPr>
      <w:pStyle w:val="Footer"/>
      <w:pBdr>
        <w:top w:val="single" w:sz="24" w:space="6" w:color="134A6D"/>
      </w:pBdr>
      <w:tabs>
        <w:tab w:val="clear" w:pos="8306"/>
        <w:tab w:val="right" w:pos="9356"/>
      </w:tabs>
      <w:rPr>
        <w:color w:val="134A6D"/>
      </w:rPr>
    </w:pPr>
    <w:r>
      <w:rPr>
        <w:color w:val="134A6D"/>
      </w:rPr>
      <w:t>Guidance Note</w:t>
    </w:r>
    <w:r w:rsidRPr="008F1E42">
      <w:rPr>
        <w:color w:val="134A6D"/>
      </w:rPr>
      <w:t xml:space="preserve"> </w:t>
    </w:r>
    <w:r>
      <w:rPr>
        <w:color w:val="134A6D"/>
      </w:rPr>
      <w:t xml:space="preserve">47 — Last Updated: </w:t>
    </w:r>
    <w:r w:rsidR="00502967">
      <w:rPr>
        <w:color w:val="134A6D"/>
      </w:rPr>
      <w:t>2</w:t>
    </w:r>
    <w:r w:rsidR="00BC3122">
      <w:rPr>
        <w:color w:val="134A6D"/>
      </w:rPr>
      <w:t>4</w:t>
    </w:r>
    <w:r>
      <w:rPr>
        <w:color w:val="134A6D"/>
      </w:rPr>
      <w:t xml:space="preserve"> November 2016 </w:t>
    </w:r>
    <w:r>
      <w:rPr>
        <w:color w:val="134A6D"/>
      </w:rPr>
      <w:tab/>
    </w:r>
    <w:r w:rsidRPr="008F1E42">
      <w:rPr>
        <w:color w:val="134A6D"/>
      </w:rPr>
      <w:tab/>
      <w:t xml:space="preserve">Page </w:t>
    </w:r>
    <w:r w:rsidRPr="008F1E42">
      <w:rPr>
        <w:color w:val="134A6D"/>
      </w:rPr>
      <w:fldChar w:fldCharType="begin"/>
    </w:r>
    <w:r w:rsidRPr="008F1E42">
      <w:rPr>
        <w:color w:val="134A6D"/>
      </w:rPr>
      <w:instrText xml:space="preserve"> PAGE   \* MERGEFORMAT </w:instrText>
    </w:r>
    <w:r w:rsidRPr="008F1E42">
      <w:rPr>
        <w:color w:val="134A6D"/>
      </w:rPr>
      <w:fldChar w:fldCharType="separate"/>
    </w:r>
    <w:r w:rsidR="00590916">
      <w:rPr>
        <w:noProof/>
        <w:color w:val="134A6D"/>
      </w:rPr>
      <w:t>2</w:t>
    </w:r>
    <w:r w:rsidRPr="008F1E42">
      <w:rPr>
        <w:color w:val="134A6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2E794" w14:textId="77777777" w:rsidR="00172A75" w:rsidRPr="00363533" w:rsidRDefault="00172A75" w:rsidP="00363533">
    <w:pPr>
      <w:pStyle w:val="Footer"/>
      <w:pBdr>
        <w:top w:val="single" w:sz="36" w:space="6" w:color="134A6D"/>
      </w:pBdr>
      <w:rPr>
        <w:color w:val="134A6D"/>
        <w:sz w:val="20"/>
        <w:szCs w:val="20"/>
      </w:rPr>
    </w:pPr>
    <w:r w:rsidRPr="00363533">
      <w:rPr>
        <w:b/>
        <w:color w:val="134A6D"/>
        <w:sz w:val="20"/>
        <w:szCs w:val="20"/>
      </w:rPr>
      <w:t>Telephone</w:t>
    </w:r>
    <w:r w:rsidRPr="00363533">
      <w:rPr>
        <w:color w:val="134A6D"/>
        <w:sz w:val="20"/>
        <w:szCs w:val="20"/>
      </w:rPr>
      <w:t xml:space="preserve">: +61 2 6263 3795 | </w:t>
    </w:r>
    <w:r w:rsidRPr="00363533">
      <w:rPr>
        <w:b/>
        <w:color w:val="134A6D"/>
        <w:sz w:val="20"/>
        <w:szCs w:val="20"/>
      </w:rPr>
      <w:t>Email</w:t>
    </w:r>
    <w:r>
      <w:rPr>
        <w:color w:val="134A6D"/>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color w:val="134A6D"/>
        <w:sz w:val="20"/>
        <w:szCs w:val="20"/>
      </w:rPr>
      <w:t>Website</w:t>
    </w:r>
    <w:r w:rsidRPr="00363533">
      <w:rPr>
        <w:color w:val="134A6D"/>
        <w:sz w:val="20"/>
        <w:szCs w:val="20"/>
      </w:rPr>
      <w:t>: www.firb.gov.au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73615" w14:textId="77777777" w:rsidR="00172A75" w:rsidRDefault="00172A75" w:rsidP="007A5561">
      <w:pPr>
        <w:spacing w:after="0"/>
      </w:pPr>
      <w:r>
        <w:separator/>
      </w:r>
    </w:p>
  </w:footnote>
  <w:footnote w:type="continuationSeparator" w:id="0">
    <w:p w14:paraId="0584868C" w14:textId="77777777" w:rsidR="00172A75" w:rsidRDefault="00172A75" w:rsidP="007A5561">
      <w:pPr>
        <w:spacing w:after="0"/>
      </w:pPr>
      <w:r>
        <w:continuationSeparator/>
      </w:r>
    </w:p>
  </w:footnote>
  <w:footnote w:type="continuationNotice" w:id="1">
    <w:p w14:paraId="1E27A9C4" w14:textId="77777777" w:rsidR="00172A75" w:rsidRDefault="00172A7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019B3" w14:textId="77777777" w:rsidR="00172A75" w:rsidRPr="006B31CC" w:rsidRDefault="00590916" w:rsidP="006B31CC">
    <w:pPr>
      <w:pStyle w:val="Header"/>
    </w:pPr>
    <w:r>
      <w:fldChar w:fldCharType="begin"/>
    </w:r>
    <w:r>
      <w:instrText xml:space="preserve"> STYLEREF  "Heading 1"  \* MERGEFORMAT </w:instrText>
    </w:r>
    <w:r>
      <w:fldChar w:fldCharType="separate"/>
    </w:r>
    <w:r w:rsidR="00172A75">
      <w:rPr>
        <w:noProof/>
      </w:rPr>
      <w:t>Tax Conditions</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3F945" w14:textId="4FA62591" w:rsidR="00172A75" w:rsidRPr="00DD4A1F" w:rsidRDefault="00590916" w:rsidP="00830DA4">
    <w:pPr>
      <w:pStyle w:val="Header"/>
      <w:pBdr>
        <w:bottom w:val="single" w:sz="12" w:space="1" w:color="134A6D"/>
      </w:pBdr>
      <w:spacing w:after="360"/>
    </w:pPr>
    <w:r>
      <w:fldChar w:fldCharType="begin"/>
    </w:r>
    <w:r>
      <w:instrText xml:space="preserve"> STYLEREF  "Heading 1"  \* MERGEFORMAT </w:instrText>
    </w:r>
    <w:r>
      <w:fldChar w:fldCharType="separate"/>
    </w:r>
    <w:r>
      <w:rPr>
        <w:noProof/>
      </w:rPr>
      <w:t>Tax Conditions</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6EE0B" w14:textId="132A4D6A" w:rsidR="00172A75" w:rsidRPr="00DD4A1F" w:rsidRDefault="00172A75" w:rsidP="00E64CEF">
    <w:pPr>
      <w:pStyle w:val="Header"/>
      <w:pBdr>
        <w:bottom w:val="none" w:sz="0" w:space="0" w:color="auto"/>
      </w:pBdr>
      <w:tabs>
        <w:tab w:val="left" w:pos="1866"/>
        <w:tab w:val="right" w:pos="9356"/>
      </w:tabs>
      <w:spacing w:after="1200"/>
      <w:jc w:val="left"/>
    </w:pPr>
    <w:r>
      <w:tab/>
    </w:r>
    <w:r>
      <w:tab/>
    </w:r>
    <w:r>
      <w:tab/>
    </w:r>
    <w:r>
      <w:tab/>
    </w:r>
    <w:r w:rsidRPr="00DD4A1F">
      <w:rPr>
        <w:noProof/>
      </w:rPr>
      <mc:AlternateContent>
        <mc:Choice Requires="wps">
          <w:drawing>
            <wp:anchor distT="0" distB="0" distL="114300" distR="114300" simplePos="0" relativeHeight="251658240" behindDoc="0" locked="0" layoutInCell="1" allowOverlap="1" wp14:anchorId="2DF7CEB3" wp14:editId="36D9975C">
              <wp:simplePos x="0" y="0"/>
              <wp:positionH relativeFrom="column">
                <wp:posOffset>3809365</wp:posOffset>
              </wp:positionH>
              <wp:positionV relativeFrom="paragraph">
                <wp:posOffset>397510</wp:posOffset>
              </wp:positionV>
              <wp:extent cx="2152650" cy="381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2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E7D26D" w14:textId="7ADA3644" w:rsidR="00172A75" w:rsidRPr="00A112BE" w:rsidRDefault="00172A75" w:rsidP="00DD4A1F">
                          <w:pPr>
                            <w:spacing w:after="0"/>
                            <w:jc w:val="right"/>
                            <w:rPr>
                              <w:rFonts w:ascii="Arial Narrow" w:hAnsi="Arial Narrow" w:cs="Arial"/>
                              <w:b/>
                              <w:color w:val="FFFFFF" w:themeColor="background1"/>
                              <w:sz w:val="40"/>
                              <w:szCs w:val="40"/>
                            </w:rPr>
                          </w:pPr>
                          <w:proofErr w:type="gramStart"/>
                          <w:r>
                            <w:rPr>
                              <w:rFonts w:ascii="Arial Narrow" w:hAnsi="Arial Narrow" w:cs="Arial"/>
                              <w:b/>
                              <w:color w:val="FFFFFF" w:themeColor="background1"/>
                              <w:sz w:val="40"/>
                              <w:szCs w:val="40"/>
                            </w:rPr>
                            <w:t xml:space="preserve">GUIDANCE </w:t>
                          </w:r>
                          <w:r w:rsidR="00C531FA">
                            <w:rPr>
                              <w:rFonts w:ascii="Arial Narrow" w:hAnsi="Arial Narrow" w:cs="Arial"/>
                              <w:b/>
                              <w:color w:val="FFFFFF" w:themeColor="background1"/>
                              <w:sz w:val="40"/>
                              <w:szCs w:val="40"/>
                            </w:rPr>
                            <w:t xml:space="preserve"> NOTE</w:t>
                          </w:r>
                          <w:proofErr w:type="gramEnd"/>
                          <w:r w:rsidR="00C531FA">
                            <w:rPr>
                              <w:rFonts w:ascii="Arial Narrow" w:hAnsi="Arial Narrow" w:cs="Arial"/>
                              <w:b/>
                              <w:color w:val="FFFFFF" w:themeColor="background1"/>
                              <w:sz w:val="40"/>
                              <w:szCs w:val="40"/>
                            </w:rPr>
                            <w:t xml:space="preserve"> 47</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99.95pt;margin-top:31.3pt;width:169.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" filled="f" stroked="f" strokeweight=".5pt">
              <v:textbox inset="0,1mm,0,0">
                <w:txbxContent>
                  <w:p w14:paraId="2FE7D26D" w14:textId="7ADA3644" w:rsidR="00172A75" w:rsidRPr="00A112BE" w:rsidRDefault="00172A75" w:rsidP="00DD4A1F">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w:t>
                    </w:r>
                    <w:r w:rsidR="00C531FA">
                      <w:rPr>
                        <w:rFonts w:ascii="Arial Narrow" w:hAnsi="Arial Narrow" w:cs="Arial"/>
                        <w:b/>
                        <w:color w:val="FFFFFF" w:themeColor="background1"/>
                        <w:sz w:val="40"/>
                        <w:szCs w:val="40"/>
                      </w:rPr>
                      <w:t xml:space="preserve"> NOTE 47</w:t>
                    </w:r>
                  </w:p>
                </w:txbxContent>
              </v:textbox>
            </v:shape>
          </w:pict>
        </mc:Fallback>
      </mc:AlternateContent>
    </w:r>
    <w:r w:rsidRPr="00DD4A1F">
      <w:rPr>
        <w:noProof/>
      </w:rPr>
      <w:drawing>
        <wp:anchor distT="0" distB="0" distL="114300" distR="114300" simplePos="0" relativeHeight="251658241" behindDoc="1" locked="0" layoutInCell="1" allowOverlap="1" wp14:anchorId="16A14906" wp14:editId="447B3210">
          <wp:simplePos x="0" y="0"/>
          <wp:positionH relativeFrom="column">
            <wp:posOffset>-819785</wp:posOffset>
          </wp:positionH>
          <wp:positionV relativeFrom="paragraph">
            <wp:posOffset>-457200</wp:posOffset>
          </wp:positionV>
          <wp:extent cx="7577455" cy="1264285"/>
          <wp:effectExtent l="0" t="0" r="4445"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7455" cy="1264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30277" w14:textId="77777777" w:rsidR="00172A75" w:rsidRDefault="00172A7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96D08" w14:textId="77777777" w:rsidR="00172A75" w:rsidRDefault="00172A7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7B2D4" w14:textId="0290C083" w:rsidR="00172A75" w:rsidRPr="00DE4E78" w:rsidRDefault="00172A75" w:rsidP="00DE4E78">
    <w:pPr>
      <w:pStyle w:val="Header"/>
    </w:pPr>
    <w:r>
      <w:t>Tax Conditions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00820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318F2F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948E95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C42FA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25C4C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4F49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ECDA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8AEB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8AE24D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2981A58"/>
    <w:lvl w:ilvl="0">
      <w:start w:val="1"/>
      <w:numFmt w:val="bullet"/>
      <w:lvlText w:val=""/>
      <w:lvlJc w:val="left"/>
      <w:pPr>
        <w:tabs>
          <w:tab w:val="num" w:pos="360"/>
        </w:tabs>
        <w:ind w:left="360" w:hanging="360"/>
      </w:pPr>
      <w:rPr>
        <w:rFonts w:ascii="Symbol" w:hAnsi="Symbol" w:hint="default"/>
      </w:rPr>
    </w:lvl>
  </w:abstractNum>
  <w:abstractNum w:abstractNumId="10">
    <w:nsid w:val="02C97685"/>
    <w:multiLevelType w:val="hybridMultilevel"/>
    <w:tmpl w:val="5186DB0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nsid w:val="04CD6A67"/>
    <w:multiLevelType w:val="hybridMultilevel"/>
    <w:tmpl w:val="5186DB0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nsid w:val="076B4168"/>
    <w:multiLevelType w:val="hybridMultilevel"/>
    <w:tmpl w:val="02D88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8265B0B"/>
    <w:multiLevelType w:val="hybridMultilevel"/>
    <w:tmpl w:val="E1CE52C6"/>
    <w:lvl w:ilvl="0" w:tplc="71ECCA78">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4">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0DA70356"/>
    <w:multiLevelType w:val="hybridMultilevel"/>
    <w:tmpl w:val="3A541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0F84002"/>
    <w:multiLevelType w:val="hybridMultilevel"/>
    <w:tmpl w:val="C1F6B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3E74053"/>
    <w:multiLevelType w:val="hybridMultilevel"/>
    <w:tmpl w:val="62EA08EC"/>
    <w:lvl w:ilvl="0" w:tplc="6DF2432C">
      <w:start w:val="1"/>
      <w:numFmt w:val="bullet"/>
      <w:lvlText w:val=""/>
      <w:lvlJc w:val="left"/>
      <w:pPr>
        <w:ind w:left="1240" w:hanging="360"/>
      </w:pPr>
      <w:rPr>
        <w:rFonts w:ascii="Symbol" w:hAnsi="Symbol" w:hint="default"/>
        <w:color w:val="24155A"/>
      </w:rPr>
    </w:lvl>
    <w:lvl w:ilvl="1" w:tplc="0C090003" w:tentative="1">
      <w:start w:val="1"/>
      <w:numFmt w:val="bullet"/>
      <w:lvlText w:val="o"/>
      <w:lvlJc w:val="left"/>
      <w:pPr>
        <w:ind w:left="1960" w:hanging="360"/>
      </w:pPr>
      <w:rPr>
        <w:rFonts w:ascii="Courier New" w:hAnsi="Courier New" w:hint="default"/>
      </w:rPr>
    </w:lvl>
    <w:lvl w:ilvl="2" w:tplc="0C090005" w:tentative="1">
      <w:start w:val="1"/>
      <w:numFmt w:val="bullet"/>
      <w:lvlText w:val=""/>
      <w:lvlJc w:val="left"/>
      <w:pPr>
        <w:ind w:left="2680" w:hanging="360"/>
      </w:pPr>
      <w:rPr>
        <w:rFonts w:ascii="Wingdings" w:hAnsi="Wingdings" w:hint="default"/>
      </w:rPr>
    </w:lvl>
    <w:lvl w:ilvl="3" w:tplc="0C090001" w:tentative="1">
      <w:start w:val="1"/>
      <w:numFmt w:val="bullet"/>
      <w:lvlText w:val=""/>
      <w:lvlJc w:val="left"/>
      <w:pPr>
        <w:ind w:left="3400" w:hanging="360"/>
      </w:pPr>
      <w:rPr>
        <w:rFonts w:ascii="Symbol" w:hAnsi="Symbol" w:hint="default"/>
      </w:rPr>
    </w:lvl>
    <w:lvl w:ilvl="4" w:tplc="0C090003" w:tentative="1">
      <w:start w:val="1"/>
      <w:numFmt w:val="bullet"/>
      <w:lvlText w:val="o"/>
      <w:lvlJc w:val="left"/>
      <w:pPr>
        <w:ind w:left="4120" w:hanging="360"/>
      </w:pPr>
      <w:rPr>
        <w:rFonts w:ascii="Courier New" w:hAnsi="Courier New" w:hint="default"/>
      </w:rPr>
    </w:lvl>
    <w:lvl w:ilvl="5" w:tplc="0C090005" w:tentative="1">
      <w:start w:val="1"/>
      <w:numFmt w:val="bullet"/>
      <w:lvlText w:val=""/>
      <w:lvlJc w:val="left"/>
      <w:pPr>
        <w:ind w:left="4840" w:hanging="360"/>
      </w:pPr>
      <w:rPr>
        <w:rFonts w:ascii="Wingdings" w:hAnsi="Wingdings" w:hint="default"/>
      </w:rPr>
    </w:lvl>
    <w:lvl w:ilvl="6" w:tplc="0C090001" w:tentative="1">
      <w:start w:val="1"/>
      <w:numFmt w:val="bullet"/>
      <w:lvlText w:val=""/>
      <w:lvlJc w:val="left"/>
      <w:pPr>
        <w:ind w:left="5560" w:hanging="360"/>
      </w:pPr>
      <w:rPr>
        <w:rFonts w:ascii="Symbol" w:hAnsi="Symbol" w:hint="default"/>
      </w:rPr>
    </w:lvl>
    <w:lvl w:ilvl="7" w:tplc="0C090003" w:tentative="1">
      <w:start w:val="1"/>
      <w:numFmt w:val="bullet"/>
      <w:lvlText w:val="o"/>
      <w:lvlJc w:val="left"/>
      <w:pPr>
        <w:ind w:left="6280" w:hanging="360"/>
      </w:pPr>
      <w:rPr>
        <w:rFonts w:ascii="Courier New" w:hAnsi="Courier New" w:hint="default"/>
      </w:rPr>
    </w:lvl>
    <w:lvl w:ilvl="8" w:tplc="0C090005" w:tentative="1">
      <w:start w:val="1"/>
      <w:numFmt w:val="bullet"/>
      <w:lvlText w:val=""/>
      <w:lvlJc w:val="left"/>
      <w:pPr>
        <w:ind w:left="7000" w:hanging="360"/>
      </w:pPr>
      <w:rPr>
        <w:rFonts w:ascii="Wingdings" w:hAnsi="Wingdings" w:hint="default"/>
      </w:rPr>
    </w:lvl>
  </w:abstractNum>
  <w:abstractNum w:abstractNumId="18">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9">
    <w:nsid w:val="1D4753A5"/>
    <w:multiLevelType w:val="hybridMultilevel"/>
    <w:tmpl w:val="5186DB0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nsid w:val="20587D64"/>
    <w:multiLevelType w:val="hybridMultilevel"/>
    <w:tmpl w:val="656EAF2C"/>
    <w:lvl w:ilvl="0" w:tplc="0C09000F">
      <w:start w:val="1"/>
      <w:numFmt w:val="decimal"/>
      <w:lvlText w:val="%1."/>
      <w:lvlJc w:val="left"/>
      <w:pPr>
        <w:ind w:left="778" w:hanging="360"/>
      </w:pPr>
    </w:lvl>
    <w:lvl w:ilvl="1" w:tplc="0C090019" w:tentative="1">
      <w:start w:val="1"/>
      <w:numFmt w:val="lowerLetter"/>
      <w:lvlText w:val="%2."/>
      <w:lvlJc w:val="left"/>
      <w:pPr>
        <w:ind w:left="1498" w:hanging="360"/>
      </w:pPr>
    </w:lvl>
    <w:lvl w:ilvl="2" w:tplc="0C09001B" w:tentative="1">
      <w:start w:val="1"/>
      <w:numFmt w:val="lowerRoman"/>
      <w:lvlText w:val="%3."/>
      <w:lvlJc w:val="right"/>
      <w:pPr>
        <w:ind w:left="2218" w:hanging="180"/>
      </w:pPr>
    </w:lvl>
    <w:lvl w:ilvl="3" w:tplc="0C09000F" w:tentative="1">
      <w:start w:val="1"/>
      <w:numFmt w:val="decimal"/>
      <w:lvlText w:val="%4."/>
      <w:lvlJc w:val="left"/>
      <w:pPr>
        <w:ind w:left="2938" w:hanging="360"/>
      </w:pPr>
    </w:lvl>
    <w:lvl w:ilvl="4" w:tplc="0C090019" w:tentative="1">
      <w:start w:val="1"/>
      <w:numFmt w:val="lowerLetter"/>
      <w:lvlText w:val="%5."/>
      <w:lvlJc w:val="left"/>
      <w:pPr>
        <w:ind w:left="3658" w:hanging="360"/>
      </w:pPr>
    </w:lvl>
    <w:lvl w:ilvl="5" w:tplc="0C09001B" w:tentative="1">
      <w:start w:val="1"/>
      <w:numFmt w:val="lowerRoman"/>
      <w:lvlText w:val="%6."/>
      <w:lvlJc w:val="right"/>
      <w:pPr>
        <w:ind w:left="4378" w:hanging="180"/>
      </w:pPr>
    </w:lvl>
    <w:lvl w:ilvl="6" w:tplc="0C09000F" w:tentative="1">
      <w:start w:val="1"/>
      <w:numFmt w:val="decimal"/>
      <w:lvlText w:val="%7."/>
      <w:lvlJc w:val="left"/>
      <w:pPr>
        <w:ind w:left="5098" w:hanging="360"/>
      </w:pPr>
    </w:lvl>
    <w:lvl w:ilvl="7" w:tplc="0C090019" w:tentative="1">
      <w:start w:val="1"/>
      <w:numFmt w:val="lowerLetter"/>
      <w:lvlText w:val="%8."/>
      <w:lvlJc w:val="left"/>
      <w:pPr>
        <w:ind w:left="5818" w:hanging="360"/>
      </w:pPr>
    </w:lvl>
    <w:lvl w:ilvl="8" w:tplc="0C09001B" w:tentative="1">
      <w:start w:val="1"/>
      <w:numFmt w:val="lowerRoman"/>
      <w:lvlText w:val="%9."/>
      <w:lvlJc w:val="right"/>
      <w:pPr>
        <w:ind w:left="6538" w:hanging="180"/>
      </w:pPr>
    </w:lvl>
  </w:abstractNum>
  <w:abstractNum w:abstractNumId="21">
    <w:nsid w:val="27B574B8"/>
    <w:multiLevelType w:val="hybridMultilevel"/>
    <w:tmpl w:val="E1CE52C6"/>
    <w:lvl w:ilvl="0" w:tplc="71ECCA78">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2">
    <w:nsid w:val="2D6530A6"/>
    <w:multiLevelType w:val="multilevel"/>
    <w:tmpl w:val="329AB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34BA1239"/>
    <w:multiLevelType w:val="multilevel"/>
    <w:tmpl w:val="A1EA251E"/>
    <w:lvl w:ilvl="0">
      <w:start w:val="1"/>
      <w:numFmt w:val="bullet"/>
      <w:pStyle w:val="Bullet"/>
      <w:lvlText w:val=""/>
      <w:lvlJc w:val="left"/>
      <w:pPr>
        <w:ind w:left="360" w:hanging="360"/>
      </w:pPr>
      <w:rPr>
        <w:rFonts w:ascii="Symbol" w:hAnsi="Symbol" w:hint="default"/>
        <w:color w:val="000000" w:themeColor="text1"/>
        <w:sz w:val="1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35677762"/>
    <w:multiLevelType w:val="hybridMultilevel"/>
    <w:tmpl w:val="682CC6C0"/>
    <w:lvl w:ilvl="0" w:tplc="71ECCA78">
      <w:start w:val="1"/>
      <w:numFmt w:val="lowerLetter"/>
      <w:lvlText w:val="(%1)"/>
      <w:lvlJc w:val="left"/>
      <w:pPr>
        <w:ind w:left="1866" w:hanging="360"/>
      </w:pPr>
    </w:lvl>
    <w:lvl w:ilvl="1" w:tplc="0C090019" w:tentative="1">
      <w:start w:val="1"/>
      <w:numFmt w:val="lowerLetter"/>
      <w:lvlText w:val="%2."/>
      <w:lvlJc w:val="left"/>
      <w:pPr>
        <w:ind w:left="2586" w:hanging="360"/>
      </w:pPr>
    </w:lvl>
    <w:lvl w:ilvl="2" w:tplc="0C09001B" w:tentative="1">
      <w:start w:val="1"/>
      <w:numFmt w:val="lowerRoman"/>
      <w:lvlText w:val="%3."/>
      <w:lvlJc w:val="right"/>
      <w:pPr>
        <w:ind w:left="3306" w:hanging="180"/>
      </w:pPr>
    </w:lvl>
    <w:lvl w:ilvl="3" w:tplc="0C09000F" w:tentative="1">
      <w:start w:val="1"/>
      <w:numFmt w:val="decimal"/>
      <w:lvlText w:val="%4."/>
      <w:lvlJc w:val="left"/>
      <w:pPr>
        <w:ind w:left="4026" w:hanging="360"/>
      </w:pPr>
    </w:lvl>
    <w:lvl w:ilvl="4" w:tplc="0C090019" w:tentative="1">
      <w:start w:val="1"/>
      <w:numFmt w:val="lowerLetter"/>
      <w:lvlText w:val="%5."/>
      <w:lvlJc w:val="left"/>
      <w:pPr>
        <w:ind w:left="4746" w:hanging="360"/>
      </w:pPr>
    </w:lvl>
    <w:lvl w:ilvl="5" w:tplc="0C09001B" w:tentative="1">
      <w:start w:val="1"/>
      <w:numFmt w:val="lowerRoman"/>
      <w:lvlText w:val="%6."/>
      <w:lvlJc w:val="right"/>
      <w:pPr>
        <w:ind w:left="5466" w:hanging="180"/>
      </w:pPr>
    </w:lvl>
    <w:lvl w:ilvl="6" w:tplc="0C09000F" w:tentative="1">
      <w:start w:val="1"/>
      <w:numFmt w:val="decimal"/>
      <w:lvlText w:val="%7."/>
      <w:lvlJc w:val="left"/>
      <w:pPr>
        <w:ind w:left="6186" w:hanging="360"/>
      </w:pPr>
    </w:lvl>
    <w:lvl w:ilvl="7" w:tplc="0C090019" w:tentative="1">
      <w:start w:val="1"/>
      <w:numFmt w:val="lowerLetter"/>
      <w:lvlText w:val="%8."/>
      <w:lvlJc w:val="left"/>
      <w:pPr>
        <w:ind w:left="6906" w:hanging="360"/>
      </w:pPr>
    </w:lvl>
    <w:lvl w:ilvl="8" w:tplc="0C09001B" w:tentative="1">
      <w:start w:val="1"/>
      <w:numFmt w:val="lowerRoman"/>
      <w:lvlText w:val="%9."/>
      <w:lvlJc w:val="right"/>
      <w:pPr>
        <w:ind w:left="7626" w:hanging="180"/>
      </w:pPr>
    </w:lvl>
  </w:abstractNum>
  <w:abstractNum w:abstractNumId="25">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41953544"/>
    <w:multiLevelType w:val="hybridMultilevel"/>
    <w:tmpl w:val="74F8F07C"/>
    <w:lvl w:ilvl="0" w:tplc="0C090001">
      <w:start w:val="1"/>
      <w:numFmt w:val="bullet"/>
      <w:lvlText w:val=""/>
      <w:lvlJc w:val="left"/>
      <w:pPr>
        <w:ind w:left="1485" w:hanging="360"/>
      </w:pPr>
      <w:rPr>
        <w:rFonts w:ascii="Symbol" w:hAnsi="Symbol" w:hint="default"/>
      </w:rPr>
    </w:lvl>
    <w:lvl w:ilvl="1" w:tplc="0C090003">
      <w:start w:val="1"/>
      <w:numFmt w:val="bullet"/>
      <w:lvlText w:val="o"/>
      <w:lvlJc w:val="left"/>
      <w:pPr>
        <w:ind w:left="2205" w:hanging="360"/>
      </w:pPr>
      <w:rPr>
        <w:rFonts w:ascii="Courier New" w:hAnsi="Courier New" w:cs="Times New Roman" w:hint="default"/>
      </w:rPr>
    </w:lvl>
    <w:lvl w:ilvl="2" w:tplc="0C090005">
      <w:start w:val="1"/>
      <w:numFmt w:val="bullet"/>
      <w:lvlText w:val=""/>
      <w:lvlJc w:val="left"/>
      <w:pPr>
        <w:ind w:left="2925" w:hanging="360"/>
      </w:pPr>
      <w:rPr>
        <w:rFonts w:ascii="Wingdings" w:hAnsi="Wingdings" w:hint="default"/>
      </w:rPr>
    </w:lvl>
    <w:lvl w:ilvl="3" w:tplc="0C090001">
      <w:start w:val="1"/>
      <w:numFmt w:val="bullet"/>
      <w:lvlText w:val=""/>
      <w:lvlJc w:val="left"/>
      <w:pPr>
        <w:ind w:left="3645" w:hanging="360"/>
      </w:pPr>
      <w:rPr>
        <w:rFonts w:ascii="Symbol" w:hAnsi="Symbol" w:hint="default"/>
      </w:rPr>
    </w:lvl>
    <w:lvl w:ilvl="4" w:tplc="0C090003">
      <w:start w:val="1"/>
      <w:numFmt w:val="bullet"/>
      <w:lvlText w:val="o"/>
      <w:lvlJc w:val="left"/>
      <w:pPr>
        <w:ind w:left="4365" w:hanging="360"/>
      </w:pPr>
      <w:rPr>
        <w:rFonts w:ascii="Courier New" w:hAnsi="Courier New" w:cs="Times New Roman" w:hint="default"/>
      </w:rPr>
    </w:lvl>
    <w:lvl w:ilvl="5" w:tplc="0C090005">
      <w:start w:val="1"/>
      <w:numFmt w:val="bullet"/>
      <w:lvlText w:val=""/>
      <w:lvlJc w:val="left"/>
      <w:pPr>
        <w:ind w:left="5085" w:hanging="360"/>
      </w:pPr>
      <w:rPr>
        <w:rFonts w:ascii="Wingdings" w:hAnsi="Wingdings" w:hint="default"/>
      </w:rPr>
    </w:lvl>
    <w:lvl w:ilvl="6" w:tplc="0C090001">
      <w:start w:val="1"/>
      <w:numFmt w:val="bullet"/>
      <w:lvlText w:val=""/>
      <w:lvlJc w:val="left"/>
      <w:pPr>
        <w:ind w:left="5805" w:hanging="360"/>
      </w:pPr>
      <w:rPr>
        <w:rFonts w:ascii="Symbol" w:hAnsi="Symbol" w:hint="default"/>
      </w:rPr>
    </w:lvl>
    <w:lvl w:ilvl="7" w:tplc="0C090003">
      <w:start w:val="1"/>
      <w:numFmt w:val="bullet"/>
      <w:lvlText w:val="o"/>
      <w:lvlJc w:val="left"/>
      <w:pPr>
        <w:ind w:left="6525" w:hanging="360"/>
      </w:pPr>
      <w:rPr>
        <w:rFonts w:ascii="Courier New" w:hAnsi="Courier New" w:cs="Times New Roman" w:hint="default"/>
      </w:rPr>
    </w:lvl>
    <w:lvl w:ilvl="8" w:tplc="0C090005">
      <w:start w:val="1"/>
      <w:numFmt w:val="bullet"/>
      <w:lvlText w:val=""/>
      <w:lvlJc w:val="left"/>
      <w:pPr>
        <w:ind w:left="7245" w:hanging="360"/>
      </w:pPr>
      <w:rPr>
        <w:rFonts w:ascii="Wingdings" w:hAnsi="Wingdings" w:hint="default"/>
      </w:rPr>
    </w:lvl>
  </w:abstractNum>
  <w:abstractNum w:abstractNumId="27">
    <w:nsid w:val="483E267F"/>
    <w:multiLevelType w:val="multilevel"/>
    <w:tmpl w:val="374CDC06"/>
    <w:lvl w:ilvl="0">
      <w:start w:val="1"/>
      <w:numFmt w:val="bullet"/>
      <w:lvlText w:val=""/>
      <w:lvlJc w:val="left"/>
      <w:pPr>
        <w:tabs>
          <w:tab w:val="num" w:pos="520"/>
        </w:tabs>
        <w:ind w:left="520" w:hanging="520"/>
      </w:pPr>
      <w:rPr>
        <w:rFonts w:ascii="Symbol" w:hAnsi="Symbol" w:hint="default"/>
        <w:color w:val="24155A"/>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color w:val="24155A"/>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54422044"/>
    <w:multiLevelType w:val="hybridMultilevel"/>
    <w:tmpl w:val="185610F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nsid w:val="5A205437"/>
    <w:multiLevelType w:val="hybridMultilevel"/>
    <w:tmpl w:val="2FB0F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DB94347"/>
    <w:multiLevelType w:val="hybridMultilevel"/>
    <w:tmpl w:val="5A8AC21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nsid w:val="5F4E0F81"/>
    <w:multiLevelType w:val="hybridMultilevel"/>
    <w:tmpl w:val="F064E3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F9D63AF"/>
    <w:multiLevelType w:val="multilevel"/>
    <w:tmpl w:val="2B7214F8"/>
    <w:lvl w:ilvl="0">
      <w:start w:val="1"/>
      <w:numFmt w:val="bullet"/>
      <w:lvlText w:val="•"/>
      <w:lvlJc w:val="left"/>
      <w:pPr>
        <w:tabs>
          <w:tab w:val="num" w:pos="567"/>
        </w:tabs>
        <w:ind w:left="567" w:hanging="567"/>
      </w:pPr>
      <w:rPr>
        <w:rFonts w:ascii="Times New Roman" w:hAnsi="Times New Roman" w:hint="default"/>
      </w:rPr>
    </w:lvl>
    <w:lvl w:ilvl="1">
      <w:start w:val="1"/>
      <w:numFmt w:val="bullet"/>
      <w:lvlText w:val="–"/>
      <w:lvlJc w:val="left"/>
      <w:pPr>
        <w:tabs>
          <w:tab w:val="num" w:pos="1134"/>
        </w:tabs>
        <w:ind w:left="1134" w:hanging="567"/>
      </w:pPr>
      <w:rPr>
        <w:rFonts w:ascii="Times New Roman" w:hAnsi="Times New Roman" w:hint="default"/>
      </w:rPr>
    </w:lvl>
    <w:lvl w:ilvl="2">
      <w:start w:val="1"/>
      <w:numFmt w:val="bullet"/>
      <w:lvlText w:val=":"/>
      <w:lvlJc w:val="left"/>
      <w:pPr>
        <w:tabs>
          <w:tab w:val="num" w:pos="1701"/>
        </w:tabs>
        <w:ind w:left="1701" w:hanging="567"/>
      </w:pPr>
      <w:rPr>
        <w:rFonts w:ascii="Times New Roman" w:hAnsi="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33">
    <w:nsid w:val="5FBE3AC8"/>
    <w:multiLevelType w:val="hybridMultilevel"/>
    <w:tmpl w:val="7D92E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4641264"/>
    <w:multiLevelType w:val="hybridMultilevel"/>
    <w:tmpl w:val="72E07F5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nsid w:val="65692BF0"/>
    <w:multiLevelType w:val="hybridMultilevel"/>
    <w:tmpl w:val="178242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nsid w:val="7287005A"/>
    <w:multiLevelType w:val="multilevel"/>
    <w:tmpl w:val="D36A08FE"/>
    <w:lvl w:ilvl="0">
      <w:start w:val="1"/>
      <w:numFmt w:val="decimal"/>
      <w:pStyle w:val="OutlineNumbered1"/>
      <w:lvlText w:val="%1."/>
      <w:lvlJc w:val="left"/>
      <w:pPr>
        <w:tabs>
          <w:tab w:val="num" w:pos="567"/>
        </w:tabs>
        <w:ind w:left="567" w:hanging="567"/>
      </w:pPr>
      <w:rPr>
        <w:rFonts w:cs="Times New Roman"/>
      </w:r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74204001"/>
    <w:multiLevelType w:val="hybridMultilevel"/>
    <w:tmpl w:val="329AC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9AA3646"/>
    <w:multiLevelType w:val="hybridMultilevel"/>
    <w:tmpl w:val="9A80B452"/>
    <w:lvl w:ilvl="0" w:tplc="4B90689A">
      <w:start w:val="1"/>
      <w:numFmt w:val="bullet"/>
      <w:pStyle w:val="Dash"/>
      <w:lvlText w:val=""/>
      <w:lvlJc w:val="left"/>
      <w:pPr>
        <w:ind w:left="1240" w:hanging="360"/>
      </w:pPr>
      <w:rPr>
        <w:rFonts w:ascii="Symbol" w:hAnsi="Symbol" w:hint="default"/>
      </w:rPr>
    </w:lvl>
    <w:lvl w:ilvl="1" w:tplc="0C090003" w:tentative="1">
      <w:start w:val="1"/>
      <w:numFmt w:val="bullet"/>
      <w:lvlText w:val="o"/>
      <w:lvlJc w:val="left"/>
      <w:pPr>
        <w:ind w:left="1960" w:hanging="360"/>
      </w:pPr>
      <w:rPr>
        <w:rFonts w:ascii="Courier New" w:hAnsi="Courier New" w:hint="default"/>
      </w:rPr>
    </w:lvl>
    <w:lvl w:ilvl="2" w:tplc="0C090005" w:tentative="1">
      <w:start w:val="1"/>
      <w:numFmt w:val="bullet"/>
      <w:lvlText w:val=""/>
      <w:lvlJc w:val="left"/>
      <w:pPr>
        <w:ind w:left="2680" w:hanging="360"/>
      </w:pPr>
      <w:rPr>
        <w:rFonts w:ascii="Wingdings" w:hAnsi="Wingdings" w:hint="default"/>
      </w:rPr>
    </w:lvl>
    <w:lvl w:ilvl="3" w:tplc="0C090001" w:tentative="1">
      <w:start w:val="1"/>
      <w:numFmt w:val="bullet"/>
      <w:lvlText w:val=""/>
      <w:lvlJc w:val="left"/>
      <w:pPr>
        <w:ind w:left="3400" w:hanging="360"/>
      </w:pPr>
      <w:rPr>
        <w:rFonts w:ascii="Symbol" w:hAnsi="Symbol" w:hint="default"/>
      </w:rPr>
    </w:lvl>
    <w:lvl w:ilvl="4" w:tplc="0C090003" w:tentative="1">
      <w:start w:val="1"/>
      <w:numFmt w:val="bullet"/>
      <w:lvlText w:val="o"/>
      <w:lvlJc w:val="left"/>
      <w:pPr>
        <w:ind w:left="4120" w:hanging="360"/>
      </w:pPr>
      <w:rPr>
        <w:rFonts w:ascii="Courier New" w:hAnsi="Courier New" w:hint="default"/>
      </w:rPr>
    </w:lvl>
    <w:lvl w:ilvl="5" w:tplc="0C090005" w:tentative="1">
      <w:start w:val="1"/>
      <w:numFmt w:val="bullet"/>
      <w:lvlText w:val=""/>
      <w:lvlJc w:val="left"/>
      <w:pPr>
        <w:ind w:left="4840" w:hanging="360"/>
      </w:pPr>
      <w:rPr>
        <w:rFonts w:ascii="Wingdings" w:hAnsi="Wingdings" w:hint="default"/>
      </w:rPr>
    </w:lvl>
    <w:lvl w:ilvl="6" w:tplc="0C090001" w:tentative="1">
      <w:start w:val="1"/>
      <w:numFmt w:val="bullet"/>
      <w:lvlText w:val=""/>
      <w:lvlJc w:val="left"/>
      <w:pPr>
        <w:ind w:left="5560" w:hanging="360"/>
      </w:pPr>
      <w:rPr>
        <w:rFonts w:ascii="Symbol" w:hAnsi="Symbol" w:hint="default"/>
      </w:rPr>
    </w:lvl>
    <w:lvl w:ilvl="7" w:tplc="0C090003" w:tentative="1">
      <w:start w:val="1"/>
      <w:numFmt w:val="bullet"/>
      <w:lvlText w:val="o"/>
      <w:lvlJc w:val="left"/>
      <w:pPr>
        <w:ind w:left="6280" w:hanging="360"/>
      </w:pPr>
      <w:rPr>
        <w:rFonts w:ascii="Courier New" w:hAnsi="Courier New" w:hint="default"/>
      </w:rPr>
    </w:lvl>
    <w:lvl w:ilvl="8" w:tplc="0C090005" w:tentative="1">
      <w:start w:val="1"/>
      <w:numFmt w:val="bullet"/>
      <w:lvlText w:val=""/>
      <w:lvlJc w:val="left"/>
      <w:pPr>
        <w:ind w:left="7000" w:hanging="360"/>
      </w:pPr>
      <w:rPr>
        <w:rFonts w:ascii="Wingdings" w:hAnsi="Wingdings" w:hint="default"/>
      </w:rPr>
    </w:lvl>
  </w:abstractNum>
  <w:abstractNum w:abstractNumId="39">
    <w:nsid w:val="7B623607"/>
    <w:multiLevelType w:val="hybridMultilevel"/>
    <w:tmpl w:val="D54E87A4"/>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0">
    <w:nsid w:val="7B734B67"/>
    <w:multiLevelType w:val="hybridMultilevel"/>
    <w:tmpl w:val="9110909E"/>
    <w:lvl w:ilvl="0" w:tplc="723ABBEE">
      <w:start w:val="1"/>
      <w:numFmt w:val="bullet"/>
      <w:pStyle w:val="Tabletextbullet"/>
      <w:lvlText w:val=""/>
      <w:lvlJc w:val="left"/>
      <w:pPr>
        <w:ind w:left="720" w:hanging="360"/>
      </w:pPr>
      <w:rPr>
        <w:rFonts w:ascii="Symbol" w:hAnsi="Symbol" w:hint="default"/>
        <w:color w:val="000000" w:themeColor="text1"/>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36"/>
  </w:num>
  <w:num w:numId="6">
    <w:abstractNumId w:val="18"/>
  </w:num>
  <w:num w:numId="7">
    <w:abstractNumId w:val="17"/>
  </w:num>
  <w:num w:numId="8">
    <w:abstractNumId w:val="27"/>
  </w:num>
  <w:num w:numId="9">
    <w:abstractNumId w:val="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38"/>
  </w:num>
  <w:num w:numId="20">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34"/>
  </w:num>
  <w:num w:numId="24">
    <w:abstractNumId w:val="31"/>
  </w:num>
  <w:num w:numId="25">
    <w:abstractNumId w:val="37"/>
  </w:num>
  <w:num w:numId="26">
    <w:abstractNumId w:val="30"/>
  </w:num>
  <w:num w:numId="27">
    <w:abstractNumId w:val="16"/>
  </w:num>
  <w:num w:numId="28">
    <w:abstractNumId w:val="15"/>
  </w:num>
  <w:num w:numId="29">
    <w:abstractNumId w:val="33"/>
  </w:num>
  <w:num w:numId="30">
    <w:abstractNumId w:val="29"/>
  </w:num>
  <w:num w:numId="31">
    <w:abstractNumId w:val="12"/>
  </w:num>
  <w:num w:numId="32">
    <w:abstractNumId w:val="28"/>
  </w:num>
  <w:num w:numId="33">
    <w:abstractNumId w:val="22"/>
  </w:num>
  <w:num w:numId="34">
    <w:abstractNumId w:val="40"/>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35"/>
  </w:num>
  <w:num w:numId="38">
    <w:abstractNumId w:val="20"/>
  </w:num>
  <w:num w:numId="39">
    <w:abstractNumId w:val="26"/>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13"/>
  </w:num>
  <w:num w:numId="44">
    <w:abstractNumId w:val="21"/>
  </w:num>
  <w:num w:numId="45">
    <w:abstractNumId w:val="19"/>
  </w:num>
  <w:num w:numId="4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isplayBackgroundShape/>
  <w:proofState w:spelling="clean" w:grammar="clean"/>
  <w:stylePaneSortMethod w:val="000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C6"/>
    <w:rsid w:val="000100DD"/>
    <w:rsid w:val="00010E4E"/>
    <w:rsid w:val="00020993"/>
    <w:rsid w:val="000213AE"/>
    <w:rsid w:val="00022E9F"/>
    <w:rsid w:val="000411D5"/>
    <w:rsid w:val="000430DA"/>
    <w:rsid w:val="000441D9"/>
    <w:rsid w:val="00044744"/>
    <w:rsid w:val="000542AC"/>
    <w:rsid w:val="000557FF"/>
    <w:rsid w:val="00055BD7"/>
    <w:rsid w:val="00057941"/>
    <w:rsid w:val="000615DF"/>
    <w:rsid w:val="00063BA7"/>
    <w:rsid w:val="00064EB7"/>
    <w:rsid w:val="000726F6"/>
    <w:rsid w:val="0007414F"/>
    <w:rsid w:val="00076250"/>
    <w:rsid w:val="00081786"/>
    <w:rsid w:val="000832A4"/>
    <w:rsid w:val="00084797"/>
    <w:rsid w:val="00094B29"/>
    <w:rsid w:val="000A00E6"/>
    <w:rsid w:val="000A2693"/>
    <w:rsid w:val="000A3DD2"/>
    <w:rsid w:val="000B2B57"/>
    <w:rsid w:val="000B453F"/>
    <w:rsid w:val="000B56DF"/>
    <w:rsid w:val="000B5D91"/>
    <w:rsid w:val="000C0AAF"/>
    <w:rsid w:val="000C119D"/>
    <w:rsid w:val="000D118D"/>
    <w:rsid w:val="000D3104"/>
    <w:rsid w:val="000D4528"/>
    <w:rsid w:val="000D7DDE"/>
    <w:rsid w:val="000E60C2"/>
    <w:rsid w:val="000E6B64"/>
    <w:rsid w:val="000E7FC0"/>
    <w:rsid w:val="000F62D3"/>
    <w:rsid w:val="00102EEA"/>
    <w:rsid w:val="00103C0F"/>
    <w:rsid w:val="00105D5F"/>
    <w:rsid w:val="00107C84"/>
    <w:rsid w:val="0011332B"/>
    <w:rsid w:val="00121CFC"/>
    <w:rsid w:val="001222C2"/>
    <w:rsid w:val="001228BB"/>
    <w:rsid w:val="0012481A"/>
    <w:rsid w:val="00126090"/>
    <w:rsid w:val="00130D2E"/>
    <w:rsid w:val="00153DF0"/>
    <w:rsid w:val="00157D25"/>
    <w:rsid w:val="00161959"/>
    <w:rsid w:val="001621F1"/>
    <w:rsid w:val="001679BF"/>
    <w:rsid w:val="00171836"/>
    <w:rsid w:val="00172824"/>
    <w:rsid w:val="00172A75"/>
    <w:rsid w:val="0017741E"/>
    <w:rsid w:val="0018168E"/>
    <w:rsid w:val="0018567A"/>
    <w:rsid w:val="001862BD"/>
    <w:rsid w:val="00186B3B"/>
    <w:rsid w:val="00190FC1"/>
    <w:rsid w:val="00195648"/>
    <w:rsid w:val="001966BB"/>
    <w:rsid w:val="00197AB4"/>
    <w:rsid w:val="001A08B9"/>
    <w:rsid w:val="001A2546"/>
    <w:rsid w:val="001A79CA"/>
    <w:rsid w:val="001B35AC"/>
    <w:rsid w:val="001C237B"/>
    <w:rsid w:val="001C52D3"/>
    <w:rsid w:val="001C634D"/>
    <w:rsid w:val="001C758A"/>
    <w:rsid w:val="001D5B6E"/>
    <w:rsid w:val="001D7B51"/>
    <w:rsid w:val="001E6C8B"/>
    <w:rsid w:val="001E7909"/>
    <w:rsid w:val="001F0DBA"/>
    <w:rsid w:val="001F3881"/>
    <w:rsid w:val="001F5C3F"/>
    <w:rsid w:val="002125B4"/>
    <w:rsid w:val="00215E22"/>
    <w:rsid w:val="00216D16"/>
    <w:rsid w:val="0022137F"/>
    <w:rsid w:val="00225B3E"/>
    <w:rsid w:val="002271F8"/>
    <w:rsid w:val="00230B29"/>
    <w:rsid w:val="00236933"/>
    <w:rsid w:val="0024000C"/>
    <w:rsid w:val="0024420F"/>
    <w:rsid w:val="0024718E"/>
    <w:rsid w:val="002479A6"/>
    <w:rsid w:val="00251C4B"/>
    <w:rsid w:val="00252724"/>
    <w:rsid w:val="00255719"/>
    <w:rsid w:val="002569D8"/>
    <w:rsid w:val="00266BD2"/>
    <w:rsid w:val="00267762"/>
    <w:rsid w:val="00270853"/>
    <w:rsid w:val="00270A7D"/>
    <w:rsid w:val="002721E4"/>
    <w:rsid w:val="00274306"/>
    <w:rsid w:val="002825DE"/>
    <w:rsid w:val="00284950"/>
    <w:rsid w:val="00286042"/>
    <w:rsid w:val="00294380"/>
    <w:rsid w:val="00294D7C"/>
    <w:rsid w:val="002A364D"/>
    <w:rsid w:val="002A6BB5"/>
    <w:rsid w:val="002B0692"/>
    <w:rsid w:val="002B0876"/>
    <w:rsid w:val="002B171D"/>
    <w:rsid w:val="002B4F74"/>
    <w:rsid w:val="002C1EDE"/>
    <w:rsid w:val="002C1F00"/>
    <w:rsid w:val="002C31B3"/>
    <w:rsid w:val="002C4E17"/>
    <w:rsid w:val="002D7E9C"/>
    <w:rsid w:val="002F44E8"/>
    <w:rsid w:val="00303570"/>
    <w:rsid w:val="003056FB"/>
    <w:rsid w:val="00312128"/>
    <w:rsid w:val="00312874"/>
    <w:rsid w:val="00312AD8"/>
    <w:rsid w:val="003130EE"/>
    <w:rsid w:val="0032085D"/>
    <w:rsid w:val="00320ACA"/>
    <w:rsid w:val="0032603F"/>
    <w:rsid w:val="00332DC1"/>
    <w:rsid w:val="00353912"/>
    <w:rsid w:val="00362006"/>
    <w:rsid w:val="003628CB"/>
    <w:rsid w:val="00363533"/>
    <w:rsid w:val="0036522A"/>
    <w:rsid w:val="00366378"/>
    <w:rsid w:val="003718F3"/>
    <w:rsid w:val="00377A77"/>
    <w:rsid w:val="003809D1"/>
    <w:rsid w:val="003918A9"/>
    <w:rsid w:val="0039513B"/>
    <w:rsid w:val="003A0ED0"/>
    <w:rsid w:val="003A138D"/>
    <w:rsid w:val="003A2F81"/>
    <w:rsid w:val="003B41A5"/>
    <w:rsid w:val="003B5E2E"/>
    <w:rsid w:val="003C3C38"/>
    <w:rsid w:val="003C62E4"/>
    <w:rsid w:val="003D1EA6"/>
    <w:rsid w:val="003D46CA"/>
    <w:rsid w:val="003D795F"/>
    <w:rsid w:val="003E4417"/>
    <w:rsid w:val="003E52DB"/>
    <w:rsid w:val="003F14FA"/>
    <w:rsid w:val="003F15FD"/>
    <w:rsid w:val="003F2BD2"/>
    <w:rsid w:val="003F55AE"/>
    <w:rsid w:val="003F7C09"/>
    <w:rsid w:val="004031C1"/>
    <w:rsid w:val="004149E4"/>
    <w:rsid w:val="00414D4B"/>
    <w:rsid w:val="0043113A"/>
    <w:rsid w:val="00431958"/>
    <w:rsid w:val="004332BE"/>
    <w:rsid w:val="0043339E"/>
    <w:rsid w:val="00433708"/>
    <w:rsid w:val="00433C42"/>
    <w:rsid w:val="004343DB"/>
    <w:rsid w:val="004345F1"/>
    <w:rsid w:val="00436FD5"/>
    <w:rsid w:val="0044088B"/>
    <w:rsid w:val="00444367"/>
    <w:rsid w:val="00447F90"/>
    <w:rsid w:val="0045525E"/>
    <w:rsid w:val="004569D9"/>
    <w:rsid w:val="00456E50"/>
    <w:rsid w:val="004622D2"/>
    <w:rsid w:val="0046353E"/>
    <w:rsid w:val="0047034D"/>
    <w:rsid w:val="00480C11"/>
    <w:rsid w:val="0048392D"/>
    <w:rsid w:val="00494494"/>
    <w:rsid w:val="00495736"/>
    <w:rsid w:val="004A2789"/>
    <w:rsid w:val="004A286E"/>
    <w:rsid w:val="004A2DB5"/>
    <w:rsid w:val="004B1E2C"/>
    <w:rsid w:val="004C6B49"/>
    <w:rsid w:val="004D3756"/>
    <w:rsid w:val="004D7BCD"/>
    <w:rsid w:val="004E556A"/>
    <w:rsid w:val="004E7530"/>
    <w:rsid w:val="004F1394"/>
    <w:rsid w:val="004F1A5F"/>
    <w:rsid w:val="004F402A"/>
    <w:rsid w:val="004F5B86"/>
    <w:rsid w:val="00500C4A"/>
    <w:rsid w:val="00502967"/>
    <w:rsid w:val="00502FEA"/>
    <w:rsid w:val="00506EFC"/>
    <w:rsid w:val="005135EB"/>
    <w:rsid w:val="005153F8"/>
    <w:rsid w:val="00523F7E"/>
    <w:rsid w:val="00536E5D"/>
    <w:rsid w:val="00536F28"/>
    <w:rsid w:val="0054354C"/>
    <w:rsid w:val="005447AA"/>
    <w:rsid w:val="00545B92"/>
    <w:rsid w:val="005463CA"/>
    <w:rsid w:val="00552E6C"/>
    <w:rsid w:val="005567C6"/>
    <w:rsid w:val="00566224"/>
    <w:rsid w:val="00567343"/>
    <w:rsid w:val="005717EA"/>
    <w:rsid w:val="00572B1E"/>
    <w:rsid w:val="005815C6"/>
    <w:rsid w:val="00581605"/>
    <w:rsid w:val="00581D49"/>
    <w:rsid w:val="00586337"/>
    <w:rsid w:val="00590916"/>
    <w:rsid w:val="005933E8"/>
    <w:rsid w:val="00595F0E"/>
    <w:rsid w:val="00596324"/>
    <w:rsid w:val="005A0966"/>
    <w:rsid w:val="005A5E03"/>
    <w:rsid w:val="005B41AF"/>
    <w:rsid w:val="005B6099"/>
    <w:rsid w:val="005C1343"/>
    <w:rsid w:val="005C2015"/>
    <w:rsid w:val="005C39C5"/>
    <w:rsid w:val="005C3F2F"/>
    <w:rsid w:val="005E739E"/>
    <w:rsid w:val="005F3F91"/>
    <w:rsid w:val="005F516F"/>
    <w:rsid w:val="006129EE"/>
    <w:rsid w:val="00614D85"/>
    <w:rsid w:val="006203EB"/>
    <w:rsid w:val="0064123E"/>
    <w:rsid w:val="006451E0"/>
    <w:rsid w:val="00645679"/>
    <w:rsid w:val="0066075C"/>
    <w:rsid w:val="00662814"/>
    <w:rsid w:val="006639BF"/>
    <w:rsid w:val="00671C4C"/>
    <w:rsid w:val="0067328A"/>
    <w:rsid w:val="00677234"/>
    <w:rsid w:val="0067736C"/>
    <w:rsid w:val="006774EE"/>
    <w:rsid w:val="00682321"/>
    <w:rsid w:val="006840D7"/>
    <w:rsid w:val="00687820"/>
    <w:rsid w:val="00691452"/>
    <w:rsid w:val="00697DAC"/>
    <w:rsid w:val="006A30E9"/>
    <w:rsid w:val="006A6C6A"/>
    <w:rsid w:val="006B14A5"/>
    <w:rsid w:val="006B31CC"/>
    <w:rsid w:val="006B34B5"/>
    <w:rsid w:val="006B364B"/>
    <w:rsid w:val="006B4667"/>
    <w:rsid w:val="006B4F40"/>
    <w:rsid w:val="006B57DB"/>
    <w:rsid w:val="006C1349"/>
    <w:rsid w:val="006C7B74"/>
    <w:rsid w:val="006D18A1"/>
    <w:rsid w:val="006D202E"/>
    <w:rsid w:val="006D305D"/>
    <w:rsid w:val="006E2223"/>
    <w:rsid w:val="006E6A03"/>
    <w:rsid w:val="006F00D3"/>
    <w:rsid w:val="006F09B0"/>
    <w:rsid w:val="0070412A"/>
    <w:rsid w:val="007065CF"/>
    <w:rsid w:val="007128E6"/>
    <w:rsid w:val="007177DF"/>
    <w:rsid w:val="00724F07"/>
    <w:rsid w:val="00725179"/>
    <w:rsid w:val="00730CDC"/>
    <w:rsid w:val="0073355D"/>
    <w:rsid w:val="0073670B"/>
    <w:rsid w:val="0074720F"/>
    <w:rsid w:val="0075796D"/>
    <w:rsid w:val="00757A02"/>
    <w:rsid w:val="00760B2B"/>
    <w:rsid w:val="00761786"/>
    <w:rsid w:val="00762BA2"/>
    <w:rsid w:val="007649D4"/>
    <w:rsid w:val="0077455D"/>
    <w:rsid w:val="007752CE"/>
    <w:rsid w:val="00775423"/>
    <w:rsid w:val="0077551B"/>
    <w:rsid w:val="0078087C"/>
    <w:rsid w:val="0078442B"/>
    <w:rsid w:val="00787D80"/>
    <w:rsid w:val="00797228"/>
    <w:rsid w:val="007A5561"/>
    <w:rsid w:val="007B1D16"/>
    <w:rsid w:val="007B2B22"/>
    <w:rsid w:val="007B60E0"/>
    <w:rsid w:val="007C43F6"/>
    <w:rsid w:val="007D7B6D"/>
    <w:rsid w:val="007E14DB"/>
    <w:rsid w:val="007E49C3"/>
    <w:rsid w:val="007E544F"/>
    <w:rsid w:val="007E63FE"/>
    <w:rsid w:val="007E6C07"/>
    <w:rsid w:val="007F0565"/>
    <w:rsid w:val="007F0C55"/>
    <w:rsid w:val="007F166C"/>
    <w:rsid w:val="007F2984"/>
    <w:rsid w:val="007F5236"/>
    <w:rsid w:val="007F7430"/>
    <w:rsid w:val="007F7529"/>
    <w:rsid w:val="008003A3"/>
    <w:rsid w:val="0080343A"/>
    <w:rsid w:val="00807ECA"/>
    <w:rsid w:val="00822E45"/>
    <w:rsid w:val="00824DFE"/>
    <w:rsid w:val="00825355"/>
    <w:rsid w:val="00830DA4"/>
    <w:rsid w:val="008332AF"/>
    <w:rsid w:val="00834E6D"/>
    <w:rsid w:val="008417B3"/>
    <w:rsid w:val="00843117"/>
    <w:rsid w:val="0084508B"/>
    <w:rsid w:val="008462B8"/>
    <w:rsid w:val="00850D57"/>
    <w:rsid w:val="0085223B"/>
    <w:rsid w:val="00855956"/>
    <w:rsid w:val="008609A9"/>
    <w:rsid w:val="00865D95"/>
    <w:rsid w:val="00866C95"/>
    <w:rsid w:val="00867206"/>
    <w:rsid w:val="008676DC"/>
    <w:rsid w:val="00867C7A"/>
    <w:rsid w:val="00871478"/>
    <w:rsid w:val="00873FEA"/>
    <w:rsid w:val="00874014"/>
    <w:rsid w:val="00874AA5"/>
    <w:rsid w:val="00875424"/>
    <w:rsid w:val="00877072"/>
    <w:rsid w:val="00880D49"/>
    <w:rsid w:val="00892E55"/>
    <w:rsid w:val="008A1A6F"/>
    <w:rsid w:val="008A29E8"/>
    <w:rsid w:val="008A6BE0"/>
    <w:rsid w:val="008C2041"/>
    <w:rsid w:val="008C5B3D"/>
    <w:rsid w:val="008C5EA6"/>
    <w:rsid w:val="008D07E8"/>
    <w:rsid w:val="008D1607"/>
    <w:rsid w:val="008E09F2"/>
    <w:rsid w:val="008E3684"/>
    <w:rsid w:val="008E4560"/>
    <w:rsid w:val="008E5BF3"/>
    <w:rsid w:val="008E7888"/>
    <w:rsid w:val="008F04DA"/>
    <w:rsid w:val="008F17C4"/>
    <w:rsid w:val="008F1E42"/>
    <w:rsid w:val="008F4F78"/>
    <w:rsid w:val="008F5BF0"/>
    <w:rsid w:val="008F7649"/>
    <w:rsid w:val="008F7CE0"/>
    <w:rsid w:val="009051C7"/>
    <w:rsid w:val="0091008A"/>
    <w:rsid w:val="00912D55"/>
    <w:rsid w:val="009160D4"/>
    <w:rsid w:val="00916E61"/>
    <w:rsid w:val="00922E46"/>
    <w:rsid w:val="009379AE"/>
    <w:rsid w:val="00940138"/>
    <w:rsid w:val="00942466"/>
    <w:rsid w:val="009502F9"/>
    <w:rsid w:val="0095683C"/>
    <w:rsid w:val="00957742"/>
    <w:rsid w:val="00961768"/>
    <w:rsid w:val="0097386D"/>
    <w:rsid w:val="00976480"/>
    <w:rsid w:val="00983689"/>
    <w:rsid w:val="0098371B"/>
    <w:rsid w:val="009842BC"/>
    <w:rsid w:val="009916D2"/>
    <w:rsid w:val="00991F64"/>
    <w:rsid w:val="00997C10"/>
    <w:rsid w:val="009A362C"/>
    <w:rsid w:val="009B5046"/>
    <w:rsid w:val="009B6817"/>
    <w:rsid w:val="009C4ED6"/>
    <w:rsid w:val="009D3C39"/>
    <w:rsid w:val="009D4134"/>
    <w:rsid w:val="009D57A5"/>
    <w:rsid w:val="009E1BBB"/>
    <w:rsid w:val="009E47F7"/>
    <w:rsid w:val="009F07BF"/>
    <w:rsid w:val="009F3242"/>
    <w:rsid w:val="00A01354"/>
    <w:rsid w:val="00A07228"/>
    <w:rsid w:val="00A112BE"/>
    <w:rsid w:val="00A12331"/>
    <w:rsid w:val="00A1278A"/>
    <w:rsid w:val="00A21BCD"/>
    <w:rsid w:val="00A23030"/>
    <w:rsid w:val="00A25AF4"/>
    <w:rsid w:val="00A30803"/>
    <w:rsid w:val="00A32A1E"/>
    <w:rsid w:val="00A32FFE"/>
    <w:rsid w:val="00A3498F"/>
    <w:rsid w:val="00A376E7"/>
    <w:rsid w:val="00A411F4"/>
    <w:rsid w:val="00A47EFC"/>
    <w:rsid w:val="00A50FF2"/>
    <w:rsid w:val="00A5385D"/>
    <w:rsid w:val="00A619CF"/>
    <w:rsid w:val="00A74FFA"/>
    <w:rsid w:val="00A76E0D"/>
    <w:rsid w:val="00A77C7B"/>
    <w:rsid w:val="00A80D4E"/>
    <w:rsid w:val="00A86ADC"/>
    <w:rsid w:val="00A93478"/>
    <w:rsid w:val="00A94922"/>
    <w:rsid w:val="00AA03FE"/>
    <w:rsid w:val="00AA2372"/>
    <w:rsid w:val="00AA5FB0"/>
    <w:rsid w:val="00AB73D4"/>
    <w:rsid w:val="00AC14A2"/>
    <w:rsid w:val="00AC5039"/>
    <w:rsid w:val="00AD3548"/>
    <w:rsid w:val="00AD504D"/>
    <w:rsid w:val="00AD53F8"/>
    <w:rsid w:val="00AE6D87"/>
    <w:rsid w:val="00AF2585"/>
    <w:rsid w:val="00AF28D1"/>
    <w:rsid w:val="00B002FD"/>
    <w:rsid w:val="00B0082F"/>
    <w:rsid w:val="00B032AF"/>
    <w:rsid w:val="00B03EB6"/>
    <w:rsid w:val="00B10F58"/>
    <w:rsid w:val="00B11102"/>
    <w:rsid w:val="00B15288"/>
    <w:rsid w:val="00B15905"/>
    <w:rsid w:val="00B32B2D"/>
    <w:rsid w:val="00B35749"/>
    <w:rsid w:val="00B35FD5"/>
    <w:rsid w:val="00B360B0"/>
    <w:rsid w:val="00B37CCC"/>
    <w:rsid w:val="00B40831"/>
    <w:rsid w:val="00B4546E"/>
    <w:rsid w:val="00B505B5"/>
    <w:rsid w:val="00B606CD"/>
    <w:rsid w:val="00B65226"/>
    <w:rsid w:val="00B6749A"/>
    <w:rsid w:val="00B73D25"/>
    <w:rsid w:val="00B773C2"/>
    <w:rsid w:val="00B80B39"/>
    <w:rsid w:val="00B8566E"/>
    <w:rsid w:val="00B90289"/>
    <w:rsid w:val="00B91E46"/>
    <w:rsid w:val="00B93D8D"/>
    <w:rsid w:val="00BA1D81"/>
    <w:rsid w:val="00BA7276"/>
    <w:rsid w:val="00BB1F9D"/>
    <w:rsid w:val="00BB27F9"/>
    <w:rsid w:val="00BC062E"/>
    <w:rsid w:val="00BC27AB"/>
    <w:rsid w:val="00BC3122"/>
    <w:rsid w:val="00BC6A87"/>
    <w:rsid w:val="00BD39F7"/>
    <w:rsid w:val="00BD52F1"/>
    <w:rsid w:val="00BD61FE"/>
    <w:rsid w:val="00BE0EB5"/>
    <w:rsid w:val="00BE3C03"/>
    <w:rsid w:val="00BE5061"/>
    <w:rsid w:val="00BE517D"/>
    <w:rsid w:val="00C0018E"/>
    <w:rsid w:val="00C0123C"/>
    <w:rsid w:val="00C03402"/>
    <w:rsid w:val="00C0379B"/>
    <w:rsid w:val="00C04B9C"/>
    <w:rsid w:val="00C07585"/>
    <w:rsid w:val="00C10865"/>
    <w:rsid w:val="00C117D3"/>
    <w:rsid w:val="00C238DA"/>
    <w:rsid w:val="00C27A26"/>
    <w:rsid w:val="00C3078E"/>
    <w:rsid w:val="00C321CE"/>
    <w:rsid w:val="00C3328A"/>
    <w:rsid w:val="00C34E9F"/>
    <w:rsid w:val="00C422A0"/>
    <w:rsid w:val="00C423A2"/>
    <w:rsid w:val="00C50024"/>
    <w:rsid w:val="00C504E1"/>
    <w:rsid w:val="00C50D42"/>
    <w:rsid w:val="00C51804"/>
    <w:rsid w:val="00C531FA"/>
    <w:rsid w:val="00C53F7A"/>
    <w:rsid w:val="00C704BA"/>
    <w:rsid w:val="00C71029"/>
    <w:rsid w:val="00C745A2"/>
    <w:rsid w:val="00C77409"/>
    <w:rsid w:val="00C82AD6"/>
    <w:rsid w:val="00C906A7"/>
    <w:rsid w:val="00C9078F"/>
    <w:rsid w:val="00C93099"/>
    <w:rsid w:val="00CA04BA"/>
    <w:rsid w:val="00CA3376"/>
    <w:rsid w:val="00CB315D"/>
    <w:rsid w:val="00CB37D1"/>
    <w:rsid w:val="00CB5F00"/>
    <w:rsid w:val="00CC212F"/>
    <w:rsid w:val="00CC499B"/>
    <w:rsid w:val="00CE0934"/>
    <w:rsid w:val="00CE3066"/>
    <w:rsid w:val="00CF1133"/>
    <w:rsid w:val="00CF13CB"/>
    <w:rsid w:val="00CF2C57"/>
    <w:rsid w:val="00CF38BC"/>
    <w:rsid w:val="00CF3DB8"/>
    <w:rsid w:val="00D01A0F"/>
    <w:rsid w:val="00D1532B"/>
    <w:rsid w:val="00D15E3D"/>
    <w:rsid w:val="00D21059"/>
    <w:rsid w:val="00D312C8"/>
    <w:rsid w:val="00D313C0"/>
    <w:rsid w:val="00D45365"/>
    <w:rsid w:val="00D46F49"/>
    <w:rsid w:val="00D607AD"/>
    <w:rsid w:val="00D60CEE"/>
    <w:rsid w:val="00D64DA7"/>
    <w:rsid w:val="00D65E13"/>
    <w:rsid w:val="00D67843"/>
    <w:rsid w:val="00D807F0"/>
    <w:rsid w:val="00D86462"/>
    <w:rsid w:val="00D86F2C"/>
    <w:rsid w:val="00DA7B47"/>
    <w:rsid w:val="00DB2688"/>
    <w:rsid w:val="00DB3371"/>
    <w:rsid w:val="00DD05FE"/>
    <w:rsid w:val="00DD13A2"/>
    <w:rsid w:val="00DD3262"/>
    <w:rsid w:val="00DD4A1F"/>
    <w:rsid w:val="00DD5178"/>
    <w:rsid w:val="00DD591D"/>
    <w:rsid w:val="00DE4E78"/>
    <w:rsid w:val="00DE7B0A"/>
    <w:rsid w:val="00DF0A26"/>
    <w:rsid w:val="00DF6021"/>
    <w:rsid w:val="00DF7716"/>
    <w:rsid w:val="00DF7A8F"/>
    <w:rsid w:val="00E0181B"/>
    <w:rsid w:val="00E0589E"/>
    <w:rsid w:val="00E060E6"/>
    <w:rsid w:val="00E078F2"/>
    <w:rsid w:val="00E11872"/>
    <w:rsid w:val="00E12E40"/>
    <w:rsid w:val="00E130F0"/>
    <w:rsid w:val="00E217EC"/>
    <w:rsid w:val="00E22FF2"/>
    <w:rsid w:val="00E30622"/>
    <w:rsid w:val="00E33B14"/>
    <w:rsid w:val="00E3596C"/>
    <w:rsid w:val="00E41952"/>
    <w:rsid w:val="00E61194"/>
    <w:rsid w:val="00E61205"/>
    <w:rsid w:val="00E619FA"/>
    <w:rsid w:val="00E62A5B"/>
    <w:rsid w:val="00E62C40"/>
    <w:rsid w:val="00E6417E"/>
    <w:rsid w:val="00E64CEF"/>
    <w:rsid w:val="00E67FA0"/>
    <w:rsid w:val="00E743E9"/>
    <w:rsid w:val="00E80ED7"/>
    <w:rsid w:val="00E81354"/>
    <w:rsid w:val="00E91C25"/>
    <w:rsid w:val="00E97055"/>
    <w:rsid w:val="00E973AF"/>
    <w:rsid w:val="00E97D10"/>
    <w:rsid w:val="00EA1F9F"/>
    <w:rsid w:val="00EA43F2"/>
    <w:rsid w:val="00EA4C31"/>
    <w:rsid w:val="00EA6790"/>
    <w:rsid w:val="00EB1324"/>
    <w:rsid w:val="00EB19AB"/>
    <w:rsid w:val="00EC0CFA"/>
    <w:rsid w:val="00EC1FB3"/>
    <w:rsid w:val="00ED48E7"/>
    <w:rsid w:val="00ED5BE1"/>
    <w:rsid w:val="00ED7C0D"/>
    <w:rsid w:val="00EE15D0"/>
    <w:rsid w:val="00EE1EA9"/>
    <w:rsid w:val="00EE2A79"/>
    <w:rsid w:val="00EE5E61"/>
    <w:rsid w:val="00EF0B09"/>
    <w:rsid w:val="00EF693F"/>
    <w:rsid w:val="00F02CE0"/>
    <w:rsid w:val="00F203FE"/>
    <w:rsid w:val="00F25311"/>
    <w:rsid w:val="00F25ABD"/>
    <w:rsid w:val="00F311B1"/>
    <w:rsid w:val="00F33615"/>
    <w:rsid w:val="00F33AB1"/>
    <w:rsid w:val="00F3663B"/>
    <w:rsid w:val="00F44CC1"/>
    <w:rsid w:val="00F46AE8"/>
    <w:rsid w:val="00F52A02"/>
    <w:rsid w:val="00F57857"/>
    <w:rsid w:val="00F63C07"/>
    <w:rsid w:val="00F64DBE"/>
    <w:rsid w:val="00F64F82"/>
    <w:rsid w:val="00F670BC"/>
    <w:rsid w:val="00F67B4F"/>
    <w:rsid w:val="00F67D67"/>
    <w:rsid w:val="00F721F2"/>
    <w:rsid w:val="00F8137B"/>
    <w:rsid w:val="00F83F29"/>
    <w:rsid w:val="00F878A3"/>
    <w:rsid w:val="00FA46FB"/>
    <w:rsid w:val="00FB4435"/>
    <w:rsid w:val="00FB78AC"/>
    <w:rsid w:val="00FB7E81"/>
    <w:rsid w:val="00FC11C5"/>
    <w:rsid w:val="00FC2FC6"/>
    <w:rsid w:val="00FC4E3A"/>
    <w:rsid w:val="00FD09D0"/>
    <w:rsid w:val="00FD3FC9"/>
    <w:rsid w:val="00FE5FB6"/>
    <w:rsid w:val="00FE7AE7"/>
    <w:rsid w:val="00FF00F0"/>
    <w:rsid w:val="00FF4A0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7BB49B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533"/>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850D57"/>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850D57"/>
    <w:pPr>
      <w:spacing w:before="180" w:after="120"/>
      <w:outlineLvl w:val="1"/>
    </w:pPr>
    <w:rPr>
      <w:rFonts w:cs="Tahoma"/>
      <w:b/>
      <w:smallCaps/>
      <w:sz w:val="30"/>
      <w:szCs w:val="26"/>
    </w:rPr>
  </w:style>
  <w:style w:type="paragraph" w:styleId="Heading3">
    <w:name w:val="heading 3"/>
    <w:basedOn w:val="HeadingBase"/>
    <w:next w:val="Normal"/>
    <w:link w:val="Heading3Char"/>
    <w:uiPriority w:val="9"/>
    <w:qFormat/>
    <w:rsid w:val="00436FD5"/>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50D57"/>
    <w:rPr>
      <w:rFonts w:ascii="Arial Narrow" w:hAnsi="Arial Narrow" w:cs="Times New Roman"/>
      <w:b/>
      <w:caps/>
      <w:noProof/>
      <w:color w:val="231E60"/>
      <w:sz w:val="30"/>
      <w:szCs w:val="36"/>
    </w:rPr>
  </w:style>
  <w:style w:type="character" w:customStyle="1" w:styleId="Heading2Char">
    <w:name w:val="Heading 2 Char"/>
    <w:link w:val="Heading2"/>
    <w:uiPriority w:val="9"/>
    <w:locked/>
    <w:rsid w:val="00850D57"/>
    <w:rPr>
      <w:rFonts w:ascii="Arial Narrow" w:hAnsi="Arial Narrow" w:cs="Tahoma"/>
      <w:b/>
      <w:smallCaps/>
      <w:color w:val="231E60"/>
      <w:sz w:val="30"/>
      <w:szCs w:val="26"/>
    </w:rPr>
  </w:style>
  <w:style w:type="character" w:customStyle="1" w:styleId="Heading3Char">
    <w:name w:val="Heading 3 Char"/>
    <w:link w:val="Heading3"/>
    <w:uiPriority w:val="9"/>
    <w:locked/>
    <w:rsid w:val="0024420F"/>
    <w:rPr>
      <w:rFonts w:ascii="Arial Narrow" w:hAnsi="Arial Narrow" w:cs="Times New Roman"/>
      <w:b/>
      <w:color w:val="24155A"/>
      <w:sz w:val="20"/>
      <w:lang w:val="x-none" w:eastAsia="en-AU"/>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basedOn w:val="Normal"/>
    <w:link w:val="BulletChar"/>
    <w:rsid w:val="00997C10"/>
    <w:pPr>
      <w:numPr>
        <w:numId w:val="4"/>
      </w:numPr>
      <w:spacing w:after="180"/>
    </w:pPr>
    <w:rPr>
      <w:color w:val="000000"/>
    </w:rPr>
  </w:style>
  <w:style w:type="character" w:customStyle="1" w:styleId="BulletChar">
    <w:name w:val="Bullet Char"/>
    <w:link w:val="Bullet"/>
    <w:locked/>
    <w:rsid w:val="00997C10"/>
    <w:rPr>
      <w:rFonts w:cs="Times New Roman"/>
      <w:color w:val="000000"/>
      <w:sz w:val="24"/>
      <w:szCs w:val="24"/>
    </w:rPr>
  </w:style>
  <w:style w:type="paragraph" w:customStyle="1" w:styleId="Dash">
    <w:name w:val="Dash"/>
    <w:basedOn w:val="Normal"/>
    <w:rsid w:val="00A32FFE"/>
    <w:pPr>
      <w:numPr>
        <w:numId w:val="19"/>
      </w:numPr>
      <w:tabs>
        <w:tab w:val="left" w:pos="851"/>
      </w:tabs>
      <w:spacing w:after="120"/>
      <w:ind w:left="851"/>
    </w:pPr>
  </w:style>
  <w:style w:type="paragraph" w:customStyle="1" w:styleId="DoubleDot">
    <w:name w:val="Double Dot"/>
    <w:basedOn w:val="Normal"/>
    <w:rsid w:val="00436FD5"/>
    <w:pPr>
      <w:numPr>
        <w:ilvl w:val="2"/>
        <w:numId w:val="4"/>
      </w:numPr>
      <w:spacing w:after="180"/>
    </w:pPr>
  </w:style>
  <w:style w:type="paragraph" w:customStyle="1" w:styleId="OutlineNumbered1">
    <w:name w:val="Outline Numbered 1"/>
    <w:basedOn w:val="Normal"/>
    <w:link w:val="OutlineNumbered1Char"/>
    <w:rsid w:val="00436FD5"/>
    <w:pPr>
      <w:numPr>
        <w:numId w:val="5"/>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5"/>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5"/>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72824"/>
    <w:rPr>
      <w:rFonts w:cs="Times New Roman"/>
      <w:color w:val="134A6D"/>
      <w:u w:val="none"/>
    </w:rPr>
  </w:style>
  <w:style w:type="paragraph" w:styleId="FootnoteText">
    <w:name w:val="footnote text"/>
    <w:basedOn w:val="Normal"/>
    <w:link w:val="FootnoteTextChar"/>
    <w:uiPriority w:val="99"/>
    <w:semiHidden/>
    <w:rsid w:val="00436FD5"/>
    <w:rPr>
      <w:sz w:val="20"/>
      <w:szCs w:val="20"/>
    </w:rPr>
  </w:style>
  <w:style w:type="character" w:customStyle="1" w:styleId="FootnoteTextChar">
    <w:name w:val="Footnote Text Char"/>
    <w:link w:val="FootnoteText"/>
    <w:uiPriority w:val="99"/>
    <w:semiHidden/>
    <w:locked/>
    <w:rsid w:val="007A5561"/>
    <w:rPr>
      <w:rFonts w:ascii="Arial Narrow" w:hAnsi="Arial Narrow" w:cs="Times New Roman"/>
      <w:sz w:val="20"/>
      <w:lang w:val="x-none" w:eastAsia="en-AU"/>
    </w:rPr>
  </w:style>
  <w:style w:type="character" w:styleId="FootnoteReference">
    <w:name w:val="footnote reference"/>
    <w:uiPriority w:val="99"/>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A32FFE"/>
    <w:pPr>
      <w:spacing w:after="0"/>
    </w:pPr>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59"/>
    <w:rsid w:val="00436FD5"/>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363533"/>
    <w:pPr>
      <w:pBdr>
        <w:top w:val="single" w:sz="2" w:space="1" w:color="231E60"/>
      </w:pBdr>
      <w:tabs>
        <w:tab w:val="center" w:pos="4153"/>
        <w:tab w:val="right" w:pos="8306"/>
      </w:tabs>
      <w:spacing w:after="0"/>
      <w:jc w:val="center"/>
    </w:pPr>
    <w:rPr>
      <w:color w:val="231E60"/>
      <w:sz w:val="22"/>
    </w:rPr>
  </w:style>
  <w:style w:type="character" w:customStyle="1" w:styleId="FooterChar">
    <w:name w:val="Footer Char"/>
    <w:link w:val="Footer"/>
    <w:uiPriority w:val="99"/>
    <w:locked/>
    <w:rsid w:val="00363533"/>
    <w:rPr>
      <w:rFonts w:cs="Times New Roman"/>
      <w:color w:val="231E60"/>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32085D"/>
    <w:pPr>
      <w:pBdr>
        <w:top w:val="single" w:sz="4" w:space="1" w:color="003E74"/>
        <w:left w:val="single" w:sz="4" w:space="4" w:color="003E74"/>
        <w:bottom w:val="single" w:sz="4" w:space="1" w:color="003E74"/>
        <w:right w:val="single" w:sz="4" w:space="4" w:color="003E74"/>
      </w:pBdr>
      <w:shd w:val="clear" w:color="auto" w:fill="FBFDFF"/>
      <w:spacing w:line="280" w:lineRule="exact"/>
    </w:pPr>
    <w:rPr>
      <w:color w:val="003E74"/>
    </w:rPr>
  </w:style>
  <w:style w:type="character" w:customStyle="1" w:styleId="italic">
    <w:name w:val="italic"/>
    <w:rsid w:val="00436FD5"/>
    <w:rPr>
      <w:i/>
    </w:rPr>
  </w:style>
  <w:style w:type="paragraph" w:customStyle="1" w:styleId="HeadingBase">
    <w:name w:val="Heading Base"/>
    <w:next w:val="Normal"/>
    <w:rsid w:val="00D15E3D"/>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997C10"/>
    <w:pPr>
      <w:tabs>
        <w:tab w:val="left" w:pos="6945"/>
      </w:tabs>
      <w:spacing w:before="20" w:after="260"/>
    </w:pPr>
    <w:rPr>
      <w:b/>
      <w:smallCaps/>
      <w:noProof/>
      <w:sz w:val="30"/>
      <w:szCs w:val="36"/>
    </w:rPr>
  </w:style>
  <w:style w:type="paragraph" w:styleId="NormalWeb">
    <w:name w:val="Normal (Web)"/>
    <w:basedOn w:val="Normal"/>
    <w:uiPriority w:val="99"/>
    <w:semiHidden/>
    <w:unhideWhenUsed/>
    <w:rsid w:val="00997C10"/>
    <w:rPr>
      <w:rFonts w:ascii="Times New Roman" w:hAnsi="Times New Roman"/>
    </w:rPr>
  </w:style>
  <w:style w:type="paragraph" w:customStyle="1" w:styleId="Version">
    <w:name w:val="Version"/>
    <w:basedOn w:val="Normal"/>
    <w:qFormat/>
    <w:rsid w:val="00363533"/>
    <w:pPr>
      <w:spacing w:after="0"/>
      <w:jc w:val="right"/>
    </w:pPr>
    <w:rPr>
      <w:rFonts w:ascii="Calibri Light" w:hAnsi="Calibri Light"/>
      <w:color w:val="134A6D"/>
      <w:sz w:val="20"/>
    </w:rPr>
  </w:style>
  <w:style w:type="paragraph" w:customStyle="1" w:styleId="Tablecolumnheading">
    <w:name w:val="Table column heading"/>
    <w:basedOn w:val="Normal"/>
    <w:qFormat/>
    <w:rsid w:val="00A21BCD"/>
    <w:pPr>
      <w:spacing w:before="60" w:after="60"/>
    </w:pPr>
    <w:rPr>
      <w:rFonts w:asciiTheme="minorHAnsi" w:hAnsiTheme="minorHAnsi"/>
      <w:b/>
      <w:color w:val="003E74"/>
      <w:sz w:val="22"/>
    </w:rPr>
  </w:style>
  <w:style w:type="paragraph" w:customStyle="1" w:styleId="Tabletext">
    <w:name w:val="Table text"/>
    <w:basedOn w:val="Normal"/>
    <w:qFormat/>
    <w:rsid w:val="00A21BCD"/>
    <w:pPr>
      <w:spacing w:before="60" w:after="60"/>
    </w:pPr>
    <w:rPr>
      <w:rFonts w:asciiTheme="minorHAnsi" w:hAnsiTheme="minorHAnsi"/>
      <w:sz w:val="22"/>
      <w:szCs w:val="22"/>
    </w:rPr>
  </w:style>
  <w:style w:type="paragraph" w:customStyle="1" w:styleId="Boxheading">
    <w:name w:val="Box heading"/>
    <w:basedOn w:val="Heading4"/>
    <w:qFormat/>
    <w:rsid w:val="00A32FFE"/>
    <w:pPr>
      <w:pBdr>
        <w:top w:val="single" w:sz="4" w:space="1" w:color="003E74"/>
        <w:left w:val="single" w:sz="4" w:space="4" w:color="003E74"/>
        <w:bottom w:val="single" w:sz="4" w:space="1" w:color="003E74"/>
        <w:right w:val="single" w:sz="4" w:space="4" w:color="003E74"/>
      </w:pBdr>
      <w:shd w:val="clear" w:color="auto" w:fill="FBFDFF"/>
      <w:spacing w:before="240"/>
    </w:pPr>
    <w:rPr>
      <w:rFonts w:ascii="Calibri" w:hAnsi="Calibri"/>
      <w:i w:val="0"/>
      <w:sz w:val="24"/>
    </w:rPr>
  </w:style>
  <w:style w:type="paragraph" w:customStyle="1" w:styleId="Tabletextbullet">
    <w:name w:val="Table text bullet"/>
    <w:basedOn w:val="Tabletext"/>
    <w:qFormat/>
    <w:rsid w:val="0032085D"/>
    <w:pPr>
      <w:numPr>
        <w:numId w:val="34"/>
      </w:numPr>
      <w:ind w:left="426"/>
    </w:pPr>
  </w:style>
  <w:style w:type="paragraph" w:styleId="Revision">
    <w:name w:val="Revision"/>
    <w:hidden/>
    <w:uiPriority w:val="99"/>
    <w:semiHidden/>
    <w:rsid w:val="004A2789"/>
    <w:rPr>
      <w:rFonts w:cs="Times New Roman"/>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533"/>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850D57"/>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850D57"/>
    <w:pPr>
      <w:spacing w:before="180" w:after="120"/>
      <w:outlineLvl w:val="1"/>
    </w:pPr>
    <w:rPr>
      <w:rFonts w:cs="Tahoma"/>
      <w:b/>
      <w:smallCaps/>
      <w:sz w:val="30"/>
      <w:szCs w:val="26"/>
    </w:rPr>
  </w:style>
  <w:style w:type="paragraph" w:styleId="Heading3">
    <w:name w:val="heading 3"/>
    <w:basedOn w:val="HeadingBase"/>
    <w:next w:val="Normal"/>
    <w:link w:val="Heading3Char"/>
    <w:uiPriority w:val="9"/>
    <w:qFormat/>
    <w:rsid w:val="00436FD5"/>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50D57"/>
    <w:rPr>
      <w:rFonts w:ascii="Arial Narrow" w:hAnsi="Arial Narrow" w:cs="Times New Roman"/>
      <w:b/>
      <w:caps/>
      <w:noProof/>
      <w:color w:val="231E60"/>
      <w:sz w:val="30"/>
      <w:szCs w:val="36"/>
    </w:rPr>
  </w:style>
  <w:style w:type="character" w:customStyle="1" w:styleId="Heading2Char">
    <w:name w:val="Heading 2 Char"/>
    <w:link w:val="Heading2"/>
    <w:uiPriority w:val="9"/>
    <w:locked/>
    <w:rsid w:val="00850D57"/>
    <w:rPr>
      <w:rFonts w:ascii="Arial Narrow" w:hAnsi="Arial Narrow" w:cs="Tahoma"/>
      <w:b/>
      <w:smallCaps/>
      <w:color w:val="231E60"/>
      <w:sz w:val="30"/>
      <w:szCs w:val="26"/>
    </w:rPr>
  </w:style>
  <w:style w:type="character" w:customStyle="1" w:styleId="Heading3Char">
    <w:name w:val="Heading 3 Char"/>
    <w:link w:val="Heading3"/>
    <w:uiPriority w:val="9"/>
    <w:locked/>
    <w:rsid w:val="0024420F"/>
    <w:rPr>
      <w:rFonts w:ascii="Arial Narrow" w:hAnsi="Arial Narrow" w:cs="Times New Roman"/>
      <w:b/>
      <w:color w:val="24155A"/>
      <w:sz w:val="20"/>
      <w:lang w:val="x-none" w:eastAsia="en-AU"/>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basedOn w:val="Normal"/>
    <w:link w:val="BulletChar"/>
    <w:rsid w:val="00997C10"/>
    <w:pPr>
      <w:numPr>
        <w:numId w:val="4"/>
      </w:numPr>
      <w:spacing w:after="180"/>
    </w:pPr>
    <w:rPr>
      <w:color w:val="000000"/>
    </w:rPr>
  </w:style>
  <w:style w:type="character" w:customStyle="1" w:styleId="BulletChar">
    <w:name w:val="Bullet Char"/>
    <w:link w:val="Bullet"/>
    <w:locked/>
    <w:rsid w:val="00997C10"/>
    <w:rPr>
      <w:rFonts w:cs="Times New Roman"/>
      <w:color w:val="000000"/>
      <w:sz w:val="24"/>
      <w:szCs w:val="24"/>
    </w:rPr>
  </w:style>
  <w:style w:type="paragraph" w:customStyle="1" w:styleId="Dash">
    <w:name w:val="Dash"/>
    <w:basedOn w:val="Normal"/>
    <w:rsid w:val="00A32FFE"/>
    <w:pPr>
      <w:numPr>
        <w:numId w:val="19"/>
      </w:numPr>
      <w:tabs>
        <w:tab w:val="left" w:pos="851"/>
      </w:tabs>
      <w:spacing w:after="120"/>
      <w:ind w:left="851"/>
    </w:pPr>
  </w:style>
  <w:style w:type="paragraph" w:customStyle="1" w:styleId="DoubleDot">
    <w:name w:val="Double Dot"/>
    <w:basedOn w:val="Normal"/>
    <w:rsid w:val="00436FD5"/>
    <w:pPr>
      <w:numPr>
        <w:ilvl w:val="2"/>
        <w:numId w:val="4"/>
      </w:numPr>
      <w:spacing w:after="180"/>
    </w:pPr>
  </w:style>
  <w:style w:type="paragraph" w:customStyle="1" w:styleId="OutlineNumbered1">
    <w:name w:val="Outline Numbered 1"/>
    <w:basedOn w:val="Normal"/>
    <w:link w:val="OutlineNumbered1Char"/>
    <w:rsid w:val="00436FD5"/>
    <w:pPr>
      <w:numPr>
        <w:numId w:val="5"/>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5"/>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5"/>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72824"/>
    <w:rPr>
      <w:rFonts w:cs="Times New Roman"/>
      <w:color w:val="134A6D"/>
      <w:u w:val="none"/>
    </w:rPr>
  </w:style>
  <w:style w:type="paragraph" w:styleId="FootnoteText">
    <w:name w:val="footnote text"/>
    <w:basedOn w:val="Normal"/>
    <w:link w:val="FootnoteTextChar"/>
    <w:uiPriority w:val="99"/>
    <w:semiHidden/>
    <w:rsid w:val="00436FD5"/>
    <w:rPr>
      <w:sz w:val="20"/>
      <w:szCs w:val="20"/>
    </w:rPr>
  </w:style>
  <w:style w:type="character" w:customStyle="1" w:styleId="FootnoteTextChar">
    <w:name w:val="Footnote Text Char"/>
    <w:link w:val="FootnoteText"/>
    <w:uiPriority w:val="99"/>
    <w:semiHidden/>
    <w:locked/>
    <w:rsid w:val="007A5561"/>
    <w:rPr>
      <w:rFonts w:ascii="Arial Narrow" w:hAnsi="Arial Narrow" w:cs="Times New Roman"/>
      <w:sz w:val="20"/>
      <w:lang w:val="x-none" w:eastAsia="en-AU"/>
    </w:rPr>
  </w:style>
  <w:style w:type="character" w:styleId="FootnoteReference">
    <w:name w:val="footnote reference"/>
    <w:uiPriority w:val="99"/>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A32FFE"/>
    <w:pPr>
      <w:spacing w:after="0"/>
    </w:pPr>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59"/>
    <w:rsid w:val="00436FD5"/>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363533"/>
    <w:pPr>
      <w:pBdr>
        <w:top w:val="single" w:sz="2" w:space="1" w:color="231E60"/>
      </w:pBdr>
      <w:tabs>
        <w:tab w:val="center" w:pos="4153"/>
        <w:tab w:val="right" w:pos="8306"/>
      </w:tabs>
      <w:spacing w:after="0"/>
      <w:jc w:val="center"/>
    </w:pPr>
    <w:rPr>
      <w:color w:val="231E60"/>
      <w:sz w:val="22"/>
    </w:rPr>
  </w:style>
  <w:style w:type="character" w:customStyle="1" w:styleId="FooterChar">
    <w:name w:val="Footer Char"/>
    <w:link w:val="Footer"/>
    <w:uiPriority w:val="99"/>
    <w:locked/>
    <w:rsid w:val="00363533"/>
    <w:rPr>
      <w:rFonts w:cs="Times New Roman"/>
      <w:color w:val="231E60"/>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32085D"/>
    <w:pPr>
      <w:pBdr>
        <w:top w:val="single" w:sz="4" w:space="1" w:color="003E74"/>
        <w:left w:val="single" w:sz="4" w:space="4" w:color="003E74"/>
        <w:bottom w:val="single" w:sz="4" w:space="1" w:color="003E74"/>
        <w:right w:val="single" w:sz="4" w:space="4" w:color="003E74"/>
      </w:pBdr>
      <w:shd w:val="clear" w:color="auto" w:fill="FBFDFF"/>
      <w:spacing w:line="280" w:lineRule="exact"/>
    </w:pPr>
    <w:rPr>
      <w:color w:val="003E74"/>
    </w:rPr>
  </w:style>
  <w:style w:type="character" w:customStyle="1" w:styleId="italic">
    <w:name w:val="italic"/>
    <w:rsid w:val="00436FD5"/>
    <w:rPr>
      <w:i/>
    </w:rPr>
  </w:style>
  <w:style w:type="paragraph" w:customStyle="1" w:styleId="HeadingBase">
    <w:name w:val="Heading Base"/>
    <w:next w:val="Normal"/>
    <w:rsid w:val="00D15E3D"/>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997C10"/>
    <w:pPr>
      <w:tabs>
        <w:tab w:val="left" w:pos="6945"/>
      </w:tabs>
      <w:spacing w:before="20" w:after="260"/>
    </w:pPr>
    <w:rPr>
      <w:b/>
      <w:smallCaps/>
      <w:noProof/>
      <w:sz w:val="30"/>
      <w:szCs w:val="36"/>
    </w:rPr>
  </w:style>
  <w:style w:type="paragraph" w:styleId="NormalWeb">
    <w:name w:val="Normal (Web)"/>
    <w:basedOn w:val="Normal"/>
    <w:uiPriority w:val="99"/>
    <w:semiHidden/>
    <w:unhideWhenUsed/>
    <w:rsid w:val="00997C10"/>
    <w:rPr>
      <w:rFonts w:ascii="Times New Roman" w:hAnsi="Times New Roman"/>
    </w:rPr>
  </w:style>
  <w:style w:type="paragraph" w:customStyle="1" w:styleId="Version">
    <w:name w:val="Version"/>
    <w:basedOn w:val="Normal"/>
    <w:qFormat/>
    <w:rsid w:val="00363533"/>
    <w:pPr>
      <w:spacing w:after="0"/>
      <w:jc w:val="right"/>
    </w:pPr>
    <w:rPr>
      <w:rFonts w:ascii="Calibri Light" w:hAnsi="Calibri Light"/>
      <w:color w:val="134A6D"/>
      <w:sz w:val="20"/>
    </w:rPr>
  </w:style>
  <w:style w:type="paragraph" w:customStyle="1" w:styleId="Tablecolumnheading">
    <w:name w:val="Table column heading"/>
    <w:basedOn w:val="Normal"/>
    <w:qFormat/>
    <w:rsid w:val="00A21BCD"/>
    <w:pPr>
      <w:spacing w:before="60" w:after="60"/>
    </w:pPr>
    <w:rPr>
      <w:rFonts w:asciiTheme="minorHAnsi" w:hAnsiTheme="minorHAnsi"/>
      <w:b/>
      <w:color w:val="003E74"/>
      <w:sz w:val="22"/>
    </w:rPr>
  </w:style>
  <w:style w:type="paragraph" w:customStyle="1" w:styleId="Tabletext">
    <w:name w:val="Table text"/>
    <w:basedOn w:val="Normal"/>
    <w:qFormat/>
    <w:rsid w:val="00A21BCD"/>
    <w:pPr>
      <w:spacing w:before="60" w:after="60"/>
    </w:pPr>
    <w:rPr>
      <w:rFonts w:asciiTheme="minorHAnsi" w:hAnsiTheme="minorHAnsi"/>
      <w:sz w:val="22"/>
      <w:szCs w:val="22"/>
    </w:rPr>
  </w:style>
  <w:style w:type="paragraph" w:customStyle="1" w:styleId="Boxheading">
    <w:name w:val="Box heading"/>
    <w:basedOn w:val="Heading4"/>
    <w:qFormat/>
    <w:rsid w:val="00A32FFE"/>
    <w:pPr>
      <w:pBdr>
        <w:top w:val="single" w:sz="4" w:space="1" w:color="003E74"/>
        <w:left w:val="single" w:sz="4" w:space="4" w:color="003E74"/>
        <w:bottom w:val="single" w:sz="4" w:space="1" w:color="003E74"/>
        <w:right w:val="single" w:sz="4" w:space="4" w:color="003E74"/>
      </w:pBdr>
      <w:shd w:val="clear" w:color="auto" w:fill="FBFDFF"/>
      <w:spacing w:before="240"/>
    </w:pPr>
    <w:rPr>
      <w:rFonts w:ascii="Calibri" w:hAnsi="Calibri"/>
      <w:i w:val="0"/>
      <w:sz w:val="24"/>
    </w:rPr>
  </w:style>
  <w:style w:type="paragraph" w:customStyle="1" w:styleId="Tabletextbullet">
    <w:name w:val="Table text bullet"/>
    <w:basedOn w:val="Tabletext"/>
    <w:qFormat/>
    <w:rsid w:val="0032085D"/>
    <w:pPr>
      <w:numPr>
        <w:numId w:val="34"/>
      </w:numPr>
      <w:ind w:left="426"/>
    </w:pPr>
  </w:style>
  <w:style w:type="paragraph" w:styleId="Revision">
    <w:name w:val="Revision"/>
    <w:hidden/>
    <w:uiPriority w:val="99"/>
    <w:semiHidden/>
    <w:rsid w:val="004A2789"/>
    <w:rPr>
      <w:rFonts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6435">
      <w:bodyDiv w:val="1"/>
      <w:marLeft w:val="0"/>
      <w:marRight w:val="0"/>
      <w:marTop w:val="0"/>
      <w:marBottom w:val="0"/>
      <w:divBdr>
        <w:top w:val="none" w:sz="0" w:space="0" w:color="auto"/>
        <w:left w:val="none" w:sz="0" w:space="0" w:color="auto"/>
        <w:bottom w:val="none" w:sz="0" w:space="0" w:color="auto"/>
        <w:right w:val="none" w:sz="0" w:space="0" w:color="auto"/>
      </w:divBdr>
    </w:div>
    <w:div w:id="172961298">
      <w:bodyDiv w:val="1"/>
      <w:marLeft w:val="0"/>
      <w:marRight w:val="0"/>
      <w:marTop w:val="0"/>
      <w:marBottom w:val="0"/>
      <w:divBdr>
        <w:top w:val="none" w:sz="0" w:space="0" w:color="auto"/>
        <w:left w:val="none" w:sz="0" w:space="0" w:color="auto"/>
        <w:bottom w:val="none" w:sz="0" w:space="0" w:color="auto"/>
        <w:right w:val="none" w:sz="0" w:space="0" w:color="auto"/>
      </w:divBdr>
    </w:div>
    <w:div w:id="202258758">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 w:id="1592931883">
      <w:bodyDiv w:val="1"/>
      <w:marLeft w:val="0"/>
      <w:marRight w:val="0"/>
      <w:marTop w:val="0"/>
      <w:marBottom w:val="0"/>
      <w:divBdr>
        <w:top w:val="none" w:sz="0" w:space="0" w:color="auto"/>
        <w:left w:val="none" w:sz="0" w:space="0" w:color="auto"/>
        <w:bottom w:val="none" w:sz="0" w:space="0" w:color="auto"/>
        <w:right w:val="none" w:sz="0" w:space="0" w:color="auto"/>
      </w:divBdr>
    </w:div>
    <w:div w:id="1725593887">
      <w:bodyDiv w:val="1"/>
      <w:marLeft w:val="0"/>
      <w:marRight w:val="0"/>
      <w:marTop w:val="0"/>
      <w:marBottom w:val="0"/>
      <w:divBdr>
        <w:top w:val="none" w:sz="0" w:space="0" w:color="auto"/>
        <w:left w:val="none" w:sz="0" w:space="0" w:color="auto"/>
        <w:bottom w:val="none" w:sz="0" w:space="0" w:color="auto"/>
        <w:right w:val="none" w:sz="0" w:space="0" w:color="auto"/>
      </w:divBdr>
    </w:div>
    <w:div w:id="21305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rb.gov.au/resources/policy-documents/" TargetMode="External"/><Relationship Id="rId13" Type="http://schemas.openxmlformats.org/officeDocument/2006/relationships/footer" Target="footer2.xml"/><Relationship Id="rId18" Type="http://schemas.openxmlformats.org/officeDocument/2006/relationships/hyperlink" Target="mailto:FIRBCompliance@Treasury.gov.au" TargetMode="Externa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FIRBCompliance@Treasury.gov.au" TargetMode="External"/><Relationship Id="rId2" Type="http://schemas.openxmlformats.org/officeDocument/2006/relationships/styles" Target="styles.xml"/><Relationship Id="rId16" Type="http://schemas.openxmlformats.org/officeDocument/2006/relationships/hyperlink" Target="mailto:FIRBCompliance@Treasury.gov.au"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firb.gov.au" TargetMode="Externa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3756</Words>
  <Characters>19846</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2016-11-23T02:41:00Z</dcterms:created>
  <dcterms:modified xsi:type="dcterms:W3CDTF">2016-11-23T02:41:00Z</dcterms:modified>
</cp:coreProperties>
</file>