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195B0" w14:textId="78918F1D" w:rsidR="008B6006" w:rsidRPr="00402633" w:rsidRDefault="008B6006" w:rsidP="00115593">
      <w:pPr>
        <w:pStyle w:val="CoverTitleMain"/>
      </w:pPr>
      <w:r w:rsidRPr="00402633">
        <w:t xml:space="preserve">Foreign </w:t>
      </w:r>
      <w:r w:rsidRPr="00115593">
        <w:t>Investment</w:t>
      </w:r>
    </w:p>
    <w:p w14:paraId="59F84F50" w14:textId="77777777" w:rsidR="008B6006" w:rsidRPr="00402633" w:rsidRDefault="008B6006" w:rsidP="00115593">
      <w:pPr>
        <w:pStyle w:val="CoverTitleMain"/>
      </w:pPr>
      <w:r w:rsidRPr="00115593">
        <w:t>Review</w:t>
      </w:r>
      <w:r w:rsidRPr="00402633">
        <w:t xml:space="preserve"> Board</w:t>
      </w:r>
    </w:p>
    <w:p w14:paraId="260789C1" w14:textId="77777777" w:rsidR="008B6006" w:rsidRPr="00402633" w:rsidRDefault="008B6006" w:rsidP="008B6006">
      <w:pPr>
        <w:rPr>
          <w:rFonts w:ascii="Calibri" w:hAnsi="Calibri"/>
        </w:rPr>
      </w:pPr>
    </w:p>
    <w:p w14:paraId="0A3C74DA" w14:textId="77777777" w:rsidR="008B6006" w:rsidRPr="00402633" w:rsidRDefault="008B6006" w:rsidP="008B6006">
      <w:pPr>
        <w:rPr>
          <w:rFonts w:ascii="Calibri" w:hAnsi="Calibri"/>
        </w:rPr>
      </w:pPr>
    </w:p>
    <w:p w14:paraId="6EDBC4B4" w14:textId="00DE0893" w:rsidR="008B6006" w:rsidRPr="00402633" w:rsidRDefault="008B6006" w:rsidP="003A03ED">
      <w:pPr>
        <w:pStyle w:val="CoverTitleSub"/>
        <w:jc w:val="right"/>
      </w:pPr>
      <w:r w:rsidRPr="00115593">
        <w:t>Annual</w:t>
      </w:r>
      <w:r w:rsidR="00C72611">
        <w:t xml:space="preserve"> Report</w:t>
      </w:r>
      <w:r w:rsidR="00C72611">
        <w:br/>
      </w:r>
      <w:r w:rsidRPr="00402633">
        <w:t>201</w:t>
      </w:r>
      <w:r w:rsidR="003F7D08">
        <w:t>5</w:t>
      </w:r>
      <w:r w:rsidR="008205A1">
        <w:noBreakHyphen/>
      </w:r>
      <w:r w:rsidRPr="00402633">
        <w:t>1</w:t>
      </w:r>
      <w:r w:rsidR="003F7D08">
        <w:t>6</w:t>
      </w:r>
    </w:p>
    <w:p w14:paraId="0016268E" w14:textId="77777777" w:rsidR="008B6006" w:rsidRDefault="008B6006" w:rsidP="008B6006"/>
    <w:p w14:paraId="6CD1BE1F" w14:textId="77777777" w:rsidR="008B6006" w:rsidRDefault="008B6006" w:rsidP="008B6006">
      <w:pPr>
        <w:sectPr w:rsidR="008B6006" w:rsidSect="00172835">
          <w:headerReference w:type="even" r:id="rId14"/>
          <w:headerReference w:type="default" r:id="rId15"/>
          <w:footerReference w:type="even" r:id="rId16"/>
          <w:footerReference w:type="default" r:id="rId17"/>
          <w:pgSz w:w="11907" w:h="16840" w:code="9"/>
          <w:pgMar w:top="2466" w:right="2098" w:bottom="2466" w:left="2098" w:header="1899" w:footer="1899" w:gutter="0"/>
          <w:cols w:space="708"/>
          <w:vAlign w:val="center"/>
          <w:titlePg/>
          <w:docGrid w:linePitch="360"/>
        </w:sectPr>
      </w:pPr>
    </w:p>
    <w:p w14:paraId="45778F5E" w14:textId="689F95E0" w:rsidR="008B6006" w:rsidRDefault="008B6006" w:rsidP="008B6006">
      <w:r>
        <w:rPr>
          <w:rFonts w:ascii="Symbol" w:hAnsi="Symbol"/>
        </w:rPr>
        <w:lastRenderedPageBreak/>
        <w:t></w:t>
      </w:r>
      <w:r>
        <w:t xml:space="preserve"> Commonwealth of Australia </w:t>
      </w:r>
      <w:r w:rsidRPr="00123145">
        <w:t>201</w:t>
      </w:r>
      <w:r w:rsidR="00360617">
        <w:t>7</w:t>
      </w:r>
    </w:p>
    <w:p w14:paraId="16C3E40A" w14:textId="25EF65F4" w:rsidR="008B6006" w:rsidRDefault="008B6006" w:rsidP="00D74D35">
      <w:pPr>
        <w:spacing w:after="200"/>
        <w:jc w:val="left"/>
      </w:pPr>
      <w:r>
        <w:t>ISSN 0155</w:t>
      </w:r>
      <w:r w:rsidR="008205A1">
        <w:noBreakHyphen/>
      </w:r>
      <w:r>
        <w:t>0802 (print</w:t>
      </w:r>
      <w:proofErr w:type="gramStart"/>
      <w:r>
        <w:t>)</w:t>
      </w:r>
      <w:proofErr w:type="gramEnd"/>
      <w:r>
        <w:br/>
        <w:t>ISSN 2204</w:t>
      </w:r>
      <w:r w:rsidR="008205A1">
        <w:noBreakHyphen/>
      </w:r>
      <w:r>
        <w:t>0927 (web)</w:t>
      </w:r>
    </w:p>
    <w:p w14:paraId="741013C5" w14:textId="77777777" w:rsidR="008B6006" w:rsidRPr="00BF5DDF" w:rsidRDefault="008B6006" w:rsidP="008B6006">
      <w:r w:rsidRPr="002F1BC2">
        <w:t>This publication is available for your use under a</w:t>
      </w:r>
      <w:r w:rsidRPr="00BF5DDF">
        <w:t xml:space="preserve"> </w:t>
      </w:r>
      <w:hyperlink r:id="rId18" w:history="1">
        <w:r w:rsidRPr="00BF5DDF">
          <w:t>Creative Commons Attribution 3.0 Australia</w:t>
        </w:r>
      </w:hyperlink>
      <w:r w:rsidRPr="00BF5DDF">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BF5DDF">
        <w:t xml:space="preserve"> </w:t>
      </w:r>
      <w:hyperlink r:id="rId19" w:history="1">
        <w:r w:rsidRPr="005148C5">
          <w:rPr>
            <w:rStyle w:val="Hyperlink"/>
          </w:rPr>
          <w:t>http://creativecommons.org/licenses/by/3.0/au/legalcode</w:t>
        </w:r>
      </w:hyperlink>
      <w:r w:rsidRPr="00BF5DDF">
        <w:t>.</w:t>
      </w:r>
    </w:p>
    <w:p w14:paraId="27D358FD" w14:textId="77777777" w:rsidR="008B6006" w:rsidRDefault="008B6006" w:rsidP="00D74D35">
      <w:pPr>
        <w:spacing w:after="120" w:line="240" w:lineRule="auto"/>
      </w:pPr>
      <w:r>
        <w:rPr>
          <w:noProof/>
        </w:rPr>
        <w:drawing>
          <wp:inline distT="0" distB="0" distL="0" distR="0" wp14:anchorId="4666AD97" wp14:editId="6C1E62AE">
            <wp:extent cx="810895" cy="286385"/>
            <wp:effectExtent l="0" t="0" r="8255" b="0"/>
            <wp:docPr id="1" name="Picture 1"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286385"/>
                    </a:xfrm>
                    <a:prstGeom prst="rect">
                      <a:avLst/>
                    </a:prstGeom>
                    <a:noFill/>
                    <a:ln>
                      <a:noFill/>
                    </a:ln>
                  </pic:spPr>
                </pic:pic>
              </a:graphicData>
            </a:graphic>
          </wp:inline>
        </w:drawing>
      </w:r>
    </w:p>
    <w:p w14:paraId="7209B574" w14:textId="77777777" w:rsidR="008B6006" w:rsidRPr="006627B4" w:rsidRDefault="008B6006" w:rsidP="00D74D35">
      <w:pPr>
        <w:tabs>
          <w:tab w:val="left" w:pos="1650"/>
        </w:tabs>
        <w:spacing w:after="120"/>
      </w:pPr>
      <w:r w:rsidRPr="006627B4">
        <w:t>Use of Treasury material under a</w:t>
      </w:r>
      <w:r w:rsidRPr="00BF5DDF">
        <w:rPr>
          <w:rFonts w:cs="Calibri"/>
          <w:sz w:val="24"/>
          <w:szCs w:val="24"/>
        </w:rPr>
        <w:t xml:space="preserve"> </w:t>
      </w:r>
      <w:hyperlink r:id="rId21"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79831148" w14:textId="6239084E" w:rsidR="008B6006" w:rsidRPr="002F1BC2" w:rsidRDefault="008B6006" w:rsidP="00516F7A">
      <w:pPr>
        <w:tabs>
          <w:tab w:val="left" w:pos="4152"/>
        </w:tabs>
        <w:ind w:left="567"/>
        <w:rPr>
          <w:i/>
        </w:rPr>
      </w:pPr>
      <w:proofErr w:type="gramStart"/>
      <w:r w:rsidRPr="002F1BC2">
        <w:rPr>
          <w:i/>
        </w:rPr>
        <w:t xml:space="preserve">Treasury material used </w:t>
      </w:r>
      <w:r w:rsidR="008205A1">
        <w:rPr>
          <w:i/>
        </w:rPr>
        <w:t>‘</w:t>
      </w:r>
      <w:r w:rsidRPr="002F1BC2">
        <w:rPr>
          <w:i/>
        </w:rPr>
        <w:t>as supplied</w:t>
      </w:r>
      <w:r w:rsidR="008205A1">
        <w:rPr>
          <w:i/>
        </w:rPr>
        <w:t>’</w:t>
      </w:r>
      <w:r>
        <w:rPr>
          <w:i/>
        </w:rPr>
        <w:t>.</w:t>
      </w:r>
      <w:proofErr w:type="gramEnd"/>
      <w:r w:rsidR="00516F7A">
        <w:rPr>
          <w:i/>
        </w:rPr>
        <w:tab/>
      </w:r>
    </w:p>
    <w:p w14:paraId="343AF7CF" w14:textId="77777777" w:rsidR="008B6006" w:rsidRDefault="008B6006" w:rsidP="00D74D35">
      <w:pPr>
        <w:spacing w:after="200"/>
      </w:pPr>
      <w:r w:rsidRPr="00476F09">
        <w:t>Provided you have not modified or trans</w:t>
      </w:r>
      <w:r>
        <w:t xml:space="preserve">formed Treasury material in any </w:t>
      </w:r>
      <w:r w:rsidRPr="00476F09">
        <w:t>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the following attribution:</w:t>
      </w:r>
    </w:p>
    <w:p w14:paraId="55419564" w14:textId="77777777" w:rsidR="008B6006" w:rsidRPr="00476F09" w:rsidRDefault="008B6006" w:rsidP="008B6006">
      <w:pPr>
        <w:ind w:left="567"/>
      </w:pPr>
      <w:r w:rsidRPr="00BF5DDF">
        <w:rPr>
          <w:i/>
        </w:rPr>
        <w:t>Source</w:t>
      </w:r>
      <w:r w:rsidRPr="005525FE">
        <w:t xml:space="preserve">: </w:t>
      </w:r>
      <w:r w:rsidRPr="00AE5D13">
        <w:rPr>
          <w:i/>
        </w:rPr>
        <w:t>The Treasury</w:t>
      </w:r>
      <w:r>
        <w:rPr>
          <w:i/>
        </w:rPr>
        <w:t>.</w:t>
      </w:r>
    </w:p>
    <w:p w14:paraId="500D0B52" w14:textId="77777777" w:rsidR="008B6006" w:rsidRPr="00BF5DDF" w:rsidRDefault="008B6006" w:rsidP="00D74D35">
      <w:pPr>
        <w:spacing w:after="200"/>
        <w:rPr>
          <w:b/>
        </w:rPr>
      </w:pPr>
      <w:r w:rsidRPr="00BF5DDF">
        <w:rPr>
          <w:b/>
        </w:rPr>
        <w:t>Derivative material</w:t>
      </w:r>
    </w:p>
    <w:p w14:paraId="1F783B82" w14:textId="77777777" w:rsidR="008B6006" w:rsidRDefault="008B6006" w:rsidP="008B6006">
      <w:r w:rsidRPr="006627B4">
        <w:t xml:space="preserve">If you have modified or transformed Treasury material, or derived new material from those of the Treasury in any way, then Treasury prefers the following attribution: </w:t>
      </w:r>
    </w:p>
    <w:p w14:paraId="7E792658" w14:textId="061CB61D" w:rsidR="00D74D35" w:rsidRPr="00D74D35" w:rsidRDefault="00D74D35" w:rsidP="00D74D35">
      <w:pPr>
        <w:tabs>
          <w:tab w:val="left" w:pos="4152"/>
        </w:tabs>
        <w:ind w:left="567"/>
        <w:rPr>
          <w:i/>
        </w:rPr>
      </w:pPr>
      <w:r w:rsidRPr="00D74D35">
        <w:rPr>
          <w:i/>
        </w:rPr>
        <w:t xml:space="preserve">Based on </w:t>
      </w:r>
      <w:proofErr w:type="gramStart"/>
      <w:r w:rsidRPr="00D74D35">
        <w:rPr>
          <w:i/>
        </w:rPr>
        <w:t>The</w:t>
      </w:r>
      <w:proofErr w:type="gramEnd"/>
      <w:r w:rsidRPr="00D74D35">
        <w:rPr>
          <w:i/>
        </w:rPr>
        <w:t xml:space="preserve"> Australian Government the Treasury</w:t>
      </w:r>
    </w:p>
    <w:p w14:paraId="628FA139" w14:textId="77777777" w:rsidR="008B6006" w:rsidRPr="006627B4" w:rsidRDefault="008B6006" w:rsidP="008B6006">
      <w:pPr>
        <w:spacing w:after="40"/>
        <w:rPr>
          <w:b/>
        </w:rPr>
      </w:pPr>
      <w:r w:rsidRPr="006627B4">
        <w:rPr>
          <w:b/>
        </w:rPr>
        <w:t>Use of the Coat of Arms</w:t>
      </w:r>
    </w:p>
    <w:p w14:paraId="3B28EDFC" w14:textId="4E4D7ECA" w:rsidR="008B6006" w:rsidRPr="006627B4" w:rsidRDefault="008B6006" w:rsidP="00D74D35">
      <w:pPr>
        <w:spacing w:after="200"/>
      </w:pPr>
      <w:r w:rsidRPr="006627B4">
        <w:t>The terms under which the Coat of Arms can be used are set out on the It</w:t>
      </w:r>
      <w:r w:rsidR="008205A1">
        <w:t>’</w:t>
      </w:r>
      <w:r w:rsidRPr="006627B4">
        <w:t xml:space="preserve">s an Honour website (see </w:t>
      </w:r>
      <w:hyperlink r:id="rId22" w:history="1">
        <w:r w:rsidRPr="00947C03">
          <w:rPr>
            <w:rStyle w:val="Hyperlink"/>
          </w:rPr>
          <w:t>www.itsanhonour.gov.au</w:t>
        </w:r>
      </w:hyperlink>
      <w:r w:rsidRPr="006627B4">
        <w:t>)</w:t>
      </w:r>
      <w:r>
        <w:t>.</w:t>
      </w:r>
    </w:p>
    <w:p w14:paraId="2C3EB411" w14:textId="77777777" w:rsidR="008B6006" w:rsidRPr="00695A35" w:rsidRDefault="008B6006" w:rsidP="008B6006">
      <w:pPr>
        <w:spacing w:after="120"/>
        <w:jc w:val="left"/>
        <w:rPr>
          <w:b/>
        </w:rPr>
      </w:pPr>
      <w:r w:rsidRPr="00695A35">
        <w:rPr>
          <w:b/>
        </w:rPr>
        <w:t xml:space="preserve">Other </w:t>
      </w:r>
      <w:r>
        <w:rPr>
          <w:b/>
        </w:rPr>
        <w:t>u</w:t>
      </w:r>
      <w:r w:rsidRPr="00695A35">
        <w:rPr>
          <w:b/>
        </w:rPr>
        <w:t>ses</w:t>
      </w:r>
    </w:p>
    <w:p w14:paraId="7C8EA9A4" w14:textId="77777777" w:rsidR="008B6006" w:rsidRPr="005525FE" w:rsidRDefault="008B6006" w:rsidP="00D74D35">
      <w:pPr>
        <w:spacing w:after="100"/>
        <w:jc w:val="left"/>
      </w:pPr>
      <w:r w:rsidRPr="005525FE">
        <w:t>Inquiries regarding this licence and any other use of this document are welcome at:</w:t>
      </w:r>
    </w:p>
    <w:p w14:paraId="080F04FF" w14:textId="77777777" w:rsidR="008B6006" w:rsidRDefault="008B6006" w:rsidP="00D74D35">
      <w:pPr>
        <w:spacing w:after="100"/>
        <w:ind w:left="567"/>
        <w:jc w:val="left"/>
      </w:pPr>
      <w:r w:rsidRPr="005525FE">
        <w:t>Manager</w:t>
      </w:r>
      <w:r>
        <w:br/>
      </w:r>
      <w:r w:rsidRPr="005525FE">
        <w:t xml:space="preserve">Communications </w:t>
      </w:r>
      <w:r>
        <w:br/>
      </w:r>
      <w:r w:rsidRPr="005525FE">
        <w:t>The</w:t>
      </w:r>
      <w:r>
        <w:t xml:space="preserve"> </w:t>
      </w:r>
      <w:r w:rsidRPr="005525FE">
        <w:t>Treasury</w:t>
      </w:r>
      <w:r>
        <w:br/>
      </w:r>
      <w:r w:rsidRPr="005525FE">
        <w:t xml:space="preserve">Langton Crescent </w:t>
      </w:r>
      <w:r>
        <w:br/>
      </w:r>
      <w:proofErr w:type="spellStart"/>
      <w:r w:rsidRPr="005525FE">
        <w:t>Parkes</w:t>
      </w:r>
      <w:proofErr w:type="spellEnd"/>
      <w:proofErr w:type="gramStart"/>
      <w:r>
        <w:t>  </w:t>
      </w:r>
      <w:r w:rsidRPr="005525FE">
        <w:t>ACT</w:t>
      </w:r>
      <w:proofErr w:type="gramEnd"/>
      <w:r>
        <w:t>  </w:t>
      </w:r>
      <w:r w:rsidRPr="005525FE">
        <w:t>2600</w:t>
      </w:r>
      <w:r>
        <w:br/>
      </w:r>
      <w:r w:rsidRPr="005525FE">
        <w:t xml:space="preserve">Email: </w:t>
      </w:r>
      <w:hyperlink r:id="rId23" w:history="1">
        <w:r w:rsidRPr="005525FE">
          <w:rPr>
            <w:rStyle w:val="Hyperlink"/>
          </w:rPr>
          <w:t>medialiaison@treasury.gov.au</w:t>
        </w:r>
      </w:hyperlink>
    </w:p>
    <w:p w14:paraId="449D824A" w14:textId="77777777" w:rsidR="00294A97" w:rsidRDefault="008B6006" w:rsidP="008B6006">
      <w:pPr>
        <w:spacing w:after="0"/>
        <w:jc w:val="left"/>
        <w:sectPr w:rsidR="00294A97" w:rsidSect="0031133C">
          <w:headerReference w:type="even" r:id="rId24"/>
          <w:headerReference w:type="default" r:id="rId25"/>
          <w:footerReference w:type="even" r:id="rId26"/>
          <w:footerReference w:type="default" r:id="rId27"/>
          <w:headerReference w:type="first" r:id="rId28"/>
          <w:footerReference w:type="first" r:id="rId29"/>
          <w:pgSz w:w="11907" w:h="16840" w:code="9"/>
          <w:pgMar w:top="2466" w:right="2098" w:bottom="2466" w:left="2098" w:header="1899" w:footer="1899" w:gutter="0"/>
          <w:pgNumType w:fmt="lowerRoman"/>
          <w:cols w:space="720"/>
          <w:titlePg/>
          <w:docGrid w:linePitch="360"/>
        </w:sectPr>
      </w:pPr>
      <w:r>
        <w:t xml:space="preserve">A copy of this document appears on the Foreign Investment Review Board website at </w:t>
      </w:r>
      <w:hyperlink r:id="rId30" w:history="1">
        <w:r w:rsidRPr="00BA7AE3">
          <w:rPr>
            <w:rStyle w:val="Hyperlink"/>
          </w:rPr>
          <w:t>www.firb.gov.au</w:t>
        </w:r>
      </w:hyperlink>
      <w:r>
        <w:t>.</w:t>
      </w:r>
    </w:p>
    <w:p w14:paraId="0BBAE60C" w14:textId="70CD026A" w:rsidR="007F0125" w:rsidRPr="00FD3B20" w:rsidRDefault="00CD762D" w:rsidP="007F0125">
      <w:pPr>
        <w:spacing w:after="0"/>
        <w:jc w:val="right"/>
        <w:rPr>
          <w:szCs w:val="24"/>
        </w:rPr>
      </w:pPr>
      <w:r>
        <w:rPr>
          <w:szCs w:val="24"/>
        </w:rPr>
        <w:lastRenderedPageBreak/>
        <w:t>29 March</w:t>
      </w:r>
      <w:r w:rsidR="007F0125" w:rsidRPr="00FD3B20">
        <w:rPr>
          <w:szCs w:val="24"/>
        </w:rPr>
        <w:t xml:space="preserve"> 201</w:t>
      </w:r>
      <w:r w:rsidR="00172835" w:rsidRPr="00FD3B20">
        <w:rPr>
          <w:szCs w:val="24"/>
        </w:rPr>
        <w:t>7</w:t>
      </w:r>
    </w:p>
    <w:p w14:paraId="430CAD13" w14:textId="6A61221F" w:rsidR="007F0125" w:rsidRPr="00FD3B20" w:rsidRDefault="007F0125" w:rsidP="007F0125">
      <w:pPr>
        <w:spacing w:after="0"/>
        <w:rPr>
          <w:szCs w:val="24"/>
        </w:rPr>
      </w:pPr>
      <w:r w:rsidRPr="00FD3B20">
        <w:rPr>
          <w:szCs w:val="24"/>
        </w:rPr>
        <w:t>The Hon Scott Morrison MP</w:t>
      </w:r>
    </w:p>
    <w:p w14:paraId="1817F6BB" w14:textId="0877F797" w:rsidR="007F0125" w:rsidRPr="00FD3B20" w:rsidRDefault="007F0125" w:rsidP="007F0125">
      <w:pPr>
        <w:spacing w:after="0"/>
        <w:rPr>
          <w:szCs w:val="24"/>
        </w:rPr>
      </w:pPr>
      <w:r w:rsidRPr="00FD3B20">
        <w:rPr>
          <w:szCs w:val="24"/>
        </w:rPr>
        <w:t>Treasurer</w:t>
      </w:r>
    </w:p>
    <w:p w14:paraId="29ED1CD6" w14:textId="4382E3D8" w:rsidR="007F0125" w:rsidRPr="00FD3B20" w:rsidRDefault="007F0125" w:rsidP="007F0125">
      <w:pPr>
        <w:spacing w:after="0"/>
        <w:rPr>
          <w:szCs w:val="24"/>
        </w:rPr>
      </w:pPr>
      <w:r w:rsidRPr="00FD3B20">
        <w:rPr>
          <w:szCs w:val="24"/>
        </w:rPr>
        <w:t>Parliament House</w:t>
      </w:r>
    </w:p>
    <w:p w14:paraId="7F8F9CE4" w14:textId="6B670753" w:rsidR="007F0125" w:rsidRPr="00FD3B20" w:rsidRDefault="007F0125" w:rsidP="0065797B">
      <w:pPr>
        <w:rPr>
          <w:szCs w:val="24"/>
        </w:rPr>
      </w:pPr>
      <w:proofErr w:type="gramStart"/>
      <w:r w:rsidRPr="00FD3B20">
        <w:rPr>
          <w:szCs w:val="24"/>
        </w:rPr>
        <w:t>CANBERRA  ACT</w:t>
      </w:r>
      <w:proofErr w:type="gramEnd"/>
      <w:r w:rsidRPr="00FD3B20">
        <w:rPr>
          <w:szCs w:val="24"/>
        </w:rPr>
        <w:t xml:space="preserve">  2600</w:t>
      </w:r>
    </w:p>
    <w:p w14:paraId="6BC6A1BC" w14:textId="77777777" w:rsidR="00FD3B20" w:rsidRDefault="00FD3B20" w:rsidP="003D4EDC">
      <w:pPr>
        <w:spacing w:after="160"/>
        <w:rPr>
          <w:szCs w:val="24"/>
        </w:rPr>
      </w:pPr>
    </w:p>
    <w:p w14:paraId="7B98B5B2" w14:textId="5D1125BE" w:rsidR="0065797B" w:rsidRPr="00FD3B20" w:rsidRDefault="00EB7037" w:rsidP="003D4EDC">
      <w:pPr>
        <w:spacing w:after="160"/>
        <w:rPr>
          <w:szCs w:val="24"/>
        </w:rPr>
      </w:pPr>
      <w:r>
        <w:rPr>
          <w:szCs w:val="24"/>
        </w:rPr>
        <w:t>Dear Treasurer,</w:t>
      </w:r>
    </w:p>
    <w:p w14:paraId="2C7F5A29" w14:textId="6D2867D0" w:rsidR="0065797B" w:rsidRPr="00FD3B20" w:rsidRDefault="0065797B" w:rsidP="003D4EDC">
      <w:pPr>
        <w:spacing w:after="160"/>
        <w:rPr>
          <w:szCs w:val="24"/>
        </w:rPr>
      </w:pPr>
      <w:r w:rsidRPr="00FD3B20">
        <w:rPr>
          <w:szCs w:val="24"/>
        </w:rPr>
        <w:t>I am pleased to present the annual report of the Foreign Investment Review Board for the year ended 30 June 2016. The report has been prepared in accordance with the Board</w:t>
      </w:r>
      <w:r w:rsidR="008205A1">
        <w:rPr>
          <w:szCs w:val="24"/>
        </w:rPr>
        <w:t>’</w:t>
      </w:r>
      <w:r w:rsidRPr="00FD3B20">
        <w:rPr>
          <w:szCs w:val="24"/>
        </w:rPr>
        <w:t>s responsibility to advise the Government</w:t>
      </w:r>
      <w:r w:rsidR="003D4EDC" w:rsidRPr="00FD3B20">
        <w:rPr>
          <w:szCs w:val="24"/>
        </w:rPr>
        <w:t xml:space="preserve"> on foreign investment matters.</w:t>
      </w:r>
    </w:p>
    <w:p w14:paraId="5E49ECEF" w14:textId="0710AB29" w:rsidR="0065797B" w:rsidRPr="00FD3B20" w:rsidRDefault="0065797B" w:rsidP="00EC2695">
      <w:r w:rsidRPr="00FD3B20">
        <w:t>Australia continued to be a significant destination for foreign investment in</w:t>
      </w:r>
      <w:r w:rsidR="006355EF" w:rsidRPr="00FD3B20">
        <w:t> </w:t>
      </w:r>
      <w:r w:rsidRPr="00FD3B20">
        <w:t>2015</w:t>
      </w:r>
      <w:r w:rsidR="008205A1">
        <w:noBreakHyphen/>
      </w:r>
      <w:r w:rsidRPr="00FD3B20">
        <w:t xml:space="preserve">16. The value of approved investment rose to </w:t>
      </w:r>
      <w:r w:rsidR="000A0C9A">
        <w:t>around</w:t>
      </w:r>
      <w:r w:rsidRPr="00FD3B20">
        <w:t xml:space="preserve"> </w:t>
      </w:r>
      <w:r w:rsidR="0057387C">
        <w:t>$248</w:t>
      </w:r>
      <w:r w:rsidR="003D4EDC" w:rsidRPr="00FD3B20">
        <w:t xml:space="preserve"> billion, an increase of </w:t>
      </w:r>
      <w:r w:rsidR="007139E7">
        <w:t xml:space="preserve">over </w:t>
      </w:r>
      <w:r w:rsidR="003D4EDC" w:rsidRPr="00FD3B20">
        <w:t>$</w:t>
      </w:r>
      <w:r w:rsidR="002C530B">
        <w:t>5</w:t>
      </w:r>
      <w:r w:rsidR="00360617">
        <w:t>5</w:t>
      </w:r>
      <w:r w:rsidR="003D4EDC" w:rsidRPr="00FD3B20">
        <w:t> </w:t>
      </w:r>
      <w:r w:rsidRPr="00FD3B20">
        <w:t xml:space="preserve">billion on </w:t>
      </w:r>
      <w:r w:rsidR="00FE4963">
        <w:t>2014</w:t>
      </w:r>
      <w:r w:rsidR="008205A1">
        <w:noBreakHyphen/>
      </w:r>
      <w:r w:rsidRPr="00FD3B20">
        <w:t>15. This was predominantly driven by increased invest</w:t>
      </w:r>
      <w:r w:rsidR="003D4EDC" w:rsidRPr="00FD3B20">
        <w:t xml:space="preserve">ment in the real estate sector. </w:t>
      </w:r>
      <w:r w:rsidRPr="00FD3B20">
        <w:t>China ($47.3 billion) remains our largest source of approved foreign investment, follo</w:t>
      </w:r>
      <w:r w:rsidR="00FE60E3" w:rsidRPr="00FD3B20">
        <w:t>wed by the United States ($3</w:t>
      </w:r>
      <w:r w:rsidR="000A0C9A">
        <w:t>1</w:t>
      </w:r>
      <w:r w:rsidR="00FE60E3" w:rsidRPr="00FD3B20">
        <w:t>.</w:t>
      </w:r>
      <w:r w:rsidR="000A0C9A">
        <w:t>0</w:t>
      </w:r>
      <w:r w:rsidR="00FE60E3" w:rsidRPr="00FD3B20">
        <w:t> </w:t>
      </w:r>
      <w:r w:rsidRPr="00FD3B20">
        <w:t>billion).</w:t>
      </w:r>
    </w:p>
    <w:p w14:paraId="55136B9C" w14:textId="67C0CCF4" w:rsidR="0065797B" w:rsidRPr="00FD3B20" w:rsidRDefault="0065797B" w:rsidP="00EC2695">
      <w:r w:rsidRPr="00FD3B20">
        <w:t xml:space="preserve">One of the key roles of the Board is to examine significant and sensitive foreign investment applications and advise on the national interest implications. </w:t>
      </w:r>
      <w:r w:rsidR="00EF5C62" w:rsidRPr="00FD3B20">
        <w:t>A</w:t>
      </w:r>
      <w:r w:rsidRPr="00FD3B20">
        <w:t xml:space="preserve"> range of high profile investment applications </w:t>
      </w:r>
      <w:r w:rsidR="00EF5C62" w:rsidRPr="00FD3B20">
        <w:t xml:space="preserve">were examined </w:t>
      </w:r>
      <w:r w:rsidRPr="00FD3B20">
        <w:t>in 2015</w:t>
      </w:r>
      <w:r w:rsidR="008205A1">
        <w:noBreakHyphen/>
      </w:r>
      <w:r w:rsidRPr="00FD3B20">
        <w:t>16, inclu</w:t>
      </w:r>
      <w:r w:rsidR="00FD3B20">
        <w:t xml:space="preserve">ding the </w:t>
      </w:r>
      <w:r w:rsidR="007139E7">
        <w:t xml:space="preserve">sale of </w:t>
      </w:r>
      <w:r w:rsidR="003033C8">
        <w:t xml:space="preserve">a </w:t>
      </w:r>
      <w:r w:rsidR="007139E7">
        <w:t>NSW electricity transmission and distribution business</w:t>
      </w:r>
      <w:r w:rsidR="003033C8">
        <w:t xml:space="preserve"> </w:t>
      </w:r>
      <w:r w:rsidR="00EF5C62" w:rsidRPr="00FD3B20">
        <w:t>and the bid by</w:t>
      </w:r>
      <w:r w:rsidRPr="00FD3B20">
        <w:t xml:space="preserve"> Moon Lake Investments to acquire the </w:t>
      </w:r>
      <w:r w:rsidR="007A7776" w:rsidRPr="00D02CB8">
        <w:t xml:space="preserve">Van </w:t>
      </w:r>
      <w:proofErr w:type="spellStart"/>
      <w:r w:rsidR="007A7776" w:rsidRPr="00D02CB8">
        <w:t>Dieman</w:t>
      </w:r>
      <w:r w:rsidR="008205A1">
        <w:t>’</w:t>
      </w:r>
      <w:r w:rsidR="007A7776" w:rsidRPr="00D02CB8">
        <w:t>s</w:t>
      </w:r>
      <w:proofErr w:type="spellEnd"/>
      <w:r w:rsidRPr="00D02CB8">
        <w:t xml:space="preserve"> Land Company</w:t>
      </w:r>
      <w:r w:rsidR="006355EF" w:rsidRPr="00D02CB8">
        <w:t>.</w:t>
      </w:r>
    </w:p>
    <w:p w14:paraId="651410E4" w14:textId="53520847" w:rsidR="0065797B" w:rsidRPr="00FD3B20" w:rsidRDefault="0065797B" w:rsidP="00EC2695">
      <w:r w:rsidRPr="00FD3B20">
        <w:t xml:space="preserve">In 2016, the Board reached the significant milestone </w:t>
      </w:r>
      <w:r w:rsidR="00854C21" w:rsidRPr="00FD3B20">
        <w:t xml:space="preserve">of </w:t>
      </w:r>
      <w:r w:rsidR="005E4ACA">
        <w:t>forty</w:t>
      </w:r>
      <w:r w:rsidRPr="00FD3B20">
        <w:t xml:space="preserve"> years since it was first established to provide advice on foreign investment proposals. The other significant </w:t>
      </w:r>
      <w:r w:rsidR="007A7776">
        <w:t>event</w:t>
      </w:r>
      <w:r w:rsidRPr="00FD3B20">
        <w:t xml:space="preserve"> was the commencement of the reforms to strengthen the foreign investment framework on </w:t>
      </w:r>
      <w:r w:rsidR="00FD3B20">
        <w:t>1 December </w:t>
      </w:r>
      <w:r w:rsidRPr="00FD3B20">
        <w:t xml:space="preserve">2015. These reforms represented the </w:t>
      </w:r>
      <w:r w:rsidR="00FE4963">
        <w:t>most substantial</w:t>
      </w:r>
      <w:r w:rsidRPr="00FD3B20">
        <w:t xml:space="preserve"> chang</w:t>
      </w:r>
      <w:r w:rsidR="00FD3B20">
        <w:t xml:space="preserve">e to the framework </w:t>
      </w:r>
      <w:r w:rsidR="00FE4963">
        <w:t>during the Board</w:t>
      </w:r>
      <w:r w:rsidR="008205A1">
        <w:t>’</w:t>
      </w:r>
      <w:r w:rsidR="00FE4963">
        <w:t>s forty</w:t>
      </w:r>
      <w:r w:rsidR="008205A1">
        <w:noBreakHyphen/>
      </w:r>
      <w:r w:rsidR="005E4ACA">
        <w:t>year history</w:t>
      </w:r>
      <w:r w:rsidR="003D4EDC" w:rsidRPr="00FD3B20">
        <w:t>.</w:t>
      </w:r>
    </w:p>
    <w:p w14:paraId="7CD8F5BF" w14:textId="659AE9E1" w:rsidR="00F5162D" w:rsidRPr="00FD3B20" w:rsidRDefault="0065797B" w:rsidP="00EC2695">
      <w:r w:rsidRPr="00FD3B20">
        <w:t>This year</w:t>
      </w:r>
      <w:r w:rsidR="008205A1">
        <w:t>’</w:t>
      </w:r>
      <w:r w:rsidRPr="00FD3B20">
        <w:t xml:space="preserve">s annual report includes a timeline of key </w:t>
      </w:r>
      <w:r w:rsidR="007A7776">
        <w:t>e</w:t>
      </w:r>
      <w:r w:rsidRPr="00FD3B20">
        <w:t xml:space="preserve">vents </w:t>
      </w:r>
      <w:r w:rsidR="007A7776">
        <w:t>and</w:t>
      </w:r>
      <w:r w:rsidRPr="00FD3B20">
        <w:t xml:space="preserve"> development</w:t>
      </w:r>
      <w:r w:rsidR="007A7776">
        <w:t>s in</w:t>
      </w:r>
      <w:r w:rsidRPr="00FD3B20">
        <w:t xml:space="preserve"> Australia</w:t>
      </w:r>
      <w:r w:rsidR="008205A1">
        <w:t>’</w:t>
      </w:r>
      <w:r w:rsidRPr="00FD3B20">
        <w:t xml:space="preserve">s foreign investment </w:t>
      </w:r>
      <w:r w:rsidR="00FE4963">
        <w:t>framework</w:t>
      </w:r>
      <w:r w:rsidRPr="00FD3B20">
        <w:t>. While the source</w:t>
      </w:r>
      <w:r w:rsidR="006355EF" w:rsidRPr="00FD3B20">
        <w:t xml:space="preserve">s </w:t>
      </w:r>
      <w:r w:rsidR="007A7776">
        <w:t>of investment may have changed</w:t>
      </w:r>
      <w:r w:rsidRPr="00FD3B20">
        <w:t xml:space="preserve"> and the sectors and industries have shifted, foreign investment has been integral to the Australian economy for </w:t>
      </w:r>
      <w:r w:rsidR="002C530B">
        <w:t>many</w:t>
      </w:r>
      <w:r w:rsidR="007A7776">
        <w:t xml:space="preserve"> years</w:t>
      </w:r>
      <w:r w:rsidRPr="00FD3B20">
        <w:t xml:space="preserve"> and is essential to Australia</w:t>
      </w:r>
      <w:r w:rsidR="008205A1">
        <w:t>’</w:t>
      </w:r>
      <w:r w:rsidRPr="00FD3B20">
        <w:t xml:space="preserve">s </w:t>
      </w:r>
      <w:r w:rsidR="003D4EDC" w:rsidRPr="00FD3B20">
        <w:t>economic growth and prosperity.</w:t>
      </w:r>
    </w:p>
    <w:p w14:paraId="33310BD7" w14:textId="77777777" w:rsidR="0065797B" w:rsidRPr="00FD3B20" w:rsidRDefault="0065797B" w:rsidP="00EC2695">
      <w:r w:rsidRPr="00FD3B20">
        <w:t>Yours sincerely</w:t>
      </w:r>
    </w:p>
    <w:p w14:paraId="7A1D575A" w14:textId="65C4FB0A" w:rsidR="005F07F8" w:rsidRDefault="00527C2A" w:rsidP="0065797B">
      <w:pPr>
        <w:spacing w:before="120" w:after="120" w:line="240" w:lineRule="auto"/>
        <w:jc w:val="left"/>
        <w:rPr>
          <w:noProof/>
          <w:sz w:val="18"/>
          <w:szCs w:val="22"/>
        </w:rPr>
      </w:pPr>
      <w:r>
        <w:rPr>
          <w:rFonts w:ascii="Times New Roman" w:hAnsi="Times New Roman"/>
          <w:noProof/>
          <w:sz w:val="22"/>
          <w:szCs w:val="22"/>
        </w:rPr>
        <w:drawing>
          <wp:inline distT="0" distB="0" distL="0" distR="0" wp14:anchorId="25079A67" wp14:editId="768EF7CA">
            <wp:extent cx="2047875" cy="657225"/>
            <wp:effectExtent l="0" t="0" r="9525" b="9525"/>
            <wp:docPr id="2" name="Picture 2" descr="Chairman Brian Wils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airman Brian Wilson's signa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7875" cy="657225"/>
                    </a:xfrm>
                    <a:prstGeom prst="rect">
                      <a:avLst/>
                    </a:prstGeom>
                    <a:noFill/>
                    <a:ln>
                      <a:noFill/>
                    </a:ln>
                  </pic:spPr>
                </pic:pic>
              </a:graphicData>
            </a:graphic>
          </wp:inline>
        </w:drawing>
      </w:r>
    </w:p>
    <w:p w14:paraId="0626D025" w14:textId="77777777" w:rsidR="005F07F8" w:rsidRPr="00FD3B20" w:rsidRDefault="005F07F8" w:rsidP="0065797B">
      <w:pPr>
        <w:spacing w:before="120" w:after="120" w:line="240" w:lineRule="auto"/>
        <w:jc w:val="left"/>
        <w:rPr>
          <w:noProof/>
          <w:sz w:val="18"/>
          <w:szCs w:val="22"/>
        </w:rPr>
      </w:pPr>
    </w:p>
    <w:p w14:paraId="47CDB90B" w14:textId="77777777" w:rsidR="0065797B" w:rsidRPr="00FD3B20" w:rsidRDefault="0065797B" w:rsidP="00EC2695">
      <w:pPr>
        <w:jc w:val="left"/>
        <w:rPr>
          <w:sz w:val="18"/>
        </w:rPr>
      </w:pPr>
      <w:r w:rsidRPr="00FD3B20">
        <w:t>Brian Wilson</w:t>
      </w:r>
      <w:r w:rsidRPr="00FD3B20">
        <w:br/>
        <w:t>Chairman</w:t>
      </w:r>
    </w:p>
    <w:p w14:paraId="344EEA54" w14:textId="77777777" w:rsidR="00204E29" w:rsidRDefault="00204E29" w:rsidP="0065797B">
      <w:pPr>
        <w:spacing w:after="200" w:line="276" w:lineRule="auto"/>
        <w:jc w:val="left"/>
        <w:sectPr w:rsidR="00204E29" w:rsidSect="00294A97">
          <w:footerReference w:type="first" r:id="rId32"/>
          <w:type w:val="oddPage"/>
          <w:pgSz w:w="11907" w:h="16840" w:code="9"/>
          <w:pgMar w:top="2466" w:right="2098" w:bottom="2466" w:left="2098" w:header="1899" w:footer="1899" w:gutter="0"/>
          <w:pgNumType w:fmt="lowerRoman"/>
          <w:cols w:space="720"/>
          <w:titlePg/>
          <w:docGrid w:linePitch="360"/>
        </w:sectPr>
      </w:pPr>
      <w:bookmarkStart w:id="0" w:name="_Toc341070502"/>
      <w:bookmarkStart w:id="1" w:name="_Toc341498333"/>
      <w:bookmarkStart w:id="2" w:name="_Toc341498509"/>
      <w:bookmarkStart w:id="3" w:name="_Toc342795680"/>
      <w:bookmarkStart w:id="4" w:name="_Toc344015210"/>
      <w:bookmarkStart w:id="5" w:name="_Toc368474012"/>
      <w:bookmarkStart w:id="6" w:name="_Toc371135350"/>
      <w:bookmarkStart w:id="7" w:name="_Toc410717772"/>
      <w:bookmarkStart w:id="8" w:name="_Toc440182425"/>
      <w:bookmarkStart w:id="9" w:name="_Toc440182485"/>
      <w:bookmarkStart w:id="10" w:name="_Toc440182796"/>
      <w:bookmarkStart w:id="11" w:name="_Toc440187218"/>
      <w:bookmarkStart w:id="12" w:name="_Toc440187269"/>
      <w:bookmarkStart w:id="13" w:name="_Toc440187369"/>
      <w:bookmarkStart w:id="14" w:name="_Toc440187395"/>
      <w:bookmarkStart w:id="15" w:name="_Toc44018740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00F0334" w14:textId="2CD8F258" w:rsidR="008B6006" w:rsidRPr="00AF3842" w:rsidRDefault="008B6006" w:rsidP="00204E29">
      <w:pPr>
        <w:pStyle w:val="ContentsHeading"/>
        <w:rPr>
          <w:color w:val="7030A0"/>
        </w:rPr>
      </w:pPr>
      <w:r w:rsidRPr="00204E29">
        <w:lastRenderedPageBreak/>
        <w:t>Cont</w:t>
      </w:r>
      <w:r w:rsidR="0052415C" w:rsidRPr="00204E29">
        <w:t>ent</w:t>
      </w:r>
      <w:r w:rsidR="0048603D" w:rsidRPr="00204E29">
        <w:t>s</w:t>
      </w:r>
      <w:r w:rsidR="009E3BCF" w:rsidRPr="00AF3842">
        <w:t xml:space="preserve"> </w:t>
      </w:r>
      <w:r w:rsidR="009E3BCF" w:rsidRPr="00AF3842">
        <w:rPr>
          <w:color w:val="7030A0"/>
        </w:rPr>
        <w:t xml:space="preserve"> </w:t>
      </w:r>
    </w:p>
    <w:sdt>
      <w:sdtPr>
        <w:id w:val="-479772144"/>
        <w:docPartObj>
          <w:docPartGallery w:val="Table of Contents"/>
          <w:docPartUnique/>
        </w:docPartObj>
      </w:sdtPr>
      <w:sdtEndPr>
        <w:rPr>
          <w:b/>
          <w:bCs/>
          <w:noProof/>
        </w:rPr>
      </w:sdtEndPr>
      <w:sdtContent>
        <w:p w14:paraId="6E9BABE6" w14:textId="2C5801E8" w:rsidR="003E6736" w:rsidRDefault="003E6736" w:rsidP="00204E29">
          <w:pPr>
            <w:pStyle w:val="Bullet"/>
            <w:numPr>
              <w:ilvl w:val="0"/>
              <w:numId w:val="0"/>
            </w:numPr>
            <w:ind w:left="360" w:hanging="360"/>
          </w:pPr>
        </w:p>
        <w:p w14:paraId="0A3DD756" w14:textId="77777777" w:rsidR="00E30512" w:rsidRDefault="00C72611">
          <w:pPr>
            <w:pStyle w:val="TOC1"/>
            <w:rPr>
              <w:rFonts w:asciiTheme="minorHAnsi" w:eastAsiaTheme="minorEastAsia" w:hAnsiTheme="minorHAnsi" w:cstheme="minorBidi"/>
              <w:b w:val="0"/>
              <w:smallCaps w:val="0"/>
              <w:color w:val="auto"/>
            </w:rPr>
          </w:pPr>
          <w:r>
            <w:rPr>
              <w:b w:val="0"/>
            </w:rPr>
            <w:fldChar w:fldCharType="begin"/>
          </w:r>
          <w:r>
            <w:rPr>
              <w:b w:val="0"/>
            </w:rPr>
            <w:instrText xml:space="preserve"> TOC \o "1-2" \h \z \u </w:instrText>
          </w:r>
          <w:r>
            <w:rPr>
              <w:b w:val="0"/>
            </w:rPr>
            <w:fldChar w:fldCharType="separate"/>
          </w:r>
          <w:hyperlink w:anchor="_Toc476737069" w:history="1">
            <w:r w:rsidR="00E30512" w:rsidRPr="00AA42AD">
              <w:rPr>
                <w:rStyle w:val="Hyperlink"/>
              </w:rPr>
              <w:t>Main Points</w:t>
            </w:r>
            <w:r w:rsidR="00E30512">
              <w:rPr>
                <w:webHidden/>
              </w:rPr>
              <w:tab/>
            </w:r>
            <w:r w:rsidR="00E30512">
              <w:rPr>
                <w:webHidden/>
              </w:rPr>
              <w:fldChar w:fldCharType="begin"/>
            </w:r>
            <w:r w:rsidR="00E30512">
              <w:rPr>
                <w:webHidden/>
              </w:rPr>
              <w:instrText xml:space="preserve"> PAGEREF _Toc476737069 \h </w:instrText>
            </w:r>
            <w:r w:rsidR="00E30512">
              <w:rPr>
                <w:webHidden/>
              </w:rPr>
            </w:r>
            <w:r w:rsidR="00E30512">
              <w:rPr>
                <w:webHidden/>
              </w:rPr>
              <w:fldChar w:fldCharType="separate"/>
            </w:r>
            <w:r w:rsidR="00545525">
              <w:rPr>
                <w:webHidden/>
              </w:rPr>
              <w:t>vii</w:t>
            </w:r>
            <w:r w:rsidR="00E30512">
              <w:rPr>
                <w:webHidden/>
              </w:rPr>
              <w:fldChar w:fldCharType="end"/>
            </w:r>
          </w:hyperlink>
        </w:p>
        <w:p w14:paraId="017AA5F5" w14:textId="77777777" w:rsidR="00E30512" w:rsidRDefault="00545525">
          <w:pPr>
            <w:pStyle w:val="TOC1"/>
            <w:rPr>
              <w:rFonts w:asciiTheme="minorHAnsi" w:eastAsiaTheme="minorEastAsia" w:hAnsiTheme="minorHAnsi" w:cstheme="minorBidi"/>
              <w:b w:val="0"/>
              <w:smallCaps w:val="0"/>
              <w:color w:val="auto"/>
            </w:rPr>
          </w:pPr>
          <w:hyperlink w:anchor="_Toc476737070" w:history="1">
            <w:r w:rsidR="00E30512" w:rsidRPr="00AA42AD">
              <w:rPr>
                <w:rStyle w:val="Hyperlink"/>
              </w:rPr>
              <w:t>Chapter 1: The Foreign Investment Review Board</w:t>
            </w:r>
            <w:r w:rsidR="00E30512">
              <w:rPr>
                <w:webHidden/>
              </w:rPr>
              <w:tab/>
            </w:r>
            <w:r w:rsidR="00E30512">
              <w:rPr>
                <w:webHidden/>
              </w:rPr>
              <w:fldChar w:fldCharType="begin"/>
            </w:r>
            <w:r w:rsidR="00E30512">
              <w:rPr>
                <w:webHidden/>
              </w:rPr>
              <w:instrText xml:space="preserve"> PAGEREF _Toc476737070 \h </w:instrText>
            </w:r>
            <w:r w:rsidR="00E30512">
              <w:rPr>
                <w:webHidden/>
              </w:rPr>
            </w:r>
            <w:r w:rsidR="00E30512">
              <w:rPr>
                <w:webHidden/>
              </w:rPr>
              <w:fldChar w:fldCharType="separate"/>
            </w:r>
            <w:r>
              <w:rPr>
                <w:webHidden/>
              </w:rPr>
              <w:t>1</w:t>
            </w:r>
            <w:r w:rsidR="00E30512">
              <w:rPr>
                <w:webHidden/>
              </w:rPr>
              <w:fldChar w:fldCharType="end"/>
            </w:r>
          </w:hyperlink>
        </w:p>
        <w:p w14:paraId="593D65D2" w14:textId="77777777" w:rsidR="00E30512" w:rsidRDefault="00545525">
          <w:pPr>
            <w:pStyle w:val="TOC2"/>
            <w:rPr>
              <w:rFonts w:asciiTheme="minorHAnsi" w:eastAsiaTheme="minorEastAsia" w:hAnsiTheme="minorHAnsi" w:cstheme="minorBidi"/>
              <w:color w:val="auto"/>
              <w:sz w:val="22"/>
              <w:szCs w:val="22"/>
            </w:rPr>
          </w:pPr>
          <w:hyperlink w:anchor="_Toc476737071" w:history="1">
            <w:r w:rsidR="00E30512" w:rsidRPr="00AA42AD">
              <w:rPr>
                <w:rStyle w:val="Hyperlink"/>
              </w:rPr>
              <w:t>Board membership</w:t>
            </w:r>
            <w:r w:rsidR="00E30512">
              <w:rPr>
                <w:webHidden/>
              </w:rPr>
              <w:tab/>
            </w:r>
            <w:r w:rsidR="00E30512">
              <w:rPr>
                <w:webHidden/>
              </w:rPr>
              <w:fldChar w:fldCharType="begin"/>
            </w:r>
            <w:r w:rsidR="00E30512">
              <w:rPr>
                <w:webHidden/>
              </w:rPr>
              <w:instrText xml:space="preserve"> PAGEREF _Toc476737071 \h </w:instrText>
            </w:r>
            <w:r w:rsidR="00E30512">
              <w:rPr>
                <w:webHidden/>
              </w:rPr>
            </w:r>
            <w:r w:rsidR="00E30512">
              <w:rPr>
                <w:webHidden/>
              </w:rPr>
              <w:fldChar w:fldCharType="separate"/>
            </w:r>
            <w:r>
              <w:rPr>
                <w:webHidden/>
              </w:rPr>
              <w:t>2</w:t>
            </w:r>
            <w:r w:rsidR="00E30512">
              <w:rPr>
                <w:webHidden/>
              </w:rPr>
              <w:fldChar w:fldCharType="end"/>
            </w:r>
          </w:hyperlink>
        </w:p>
        <w:p w14:paraId="2377FD83" w14:textId="77777777" w:rsidR="00E30512" w:rsidRDefault="00545525">
          <w:pPr>
            <w:pStyle w:val="TOC2"/>
            <w:rPr>
              <w:rFonts w:asciiTheme="minorHAnsi" w:eastAsiaTheme="minorEastAsia" w:hAnsiTheme="minorHAnsi" w:cstheme="minorBidi"/>
              <w:color w:val="auto"/>
              <w:sz w:val="22"/>
              <w:szCs w:val="22"/>
            </w:rPr>
          </w:pPr>
          <w:hyperlink w:anchor="_Toc476737072" w:history="1">
            <w:r w:rsidR="00E30512" w:rsidRPr="00AA42AD">
              <w:rPr>
                <w:rStyle w:val="Hyperlink"/>
              </w:rPr>
              <w:t>Operational costs in 2015</w:t>
            </w:r>
            <w:r w:rsidR="00E30512" w:rsidRPr="00AA42AD">
              <w:rPr>
                <w:rStyle w:val="Hyperlink"/>
              </w:rPr>
              <w:noBreakHyphen/>
              <w:t>16</w:t>
            </w:r>
            <w:r w:rsidR="00E30512">
              <w:rPr>
                <w:webHidden/>
              </w:rPr>
              <w:tab/>
            </w:r>
            <w:r w:rsidR="00E30512">
              <w:rPr>
                <w:webHidden/>
              </w:rPr>
              <w:fldChar w:fldCharType="begin"/>
            </w:r>
            <w:r w:rsidR="00E30512">
              <w:rPr>
                <w:webHidden/>
              </w:rPr>
              <w:instrText xml:space="preserve"> PAGEREF _Toc476737072 \h </w:instrText>
            </w:r>
            <w:r w:rsidR="00E30512">
              <w:rPr>
                <w:webHidden/>
              </w:rPr>
            </w:r>
            <w:r w:rsidR="00E30512">
              <w:rPr>
                <w:webHidden/>
              </w:rPr>
              <w:fldChar w:fldCharType="separate"/>
            </w:r>
            <w:r>
              <w:rPr>
                <w:webHidden/>
              </w:rPr>
              <w:t>4</w:t>
            </w:r>
            <w:r w:rsidR="00E30512">
              <w:rPr>
                <w:webHidden/>
              </w:rPr>
              <w:fldChar w:fldCharType="end"/>
            </w:r>
          </w:hyperlink>
        </w:p>
        <w:p w14:paraId="4D454FD3" w14:textId="77777777" w:rsidR="00E30512" w:rsidRDefault="00545525">
          <w:pPr>
            <w:pStyle w:val="TOC2"/>
            <w:rPr>
              <w:rFonts w:asciiTheme="minorHAnsi" w:eastAsiaTheme="minorEastAsia" w:hAnsiTheme="minorHAnsi" w:cstheme="minorBidi"/>
              <w:color w:val="auto"/>
              <w:sz w:val="22"/>
              <w:szCs w:val="22"/>
            </w:rPr>
          </w:pPr>
          <w:hyperlink w:anchor="_Toc476737073" w:history="1">
            <w:r w:rsidR="00E30512" w:rsidRPr="00AA42AD">
              <w:rPr>
                <w:rStyle w:val="Hyperlink"/>
              </w:rPr>
              <w:t>Reforms</w:t>
            </w:r>
            <w:r w:rsidR="00E30512">
              <w:rPr>
                <w:webHidden/>
              </w:rPr>
              <w:tab/>
            </w:r>
            <w:r w:rsidR="00E30512">
              <w:rPr>
                <w:webHidden/>
              </w:rPr>
              <w:fldChar w:fldCharType="begin"/>
            </w:r>
            <w:r w:rsidR="00E30512">
              <w:rPr>
                <w:webHidden/>
              </w:rPr>
              <w:instrText xml:space="preserve"> PAGEREF _Toc476737073 \h </w:instrText>
            </w:r>
            <w:r w:rsidR="00E30512">
              <w:rPr>
                <w:webHidden/>
              </w:rPr>
            </w:r>
            <w:r w:rsidR="00E30512">
              <w:rPr>
                <w:webHidden/>
              </w:rPr>
              <w:fldChar w:fldCharType="separate"/>
            </w:r>
            <w:r>
              <w:rPr>
                <w:webHidden/>
              </w:rPr>
              <w:t>6</w:t>
            </w:r>
            <w:r w:rsidR="00E30512">
              <w:rPr>
                <w:webHidden/>
              </w:rPr>
              <w:fldChar w:fldCharType="end"/>
            </w:r>
          </w:hyperlink>
        </w:p>
        <w:p w14:paraId="77142532" w14:textId="77777777" w:rsidR="00E30512" w:rsidRDefault="00545525">
          <w:pPr>
            <w:pStyle w:val="TOC1"/>
            <w:rPr>
              <w:rFonts w:asciiTheme="minorHAnsi" w:eastAsiaTheme="minorEastAsia" w:hAnsiTheme="minorHAnsi" w:cstheme="minorBidi"/>
              <w:b w:val="0"/>
              <w:smallCaps w:val="0"/>
              <w:color w:val="auto"/>
            </w:rPr>
          </w:pPr>
          <w:hyperlink w:anchor="_Toc476737074" w:history="1">
            <w:r w:rsidR="00E30512" w:rsidRPr="00AA42AD">
              <w:rPr>
                <w:rStyle w:val="Hyperlink"/>
              </w:rPr>
              <w:t>Chapter 2: Foreign Investment Trends</w:t>
            </w:r>
            <w:r w:rsidR="00E30512">
              <w:rPr>
                <w:webHidden/>
              </w:rPr>
              <w:tab/>
            </w:r>
            <w:r w:rsidR="00E30512">
              <w:rPr>
                <w:webHidden/>
              </w:rPr>
              <w:fldChar w:fldCharType="begin"/>
            </w:r>
            <w:r w:rsidR="00E30512">
              <w:rPr>
                <w:webHidden/>
              </w:rPr>
              <w:instrText xml:space="preserve"> PAGEREF _Toc476737074 \h </w:instrText>
            </w:r>
            <w:r w:rsidR="00E30512">
              <w:rPr>
                <w:webHidden/>
              </w:rPr>
            </w:r>
            <w:r w:rsidR="00E30512">
              <w:rPr>
                <w:webHidden/>
              </w:rPr>
              <w:fldChar w:fldCharType="separate"/>
            </w:r>
            <w:r>
              <w:rPr>
                <w:webHidden/>
              </w:rPr>
              <w:t>9</w:t>
            </w:r>
            <w:r w:rsidR="00E30512">
              <w:rPr>
                <w:webHidden/>
              </w:rPr>
              <w:fldChar w:fldCharType="end"/>
            </w:r>
          </w:hyperlink>
        </w:p>
        <w:p w14:paraId="5AE3DD4F" w14:textId="77777777" w:rsidR="00E30512" w:rsidRDefault="00545525">
          <w:pPr>
            <w:pStyle w:val="TOC2"/>
            <w:rPr>
              <w:rFonts w:asciiTheme="minorHAnsi" w:eastAsiaTheme="minorEastAsia" w:hAnsiTheme="minorHAnsi" w:cstheme="minorBidi"/>
              <w:color w:val="auto"/>
              <w:sz w:val="22"/>
              <w:szCs w:val="22"/>
            </w:rPr>
          </w:pPr>
          <w:hyperlink w:anchor="_Toc476737075" w:history="1">
            <w:r w:rsidR="00E30512" w:rsidRPr="00AA42AD">
              <w:rPr>
                <w:rStyle w:val="Hyperlink"/>
              </w:rPr>
              <w:t>Foreign investment — the Australian perspective</w:t>
            </w:r>
            <w:r w:rsidR="00E30512">
              <w:rPr>
                <w:webHidden/>
              </w:rPr>
              <w:tab/>
            </w:r>
            <w:r w:rsidR="00E30512">
              <w:rPr>
                <w:webHidden/>
              </w:rPr>
              <w:fldChar w:fldCharType="begin"/>
            </w:r>
            <w:r w:rsidR="00E30512">
              <w:rPr>
                <w:webHidden/>
              </w:rPr>
              <w:instrText xml:space="preserve"> PAGEREF _Toc476737075 \h </w:instrText>
            </w:r>
            <w:r w:rsidR="00E30512">
              <w:rPr>
                <w:webHidden/>
              </w:rPr>
            </w:r>
            <w:r w:rsidR="00E30512">
              <w:rPr>
                <w:webHidden/>
              </w:rPr>
              <w:fldChar w:fldCharType="separate"/>
            </w:r>
            <w:r>
              <w:rPr>
                <w:webHidden/>
              </w:rPr>
              <w:t>9</w:t>
            </w:r>
            <w:r w:rsidR="00E30512">
              <w:rPr>
                <w:webHidden/>
              </w:rPr>
              <w:fldChar w:fldCharType="end"/>
            </w:r>
          </w:hyperlink>
        </w:p>
        <w:p w14:paraId="72ADF9FC" w14:textId="77777777" w:rsidR="00E30512" w:rsidRDefault="00545525">
          <w:pPr>
            <w:pStyle w:val="TOC2"/>
            <w:rPr>
              <w:rFonts w:asciiTheme="minorHAnsi" w:eastAsiaTheme="minorEastAsia" w:hAnsiTheme="minorHAnsi" w:cstheme="minorBidi"/>
              <w:color w:val="auto"/>
              <w:sz w:val="22"/>
              <w:szCs w:val="22"/>
            </w:rPr>
          </w:pPr>
          <w:hyperlink w:anchor="_Toc476737076" w:history="1">
            <w:r w:rsidR="00E30512" w:rsidRPr="00AA42AD">
              <w:rPr>
                <w:rStyle w:val="Hyperlink"/>
              </w:rPr>
              <w:t>History of foreign investment in Australia</w:t>
            </w:r>
            <w:r w:rsidR="00E30512">
              <w:rPr>
                <w:webHidden/>
              </w:rPr>
              <w:tab/>
            </w:r>
            <w:r w:rsidR="00E30512">
              <w:rPr>
                <w:webHidden/>
              </w:rPr>
              <w:fldChar w:fldCharType="begin"/>
            </w:r>
            <w:r w:rsidR="00E30512">
              <w:rPr>
                <w:webHidden/>
              </w:rPr>
              <w:instrText xml:space="preserve"> PAGEREF _Toc476737076 \h </w:instrText>
            </w:r>
            <w:r w:rsidR="00E30512">
              <w:rPr>
                <w:webHidden/>
              </w:rPr>
            </w:r>
            <w:r w:rsidR="00E30512">
              <w:rPr>
                <w:webHidden/>
              </w:rPr>
              <w:fldChar w:fldCharType="separate"/>
            </w:r>
            <w:r>
              <w:rPr>
                <w:webHidden/>
              </w:rPr>
              <w:t>12</w:t>
            </w:r>
            <w:r w:rsidR="00E30512">
              <w:rPr>
                <w:webHidden/>
              </w:rPr>
              <w:fldChar w:fldCharType="end"/>
            </w:r>
          </w:hyperlink>
        </w:p>
        <w:p w14:paraId="175C3408" w14:textId="77777777" w:rsidR="00E30512" w:rsidRDefault="00545525">
          <w:pPr>
            <w:pStyle w:val="TOC1"/>
            <w:rPr>
              <w:rFonts w:asciiTheme="minorHAnsi" w:eastAsiaTheme="minorEastAsia" w:hAnsiTheme="minorHAnsi" w:cstheme="minorBidi"/>
              <w:b w:val="0"/>
              <w:smallCaps w:val="0"/>
              <w:color w:val="auto"/>
            </w:rPr>
          </w:pPr>
          <w:hyperlink w:anchor="_Toc476737077" w:history="1">
            <w:r w:rsidR="00E30512" w:rsidRPr="00AA42AD">
              <w:rPr>
                <w:rStyle w:val="Hyperlink"/>
              </w:rPr>
              <w:t>Chapter 3: Foreign Investment Proposals Data</w:t>
            </w:r>
            <w:r w:rsidR="00E30512">
              <w:rPr>
                <w:webHidden/>
              </w:rPr>
              <w:tab/>
            </w:r>
            <w:r w:rsidR="00E30512">
              <w:rPr>
                <w:webHidden/>
              </w:rPr>
              <w:fldChar w:fldCharType="begin"/>
            </w:r>
            <w:r w:rsidR="00E30512">
              <w:rPr>
                <w:webHidden/>
              </w:rPr>
              <w:instrText xml:space="preserve"> PAGEREF _Toc476737077 \h </w:instrText>
            </w:r>
            <w:r w:rsidR="00E30512">
              <w:rPr>
                <w:webHidden/>
              </w:rPr>
            </w:r>
            <w:r w:rsidR="00E30512">
              <w:rPr>
                <w:webHidden/>
              </w:rPr>
              <w:fldChar w:fldCharType="separate"/>
            </w:r>
            <w:r>
              <w:rPr>
                <w:webHidden/>
              </w:rPr>
              <w:t>15</w:t>
            </w:r>
            <w:r w:rsidR="00E30512">
              <w:rPr>
                <w:webHidden/>
              </w:rPr>
              <w:fldChar w:fldCharType="end"/>
            </w:r>
          </w:hyperlink>
        </w:p>
        <w:p w14:paraId="4744D792" w14:textId="77777777" w:rsidR="00E30512" w:rsidRDefault="00545525">
          <w:pPr>
            <w:pStyle w:val="TOC2"/>
            <w:rPr>
              <w:rFonts w:asciiTheme="minorHAnsi" w:eastAsiaTheme="minorEastAsia" w:hAnsiTheme="minorHAnsi" w:cstheme="minorBidi"/>
              <w:color w:val="auto"/>
              <w:sz w:val="22"/>
              <w:szCs w:val="22"/>
            </w:rPr>
          </w:pPr>
          <w:hyperlink w:anchor="_Toc476737078" w:history="1">
            <w:r w:rsidR="00E30512" w:rsidRPr="00AA42AD">
              <w:rPr>
                <w:rStyle w:val="Hyperlink"/>
              </w:rPr>
              <w:t>Proposals data overview</w:t>
            </w:r>
            <w:r w:rsidR="00E30512">
              <w:rPr>
                <w:webHidden/>
              </w:rPr>
              <w:tab/>
            </w:r>
            <w:r w:rsidR="00E30512">
              <w:rPr>
                <w:webHidden/>
              </w:rPr>
              <w:fldChar w:fldCharType="begin"/>
            </w:r>
            <w:r w:rsidR="00E30512">
              <w:rPr>
                <w:webHidden/>
              </w:rPr>
              <w:instrText xml:space="preserve"> PAGEREF _Toc476737078 \h </w:instrText>
            </w:r>
            <w:r w:rsidR="00E30512">
              <w:rPr>
                <w:webHidden/>
              </w:rPr>
            </w:r>
            <w:r w:rsidR="00E30512">
              <w:rPr>
                <w:webHidden/>
              </w:rPr>
              <w:fldChar w:fldCharType="separate"/>
            </w:r>
            <w:r>
              <w:rPr>
                <w:webHidden/>
              </w:rPr>
              <w:t>16</w:t>
            </w:r>
            <w:r w:rsidR="00E30512">
              <w:rPr>
                <w:webHidden/>
              </w:rPr>
              <w:fldChar w:fldCharType="end"/>
            </w:r>
          </w:hyperlink>
        </w:p>
        <w:p w14:paraId="370ECC83" w14:textId="77777777" w:rsidR="00E30512" w:rsidRDefault="00545525">
          <w:pPr>
            <w:pStyle w:val="TOC2"/>
            <w:rPr>
              <w:rFonts w:asciiTheme="minorHAnsi" w:eastAsiaTheme="minorEastAsia" w:hAnsiTheme="minorHAnsi" w:cstheme="minorBidi"/>
              <w:color w:val="auto"/>
              <w:sz w:val="22"/>
              <w:szCs w:val="22"/>
            </w:rPr>
          </w:pPr>
          <w:hyperlink w:anchor="_Toc476737079" w:history="1">
            <w:r w:rsidR="00E30512" w:rsidRPr="00AA42AD">
              <w:rPr>
                <w:rStyle w:val="Hyperlink"/>
              </w:rPr>
              <w:t>Overall applications considered</w:t>
            </w:r>
            <w:r w:rsidR="00E30512">
              <w:rPr>
                <w:webHidden/>
              </w:rPr>
              <w:tab/>
            </w:r>
            <w:r w:rsidR="00E30512">
              <w:rPr>
                <w:webHidden/>
              </w:rPr>
              <w:fldChar w:fldCharType="begin"/>
            </w:r>
            <w:r w:rsidR="00E30512">
              <w:rPr>
                <w:webHidden/>
              </w:rPr>
              <w:instrText xml:space="preserve"> PAGEREF _Toc476737079 \h </w:instrText>
            </w:r>
            <w:r w:rsidR="00E30512">
              <w:rPr>
                <w:webHidden/>
              </w:rPr>
            </w:r>
            <w:r w:rsidR="00E30512">
              <w:rPr>
                <w:webHidden/>
              </w:rPr>
              <w:fldChar w:fldCharType="separate"/>
            </w:r>
            <w:r>
              <w:rPr>
                <w:webHidden/>
              </w:rPr>
              <w:t>17</w:t>
            </w:r>
            <w:r w:rsidR="00E30512">
              <w:rPr>
                <w:webHidden/>
              </w:rPr>
              <w:fldChar w:fldCharType="end"/>
            </w:r>
          </w:hyperlink>
        </w:p>
        <w:p w14:paraId="4DC89A93" w14:textId="77777777" w:rsidR="00E30512" w:rsidRDefault="00545525">
          <w:pPr>
            <w:pStyle w:val="TOC1"/>
            <w:rPr>
              <w:rFonts w:asciiTheme="minorHAnsi" w:eastAsiaTheme="minorEastAsia" w:hAnsiTheme="minorHAnsi" w:cstheme="minorBidi"/>
              <w:b w:val="0"/>
              <w:smallCaps w:val="0"/>
              <w:color w:val="auto"/>
            </w:rPr>
          </w:pPr>
          <w:hyperlink w:anchor="_Toc476737080" w:history="1">
            <w:r w:rsidR="00E30512" w:rsidRPr="00AA42AD">
              <w:rPr>
                <w:rStyle w:val="Hyperlink"/>
              </w:rPr>
              <w:t>Chapter 4: Foreign Investment Compliance</w:t>
            </w:r>
            <w:r w:rsidR="00E30512">
              <w:rPr>
                <w:webHidden/>
              </w:rPr>
              <w:tab/>
            </w:r>
            <w:r w:rsidR="00E30512">
              <w:rPr>
                <w:webHidden/>
              </w:rPr>
              <w:fldChar w:fldCharType="begin"/>
            </w:r>
            <w:r w:rsidR="00E30512">
              <w:rPr>
                <w:webHidden/>
              </w:rPr>
              <w:instrText xml:space="preserve"> PAGEREF _Toc476737080 \h </w:instrText>
            </w:r>
            <w:r w:rsidR="00E30512">
              <w:rPr>
                <w:webHidden/>
              </w:rPr>
            </w:r>
            <w:r w:rsidR="00E30512">
              <w:rPr>
                <w:webHidden/>
              </w:rPr>
              <w:fldChar w:fldCharType="separate"/>
            </w:r>
            <w:r>
              <w:rPr>
                <w:webHidden/>
              </w:rPr>
              <w:t>39</w:t>
            </w:r>
            <w:r w:rsidR="00E30512">
              <w:rPr>
                <w:webHidden/>
              </w:rPr>
              <w:fldChar w:fldCharType="end"/>
            </w:r>
          </w:hyperlink>
        </w:p>
        <w:p w14:paraId="23DEE334" w14:textId="77777777" w:rsidR="00E30512" w:rsidRDefault="00545525">
          <w:pPr>
            <w:pStyle w:val="TOC2"/>
            <w:rPr>
              <w:rFonts w:asciiTheme="minorHAnsi" w:eastAsiaTheme="minorEastAsia" w:hAnsiTheme="minorHAnsi" w:cstheme="minorBidi"/>
              <w:color w:val="auto"/>
              <w:sz w:val="22"/>
              <w:szCs w:val="22"/>
            </w:rPr>
          </w:pPr>
          <w:hyperlink w:anchor="_Toc476737081" w:history="1">
            <w:r w:rsidR="00E30512" w:rsidRPr="00AA42AD">
              <w:rPr>
                <w:rStyle w:val="Hyperlink"/>
              </w:rPr>
              <w:t>Residential compliance investigations and outcomes</w:t>
            </w:r>
            <w:r w:rsidR="00E30512">
              <w:rPr>
                <w:webHidden/>
              </w:rPr>
              <w:tab/>
            </w:r>
            <w:r w:rsidR="00E30512">
              <w:rPr>
                <w:webHidden/>
              </w:rPr>
              <w:fldChar w:fldCharType="begin"/>
            </w:r>
            <w:r w:rsidR="00E30512">
              <w:rPr>
                <w:webHidden/>
              </w:rPr>
              <w:instrText xml:space="preserve"> PAGEREF _Toc476737081 \h </w:instrText>
            </w:r>
            <w:r w:rsidR="00E30512">
              <w:rPr>
                <w:webHidden/>
              </w:rPr>
            </w:r>
            <w:r w:rsidR="00E30512">
              <w:rPr>
                <w:webHidden/>
              </w:rPr>
              <w:fldChar w:fldCharType="separate"/>
            </w:r>
            <w:r>
              <w:rPr>
                <w:webHidden/>
              </w:rPr>
              <w:t>42</w:t>
            </w:r>
            <w:r w:rsidR="00E30512">
              <w:rPr>
                <w:webHidden/>
              </w:rPr>
              <w:fldChar w:fldCharType="end"/>
            </w:r>
          </w:hyperlink>
        </w:p>
        <w:p w14:paraId="38BF07A6" w14:textId="77777777" w:rsidR="00E30512" w:rsidRDefault="00545525">
          <w:pPr>
            <w:pStyle w:val="TOC2"/>
            <w:rPr>
              <w:rFonts w:asciiTheme="minorHAnsi" w:eastAsiaTheme="minorEastAsia" w:hAnsiTheme="minorHAnsi" w:cstheme="minorBidi"/>
              <w:color w:val="auto"/>
              <w:sz w:val="22"/>
              <w:szCs w:val="22"/>
            </w:rPr>
          </w:pPr>
          <w:hyperlink w:anchor="_Toc476737082" w:history="1">
            <w:r w:rsidR="00E30512" w:rsidRPr="00AA42AD">
              <w:rPr>
                <w:rStyle w:val="Hyperlink"/>
              </w:rPr>
              <w:t>Penalties</w:t>
            </w:r>
            <w:r w:rsidR="00E30512">
              <w:rPr>
                <w:webHidden/>
              </w:rPr>
              <w:tab/>
            </w:r>
            <w:r w:rsidR="00E30512">
              <w:rPr>
                <w:webHidden/>
              </w:rPr>
              <w:fldChar w:fldCharType="begin"/>
            </w:r>
            <w:r w:rsidR="00E30512">
              <w:rPr>
                <w:webHidden/>
              </w:rPr>
              <w:instrText xml:space="preserve"> PAGEREF _Toc476737082 \h </w:instrText>
            </w:r>
            <w:r w:rsidR="00E30512">
              <w:rPr>
                <w:webHidden/>
              </w:rPr>
            </w:r>
            <w:r w:rsidR="00E30512">
              <w:rPr>
                <w:webHidden/>
              </w:rPr>
              <w:fldChar w:fldCharType="separate"/>
            </w:r>
            <w:r>
              <w:rPr>
                <w:webHidden/>
              </w:rPr>
              <w:t>45</w:t>
            </w:r>
            <w:r w:rsidR="00E30512">
              <w:rPr>
                <w:webHidden/>
              </w:rPr>
              <w:fldChar w:fldCharType="end"/>
            </w:r>
          </w:hyperlink>
        </w:p>
        <w:p w14:paraId="13954945" w14:textId="77777777" w:rsidR="00E30512" w:rsidRDefault="00545525">
          <w:pPr>
            <w:pStyle w:val="TOC1"/>
            <w:rPr>
              <w:rFonts w:asciiTheme="minorHAnsi" w:eastAsiaTheme="minorEastAsia" w:hAnsiTheme="minorHAnsi" w:cstheme="minorBidi"/>
              <w:b w:val="0"/>
              <w:smallCaps w:val="0"/>
              <w:color w:val="auto"/>
            </w:rPr>
          </w:pPr>
          <w:hyperlink w:anchor="_Toc476737083" w:history="1">
            <w:r w:rsidR="00E30512" w:rsidRPr="00AA42AD">
              <w:rPr>
                <w:rStyle w:val="Hyperlink"/>
              </w:rPr>
              <w:t>Appendix A Methodological and Data Caveats</w:t>
            </w:r>
            <w:r w:rsidR="00E30512">
              <w:rPr>
                <w:webHidden/>
              </w:rPr>
              <w:tab/>
            </w:r>
            <w:r w:rsidR="00E30512">
              <w:rPr>
                <w:webHidden/>
              </w:rPr>
              <w:fldChar w:fldCharType="begin"/>
            </w:r>
            <w:r w:rsidR="00E30512">
              <w:rPr>
                <w:webHidden/>
              </w:rPr>
              <w:instrText xml:space="preserve"> PAGEREF _Toc476737083 \h </w:instrText>
            </w:r>
            <w:r w:rsidR="00E30512">
              <w:rPr>
                <w:webHidden/>
              </w:rPr>
            </w:r>
            <w:r w:rsidR="00E30512">
              <w:rPr>
                <w:webHidden/>
              </w:rPr>
              <w:fldChar w:fldCharType="separate"/>
            </w:r>
            <w:r>
              <w:rPr>
                <w:webHidden/>
              </w:rPr>
              <w:t>47</w:t>
            </w:r>
            <w:r w:rsidR="00E30512">
              <w:rPr>
                <w:webHidden/>
              </w:rPr>
              <w:fldChar w:fldCharType="end"/>
            </w:r>
          </w:hyperlink>
        </w:p>
        <w:p w14:paraId="61288700" w14:textId="77777777" w:rsidR="00E30512" w:rsidRDefault="00545525">
          <w:pPr>
            <w:pStyle w:val="TOC1"/>
            <w:rPr>
              <w:rFonts w:asciiTheme="minorHAnsi" w:eastAsiaTheme="minorEastAsia" w:hAnsiTheme="minorHAnsi" w:cstheme="minorBidi"/>
              <w:b w:val="0"/>
              <w:smallCaps w:val="0"/>
              <w:color w:val="auto"/>
            </w:rPr>
          </w:pPr>
          <w:hyperlink w:anchor="_Toc476737084" w:history="1">
            <w:r w:rsidR="00E30512" w:rsidRPr="00AA42AD">
              <w:rPr>
                <w:rStyle w:val="Hyperlink"/>
              </w:rPr>
              <w:t>Appendix B Examination and approval process</w:t>
            </w:r>
            <w:r w:rsidR="00E30512">
              <w:rPr>
                <w:webHidden/>
              </w:rPr>
              <w:tab/>
            </w:r>
            <w:r w:rsidR="00E30512">
              <w:rPr>
                <w:webHidden/>
              </w:rPr>
              <w:fldChar w:fldCharType="begin"/>
            </w:r>
            <w:r w:rsidR="00E30512">
              <w:rPr>
                <w:webHidden/>
              </w:rPr>
              <w:instrText xml:space="preserve"> PAGEREF _Toc476737084 \h </w:instrText>
            </w:r>
            <w:r w:rsidR="00E30512">
              <w:rPr>
                <w:webHidden/>
              </w:rPr>
            </w:r>
            <w:r w:rsidR="00E30512">
              <w:rPr>
                <w:webHidden/>
              </w:rPr>
              <w:fldChar w:fldCharType="separate"/>
            </w:r>
            <w:r>
              <w:rPr>
                <w:webHidden/>
              </w:rPr>
              <w:t>51</w:t>
            </w:r>
            <w:r w:rsidR="00E30512">
              <w:rPr>
                <w:webHidden/>
              </w:rPr>
              <w:fldChar w:fldCharType="end"/>
            </w:r>
          </w:hyperlink>
        </w:p>
        <w:p w14:paraId="6ACFE7E9" w14:textId="77777777" w:rsidR="00E30512" w:rsidRDefault="00545525">
          <w:pPr>
            <w:pStyle w:val="TOC1"/>
            <w:rPr>
              <w:rFonts w:asciiTheme="minorHAnsi" w:eastAsiaTheme="minorEastAsia" w:hAnsiTheme="minorHAnsi" w:cstheme="minorBidi"/>
              <w:b w:val="0"/>
              <w:smallCaps w:val="0"/>
              <w:color w:val="auto"/>
            </w:rPr>
          </w:pPr>
          <w:hyperlink w:anchor="_Toc476737085" w:history="1">
            <w:r w:rsidR="00E30512" w:rsidRPr="00AA42AD">
              <w:rPr>
                <w:rStyle w:val="Hyperlink"/>
              </w:rPr>
              <w:t>Appendix C Glossary</w:t>
            </w:r>
            <w:r w:rsidR="00E30512">
              <w:rPr>
                <w:webHidden/>
              </w:rPr>
              <w:tab/>
            </w:r>
            <w:r w:rsidR="00E30512">
              <w:rPr>
                <w:webHidden/>
              </w:rPr>
              <w:fldChar w:fldCharType="begin"/>
            </w:r>
            <w:r w:rsidR="00E30512">
              <w:rPr>
                <w:webHidden/>
              </w:rPr>
              <w:instrText xml:space="preserve"> PAGEREF _Toc476737085 \h </w:instrText>
            </w:r>
            <w:r w:rsidR="00E30512">
              <w:rPr>
                <w:webHidden/>
              </w:rPr>
            </w:r>
            <w:r w:rsidR="00E30512">
              <w:rPr>
                <w:webHidden/>
              </w:rPr>
              <w:fldChar w:fldCharType="separate"/>
            </w:r>
            <w:r>
              <w:rPr>
                <w:webHidden/>
              </w:rPr>
              <w:t>55</w:t>
            </w:r>
            <w:r w:rsidR="00E30512">
              <w:rPr>
                <w:webHidden/>
              </w:rPr>
              <w:fldChar w:fldCharType="end"/>
            </w:r>
          </w:hyperlink>
        </w:p>
        <w:p w14:paraId="651E811A" w14:textId="1048C7D0" w:rsidR="003E6736" w:rsidRDefault="00C72611">
          <w:r>
            <w:rPr>
              <w:b/>
              <w:sz w:val="32"/>
            </w:rPr>
            <w:fldChar w:fldCharType="end"/>
          </w:r>
        </w:p>
      </w:sdtContent>
    </w:sdt>
    <w:p w14:paraId="5C560CA2" w14:textId="6AE35FB4" w:rsidR="00715C4E" w:rsidRDefault="00715C4E" w:rsidP="00204E29"/>
    <w:p w14:paraId="0848C612" w14:textId="77777777" w:rsidR="00715C4E" w:rsidRDefault="00715C4E" w:rsidP="00204E29">
      <w:pPr>
        <w:sectPr w:rsidR="00715C4E" w:rsidSect="0020758A">
          <w:headerReference w:type="first" r:id="rId33"/>
          <w:footerReference w:type="first" r:id="rId34"/>
          <w:type w:val="oddPage"/>
          <w:pgSz w:w="11907" w:h="16840" w:code="9"/>
          <w:pgMar w:top="2466" w:right="2098" w:bottom="2466" w:left="2098" w:header="1899" w:footer="1899" w:gutter="0"/>
          <w:pgNumType w:fmt="lowerRoman"/>
          <w:cols w:space="720"/>
          <w:titlePg/>
          <w:docGrid w:linePitch="360"/>
        </w:sectPr>
      </w:pPr>
    </w:p>
    <w:p w14:paraId="0AAE66BA" w14:textId="5DBACFA4" w:rsidR="00820F54" w:rsidRDefault="00820F54" w:rsidP="00204E29"/>
    <w:p w14:paraId="21C7B4E4" w14:textId="49D4FB02" w:rsidR="00010B9A" w:rsidRPr="00C72611" w:rsidRDefault="00010B9A" w:rsidP="00C72611">
      <w:pPr>
        <w:pStyle w:val="Heading1"/>
        <w:rPr>
          <w:color w:val="1F497D" w:themeColor="text2"/>
        </w:rPr>
      </w:pPr>
      <w:bookmarkStart w:id="16" w:name="_Toc476737069"/>
      <w:r w:rsidRPr="00C72611">
        <w:rPr>
          <w:color w:val="1F497D" w:themeColor="text2"/>
        </w:rPr>
        <w:t>Main Points</w:t>
      </w:r>
      <w:bookmarkEnd w:id="16"/>
    </w:p>
    <w:p w14:paraId="7B168859" w14:textId="7F44790A" w:rsidR="00CA7407" w:rsidRDefault="00941E7E" w:rsidP="00941E7E">
      <w:pPr>
        <w:pStyle w:val="Box-Pull-Bullet"/>
      </w:pPr>
      <w:r>
        <w:t>The most significant reforms to Australia</w:t>
      </w:r>
      <w:r w:rsidR="008205A1">
        <w:t>’</w:t>
      </w:r>
      <w:r>
        <w:t xml:space="preserve">s foreign investment </w:t>
      </w:r>
      <w:r w:rsidR="000F4133">
        <w:t>framework</w:t>
      </w:r>
      <w:r>
        <w:t xml:space="preserve"> in 40 years were introduced in 2015</w:t>
      </w:r>
      <w:r w:rsidR="008205A1">
        <w:noBreakHyphen/>
      </w:r>
      <w:r>
        <w:t>16. The reforms were focused around building a stronger compliance program and a fees system to fund it, while maintaining an assessment system based on the national interest.</w:t>
      </w:r>
    </w:p>
    <w:p w14:paraId="37DA2D5C" w14:textId="416FFB4F" w:rsidR="00B952B7" w:rsidRDefault="00941E7E" w:rsidP="00115593">
      <w:pPr>
        <w:pStyle w:val="Box-Pull-Bullet"/>
      </w:pPr>
      <w:r>
        <w:t xml:space="preserve">There were a number of high profile sensitive cases, dominated by the </w:t>
      </w:r>
      <w:r w:rsidR="007E2EF8">
        <w:t>privatisation</w:t>
      </w:r>
      <w:r>
        <w:t xml:space="preserve"> of state and territory electricity network assets and Australian ports of national significance. Strong interest in these assets is reflected in the increased numbe</w:t>
      </w:r>
      <w:r w:rsidR="00454382">
        <w:t>r of business approvals in</w:t>
      </w:r>
      <w:r w:rsidR="00620857">
        <w:t> </w:t>
      </w:r>
      <w:r w:rsidR="00454382">
        <w:t>2015</w:t>
      </w:r>
      <w:r w:rsidR="008205A1">
        <w:noBreakHyphen/>
      </w:r>
      <w:r>
        <w:t xml:space="preserve">16. </w:t>
      </w:r>
    </w:p>
    <w:p w14:paraId="26700892" w14:textId="039509B2" w:rsidR="00941E7E" w:rsidRDefault="007E2EF8" w:rsidP="00115593">
      <w:pPr>
        <w:pStyle w:val="Box-Pull-Bullet"/>
      </w:pPr>
      <w:r>
        <w:t>Privatisation</w:t>
      </w:r>
      <w:r w:rsidR="00941E7E">
        <w:t xml:space="preserve"> processes were a significant focus of the Board, which actively engaged with relevant state and territory governments, their advisers and relevant Commonwealth agencies as well as proposed bidders and their advisers. The increasing importance of such cases saw further policy development in relation to managing the national security risks around assets in critical sectors.</w:t>
      </w:r>
    </w:p>
    <w:p w14:paraId="6B38E36A" w14:textId="4D8F142B" w:rsidR="00941E7E" w:rsidRDefault="00941E7E" w:rsidP="00115593">
      <w:pPr>
        <w:pStyle w:val="Box-Pull-Bullet"/>
      </w:pPr>
      <w:r>
        <w:t xml:space="preserve">Australia continued to attract </w:t>
      </w:r>
      <w:r w:rsidR="000F4133">
        <w:t>a large volume</w:t>
      </w:r>
      <w:r>
        <w:t xml:space="preserve"> of foreign investment applications</w:t>
      </w:r>
      <w:r w:rsidR="000F4133">
        <w:t xml:space="preserve">. </w:t>
      </w:r>
      <w:r>
        <w:t>T</w:t>
      </w:r>
      <w:r w:rsidRPr="000830E4">
        <w:t xml:space="preserve">he number of </w:t>
      </w:r>
      <w:r>
        <w:t xml:space="preserve">foreign investment approvals </w:t>
      </w:r>
      <w:r w:rsidRPr="000830E4">
        <w:t>gre</w:t>
      </w:r>
      <w:r w:rsidR="00B17124">
        <w:t>w to 41,445 compared with 37,953</w:t>
      </w:r>
      <w:r w:rsidRPr="000830E4">
        <w:t xml:space="preserve"> in 2014</w:t>
      </w:r>
      <w:r w:rsidR="008205A1">
        <w:noBreakHyphen/>
      </w:r>
      <w:r w:rsidRPr="000830E4">
        <w:t>15</w:t>
      </w:r>
      <w:r>
        <w:t>, largely driven by residential real estate transactions</w:t>
      </w:r>
      <w:r w:rsidRPr="000830E4">
        <w:t>. This represented $247.9</w:t>
      </w:r>
      <w:r>
        <w:t> </w:t>
      </w:r>
      <w:r w:rsidRPr="000830E4">
        <w:t>billion of proposed investment in comparison to $191.9 billion in 2014</w:t>
      </w:r>
      <w:r w:rsidR="008205A1">
        <w:noBreakHyphen/>
      </w:r>
      <w:r w:rsidRPr="000830E4">
        <w:t>15.</w:t>
      </w:r>
    </w:p>
    <w:p w14:paraId="0467DD3F" w14:textId="3AC4DEE2" w:rsidR="00941E7E" w:rsidRDefault="00941E7E" w:rsidP="00941E7E">
      <w:pPr>
        <w:pStyle w:val="Box-Pull-Bullet"/>
      </w:pPr>
      <w:r>
        <w:t>For the third year in a row, China was the largest source of approved investment (</w:t>
      </w:r>
      <w:r w:rsidRPr="001D790E">
        <w:t>$47.3</w:t>
      </w:r>
      <w:r w:rsidR="00CD762D">
        <w:t> </w:t>
      </w:r>
      <w:r w:rsidRPr="001D790E">
        <w:t>billion)</w:t>
      </w:r>
      <w:r>
        <w:t>, driven by continuing approvals in the real estate sector. Overall the United</w:t>
      </w:r>
      <w:r w:rsidR="004D30B0">
        <w:t> </w:t>
      </w:r>
      <w:r>
        <w:t>States was the second largest source of approved investment</w:t>
      </w:r>
      <w:r w:rsidR="00A17F2F">
        <w:t xml:space="preserve"> but</w:t>
      </w:r>
      <w:r>
        <w:t xml:space="preserve"> the </w:t>
      </w:r>
      <w:r w:rsidR="00A17F2F">
        <w:t>largest investor in</w:t>
      </w:r>
      <w:r>
        <w:t xml:space="preserve"> </w:t>
      </w:r>
      <w:r w:rsidR="00A17F2F">
        <w:t>non</w:t>
      </w:r>
      <w:r w:rsidR="008205A1">
        <w:noBreakHyphen/>
      </w:r>
      <w:r w:rsidR="00A17F2F">
        <w:t>real estate sector</w:t>
      </w:r>
      <w:r w:rsidR="000F4133">
        <w:t>s</w:t>
      </w:r>
      <w:r w:rsidR="00A17F2F">
        <w:t xml:space="preserve">. </w:t>
      </w:r>
    </w:p>
    <w:p w14:paraId="597C3582" w14:textId="4E485EFF" w:rsidR="00B952B7" w:rsidRDefault="00454382" w:rsidP="00941E7E">
      <w:pPr>
        <w:pStyle w:val="Box-Pull-Bullet"/>
      </w:pPr>
      <w:r>
        <w:t xml:space="preserve">Lower screening thresholds introduced in 2015 saw an increased flow of agricultural land applications. </w:t>
      </w:r>
      <w:r w:rsidR="00B952B7" w:rsidRPr="00D02CB8">
        <w:t xml:space="preserve">The </w:t>
      </w:r>
      <w:r w:rsidRPr="00D02CB8">
        <w:t xml:space="preserve">first report of the </w:t>
      </w:r>
      <w:r w:rsidR="00B952B7" w:rsidRPr="00D02CB8">
        <w:t>Foreign Ownership of Agricultural Land Register showed that</w:t>
      </w:r>
      <w:r w:rsidR="00B21415">
        <w:t>,</w:t>
      </w:r>
      <w:r w:rsidR="00B952B7" w:rsidRPr="00D02CB8">
        <w:t xml:space="preserve"> </w:t>
      </w:r>
      <w:r w:rsidR="00B21415">
        <w:t xml:space="preserve">as at 30 June 2016, </w:t>
      </w:r>
      <w:r w:rsidR="00100227" w:rsidRPr="00D02CB8">
        <w:t xml:space="preserve">there were foreign interests in </w:t>
      </w:r>
      <w:r w:rsidR="00B952B7" w:rsidRPr="00D02CB8">
        <w:t>13</w:t>
      </w:r>
      <w:r w:rsidR="00156E8D" w:rsidRPr="00D02CB8">
        <w:t>.</w:t>
      </w:r>
      <w:r w:rsidR="00A17F2F" w:rsidRPr="00D02CB8">
        <w:t>6</w:t>
      </w:r>
      <w:r w:rsidR="00FB3938" w:rsidRPr="00D02CB8">
        <w:t xml:space="preserve"> per cent</w:t>
      </w:r>
      <w:r w:rsidR="00B952B7" w:rsidRPr="00D02CB8">
        <w:t xml:space="preserve"> of agricultural land </w:t>
      </w:r>
      <w:r w:rsidR="00100227" w:rsidRPr="00D02CB8">
        <w:t>by area.</w:t>
      </w:r>
      <w:r w:rsidR="00B952B7">
        <w:t xml:space="preserve"> </w:t>
      </w:r>
      <w:r w:rsidR="00A17F2F">
        <w:t xml:space="preserve">The top two source countries were the United Kingdom and the United States. </w:t>
      </w:r>
    </w:p>
    <w:p w14:paraId="2085CB18" w14:textId="5474201B" w:rsidR="00FB3938" w:rsidRDefault="00445575" w:rsidP="001B5B94">
      <w:pPr>
        <w:pStyle w:val="Box-Pull-Bullet"/>
      </w:pPr>
      <w:r w:rsidRPr="001D790E">
        <w:t xml:space="preserve">Proposed investment in </w:t>
      </w:r>
      <w:r w:rsidR="00CD5461">
        <w:t xml:space="preserve">residential </w:t>
      </w:r>
      <w:r w:rsidRPr="001D790E">
        <w:t>real estate continue</w:t>
      </w:r>
      <w:r w:rsidR="00C041EF">
        <w:t>s to be focused on investment</w:t>
      </w:r>
      <w:r w:rsidR="00FB3938">
        <w:t xml:space="preserve"> </w:t>
      </w:r>
      <w:r w:rsidR="00C041EF">
        <w:t>in</w:t>
      </w:r>
      <w:r w:rsidR="00CD5461" w:rsidRPr="000830E4">
        <w:t xml:space="preserve"> new dwellings</w:t>
      </w:r>
      <w:r w:rsidR="00B21415">
        <w:t>,</w:t>
      </w:r>
      <w:r w:rsidR="00C041EF">
        <w:t xml:space="preserve"> which is </w:t>
      </w:r>
      <w:r w:rsidR="00127D2F">
        <w:t xml:space="preserve">in </w:t>
      </w:r>
      <w:r w:rsidR="00C041EF">
        <w:t xml:space="preserve">line with the policy to </w:t>
      </w:r>
      <w:r w:rsidR="00B21415">
        <w:t>encourage</w:t>
      </w:r>
      <w:r w:rsidR="00C041EF">
        <w:t xml:space="preserve"> residential </w:t>
      </w:r>
      <w:r w:rsidR="00B21415">
        <w:t xml:space="preserve">real estate </w:t>
      </w:r>
      <w:r w:rsidR="00C041EF">
        <w:t>investment that increase</w:t>
      </w:r>
      <w:r w:rsidR="00FB3938">
        <w:t>s</w:t>
      </w:r>
      <w:r w:rsidR="00C041EF">
        <w:t xml:space="preserve"> housing</w:t>
      </w:r>
      <w:r w:rsidR="00FB3938">
        <w:t xml:space="preserve"> supply. </w:t>
      </w:r>
    </w:p>
    <w:p w14:paraId="0D450B1D" w14:textId="796B98AA" w:rsidR="000830E4" w:rsidRPr="000830E4" w:rsidRDefault="00454382" w:rsidP="001B5B94">
      <w:pPr>
        <w:pStyle w:val="Box-Pull-Bullet"/>
      </w:pPr>
      <w:r>
        <w:t xml:space="preserve">High value commercial property approvals increased in </w:t>
      </w:r>
      <w:r w:rsidR="0058501D">
        <w:t>2015</w:t>
      </w:r>
      <w:r w:rsidR="008205A1">
        <w:noBreakHyphen/>
      </w:r>
      <w:r w:rsidR="0058501D">
        <w:t>1</w:t>
      </w:r>
      <w:r w:rsidR="00CD5461">
        <w:t>6</w:t>
      </w:r>
      <w:r w:rsidR="0058501D">
        <w:t>;</w:t>
      </w:r>
      <w:r w:rsidR="00A17F2F">
        <w:t xml:space="preserve"> up by more than $10 billion and 100 approvals</w:t>
      </w:r>
      <w:r w:rsidR="00B21415">
        <w:t xml:space="preserve"> on 2014</w:t>
      </w:r>
      <w:r w:rsidR="008205A1">
        <w:noBreakHyphen/>
      </w:r>
      <w:r w:rsidR="00B21415">
        <w:t>15</w:t>
      </w:r>
      <w:r>
        <w:t xml:space="preserve">. </w:t>
      </w:r>
      <w:r w:rsidR="00361849">
        <w:t xml:space="preserve">Some of this growth can be explained by multiple applicants for two large transactions. </w:t>
      </w:r>
    </w:p>
    <w:p w14:paraId="7A5319FA" w14:textId="0AF2A347" w:rsidR="001B5B94" w:rsidRDefault="001B5B94" w:rsidP="00115593">
      <w:pPr>
        <w:pStyle w:val="Box-Pull-Bullet"/>
      </w:pPr>
      <w:r>
        <w:t>Since assuming the role in 2015</w:t>
      </w:r>
      <w:r w:rsidR="00EE5BC9">
        <w:t>,</w:t>
      </w:r>
      <w:r>
        <w:t xml:space="preserve"> the </w:t>
      </w:r>
      <w:r w:rsidR="004B120B" w:rsidRPr="001D790E">
        <w:t>A</w:t>
      </w:r>
      <w:r w:rsidR="00EE5BC9">
        <w:t xml:space="preserve">ustralian </w:t>
      </w:r>
      <w:r w:rsidR="004B120B" w:rsidRPr="001D790E">
        <w:t>T</w:t>
      </w:r>
      <w:r w:rsidR="00EE5BC9">
        <w:t xml:space="preserve">axation </w:t>
      </w:r>
      <w:r w:rsidR="004B120B" w:rsidRPr="001D790E">
        <w:t>O</w:t>
      </w:r>
      <w:r w:rsidR="00EE5BC9">
        <w:t>ffice</w:t>
      </w:r>
      <w:r w:rsidR="004B120B" w:rsidRPr="001D790E">
        <w:t xml:space="preserve"> </w:t>
      </w:r>
      <w:r>
        <w:t xml:space="preserve">has </w:t>
      </w:r>
      <w:r w:rsidR="00EE5BC9">
        <w:t xml:space="preserve">worked to increase </w:t>
      </w:r>
      <w:r w:rsidR="004B120B" w:rsidRPr="001D790E">
        <w:t xml:space="preserve">compliance </w:t>
      </w:r>
      <w:r w:rsidR="00CD762D">
        <w:t xml:space="preserve">with and enforcement of </w:t>
      </w:r>
      <w:r>
        <w:t>the</w:t>
      </w:r>
      <w:r w:rsidR="004B120B" w:rsidRPr="001D790E">
        <w:t xml:space="preserve"> foreign investment </w:t>
      </w:r>
      <w:r>
        <w:t xml:space="preserve">rules </w:t>
      </w:r>
      <w:r w:rsidR="00EE5BC9">
        <w:t>for</w:t>
      </w:r>
      <w:r w:rsidR="004B120B" w:rsidRPr="001D790E">
        <w:t xml:space="preserve"> real estate. </w:t>
      </w:r>
      <w:r w:rsidR="00C041EF">
        <w:t>In</w:t>
      </w:r>
      <w:r w:rsidR="004D30B0">
        <w:t> </w:t>
      </w:r>
      <w:r w:rsidR="00C041EF">
        <w:t>2015</w:t>
      </w:r>
      <w:r w:rsidR="008205A1">
        <w:noBreakHyphen/>
      </w:r>
      <w:r w:rsidR="00C041EF">
        <w:t>16, d</w:t>
      </w:r>
      <w:r w:rsidR="004B120B" w:rsidRPr="0087389E">
        <w:t xml:space="preserve">ivestments were issued in </w:t>
      </w:r>
      <w:r w:rsidR="0087389E" w:rsidRPr="0087389E">
        <w:t>39</w:t>
      </w:r>
      <w:r w:rsidR="004B120B" w:rsidRPr="0087389E">
        <w:t> </w:t>
      </w:r>
      <w:r w:rsidR="0058501D">
        <w:t xml:space="preserve">cases for residential </w:t>
      </w:r>
      <w:r w:rsidR="0058501D" w:rsidRPr="00A842B6">
        <w:t>properties</w:t>
      </w:r>
      <w:r w:rsidR="00EF22F6" w:rsidRPr="0087389E">
        <w:t xml:space="preserve"> valued at</w:t>
      </w:r>
      <w:r w:rsidR="004D30B0">
        <w:t> </w:t>
      </w:r>
      <w:r w:rsidR="00EF22F6" w:rsidRPr="0087389E">
        <w:t>$</w:t>
      </w:r>
      <w:r w:rsidR="0087389E" w:rsidRPr="0087389E">
        <w:t>48</w:t>
      </w:r>
      <w:r w:rsidR="00F01A2D">
        <w:t>.7</w:t>
      </w:r>
      <w:r w:rsidR="004D30B0">
        <w:t> </w:t>
      </w:r>
      <w:r w:rsidR="00825AE9" w:rsidRPr="0087389E">
        <w:t>million</w:t>
      </w:r>
      <w:r w:rsidR="00FB3938">
        <w:t xml:space="preserve">. </w:t>
      </w:r>
    </w:p>
    <w:p w14:paraId="4DD2FB39" w14:textId="77777777" w:rsidR="00294A97" w:rsidRDefault="00294A97" w:rsidP="00294A97">
      <w:pPr>
        <w:pStyle w:val="Box-Pull-Bullet"/>
        <w:numPr>
          <w:ilvl w:val="0"/>
          <w:numId w:val="0"/>
        </w:numPr>
      </w:pPr>
    </w:p>
    <w:p w14:paraId="1827E6EE" w14:textId="77777777" w:rsidR="00294A97" w:rsidRDefault="00294A97" w:rsidP="00294A97">
      <w:pPr>
        <w:pStyle w:val="Box-Pull-Bullet"/>
        <w:numPr>
          <w:ilvl w:val="0"/>
          <w:numId w:val="0"/>
        </w:numPr>
        <w:sectPr w:rsidR="00294A97" w:rsidSect="0020758A">
          <w:headerReference w:type="first" r:id="rId35"/>
          <w:type w:val="oddPage"/>
          <w:pgSz w:w="11907" w:h="16840" w:code="9"/>
          <w:pgMar w:top="2466" w:right="2098" w:bottom="2466" w:left="2098" w:header="1899" w:footer="1899" w:gutter="0"/>
          <w:pgNumType w:fmt="lowerRoman"/>
          <w:cols w:space="720"/>
          <w:titlePg/>
          <w:docGrid w:linePitch="360"/>
        </w:sectPr>
      </w:pPr>
    </w:p>
    <w:p w14:paraId="736CE880" w14:textId="664A1C3E" w:rsidR="00B0520E" w:rsidRPr="00E30512" w:rsidRDefault="00E30512" w:rsidP="00B0520E">
      <w:pPr>
        <w:pStyle w:val="Heading1"/>
        <w:jc w:val="center"/>
      </w:pPr>
      <w:bookmarkStart w:id="17" w:name="_Toc476737070"/>
      <w:r>
        <w:rPr>
          <w:noProof/>
        </w:rPr>
        <w:lastRenderedPageBreak/>
        <w:drawing>
          <wp:anchor distT="0" distB="0" distL="114300" distR="114300" simplePos="0" relativeHeight="251658253" behindDoc="0" locked="0" layoutInCell="1" allowOverlap="1" wp14:anchorId="304F1DCB" wp14:editId="442A535C">
            <wp:simplePos x="0" y="0"/>
            <wp:positionH relativeFrom="column">
              <wp:posOffset>6350</wp:posOffset>
            </wp:positionH>
            <wp:positionV relativeFrom="paragraph">
              <wp:posOffset>-1270</wp:posOffset>
            </wp:positionV>
            <wp:extent cx="4895850" cy="28632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95850" cy="2863215"/>
                    </a:xfrm>
                    <a:prstGeom prst="rect">
                      <a:avLst/>
                    </a:prstGeom>
                  </pic:spPr>
                </pic:pic>
              </a:graphicData>
            </a:graphic>
            <wp14:sizeRelH relativeFrom="page">
              <wp14:pctWidth>0</wp14:pctWidth>
            </wp14:sizeRelH>
            <wp14:sizeRelV relativeFrom="page">
              <wp14:pctHeight>0</wp14:pctHeight>
            </wp14:sizeRelV>
          </wp:anchor>
        </w:drawing>
      </w:r>
      <w:r w:rsidRPr="00E30512">
        <w:t xml:space="preserve">Chapter 1: </w:t>
      </w:r>
      <w:r w:rsidR="00B0520E" w:rsidRPr="00E30512">
        <w:t>The Foreign Investment Review Board</w:t>
      </w:r>
      <w:bookmarkEnd w:id="17"/>
    </w:p>
    <w:p w14:paraId="311BFE49" w14:textId="61829A45" w:rsidR="00334516" w:rsidRDefault="00334516" w:rsidP="00B0520E"/>
    <w:p w14:paraId="2B209846" w14:textId="79B9C1BB" w:rsidR="00172835" w:rsidRDefault="00172835" w:rsidP="00B0520E"/>
    <w:p w14:paraId="0D43C641" w14:textId="3738D69E" w:rsidR="001E1739" w:rsidRDefault="001E1739" w:rsidP="00B0520E"/>
    <w:p w14:paraId="703B36DC" w14:textId="77777777" w:rsidR="001E1739" w:rsidRDefault="001E1739" w:rsidP="00B0520E"/>
    <w:p w14:paraId="4AF995D4" w14:textId="3BA5FBBF" w:rsidR="001E1739" w:rsidRDefault="001E1739" w:rsidP="00B0520E"/>
    <w:p w14:paraId="37B7ABA2" w14:textId="29153B75" w:rsidR="001E1739" w:rsidRDefault="001E1739" w:rsidP="00B0520E"/>
    <w:p w14:paraId="65512055" w14:textId="3B12CD28" w:rsidR="005C45BB" w:rsidRDefault="005C45BB" w:rsidP="00B0520E"/>
    <w:p w14:paraId="357134F2" w14:textId="54542E14" w:rsidR="00430134" w:rsidRDefault="00430134" w:rsidP="00B0520E"/>
    <w:p w14:paraId="0862AFBB" w14:textId="77777777" w:rsidR="00430134" w:rsidRDefault="00430134" w:rsidP="00B0520E"/>
    <w:p w14:paraId="5D4C9F22" w14:textId="77777777" w:rsidR="00715C4E" w:rsidRDefault="00715C4E" w:rsidP="00B0520E"/>
    <w:p w14:paraId="108B0B63" w14:textId="56DECD70" w:rsidR="00E606D7" w:rsidRDefault="008B6006" w:rsidP="00965145">
      <w:pPr>
        <w:rPr>
          <w:szCs w:val="24"/>
        </w:rPr>
      </w:pPr>
      <w:r w:rsidRPr="00FD3B20">
        <w:t>The Foreign Investment Review Board (the Board) is a non</w:t>
      </w:r>
      <w:r w:rsidR="008205A1">
        <w:noBreakHyphen/>
      </w:r>
      <w:r w:rsidRPr="00FD3B20">
        <w:t>statutory body established in 1976 to advise the Treasurer and the Government on foreign investment matters.</w:t>
      </w:r>
      <w:r w:rsidR="005B0984" w:rsidRPr="00FD3B20">
        <w:t xml:space="preserve"> The Board</w:t>
      </w:r>
      <w:r w:rsidR="008205A1">
        <w:t>’</w:t>
      </w:r>
      <w:r w:rsidR="005B0984" w:rsidRPr="00FD3B20">
        <w:t xml:space="preserve">s functions are advisory only. Responsibility for making decisions on foreign investment policy and investment proposals rests with the </w:t>
      </w:r>
      <w:r w:rsidR="005B0984" w:rsidRPr="00FD3B20">
        <w:rPr>
          <w:szCs w:val="24"/>
        </w:rPr>
        <w:t>Treasurer.</w:t>
      </w:r>
      <w:r w:rsidR="00E71482" w:rsidRPr="00FD3B20">
        <w:rPr>
          <w:szCs w:val="24"/>
        </w:rPr>
        <w:t xml:space="preserve"> </w:t>
      </w:r>
    </w:p>
    <w:p w14:paraId="43957AF9" w14:textId="00DCBFD0" w:rsidR="005B0984" w:rsidRPr="00FD3B20" w:rsidRDefault="005B0984" w:rsidP="00965145">
      <w:r w:rsidRPr="00FD3B20">
        <w:rPr>
          <w:color w:val="auto"/>
          <w:szCs w:val="24"/>
        </w:rPr>
        <w:t>During 20</w:t>
      </w:r>
      <w:r w:rsidR="00FD3B20">
        <w:rPr>
          <w:color w:val="auto"/>
          <w:szCs w:val="24"/>
        </w:rPr>
        <w:t>15</w:t>
      </w:r>
      <w:r w:rsidR="008205A1">
        <w:rPr>
          <w:color w:val="auto"/>
          <w:szCs w:val="24"/>
        </w:rPr>
        <w:noBreakHyphen/>
      </w:r>
      <w:r w:rsidR="00FD3B20">
        <w:rPr>
          <w:color w:val="auto"/>
          <w:szCs w:val="24"/>
        </w:rPr>
        <w:t xml:space="preserve">16, the Board comprised </w:t>
      </w:r>
      <w:r w:rsidR="00A17F2F">
        <w:rPr>
          <w:color w:val="auto"/>
          <w:szCs w:val="24"/>
        </w:rPr>
        <w:t>six</w:t>
      </w:r>
      <w:r w:rsidR="00FD3B20">
        <w:rPr>
          <w:color w:val="auto"/>
          <w:szCs w:val="24"/>
        </w:rPr>
        <w:t> </w:t>
      </w:r>
      <w:r w:rsidRPr="00FD3B20">
        <w:rPr>
          <w:color w:val="auto"/>
          <w:szCs w:val="24"/>
        </w:rPr>
        <w:t>part</w:t>
      </w:r>
      <w:r w:rsidR="008205A1">
        <w:rPr>
          <w:color w:val="auto"/>
          <w:szCs w:val="24"/>
        </w:rPr>
        <w:noBreakHyphen/>
      </w:r>
      <w:r w:rsidRPr="00FD3B20">
        <w:rPr>
          <w:color w:val="auto"/>
          <w:szCs w:val="24"/>
        </w:rPr>
        <w:t>time members and a full</w:t>
      </w:r>
      <w:r w:rsidR="008205A1">
        <w:rPr>
          <w:color w:val="auto"/>
          <w:szCs w:val="24"/>
        </w:rPr>
        <w:noBreakHyphen/>
      </w:r>
      <w:r w:rsidRPr="00FD3B20">
        <w:rPr>
          <w:color w:val="auto"/>
          <w:szCs w:val="24"/>
        </w:rPr>
        <w:t>time Executive Member.</w:t>
      </w:r>
      <w:r w:rsidR="00E606D7">
        <w:rPr>
          <w:color w:val="auto"/>
          <w:szCs w:val="24"/>
        </w:rPr>
        <w:t xml:space="preserve"> The Government seeks to attract members of the Board with deep knowledge and experience </w:t>
      </w:r>
      <w:r w:rsidR="00EF17AA">
        <w:rPr>
          <w:color w:val="auto"/>
          <w:szCs w:val="24"/>
        </w:rPr>
        <w:t xml:space="preserve">in a range of sectors </w:t>
      </w:r>
      <w:r w:rsidR="00E606D7">
        <w:rPr>
          <w:color w:val="auto"/>
          <w:szCs w:val="24"/>
        </w:rPr>
        <w:t xml:space="preserve">that can </w:t>
      </w:r>
      <w:r w:rsidR="00EF17AA">
        <w:rPr>
          <w:color w:val="auto"/>
          <w:szCs w:val="24"/>
        </w:rPr>
        <w:t>actively contribute to the Board</w:t>
      </w:r>
      <w:r w:rsidR="008205A1">
        <w:rPr>
          <w:color w:val="auto"/>
          <w:szCs w:val="24"/>
        </w:rPr>
        <w:t>’</w:t>
      </w:r>
      <w:r w:rsidR="00EF17AA">
        <w:rPr>
          <w:color w:val="auto"/>
          <w:szCs w:val="24"/>
        </w:rPr>
        <w:t xml:space="preserve">s responsibilities. </w:t>
      </w:r>
      <w:r w:rsidR="00921458">
        <w:rPr>
          <w:color w:val="auto"/>
          <w:szCs w:val="24"/>
        </w:rPr>
        <w:t>Strong probity procedures are in place to </w:t>
      </w:r>
      <w:r w:rsidR="00EF17AA">
        <w:rPr>
          <w:color w:val="auto"/>
          <w:szCs w:val="24"/>
        </w:rPr>
        <w:t xml:space="preserve">ensure </w:t>
      </w:r>
      <w:r w:rsidR="00574C12">
        <w:rPr>
          <w:color w:val="auto"/>
          <w:szCs w:val="24"/>
        </w:rPr>
        <w:t xml:space="preserve">any </w:t>
      </w:r>
      <w:r w:rsidR="00EF17AA">
        <w:rPr>
          <w:color w:val="auto"/>
          <w:szCs w:val="24"/>
        </w:rPr>
        <w:t>conflict</w:t>
      </w:r>
      <w:r w:rsidR="00106821">
        <w:rPr>
          <w:color w:val="auto"/>
          <w:szCs w:val="24"/>
        </w:rPr>
        <w:t>s</w:t>
      </w:r>
      <w:r w:rsidR="00574C12">
        <w:rPr>
          <w:color w:val="auto"/>
          <w:szCs w:val="24"/>
        </w:rPr>
        <w:t xml:space="preserve"> of interest</w:t>
      </w:r>
      <w:r w:rsidR="00EF17AA">
        <w:rPr>
          <w:color w:val="auto"/>
          <w:szCs w:val="24"/>
        </w:rPr>
        <w:t xml:space="preserve"> </w:t>
      </w:r>
      <w:r w:rsidR="003D1988">
        <w:rPr>
          <w:color w:val="auto"/>
          <w:szCs w:val="24"/>
        </w:rPr>
        <w:t xml:space="preserve">that may occur </w:t>
      </w:r>
      <w:r w:rsidR="00106821">
        <w:rPr>
          <w:color w:val="auto"/>
          <w:szCs w:val="24"/>
        </w:rPr>
        <w:t>are</w:t>
      </w:r>
      <w:r w:rsidR="00EF17AA">
        <w:rPr>
          <w:color w:val="auto"/>
          <w:szCs w:val="24"/>
        </w:rPr>
        <w:t xml:space="preserve"> managed appropriately</w:t>
      </w:r>
      <w:r w:rsidR="00106821">
        <w:rPr>
          <w:color w:val="auto"/>
          <w:szCs w:val="24"/>
        </w:rPr>
        <w:t>.</w:t>
      </w:r>
      <w:r w:rsidR="00EF17AA">
        <w:rPr>
          <w:color w:val="auto"/>
          <w:szCs w:val="24"/>
        </w:rPr>
        <w:t xml:space="preserve"> </w:t>
      </w:r>
    </w:p>
    <w:p w14:paraId="4D014BED" w14:textId="57AE82BB" w:rsidR="00402633" w:rsidRPr="00604C5C" w:rsidRDefault="005B0984" w:rsidP="00326F65">
      <w:pPr>
        <w:pStyle w:val="Heading3"/>
        <w:rPr>
          <w:rFonts w:eastAsiaTheme="majorEastAsia"/>
        </w:rPr>
      </w:pPr>
      <w:r w:rsidRPr="00604C5C">
        <w:rPr>
          <w:rFonts w:eastAsiaTheme="majorEastAsia"/>
        </w:rPr>
        <w:t>Board Responsibilities</w:t>
      </w:r>
      <w:r w:rsidR="00402633" w:rsidRPr="00604C5C">
        <w:rPr>
          <w:rFonts w:eastAsiaTheme="majorEastAsia"/>
        </w:rPr>
        <w:t>:</w:t>
      </w:r>
    </w:p>
    <w:p w14:paraId="0581A2E9" w14:textId="30975F1B" w:rsidR="008B6006" w:rsidRPr="00FD3B20" w:rsidRDefault="00E57F65" w:rsidP="00965145">
      <w:pPr>
        <w:pStyle w:val="Bullet"/>
        <w:spacing w:before="60" w:after="60"/>
        <w:rPr>
          <w:rFonts w:ascii="Calibri" w:hAnsi="Calibri"/>
        </w:rPr>
      </w:pPr>
      <w:r w:rsidRPr="00FD3B20">
        <w:rPr>
          <w:rFonts w:ascii="Calibri" w:hAnsi="Calibri"/>
        </w:rPr>
        <w:t>E</w:t>
      </w:r>
      <w:r w:rsidR="008B6006" w:rsidRPr="00FD3B20">
        <w:rPr>
          <w:rFonts w:ascii="Calibri" w:hAnsi="Calibri"/>
        </w:rPr>
        <w:t xml:space="preserve">xamine proposed investments that are subject to the </w:t>
      </w:r>
      <w:r w:rsidR="008B6006" w:rsidRPr="00FD3B20">
        <w:rPr>
          <w:rFonts w:ascii="Calibri" w:hAnsi="Calibri"/>
          <w:i/>
        </w:rPr>
        <w:t>Foreign Acquisitions and Takeovers Act 1975</w:t>
      </w:r>
      <w:r w:rsidR="008B6006" w:rsidRPr="00FD3B20">
        <w:rPr>
          <w:rFonts w:ascii="Calibri" w:hAnsi="Calibri"/>
        </w:rPr>
        <w:t xml:space="preserve"> (the Act) and supporting legislation, and to make recommendations to the Treasurer and other Treasury portfolio ministers on the national interest </w:t>
      </w:r>
      <w:r w:rsidRPr="00FD3B20">
        <w:rPr>
          <w:rFonts w:ascii="Calibri" w:hAnsi="Calibri"/>
        </w:rPr>
        <w:t>implications of these proposals</w:t>
      </w:r>
      <w:r w:rsidR="00715C4E">
        <w:rPr>
          <w:rFonts w:ascii="Calibri" w:hAnsi="Calibri"/>
        </w:rPr>
        <w:t>.</w:t>
      </w:r>
    </w:p>
    <w:p w14:paraId="59536E3B" w14:textId="4414E2A2" w:rsidR="008B6006" w:rsidRPr="00FD3B20" w:rsidRDefault="00574C12" w:rsidP="00965145">
      <w:pPr>
        <w:pStyle w:val="Bullet"/>
        <w:tabs>
          <w:tab w:val="clear" w:pos="283"/>
          <w:tab w:val="num" w:pos="284"/>
        </w:tabs>
        <w:spacing w:before="60" w:after="60"/>
        <w:rPr>
          <w:rFonts w:ascii="Calibri" w:hAnsi="Calibri"/>
        </w:rPr>
      </w:pPr>
      <w:r>
        <w:rPr>
          <w:rFonts w:ascii="Calibri" w:hAnsi="Calibri"/>
        </w:rPr>
        <w:t>Provide advice</w:t>
      </w:r>
      <w:r w:rsidR="008B6006" w:rsidRPr="00FD3B20">
        <w:rPr>
          <w:rFonts w:ascii="Calibri" w:hAnsi="Calibri"/>
        </w:rPr>
        <w:t xml:space="preserve"> on the operation of the foreign investment framework and re</w:t>
      </w:r>
      <w:r w:rsidR="00E57F65" w:rsidRPr="00FD3B20">
        <w:rPr>
          <w:rFonts w:ascii="Calibri" w:hAnsi="Calibri"/>
        </w:rPr>
        <w:t>lated matters</w:t>
      </w:r>
      <w:r w:rsidR="00715C4E">
        <w:rPr>
          <w:rFonts w:ascii="Calibri" w:hAnsi="Calibri"/>
        </w:rPr>
        <w:t>.</w:t>
      </w:r>
    </w:p>
    <w:p w14:paraId="70B8A000" w14:textId="69B8F080" w:rsidR="008B6006" w:rsidRPr="00FD3B20" w:rsidRDefault="00E57F65" w:rsidP="00965145">
      <w:pPr>
        <w:pStyle w:val="Bullet"/>
        <w:tabs>
          <w:tab w:val="clear" w:pos="283"/>
          <w:tab w:val="num" w:pos="284"/>
        </w:tabs>
        <w:spacing w:before="60" w:after="60"/>
        <w:rPr>
          <w:rFonts w:ascii="Calibri" w:hAnsi="Calibri"/>
        </w:rPr>
      </w:pPr>
      <w:r w:rsidRPr="00FD3B20">
        <w:rPr>
          <w:rFonts w:ascii="Calibri" w:hAnsi="Calibri"/>
        </w:rPr>
        <w:t>P</w:t>
      </w:r>
      <w:r w:rsidR="008B6006" w:rsidRPr="00FD3B20">
        <w:rPr>
          <w:rFonts w:ascii="Calibri" w:hAnsi="Calibri"/>
        </w:rPr>
        <w:t>rovide guidance to foreign persons and their representatives or agents on the operation of th</w:t>
      </w:r>
      <w:r w:rsidRPr="00FD3B20">
        <w:rPr>
          <w:rFonts w:ascii="Calibri" w:hAnsi="Calibri"/>
        </w:rPr>
        <w:t>e foreign investment framework</w:t>
      </w:r>
      <w:r w:rsidR="00715C4E">
        <w:rPr>
          <w:rFonts w:ascii="Calibri" w:hAnsi="Calibri"/>
        </w:rPr>
        <w:t>.</w:t>
      </w:r>
    </w:p>
    <w:p w14:paraId="75DF26A5" w14:textId="0BBFAA99" w:rsidR="008B6006" w:rsidRPr="00FD3B20" w:rsidRDefault="00E57F65" w:rsidP="00965145">
      <w:pPr>
        <w:pStyle w:val="Bullet"/>
        <w:spacing w:before="60" w:after="60"/>
        <w:rPr>
          <w:rFonts w:ascii="Calibri" w:hAnsi="Calibri"/>
        </w:rPr>
      </w:pPr>
      <w:r w:rsidRPr="00FD3B20">
        <w:rPr>
          <w:rFonts w:ascii="Calibri" w:hAnsi="Calibri"/>
        </w:rPr>
        <w:t>M</w:t>
      </w:r>
      <w:r w:rsidR="008B6006" w:rsidRPr="00FD3B20">
        <w:rPr>
          <w:rFonts w:ascii="Calibri" w:hAnsi="Calibri"/>
        </w:rPr>
        <w:t xml:space="preserve">onitor and ensure compliance with the </w:t>
      </w:r>
      <w:r w:rsidR="003C2D08" w:rsidRPr="00FD3B20">
        <w:rPr>
          <w:rFonts w:ascii="Calibri" w:hAnsi="Calibri"/>
        </w:rPr>
        <w:t>framework</w:t>
      </w:r>
      <w:r w:rsidR="00715C4E">
        <w:rPr>
          <w:rFonts w:ascii="Calibri" w:hAnsi="Calibri"/>
        </w:rPr>
        <w:t>.</w:t>
      </w:r>
    </w:p>
    <w:p w14:paraId="6A75FC00" w14:textId="22736212" w:rsidR="00FD3B20" w:rsidRPr="00574C12" w:rsidRDefault="00E57F65" w:rsidP="00574C12">
      <w:pPr>
        <w:pStyle w:val="Bullet"/>
        <w:spacing w:before="60" w:after="200" w:line="276" w:lineRule="auto"/>
        <w:jc w:val="left"/>
        <w:rPr>
          <w:rFonts w:ascii="Calibri" w:hAnsi="Calibri"/>
        </w:rPr>
      </w:pPr>
      <w:r w:rsidRPr="00574C12">
        <w:rPr>
          <w:rFonts w:ascii="Calibri" w:hAnsi="Calibri"/>
        </w:rPr>
        <w:t>F</w:t>
      </w:r>
      <w:r w:rsidR="008B6006" w:rsidRPr="00574C12">
        <w:rPr>
          <w:rFonts w:ascii="Calibri" w:hAnsi="Calibri"/>
        </w:rPr>
        <w:t xml:space="preserve">oster </w:t>
      </w:r>
      <w:r w:rsidR="00156E8D" w:rsidRPr="00574C12">
        <w:rPr>
          <w:rFonts w:ascii="Calibri" w:hAnsi="Calibri"/>
        </w:rPr>
        <w:t>awareness</w:t>
      </w:r>
      <w:r w:rsidR="008B6006" w:rsidRPr="00574C12">
        <w:rPr>
          <w:rFonts w:ascii="Calibri" w:hAnsi="Calibri"/>
        </w:rPr>
        <w:t xml:space="preserve"> and understanding, both in Australia and abroad, of Australia</w:t>
      </w:r>
      <w:r w:rsidR="008205A1">
        <w:rPr>
          <w:rFonts w:ascii="Calibri" w:hAnsi="Calibri"/>
        </w:rPr>
        <w:t>’</w:t>
      </w:r>
      <w:r w:rsidRPr="00574C12">
        <w:rPr>
          <w:rFonts w:ascii="Calibri" w:hAnsi="Calibri"/>
        </w:rPr>
        <w:t>s policy on foreign investment</w:t>
      </w:r>
      <w:r w:rsidR="00715C4E" w:rsidRPr="00574C12">
        <w:rPr>
          <w:rFonts w:ascii="Calibri" w:hAnsi="Calibri"/>
        </w:rPr>
        <w:t>.</w:t>
      </w:r>
      <w:r w:rsidR="00FD3B20" w:rsidRPr="00574C12">
        <w:rPr>
          <w:rFonts w:ascii="Calibri" w:hAnsi="Calibri"/>
        </w:rPr>
        <w:br w:type="page"/>
      </w:r>
    </w:p>
    <w:p w14:paraId="3341AC3F" w14:textId="1A9DD799" w:rsidR="008B6006" w:rsidRPr="00F77EFA" w:rsidRDefault="008B6006" w:rsidP="00C72611">
      <w:pPr>
        <w:pStyle w:val="Heading2"/>
      </w:pPr>
      <w:bookmarkStart w:id="18" w:name="_Toc476737071"/>
      <w:r w:rsidRPr="00F77EFA">
        <w:lastRenderedPageBreak/>
        <w:t>Board membership</w:t>
      </w:r>
      <w:bookmarkEnd w:id="18"/>
    </w:p>
    <w:p w14:paraId="63479CA3" w14:textId="3464D5E9" w:rsidR="004D756F" w:rsidRPr="00FD3B20" w:rsidRDefault="000936C4" w:rsidP="00D70C3D">
      <w:pPr>
        <w:pStyle w:val="Normal-Bio"/>
        <w:spacing w:after="0"/>
        <w:jc w:val="left"/>
        <w:rPr>
          <w:b/>
          <w:sz w:val="22"/>
          <w:szCs w:val="22"/>
        </w:rPr>
      </w:pPr>
      <w:r w:rsidRPr="00FD3B20">
        <w:rPr>
          <w:sz w:val="22"/>
          <w:szCs w:val="22"/>
        </w:rPr>
        <w:drawing>
          <wp:anchor distT="0" distB="0" distL="114300" distR="114300" simplePos="0" relativeHeight="251658241" behindDoc="0" locked="0" layoutInCell="1" allowOverlap="1" wp14:anchorId="6B0E85F4" wp14:editId="1B6F1082">
            <wp:simplePos x="0" y="0"/>
            <wp:positionH relativeFrom="column">
              <wp:posOffset>4037965</wp:posOffset>
            </wp:positionH>
            <wp:positionV relativeFrom="paragraph">
              <wp:posOffset>40640</wp:posOffset>
            </wp:positionV>
            <wp:extent cx="852170" cy="1064895"/>
            <wp:effectExtent l="0" t="0" r="5080" b="1905"/>
            <wp:wrapSquare wrapText="bothSides"/>
            <wp:docPr id="17" name="Picture 17" descr="\\tweb\DavWWWRoot\sites\mg\sbccpd\activity\secretariat\firb\04 23 June 2016\Photos\Brian_Wilso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eb\DavWWWRoot\sites\mg\sbccpd\activity\secretariat\firb\04 23 June 2016\Photos\Brian_Wilson-0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217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56F" w:rsidRPr="00FD3B20">
        <w:rPr>
          <w:b/>
          <w:sz w:val="22"/>
          <w:szCs w:val="22"/>
        </w:rPr>
        <w:t>Mr Brian Wilson</w:t>
      </w:r>
    </w:p>
    <w:p w14:paraId="59F2509A" w14:textId="1CE0D5B3" w:rsidR="00384DE7" w:rsidRPr="00FD3B20" w:rsidRDefault="004D756F" w:rsidP="00D70C3D">
      <w:pPr>
        <w:pStyle w:val="Normal-Bio"/>
        <w:spacing w:after="0"/>
        <w:jc w:val="left"/>
        <w:rPr>
          <w:i/>
          <w:sz w:val="22"/>
          <w:szCs w:val="22"/>
        </w:rPr>
      </w:pPr>
      <w:r w:rsidRPr="00FD3B20">
        <w:rPr>
          <w:i/>
          <w:sz w:val="22"/>
          <w:szCs w:val="22"/>
        </w:rPr>
        <w:t xml:space="preserve">Chairman since 16 April 2012 </w:t>
      </w:r>
    </w:p>
    <w:p w14:paraId="633A9337" w14:textId="20DE0A71" w:rsidR="004D756F" w:rsidRPr="00FD3B20" w:rsidRDefault="004D756F" w:rsidP="00D70C3D">
      <w:pPr>
        <w:pStyle w:val="Normal-Bio"/>
        <w:spacing w:after="0"/>
        <w:jc w:val="left"/>
        <w:rPr>
          <w:i/>
          <w:sz w:val="22"/>
          <w:szCs w:val="22"/>
        </w:rPr>
      </w:pPr>
      <w:r w:rsidRPr="00FD3B20">
        <w:rPr>
          <w:i/>
          <w:sz w:val="22"/>
          <w:szCs w:val="22"/>
        </w:rPr>
        <w:t>Board member since 10 December 2009</w:t>
      </w:r>
    </w:p>
    <w:p w14:paraId="4D8D98FA" w14:textId="2F32C7FF" w:rsidR="008B6006" w:rsidRPr="00FD3B20" w:rsidRDefault="008B6006" w:rsidP="00F1391A">
      <w:r w:rsidRPr="00FD3B20">
        <w:t xml:space="preserve">Mr Wilson is </w:t>
      </w:r>
      <w:r w:rsidR="00100227">
        <w:t xml:space="preserve">Deputy </w:t>
      </w:r>
      <w:r w:rsidRPr="00FD3B20">
        <w:t>Chancellor of the University of Technology Sydney, a non</w:t>
      </w:r>
      <w:r w:rsidR="008205A1">
        <w:noBreakHyphen/>
      </w:r>
      <w:r w:rsidRPr="00FD3B20">
        <w:t>executive director of Bell Financial Group and a member of the Payments System Board of the Reserve Bank of Australia. He was a member of the Commonwealth Government</w:t>
      </w:r>
      <w:r w:rsidR="00CD762D">
        <w:t>’s</w:t>
      </w:r>
      <w:r w:rsidRPr="00FD3B20">
        <w:t xml:space="preserve"> Review of Australia</w:t>
      </w:r>
      <w:r w:rsidR="008205A1">
        <w:t>’</w:t>
      </w:r>
      <w:r w:rsidRPr="00FD3B20">
        <w:t>s Superannuation System, the Specialist Reference Group on the Taxation of Multinational Enterprises in Australia and the Australian Taxation Office Superannuation Reform Steering Committee. Mr</w:t>
      </w:r>
      <w:r w:rsidR="00F1391A">
        <w:t> </w:t>
      </w:r>
      <w:r w:rsidRPr="00FD3B20">
        <w:t>Wilson retired in 2009 as a Managing Director of the global investment bank Lazard, after co</w:t>
      </w:r>
      <w:r w:rsidR="008205A1">
        <w:noBreakHyphen/>
      </w:r>
      <w:r w:rsidRPr="00FD3B20">
        <w:t>founding the firm in Australia in 2004 and was previously a Vice</w:t>
      </w:r>
      <w:r w:rsidR="008205A1">
        <w:noBreakHyphen/>
      </w:r>
      <w:r w:rsidRPr="00FD3B20">
        <w:t>Chairman of Citigroup Australia and its predecessor companies.</w:t>
      </w:r>
    </w:p>
    <w:p w14:paraId="02A7837F" w14:textId="7F44F7C9" w:rsidR="00F40942" w:rsidRPr="00FD3B20" w:rsidRDefault="00F40942" w:rsidP="00F40942">
      <w:pPr>
        <w:pStyle w:val="Normal-Bio"/>
        <w:spacing w:after="0"/>
        <w:jc w:val="left"/>
        <w:rPr>
          <w:b/>
          <w:sz w:val="22"/>
          <w:szCs w:val="24"/>
        </w:rPr>
      </w:pPr>
      <w:r w:rsidRPr="00FD3B20">
        <w:rPr>
          <w:b/>
          <w:sz w:val="22"/>
          <w:szCs w:val="24"/>
        </w:rPr>
        <w:drawing>
          <wp:anchor distT="0" distB="0" distL="114300" distR="114300" simplePos="0" relativeHeight="251658267" behindDoc="0" locked="0" layoutInCell="1" allowOverlap="1" wp14:anchorId="4D6535BB" wp14:editId="3ECB3288">
            <wp:simplePos x="0" y="0"/>
            <wp:positionH relativeFrom="column">
              <wp:posOffset>3998595</wp:posOffset>
            </wp:positionH>
            <wp:positionV relativeFrom="paragraph">
              <wp:posOffset>13970</wp:posOffset>
            </wp:positionV>
            <wp:extent cx="866775" cy="1082675"/>
            <wp:effectExtent l="0" t="0" r="9525" b="3175"/>
            <wp:wrapSquare wrapText="bothSides"/>
            <wp:docPr id="19" name="Picture 19" descr="\\tweb\DavWWWRoot\sites\mg\sbccpd\activity\secretariat\firb\04 23 June 2016\Photos\Michael_D'Ascenz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eb\DavWWWRoot\sites\mg\sbccpd\activity\secretariat\firb\04 23 June 2016\Photos\Michael_D'Ascenzo-0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B20">
        <w:rPr>
          <w:b/>
          <w:sz w:val="22"/>
          <w:szCs w:val="24"/>
        </w:rPr>
        <w:t>Mr Michael D</w:t>
      </w:r>
      <w:r w:rsidR="008205A1">
        <w:rPr>
          <w:b/>
          <w:sz w:val="22"/>
          <w:szCs w:val="24"/>
        </w:rPr>
        <w:t>’</w:t>
      </w:r>
      <w:r w:rsidRPr="00FD3B20">
        <w:rPr>
          <w:b/>
          <w:sz w:val="22"/>
          <w:szCs w:val="24"/>
        </w:rPr>
        <w:t>Ascenzo AO</w:t>
      </w:r>
    </w:p>
    <w:p w14:paraId="6F6C61F8" w14:textId="77777777" w:rsidR="00F40942" w:rsidRPr="00FD3B20" w:rsidRDefault="00F40942" w:rsidP="00F40942">
      <w:pPr>
        <w:pStyle w:val="Normal-Bio"/>
        <w:spacing w:after="0"/>
        <w:jc w:val="left"/>
        <w:rPr>
          <w:i/>
          <w:sz w:val="22"/>
          <w:szCs w:val="24"/>
        </w:rPr>
      </w:pPr>
      <w:r w:rsidRPr="00FD3B20">
        <w:rPr>
          <w:i/>
          <w:sz w:val="22"/>
          <w:szCs w:val="24"/>
        </w:rPr>
        <w:t>Board member since 2 January 2013</w:t>
      </w:r>
    </w:p>
    <w:p w14:paraId="2BF76833" w14:textId="785D7069" w:rsidR="00F40942" w:rsidRPr="00FD3B20" w:rsidRDefault="00F40942" w:rsidP="00F40942">
      <w:pPr>
        <w:pStyle w:val="Normal-Bio"/>
      </w:pPr>
      <w:r w:rsidRPr="00FD3B20">
        <w:t>Mr D</w:t>
      </w:r>
      <w:r w:rsidR="008205A1">
        <w:t>’</w:t>
      </w:r>
      <w:r w:rsidRPr="00FD3B20">
        <w:t>Ascenzo is recognised internationally for his leadership and expertise in taxation, administration, governance and policy. Mr D</w:t>
      </w:r>
      <w:r w:rsidR="008205A1">
        <w:t>’</w:t>
      </w:r>
      <w:r w:rsidRPr="00FD3B20">
        <w:t>Ascenzo was Commissioner of Taxation from Ja</w:t>
      </w:r>
      <w:r>
        <w:t>nuary 2006 to December 2012. In </w:t>
      </w:r>
      <w:r w:rsidRPr="00FD3B20">
        <w:t>January 2010 he was appointed an Officer of the Order of Australia for service to public administration and in 2012 he was awarded the Chartered Accountants</w:t>
      </w:r>
      <w:r w:rsidR="008205A1">
        <w:t>’</w:t>
      </w:r>
      <w:r w:rsidRPr="00FD3B20">
        <w:t xml:space="preserve"> Federal Government Leader of the Year. Mr D</w:t>
      </w:r>
      <w:r w:rsidR="008205A1">
        <w:t>’</w:t>
      </w:r>
      <w:r w:rsidRPr="00FD3B20">
        <w:t>Ascenzo is currently a member of the Clean Energy Regulator, as well as an adjunct professor at the University of New South</w:t>
      </w:r>
      <w:r w:rsidR="00BB0B98">
        <w:t> </w:t>
      </w:r>
      <w:r w:rsidRPr="00FD3B20">
        <w:t>Wales and a professorial fellow at Melbourne University.</w:t>
      </w:r>
      <w:r w:rsidR="00EB212C" w:rsidRPr="00EB212C">
        <w:t xml:space="preserve"> </w:t>
      </w:r>
      <w:r w:rsidR="00EB212C">
        <w:t xml:space="preserve">He was </w:t>
      </w:r>
      <w:r w:rsidR="00EB212C" w:rsidRPr="00FD3B20">
        <w:t>also a non</w:t>
      </w:r>
      <w:r w:rsidR="008205A1">
        <w:noBreakHyphen/>
      </w:r>
      <w:r w:rsidR="00EB212C" w:rsidRPr="00FD3B20">
        <w:t>executiv</w:t>
      </w:r>
      <w:r w:rsidR="00EB212C">
        <w:t>e director of Australia Post 2013</w:t>
      </w:r>
      <w:r w:rsidR="00B51735">
        <w:t xml:space="preserve"> to 20</w:t>
      </w:r>
      <w:r w:rsidR="00EB212C">
        <w:t>16.</w:t>
      </w:r>
    </w:p>
    <w:p w14:paraId="77A8D057" w14:textId="72068E82" w:rsidR="00BA6F9E" w:rsidRPr="00FD3B20" w:rsidRDefault="000936C4" w:rsidP="00D70C3D">
      <w:pPr>
        <w:pStyle w:val="Normal-Bio"/>
        <w:spacing w:after="0"/>
        <w:jc w:val="left"/>
        <w:rPr>
          <w:b/>
          <w:sz w:val="22"/>
          <w:szCs w:val="22"/>
        </w:rPr>
      </w:pPr>
      <w:r w:rsidRPr="00FD3B20">
        <w:rPr>
          <w:i/>
          <w:sz w:val="22"/>
          <w:szCs w:val="22"/>
        </w:rPr>
        <w:drawing>
          <wp:anchor distT="0" distB="0" distL="114300" distR="114300" simplePos="0" relativeHeight="251658243" behindDoc="0" locked="0" layoutInCell="1" allowOverlap="1" wp14:anchorId="5ED3B9CF" wp14:editId="4456C9B7">
            <wp:simplePos x="0" y="0"/>
            <wp:positionH relativeFrom="column">
              <wp:posOffset>4018915</wp:posOffset>
            </wp:positionH>
            <wp:positionV relativeFrom="paragraph">
              <wp:posOffset>49530</wp:posOffset>
            </wp:positionV>
            <wp:extent cx="871855" cy="1092200"/>
            <wp:effectExtent l="0" t="0" r="4445" b="0"/>
            <wp:wrapSquare wrapText="bothSides"/>
            <wp:docPr id="20" name="Picture 20" descr="\\tweb\DavWWWRoot\sites\mg\sbccpd\activity\secretariat\firb\04 23 June 2016\Photos\Patrick_Secke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eb\DavWWWRoot\sites\mg\sbccpd\activity\secretariat\firb\04 23 June 2016\Photos\Patrick_Secker-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18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F9E" w:rsidRPr="00FD3B20">
        <w:rPr>
          <w:b/>
          <w:sz w:val="22"/>
          <w:szCs w:val="22"/>
        </w:rPr>
        <w:t xml:space="preserve">Mr Patrick Secker </w:t>
      </w:r>
    </w:p>
    <w:p w14:paraId="224D8248" w14:textId="20FD9EB4" w:rsidR="00BA6F9E" w:rsidRPr="00FD3B20" w:rsidRDefault="00BA6F9E" w:rsidP="00D70C3D">
      <w:pPr>
        <w:pStyle w:val="Normal-Bio"/>
        <w:spacing w:after="0"/>
        <w:jc w:val="left"/>
        <w:rPr>
          <w:i/>
          <w:sz w:val="22"/>
          <w:szCs w:val="22"/>
        </w:rPr>
      </w:pPr>
      <w:r w:rsidRPr="00FD3B20">
        <w:rPr>
          <w:i/>
          <w:sz w:val="22"/>
          <w:szCs w:val="22"/>
        </w:rPr>
        <w:t>Board member since 17 December 2013</w:t>
      </w:r>
    </w:p>
    <w:p w14:paraId="128BD48F" w14:textId="3752B603" w:rsidR="00BA6F9E" w:rsidRPr="00FD3B20" w:rsidRDefault="00BA6F9E" w:rsidP="00D70C3D">
      <w:pPr>
        <w:pStyle w:val="Normal-Bio"/>
        <w:tabs>
          <w:tab w:val="left" w:pos="1418"/>
        </w:tabs>
      </w:pPr>
      <w:r w:rsidRPr="00FD3B20">
        <w:t>Mr Secker brings extensive agricultural sector experience to the Board. He was a primary producer, agricultural retailer and company director before entering politics as the member for the rural South Australian electorate of Barker. Mr Secker has a degree in economics and has participated in a number of parliamentary agricultural committees over many years. His parliamentary career included serving as Opposition Whip and Deputy Speaker of the House of Representatives. Mr Secker has also served as an elected member in local government for 11 years including deputy mayor, chairman of various committees including planning, library, development plan and works. He also chaired the Southern and Hills LGA and co</w:t>
      </w:r>
      <w:r w:rsidR="008205A1">
        <w:noBreakHyphen/>
      </w:r>
      <w:r w:rsidRPr="00FD3B20">
        <w:t>chaired the South Australian Government M</w:t>
      </w:r>
      <w:r w:rsidR="00965145" w:rsidRPr="00FD3B20">
        <w:t>t Lofty Ranges Strategy Review.</w:t>
      </w:r>
    </w:p>
    <w:p w14:paraId="5475CDEA" w14:textId="02C47D52" w:rsidR="009A15C8" w:rsidRDefault="009A15C8">
      <w:pPr>
        <w:spacing w:after="200" w:line="276" w:lineRule="auto"/>
        <w:jc w:val="left"/>
        <w:rPr>
          <w:b/>
          <w:noProof/>
          <w:sz w:val="22"/>
          <w:szCs w:val="24"/>
        </w:rPr>
      </w:pPr>
    </w:p>
    <w:p w14:paraId="57481117" w14:textId="77777777" w:rsidR="00F40942" w:rsidRDefault="00F40942">
      <w:pPr>
        <w:spacing w:after="200" w:line="276" w:lineRule="auto"/>
        <w:jc w:val="left"/>
        <w:rPr>
          <w:b/>
          <w:noProof/>
          <w:sz w:val="22"/>
          <w:szCs w:val="24"/>
        </w:rPr>
      </w:pPr>
    </w:p>
    <w:p w14:paraId="486EF4DF" w14:textId="77777777" w:rsidR="00F40942" w:rsidRDefault="00F40942">
      <w:pPr>
        <w:spacing w:after="200" w:line="276" w:lineRule="auto"/>
        <w:jc w:val="left"/>
        <w:rPr>
          <w:b/>
          <w:noProof/>
          <w:sz w:val="22"/>
          <w:szCs w:val="24"/>
        </w:rPr>
      </w:pPr>
    </w:p>
    <w:p w14:paraId="245AED56" w14:textId="55342EDE" w:rsidR="00F84E1E" w:rsidRPr="00FD3B20" w:rsidRDefault="009A15C8" w:rsidP="00572E68">
      <w:pPr>
        <w:pStyle w:val="Normal-Bio"/>
        <w:spacing w:after="0"/>
        <w:jc w:val="left"/>
        <w:rPr>
          <w:b/>
          <w:sz w:val="22"/>
          <w:szCs w:val="24"/>
        </w:rPr>
      </w:pPr>
      <w:r w:rsidRPr="00FD3B20">
        <w:rPr>
          <w:b/>
          <w:sz w:val="18"/>
        </w:rPr>
        <w:lastRenderedPageBreak/>
        <w:drawing>
          <wp:anchor distT="0" distB="0" distL="114300" distR="114300" simplePos="0" relativeHeight="251658240" behindDoc="0" locked="0" layoutInCell="1" allowOverlap="1" wp14:anchorId="21F86D33" wp14:editId="4DF6ED10">
            <wp:simplePos x="0" y="0"/>
            <wp:positionH relativeFrom="column">
              <wp:posOffset>3982720</wp:posOffset>
            </wp:positionH>
            <wp:positionV relativeFrom="paragraph">
              <wp:posOffset>81915</wp:posOffset>
            </wp:positionV>
            <wp:extent cx="878205" cy="1097915"/>
            <wp:effectExtent l="0" t="0" r="0" b="6985"/>
            <wp:wrapSquare wrapText="bothSides"/>
            <wp:docPr id="16" name="Picture 16" descr="\\tweb\DavWWWRoot\sites\mg\sbccpd\activity\secretariat\firb\04 23 June 2016\Photos\Alice_William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eb\DavWWWRoot\sites\mg\sbccpd\activity\secretariat\firb\04 23 June 2016\Photos\Alice_Williams-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820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E1E" w:rsidRPr="00FD3B20">
        <w:rPr>
          <w:b/>
          <w:sz w:val="22"/>
          <w:szCs w:val="24"/>
        </w:rPr>
        <w:t>Ms Alice Williams</w:t>
      </w:r>
    </w:p>
    <w:p w14:paraId="4F4FBD94" w14:textId="21266A90" w:rsidR="00F84E1E" w:rsidRPr="00FD3B20" w:rsidRDefault="00FD3B20" w:rsidP="00572E68">
      <w:pPr>
        <w:pStyle w:val="Normal-Bio"/>
        <w:spacing w:after="0"/>
        <w:jc w:val="left"/>
        <w:rPr>
          <w:i/>
          <w:sz w:val="22"/>
          <w:szCs w:val="24"/>
        </w:rPr>
      </w:pPr>
      <w:r>
        <w:rPr>
          <w:i/>
          <w:sz w:val="22"/>
          <w:szCs w:val="24"/>
        </w:rPr>
        <w:t>Board member since 16 July 2015</w:t>
      </w:r>
    </w:p>
    <w:p w14:paraId="4128BF97" w14:textId="43183FC1" w:rsidR="00F84E1E" w:rsidRPr="00FD3B20" w:rsidRDefault="00F84E1E" w:rsidP="00D70C3D">
      <w:pPr>
        <w:pStyle w:val="Normal-Bio"/>
      </w:pPr>
      <w:r w:rsidRPr="00FD3B20">
        <w:t xml:space="preserve">Ms Williams has over 25 years of senior management and Board level experience in </w:t>
      </w:r>
      <w:r w:rsidR="0001246D">
        <w:t xml:space="preserve">the </w:t>
      </w:r>
      <w:r w:rsidRPr="00FD3B20">
        <w:t>corporate and Government sectors. Ms Williams was previou</w:t>
      </w:r>
      <w:r w:rsidR="00965145" w:rsidRPr="00FD3B20">
        <w:t>sly a Director at JP Morgan, NM </w:t>
      </w:r>
      <w:r w:rsidRPr="00FD3B20">
        <w:t>Rothschild and Ansett Australia. She has been a consultant to listed corpora</w:t>
      </w:r>
      <w:r w:rsidR="009A15C8">
        <w:t>tions in Australia and the Gulf </w:t>
      </w:r>
      <w:r w:rsidRPr="00FD3B20">
        <w:t xml:space="preserve">States and </w:t>
      </w:r>
      <w:r w:rsidR="00965145" w:rsidRPr="00FD3B20">
        <w:t>s</w:t>
      </w:r>
      <w:r w:rsidRPr="00FD3B20">
        <w:t xml:space="preserve">tate and </w:t>
      </w:r>
      <w:r w:rsidR="00965145" w:rsidRPr="00FD3B20">
        <w:t>f</w:t>
      </w:r>
      <w:r w:rsidRPr="00FD3B20">
        <w:t>ederal regulatory bodies. She is a former director of the Australian Accounting Standards Board, State Trustees and a Commissioner of the Victorian Competitio</w:t>
      </w:r>
      <w:r w:rsidR="00965145" w:rsidRPr="00FD3B20">
        <w:t>n and Efficiency Commission. Ms </w:t>
      </w:r>
      <w:r w:rsidRPr="00FD3B20">
        <w:t>Williams</w:t>
      </w:r>
      <w:r w:rsidR="008205A1">
        <w:t>’</w:t>
      </w:r>
      <w:r w:rsidRPr="00FD3B20">
        <w:t xml:space="preserve"> current directorships include Coo</w:t>
      </w:r>
      <w:r w:rsidR="00965145" w:rsidRPr="00FD3B20">
        <w:t>per Energy Ltd, Equity Trustees </w:t>
      </w:r>
      <w:r w:rsidRPr="00FD3B20">
        <w:t>Ltd, Djerriwarrh Investments Ltd, Defence Health</w:t>
      </w:r>
      <w:r w:rsidR="00886006">
        <w:t>, Racing Victoria and</w:t>
      </w:r>
      <w:r w:rsidRPr="00FD3B20">
        <w:t xml:space="preserve"> Barristers Chambers Limited.</w:t>
      </w:r>
    </w:p>
    <w:p w14:paraId="25B287B0" w14:textId="5F24F82F" w:rsidR="004D756F" w:rsidRPr="00FD3B20" w:rsidRDefault="000936C4" w:rsidP="00572E68">
      <w:pPr>
        <w:pStyle w:val="Normal-Bio"/>
        <w:spacing w:after="0"/>
        <w:jc w:val="left"/>
        <w:rPr>
          <w:b/>
          <w:sz w:val="22"/>
          <w:szCs w:val="24"/>
        </w:rPr>
      </w:pPr>
      <w:r w:rsidRPr="00FD3B20">
        <w:rPr>
          <w:b/>
          <w:sz w:val="22"/>
          <w:szCs w:val="24"/>
        </w:rPr>
        <w:drawing>
          <wp:anchor distT="0" distB="0" distL="114300" distR="114300" simplePos="0" relativeHeight="251658242" behindDoc="0" locked="0" layoutInCell="1" allowOverlap="1" wp14:anchorId="2FD233D8" wp14:editId="28520289">
            <wp:simplePos x="0" y="0"/>
            <wp:positionH relativeFrom="column">
              <wp:posOffset>3999230</wp:posOffset>
            </wp:positionH>
            <wp:positionV relativeFrom="paragraph">
              <wp:posOffset>69850</wp:posOffset>
            </wp:positionV>
            <wp:extent cx="871855" cy="1091565"/>
            <wp:effectExtent l="0" t="0" r="4445" b="0"/>
            <wp:wrapSquare wrapText="bothSides"/>
            <wp:docPr id="18" name="Picture 18" descr="\\tweb\DavWWWRoot\sites\mg\sbccpd\activity\secretariat\firb\04 23 June 2016\Photos\David_Irvi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eb\DavWWWRoot\sites\mg\sbccpd\activity\secretariat\firb\04 23 June 2016\Photos\David_Irvine-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185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E7A" w:rsidRPr="00FD3B20">
        <w:rPr>
          <w:b/>
          <w:sz w:val="22"/>
          <w:szCs w:val="24"/>
        </w:rPr>
        <w:t>Mr David Irvine AO</w:t>
      </w:r>
    </w:p>
    <w:p w14:paraId="013CF8CF" w14:textId="0243576A" w:rsidR="004D756F" w:rsidRPr="00FD3B20" w:rsidRDefault="004D756F" w:rsidP="00572E68">
      <w:pPr>
        <w:pStyle w:val="Normal-Bio"/>
        <w:spacing w:after="0"/>
        <w:jc w:val="left"/>
        <w:rPr>
          <w:i/>
          <w:sz w:val="22"/>
          <w:szCs w:val="24"/>
        </w:rPr>
      </w:pPr>
      <w:r w:rsidRPr="00FD3B20">
        <w:rPr>
          <w:i/>
          <w:sz w:val="22"/>
          <w:szCs w:val="24"/>
        </w:rPr>
        <w:t>Board member since</w:t>
      </w:r>
      <w:r w:rsidR="00DF35FE" w:rsidRPr="00FD3B20">
        <w:rPr>
          <w:i/>
          <w:sz w:val="22"/>
          <w:szCs w:val="24"/>
        </w:rPr>
        <w:t xml:space="preserve"> 3 December 2015</w:t>
      </w:r>
    </w:p>
    <w:p w14:paraId="1A02C793" w14:textId="2E7A2DBA" w:rsidR="0080151A" w:rsidRPr="00FD3B20" w:rsidRDefault="007D1E7A" w:rsidP="00D70C3D">
      <w:pPr>
        <w:pStyle w:val="Normal-Bio"/>
      </w:pPr>
      <w:r w:rsidRPr="00FD3B20">
        <w:t>Mr Irvine has significant national security expertise as a former Director</w:t>
      </w:r>
      <w:r w:rsidR="008205A1">
        <w:noBreakHyphen/>
      </w:r>
      <w:r w:rsidRPr="00FD3B20">
        <w:t>General of both the Australian Security Intelligence Organisation and the Australian Secret Intelligence Service. He is also a former Australian Ambassador to China and former Australian High Commissioner to Papua New Guinea. He is currently a</w:t>
      </w:r>
      <w:r w:rsidR="00EB212C">
        <w:t>n Adjunct Professor in the Australian Graduate School of Policy and Security at Charles Stuart University and a member of the National Archives of Australia Advisory Council.</w:t>
      </w:r>
    </w:p>
    <w:p w14:paraId="40B1253C" w14:textId="77777777" w:rsidR="00F40942" w:rsidRPr="00FD3B20" w:rsidRDefault="00F40942" w:rsidP="00F40942">
      <w:pPr>
        <w:pStyle w:val="Normal-Bio"/>
        <w:spacing w:after="0"/>
        <w:jc w:val="left"/>
        <w:rPr>
          <w:b/>
          <w:sz w:val="22"/>
          <w:szCs w:val="24"/>
        </w:rPr>
      </w:pPr>
      <w:r w:rsidRPr="00FD3B20">
        <w:rPr>
          <w:sz w:val="22"/>
          <w:szCs w:val="24"/>
        </w:rPr>
        <w:drawing>
          <wp:anchor distT="0" distB="0" distL="114300" distR="114300" simplePos="0" relativeHeight="251658268" behindDoc="0" locked="0" layoutInCell="1" allowOverlap="1" wp14:anchorId="08CF6734" wp14:editId="17B6E001">
            <wp:simplePos x="0" y="0"/>
            <wp:positionH relativeFrom="column">
              <wp:posOffset>4078605</wp:posOffset>
            </wp:positionH>
            <wp:positionV relativeFrom="paragraph">
              <wp:posOffset>34925</wp:posOffset>
            </wp:positionV>
            <wp:extent cx="828040" cy="1259840"/>
            <wp:effectExtent l="0" t="0" r="0" b="0"/>
            <wp:wrapSquare wrapText="bothSides"/>
            <wp:docPr id="3" name="Picture 3" descr="Photo of David Pee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hoto of David Peever"/>
                    <pic:cNvPicPr>
                      <a:picLocks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8280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B20">
        <w:rPr>
          <w:b/>
          <w:sz w:val="22"/>
          <w:szCs w:val="24"/>
        </w:rPr>
        <w:t xml:space="preserve">Mr David Peever </w:t>
      </w:r>
    </w:p>
    <w:p w14:paraId="66EE4915" w14:textId="77777777" w:rsidR="00F40942" w:rsidRPr="00FD3B20" w:rsidRDefault="00F40942" w:rsidP="00F40942">
      <w:pPr>
        <w:pStyle w:val="Normal-Bio"/>
        <w:spacing w:after="0"/>
        <w:jc w:val="left"/>
        <w:rPr>
          <w:i/>
          <w:sz w:val="22"/>
          <w:szCs w:val="24"/>
        </w:rPr>
      </w:pPr>
      <w:r w:rsidRPr="00FD3B20">
        <w:rPr>
          <w:i/>
          <w:sz w:val="22"/>
          <w:szCs w:val="24"/>
        </w:rPr>
        <w:t>Board member since 1 February 2016</w:t>
      </w:r>
    </w:p>
    <w:p w14:paraId="5E76A61C" w14:textId="54D10C31" w:rsidR="00F40942" w:rsidRPr="00FD3B20" w:rsidRDefault="00F40942" w:rsidP="00F40942">
      <w:pPr>
        <w:pStyle w:val="Normal-Bio"/>
      </w:pPr>
      <w:r w:rsidRPr="00FD3B20">
        <w:t xml:space="preserve">Mr Peever retired as Managing Director of Rio </w:t>
      </w:r>
      <w:r>
        <w:t>Tinto Australia in October </w:t>
      </w:r>
      <w:r w:rsidRPr="00FD3B20">
        <w:t>2014 after 27 years with Rio Tinto. Mr Peever is also Chairman of Cricket Australia and a Director of the International Cricket Council, a Non</w:t>
      </w:r>
      <w:r w:rsidR="008205A1">
        <w:noBreakHyphen/>
      </w:r>
      <w:r w:rsidRPr="00FD3B20">
        <w:t>Executive Director of the Australian Foundation Investment Company and the Melbourne Business School. He is a member of the Prime Minister</w:t>
      </w:r>
      <w:r w:rsidR="008205A1">
        <w:t>’</w:t>
      </w:r>
      <w:r w:rsidRPr="00FD3B20">
        <w:t>s Indigenous Advisory Council and the Chief of Defence</w:t>
      </w:r>
      <w:r w:rsidR="008205A1">
        <w:t>’</w:t>
      </w:r>
      <w:r w:rsidRPr="00FD3B20">
        <w:t>s Gender Equality Advisory Board. He chaired the Minister of Defence</w:t>
      </w:r>
      <w:r w:rsidR="008205A1">
        <w:t>’</w:t>
      </w:r>
      <w:r w:rsidRPr="00FD3B20">
        <w:t>s First Principles Review of Defence and following the acceptance of the Review by Government, now chairs the Oversight Board which helps guide implementation of the Review</w:t>
      </w:r>
      <w:r w:rsidR="008205A1">
        <w:t>’</w:t>
      </w:r>
      <w:r w:rsidRPr="00FD3B20">
        <w:t>s recommendations. Mr Peever is also a non</w:t>
      </w:r>
      <w:r w:rsidR="008205A1">
        <w:noBreakHyphen/>
      </w:r>
      <w:r w:rsidRPr="00FD3B20">
        <w:t>executive director of the Stars Foundation.</w:t>
      </w:r>
    </w:p>
    <w:p w14:paraId="3E9F4A0F" w14:textId="0225CA55" w:rsidR="0080151A" w:rsidRPr="00FD3B20" w:rsidRDefault="000936C4" w:rsidP="00572E68">
      <w:pPr>
        <w:pStyle w:val="Normal-Bio"/>
        <w:spacing w:after="0"/>
        <w:jc w:val="left"/>
        <w:rPr>
          <w:b/>
          <w:sz w:val="22"/>
          <w:szCs w:val="24"/>
        </w:rPr>
      </w:pPr>
      <w:r w:rsidRPr="00FD3B20">
        <w:rPr>
          <w:b/>
        </w:rPr>
        <w:drawing>
          <wp:anchor distT="0" distB="0" distL="114300" distR="114300" simplePos="0" relativeHeight="251658244" behindDoc="0" locked="0" layoutInCell="1" allowOverlap="1" wp14:anchorId="5725F67E" wp14:editId="7ECFDC18">
            <wp:simplePos x="0" y="0"/>
            <wp:positionH relativeFrom="column">
              <wp:posOffset>3961765</wp:posOffset>
            </wp:positionH>
            <wp:positionV relativeFrom="paragraph">
              <wp:posOffset>24130</wp:posOffset>
            </wp:positionV>
            <wp:extent cx="909955" cy="1139825"/>
            <wp:effectExtent l="0" t="0" r="4445" b="3175"/>
            <wp:wrapSquare wrapText="bothSides"/>
            <wp:docPr id="21" name="Picture 21" descr="\\tweb\DavWWWRoot\sites\mg\sbccpd\activity\secretariat\firb\04 23 June 2016\Photos\Rob_Donelly-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eb\DavWWWRoot\sites\mg\sbccpd\activity\secretariat\firb\04 23 June 2016\Photos\Rob_Donelly-0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995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006" w:rsidRPr="00FD3B20">
        <w:rPr>
          <w:b/>
          <w:sz w:val="22"/>
          <w:szCs w:val="24"/>
        </w:rPr>
        <w:t>Mr Rob Donelly</w:t>
      </w:r>
    </w:p>
    <w:p w14:paraId="7763193D" w14:textId="1F3C9BC3" w:rsidR="0080151A" w:rsidRPr="00FD3B20" w:rsidRDefault="008B6006" w:rsidP="00572E68">
      <w:pPr>
        <w:pStyle w:val="Normal-Bio"/>
        <w:spacing w:after="0"/>
        <w:jc w:val="left"/>
        <w:rPr>
          <w:i/>
          <w:sz w:val="22"/>
          <w:szCs w:val="24"/>
        </w:rPr>
      </w:pPr>
      <w:r w:rsidRPr="00FD3B20">
        <w:rPr>
          <w:i/>
          <w:sz w:val="22"/>
          <w:szCs w:val="24"/>
        </w:rPr>
        <w:t xml:space="preserve">Executive Member of the Board </w:t>
      </w:r>
      <w:r w:rsidR="0080151A" w:rsidRPr="00FD3B20">
        <w:rPr>
          <w:i/>
          <w:sz w:val="22"/>
          <w:szCs w:val="24"/>
        </w:rPr>
        <w:t>since 15 September 2014</w:t>
      </w:r>
      <w:r w:rsidRPr="00FD3B20">
        <w:rPr>
          <w:i/>
          <w:sz w:val="22"/>
          <w:szCs w:val="24"/>
        </w:rPr>
        <w:t xml:space="preserve"> </w:t>
      </w:r>
    </w:p>
    <w:p w14:paraId="20855E7F" w14:textId="54D64632" w:rsidR="00E0441A" w:rsidRPr="00FD3B20" w:rsidRDefault="008B6006" w:rsidP="00965145">
      <w:pPr>
        <w:pStyle w:val="Normal-Bio"/>
        <w:spacing w:after="0"/>
      </w:pPr>
      <w:r w:rsidRPr="00FD3B20">
        <w:t>The position of Executive Member is held by the Division Head of Treasury</w:t>
      </w:r>
      <w:r w:rsidR="008205A1">
        <w:t>’</w:t>
      </w:r>
      <w:r w:rsidRPr="00FD3B20">
        <w:t>s Foreign Inves</w:t>
      </w:r>
      <w:r w:rsidR="0062564C" w:rsidRPr="00FD3B20">
        <w:t>tment Division</w:t>
      </w:r>
      <w:r w:rsidRPr="00FD3B20">
        <w:t xml:space="preserve">. The Executive Member provides the link between the Board and the </w:t>
      </w:r>
      <w:r w:rsidR="0062564C" w:rsidRPr="00FD3B20">
        <w:t>Treasury</w:t>
      </w:r>
      <w:r w:rsidRPr="00FD3B20">
        <w:t>, which provides secretar</w:t>
      </w:r>
      <w:r w:rsidR="00DF35FE" w:rsidRPr="00FD3B20">
        <w:t>iat support to the Board.</w:t>
      </w:r>
    </w:p>
    <w:p w14:paraId="175A1764" w14:textId="77777777" w:rsidR="00FD3B20" w:rsidRDefault="00FD3B20" w:rsidP="00965145">
      <w:pPr>
        <w:pStyle w:val="Normal-Bio"/>
        <w:spacing w:after="0"/>
        <w:rPr>
          <w:sz w:val="24"/>
        </w:rPr>
      </w:pPr>
    </w:p>
    <w:p w14:paraId="146975CD" w14:textId="77777777" w:rsidR="00FD3B20" w:rsidRDefault="00FD3B20">
      <w:pPr>
        <w:spacing w:after="200" w:line="276" w:lineRule="auto"/>
        <w:jc w:val="left"/>
        <w:rPr>
          <w:noProof/>
          <w:sz w:val="24"/>
        </w:rPr>
      </w:pPr>
      <w:r>
        <w:rPr>
          <w:sz w:val="24"/>
        </w:rPr>
        <w:br w:type="page"/>
      </w:r>
    </w:p>
    <w:p w14:paraId="6A34E819" w14:textId="77777777" w:rsidR="00E0441A" w:rsidRPr="00743473" w:rsidRDefault="00E0441A" w:rsidP="00E30512">
      <w:pPr>
        <w:pStyle w:val="Heading2noTOC"/>
        <w:rPr>
          <w:color w:val="1F497D" w:themeColor="text2"/>
        </w:rPr>
      </w:pPr>
      <w:r w:rsidRPr="00743473">
        <w:lastRenderedPageBreak/>
        <w:t>The Foreign Investment Review Board Secretariat</w:t>
      </w:r>
    </w:p>
    <w:p w14:paraId="0AB905F0" w14:textId="7E776584" w:rsidR="00E0441A" w:rsidRPr="00FE60E3" w:rsidRDefault="00E0441A" w:rsidP="00E0441A">
      <w:pPr>
        <w:rPr>
          <w:color w:val="auto"/>
          <w:szCs w:val="24"/>
        </w:rPr>
      </w:pPr>
      <w:r w:rsidRPr="00FE60E3">
        <w:rPr>
          <w:color w:val="auto"/>
          <w:szCs w:val="24"/>
        </w:rPr>
        <w:t xml:space="preserve">The Foreign </w:t>
      </w:r>
      <w:r w:rsidR="00965145" w:rsidRPr="00FE60E3">
        <w:rPr>
          <w:color w:val="auto"/>
          <w:szCs w:val="24"/>
        </w:rPr>
        <w:t>I</w:t>
      </w:r>
      <w:r w:rsidRPr="00FE60E3">
        <w:rPr>
          <w:color w:val="auto"/>
          <w:szCs w:val="24"/>
        </w:rPr>
        <w:t>nvestment Review Board is supported by a Secretariat which assists the Board in fulfilling its responsibilities. The Secretariat consists of Treasury</w:t>
      </w:r>
      <w:r w:rsidR="008205A1">
        <w:rPr>
          <w:color w:val="auto"/>
          <w:szCs w:val="24"/>
        </w:rPr>
        <w:t>’</w:t>
      </w:r>
      <w:r w:rsidRPr="00FE60E3">
        <w:rPr>
          <w:color w:val="auto"/>
          <w:szCs w:val="24"/>
        </w:rPr>
        <w:t xml:space="preserve">s Foreign Investment Division and the </w:t>
      </w:r>
      <w:r w:rsidR="008E2D0D">
        <w:rPr>
          <w:color w:val="auto"/>
          <w:szCs w:val="24"/>
        </w:rPr>
        <w:t>International Programs D</w:t>
      </w:r>
      <w:r w:rsidRPr="00FE60E3">
        <w:rPr>
          <w:color w:val="auto"/>
          <w:szCs w:val="24"/>
        </w:rPr>
        <w:t>ivision of the Australian Taxation Office.</w:t>
      </w:r>
    </w:p>
    <w:p w14:paraId="77258F84" w14:textId="77777777" w:rsidR="00E0441A" w:rsidRPr="00C610E1" w:rsidRDefault="00E0441A" w:rsidP="00115593">
      <w:pPr>
        <w:pStyle w:val="Heading3"/>
        <w:rPr>
          <w:smallCaps/>
        </w:rPr>
      </w:pPr>
      <w:r w:rsidRPr="00115593">
        <w:t>Treasury</w:t>
      </w:r>
    </w:p>
    <w:p w14:paraId="76FFB828" w14:textId="6E0355D3" w:rsidR="00E0441A" w:rsidRPr="00FE60E3" w:rsidRDefault="00E0441A" w:rsidP="00E0441A">
      <w:r w:rsidRPr="00FE60E3">
        <w:t>The Foreign Investment Division is responsible for the day</w:t>
      </w:r>
      <w:r w:rsidR="008205A1">
        <w:noBreakHyphen/>
      </w:r>
      <w:r w:rsidRPr="00FE60E3">
        <w:t>to</w:t>
      </w:r>
      <w:r w:rsidR="008205A1">
        <w:noBreakHyphen/>
      </w:r>
      <w:r w:rsidRPr="00FE60E3">
        <w:t>day administration of the foreign investment framework in relation to business, agriculture and</w:t>
      </w:r>
      <w:r w:rsidR="00C610E1">
        <w:t xml:space="preserve"> commercial land proposals. The </w:t>
      </w:r>
      <w:r w:rsidRPr="00FE60E3">
        <w:t>Division also provides advice to the Board and the Government on foreign investment issues</w:t>
      </w:r>
      <w:r w:rsidR="00143EBC">
        <w:t xml:space="preserve"> and policy.</w:t>
      </w:r>
    </w:p>
    <w:p w14:paraId="4B48C473" w14:textId="77777777" w:rsidR="00E0441A" w:rsidRPr="00C610E1" w:rsidRDefault="00E0441A" w:rsidP="00115593">
      <w:pPr>
        <w:pStyle w:val="Heading3"/>
        <w:rPr>
          <w:smallCaps/>
        </w:rPr>
      </w:pPr>
      <w:r w:rsidRPr="00C610E1">
        <w:t xml:space="preserve">The Australian </w:t>
      </w:r>
      <w:r w:rsidRPr="00115593">
        <w:t>Taxation</w:t>
      </w:r>
      <w:r w:rsidRPr="00C610E1">
        <w:t xml:space="preserve"> Office</w:t>
      </w:r>
    </w:p>
    <w:p w14:paraId="41A55B99" w14:textId="24BE2CB2" w:rsidR="00E0441A" w:rsidRPr="00C610E1" w:rsidRDefault="00E0441A" w:rsidP="00E0441A">
      <w:r w:rsidRPr="00C610E1">
        <w:t>Since May 2015, the Australian Taxation Office (</w:t>
      </w:r>
      <w:proofErr w:type="spellStart"/>
      <w:r w:rsidRPr="00C610E1">
        <w:t>ATO</w:t>
      </w:r>
      <w:proofErr w:type="spellEnd"/>
      <w:r w:rsidRPr="00C610E1">
        <w:t>)</w:t>
      </w:r>
      <w:r w:rsidR="00143EBC">
        <w:t xml:space="preserve"> has handled</w:t>
      </w:r>
      <w:r w:rsidRPr="00C610E1">
        <w:t xml:space="preserve"> residential real estate compliance activities</w:t>
      </w:r>
      <w:r w:rsidR="00143EBC">
        <w:t>. S</w:t>
      </w:r>
      <w:r w:rsidRPr="00C610E1">
        <w:t xml:space="preserve">ince 1 December 2015 the </w:t>
      </w:r>
      <w:proofErr w:type="spellStart"/>
      <w:r w:rsidRPr="00C610E1">
        <w:t>ATO</w:t>
      </w:r>
      <w:proofErr w:type="spellEnd"/>
      <w:r w:rsidRPr="00C610E1">
        <w:t xml:space="preserve"> has administered all aspects of foreign investment in residential real estate</w:t>
      </w:r>
      <w:r w:rsidR="00F01A2D">
        <w:t xml:space="preserve"> including screening of applications</w:t>
      </w:r>
      <w:r w:rsidRPr="00C610E1">
        <w:t xml:space="preserve">. The </w:t>
      </w:r>
      <w:proofErr w:type="spellStart"/>
      <w:r w:rsidRPr="00C610E1">
        <w:t>ATO</w:t>
      </w:r>
      <w:proofErr w:type="spellEnd"/>
      <w:r w:rsidRPr="00C610E1">
        <w:t xml:space="preserve"> also has responsibility for the collection of all foreign investment application fees and for administering the register of foreign ownership of agricultural land.</w:t>
      </w:r>
    </w:p>
    <w:p w14:paraId="7FB7E507" w14:textId="77777777" w:rsidR="00E0441A" w:rsidRDefault="00E0441A" w:rsidP="00E0441A">
      <w:pPr>
        <w:pStyle w:val="CoverTitleMain"/>
        <w:spacing w:before="240" w:after="0"/>
        <w:jc w:val="left"/>
        <w:rPr>
          <w:sz w:val="2"/>
        </w:rPr>
      </w:pPr>
    </w:p>
    <w:p w14:paraId="6CB04C6C" w14:textId="166EB221" w:rsidR="00E0441A" w:rsidRPr="00743473" w:rsidRDefault="00E30512" w:rsidP="00C72611">
      <w:pPr>
        <w:pStyle w:val="Heading2"/>
      </w:pPr>
      <w:bookmarkStart w:id="19" w:name="_Toc476737072"/>
      <w:r>
        <w:t>Operational c</w:t>
      </w:r>
      <w:r w:rsidR="00E0441A" w:rsidRPr="00743473">
        <w:t>osts</w:t>
      </w:r>
      <w:r w:rsidR="002C73DC">
        <w:t xml:space="preserve"> in 2015</w:t>
      </w:r>
      <w:r w:rsidR="008205A1">
        <w:noBreakHyphen/>
      </w:r>
      <w:r w:rsidR="002C73DC">
        <w:t>16</w:t>
      </w:r>
      <w:bookmarkEnd w:id="19"/>
    </w:p>
    <w:p w14:paraId="4270C31F" w14:textId="365F25C5" w:rsidR="00E0441A" w:rsidRPr="00C610E1" w:rsidRDefault="00E0441A" w:rsidP="00115593">
      <w:pPr>
        <w:pStyle w:val="Heading3"/>
        <w:rPr>
          <w:smallCaps/>
        </w:rPr>
      </w:pPr>
      <w:r w:rsidRPr="00C610E1">
        <w:t>The Board</w:t>
      </w:r>
      <w:r w:rsidRPr="00C610E1">
        <w:tab/>
      </w:r>
      <w:r w:rsidRPr="00C610E1">
        <w:tab/>
      </w:r>
      <w:r w:rsidRPr="00C610E1">
        <w:tab/>
      </w:r>
      <w:r w:rsidRPr="00C610E1">
        <w:tab/>
      </w:r>
      <w:r w:rsidRPr="00C610E1">
        <w:tab/>
      </w:r>
      <w:r w:rsidRPr="00C610E1">
        <w:tab/>
      </w:r>
      <w:r w:rsidRPr="00C610E1">
        <w:tab/>
        <w:t>$</w:t>
      </w:r>
      <w:r w:rsidR="004C0FAE">
        <w:t>0.4 million</w:t>
      </w:r>
    </w:p>
    <w:p w14:paraId="7AFA47B6" w14:textId="1D712282" w:rsidR="00E0441A" w:rsidRPr="00C610E1" w:rsidRDefault="00E0441A" w:rsidP="00E0441A">
      <w:r w:rsidRPr="00C610E1">
        <w:t xml:space="preserve">Remuneration of Board members was around </w:t>
      </w:r>
      <w:r w:rsidRPr="00C610E1">
        <w:rPr>
          <w:color w:val="auto"/>
        </w:rPr>
        <w:t xml:space="preserve">90 </w:t>
      </w:r>
      <w:r w:rsidRPr="00C610E1">
        <w:t>per cent of total Board expenses, with the remainder expended on travel, car hire and incidentals. Board members</w:t>
      </w:r>
      <w:r w:rsidR="008205A1">
        <w:t>’</w:t>
      </w:r>
      <w:r w:rsidRPr="00C610E1">
        <w:t xml:space="preserve"> fees are determined by the Remuneration Tribunal.</w:t>
      </w:r>
    </w:p>
    <w:p w14:paraId="6E9E0DF2" w14:textId="6B4C9CB4" w:rsidR="00E0441A" w:rsidRPr="00C610E1" w:rsidRDefault="00E0441A" w:rsidP="00115593">
      <w:pPr>
        <w:pStyle w:val="Heading3"/>
        <w:rPr>
          <w:smallCaps/>
        </w:rPr>
      </w:pPr>
      <w:r w:rsidRPr="00C610E1">
        <w:t>Treasury</w:t>
      </w:r>
      <w:r w:rsidRPr="00C610E1">
        <w:tab/>
      </w:r>
      <w:r w:rsidRPr="00C610E1">
        <w:tab/>
      </w:r>
      <w:r w:rsidRPr="00C610E1">
        <w:tab/>
      </w:r>
      <w:r w:rsidRPr="00C610E1">
        <w:tab/>
      </w:r>
      <w:r w:rsidRPr="00C610E1">
        <w:tab/>
      </w:r>
      <w:r w:rsidRPr="00C610E1">
        <w:tab/>
      </w:r>
      <w:r w:rsidRPr="00C610E1">
        <w:tab/>
        <w:t>$</w:t>
      </w:r>
      <w:r w:rsidR="004C0FAE">
        <w:t>7.1</w:t>
      </w:r>
      <w:r w:rsidRPr="00C610E1">
        <w:t xml:space="preserve"> million</w:t>
      </w:r>
    </w:p>
    <w:p w14:paraId="4089EE48" w14:textId="157E418E" w:rsidR="00E0441A" w:rsidRPr="00C610E1" w:rsidRDefault="00E0441A" w:rsidP="00E0441A">
      <w:pPr>
        <w:rPr>
          <w:color w:val="auto"/>
        </w:rPr>
      </w:pPr>
      <w:r w:rsidRPr="00C610E1">
        <w:t xml:space="preserve">These expenses mainly comprised employee salary and administrative costs. Over the course of </w:t>
      </w:r>
      <w:r w:rsidRPr="00C610E1">
        <w:rPr>
          <w:color w:val="auto"/>
        </w:rPr>
        <w:t>201</w:t>
      </w:r>
      <w:r w:rsidR="004C606C" w:rsidRPr="00C610E1">
        <w:rPr>
          <w:color w:val="auto"/>
        </w:rPr>
        <w:t>5</w:t>
      </w:r>
      <w:r w:rsidR="008205A1">
        <w:rPr>
          <w:color w:val="auto"/>
        </w:rPr>
        <w:noBreakHyphen/>
      </w:r>
      <w:r w:rsidR="004C606C" w:rsidRPr="00C610E1">
        <w:rPr>
          <w:color w:val="auto"/>
        </w:rPr>
        <w:t>16</w:t>
      </w:r>
      <w:r w:rsidRPr="00C610E1">
        <w:t>, the Division</w:t>
      </w:r>
      <w:r w:rsidRPr="00C610E1">
        <w:rPr>
          <w:color w:val="auto"/>
        </w:rPr>
        <w:t xml:space="preserve"> employed an average of </w:t>
      </w:r>
      <w:r w:rsidR="004C606C" w:rsidRPr="00C610E1">
        <w:rPr>
          <w:color w:val="auto"/>
        </w:rPr>
        <w:t>46 ful</w:t>
      </w:r>
      <w:r w:rsidR="00F91E7C">
        <w:rPr>
          <w:color w:val="auto"/>
        </w:rPr>
        <w:t>l</w:t>
      </w:r>
      <w:r w:rsidR="008205A1">
        <w:rPr>
          <w:color w:val="auto"/>
        </w:rPr>
        <w:noBreakHyphen/>
      </w:r>
      <w:r w:rsidR="004C606C" w:rsidRPr="00C610E1">
        <w:rPr>
          <w:color w:val="auto"/>
        </w:rPr>
        <w:t>time</w:t>
      </w:r>
      <w:r w:rsidRPr="00C610E1">
        <w:rPr>
          <w:color w:val="auto"/>
        </w:rPr>
        <w:t xml:space="preserve"> Treasury staff and a number of external contractors and consultants including lawyers from the Australian Government Solicitor.</w:t>
      </w:r>
    </w:p>
    <w:p w14:paraId="06871341" w14:textId="65D40EDD" w:rsidR="00E0441A" w:rsidRPr="00C610E1" w:rsidRDefault="00E0441A" w:rsidP="00115593">
      <w:pPr>
        <w:pStyle w:val="Heading3"/>
        <w:rPr>
          <w:smallCaps/>
        </w:rPr>
      </w:pPr>
      <w:r w:rsidRPr="00C610E1">
        <w:t xml:space="preserve">The Australian </w:t>
      </w:r>
      <w:r w:rsidRPr="00115593">
        <w:t>Taxation</w:t>
      </w:r>
      <w:r w:rsidRPr="00C610E1">
        <w:t xml:space="preserve"> Office</w:t>
      </w:r>
      <w:r w:rsidRPr="00C610E1">
        <w:tab/>
      </w:r>
      <w:r w:rsidRPr="00C610E1">
        <w:tab/>
      </w:r>
      <w:r w:rsidRPr="00C610E1">
        <w:tab/>
      </w:r>
      <w:r w:rsidRPr="00C610E1">
        <w:tab/>
      </w:r>
      <w:r w:rsidR="00C610E1">
        <w:tab/>
      </w:r>
      <w:r w:rsidR="00C07DC3">
        <w:t>$9</w:t>
      </w:r>
      <w:r w:rsidR="002122FA">
        <w:t>.2</w:t>
      </w:r>
      <w:r w:rsidRPr="00C610E1">
        <w:t xml:space="preserve"> million</w:t>
      </w:r>
    </w:p>
    <w:p w14:paraId="52CD76DD" w14:textId="55A0EEC0" w:rsidR="00C07DC3" w:rsidRDefault="00C07DC3" w:rsidP="00C07DC3">
      <w:r>
        <w:t>Over the course of 2015</w:t>
      </w:r>
      <w:r>
        <w:noBreakHyphen/>
        <w:t xml:space="preserve">16, </w:t>
      </w:r>
      <w:proofErr w:type="spellStart"/>
      <w:r>
        <w:t>ATO</w:t>
      </w:r>
      <w:proofErr w:type="spellEnd"/>
      <w:r>
        <w:t xml:space="preserve"> staffing built to 55 full</w:t>
      </w:r>
      <w:r>
        <w:noBreakHyphen/>
        <w:t>time equivalents with staff employed across the residential real estate application screening process, data matching and compliance activities, and the development and maintenance of foreign ownership registers with total expenditure of $4.2 million. A further $5 million was allocated for IT operating costs and corporate overheads.</w:t>
      </w:r>
    </w:p>
    <w:p w14:paraId="285DD158" w14:textId="5ADE6D33" w:rsidR="00C07DC3" w:rsidRDefault="002122FA" w:rsidP="006208C3">
      <w:r w:rsidRPr="002122FA">
        <w:t>A $10 million capital payment was allocated to the development of IT systems to support the introduction of the new fee regime, the foreign ownership registers and the residential real estate application process, compliance and penalty programs.</w:t>
      </w:r>
    </w:p>
    <w:p w14:paraId="234FA972" w14:textId="6B24CD74" w:rsidR="00E51742" w:rsidRDefault="00E51742" w:rsidP="0031133C">
      <w:pPr>
        <w:rPr>
          <w:sz w:val="28"/>
        </w:rPr>
      </w:pPr>
      <w:r w:rsidRPr="0025623B">
        <w:rPr>
          <w:rFonts w:eastAsiaTheme="minorHAnsi"/>
          <w:noProof/>
        </w:rPr>
        <w:lastRenderedPageBreak/>
        <mc:AlternateContent>
          <mc:Choice Requires="wps">
            <w:drawing>
              <wp:anchor distT="0" distB="0" distL="114300" distR="114300" simplePos="0" relativeHeight="251658247" behindDoc="0" locked="0" layoutInCell="1" allowOverlap="1" wp14:anchorId="3960F743" wp14:editId="30538993">
                <wp:simplePos x="0" y="0"/>
                <wp:positionH relativeFrom="column">
                  <wp:posOffset>56515</wp:posOffset>
                </wp:positionH>
                <wp:positionV relativeFrom="paragraph">
                  <wp:posOffset>-186055</wp:posOffset>
                </wp:positionV>
                <wp:extent cx="4857115" cy="7814945"/>
                <wp:effectExtent l="0" t="0" r="635" b="0"/>
                <wp:wrapTopAndBottom/>
                <wp:docPr id="8" name="Snip and Round Single Corner Rectangle 8"/>
                <wp:cNvGraphicFramePr/>
                <a:graphic xmlns:a="http://schemas.openxmlformats.org/drawingml/2006/main">
                  <a:graphicData uri="http://schemas.microsoft.com/office/word/2010/wordprocessingShape">
                    <wps:wsp>
                      <wps:cNvSpPr/>
                      <wps:spPr>
                        <a:xfrm>
                          <a:off x="0" y="0"/>
                          <a:ext cx="4857115" cy="7814945"/>
                        </a:xfrm>
                        <a:prstGeom prst="snipRoundRect">
                          <a:avLst>
                            <a:gd name="adj1" fmla="val 4290"/>
                            <a:gd name="adj2" fmla="val 16667"/>
                          </a:avLst>
                        </a:prstGeom>
                        <a:solidFill>
                          <a:srgbClr val="1F497D"/>
                        </a:solidFill>
                        <a:ln w="25400" cap="flat" cmpd="sng" algn="ctr">
                          <a:noFill/>
                          <a:prstDash val="solid"/>
                        </a:ln>
                        <a:effectLst/>
                      </wps:spPr>
                      <wps:txbx>
                        <w:txbxContent>
                          <w:p w14:paraId="41AFB703" w14:textId="533DEA71" w:rsidR="00C263DE" w:rsidRPr="00B579B9" w:rsidRDefault="00C263DE" w:rsidP="00115593">
                            <w:pPr>
                              <w:pStyle w:val="BoxHeading"/>
                            </w:pPr>
                            <w:r w:rsidRPr="00B579B9">
                              <w:t>Stakeholder engagement</w:t>
                            </w:r>
                          </w:p>
                          <w:p w14:paraId="6C663F5F" w14:textId="7A9C8245" w:rsidR="00C263DE" w:rsidRDefault="00C263DE" w:rsidP="00115593">
                            <w:pPr>
                              <w:pStyle w:val="BoxText"/>
                            </w:pPr>
                            <w:r w:rsidRPr="00B579B9">
                              <w:t xml:space="preserve">Regular and meaningful engagement with the investment community is instrumental to a functional and robust foreign investment framework. Stakeholder engagement is a </w:t>
                            </w:r>
                            <w:r>
                              <w:t>‘</w:t>
                            </w:r>
                            <w:r w:rsidRPr="00B579B9">
                              <w:t>two</w:t>
                            </w:r>
                            <w:r>
                              <w:noBreakHyphen/>
                            </w:r>
                            <w:r w:rsidRPr="00B579B9">
                              <w:t>way</w:t>
                            </w:r>
                            <w:r>
                              <w:t>’</w:t>
                            </w:r>
                            <w:r w:rsidRPr="00B579B9">
                              <w:t xml:space="preserve"> avenue, enabling the Board and </w:t>
                            </w:r>
                            <w:r>
                              <w:t>S</w:t>
                            </w:r>
                            <w:r w:rsidRPr="00B579B9">
                              <w:t>ecretariat to provide information on the framework as well as obtaining valuable feedback on the framework and the broader investment context.</w:t>
                            </w:r>
                          </w:p>
                          <w:p w14:paraId="0886615E" w14:textId="2E4DDCFE" w:rsidR="00C263DE" w:rsidRPr="00B579B9" w:rsidRDefault="00C263DE" w:rsidP="00115593">
                            <w:pPr>
                              <w:pStyle w:val="BoxText"/>
                            </w:pPr>
                            <w:proofErr w:type="gramStart"/>
                            <w:r>
                              <w:t>As part of screening cases the Secretariat also engages with other government agencies to seek their advice on matters considered under the national interest test, where they have expertise.</w:t>
                            </w:r>
                            <w:proofErr w:type="gramEnd"/>
                            <w:r>
                              <w:t xml:space="preserve"> For example, national security agencies on national security matters.</w:t>
                            </w:r>
                          </w:p>
                          <w:p w14:paraId="177AAFC5" w14:textId="28CDE9AB" w:rsidR="00C263DE" w:rsidRPr="00B579B9" w:rsidRDefault="00C263DE" w:rsidP="00115593">
                            <w:pPr>
                              <w:pStyle w:val="BoxText"/>
                            </w:pPr>
                            <w:r>
                              <w:t>T</w:t>
                            </w:r>
                            <w:r w:rsidRPr="00B579B9">
                              <w:t xml:space="preserve">o communicate new requirements under the reforms that were introduced on 1 December 2015, </w:t>
                            </w:r>
                            <w:r>
                              <w:t>Treasury</w:t>
                            </w:r>
                            <w:r w:rsidRPr="00B579B9">
                              <w:t xml:space="preserve"> held </w:t>
                            </w:r>
                            <w:r w:rsidRPr="002C5D65">
                              <w:t>1</w:t>
                            </w:r>
                            <w:r>
                              <w:t>5</w:t>
                            </w:r>
                            <w:r w:rsidRPr="00B579B9">
                              <w:t xml:space="preserve"> face</w:t>
                            </w:r>
                            <w:r>
                              <w:noBreakHyphen/>
                            </w:r>
                            <w:r w:rsidRPr="00B579B9">
                              <w:t>to</w:t>
                            </w:r>
                            <w:r>
                              <w:noBreakHyphen/>
                            </w:r>
                            <w:r w:rsidRPr="00B579B9">
                              <w:t xml:space="preserve">face sessions </w:t>
                            </w:r>
                            <w:r>
                              <w:t xml:space="preserve">with the investment community in </w:t>
                            </w:r>
                            <w:r w:rsidRPr="00B579B9">
                              <w:t>Brisbane</w:t>
                            </w:r>
                            <w:r>
                              <w:t xml:space="preserve">, Melbourne, Perth and Sydney. </w:t>
                            </w:r>
                            <w:r w:rsidRPr="00B579B9">
                              <w:t xml:space="preserve">Since then, the </w:t>
                            </w:r>
                            <w:proofErr w:type="spellStart"/>
                            <w:r w:rsidRPr="00B579B9">
                              <w:t>FIRB</w:t>
                            </w:r>
                            <w:proofErr w:type="spellEnd"/>
                            <w:r w:rsidRPr="00B579B9">
                              <w:t xml:space="preserve"> </w:t>
                            </w:r>
                            <w:r>
                              <w:t>S</w:t>
                            </w:r>
                            <w:r w:rsidRPr="00B579B9">
                              <w:t xml:space="preserve">ecretariat has continued to seek feedback on the regime from a range of stakeholders, including meeting with the </w:t>
                            </w:r>
                            <w:r>
                              <w:t xml:space="preserve">Foreign Investment Committee of the </w:t>
                            </w:r>
                            <w:r w:rsidRPr="00446647">
                              <w:t xml:space="preserve">Law Council </w:t>
                            </w:r>
                            <w:r>
                              <w:t>of Australia th</w:t>
                            </w:r>
                            <w:r w:rsidRPr="00B579B9">
                              <w:t>ree times during 2016.</w:t>
                            </w:r>
                          </w:p>
                          <w:p w14:paraId="58B5D0E9" w14:textId="6B0E1FF9" w:rsidR="00C263DE" w:rsidRPr="00B579B9" w:rsidRDefault="00C263DE" w:rsidP="00115593">
                            <w:pPr>
                              <w:pStyle w:val="BoxText"/>
                            </w:pPr>
                            <w:r w:rsidRPr="00B579B9">
                              <w:t xml:space="preserve">Integral to </w:t>
                            </w:r>
                            <w:r>
                              <w:t>Treasury’s</w:t>
                            </w:r>
                            <w:r w:rsidRPr="00B579B9">
                              <w:t xml:space="preserve"> efforts to better engage with the broader community has been locating members of the </w:t>
                            </w:r>
                            <w:r>
                              <w:t>Division</w:t>
                            </w:r>
                            <w:r w:rsidRPr="00B579B9">
                              <w:t xml:space="preserve"> in Treasury</w:t>
                            </w:r>
                            <w:r>
                              <w:t>’</w:t>
                            </w:r>
                            <w:r w:rsidRPr="00B579B9">
                              <w:t xml:space="preserve">s Sydney Office. Having a </w:t>
                            </w:r>
                            <w:r>
                              <w:t xml:space="preserve">Treasury </w:t>
                            </w:r>
                            <w:r w:rsidRPr="00B579B9">
                              <w:t>team based in Sydney full</w:t>
                            </w:r>
                            <w:r>
                              <w:noBreakHyphen/>
                            </w:r>
                            <w:r w:rsidRPr="00B579B9">
                              <w:t xml:space="preserve">time has allowed the </w:t>
                            </w:r>
                            <w:proofErr w:type="spellStart"/>
                            <w:r w:rsidRPr="00B579B9">
                              <w:t>FIRB</w:t>
                            </w:r>
                            <w:proofErr w:type="spellEnd"/>
                            <w:r w:rsidRPr="00B579B9">
                              <w:t xml:space="preserve"> </w:t>
                            </w:r>
                            <w:r>
                              <w:t>S</w:t>
                            </w:r>
                            <w:r w:rsidRPr="00B579B9">
                              <w:t>ecretariat to pursue a comprehensive stakeholder engagement strategy focusing on:</w:t>
                            </w:r>
                          </w:p>
                          <w:p w14:paraId="521C6B43" w14:textId="446CB76A" w:rsidR="00C263DE" w:rsidRPr="00B579B9" w:rsidRDefault="00C263DE" w:rsidP="007D43D4">
                            <w:pPr>
                              <w:pStyle w:val="BoxBullet"/>
                              <w:spacing w:after="0"/>
                              <w:ind w:left="284" w:hanging="284"/>
                            </w:pPr>
                            <w:r>
                              <w:t>b</w:t>
                            </w:r>
                            <w:r w:rsidRPr="00B579B9">
                              <w:t>uilding and maintaining relationships to understand perspectives from the investment community;</w:t>
                            </w:r>
                          </w:p>
                          <w:p w14:paraId="274BC368" w14:textId="3FA3CF17" w:rsidR="00C263DE" w:rsidRPr="00B579B9" w:rsidRDefault="00C263DE" w:rsidP="007D43D4">
                            <w:pPr>
                              <w:pStyle w:val="BoxBullet"/>
                              <w:spacing w:after="0"/>
                              <w:ind w:left="284" w:hanging="284"/>
                            </w:pPr>
                            <w:r>
                              <w:t>e</w:t>
                            </w:r>
                            <w:r w:rsidRPr="00B579B9">
                              <w:t>xploring specific trends and issues; and</w:t>
                            </w:r>
                          </w:p>
                          <w:p w14:paraId="20942CFF" w14:textId="6FFCDC2E" w:rsidR="00C263DE" w:rsidRPr="00B579B9" w:rsidRDefault="00C263DE" w:rsidP="00971054">
                            <w:pPr>
                              <w:pStyle w:val="BoxBullet"/>
                              <w:ind w:left="284" w:hanging="284"/>
                            </w:pPr>
                            <w:proofErr w:type="gramStart"/>
                            <w:r>
                              <w:t>p</w:t>
                            </w:r>
                            <w:r w:rsidRPr="00B579B9">
                              <w:t>roviding</w:t>
                            </w:r>
                            <w:proofErr w:type="gramEnd"/>
                            <w:r w:rsidRPr="00B579B9">
                              <w:t xml:space="preserve"> and receiving feedback on the regime, including the reforms.</w:t>
                            </w:r>
                          </w:p>
                          <w:p w14:paraId="5BF2EC1B" w14:textId="066A9428" w:rsidR="00C263DE" w:rsidRDefault="00C263DE" w:rsidP="00115593">
                            <w:pPr>
                              <w:pStyle w:val="BoxText"/>
                            </w:pPr>
                            <w:r w:rsidRPr="00B579B9">
                              <w:t>Between September 2015 and December 201</w:t>
                            </w:r>
                            <w:r>
                              <w:t>6, Treasury, led by the Sydney Office, had over </w:t>
                            </w:r>
                            <w:r w:rsidRPr="00B579B9">
                              <w:t>90 meetings with a range of external stakeholder</w:t>
                            </w:r>
                            <w:r>
                              <w:t>s</w:t>
                            </w:r>
                            <w:r w:rsidRPr="00B579B9">
                              <w:t xml:space="preserve"> including law firms, investors, investment banks, industry bodies an</w:t>
                            </w:r>
                            <w:r>
                              <w:t xml:space="preserve">d other industry participants. </w:t>
                            </w:r>
                            <w:r w:rsidRPr="00B579B9">
                              <w:t xml:space="preserve">Four investor forums were also held in 2016, in which investors were able to hear directly from senior </w:t>
                            </w:r>
                            <w:proofErr w:type="spellStart"/>
                            <w:r w:rsidRPr="00B579B9">
                              <w:t>FIRB</w:t>
                            </w:r>
                            <w:proofErr w:type="spellEnd"/>
                            <w:r w:rsidRPr="00B579B9">
                              <w:t xml:space="preserve"> representatives and provide valuable and timely feedback about the foreign investment regime.</w:t>
                            </w:r>
                          </w:p>
                          <w:p w14:paraId="7522405B" w14:textId="662B39AD" w:rsidR="00C263DE" w:rsidRDefault="00C263DE" w:rsidP="00115593">
                            <w:pPr>
                              <w:pStyle w:val="BoxText"/>
                            </w:pPr>
                            <w:r>
                              <w:t xml:space="preserve">The </w:t>
                            </w:r>
                            <w:proofErr w:type="spellStart"/>
                            <w:r>
                              <w:t>ATO</w:t>
                            </w:r>
                            <w:proofErr w:type="spellEnd"/>
                            <w:r>
                              <w:t xml:space="preserve"> has also undertaken significant stakeholder engagement activities in relation to residential real estate and the agricultural land register. This includes developing targeted communications to raise awareness, particularly for existing and potential investors, and establishing a Foreign Investment Reforms Working Group which meets regularly with key agents, accounting and law firms. The </w:t>
                            </w:r>
                            <w:proofErr w:type="spellStart"/>
                            <w:r>
                              <w:t>ATO</w:t>
                            </w:r>
                            <w:proofErr w:type="spellEnd"/>
                            <w:r>
                              <w:t xml:space="preserve"> also had over 1,200 attendees, including foreign investors and advisors, at face</w:t>
                            </w:r>
                            <w:r>
                              <w:noBreakHyphen/>
                              <w:t>to</w:t>
                            </w:r>
                            <w:r>
                              <w:noBreakHyphen/>
                              <w:t>face events held across Australia from March 2015 to May 2016.</w:t>
                            </w:r>
                          </w:p>
                          <w:p w14:paraId="744BA619" w14:textId="66998793" w:rsidR="00C263DE" w:rsidRPr="00FE6FC3" w:rsidRDefault="00C263DE" w:rsidP="00115593">
                            <w:pPr>
                              <w:pStyle w:val="BoxText"/>
                            </w:pPr>
                            <w:r>
                              <w:t>Further detail</w:t>
                            </w:r>
                            <w:r w:rsidRPr="00B579B9">
                              <w:t xml:space="preserve"> on the ongoing stakeholder engagem</w:t>
                            </w:r>
                            <w:r>
                              <w:t>ent being undertaken by and on behalf of the Board</w:t>
                            </w:r>
                            <w:r w:rsidRPr="00B579B9">
                              <w:t xml:space="preserve"> is included in the Regulator Performance Framework Report 2015</w:t>
                            </w:r>
                            <w:r>
                              <w:noBreakHyphen/>
                            </w:r>
                            <w:r w:rsidRPr="00B579B9">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nip and Round Single Corner Rectangle 8" o:spid="_x0000_s1026" style="position:absolute;left:0;text-align:left;margin-left:4.45pt;margin-top:-14.65pt;width:382.45pt;height:61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857115,7814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" adj="-11796480,,5400" path="m208370,l4047580,r809535,809535l4857115,7814945,,7814945,,208370c,93290,93290,,208370,xe" fillcolor="#1f497d" stroked="f" strokeweight="2pt">
                <v:stroke joinstyle="miter"/>
                <v:formulas/>
                <v:path arrowok="t" o:connecttype="custom" o:connectlocs="208370,0;4047580,0;4857115,809535;4857115,7814945;0,7814945;0,208370;208370,0" o:connectangles="0,0,0,0,0,0,0" textboxrect="0,0,4857115,7814945"/>
                <v:textbox>
                  <w:txbxContent>
                    <w:p w14:paraId="41AFB703" w14:textId="533DEA71" w:rsidR="00C263DE" w:rsidRPr="00B579B9" w:rsidRDefault="00C263DE" w:rsidP="00115593">
                      <w:pPr>
                        <w:pStyle w:val="BoxHeading"/>
                      </w:pPr>
                      <w:r w:rsidRPr="00B579B9">
                        <w:t>Stakeholder engagement</w:t>
                      </w:r>
                    </w:p>
                    <w:p w14:paraId="6C663F5F" w14:textId="7A9C8245" w:rsidR="00C263DE" w:rsidRDefault="00C263DE" w:rsidP="00115593">
                      <w:pPr>
                        <w:pStyle w:val="BoxText"/>
                      </w:pPr>
                      <w:r w:rsidRPr="00B579B9">
                        <w:t xml:space="preserve">Regular and meaningful engagement with the investment community is instrumental to a functional and robust foreign investment framework. Stakeholder engagement is a </w:t>
                      </w:r>
                      <w:r>
                        <w:t>‘</w:t>
                      </w:r>
                      <w:r w:rsidRPr="00B579B9">
                        <w:t>two</w:t>
                      </w:r>
                      <w:r>
                        <w:noBreakHyphen/>
                      </w:r>
                      <w:r w:rsidRPr="00B579B9">
                        <w:t>way</w:t>
                      </w:r>
                      <w:r>
                        <w:t>’</w:t>
                      </w:r>
                      <w:r w:rsidRPr="00B579B9">
                        <w:t xml:space="preserve"> avenue, enabling the Board and </w:t>
                      </w:r>
                      <w:r>
                        <w:t>S</w:t>
                      </w:r>
                      <w:r w:rsidRPr="00B579B9">
                        <w:t>ecretariat to provide information on the framework as well as obtaining valuable feedback on the framework and the broader investment context.</w:t>
                      </w:r>
                    </w:p>
                    <w:p w14:paraId="0886615E" w14:textId="2E4DDCFE" w:rsidR="00C263DE" w:rsidRPr="00B579B9" w:rsidRDefault="00C263DE" w:rsidP="00115593">
                      <w:pPr>
                        <w:pStyle w:val="BoxText"/>
                      </w:pPr>
                      <w:proofErr w:type="gramStart"/>
                      <w:r>
                        <w:t>As part of screening cases the Secretariat also engages with other government agencies to seek their advice on matters considered under the national interest test, where they have expertise.</w:t>
                      </w:r>
                      <w:proofErr w:type="gramEnd"/>
                      <w:r>
                        <w:t xml:space="preserve"> For example, national security agencies on national security matters.</w:t>
                      </w:r>
                    </w:p>
                    <w:p w14:paraId="177AAFC5" w14:textId="28CDE9AB" w:rsidR="00C263DE" w:rsidRPr="00B579B9" w:rsidRDefault="00C263DE" w:rsidP="00115593">
                      <w:pPr>
                        <w:pStyle w:val="BoxText"/>
                      </w:pPr>
                      <w:r>
                        <w:t>T</w:t>
                      </w:r>
                      <w:r w:rsidRPr="00B579B9">
                        <w:t xml:space="preserve">o communicate new requirements under the reforms that were introduced on 1 December 2015, </w:t>
                      </w:r>
                      <w:r>
                        <w:t>Treasury</w:t>
                      </w:r>
                      <w:r w:rsidRPr="00B579B9">
                        <w:t xml:space="preserve"> held </w:t>
                      </w:r>
                      <w:r w:rsidRPr="002C5D65">
                        <w:t>1</w:t>
                      </w:r>
                      <w:r>
                        <w:t>5</w:t>
                      </w:r>
                      <w:r w:rsidRPr="00B579B9">
                        <w:t xml:space="preserve"> face</w:t>
                      </w:r>
                      <w:r>
                        <w:noBreakHyphen/>
                      </w:r>
                      <w:r w:rsidRPr="00B579B9">
                        <w:t>to</w:t>
                      </w:r>
                      <w:r>
                        <w:noBreakHyphen/>
                      </w:r>
                      <w:r w:rsidRPr="00B579B9">
                        <w:t xml:space="preserve">face sessions </w:t>
                      </w:r>
                      <w:r>
                        <w:t xml:space="preserve">with the investment community in </w:t>
                      </w:r>
                      <w:r w:rsidRPr="00B579B9">
                        <w:t>Brisbane</w:t>
                      </w:r>
                      <w:r>
                        <w:t xml:space="preserve">, Melbourne, Perth and Sydney. </w:t>
                      </w:r>
                      <w:r w:rsidRPr="00B579B9">
                        <w:t xml:space="preserve">Since then, the </w:t>
                      </w:r>
                      <w:proofErr w:type="spellStart"/>
                      <w:r w:rsidRPr="00B579B9">
                        <w:t>FIRB</w:t>
                      </w:r>
                      <w:proofErr w:type="spellEnd"/>
                      <w:r w:rsidRPr="00B579B9">
                        <w:t xml:space="preserve"> </w:t>
                      </w:r>
                      <w:r>
                        <w:t>S</w:t>
                      </w:r>
                      <w:r w:rsidRPr="00B579B9">
                        <w:t xml:space="preserve">ecretariat has continued to seek feedback on the regime from a range of stakeholders, including meeting with the </w:t>
                      </w:r>
                      <w:r>
                        <w:t xml:space="preserve">Foreign Investment Committee of the </w:t>
                      </w:r>
                      <w:r w:rsidRPr="00446647">
                        <w:t xml:space="preserve">Law Council </w:t>
                      </w:r>
                      <w:r>
                        <w:t>of Australia th</w:t>
                      </w:r>
                      <w:r w:rsidRPr="00B579B9">
                        <w:t>ree times during 2016.</w:t>
                      </w:r>
                    </w:p>
                    <w:p w14:paraId="58B5D0E9" w14:textId="6B0E1FF9" w:rsidR="00C263DE" w:rsidRPr="00B579B9" w:rsidRDefault="00C263DE" w:rsidP="00115593">
                      <w:pPr>
                        <w:pStyle w:val="BoxText"/>
                      </w:pPr>
                      <w:r w:rsidRPr="00B579B9">
                        <w:t xml:space="preserve">Integral to </w:t>
                      </w:r>
                      <w:r>
                        <w:t>Treasury’s</w:t>
                      </w:r>
                      <w:r w:rsidRPr="00B579B9">
                        <w:t xml:space="preserve"> efforts to better engage with the broader community has been locating members of the </w:t>
                      </w:r>
                      <w:r>
                        <w:t>Division</w:t>
                      </w:r>
                      <w:r w:rsidRPr="00B579B9">
                        <w:t xml:space="preserve"> in Treasury</w:t>
                      </w:r>
                      <w:r>
                        <w:t>’</w:t>
                      </w:r>
                      <w:r w:rsidRPr="00B579B9">
                        <w:t xml:space="preserve">s Sydney Office. Having a </w:t>
                      </w:r>
                      <w:r>
                        <w:t xml:space="preserve">Treasury </w:t>
                      </w:r>
                      <w:r w:rsidRPr="00B579B9">
                        <w:t>team based in Sydney full</w:t>
                      </w:r>
                      <w:r>
                        <w:noBreakHyphen/>
                      </w:r>
                      <w:r w:rsidRPr="00B579B9">
                        <w:t xml:space="preserve">time has allowed the </w:t>
                      </w:r>
                      <w:proofErr w:type="spellStart"/>
                      <w:r w:rsidRPr="00B579B9">
                        <w:t>FIRB</w:t>
                      </w:r>
                      <w:proofErr w:type="spellEnd"/>
                      <w:r w:rsidRPr="00B579B9">
                        <w:t xml:space="preserve"> </w:t>
                      </w:r>
                      <w:r>
                        <w:t>S</w:t>
                      </w:r>
                      <w:r w:rsidRPr="00B579B9">
                        <w:t>ecretariat to pursue a comprehensive stakeholder engagement strategy focusing on:</w:t>
                      </w:r>
                    </w:p>
                    <w:p w14:paraId="521C6B43" w14:textId="446CB76A" w:rsidR="00C263DE" w:rsidRPr="00B579B9" w:rsidRDefault="00C263DE" w:rsidP="007D43D4">
                      <w:pPr>
                        <w:pStyle w:val="BoxBullet"/>
                        <w:spacing w:after="0"/>
                        <w:ind w:left="284" w:hanging="284"/>
                      </w:pPr>
                      <w:r>
                        <w:t>b</w:t>
                      </w:r>
                      <w:r w:rsidRPr="00B579B9">
                        <w:t>uilding and maintaining relationships to understand perspectives from the investment community;</w:t>
                      </w:r>
                    </w:p>
                    <w:p w14:paraId="274BC368" w14:textId="3FA3CF17" w:rsidR="00C263DE" w:rsidRPr="00B579B9" w:rsidRDefault="00C263DE" w:rsidP="007D43D4">
                      <w:pPr>
                        <w:pStyle w:val="BoxBullet"/>
                        <w:spacing w:after="0"/>
                        <w:ind w:left="284" w:hanging="284"/>
                      </w:pPr>
                      <w:r>
                        <w:t>e</w:t>
                      </w:r>
                      <w:r w:rsidRPr="00B579B9">
                        <w:t>xploring specific trends and issues; and</w:t>
                      </w:r>
                    </w:p>
                    <w:p w14:paraId="20942CFF" w14:textId="6FFCDC2E" w:rsidR="00C263DE" w:rsidRPr="00B579B9" w:rsidRDefault="00C263DE" w:rsidP="00971054">
                      <w:pPr>
                        <w:pStyle w:val="BoxBullet"/>
                        <w:ind w:left="284" w:hanging="284"/>
                      </w:pPr>
                      <w:proofErr w:type="gramStart"/>
                      <w:r>
                        <w:t>p</w:t>
                      </w:r>
                      <w:r w:rsidRPr="00B579B9">
                        <w:t>roviding</w:t>
                      </w:r>
                      <w:proofErr w:type="gramEnd"/>
                      <w:r w:rsidRPr="00B579B9">
                        <w:t xml:space="preserve"> and receiving feedback on the regime, including the reforms.</w:t>
                      </w:r>
                    </w:p>
                    <w:p w14:paraId="5BF2EC1B" w14:textId="066A9428" w:rsidR="00C263DE" w:rsidRDefault="00C263DE" w:rsidP="00115593">
                      <w:pPr>
                        <w:pStyle w:val="BoxText"/>
                      </w:pPr>
                      <w:r w:rsidRPr="00B579B9">
                        <w:t>Between September 2015 and December 201</w:t>
                      </w:r>
                      <w:r>
                        <w:t>6, Treasury, led by the Sydney Office, had over </w:t>
                      </w:r>
                      <w:r w:rsidRPr="00B579B9">
                        <w:t>90 meetings with a range of external stakeholder</w:t>
                      </w:r>
                      <w:r>
                        <w:t>s</w:t>
                      </w:r>
                      <w:r w:rsidRPr="00B579B9">
                        <w:t xml:space="preserve"> including law firms, investors, investment banks, industry bodies an</w:t>
                      </w:r>
                      <w:r>
                        <w:t xml:space="preserve">d other industry participants. </w:t>
                      </w:r>
                      <w:r w:rsidRPr="00B579B9">
                        <w:t xml:space="preserve">Four investor forums were also held in 2016, in which investors were able to hear directly from senior </w:t>
                      </w:r>
                      <w:proofErr w:type="spellStart"/>
                      <w:r w:rsidRPr="00B579B9">
                        <w:t>FIRB</w:t>
                      </w:r>
                      <w:proofErr w:type="spellEnd"/>
                      <w:r w:rsidRPr="00B579B9">
                        <w:t xml:space="preserve"> representatives and provide valuable and timely feedback about the foreign investment regime.</w:t>
                      </w:r>
                    </w:p>
                    <w:p w14:paraId="7522405B" w14:textId="662B39AD" w:rsidR="00C263DE" w:rsidRDefault="00C263DE" w:rsidP="00115593">
                      <w:pPr>
                        <w:pStyle w:val="BoxText"/>
                      </w:pPr>
                      <w:r>
                        <w:t xml:space="preserve">The </w:t>
                      </w:r>
                      <w:proofErr w:type="spellStart"/>
                      <w:r>
                        <w:t>ATO</w:t>
                      </w:r>
                      <w:proofErr w:type="spellEnd"/>
                      <w:r>
                        <w:t xml:space="preserve"> has also undertaken significant stakeholder engagement activities in relation to residential real estate and the agricultural land register. This includes developing targeted communications to raise awareness, particularly for existing and potential investors, and establishing a Foreign Investment Reforms Working Group which meets regularly with key agents, accounting and law firms. The </w:t>
                      </w:r>
                      <w:proofErr w:type="spellStart"/>
                      <w:r>
                        <w:t>ATO</w:t>
                      </w:r>
                      <w:proofErr w:type="spellEnd"/>
                      <w:r>
                        <w:t xml:space="preserve"> also had over 1,200 attendees, including foreign investors and advisors, at face</w:t>
                      </w:r>
                      <w:r>
                        <w:noBreakHyphen/>
                        <w:t>to</w:t>
                      </w:r>
                      <w:r>
                        <w:noBreakHyphen/>
                        <w:t>face events held across Australia from March 2015 to May 2016.</w:t>
                      </w:r>
                    </w:p>
                    <w:p w14:paraId="744BA619" w14:textId="66998793" w:rsidR="00C263DE" w:rsidRPr="00FE6FC3" w:rsidRDefault="00C263DE" w:rsidP="00115593">
                      <w:pPr>
                        <w:pStyle w:val="BoxText"/>
                      </w:pPr>
                      <w:r>
                        <w:t>Further detail</w:t>
                      </w:r>
                      <w:r w:rsidRPr="00B579B9">
                        <w:t xml:space="preserve"> on the ongoing stakeholder engagem</w:t>
                      </w:r>
                      <w:r>
                        <w:t>ent being undertaken by and on behalf of the Board</w:t>
                      </w:r>
                      <w:r w:rsidRPr="00B579B9">
                        <w:t xml:space="preserve"> is included in the Regulator Performance Framework Report 2015</w:t>
                      </w:r>
                      <w:r>
                        <w:noBreakHyphen/>
                      </w:r>
                      <w:r w:rsidRPr="00B579B9">
                        <w:t>16.</w:t>
                      </w:r>
                    </w:p>
                  </w:txbxContent>
                </v:textbox>
                <w10:wrap type="topAndBottom"/>
              </v:shape>
            </w:pict>
          </mc:Fallback>
        </mc:AlternateContent>
      </w:r>
    </w:p>
    <w:p w14:paraId="586048BC" w14:textId="255F9433" w:rsidR="008F21C7" w:rsidRPr="00F77EFA" w:rsidRDefault="00F30527" w:rsidP="00C72611">
      <w:pPr>
        <w:pStyle w:val="Heading2noTOC"/>
      </w:pPr>
      <w:r w:rsidRPr="00F77EFA">
        <w:lastRenderedPageBreak/>
        <w:t>The Foreign Investment Regime</w:t>
      </w:r>
    </w:p>
    <w:p w14:paraId="33CDA343" w14:textId="1D390CAE" w:rsidR="00D807FE" w:rsidRPr="00F77EFA" w:rsidRDefault="00D76C82" w:rsidP="0062564C">
      <w:pPr>
        <w:rPr>
          <w:color w:val="auto"/>
          <w:szCs w:val="24"/>
        </w:rPr>
      </w:pPr>
      <w:r>
        <w:rPr>
          <w:color w:val="auto"/>
          <w:szCs w:val="24"/>
        </w:rPr>
        <w:t xml:space="preserve">The Australian Government seeks to maintain an open foreign investment regime which balances encouraging foreign investment flows while ensuring foreign investment is not contrary to the national interest. </w:t>
      </w:r>
    </w:p>
    <w:p w14:paraId="72FD23B8" w14:textId="4562B755" w:rsidR="00D807FE" w:rsidRPr="00F77EFA" w:rsidRDefault="00D76C82" w:rsidP="0062564C">
      <w:pPr>
        <w:rPr>
          <w:color w:val="auto"/>
          <w:szCs w:val="24"/>
        </w:rPr>
      </w:pPr>
      <w:r>
        <w:rPr>
          <w:color w:val="auto"/>
          <w:szCs w:val="24"/>
        </w:rPr>
        <w:t>The Australian Government seeks to ensure</w:t>
      </w:r>
      <w:r w:rsidR="00D807FE" w:rsidRPr="00F77EFA">
        <w:rPr>
          <w:color w:val="auto"/>
          <w:szCs w:val="24"/>
        </w:rPr>
        <w:t xml:space="preserve"> that foreign investment is appropriately monitored and benefits all Australians. Th</w:t>
      </w:r>
      <w:r w:rsidR="00CF401F" w:rsidRPr="00F77EFA">
        <w:rPr>
          <w:color w:val="auto"/>
          <w:szCs w:val="24"/>
        </w:rPr>
        <w:t>is</w:t>
      </w:r>
      <w:r w:rsidR="00D807FE" w:rsidRPr="00F77EFA">
        <w:rPr>
          <w:color w:val="auto"/>
          <w:szCs w:val="24"/>
        </w:rPr>
        <w:t xml:space="preserve"> Government, like previous governments, supports a case</w:t>
      </w:r>
      <w:r w:rsidR="008205A1">
        <w:rPr>
          <w:color w:val="auto"/>
          <w:szCs w:val="24"/>
        </w:rPr>
        <w:noBreakHyphen/>
      </w:r>
      <w:r w:rsidR="00D807FE" w:rsidRPr="00F77EFA">
        <w:rPr>
          <w:color w:val="auto"/>
          <w:szCs w:val="24"/>
        </w:rPr>
        <w:t>by</w:t>
      </w:r>
      <w:r w:rsidR="008205A1">
        <w:rPr>
          <w:color w:val="auto"/>
          <w:szCs w:val="24"/>
        </w:rPr>
        <w:noBreakHyphen/>
      </w:r>
      <w:r w:rsidR="00D807FE" w:rsidRPr="00F77EFA">
        <w:rPr>
          <w:color w:val="auto"/>
          <w:szCs w:val="24"/>
        </w:rPr>
        <w:t xml:space="preserve">case approach </w:t>
      </w:r>
      <w:r w:rsidR="00127D2F">
        <w:rPr>
          <w:color w:val="auto"/>
          <w:szCs w:val="24"/>
        </w:rPr>
        <w:t>to</w:t>
      </w:r>
      <w:r w:rsidR="00D807FE" w:rsidRPr="00F77EFA">
        <w:rPr>
          <w:color w:val="auto"/>
          <w:szCs w:val="24"/>
        </w:rPr>
        <w:t xml:space="preserve"> considering foreign investment proposals. Under the </w:t>
      </w:r>
      <w:r w:rsidR="00D807FE" w:rsidRPr="00F77EFA">
        <w:rPr>
          <w:i/>
          <w:color w:val="auto"/>
          <w:szCs w:val="24"/>
        </w:rPr>
        <w:t>Foreign Acquisitions and Takeovers Act 1975</w:t>
      </w:r>
      <w:r w:rsidR="00D807FE" w:rsidRPr="00F77EFA">
        <w:rPr>
          <w:color w:val="auto"/>
          <w:szCs w:val="24"/>
        </w:rPr>
        <w:t>, the Treasurer can block proposals found to be contrary to the national interest, or can impose conditions on an investment to addr</w:t>
      </w:r>
      <w:r w:rsidR="0062564C" w:rsidRPr="00F77EFA">
        <w:rPr>
          <w:color w:val="auto"/>
          <w:szCs w:val="24"/>
        </w:rPr>
        <w:t>ess national interest concerns.</w:t>
      </w:r>
    </w:p>
    <w:p w14:paraId="439106AD" w14:textId="44BD98C2" w:rsidR="00716665" w:rsidRPr="00F77EFA" w:rsidRDefault="00716665" w:rsidP="00C72611">
      <w:pPr>
        <w:pStyle w:val="Heading2"/>
      </w:pPr>
      <w:bookmarkStart w:id="20" w:name="_Toc476737073"/>
      <w:r w:rsidRPr="00F77EFA">
        <w:t>Reforms</w:t>
      </w:r>
      <w:bookmarkEnd w:id="20"/>
    </w:p>
    <w:p w14:paraId="141C83B0" w14:textId="634EA1CB" w:rsidR="000159A3" w:rsidRPr="00F77EFA" w:rsidRDefault="00786B11" w:rsidP="00383916">
      <w:pPr>
        <w:rPr>
          <w:color w:val="auto"/>
          <w:szCs w:val="24"/>
        </w:rPr>
      </w:pPr>
      <w:r w:rsidRPr="00F77EFA">
        <w:rPr>
          <w:color w:val="auto"/>
          <w:szCs w:val="24"/>
        </w:rPr>
        <w:t>Th</w:t>
      </w:r>
      <w:r w:rsidR="00FE6FC3">
        <w:rPr>
          <w:color w:val="auto"/>
          <w:szCs w:val="24"/>
        </w:rPr>
        <w:t>is</w:t>
      </w:r>
      <w:r w:rsidRPr="00F77EFA">
        <w:rPr>
          <w:color w:val="auto"/>
          <w:szCs w:val="24"/>
        </w:rPr>
        <w:t xml:space="preserve"> reporting period saw the most </w:t>
      </w:r>
      <w:r w:rsidR="00F602DC" w:rsidRPr="00F77EFA">
        <w:rPr>
          <w:color w:val="auto"/>
          <w:szCs w:val="24"/>
        </w:rPr>
        <w:t>significant changes to the regime in o</w:t>
      </w:r>
      <w:r w:rsidRPr="00F77EFA">
        <w:rPr>
          <w:color w:val="auto"/>
          <w:szCs w:val="24"/>
        </w:rPr>
        <w:t>ver 40 </w:t>
      </w:r>
      <w:r w:rsidR="00133B4F" w:rsidRPr="00F77EFA">
        <w:rPr>
          <w:color w:val="auto"/>
          <w:szCs w:val="24"/>
        </w:rPr>
        <w:t xml:space="preserve">years. </w:t>
      </w:r>
      <w:r w:rsidR="00383916">
        <w:rPr>
          <w:color w:val="auto"/>
          <w:szCs w:val="24"/>
        </w:rPr>
        <w:t>Following public consultation on 2 May 2015 the Government announced a package of reforms to strengthen the foreign investment framework. The</w:t>
      </w:r>
      <w:r w:rsidR="00751690" w:rsidRPr="00F77EFA">
        <w:rPr>
          <w:color w:val="auto"/>
          <w:szCs w:val="24"/>
        </w:rPr>
        <w:t xml:space="preserve"> reforms commenced on 1 December </w:t>
      </w:r>
      <w:r w:rsidR="000159A3" w:rsidRPr="00F77EFA">
        <w:rPr>
          <w:color w:val="auto"/>
          <w:szCs w:val="24"/>
        </w:rPr>
        <w:t>2015</w:t>
      </w:r>
      <w:r w:rsidR="00751690" w:rsidRPr="00F77EFA">
        <w:rPr>
          <w:color w:val="auto"/>
          <w:szCs w:val="24"/>
        </w:rPr>
        <w:t>.</w:t>
      </w:r>
    </w:p>
    <w:p w14:paraId="439B59C1" w14:textId="7E3CDF7E" w:rsidR="006E32F5" w:rsidRPr="00F77EFA" w:rsidRDefault="006E32F5" w:rsidP="00F77EFA">
      <w:pPr>
        <w:spacing w:after="0"/>
        <w:rPr>
          <w:color w:val="auto"/>
          <w:szCs w:val="24"/>
        </w:rPr>
      </w:pPr>
      <w:r w:rsidRPr="00F77EFA">
        <w:rPr>
          <w:color w:val="auto"/>
          <w:szCs w:val="24"/>
        </w:rPr>
        <w:t xml:space="preserve">The </w:t>
      </w:r>
      <w:r w:rsidR="00F602DC" w:rsidRPr="00F77EFA">
        <w:rPr>
          <w:color w:val="auto"/>
          <w:szCs w:val="24"/>
        </w:rPr>
        <w:t xml:space="preserve">key elements of the </w:t>
      </w:r>
      <w:r w:rsidRPr="00F77EFA">
        <w:rPr>
          <w:color w:val="auto"/>
          <w:szCs w:val="24"/>
        </w:rPr>
        <w:t>reforms included:</w:t>
      </w:r>
    </w:p>
    <w:p w14:paraId="39CF0885" w14:textId="710C55CA" w:rsidR="006E32F5" w:rsidRPr="00F77EFA" w:rsidRDefault="006E32F5" w:rsidP="00751690">
      <w:pPr>
        <w:pStyle w:val="Bullet"/>
        <w:spacing w:before="60" w:after="60"/>
        <w:rPr>
          <w:rFonts w:ascii="Calibri" w:hAnsi="Calibri"/>
        </w:rPr>
      </w:pPr>
      <w:r w:rsidRPr="00F77EFA">
        <w:rPr>
          <w:rFonts w:ascii="Calibri" w:hAnsi="Calibri"/>
        </w:rPr>
        <w:t xml:space="preserve">increased enforcement of the residential real estate rules by establishing a dedicated unit within the </w:t>
      </w:r>
      <w:proofErr w:type="spellStart"/>
      <w:r w:rsidRPr="00F77EFA">
        <w:rPr>
          <w:rFonts w:ascii="Calibri" w:hAnsi="Calibri"/>
        </w:rPr>
        <w:t>ATO</w:t>
      </w:r>
      <w:proofErr w:type="spellEnd"/>
      <w:r w:rsidRPr="00F77EFA">
        <w:rPr>
          <w:rFonts w:ascii="Calibri" w:hAnsi="Calibri"/>
        </w:rPr>
        <w:t xml:space="preserve"> to review cases and strengthen compliance;</w:t>
      </w:r>
    </w:p>
    <w:p w14:paraId="5686B420" w14:textId="6C6A6F86" w:rsidR="006E32F5" w:rsidRPr="00F77EFA" w:rsidRDefault="006E32F5" w:rsidP="00751690">
      <w:pPr>
        <w:pStyle w:val="Bullet"/>
        <w:spacing w:before="60" w:after="60"/>
        <w:rPr>
          <w:rFonts w:ascii="Calibri" w:hAnsi="Calibri"/>
        </w:rPr>
      </w:pPr>
      <w:r w:rsidRPr="00F77EFA">
        <w:rPr>
          <w:rFonts w:ascii="Calibri" w:hAnsi="Calibri"/>
        </w:rPr>
        <w:t>str</w:t>
      </w:r>
      <w:r w:rsidR="006B0B26">
        <w:rPr>
          <w:rFonts w:ascii="Calibri" w:hAnsi="Calibri"/>
        </w:rPr>
        <w:t>onger sanctions</w:t>
      </w:r>
      <w:r w:rsidRPr="00F77EFA">
        <w:rPr>
          <w:rFonts w:ascii="Calibri" w:hAnsi="Calibri"/>
        </w:rPr>
        <w:t xml:space="preserve"> and more flexible penalties to make it easier to pursue foreign investors that breach the rules;</w:t>
      </w:r>
    </w:p>
    <w:p w14:paraId="08B9195A" w14:textId="0578C41E" w:rsidR="006E32F5" w:rsidRPr="00F77EFA" w:rsidRDefault="006E32F5" w:rsidP="00751690">
      <w:pPr>
        <w:pStyle w:val="Bullet"/>
        <w:spacing w:before="60" w:after="60"/>
        <w:rPr>
          <w:rFonts w:ascii="Calibri" w:hAnsi="Calibri"/>
        </w:rPr>
      </w:pPr>
      <w:r w:rsidRPr="00F77EFA">
        <w:rPr>
          <w:rFonts w:ascii="Calibri" w:hAnsi="Calibri"/>
        </w:rPr>
        <w:t>application fees to ensure that Australian taxpayers no longer have to fund the cost of administering the system;</w:t>
      </w:r>
    </w:p>
    <w:p w14:paraId="400E507C" w14:textId="3E1F9BC6" w:rsidR="006E32F5" w:rsidRPr="00F77EFA" w:rsidRDefault="006E32F5" w:rsidP="00751690">
      <w:pPr>
        <w:pStyle w:val="Bullet"/>
        <w:spacing w:before="60" w:after="60"/>
        <w:rPr>
          <w:rFonts w:ascii="Calibri" w:hAnsi="Calibri"/>
        </w:rPr>
      </w:pPr>
      <w:r w:rsidRPr="00F77EFA">
        <w:rPr>
          <w:rFonts w:ascii="Calibri" w:hAnsi="Calibri"/>
        </w:rPr>
        <w:t xml:space="preserve">increased scrutiny around agricultural investments by lowering the applicable </w:t>
      </w:r>
      <w:r w:rsidR="00CF401F" w:rsidRPr="00F77EFA">
        <w:rPr>
          <w:rFonts w:ascii="Calibri" w:hAnsi="Calibri"/>
        </w:rPr>
        <w:t xml:space="preserve">screening </w:t>
      </w:r>
      <w:r w:rsidRPr="00F77EFA">
        <w:rPr>
          <w:rFonts w:ascii="Calibri" w:hAnsi="Calibri"/>
        </w:rPr>
        <w:t>thresholds;</w:t>
      </w:r>
      <w:r w:rsidR="00BB2FE1">
        <w:rPr>
          <w:rFonts w:ascii="Calibri" w:hAnsi="Calibri"/>
        </w:rPr>
        <w:t xml:space="preserve"> and</w:t>
      </w:r>
    </w:p>
    <w:p w14:paraId="00328722" w14:textId="3B4F862C" w:rsidR="006E32F5" w:rsidRPr="00F77EFA" w:rsidRDefault="006E32F5" w:rsidP="00751690">
      <w:pPr>
        <w:pStyle w:val="Bullet"/>
        <w:spacing w:before="60" w:after="60"/>
        <w:rPr>
          <w:rFonts w:ascii="Calibri" w:hAnsi="Calibri"/>
        </w:rPr>
      </w:pPr>
      <w:proofErr w:type="gramStart"/>
      <w:r w:rsidRPr="00F77EFA">
        <w:rPr>
          <w:rFonts w:ascii="Calibri" w:hAnsi="Calibri"/>
        </w:rPr>
        <w:t>improved</w:t>
      </w:r>
      <w:proofErr w:type="gramEnd"/>
      <w:r w:rsidRPr="00F77EFA">
        <w:rPr>
          <w:rFonts w:ascii="Calibri" w:hAnsi="Calibri"/>
        </w:rPr>
        <w:t xml:space="preserve"> transparency through a comprehensive register of foreign ownership of agricultural land</w:t>
      </w:r>
      <w:r w:rsidR="001D790E">
        <w:rPr>
          <w:rFonts w:ascii="Calibri" w:hAnsi="Calibri"/>
        </w:rPr>
        <w:t>.</w:t>
      </w:r>
    </w:p>
    <w:p w14:paraId="3ED79884" w14:textId="22F3016D" w:rsidR="00786B11" w:rsidRPr="00F77EFA" w:rsidRDefault="00786B11" w:rsidP="00F77EFA">
      <w:pPr>
        <w:rPr>
          <w:color w:val="auto"/>
          <w:szCs w:val="24"/>
        </w:rPr>
      </w:pPr>
      <w:r w:rsidRPr="00F77EFA">
        <w:rPr>
          <w:color w:val="auto"/>
          <w:szCs w:val="24"/>
        </w:rPr>
        <w:t>The reforms also provi</w:t>
      </w:r>
      <w:r w:rsidR="00141E58" w:rsidRPr="00F77EFA">
        <w:rPr>
          <w:color w:val="auto"/>
          <w:szCs w:val="24"/>
        </w:rPr>
        <w:t>ded an opportunity to modernise</w:t>
      </w:r>
      <w:r w:rsidRPr="00F77EFA">
        <w:rPr>
          <w:color w:val="auto"/>
          <w:szCs w:val="24"/>
        </w:rPr>
        <w:t xml:space="preserve"> the regime </w:t>
      </w:r>
      <w:r w:rsidR="00141E58" w:rsidRPr="00F77EFA">
        <w:rPr>
          <w:color w:val="auto"/>
          <w:szCs w:val="24"/>
        </w:rPr>
        <w:t xml:space="preserve">and make it </w:t>
      </w:r>
      <w:r w:rsidRPr="00F77EFA">
        <w:rPr>
          <w:color w:val="auto"/>
          <w:szCs w:val="24"/>
        </w:rPr>
        <w:t>clearer for investors</w:t>
      </w:r>
      <w:r w:rsidR="002F3299" w:rsidRPr="00F77EFA">
        <w:rPr>
          <w:color w:val="auto"/>
          <w:szCs w:val="24"/>
        </w:rPr>
        <w:t xml:space="preserve">. </w:t>
      </w:r>
      <w:r w:rsidRPr="00F77EFA">
        <w:rPr>
          <w:color w:val="auto"/>
          <w:szCs w:val="24"/>
        </w:rPr>
        <w:t>For example, one of the key improvements was the incorporation of former policy</w:t>
      </w:r>
      <w:r w:rsidR="008205A1">
        <w:rPr>
          <w:color w:val="auto"/>
          <w:szCs w:val="24"/>
        </w:rPr>
        <w:noBreakHyphen/>
      </w:r>
      <w:r w:rsidRPr="00F77EFA">
        <w:rPr>
          <w:color w:val="auto"/>
          <w:szCs w:val="24"/>
        </w:rPr>
        <w:t>only requirements (such as those relating to foreign government investors) into the legislative framework to increase legal certainty for investors</w:t>
      </w:r>
      <w:r w:rsidR="00CF401F" w:rsidRPr="00F77EFA">
        <w:rPr>
          <w:color w:val="auto"/>
          <w:szCs w:val="24"/>
        </w:rPr>
        <w:t>.</w:t>
      </w:r>
    </w:p>
    <w:p w14:paraId="38981059" w14:textId="7FAB933F" w:rsidR="00786B11" w:rsidRPr="00F77EFA" w:rsidRDefault="00786B11" w:rsidP="00743473">
      <w:pPr>
        <w:rPr>
          <w:color w:val="auto"/>
          <w:szCs w:val="24"/>
        </w:rPr>
      </w:pPr>
      <w:r w:rsidRPr="00F77EFA">
        <w:rPr>
          <w:color w:val="auto"/>
          <w:szCs w:val="24"/>
        </w:rPr>
        <w:t xml:space="preserve">Compliance costs and complexity were reduced by removing </w:t>
      </w:r>
      <w:r w:rsidR="00BB2FE1">
        <w:rPr>
          <w:color w:val="auto"/>
          <w:szCs w:val="24"/>
        </w:rPr>
        <w:t xml:space="preserve">some </w:t>
      </w:r>
      <w:r w:rsidRPr="00F77EFA">
        <w:rPr>
          <w:color w:val="auto"/>
          <w:szCs w:val="24"/>
        </w:rPr>
        <w:t xml:space="preserve">routine cases from the system and more closely aligning key concepts and definitions with other corporate legislation such as the </w:t>
      </w:r>
      <w:r w:rsidRPr="00970702">
        <w:rPr>
          <w:i/>
          <w:color w:val="auto"/>
          <w:szCs w:val="24"/>
        </w:rPr>
        <w:t>Corporations Act 2001</w:t>
      </w:r>
      <w:r w:rsidRPr="00F77EFA">
        <w:rPr>
          <w:color w:val="auto"/>
          <w:szCs w:val="24"/>
        </w:rPr>
        <w:t>.</w:t>
      </w:r>
    </w:p>
    <w:p w14:paraId="53FD310D" w14:textId="71414250" w:rsidR="00D807FE" w:rsidRPr="00F77EFA" w:rsidRDefault="00242B7C" w:rsidP="00F77EFA">
      <w:pPr>
        <w:pStyle w:val="Heading3"/>
        <w:rPr>
          <w:rFonts w:asciiTheme="minorHAnsi" w:hAnsiTheme="minorHAnsi"/>
          <w:smallCaps/>
        </w:rPr>
      </w:pPr>
      <w:r w:rsidRPr="00F77EFA">
        <w:rPr>
          <w:rFonts w:asciiTheme="minorHAnsi" w:hAnsiTheme="minorHAnsi"/>
        </w:rPr>
        <w:t xml:space="preserve">Foreign ownership </w:t>
      </w:r>
      <w:r w:rsidR="006E32F5" w:rsidRPr="00F77EFA">
        <w:rPr>
          <w:rFonts w:asciiTheme="minorHAnsi" w:hAnsiTheme="minorHAnsi"/>
        </w:rPr>
        <w:t>register</w:t>
      </w:r>
      <w:r w:rsidRPr="00F77EFA">
        <w:rPr>
          <w:rFonts w:asciiTheme="minorHAnsi" w:hAnsiTheme="minorHAnsi"/>
        </w:rPr>
        <w:t>s</w:t>
      </w:r>
    </w:p>
    <w:p w14:paraId="573293D3" w14:textId="2B7A030D" w:rsidR="00B6303C" w:rsidRPr="00F77EFA" w:rsidRDefault="00B6303C" w:rsidP="00B6303C">
      <w:pPr>
        <w:rPr>
          <w:color w:val="auto"/>
          <w:szCs w:val="24"/>
        </w:rPr>
      </w:pPr>
      <w:r w:rsidRPr="00F77EFA">
        <w:rPr>
          <w:color w:val="auto"/>
          <w:szCs w:val="24"/>
        </w:rPr>
        <w:t xml:space="preserve">As part of the </w:t>
      </w:r>
      <w:r w:rsidR="005B7474" w:rsidRPr="00F77EFA">
        <w:rPr>
          <w:color w:val="auto"/>
          <w:szCs w:val="24"/>
        </w:rPr>
        <w:t xml:space="preserve">2015 </w:t>
      </w:r>
      <w:r w:rsidRPr="00F77EFA">
        <w:rPr>
          <w:color w:val="auto"/>
          <w:szCs w:val="24"/>
        </w:rPr>
        <w:t>foreign investment reforms, the Government announced three registers to increase transparency around foreign ownership of Australian assets.</w:t>
      </w:r>
    </w:p>
    <w:p w14:paraId="0F92C818" w14:textId="5426AA91" w:rsidR="00B6303C" w:rsidRPr="00F77EFA" w:rsidRDefault="00B6303C" w:rsidP="005971CC">
      <w:pPr>
        <w:rPr>
          <w:color w:val="auto"/>
          <w:szCs w:val="24"/>
        </w:rPr>
      </w:pPr>
      <w:r w:rsidRPr="00F77EFA">
        <w:rPr>
          <w:color w:val="auto"/>
          <w:szCs w:val="24"/>
        </w:rPr>
        <w:lastRenderedPageBreak/>
        <w:t>The Agricultural Land Register was announced on 11 February 2015 and the first report was released on 7 September</w:t>
      </w:r>
      <w:r w:rsidR="005971CC" w:rsidRPr="00F77EFA">
        <w:rPr>
          <w:color w:val="auto"/>
          <w:szCs w:val="24"/>
        </w:rPr>
        <w:t xml:space="preserve"> 2016</w:t>
      </w:r>
      <w:r w:rsidRPr="00F77EFA">
        <w:rPr>
          <w:color w:val="auto"/>
          <w:szCs w:val="24"/>
        </w:rPr>
        <w:t>. The Government also committed to introducing a Register of Foreign Ownership of Water Entitlements (Water Register)</w:t>
      </w:r>
      <w:r w:rsidR="005971CC" w:rsidRPr="00F77EFA">
        <w:rPr>
          <w:color w:val="auto"/>
          <w:szCs w:val="24"/>
        </w:rPr>
        <w:t>.</w:t>
      </w:r>
      <w:r w:rsidRPr="00F77EFA">
        <w:rPr>
          <w:color w:val="auto"/>
          <w:szCs w:val="24"/>
        </w:rPr>
        <w:t xml:space="preserve"> This will </w:t>
      </w:r>
      <w:r w:rsidR="00D00D3B">
        <w:rPr>
          <w:color w:val="auto"/>
          <w:szCs w:val="24"/>
        </w:rPr>
        <w:t>provide</w:t>
      </w:r>
      <w:r w:rsidRPr="00F77EFA">
        <w:rPr>
          <w:color w:val="auto"/>
          <w:szCs w:val="24"/>
        </w:rPr>
        <w:t xml:space="preserve"> greater oversight of the level of foreign ownership of water assets</w:t>
      </w:r>
      <w:r w:rsidR="002E3D88">
        <w:rPr>
          <w:color w:val="auto"/>
          <w:szCs w:val="24"/>
        </w:rPr>
        <w:t>.</w:t>
      </w:r>
    </w:p>
    <w:p w14:paraId="5A5A3384" w14:textId="1D69CBF1" w:rsidR="00FB4612" w:rsidRPr="00F77EFA" w:rsidRDefault="00B6303C" w:rsidP="00F77EFA">
      <w:pPr>
        <w:rPr>
          <w:color w:val="auto"/>
          <w:szCs w:val="24"/>
        </w:rPr>
      </w:pPr>
      <w:r w:rsidRPr="00F77EFA">
        <w:rPr>
          <w:color w:val="auto"/>
          <w:szCs w:val="24"/>
        </w:rPr>
        <w:t xml:space="preserve">The </w:t>
      </w:r>
      <w:proofErr w:type="spellStart"/>
      <w:r w:rsidR="00F028E8" w:rsidRPr="00F77EFA">
        <w:rPr>
          <w:color w:val="auto"/>
          <w:szCs w:val="24"/>
        </w:rPr>
        <w:t>ATO</w:t>
      </w:r>
      <w:proofErr w:type="spellEnd"/>
      <w:r w:rsidR="00F028E8" w:rsidRPr="00F77EFA">
        <w:rPr>
          <w:color w:val="auto"/>
          <w:szCs w:val="24"/>
        </w:rPr>
        <w:t xml:space="preserve"> will administer the Water R</w:t>
      </w:r>
      <w:r w:rsidRPr="00F77EFA">
        <w:rPr>
          <w:color w:val="auto"/>
          <w:szCs w:val="24"/>
        </w:rPr>
        <w:t>egister alongside the Agricultu</w:t>
      </w:r>
      <w:r w:rsidR="00F77EFA">
        <w:rPr>
          <w:color w:val="auto"/>
          <w:szCs w:val="24"/>
        </w:rPr>
        <w:t>ral Land Register. From 1 July </w:t>
      </w:r>
      <w:r w:rsidRPr="00F77EFA">
        <w:rPr>
          <w:color w:val="auto"/>
          <w:szCs w:val="24"/>
        </w:rPr>
        <w:t>2017, foreign persons will be required to register information about their existing water holdings and subsequent acquisitions of water entitlements and rights</w:t>
      </w:r>
      <w:r w:rsidR="001145D8" w:rsidRPr="00F77EFA">
        <w:rPr>
          <w:color w:val="auto"/>
          <w:szCs w:val="24"/>
        </w:rPr>
        <w:t xml:space="preserve"> with the </w:t>
      </w:r>
      <w:proofErr w:type="spellStart"/>
      <w:r w:rsidR="001145D8" w:rsidRPr="00F77EFA">
        <w:rPr>
          <w:color w:val="auto"/>
          <w:szCs w:val="24"/>
        </w:rPr>
        <w:t>ATO</w:t>
      </w:r>
      <w:bookmarkStart w:id="21" w:name="OLE_LINK3"/>
      <w:bookmarkStart w:id="22" w:name="OLE_LINK4"/>
      <w:proofErr w:type="spellEnd"/>
      <w:r w:rsidR="002E3D88">
        <w:rPr>
          <w:color w:val="auto"/>
          <w:szCs w:val="24"/>
        </w:rPr>
        <w:t>.</w:t>
      </w:r>
    </w:p>
    <w:p w14:paraId="020DB1F9" w14:textId="62715EB8" w:rsidR="00294A97" w:rsidRDefault="0020758A" w:rsidP="00294A97">
      <w:pPr>
        <w:spacing w:after="0"/>
        <w:rPr>
          <w:color w:val="auto"/>
          <w:szCs w:val="24"/>
        </w:rPr>
      </w:pPr>
      <w:r>
        <w:rPr>
          <w:rFonts w:ascii="Times New Roman" w:eastAsiaTheme="minorHAnsi" w:hAnsi="Times New Roman"/>
          <w:noProof/>
          <w:color w:val="auto"/>
          <w:sz w:val="24"/>
          <w:szCs w:val="24"/>
        </w:rPr>
        <mc:AlternateContent>
          <mc:Choice Requires="wps">
            <w:drawing>
              <wp:anchor distT="0" distB="0" distL="114300" distR="114300" simplePos="0" relativeHeight="251658265" behindDoc="0" locked="0" layoutInCell="1" allowOverlap="1" wp14:anchorId="4C303A10" wp14:editId="3C67B23D">
                <wp:simplePos x="0" y="0"/>
                <wp:positionH relativeFrom="column">
                  <wp:posOffset>20320</wp:posOffset>
                </wp:positionH>
                <wp:positionV relativeFrom="paragraph">
                  <wp:posOffset>764540</wp:posOffset>
                </wp:positionV>
                <wp:extent cx="4857115" cy="5429250"/>
                <wp:effectExtent l="0" t="0" r="635" b="0"/>
                <wp:wrapTopAndBottom/>
                <wp:docPr id="4" name="Snip and Round Single Corner Rectangle 4"/>
                <wp:cNvGraphicFramePr/>
                <a:graphic xmlns:a="http://schemas.openxmlformats.org/drawingml/2006/main">
                  <a:graphicData uri="http://schemas.microsoft.com/office/word/2010/wordprocessingShape">
                    <wps:wsp>
                      <wps:cNvSpPr/>
                      <wps:spPr>
                        <a:xfrm>
                          <a:off x="0" y="0"/>
                          <a:ext cx="4857115" cy="5429250"/>
                        </a:xfrm>
                        <a:prstGeom prst="snipRoundRect">
                          <a:avLst>
                            <a:gd name="adj1" fmla="val 4290"/>
                            <a:gd name="adj2" fmla="val 16667"/>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05792" w14:textId="77777777" w:rsidR="00C263DE" w:rsidRPr="00D269D7" w:rsidRDefault="00C263DE" w:rsidP="00115593">
                            <w:pPr>
                              <w:pStyle w:val="BoxHeading"/>
                            </w:pPr>
                            <w:r>
                              <w:t>Agricultural Land Register</w:t>
                            </w:r>
                          </w:p>
                          <w:p w14:paraId="73EC6383" w14:textId="77777777" w:rsidR="00C263DE" w:rsidRPr="00D269D7" w:rsidRDefault="00C263DE" w:rsidP="00115593">
                            <w:pPr>
                              <w:pStyle w:val="BoxText"/>
                            </w:pPr>
                            <w:r w:rsidRPr="00D269D7">
                              <w:t>The Agricultural Land Register was introduced in 2015 to increase transparency around the level of foreign ownership of agricultural land. All foreign investors with an interest in agricultural land are required to register that interest, regardless of the value of the land, within 30</w:t>
                            </w:r>
                            <w:r>
                              <w:t xml:space="preserve"> days of a change of ownership.</w:t>
                            </w:r>
                          </w:p>
                          <w:p w14:paraId="4EB292DF" w14:textId="08BC47F2" w:rsidR="00C263DE" w:rsidRPr="00D269D7" w:rsidRDefault="00C263DE" w:rsidP="00115593">
                            <w:pPr>
                              <w:pStyle w:val="BoxText"/>
                            </w:pPr>
                            <w:r w:rsidRPr="00D269D7">
                              <w:t>T</w:t>
                            </w:r>
                            <w:r>
                              <w:t>reasury</w:t>
                            </w:r>
                            <w:r w:rsidRPr="00D269D7">
                              <w:t xml:space="preserve"> has been actively involved in the establishment and implementation, with the </w:t>
                            </w:r>
                            <w:proofErr w:type="spellStart"/>
                            <w:r w:rsidRPr="00D269D7">
                              <w:t>ATO</w:t>
                            </w:r>
                            <w:proofErr w:type="spellEnd"/>
                            <w:r w:rsidRPr="00D269D7">
                              <w:t xml:space="preserve"> administering the Register and receiving information d</w:t>
                            </w:r>
                            <w:r>
                              <w:t xml:space="preserve">irectly from foreign investors. Foreign persons who already owned agricultural land had until 29 February 2016 to register that interest with the </w:t>
                            </w:r>
                            <w:proofErr w:type="spellStart"/>
                            <w:r>
                              <w:t>ATO</w:t>
                            </w:r>
                            <w:proofErr w:type="spellEnd"/>
                            <w:r>
                              <w:t>.</w:t>
                            </w:r>
                          </w:p>
                          <w:p w14:paraId="33B95FA3" w14:textId="7D42C350" w:rsidR="00C263DE" w:rsidRPr="00D269D7" w:rsidRDefault="00C263DE" w:rsidP="00115593">
                            <w:pPr>
                              <w:pStyle w:val="BoxText"/>
                            </w:pPr>
                            <w:r w:rsidRPr="00D269D7">
                              <w:t xml:space="preserve">The first report from the Register was released on 7 September 2016 and includes aggregated data on the number of properties that are foreign owned, by land size, by state and territory, and by land use as at 30 June 2016. The report found that foreign investors </w:t>
                            </w:r>
                            <w:r>
                              <w:t>had an interest in</w:t>
                            </w:r>
                            <w:r w:rsidRPr="00D269D7">
                              <w:t xml:space="preserve"> 13.6 per cent of Australian agricultural land</w:t>
                            </w:r>
                            <w:r>
                              <w:t xml:space="preserve"> by area</w:t>
                            </w:r>
                            <w:r w:rsidRPr="00D269D7">
                              <w:t>. The top five source countries for foreign investment in Australian agricultural land at this date were:</w:t>
                            </w:r>
                          </w:p>
                          <w:p w14:paraId="6996B5E5" w14:textId="5217C573" w:rsidR="00C263DE" w:rsidRPr="00D269D7" w:rsidRDefault="00C263DE" w:rsidP="00971054">
                            <w:pPr>
                              <w:pStyle w:val="BoxBullet"/>
                              <w:ind w:left="284" w:hanging="284"/>
                            </w:pPr>
                            <w:r>
                              <w:t>UK — 27.5 million ha (52.7 per cent</w:t>
                            </w:r>
                            <w:r w:rsidRPr="00D269D7">
                              <w:t xml:space="preserve"> of foreign</w:t>
                            </w:r>
                            <w:r>
                              <w:noBreakHyphen/>
                              <w:t>owned agricultural land, or 7.2 per cent</w:t>
                            </w:r>
                            <w:r w:rsidRPr="00D269D7">
                              <w:t xml:space="preserve"> of total agricultural land)</w:t>
                            </w:r>
                          </w:p>
                          <w:p w14:paraId="55CD0F8C" w14:textId="231C818E" w:rsidR="00C263DE" w:rsidRPr="00D269D7" w:rsidRDefault="00C263DE" w:rsidP="00971054">
                            <w:pPr>
                              <w:pStyle w:val="BoxBullet"/>
                              <w:ind w:left="284" w:hanging="284"/>
                            </w:pPr>
                            <w:r>
                              <w:t>USA — 7.7 million ha (14.8 per cent of foreign</w:t>
                            </w:r>
                            <w:r>
                              <w:noBreakHyphen/>
                              <w:t>owned agricultural land or 2 per cent</w:t>
                            </w:r>
                            <w:r w:rsidRPr="00D269D7">
                              <w:t xml:space="preserve"> of total agricultural land)</w:t>
                            </w:r>
                          </w:p>
                          <w:p w14:paraId="36DA4347" w14:textId="0B7F062C" w:rsidR="00C263DE" w:rsidRPr="00D269D7" w:rsidRDefault="00C263DE" w:rsidP="00971054">
                            <w:pPr>
                              <w:pStyle w:val="BoxBullet"/>
                              <w:ind w:left="284" w:hanging="284"/>
                            </w:pPr>
                            <w:r w:rsidRPr="00115593">
                              <w:t>Netherlands</w:t>
                            </w:r>
                            <w:r>
                              <w:t xml:space="preserve"> — 3.0 million ha (5.7 per cent of foreign</w:t>
                            </w:r>
                            <w:r>
                              <w:noBreakHyphen/>
                              <w:t>owned agricultural land or 0.8 per cent</w:t>
                            </w:r>
                            <w:r w:rsidRPr="00D269D7">
                              <w:t xml:space="preserve"> of total agricultural land)</w:t>
                            </w:r>
                          </w:p>
                          <w:p w14:paraId="6E53D754" w14:textId="2DEA2AF7" w:rsidR="00C263DE" w:rsidRPr="00D269D7" w:rsidRDefault="00C263DE" w:rsidP="00971054">
                            <w:pPr>
                              <w:pStyle w:val="BoxBullet"/>
                              <w:ind w:left="284" w:hanging="284"/>
                            </w:pPr>
                            <w:r>
                              <w:t>Singapore — 1.9 million ha (3.6 per cent of foreign</w:t>
                            </w:r>
                            <w:r>
                              <w:noBreakHyphen/>
                              <w:t>owned agricultural land or 0.5 per cent</w:t>
                            </w:r>
                            <w:r w:rsidRPr="00D269D7">
                              <w:t xml:space="preserve"> of total agricultural land</w:t>
                            </w:r>
                            <w:r>
                              <w:t>)</w:t>
                            </w:r>
                          </w:p>
                          <w:p w14:paraId="217897DF" w14:textId="3248CCEB" w:rsidR="00C263DE" w:rsidRPr="00D269D7" w:rsidRDefault="00C263DE" w:rsidP="00971054">
                            <w:pPr>
                              <w:pStyle w:val="BoxBullet"/>
                              <w:ind w:left="284" w:hanging="284"/>
                            </w:pPr>
                            <w:r>
                              <w:t>China — 1.5 million ha (2.8 per cent of foreign</w:t>
                            </w:r>
                            <w:r>
                              <w:noBreakHyphen/>
                              <w:t>owned agricultural land or 0.4 per cent</w:t>
                            </w:r>
                            <w:r w:rsidRPr="00D269D7">
                              <w:t xml:space="preserve"> of total agricultural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nip and Round Single Corner Rectangle 4" o:spid="_x0000_s1027" style="position:absolute;left:0;text-align:left;margin-left:1.6pt;margin-top:60.2pt;width:382.45pt;height:42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857115,542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" adj="-11796480,,5400" path="m208370,l4047580,r809535,809535l4857115,5429250,,5429250,,208370c,93290,93290,,208370,xe" fillcolor="#1f497d" stroked="f" strokeweight="2pt">
                <v:stroke joinstyle="miter"/>
                <v:formulas/>
                <v:path arrowok="t" o:connecttype="custom" o:connectlocs="208370,0;4047580,0;4857115,809535;4857115,5429250;0,5429250;0,208370;208370,0" o:connectangles="0,0,0,0,0,0,0" textboxrect="0,0,4857115,5429250"/>
                <v:textbox>
                  <w:txbxContent>
                    <w:p w14:paraId="3EC05792" w14:textId="77777777" w:rsidR="00C263DE" w:rsidRPr="00D269D7" w:rsidRDefault="00C263DE" w:rsidP="00115593">
                      <w:pPr>
                        <w:pStyle w:val="BoxHeading"/>
                      </w:pPr>
                      <w:r>
                        <w:t>Agricultural Land Register</w:t>
                      </w:r>
                    </w:p>
                    <w:p w14:paraId="73EC6383" w14:textId="77777777" w:rsidR="00C263DE" w:rsidRPr="00D269D7" w:rsidRDefault="00C263DE" w:rsidP="00115593">
                      <w:pPr>
                        <w:pStyle w:val="BoxText"/>
                      </w:pPr>
                      <w:r w:rsidRPr="00D269D7">
                        <w:t>The Agricultural Land Register was introduced in 2015 to increase transparency around the level of foreign ownership of agricultural land. All foreign investors with an interest in agricultural land are required to register that interest, regardless of the value of the land, within 30</w:t>
                      </w:r>
                      <w:r>
                        <w:t xml:space="preserve"> days of a change of ownership.</w:t>
                      </w:r>
                    </w:p>
                    <w:p w14:paraId="4EB292DF" w14:textId="08BC47F2" w:rsidR="00C263DE" w:rsidRPr="00D269D7" w:rsidRDefault="00C263DE" w:rsidP="00115593">
                      <w:pPr>
                        <w:pStyle w:val="BoxText"/>
                      </w:pPr>
                      <w:r w:rsidRPr="00D269D7">
                        <w:t>T</w:t>
                      </w:r>
                      <w:r>
                        <w:t>reasury</w:t>
                      </w:r>
                      <w:r w:rsidRPr="00D269D7">
                        <w:t xml:space="preserve"> has been actively involved in the establishment and implementation, with the </w:t>
                      </w:r>
                      <w:proofErr w:type="spellStart"/>
                      <w:r w:rsidRPr="00D269D7">
                        <w:t>ATO</w:t>
                      </w:r>
                      <w:proofErr w:type="spellEnd"/>
                      <w:r w:rsidRPr="00D269D7">
                        <w:t xml:space="preserve"> administering the Register and receiving information d</w:t>
                      </w:r>
                      <w:r>
                        <w:t xml:space="preserve">irectly from foreign investors. Foreign persons who already owned agricultural land had until 29 February 2016 to register that interest with the </w:t>
                      </w:r>
                      <w:proofErr w:type="spellStart"/>
                      <w:r>
                        <w:t>ATO</w:t>
                      </w:r>
                      <w:proofErr w:type="spellEnd"/>
                      <w:r>
                        <w:t>.</w:t>
                      </w:r>
                    </w:p>
                    <w:p w14:paraId="33B95FA3" w14:textId="7D42C350" w:rsidR="00C263DE" w:rsidRPr="00D269D7" w:rsidRDefault="00C263DE" w:rsidP="00115593">
                      <w:pPr>
                        <w:pStyle w:val="BoxText"/>
                      </w:pPr>
                      <w:r w:rsidRPr="00D269D7">
                        <w:t xml:space="preserve">The first report from the Register was released on 7 September 2016 and includes aggregated data on the number of properties that are foreign owned, by land size, by state and territory, and by land use as at 30 June 2016. The report found that foreign investors </w:t>
                      </w:r>
                      <w:r>
                        <w:t>had an interest in</w:t>
                      </w:r>
                      <w:r w:rsidRPr="00D269D7">
                        <w:t xml:space="preserve"> 13.6 per cent of Australian agricultural land</w:t>
                      </w:r>
                      <w:r>
                        <w:t xml:space="preserve"> by area</w:t>
                      </w:r>
                      <w:r w:rsidRPr="00D269D7">
                        <w:t>. The top five source countries for foreign investment in Australian agricultural land at this date were:</w:t>
                      </w:r>
                    </w:p>
                    <w:p w14:paraId="6996B5E5" w14:textId="5217C573" w:rsidR="00C263DE" w:rsidRPr="00D269D7" w:rsidRDefault="00C263DE" w:rsidP="00971054">
                      <w:pPr>
                        <w:pStyle w:val="BoxBullet"/>
                        <w:ind w:left="284" w:hanging="284"/>
                      </w:pPr>
                      <w:r>
                        <w:t>UK — 27.5 million ha (52.7 per cent</w:t>
                      </w:r>
                      <w:r w:rsidRPr="00D269D7">
                        <w:t xml:space="preserve"> of foreign</w:t>
                      </w:r>
                      <w:r>
                        <w:noBreakHyphen/>
                        <w:t>owned agricultural land, or 7.2 per cent</w:t>
                      </w:r>
                      <w:r w:rsidRPr="00D269D7">
                        <w:t xml:space="preserve"> of total agricultural land)</w:t>
                      </w:r>
                    </w:p>
                    <w:p w14:paraId="55CD0F8C" w14:textId="231C818E" w:rsidR="00C263DE" w:rsidRPr="00D269D7" w:rsidRDefault="00C263DE" w:rsidP="00971054">
                      <w:pPr>
                        <w:pStyle w:val="BoxBullet"/>
                        <w:ind w:left="284" w:hanging="284"/>
                      </w:pPr>
                      <w:r>
                        <w:t>USA — 7.7 million ha (14.8 per cent of foreign</w:t>
                      </w:r>
                      <w:r>
                        <w:noBreakHyphen/>
                        <w:t>owned agricultural land or 2 per cent</w:t>
                      </w:r>
                      <w:r w:rsidRPr="00D269D7">
                        <w:t xml:space="preserve"> of total agricultural land)</w:t>
                      </w:r>
                    </w:p>
                    <w:p w14:paraId="36DA4347" w14:textId="0B7F062C" w:rsidR="00C263DE" w:rsidRPr="00D269D7" w:rsidRDefault="00C263DE" w:rsidP="00971054">
                      <w:pPr>
                        <w:pStyle w:val="BoxBullet"/>
                        <w:ind w:left="284" w:hanging="284"/>
                      </w:pPr>
                      <w:r w:rsidRPr="00115593">
                        <w:t>Netherlands</w:t>
                      </w:r>
                      <w:r>
                        <w:t xml:space="preserve"> — 3.0 million ha (5.7 per cent of foreign</w:t>
                      </w:r>
                      <w:r>
                        <w:noBreakHyphen/>
                        <w:t>owned agricultural land or 0.8 per cent</w:t>
                      </w:r>
                      <w:r w:rsidRPr="00D269D7">
                        <w:t xml:space="preserve"> of total agricultural land)</w:t>
                      </w:r>
                    </w:p>
                    <w:p w14:paraId="6E53D754" w14:textId="2DEA2AF7" w:rsidR="00C263DE" w:rsidRPr="00D269D7" w:rsidRDefault="00C263DE" w:rsidP="00971054">
                      <w:pPr>
                        <w:pStyle w:val="BoxBullet"/>
                        <w:ind w:left="284" w:hanging="284"/>
                      </w:pPr>
                      <w:r>
                        <w:t>Singapore — 1.9 million ha (3.6 per cent of foreign</w:t>
                      </w:r>
                      <w:r>
                        <w:noBreakHyphen/>
                        <w:t>owned agricultural land or 0.5 per cent</w:t>
                      </w:r>
                      <w:r w:rsidRPr="00D269D7">
                        <w:t xml:space="preserve"> of total agricultural land</w:t>
                      </w:r>
                      <w:r>
                        <w:t>)</w:t>
                      </w:r>
                    </w:p>
                    <w:p w14:paraId="217897DF" w14:textId="3248CCEB" w:rsidR="00C263DE" w:rsidRPr="00D269D7" w:rsidRDefault="00C263DE" w:rsidP="00971054">
                      <w:pPr>
                        <w:pStyle w:val="BoxBullet"/>
                        <w:ind w:left="284" w:hanging="284"/>
                      </w:pPr>
                      <w:r>
                        <w:t>China — 1.5 million ha (2.8 per cent of foreign</w:t>
                      </w:r>
                      <w:r>
                        <w:noBreakHyphen/>
                        <w:t>owned agricultural land or 0.4 per cent</w:t>
                      </w:r>
                      <w:r w:rsidRPr="00D269D7">
                        <w:t xml:space="preserve"> of total agricultural land)</w:t>
                      </w:r>
                    </w:p>
                  </w:txbxContent>
                </v:textbox>
                <w10:wrap type="topAndBottom"/>
              </v:shape>
            </w:pict>
          </mc:Fallback>
        </mc:AlternateContent>
      </w:r>
      <w:r w:rsidR="00706C3D" w:rsidRPr="00F77EFA">
        <w:rPr>
          <w:color w:val="auto"/>
          <w:szCs w:val="24"/>
        </w:rPr>
        <w:t xml:space="preserve">The </w:t>
      </w:r>
      <w:r w:rsidR="00D00D3B">
        <w:rPr>
          <w:color w:val="auto"/>
          <w:szCs w:val="24"/>
        </w:rPr>
        <w:t>Australian Government</w:t>
      </w:r>
      <w:r w:rsidR="00706C3D" w:rsidRPr="00F77EFA">
        <w:rPr>
          <w:color w:val="auto"/>
          <w:szCs w:val="24"/>
        </w:rPr>
        <w:t xml:space="preserve"> </w:t>
      </w:r>
      <w:r w:rsidR="00F06F21" w:rsidRPr="00F77EFA">
        <w:rPr>
          <w:color w:val="auto"/>
          <w:szCs w:val="24"/>
        </w:rPr>
        <w:t xml:space="preserve">is also providing funding to the states and </w:t>
      </w:r>
      <w:r w:rsidR="00D00D3B">
        <w:rPr>
          <w:color w:val="auto"/>
          <w:szCs w:val="24"/>
        </w:rPr>
        <w:t xml:space="preserve">the </w:t>
      </w:r>
      <w:r w:rsidR="00F06F21" w:rsidRPr="00F77EFA">
        <w:rPr>
          <w:color w:val="auto"/>
          <w:szCs w:val="24"/>
        </w:rPr>
        <w:t xml:space="preserve">ACT under a National Partnership Agreement to </w:t>
      </w:r>
      <w:r w:rsidR="00644BDA">
        <w:rPr>
          <w:color w:val="auto"/>
          <w:szCs w:val="24"/>
        </w:rPr>
        <w:t>enable them to undertake system</w:t>
      </w:r>
      <w:r w:rsidR="00F06F21" w:rsidRPr="00F77EFA">
        <w:rPr>
          <w:color w:val="auto"/>
          <w:szCs w:val="24"/>
        </w:rPr>
        <w:t xml:space="preserve"> changes to transfer the data on sales and transfers of real property involving foreign persons to the </w:t>
      </w:r>
      <w:proofErr w:type="spellStart"/>
      <w:r w:rsidR="00F06F21" w:rsidRPr="00F77EFA">
        <w:rPr>
          <w:color w:val="auto"/>
          <w:szCs w:val="24"/>
        </w:rPr>
        <w:t>ATO</w:t>
      </w:r>
      <w:proofErr w:type="spellEnd"/>
      <w:r w:rsidR="005142C7">
        <w:rPr>
          <w:color w:val="auto"/>
          <w:szCs w:val="24"/>
        </w:rPr>
        <w:t xml:space="preserve"> in order to establish a National Register of Forei</w:t>
      </w:r>
      <w:r w:rsidR="00020238">
        <w:rPr>
          <w:color w:val="auto"/>
          <w:szCs w:val="24"/>
        </w:rPr>
        <w:t>g</w:t>
      </w:r>
      <w:r w:rsidR="005142C7">
        <w:rPr>
          <w:color w:val="auto"/>
          <w:szCs w:val="24"/>
        </w:rPr>
        <w:t xml:space="preserve">n Ownership of Land Titles. </w:t>
      </w:r>
      <w:r w:rsidR="00294A97">
        <w:rPr>
          <w:color w:val="auto"/>
          <w:szCs w:val="24"/>
        </w:rPr>
        <w:br w:type="page"/>
      </w:r>
    </w:p>
    <w:p w14:paraId="2A4EF7CE" w14:textId="5F6440DB" w:rsidR="00BB6196" w:rsidRPr="00F77EFA" w:rsidRDefault="00E30512" w:rsidP="00E30512">
      <w:pPr>
        <w:pStyle w:val="Heading2noTOC"/>
      </w:pPr>
      <w:r>
        <w:lastRenderedPageBreak/>
        <w:t>Critical infrastructure c</w:t>
      </w:r>
      <w:r w:rsidR="00BB6196">
        <w:t>hanges</w:t>
      </w:r>
    </w:p>
    <w:p w14:paraId="2BAFC2C0" w14:textId="36895BE5" w:rsidR="00FE68D6" w:rsidRDefault="00FE68D6" w:rsidP="00FE68D6">
      <w:pPr>
        <w:rPr>
          <w:color w:val="auto"/>
          <w:szCs w:val="24"/>
        </w:rPr>
      </w:pPr>
      <w:r w:rsidRPr="00BB6196">
        <w:rPr>
          <w:color w:val="auto"/>
          <w:szCs w:val="24"/>
        </w:rPr>
        <w:t xml:space="preserve">The </w:t>
      </w:r>
      <w:r w:rsidRPr="00BB6196">
        <w:rPr>
          <w:i/>
          <w:color w:val="auto"/>
          <w:szCs w:val="24"/>
        </w:rPr>
        <w:t>Foreign Acquisitions and Takeovers Regulation 2015</w:t>
      </w:r>
      <w:r w:rsidRPr="00BB6196">
        <w:rPr>
          <w:color w:val="auto"/>
          <w:szCs w:val="24"/>
        </w:rPr>
        <w:t xml:space="preserve"> </w:t>
      </w:r>
      <w:r w:rsidR="00BB6196">
        <w:rPr>
          <w:color w:val="auto"/>
          <w:szCs w:val="24"/>
        </w:rPr>
        <w:t>w</w:t>
      </w:r>
      <w:r w:rsidR="00F91E7C">
        <w:rPr>
          <w:color w:val="auto"/>
          <w:szCs w:val="24"/>
        </w:rPr>
        <w:t>as</w:t>
      </w:r>
      <w:r w:rsidR="00BB6196">
        <w:rPr>
          <w:color w:val="auto"/>
          <w:szCs w:val="24"/>
        </w:rPr>
        <w:t xml:space="preserve"> amended in 2016 to remove the </w:t>
      </w:r>
      <w:r w:rsidRPr="00BB6196">
        <w:rPr>
          <w:color w:val="auto"/>
          <w:szCs w:val="24"/>
        </w:rPr>
        <w:t>exemption for private foreign investors acquiring an interest in critical infrastructure assets purchased directly from s</w:t>
      </w:r>
      <w:r w:rsidR="00B2325B">
        <w:rPr>
          <w:color w:val="auto"/>
          <w:szCs w:val="24"/>
        </w:rPr>
        <w:t>tate and territory governments.</w:t>
      </w:r>
    </w:p>
    <w:p w14:paraId="551678F8" w14:textId="4E97316A" w:rsidR="00BB6196" w:rsidRDefault="00BB6196" w:rsidP="00FE68D6">
      <w:pPr>
        <w:rPr>
          <w:color w:val="auto"/>
          <w:szCs w:val="24"/>
        </w:rPr>
      </w:pPr>
      <w:r>
        <w:rPr>
          <w:color w:val="auto"/>
          <w:szCs w:val="24"/>
        </w:rPr>
        <w:t xml:space="preserve">From 31 March 2016, foreign investment approval has been required for critical infrastructure assets </w:t>
      </w:r>
      <w:r w:rsidR="00E31F05">
        <w:rPr>
          <w:color w:val="auto"/>
          <w:szCs w:val="24"/>
        </w:rPr>
        <w:t>for sale</w:t>
      </w:r>
      <w:r>
        <w:rPr>
          <w:color w:val="auto"/>
          <w:szCs w:val="24"/>
        </w:rPr>
        <w:t xml:space="preserve"> by state and territory governments to both private and foreig</w:t>
      </w:r>
      <w:r w:rsidR="00970702">
        <w:rPr>
          <w:color w:val="auto"/>
          <w:szCs w:val="24"/>
        </w:rPr>
        <w:t>n government investors.</w:t>
      </w:r>
    </w:p>
    <w:p w14:paraId="56B4258B" w14:textId="5CA5AB1F" w:rsidR="00B76FDB" w:rsidRDefault="00BB6196" w:rsidP="00FE68D6">
      <w:pPr>
        <w:rPr>
          <w:color w:val="auto"/>
          <w:szCs w:val="24"/>
        </w:rPr>
      </w:pPr>
      <w:r w:rsidRPr="00BB6196">
        <w:rPr>
          <w:color w:val="auto"/>
          <w:szCs w:val="24"/>
        </w:rPr>
        <w:t xml:space="preserve">Critical infrastructure </w:t>
      </w:r>
      <w:r>
        <w:rPr>
          <w:color w:val="auto"/>
          <w:szCs w:val="24"/>
        </w:rPr>
        <w:t>includes</w:t>
      </w:r>
      <w:r w:rsidRPr="00BB6196">
        <w:rPr>
          <w:color w:val="auto"/>
          <w:szCs w:val="24"/>
        </w:rPr>
        <w:t xml:space="preserve"> public infrastructure (an airport or airport site; a port; infrastructure for public transport; electricity, gas, water and sewerage systems); existing and proposed roads, railways, inter</w:t>
      </w:r>
      <w:r w:rsidR="008205A1">
        <w:rPr>
          <w:color w:val="auto"/>
          <w:szCs w:val="24"/>
        </w:rPr>
        <w:noBreakHyphen/>
      </w:r>
      <w:r w:rsidRPr="00BB6196">
        <w:rPr>
          <w:color w:val="auto"/>
          <w:szCs w:val="24"/>
        </w:rPr>
        <w:t>modal transfer facilities that are part of the National Land Transport Network or are desig</w:t>
      </w:r>
      <w:r>
        <w:rPr>
          <w:color w:val="auto"/>
          <w:szCs w:val="24"/>
        </w:rPr>
        <w:t>nated by a state or t</w:t>
      </w:r>
      <w:r w:rsidRPr="00BB6196">
        <w:rPr>
          <w:color w:val="auto"/>
          <w:szCs w:val="24"/>
        </w:rPr>
        <w:t>erritory government as si</w:t>
      </w:r>
      <w:r>
        <w:rPr>
          <w:color w:val="auto"/>
          <w:szCs w:val="24"/>
        </w:rPr>
        <w:t>gnificant or controlled by the g</w:t>
      </w:r>
      <w:r w:rsidRPr="00BB6196">
        <w:rPr>
          <w:color w:val="auto"/>
          <w:szCs w:val="24"/>
        </w:rPr>
        <w:t>overnment; telecommunications infrastructure; and nuclear facilities.</w:t>
      </w:r>
      <w:r w:rsidR="00B76FDB" w:rsidRPr="00B76FDB">
        <w:rPr>
          <w:color w:val="auto"/>
          <w:szCs w:val="24"/>
        </w:rPr>
        <w:t xml:space="preserve"> </w:t>
      </w:r>
    </w:p>
    <w:p w14:paraId="62428303" w14:textId="10E796DE" w:rsidR="00B76FDB" w:rsidRDefault="00B76FDB" w:rsidP="00FE68D6">
      <w:pPr>
        <w:rPr>
          <w:color w:val="auto"/>
          <w:szCs w:val="24"/>
        </w:rPr>
      </w:pPr>
      <w:r>
        <w:rPr>
          <w:color w:val="auto"/>
          <w:szCs w:val="24"/>
        </w:rPr>
        <w:t>The 2015</w:t>
      </w:r>
      <w:r w:rsidR="008205A1">
        <w:rPr>
          <w:color w:val="auto"/>
          <w:szCs w:val="24"/>
        </w:rPr>
        <w:noBreakHyphen/>
      </w:r>
      <w:r>
        <w:rPr>
          <w:color w:val="auto"/>
          <w:szCs w:val="24"/>
        </w:rPr>
        <w:t xml:space="preserve">16 period saw an increasing number of state and territory asset privatisations. The </w:t>
      </w:r>
      <w:r w:rsidR="00CC7B03">
        <w:rPr>
          <w:color w:val="auto"/>
          <w:szCs w:val="24"/>
        </w:rPr>
        <w:t xml:space="preserve">Board and </w:t>
      </w:r>
      <w:proofErr w:type="spellStart"/>
      <w:r w:rsidR="00CC7B03">
        <w:rPr>
          <w:color w:val="auto"/>
          <w:szCs w:val="24"/>
        </w:rPr>
        <w:t>FIRB</w:t>
      </w:r>
      <w:proofErr w:type="spellEnd"/>
      <w:r w:rsidR="00CC7B03">
        <w:rPr>
          <w:color w:val="auto"/>
          <w:szCs w:val="24"/>
        </w:rPr>
        <w:t xml:space="preserve"> Secretariat</w:t>
      </w:r>
      <w:r>
        <w:rPr>
          <w:color w:val="auto"/>
          <w:szCs w:val="24"/>
        </w:rPr>
        <w:t xml:space="preserve"> pro</w:t>
      </w:r>
      <w:r w:rsidR="008205A1">
        <w:rPr>
          <w:color w:val="auto"/>
          <w:szCs w:val="24"/>
        </w:rPr>
        <w:noBreakHyphen/>
      </w:r>
      <w:r>
        <w:rPr>
          <w:color w:val="auto"/>
          <w:szCs w:val="24"/>
        </w:rPr>
        <w:t xml:space="preserve">actively engaged with state and territory governments through this period as well as potential bidders and advisers. </w:t>
      </w:r>
    </w:p>
    <w:p w14:paraId="4C31074B" w14:textId="77777777" w:rsidR="00A17F2F" w:rsidRPr="00A17F2F" w:rsidRDefault="00A17F2F" w:rsidP="00A17F2F">
      <w:pPr>
        <w:rPr>
          <w:color w:val="auto"/>
          <w:szCs w:val="24"/>
        </w:rPr>
      </w:pPr>
      <w:r w:rsidRPr="00A17F2F">
        <w:rPr>
          <w:color w:val="auto"/>
          <w:szCs w:val="24"/>
        </w:rPr>
        <w:t>The increasing importance of such cases saw further policy development in relation to managing the national security risks around assets in critical sectors.</w:t>
      </w:r>
    </w:p>
    <w:p w14:paraId="04BC27DF" w14:textId="412C7572" w:rsidR="00FE6FC3" w:rsidRPr="00FE6FC3" w:rsidRDefault="00FE6FC3" w:rsidP="00FE6FC3">
      <w:pPr>
        <w:rPr>
          <w:color w:val="auto"/>
          <w:szCs w:val="24"/>
        </w:rPr>
      </w:pPr>
      <w:r w:rsidRPr="00FE6FC3">
        <w:rPr>
          <w:color w:val="auto"/>
          <w:szCs w:val="24"/>
        </w:rPr>
        <w:t>On 23 January 2017</w:t>
      </w:r>
      <w:r w:rsidR="00CC7B03">
        <w:rPr>
          <w:color w:val="auto"/>
          <w:szCs w:val="24"/>
        </w:rPr>
        <w:t>,</w:t>
      </w:r>
      <w:r w:rsidRPr="00FE6FC3">
        <w:rPr>
          <w:color w:val="auto"/>
          <w:szCs w:val="24"/>
        </w:rPr>
        <w:t xml:space="preserve"> the Treasurer and Attorney</w:t>
      </w:r>
      <w:r w:rsidR="008205A1">
        <w:rPr>
          <w:color w:val="auto"/>
          <w:szCs w:val="24"/>
        </w:rPr>
        <w:noBreakHyphen/>
      </w:r>
      <w:r w:rsidRPr="00FE6FC3">
        <w:rPr>
          <w:color w:val="auto"/>
          <w:szCs w:val="24"/>
        </w:rPr>
        <w:t>General launched a dedicated Critical Infrastructure Centre to manage the complex and evolving national security risks to Australia</w:t>
      </w:r>
      <w:r w:rsidR="008205A1">
        <w:rPr>
          <w:color w:val="auto"/>
          <w:szCs w:val="24"/>
        </w:rPr>
        <w:t>’</w:t>
      </w:r>
      <w:r w:rsidRPr="00FE6FC3">
        <w:rPr>
          <w:color w:val="auto"/>
          <w:szCs w:val="24"/>
        </w:rPr>
        <w:t>s critical infrastructure.</w:t>
      </w:r>
    </w:p>
    <w:p w14:paraId="67033267" w14:textId="77777777" w:rsidR="0020758A" w:rsidRDefault="0020758A">
      <w:pPr>
        <w:spacing w:after="200" w:line="276" w:lineRule="auto"/>
        <w:jc w:val="left"/>
        <w:rPr>
          <w:color w:val="auto"/>
          <w:szCs w:val="24"/>
        </w:rPr>
        <w:sectPr w:rsidR="0020758A" w:rsidSect="00074C52">
          <w:headerReference w:type="default" r:id="rId45"/>
          <w:headerReference w:type="first" r:id="rId46"/>
          <w:footerReference w:type="first" r:id="rId47"/>
          <w:type w:val="oddPage"/>
          <w:pgSz w:w="11907" w:h="16840" w:code="9"/>
          <w:pgMar w:top="2466" w:right="2098" w:bottom="2466" w:left="2098" w:header="1899" w:footer="1899" w:gutter="0"/>
          <w:pgNumType w:start="1"/>
          <w:cols w:space="720"/>
          <w:titlePg/>
          <w:docGrid w:linePitch="360"/>
        </w:sectPr>
      </w:pPr>
    </w:p>
    <w:p w14:paraId="12F5DAF3" w14:textId="1AF561EA" w:rsidR="005C4036" w:rsidRDefault="00E30512">
      <w:pPr>
        <w:spacing w:after="200" w:line="276" w:lineRule="auto"/>
        <w:jc w:val="left"/>
        <w:rPr>
          <w:color w:val="auto"/>
          <w:szCs w:val="24"/>
        </w:rPr>
      </w:pPr>
      <w:r>
        <w:rPr>
          <w:noProof/>
        </w:rPr>
        <w:lastRenderedPageBreak/>
        <w:drawing>
          <wp:anchor distT="0" distB="0" distL="114300" distR="114300" simplePos="0" relativeHeight="251658254" behindDoc="0" locked="0" layoutInCell="1" allowOverlap="1" wp14:anchorId="6F560D59" wp14:editId="52BA047B">
            <wp:simplePos x="0" y="0"/>
            <wp:positionH relativeFrom="column">
              <wp:posOffset>-4445</wp:posOffset>
            </wp:positionH>
            <wp:positionV relativeFrom="paragraph">
              <wp:posOffset>-15875</wp:posOffset>
            </wp:positionV>
            <wp:extent cx="4896485" cy="2863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96485" cy="2863850"/>
                    </a:xfrm>
                    <a:prstGeom prst="rect">
                      <a:avLst/>
                    </a:prstGeom>
                  </pic:spPr>
                </pic:pic>
              </a:graphicData>
            </a:graphic>
            <wp14:sizeRelH relativeFrom="page">
              <wp14:pctWidth>0</wp14:pctWidth>
            </wp14:sizeRelH>
            <wp14:sizeRelV relativeFrom="page">
              <wp14:pctHeight>0</wp14:pctHeight>
            </wp14:sizeRelV>
          </wp:anchor>
        </w:drawing>
      </w:r>
    </w:p>
    <w:p w14:paraId="301C3F94" w14:textId="26906684" w:rsidR="00FE4F85" w:rsidRPr="00E30512" w:rsidRDefault="00E30512" w:rsidP="00FE4F85">
      <w:pPr>
        <w:pStyle w:val="Heading1"/>
      </w:pPr>
      <w:bookmarkStart w:id="23" w:name="_Toc476737074"/>
      <w:bookmarkEnd w:id="21"/>
      <w:bookmarkEnd w:id="22"/>
      <w:r w:rsidRPr="00E30512">
        <w:t xml:space="preserve">Chapter 2: </w:t>
      </w:r>
      <w:r w:rsidR="00FE4F85" w:rsidRPr="00E30512">
        <w:t>Foreign Investment Trends</w:t>
      </w:r>
      <w:bookmarkEnd w:id="23"/>
    </w:p>
    <w:p w14:paraId="4B30CC2D" w14:textId="2D4FF4D1" w:rsidR="005C4036" w:rsidRDefault="005C4036" w:rsidP="00FE4F85"/>
    <w:p w14:paraId="029CC6ED" w14:textId="0C3CFE53" w:rsidR="00F30527" w:rsidRPr="00CB647D" w:rsidRDefault="00F30527" w:rsidP="00F30527">
      <w:pPr>
        <w:spacing w:after="200" w:line="276" w:lineRule="auto"/>
        <w:jc w:val="left"/>
      </w:pPr>
    </w:p>
    <w:p w14:paraId="53882CEA" w14:textId="77777777" w:rsidR="00F30527" w:rsidRDefault="00F30527" w:rsidP="00FE4F85"/>
    <w:p w14:paraId="2A2FFD67" w14:textId="6AB7F643" w:rsidR="00F30527" w:rsidRDefault="00F30527" w:rsidP="00FE4F85"/>
    <w:p w14:paraId="0E193495" w14:textId="77777777" w:rsidR="00F30527" w:rsidRDefault="00F30527" w:rsidP="00FE4F85"/>
    <w:p w14:paraId="7802FBA3" w14:textId="77777777" w:rsidR="00F30527" w:rsidRDefault="00F30527" w:rsidP="00FE4F85"/>
    <w:p w14:paraId="257C8F4F" w14:textId="077BACE7" w:rsidR="00F30527" w:rsidRDefault="00F30527" w:rsidP="00FE4F85"/>
    <w:p w14:paraId="36927D2D" w14:textId="177BD2A9" w:rsidR="00F30527" w:rsidRDefault="00F30527" w:rsidP="00FE4F85"/>
    <w:p w14:paraId="2CD8F905" w14:textId="77777777" w:rsidR="00F30527" w:rsidRDefault="00F30527" w:rsidP="00FE4F85"/>
    <w:p w14:paraId="1AD60E35" w14:textId="77777777" w:rsidR="00F30527" w:rsidRDefault="00F30527" w:rsidP="00FE4F85"/>
    <w:p w14:paraId="20EBD57B" w14:textId="77777777" w:rsidR="00F30527" w:rsidRDefault="00F30527" w:rsidP="00FE4F85"/>
    <w:p w14:paraId="44E72EC3" w14:textId="2D7E9CEF" w:rsidR="00445F0E" w:rsidRPr="0006353D" w:rsidRDefault="00150338" w:rsidP="00115593">
      <w:pPr>
        <w:pStyle w:val="Heading2"/>
      </w:pPr>
      <w:bookmarkStart w:id="24" w:name="_Toc476737075"/>
      <w:r>
        <w:t>Foreign investment</w:t>
      </w:r>
      <w:r w:rsidR="008205A1">
        <w:t xml:space="preserve"> — </w:t>
      </w:r>
      <w:r>
        <w:t xml:space="preserve">the Australian </w:t>
      </w:r>
      <w:r w:rsidR="00AF4003">
        <w:t>perspective</w:t>
      </w:r>
      <w:bookmarkEnd w:id="24"/>
    </w:p>
    <w:p w14:paraId="143FE7A1" w14:textId="4FF9BE5C" w:rsidR="00150338" w:rsidRDefault="00150338" w:rsidP="00150338">
      <w:pPr>
        <w:rPr>
          <w:color w:val="auto"/>
        </w:rPr>
      </w:pPr>
      <w:r w:rsidRPr="005E712D">
        <w:rPr>
          <w:color w:val="auto"/>
        </w:rPr>
        <w:t>Australia has traditionally relied on inward foreign investment to meet the shortfall between domestic saving and domestic investment.</w:t>
      </w:r>
    </w:p>
    <w:p w14:paraId="586594DF" w14:textId="6837F68C" w:rsidR="00150338" w:rsidRPr="00150338" w:rsidRDefault="00150338" w:rsidP="00150338">
      <w:pPr>
        <w:rPr>
          <w:color w:val="auto"/>
        </w:rPr>
      </w:pPr>
      <w:r w:rsidRPr="00150338">
        <w:rPr>
          <w:color w:val="auto"/>
        </w:rPr>
        <w:t xml:space="preserve">Foreign investment plays an important and beneficial role in the Australian economy because it helps drive economic growth, creates skilled jobs, improves access to overseas markets and enhances productivity. </w:t>
      </w:r>
    </w:p>
    <w:p w14:paraId="4C0D25B3" w14:textId="7A3FDFEB" w:rsidR="00150338" w:rsidRDefault="00150338" w:rsidP="00150338">
      <w:pPr>
        <w:rPr>
          <w:color w:val="auto"/>
        </w:rPr>
      </w:pPr>
      <w:r>
        <w:rPr>
          <w:color w:val="auto"/>
        </w:rPr>
        <w:t xml:space="preserve">The stock of foreign direct investment </w:t>
      </w:r>
      <w:r w:rsidR="005142C7">
        <w:rPr>
          <w:color w:val="auto"/>
        </w:rPr>
        <w:t>(</w:t>
      </w:r>
      <w:proofErr w:type="spellStart"/>
      <w:r w:rsidR="005142C7">
        <w:rPr>
          <w:color w:val="auto"/>
        </w:rPr>
        <w:t>FDI</w:t>
      </w:r>
      <w:proofErr w:type="spellEnd"/>
      <w:r w:rsidR="005142C7">
        <w:rPr>
          <w:color w:val="auto"/>
        </w:rPr>
        <w:t>)</w:t>
      </w:r>
      <w:r>
        <w:rPr>
          <w:color w:val="auto"/>
        </w:rPr>
        <w:t xml:space="preserve"> </w:t>
      </w:r>
      <w:r w:rsidRPr="00EC040A">
        <w:rPr>
          <w:color w:val="auto"/>
        </w:rPr>
        <w:t>in Australia at the end of December 2015 stood at $735.5 billion. Th</w:t>
      </w:r>
      <w:r w:rsidR="005A7E35">
        <w:rPr>
          <w:color w:val="auto"/>
        </w:rPr>
        <w:t>is</w:t>
      </w:r>
      <w:r w:rsidRPr="00EC040A">
        <w:rPr>
          <w:color w:val="auto"/>
        </w:rPr>
        <w:t xml:space="preserve"> was an increase of about $49.3 billion (or a little more than </w:t>
      </w:r>
      <w:r>
        <w:rPr>
          <w:color w:val="auto"/>
        </w:rPr>
        <w:t>seven</w:t>
      </w:r>
      <w:r w:rsidR="005142C7">
        <w:rPr>
          <w:color w:val="auto"/>
        </w:rPr>
        <w:t> </w:t>
      </w:r>
      <w:r w:rsidRPr="00EC040A">
        <w:rPr>
          <w:color w:val="auto"/>
        </w:rPr>
        <w:t>per</w:t>
      </w:r>
      <w:r w:rsidR="005142C7">
        <w:rPr>
          <w:color w:val="auto"/>
        </w:rPr>
        <w:t> </w:t>
      </w:r>
      <w:r w:rsidRPr="00EC040A">
        <w:rPr>
          <w:color w:val="auto"/>
        </w:rPr>
        <w:t>cent) on 2014</w:t>
      </w:r>
      <w:r w:rsidR="007056ED">
        <w:rPr>
          <w:color w:val="auto"/>
        </w:rPr>
        <w:t>.</w:t>
      </w:r>
    </w:p>
    <w:p w14:paraId="27D2E5EA" w14:textId="66925122" w:rsidR="004D5A4C" w:rsidRPr="004D5A4C" w:rsidRDefault="004D5A4C" w:rsidP="00150338">
      <w:proofErr w:type="spellStart"/>
      <w:r w:rsidRPr="006B70C7">
        <w:t>FDI</w:t>
      </w:r>
      <w:proofErr w:type="spellEnd"/>
      <w:r w:rsidRPr="006B70C7">
        <w:t xml:space="preserve"> has consistently made up around one quarter of total foreign inve</w:t>
      </w:r>
      <w:r w:rsidR="00E9328F">
        <w:t>stment over the last ten </w:t>
      </w:r>
      <w:r>
        <w:t>years.</w:t>
      </w:r>
    </w:p>
    <w:p w14:paraId="6F7B8B7D" w14:textId="77777777" w:rsidR="00E9328F" w:rsidRPr="009D019A" w:rsidRDefault="00150338" w:rsidP="00E9328F">
      <w:pPr>
        <w:rPr>
          <w:lang w:val="en-US"/>
        </w:rPr>
      </w:pPr>
      <w:r w:rsidRPr="00150338">
        <w:rPr>
          <w:color w:val="auto"/>
        </w:rPr>
        <w:t>By supplementing national saving, foreign capital allows Australia to enjoy higher living standards now (by financing current consumption), and into the future (by providing finance for investment which in turn should lead to higher</w:t>
      </w:r>
      <w:r w:rsidRPr="009D019A">
        <w:rPr>
          <w:lang w:val="en-US"/>
        </w:rPr>
        <w:t xml:space="preserve"> growth in national income and hence living </w:t>
      </w:r>
      <w:r w:rsidRPr="009D019A">
        <w:rPr>
          <w:lang w:val="en-US"/>
        </w:rPr>
        <w:lastRenderedPageBreak/>
        <w:t>standards) than would otherwise be sustainable.</w:t>
      </w:r>
      <w:r w:rsidR="00E9328F">
        <w:rPr>
          <w:lang w:val="en-US"/>
        </w:rPr>
        <w:t xml:space="preserve"> </w:t>
      </w:r>
      <w:proofErr w:type="spellStart"/>
      <w:r w:rsidR="00E9328F">
        <w:rPr>
          <w:lang w:val="en-US"/>
        </w:rPr>
        <w:t>FDI</w:t>
      </w:r>
      <w:proofErr w:type="spellEnd"/>
      <w:r w:rsidR="00E9328F">
        <w:rPr>
          <w:lang w:val="en-US"/>
        </w:rPr>
        <w:t xml:space="preserve"> provides a stable source of financing that brings with it technology and skills from overseas.</w:t>
      </w:r>
    </w:p>
    <w:p w14:paraId="483ABA30" w14:textId="0638D803" w:rsidR="000E142E" w:rsidRDefault="000E142E" w:rsidP="000E142E">
      <w:pPr>
        <w:rPr>
          <w:color w:val="auto"/>
        </w:rPr>
      </w:pPr>
      <w:r w:rsidRPr="000E142E">
        <w:rPr>
          <w:color w:val="auto"/>
        </w:rPr>
        <w:t>Historically, Australia has experienced successive waves of f</w:t>
      </w:r>
      <w:r w:rsidR="00376115">
        <w:rPr>
          <w:color w:val="auto"/>
        </w:rPr>
        <w:t>oreign investment.</w:t>
      </w:r>
      <w:r w:rsidRPr="000E142E">
        <w:rPr>
          <w:color w:val="auto"/>
        </w:rPr>
        <w:t xml:space="preserve"> </w:t>
      </w:r>
    </w:p>
    <w:p w14:paraId="515C56A4" w14:textId="31F5458D" w:rsidR="00150338" w:rsidRDefault="000E142E" w:rsidP="000E142E">
      <w:pPr>
        <w:rPr>
          <w:color w:val="auto"/>
        </w:rPr>
      </w:pPr>
      <w:r w:rsidRPr="000E142E">
        <w:rPr>
          <w:color w:val="auto"/>
        </w:rPr>
        <w:t>At the beginning of the 20th century, most foreign investment came from the United</w:t>
      </w:r>
      <w:r w:rsidR="00BB0B98">
        <w:rPr>
          <w:color w:val="auto"/>
        </w:rPr>
        <w:t> </w:t>
      </w:r>
      <w:r w:rsidRPr="000E142E">
        <w:rPr>
          <w:color w:val="auto"/>
        </w:rPr>
        <w:t>Kingdom</w:t>
      </w:r>
      <w:r w:rsidR="00FC5FF2">
        <w:rPr>
          <w:color w:val="auto"/>
        </w:rPr>
        <w:t> (UK)</w:t>
      </w:r>
      <w:r w:rsidRPr="000E142E">
        <w:rPr>
          <w:color w:val="auto"/>
        </w:rPr>
        <w:t xml:space="preserve">. </w:t>
      </w:r>
      <w:r>
        <w:rPr>
          <w:color w:val="auto"/>
        </w:rPr>
        <w:t xml:space="preserve">After World War </w:t>
      </w:r>
      <w:r w:rsidR="00322651">
        <w:rPr>
          <w:color w:val="auto"/>
        </w:rPr>
        <w:t>II</w:t>
      </w:r>
      <w:r w:rsidRPr="000E142E">
        <w:rPr>
          <w:color w:val="auto"/>
        </w:rPr>
        <w:t>, investment surged f</w:t>
      </w:r>
      <w:r w:rsidR="009632EA">
        <w:rPr>
          <w:color w:val="auto"/>
        </w:rPr>
        <w:t>rom the United States</w:t>
      </w:r>
      <w:r w:rsidR="00322651">
        <w:rPr>
          <w:color w:val="auto"/>
        </w:rPr>
        <w:t xml:space="preserve"> (US)</w:t>
      </w:r>
      <w:r w:rsidR="009632EA">
        <w:rPr>
          <w:color w:val="auto"/>
        </w:rPr>
        <w:t>, as multi</w:t>
      </w:r>
      <w:r w:rsidR="008205A1">
        <w:rPr>
          <w:color w:val="auto"/>
        </w:rPr>
        <w:noBreakHyphen/>
      </w:r>
      <w:r w:rsidRPr="000E142E">
        <w:rPr>
          <w:color w:val="auto"/>
        </w:rPr>
        <w:t>nationals invested in Australia</w:t>
      </w:r>
      <w:r w:rsidR="008205A1">
        <w:rPr>
          <w:color w:val="auto"/>
        </w:rPr>
        <w:t>’</w:t>
      </w:r>
      <w:r w:rsidRPr="000E142E">
        <w:rPr>
          <w:color w:val="auto"/>
        </w:rPr>
        <w:t>s growing industries, including manufacturing and mining.</w:t>
      </w:r>
    </w:p>
    <w:p w14:paraId="15B0EC56" w14:textId="48ECBD37" w:rsidR="00E9328F" w:rsidRDefault="000E142E" w:rsidP="00E9328F">
      <w:pPr>
        <w:rPr>
          <w:color w:val="auto"/>
        </w:rPr>
      </w:pPr>
      <w:r w:rsidRPr="000E142E">
        <w:rPr>
          <w:color w:val="auto"/>
        </w:rPr>
        <w:t>In more recent times, there has been an increase in investment from Asia</w:t>
      </w:r>
      <w:r w:rsidR="008205A1">
        <w:rPr>
          <w:color w:val="auto"/>
        </w:rPr>
        <w:t xml:space="preserve"> — </w:t>
      </w:r>
      <w:r w:rsidRPr="000E142E">
        <w:rPr>
          <w:color w:val="auto"/>
        </w:rPr>
        <w:t>first, large parcels of investment from Japan</w:t>
      </w:r>
      <w:r w:rsidR="005142C7">
        <w:rPr>
          <w:color w:val="auto"/>
        </w:rPr>
        <w:t xml:space="preserve"> beginning in the 1980s</w:t>
      </w:r>
      <w:r w:rsidRPr="000E142E">
        <w:rPr>
          <w:color w:val="auto"/>
        </w:rPr>
        <w:t>, and now, increasingly from emerging economies such as China.</w:t>
      </w:r>
      <w:r w:rsidR="00E9328F">
        <w:rPr>
          <w:color w:val="auto"/>
        </w:rPr>
        <w:t xml:space="preserve"> </w:t>
      </w:r>
      <w:r w:rsidR="00E9328F" w:rsidRPr="00C61528">
        <w:rPr>
          <w:color w:val="auto"/>
        </w:rPr>
        <w:t xml:space="preserve">Chart </w:t>
      </w:r>
      <w:r w:rsidR="00B87380">
        <w:rPr>
          <w:color w:val="auto"/>
        </w:rPr>
        <w:t>2</w:t>
      </w:r>
      <w:r w:rsidR="00E9328F">
        <w:rPr>
          <w:color w:val="auto"/>
        </w:rPr>
        <w:t xml:space="preserve">.1 shows the stock of </w:t>
      </w:r>
      <w:proofErr w:type="spellStart"/>
      <w:r w:rsidR="00127D2F">
        <w:rPr>
          <w:color w:val="auto"/>
        </w:rPr>
        <w:t>FDI</w:t>
      </w:r>
      <w:proofErr w:type="spellEnd"/>
      <w:r w:rsidR="00E9328F">
        <w:rPr>
          <w:color w:val="auto"/>
        </w:rPr>
        <w:t xml:space="preserve"> in Australia from the top 5 investing countries: t</w:t>
      </w:r>
      <w:r w:rsidR="00E9328F" w:rsidRPr="0006353D">
        <w:rPr>
          <w:color w:val="auto"/>
        </w:rPr>
        <w:t>he US, Japan, the UK, the Netherlands and China</w:t>
      </w:r>
      <w:r w:rsidR="00E9328F">
        <w:rPr>
          <w:color w:val="auto"/>
        </w:rPr>
        <w:t>.</w:t>
      </w:r>
    </w:p>
    <w:p w14:paraId="7F336378" w14:textId="7B34B5AC" w:rsidR="009632EA" w:rsidRPr="00027CF1" w:rsidRDefault="007E31CB" w:rsidP="009632EA">
      <w:pPr>
        <w:pStyle w:val="ChartMainHeading"/>
      </w:pPr>
      <w:r w:rsidRPr="0046479B">
        <w:rPr>
          <w:noProof/>
          <w:highlight w:val="yellow"/>
        </w:rPr>
        <w:drawing>
          <wp:anchor distT="0" distB="0" distL="114300" distR="114300" simplePos="0" relativeHeight="251658270" behindDoc="0" locked="0" layoutInCell="1" allowOverlap="1" wp14:anchorId="0EB9B244" wp14:editId="33A456F8">
            <wp:simplePos x="0" y="0"/>
            <wp:positionH relativeFrom="column">
              <wp:posOffset>186019</wp:posOffset>
            </wp:positionH>
            <wp:positionV relativeFrom="paragraph">
              <wp:posOffset>236532</wp:posOffset>
            </wp:positionV>
            <wp:extent cx="4495715" cy="2924354"/>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ME\AppData\Local\Microsoft\Windows\Temporary Internet Files\Content.Outlook\I70P45CX\Foreign investment map.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495758" cy="2924382"/>
                    </a:xfrm>
                    <a:prstGeom prst="rect">
                      <a:avLst/>
                    </a:prstGeom>
                    <a:noFill/>
                    <a:ln>
                      <a:noFill/>
                    </a:ln>
                  </pic:spPr>
                </pic:pic>
              </a:graphicData>
            </a:graphic>
            <wp14:sizeRelH relativeFrom="page">
              <wp14:pctWidth>0</wp14:pctWidth>
            </wp14:sizeRelH>
            <wp14:sizeRelV relativeFrom="page">
              <wp14:pctHeight>0</wp14:pctHeight>
            </wp14:sizeRelV>
          </wp:anchor>
        </w:drawing>
      </w:r>
      <w:r w:rsidR="009632EA" w:rsidRPr="00BA672D">
        <w:t xml:space="preserve">Chart </w:t>
      </w:r>
      <w:r w:rsidR="00B87380">
        <w:t>2.1</w:t>
      </w:r>
      <w:r w:rsidR="009632EA" w:rsidRPr="00FF46B0">
        <w:t xml:space="preserve">: </w:t>
      </w:r>
      <w:r w:rsidR="009632EA">
        <w:t xml:space="preserve">Stock of </w:t>
      </w:r>
      <w:proofErr w:type="spellStart"/>
      <w:r w:rsidR="009632EA">
        <w:t>FDI</w:t>
      </w:r>
      <w:proofErr w:type="spellEnd"/>
      <w:r w:rsidR="009632EA">
        <w:t xml:space="preserve"> in Australia by country </w:t>
      </w:r>
      <w:r w:rsidR="00E00922">
        <w:t xml:space="preserve">as at 31 December 2015 </w:t>
      </w:r>
      <w:r w:rsidR="009632EA">
        <w:t>($m)</w:t>
      </w:r>
    </w:p>
    <w:p w14:paraId="717BF351" w14:textId="79D1A85B" w:rsidR="009632EA" w:rsidRDefault="009632EA" w:rsidP="009632EA">
      <w:pPr>
        <w:pStyle w:val="ChartGraphic"/>
      </w:pPr>
    </w:p>
    <w:p w14:paraId="3B326CE0" w14:textId="77777777" w:rsidR="009632EA" w:rsidRDefault="009632EA" w:rsidP="009632EA">
      <w:pPr>
        <w:rPr>
          <w:color w:val="auto"/>
        </w:rPr>
      </w:pPr>
    </w:p>
    <w:p w14:paraId="1887B05C" w14:textId="77777777" w:rsidR="009632EA" w:rsidRDefault="009632EA" w:rsidP="009632EA">
      <w:pPr>
        <w:rPr>
          <w:color w:val="auto"/>
        </w:rPr>
      </w:pPr>
    </w:p>
    <w:p w14:paraId="28856AE0" w14:textId="77777777" w:rsidR="009632EA" w:rsidRDefault="009632EA" w:rsidP="009632EA">
      <w:pPr>
        <w:rPr>
          <w:color w:val="auto"/>
        </w:rPr>
      </w:pPr>
    </w:p>
    <w:p w14:paraId="2161E8B8" w14:textId="77777777" w:rsidR="009632EA" w:rsidRDefault="009632EA" w:rsidP="009632EA">
      <w:pPr>
        <w:rPr>
          <w:color w:val="auto"/>
        </w:rPr>
      </w:pPr>
    </w:p>
    <w:p w14:paraId="4429B069" w14:textId="77777777" w:rsidR="009632EA" w:rsidRDefault="009632EA" w:rsidP="009632EA">
      <w:pPr>
        <w:rPr>
          <w:color w:val="auto"/>
        </w:rPr>
      </w:pPr>
    </w:p>
    <w:p w14:paraId="0E61969F" w14:textId="77777777" w:rsidR="009632EA" w:rsidRDefault="009632EA" w:rsidP="009632EA">
      <w:pPr>
        <w:rPr>
          <w:color w:val="auto"/>
        </w:rPr>
      </w:pPr>
    </w:p>
    <w:p w14:paraId="50DC0982" w14:textId="77777777" w:rsidR="009632EA" w:rsidRDefault="009632EA" w:rsidP="009632EA">
      <w:pPr>
        <w:rPr>
          <w:color w:val="auto"/>
        </w:rPr>
      </w:pPr>
    </w:p>
    <w:p w14:paraId="24659F76" w14:textId="77777777" w:rsidR="009632EA" w:rsidRDefault="009632EA" w:rsidP="009632EA"/>
    <w:p w14:paraId="5C135D3A" w14:textId="77777777" w:rsidR="007E31CB" w:rsidRDefault="007E31CB" w:rsidP="009632EA">
      <w:pPr>
        <w:pStyle w:val="StyleChartorTableNoteLeft0cmHanging1cm"/>
      </w:pPr>
    </w:p>
    <w:p w14:paraId="42A92DB4" w14:textId="77777777" w:rsidR="007E31CB" w:rsidRDefault="007E31CB" w:rsidP="009632EA">
      <w:pPr>
        <w:pStyle w:val="StyleChartorTableNoteLeft0cmHanging1cm"/>
      </w:pPr>
    </w:p>
    <w:p w14:paraId="69A34689" w14:textId="77777777" w:rsidR="009632EA" w:rsidRPr="00D5560B" w:rsidRDefault="009632EA" w:rsidP="009632EA">
      <w:pPr>
        <w:pStyle w:val="StyleChartorTableNoteLeft0cmHanging1cm"/>
      </w:pPr>
      <w:r w:rsidRPr="00D5560B">
        <w:t>Source: ABS 5352.0</w:t>
      </w:r>
    </w:p>
    <w:p w14:paraId="37D5D95A" w14:textId="77777777" w:rsidR="009632EA" w:rsidRDefault="009632EA" w:rsidP="009632EA">
      <w:pPr>
        <w:pStyle w:val="SingleParagraph"/>
      </w:pPr>
    </w:p>
    <w:p w14:paraId="78208024" w14:textId="1FD99F90" w:rsidR="009632EA" w:rsidRPr="0006353D" w:rsidRDefault="009632EA" w:rsidP="009632EA">
      <w:pPr>
        <w:rPr>
          <w:color w:val="auto"/>
        </w:rPr>
      </w:pPr>
      <w:r w:rsidRPr="00C61528">
        <w:rPr>
          <w:color w:val="auto"/>
        </w:rPr>
        <w:t xml:space="preserve">Chart </w:t>
      </w:r>
      <w:r w:rsidR="00B87380">
        <w:rPr>
          <w:color w:val="auto"/>
        </w:rPr>
        <w:t>2</w:t>
      </w:r>
      <w:r>
        <w:rPr>
          <w:color w:val="auto"/>
        </w:rPr>
        <w:t>.2</w:t>
      </w:r>
      <w:r w:rsidRPr="00B65FAC">
        <w:rPr>
          <w:color w:val="auto"/>
        </w:rPr>
        <w:t xml:space="preserve"> depicts</w:t>
      </w:r>
      <w:r w:rsidRPr="0006353D">
        <w:rPr>
          <w:color w:val="auto"/>
        </w:rPr>
        <w:t xml:space="preserve"> trends in </w:t>
      </w:r>
      <w:proofErr w:type="spellStart"/>
      <w:r w:rsidRPr="0006353D">
        <w:rPr>
          <w:color w:val="auto"/>
        </w:rPr>
        <w:t>FDI</w:t>
      </w:r>
      <w:proofErr w:type="spellEnd"/>
      <w:r w:rsidRPr="0006353D">
        <w:rPr>
          <w:color w:val="auto"/>
        </w:rPr>
        <w:t xml:space="preserve"> levels from Australia</w:t>
      </w:r>
      <w:r w:rsidR="008205A1">
        <w:rPr>
          <w:color w:val="auto"/>
        </w:rPr>
        <w:t>’</w:t>
      </w:r>
      <w:r w:rsidRPr="0006353D">
        <w:rPr>
          <w:color w:val="auto"/>
        </w:rPr>
        <w:t xml:space="preserve">s top five </w:t>
      </w:r>
      <w:r w:rsidR="00E00922">
        <w:rPr>
          <w:color w:val="auto"/>
        </w:rPr>
        <w:t>largest</w:t>
      </w:r>
      <w:r w:rsidRPr="0006353D">
        <w:rPr>
          <w:color w:val="auto"/>
        </w:rPr>
        <w:t xml:space="preserve"> inward investor countries</w:t>
      </w:r>
      <w:r w:rsidR="00E9328F">
        <w:rPr>
          <w:color w:val="auto"/>
        </w:rPr>
        <w:t xml:space="preserve"> over time</w:t>
      </w:r>
      <w:r w:rsidR="00733CD4">
        <w:rPr>
          <w:color w:val="auto"/>
        </w:rPr>
        <w:t>.</w:t>
      </w:r>
      <w:r w:rsidRPr="0006353D">
        <w:rPr>
          <w:color w:val="auto"/>
        </w:rPr>
        <w:t xml:space="preserve"> The US remains Australia</w:t>
      </w:r>
      <w:r w:rsidR="008205A1">
        <w:rPr>
          <w:color w:val="auto"/>
        </w:rPr>
        <w:t>’</w:t>
      </w:r>
      <w:r w:rsidRPr="0006353D">
        <w:rPr>
          <w:color w:val="auto"/>
        </w:rPr>
        <w:t>s dominant inward investor country, accoun</w:t>
      </w:r>
      <w:r>
        <w:rPr>
          <w:color w:val="auto"/>
        </w:rPr>
        <w:t>ting for almost a quarter (23.6 </w:t>
      </w:r>
      <w:r w:rsidRPr="0006353D">
        <w:rPr>
          <w:color w:val="auto"/>
        </w:rPr>
        <w:t xml:space="preserve">per cent) of the total stock of </w:t>
      </w:r>
      <w:proofErr w:type="spellStart"/>
      <w:r w:rsidR="00322651">
        <w:rPr>
          <w:color w:val="auto"/>
        </w:rPr>
        <w:t>FDI</w:t>
      </w:r>
      <w:proofErr w:type="spellEnd"/>
      <w:r w:rsidRPr="0006353D">
        <w:rPr>
          <w:color w:val="auto"/>
        </w:rPr>
        <w:t xml:space="preserve"> at the end of 2015</w:t>
      </w:r>
      <w:r w:rsidR="00E9328F">
        <w:rPr>
          <w:color w:val="auto"/>
        </w:rPr>
        <w:t xml:space="preserve">. </w:t>
      </w:r>
    </w:p>
    <w:p w14:paraId="11E0E403" w14:textId="300DD5C6" w:rsidR="009632EA" w:rsidRDefault="00823611" w:rsidP="009632EA">
      <w:pPr>
        <w:rPr>
          <w:color w:val="auto"/>
        </w:rPr>
      </w:pPr>
      <w:r>
        <w:rPr>
          <w:color w:val="auto"/>
        </w:rPr>
        <w:t>At</w:t>
      </w:r>
      <w:r w:rsidR="009632EA" w:rsidRPr="0006353D">
        <w:rPr>
          <w:color w:val="auto"/>
        </w:rPr>
        <w:t xml:space="preserve"> the end of 2015</w:t>
      </w:r>
      <w:r w:rsidR="009632EA">
        <w:rPr>
          <w:color w:val="auto"/>
        </w:rPr>
        <w:t>,</w:t>
      </w:r>
      <w:r w:rsidR="009632EA" w:rsidRPr="0006353D">
        <w:rPr>
          <w:color w:val="auto"/>
        </w:rPr>
        <w:t xml:space="preserve"> Japan (11.7 per cent of total </w:t>
      </w:r>
      <w:proofErr w:type="spellStart"/>
      <w:r w:rsidR="009632EA" w:rsidRPr="0006353D">
        <w:rPr>
          <w:color w:val="auto"/>
        </w:rPr>
        <w:t>FDI</w:t>
      </w:r>
      <w:proofErr w:type="spellEnd"/>
      <w:r w:rsidR="009632EA" w:rsidRPr="0006353D">
        <w:rPr>
          <w:color w:val="auto"/>
        </w:rPr>
        <w:t xml:space="preserve"> stock) overtook the UK (10.3 per cent</w:t>
      </w:r>
      <w:r w:rsidR="009632EA">
        <w:rPr>
          <w:color w:val="auto"/>
        </w:rPr>
        <w:t xml:space="preserve"> of total </w:t>
      </w:r>
      <w:proofErr w:type="spellStart"/>
      <w:r w:rsidR="009632EA">
        <w:rPr>
          <w:color w:val="auto"/>
        </w:rPr>
        <w:t>FDI</w:t>
      </w:r>
      <w:proofErr w:type="spellEnd"/>
      <w:r w:rsidR="009632EA">
        <w:rPr>
          <w:color w:val="auto"/>
        </w:rPr>
        <w:t xml:space="preserve"> stock</w:t>
      </w:r>
      <w:r w:rsidR="009632EA" w:rsidRPr="0006353D">
        <w:rPr>
          <w:color w:val="auto"/>
        </w:rPr>
        <w:t>) for the first time</w:t>
      </w:r>
      <w:r>
        <w:rPr>
          <w:color w:val="auto"/>
        </w:rPr>
        <w:t xml:space="preserve"> as Australia’s second major source of inward </w:t>
      </w:r>
      <w:proofErr w:type="spellStart"/>
      <w:r>
        <w:rPr>
          <w:color w:val="auto"/>
        </w:rPr>
        <w:t>FDI</w:t>
      </w:r>
      <w:proofErr w:type="spellEnd"/>
      <w:r w:rsidR="009632EA" w:rsidRPr="0006353D">
        <w:rPr>
          <w:color w:val="auto"/>
        </w:rPr>
        <w:t xml:space="preserve">. </w:t>
      </w:r>
    </w:p>
    <w:p w14:paraId="7F03E8BF" w14:textId="409E5E08" w:rsidR="000E142E" w:rsidRDefault="009632EA" w:rsidP="000E142E">
      <w:pPr>
        <w:rPr>
          <w:color w:val="auto"/>
        </w:rPr>
      </w:pPr>
      <w:r w:rsidRPr="0006353D">
        <w:rPr>
          <w:color w:val="auto"/>
        </w:rPr>
        <w:t xml:space="preserve">China </w:t>
      </w:r>
      <w:r>
        <w:rPr>
          <w:color w:val="auto"/>
        </w:rPr>
        <w:t>was</w:t>
      </w:r>
      <w:r w:rsidRPr="0006353D">
        <w:rPr>
          <w:color w:val="auto"/>
        </w:rPr>
        <w:t xml:space="preserve"> the fifth largest source country of </w:t>
      </w:r>
      <w:proofErr w:type="spellStart"/>
      <w:r w:rsidRPr="0006353D">
        <w:rPr>
          <w:color w:val="auto"/>
        </w:rPr>
        <w:t>FDI</w:t>
      </w:r>
      <w:proofErr w:type="spellEnd"/>
      <w:r w:rsidRPr="0006353D">
        <w:rPr>
          <w:color w:val="auto"/>
        </w:rPr>
        <w:t xml:space="preserve"> stock</w:t>
      </w:r>
      <w:r>
        <w:rPr>
          <w:color w:val="auto"/>
        </w:rPr>
        <w:t xml:space="preserve"> in Australia</w:t>
      </w:r>
      <w:r w:rsidRPr="0006353D">
        <w:rPr>
          <w:color w:val="auto"/>
        </w:rPr>
        <w:t>, accounting for around 4.8 per</w:t>
      </w:r>
      <w:r>
        <w:rPr>
          <w:color w:val="auto"/>
        </w:rPr>
        <w:t xml:space="preserve"> cent of all </w:t>
      </w:r>
      <w:proofErr w:type="spellStart"/>
      <w:r>
        <w:rPr>
          <w:color w:val="auto"/>
        </w:rPr>
        <w:t>FDI</w:t>
      </w:r>
      <w:proofErr w:type="spellEnd"/>
      <w:r>
        <w:rPr>
          <w:color w:val="auto"/>
        </w:rPr>
        <w:t xml:space="preserve"> in Australia</w:t>
      </w:r>
      <w:r w:rsidR="00E9328F">
        <w:rPr>
          <w:color w:val="auto"/>
        </w:rPr>
        <w:t xml:space="preserve">. </w:t>
      </w:r>
    </w:p>
    <w:p w14:paraId="27AA4A47" w14:textId="7C1C1AF6" w:rsidR="0020758A" w:rsidRDefault="00B87380" w:rsidP="0020758A">
      <w:pPr>
        <w:pStyle w:val="ChartMainHeading"/>
      </w:pPr>
      <w:r>
        <w:lastRenderedPageBreak/>
        <w:t>Chart 2</w:t>
      </w:r>
      <w:r w:rsidR="0020758A">
        <w:t xml:space="preserve">.2: Stock of </w:t>
      </w:r>
      <w:proofErr w:type="spellStart"/>
      <w:r w:rsidR="0020758A">
        <w:t>FDI</w:t>
      </w:r>
      <w:proofErr w:type="spellEnd"/>
      <w:r w:rsidR="0020758A">
        <w:t xml:space="preserve"> in Australia</w:t>
      </w:r>
    </w:p>
    <w:p w14:paraId="56C32133" w14:textId="335123BC" w:rsidR="00733CD4" w:rsidRDefault="0020758A" w:rsidP="0020758A">
      <w:pPr>
        <w:pStyle w:val="ChartGraphic"/>
      </w:pPr>
      <w:r>
        <w:object w:dxaOrig="7366" w:dyaOrig="4530" w14:anchorId="4AD4B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226.85pt" o:ole="">
            <v:imagedata r:id="rId50" o:title=""/>
          </v:shape>
          <o:OLEObject Type="Link" ProgID="Excel.Sheet.12" ShapeID="_x0000_i1025" DrawAspect="Content" r:id="rId51" UpdateMode="Always">
            <o:LinkType>EnhancedMetaFile</o:LinkType>
            <o:LockedField>false</o:LockedField>
          </o:OLEObject>
        </w:object>
      </w:r>
    </w:p>
    <w:p w14:paraId="7D5E3B10" w14:textId="77777777" w:rsidR="0020758A" w:rsidRPr="00D5560B" w:rsidRDefault="0020758A" w:rsidP="0020758A">
      <w:pPr>
        <w:pStyle w:val="ChartandTableFootnote"/>
      </w:pPr>
      <w:r w:rsidRPr="00D5560B">
        <w:t>Source: ABS 5352.0</w:t>
      </w:r>
    </w:p>
    <w:p w14:paraId="3F96BDB7" w14:textId="77777777" w:rsidR="0020758A" w:rsidRDefault="0020758A" w:rsidP="0020758A">
      <w:pPr>
        <w:pStyle w:val="ChartandTableFootnote"/>
      </w:pPr>
      <w:r w:rsidRPr="00D5560B">
        <w:t>Note: China excludes SARs and Taiwan</w:t>
      </w:r>
      <w:r>
        <w:t>.</w:t>
      </w:r>
    </w:p>
    <w:p w14:paraId="2DCE0548" w14:textId="77777777" w:rsidR="0020758A" w:rsidRPr="0020758A" w:rsidRDefault="0020758A" w:rsidP="0020758A">
      <w:pPr>
        <w:pStyle w:val="SingleParagraph"/>
      </w:pPr>
    </w:p>
    <w:p w14:paraId="45649637" w14:textId="14F8F4A4" w:rsidR="00733CD4" w:rsidRPr="005A401E" w:rsidRDefault="00733CD4" w:rsidP="0020758A">
      <w:pPr>
        <w:rPr>
          <w:color w:val="auto"/>
        </w:rPr>
      </w:pPr>
      <w:r>
        <w:rPr>
          <w:color w:val="auto"/>
        </w:rPr>
        <w:t xml:space="preserve">In recent times, the mining sector has been the </w:t>
      </w:r>
      <w:r w:rsidR="00E00922">
        <w:rPr>
          <w:color w:val="auto"/>
        </w:rPr>
        <w:t>main target</w:t>
      </w:r>
      <w:r>
        <w:rPr>
          <w:color w:val="auto"/>
        </w:rPr>
        <w:t xml:space="preserve"> industry for </w:t>
      </w:r>
      <w:proofErr w:type="spellStart"/>
      <w:r>
        <w:rPr>
          <w:color w:val="auto"/>
        </w:rPr>
        <w:t>FDI</w:t>
      </w:r>
      <w:proofErr w:type="spellEnd"/>
      <w:r>
        <w:rPr>
          <w:color w:val="auto"/>
        </w:rPr>
        <w:t xml:space="preserve">, </w:t>
      </w:r>
      <w:r w:rsidRPr="005A401E">
        <w:rPr>
          <w:color w:val="auto"/>
        </w:rPr>
        <w:t>representing 40.1</w:t>
      </w:r>
      <w:r>
        <w:rPr>
          <w:color w:val="auto"/>
        </w:rPr>
        <w:t> </w:t>
      </w:r>
      <w:r w:rsidRPr="005A401E">
        <w:rPr>
          <w:color w:val="auto"/>
        </w:rPr>
        <w:t xml:space="preserve">per cent of total </w:t>
      </w:r>
      <w:proofErr w:type="spellStart"/>
      <w:r w:rsidRPr="005A401E">
        <w:rPr>
          <w:color w:val="auto"/>
        </w:rPr>
        <w:t>FDI</w:t>
      </w:r>
      <w:proofErr w:type="spellEnd"/>
      <w:r w:rsidRPr="005A401E">
        <w:rPr>
          <w:color w:val="auto"/>
        </w:rPr>
        <w:t xml:space="preserve"> stock in Australia at the end of 2015. </w:t>
      </w:r>
      <w:r>
        <w:rPr>
          <w:color w:val="auto"/>
        </w:rPr>
        <w:t>However,</w:t>
      </w:r>
      <w:r w:rsidRPr="005A401E">
        <w:rPr>
          <w:color w:val="auto"/>
        </w:rPr>
        <w:t xml:space="preserve"> the growth in </w:t>
      </w:r>
      <w:proofErr w:type="spellStart"/>
      <w:r>
        <w:rPr>
          <w:color w:val="auto"/>
        </w:rPr>
        <w:t>FDI</w:t>
      </w:r>
      <w:proofErr w:type="spellEnd"/>
      <w:r>
        <w:rPr>
          <w:color w:val="auto"/>
        </w:rPr>
        <w:t xml:space="preserve"> stock in </w:t>
      </w:r>
      <w:r w:rsidRPr="005A401E">
        <w:rPr>
          <w:color w:val="auto"/>
        </w:rPr>
        <w:t xml:space="preserve">the mining </w:t>
      </w:r>
      <w:r>
        <w:rPr>
          <w:color w:val="auto"/>
        </w:rPr>
        <w:t>sector</w:t>
      </w:r>
      <w:r w:rsidRPr="005A401E">
        <w:rPr>
          <w:color w:val="auto"/>
        </w:rPr>
        <w:t xml:space="preserve"> has slowed since the peak of the mining </w:t>
      </w:r>
      <w:r w:rsidR="005142C7">
        <w:rPr>
          <w:color w:val="auto"/>
        </w:rPr>
        <w:t xml:space="preserve">investment </w:t>
      </w:r>
      <w:r w:rsidRPr="005A401E">
        <w:rPr>
          <w:color w:val="auto"/>
        </w:rPr>
        <w:t>boom in 2011. In 2015</w:t>
      </w:r>
      <w:r w:rsidR="008D3DD8">
        <w:rPr>
          <w:color w:val="auto"/>
        </w:rPr>
        <w:t>,</w:t>
      </w:r>
      <w:r w:rsidRPr="005A401E">
        <w:rPr>
          <w:color w:val="auto"/>
        </w:rPr>
        <w:t xml:space="preserve"> the stock of mining investment grew by 6.4 per cent, less than h</w:t>
      </w:r>
      <w:r>
        <w:rPr>
          <w:color w:val="auto"/>
        </w:rPr>
        <w:t>alf the growth rate of 13.8 per </w:t>
      </w:r>
      <w:r w:rsidRPr="005A401E">
        <w:rPr>
          <w:color w:val="auto"/>
        </w:rPr>
        <w:t>cent in 2014.</w:t>
      </w:r>
    </w:p>
    <w:p w14:paraId="3EE38DCD" w14:textId="6028B2AF" w:rsidR="00733CD4" w:rsidRPr="0051459A" w:rsidRDefault="00733CD4" w:rsidP="00733CD4">
      <w:pPr>
        <w:rPr>
          <w:color w:val="auto"/>
        </w:rPr>
      </w:pPr>
      <w:r>
        <w:rPr>
          <w:color w:val="auto"/>
        </w:rPr>
        <w:t xml:space="preserve">The second largest recipient of </w:t>
      </w:r>
      <w:proofErr w:type="spellStart"/>
      <w:r>
        <w:rPr>
          <w:color w:val="auto"/>
        </w:rPr>
        <w:t>FDI</w:t>
      </w:r>
      <w:proofErr w:type="spellEnd"/>
      <w:r>
        <w:rPr>
          <w:color w:val="auto"/>
        </w:rPr>
        <w:t xml:space="preserve"> is the manufacturing sector,</w:t>
      </w:r>
      <w:r w:rsidRPr="0051459A">
        <w:rPr>
          <w:color w:val="auto"/>
        </w:rPr>
        <w:t xml:space="preserve"> at 11.7 per cent</w:t>
      </w:r>
      <w:r>
        <w:rPr>
          <w:color w:val="auto"/>
        </w:rPr>
        <w:t xml:space="preserve"> of the total </w:t>
      </w:r>
      <w:proofErr w:type="spellStart"/>
      <w:r>
        <w:rPr>
          <w:color w:val="auto"/>
        </w:rPr>
        <w:t>FDI</w:t>
      </w:r>
      <w:proofErr w:type="spellEnd"/>
      <w:r>
        <w:rPr>
          <w:color w:val="auto"/>
        </w:rPr>
        <w:t xml:space="preserve"> stock at the end of 2015. </w:t>
      </w:r>
      <w:r w:rsidR="008D3DD8">
        <w:rPr>
          <w:color w:val="auto"/>
        </w:rPr>
        <w:t>However</w:t>
      </w:r>
      <w:r>
        <w:rPr>
          <w:color w:val="auto"/>
        </w:rPr>
        <w:t xml:space="preserve">, the stock of </w:t>
      </w:r>
      <w:proofErr w:type="spellStart"/>
      <w:r>
        <w:rPr>
          <w:color w:val="auto"/>
        </w:rPr>
        <w:t>FDI</w:t>
      </w:r>
      <w:proofErr w:type="spellEnd"/>
      <w:r>
        <w:rPr>
          <w:color w:val="auto"/>
        </w:rPr>
        <w:t xml:space="preserve"> in the manufacturing sector remains below its 2013 level.</w:t>
      </w:r>
    </w:p>
    <w:p w14:paraId="7A0926D1" w14:textId="2FE412BC" w:rsidR="009632EA" w:rsidRDefault="00733CD4" w:rsidP="00733CD4">
      <w:pPr>
        <w:rPr>
          <w:color w:val="auto"/>
        </w:rPr>
      </w:pPr>
      <w:proofErr w:type="gramStart"/>
      <w:r w:rsidRPr="0051459A">
        <w:rPr>
          <w:color w:val="auto"/>
        </w:rPr>
        <w:t xml:space="preserve">The real estate sector </w:t>
      </w:r>
      <w:proofErr w:type="spellStart"/>
      <w:r w:rsidR="008D3DD8">
        <w:rPr>
          <w:color w:val="auto"/>
        </w:rPr>
        <w:t>recieved</w:t>
      </w:r>
      <w:proofErr w:type="spellEnd"/>
      <w:r w:rsidRPr="0051459A">
        <w:rPr>
          <w:color w:val="auto"/>
        </w:rPr>
        <w:t xml:space="preserve"> the third largest amount of total </w:t>
      </w:r>
      <w:proofErr w:type="spellStart"/>
      <w:r w:rsidRPr="0051459A">
        <w:rPr>
          <w:color w:val="auto"/>
        </w:rPr>
        <w:t>FDI</w:t>
      </w:r>
      <w:proofErr w:type="spellEnd"/>
      <w:r w:rsidRPr="0051459A">
        <w:rPr>
          <w:color w:val="auto"/>
        </w:rPr>
        <w:t xml:space="preserve"> stock at 8.7 per cent of total </w:t>
      </w:r>
      <w:proofErr w:type="spellStart"/>
      <w:r w:rsidRPr="0051459A">
        <w:rPr>
          <w:color w:val="auto"/>
        </w:rPr>
        <w:t>FDI</w:t>
      </w:r>
      <w:proofErr w:type="spellEnd"/>
      <w:r w:rsidRPr="0051459A">
        <w:rPr>
          <w:color w:val="auto"/>
        </w:rPr>
        <w:t xml:space="preserve"> </w:t>
      </w:r>
      <w:r w:rsidR="00176B72">
        <w:rPr>
          <w:color w:val="auto"/>
        </w:rPr>
        <w:t xml:space="preserve">stock </w:t>
      </w:r>
      <w:r w:rsidRPr="0051459A">
        <w:rPr>
          <w:color w:val="auto"/>
        </w:rPr>
        <w:t>at the end of 2015</w:t>
      </w:r>
      <w:r>
        <w:rPr>
          <w:color w:val="auto"/>
        </w:rPr>
        <w:t>.</w:t>
      </w:r>
      <w:proofErr w:type="gramEnd"/>
      <w:r>
        <w:rPr>
          <w:color w:val="auto"/>
        </w:rPr>
        <w:t xml:space="preserve"> This reflects a significant growth of 36.8 per </w:t>
      </w:r>
      <w:r w:rsidRPr="00793352">
        <w:rPr>
          <w:color w:val="auto"/>
        </w:rPr>
        <w:t xml:space="preserve">cent </w:t>
      </w:r>
      <w:r w:rsidR="00D74B99">
        <w:rPr>
          <w:color w:val="auto"/>
        </w:rPr>
        <w:t>on the</w:t>
      </w:r>
      <w:r>
        <w:rPr>
          <w:color w:val="auto"/>
        </w:rPr>
        <w:t xml:space="preserve"> previous year</w:t>
      </w:r>
      <w:r w:rsidRPr="00793352">
        <w:rPr>
          <w:color w:val="auto"/>
        </w:rPr>
        <w:t>.</w:t>
      </w:r>
    </w:p>
    <w:p w14:paraId="2C1570D6" w14:textId="34DA749F" w:rsidR="00EB37DD" w:rsidRDefault="00EB37DD">
      <w:pPr>
        <w:spacing w:after="200" w:line="276" w:lineRule="auto"/>
        <w:jc w:val="left"/>
        <w:rPr>
          <w:rFonts w:ascii="Arial" w:hAnsi="Arial"/>
          <w:sz w:val="16"/>
        </w:rPr>
      </w:pPr>
      <w:r>
        <w:rPr>
          <w:rFonts w:ascii="Arial" w:hAnsi="Arial"/>
          <w:sz w:val="16"/>
        </w:rPr>
        <w:br w:type="page"/>
      </w:r>
    </w:p>
    <w:p w14:paraId="0BDFCD4A" w14:textId="17F2B64C" w:rsidR="00EB37DD" w:rsidRPr="000C7E9A" w:rsidRDefault="007E31CB" w:rsidP="007E31CB">
      <w:pPr>
        <w:pStyle w:val="Heading2"/>
      </w:pPr>
      <w:bookmarkStart w:id="25" w:name="_Toc476737076"/>
      <w:r>
        <w:lastRenderedPageBreak/>
        <w:t>History of foreign investment in Australia</w:t>
      </w:r>
      <w:bookmarkEnd w:id="25"/>
    </w:p>
    <w:p w14:paraId="23D355CB" w14:textId="0BEFF6E3" w:rsidR="00EB37DD" w:rsidRDefault="007E31CB" w:rsidP="00EB37DD">
      <w:pPr>
        <w:spacing w:after="200" w:line="276" w:lineRule="auto"/>
        <w:jc w:val="left"/>
        <w:rPr>
          <w:rFonts w:asciiTheme="majorHAnsi" w:eastAsiaTheme="majorEastAsia" w:hAnsiTheme="majorHAnsi" w:cstheme="majorBidi"/>
          <w:b/>
          <w:bCs/>
          <w:color w:val="4F81BD" w:themeColor="accent1"/>
        </w:rPr>
      </w:pPr>
      <w:r>
        <w:rPr>
          <w:noProof/>
        </w:rPr>
        <w:drawing>
          <wp:anchor distT="0" distB="0" distL="114300" distR="114300" simplePos="0" relativeHeight="251658271" behindDoc="0" locked="0" layoutInCell="1" allowOverlap="1" wp14:anchorId="77FA2586" wp14:editId="0FDF15A5">
            <wp:simplePos x="0" y="0"/>
            <wp:positionH relativeFrom="column">
              <wp:posOffset>13970</wp:posOffset>
            </wp:positionH>
            <wp:positionV relativeFrom="paragraph">
              <wp:posOffset>24130</wp:posOffset>
            </wp:positionV>
            <wp:extent cx="4895215" cy="6953885"/>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5215" cy="6953885"/>
                    </a:xfrm>
                    <a:prstGeom prst="rect">
                      <a:avLst/>
                    </a:prstGeom>
                  </pic:spPr>
                </pic:pic>
              </a:graphicData>
            </a:graphic>
            <wp14:sizeRelH relativeFrom="margin">
              <wp14:pctWidth>0</wp14:pctWidth>
            </wp14:sizeRelH>
            <wp14:sizeRelV relativeFrom="margin">
              <wp14:pctHeight>0</wp14:pctHeight>
            </wp14:sizeRelV>
          </wp:anchor>
        </w:drawing>
      </w:r>
    </w:p>
    <w:p w14:paraId="7D8F1247" w14:textId="1D4C1C8C" w:rsidR="00EB37DD" w:rsidRDefault="00EB37DD" w:rsidP="00EB37DD">
      <w:pPr>
        <w:spacing w:after="200" w:line="276" w:lineRule="auto"/>
        <w:jc w:val="left"/>
        <w:rPr>
          <w:rFonts w:asciiTheme="majorHAnsi" w:eastAsiaTheme="majorEastAsia" w:hAnsiTheme="majorHAnsi" w:cstheme="majorBidi"/>
          <w:b/>
          <w:bCs/>
          <w:color w:val="4F81BD" w:themeColor="accent1"/>
        </w:rPr>
      </w:pPr>
    </w:p>
    <w:p w14:paraId="74BD1D35" w14:textId="2501587A" w:rsidR="00EB37DD" w:rsidRDefault="00EB37DD" w:rsidP="00EB37DD">
      <w:pPr>
        <w:spacing w:after="200" w:line="276" w:lineRule="auto"/>
        <w:jc w:val="left"/>
        <w:rPr>
          <w:rFonts w:asciiTheme="majorHAnsi" w:eastAsiaTheme="majorEastAsia" w:hAnsiTheme="majorHAnsi" w:cstheme="majorBidi"/>
          <w:b/>
          <w:bCs/>
          <w:color w:val="4F81BD" w:themeColor="accent1"/>
        </w:rPr>
      </w:pPr>
    </w:p>
    <w:p w14:paraId="16167E5B" w14:textId="3341F192" w:rsidR="00EB37DD" w:rsidRDefault="00EB37DD" w:rsidP="00EB37DD">
      <w:pPr>
        <w:spacing w:after="200" w:line="276" w:lineRule="auto"/>
        <w:jc w:val="left"/>
        <w:rPr>
          <w:b/>
          <w:sz w:val="24"/>
        </w:rPr>
      </w:pPr>
    </w:p>
    <w:p w14:paraId="008F29AE" w14:textId="77777777" w:rsidR="0020758A" w:rsidRDefault="0020758A" w:rsidP="00EB37DD">
      <w:pPr>
        <w:spacing w:after="200" w:line="276" w:lineRule="auto"/>
        <w:jc w:val="left"/>
        <w:rPr>
          <w:b/>
          <w:sz w:val="24"/>
        </w:rPr>
      </w:pPr>
    </w:p>
    <w:p w14:paraId="431EB092" w14:textId="77777777" w:rsidR="007E31CB" w:rsidRDefault="007E31CB" w:rsidP="00EB37DD">
      <w:pPr>
        <w:spacing w:after="200" w:line="276" w:lineRule="auto"/>
        <w:jc w:val="left"/>
        <w:rPr>
          <w:b/>
          <w:sz w:val="24"/>
        </w:rPr>
      </w:pPr>
    </w:p>
    <w:p w14:paraId="4A7B9F62" w14:textId="77777777" w:rsidR="007E31CB" w:rsidRDefault="007E31CB" w:rsidP="00EB37DD">
      <w:pPr>
        <w:spacing w:after="200" w:line="276" w:lineRule="auto"/>
        <w:jc w:val="left"/>
        <w:rPr>
          <w:b/>
          <w:sz w:val="24"/>
        </w:rPr>
      </w:pPr>
    </w:p>
    <w:p w14:paraId="039E4C5F" w14:textId="77777777" w:rsidR="007E31CB" w:rsidRDefault="007E31CB" w:rsidP="00EB37DD">
      <w:pPr>
        <w:spacing w:after="200" w:line="276" w:lineRule="auto"/>
        <w:jc w:val="left"/>
        <w:rPr>
          <w:b/>
          <w:sz w:val="24"/>
        </w:rPr>
      </w:pPr>
    </w:p>
    <w:p w14:paraId="6AE47CDA" w14:textId="77777777" w:rsidR="007E31CB" w:rsidRDefault="007E31CB" w:rsidP="00EB37DD">
      <w:pPr>
        <w:spacing w:after="200" w:line="276" w:lineRule="auto"/>
        <w:jc w:val="left"/>
        <w:rPr>
          <w:b/>
          <w:sz w:val="24"/>
        </w:rPr>
      </w:pPr>
    </w:p>
    <w:p w14:paraId="5A9694B4" w14:textId="77777777" w:rsidR="007E31CB" w:rsidRDefault="007E31CB" w:rsidP="00EB37DD">
      <w:pPr>
        <w:spacing w:after="200" w:line="276" w:lineRule="auto"/>
        <w:jc w:val="left"/>
        <w:rPr>
          <w:b/>
          <w:sz w:val="24"/>
        </w:rPr>
      </w:pPr>
    </w:p>
    <w:p w14:paraId="5DD3B19A" w14:textId="77777777" w:rsidR="007E31CB" w:rsidRDefault="007E31CB" w:rsidP="00EB37DD">
      <w:pPr>
        <w:spacing w:after="200" w:line="276" w:lineRule="auto"/>
        <w:jc w:val="left"/>
        <w:rPr>
          <w:b/>
          <w:sz w:val="24"/>
        </w:rPr>
      </w:pPr>
    </w:p>
    <w:p w14:paraId="1D515696" w14:textId="77777777" w:rsidR="007E31CB" w:rsidRDefault="007E31CB" w:rsidP="00EB37DD">
      <w:pPr>
        <w:spacing w:after="200" w:line="276" w:lineRule="auto"/>
        <w:jc w:val="left"/>
        <w:rPr>
          <w:b/>
          <w:sz w:val="24"/>
        </w:rPr>
      </w:pPr>
    </w:p>
    <w:p w14:paraId="547372B6" w14:textId="6C048F20" w:rsidR="007E31CB" w:rsidRDefault="007E31CB">
      <w:pPr>
        <w:spacing w:after="200" w:line="276" w:lineRule="auto"/>
        <w:jc w:val="left"/>
        <w:rPr>
          <w:b/>
          <w:sz w:val="24"/>
        </w:rPr>
      </w:pPr>
      <w:r>
        <w:rPr>
          <w:b/>
          <w:sz w:val="24"/>
        </w:rPr>
        <w:br w:type="page"/>
      </w:r>
    </w:p>
    <w:p w14:paraId="05F3A4C2" w14:textId="03DD3334" w:rsidR="007E31CB" w:rsidRDefault="007E31CB" w:rsidP="00EB37DD">
      <w:pPr>
        <w:spacing w:after="200" w:line="276" w:lineRule="auto"/>
        <w:jc w:val="left"/>
        <w:rPr>
          <w:b/>
          <w:sz w:val="24"/>
        </w:rPr>
      </w:pPr>
      <w:r>
        <w:rPr>
          <w:noProof/>
        </w:rPr>
        <w:lastRenderedPageBreak/>
        <w:drawing>
          <wp:anchor distT="0" distB="0" distL="114300" distR="114300" simplePos="0" relativeHeight="251658273" behindDoc="0" locked="0" layoutInCell="1" allowOverlap="1" wp14:anchorId="6322D7A6" wp14:editId="20939FC8">
            <wp:simplePos x="0" y="0"/>
            <wp:positionH relativeFrom="column">
              <wp:posOffset>5080</wp:posOffset>
            </wp:positionH>
            <wp:positionV relativeFrom="paragraph">
              <wp:posOffset>367030</wp:posOffset>
            </wp:positionV>
            <wp:extent cx="4895850" cy="695452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0" cy="6954520"/>
                    </a:xfrm>
                    <a:prstGeom prst="rect">
                      <a:avLst/>
                    </a:prstGeom>
                  </pic:spPr>
                </pic:pic>
              </a:graphicData>
            </a:graphic>
            <wp14:sizeRelH relativeFrom="page">
              <wp14:pctWidth>0</wp14:pctWidth>
            </wp14:sizeRelH>
            <wp14:sizeRelV relativeFrom="page">
              <wp14:pctHeight>0</wp14:pctHeight>
            </wp14:sizeRelV>
          </wp:anchor>
        </w:drawing>
      </w:r>
    </w:p>
    <w:p w14:paraId="6F0449C4" w14:textId="77777777" w:rsidR="007E31CB" w:rsidRDefault="007E31CB" w:rsidP="00EB37DD">
      <w:pPr>
        <w:spacing w:after="200" w:line="276" w:lineRule="auto"/>
        <w:jc w:val="left"/>
        <w:rPr>
          <w:b/>
          <w:sz w:val="24"/>
        </w:rPr>
        <w:sectPr w:rsidR="007E31CB" w:rsidSect="0020758A">
          <w:headerReference w:type="default" r:id="rId54"/>
          <w:type w:val="oddPage"/>
          <w:pgSz w:w="11907" w:h="16840" w:code="9"/>
          <w:pgMar w:top="2466" w:right="2098" w:bottom="2466" w:left="2098" w:header="1899" w:footer="1899" w:gutter="0"/>
          <w:cols w:space="720"/>
          <w:titlePg/>
          <w:docGrid w:linePitch="360"/>
        </w:sectPr>
      </w:pPr>
    </w:p>
    <w:p w14:paraId="1FCDBA36" w14:textId="2E16E23D" w:rsidR="003711D9" w:rsidRPr="00E30512" w:rsidRDefault="00E30512">
      <w:pPr>
        <w:spacing w:after="200" w:line="276" w:lineRule="auto"/>
        <w:jc w:val="left"/>
        <w:rPr>
          <w:rFonts w:ascii="Arial" w:hAnsi="Arial"/>
          <w:color w:val="FF0000"/>
          <w:sz w:val="16"/>
        </w:rPr>
      </w:pPr>
      <w:r>
        <w:rPr>
          <w:noProof/>
        </w:rPr>
        <w:lastRenderedPageBreak/>
        <w:drawing>
          <wp:anchor distT="0" distB="0" distL="114300" distR="114300" simplePos="0" relativeHeight="251658255" behindDoc="0" locked="0" layoutInCell="1" allowOverlap="1" wp14:anchorId="12C371DA" wp14:editId="3EF204AB">
            <wp:simplePos x="0" y="0"/>
            <wp:positionH relativeFrom="column">
              <wp:posOffset>-16510</wp:posOffset>
            </wp:positionH>
            <wp:positionV relativeFrom="paragraph">
              <wp:posOffset>-6350</wp:posOffset>
            </wp:positionV>
            <wp:extent cx="4895850" cy="28651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0" cy="2865120"/>
                    </a:xfrm>
                    <a:prstGeom prst="rect">
                      <a:avLst/>
                    </a:prstGeom>
                  </pic:spPr>
                </pic:pic>
              </a:graphicData>
            </a:graphic>
            <wp14:sizeRelH relativeFrom="page">
              <wp14:pctWidth>0</wp14:pctWidth>
            </wp14:sizeRelH>
            <wp14:sizeRelV relativeFrom="page">
              <wp14:pctHeight>0</wp14:pctHeight>
            </wp14:sizeRelV>
          </wp:anchor>
        </w:drawing>
      </w:r>
    </w:p>
    <w:p w14:paraId="338D078F" w14:textId="153832F7" w:rsidR="00B0520E" w:rsidRPr="00E30512" w:rsidRDefault="00E30512" w:rsidP="00B0520E">
      <w:pPr>
        <w:pStyle w:val="Heading1"/>
        <w:jc w:val="center"/>
      </w:pPr>
      <w:bookmarkStart w:id="26" w:name="_Toc476737077"/>
      <w:r w:rsidRPr="00E30512">
        <w:t xml:space="preserve">Chapter 3: </w:t>
      </w:r>
      <w:r w:rsidR="00B0520E" w:rsidRPr="00E30512">
        <w:t>Foreign Investment Proposals Data</w:t>
      </w:r>
      <w:bookmarkEnd w:id="26"/>
    </w:p>
    <w:p w14:paraId="6C0AAD3A" w14:textId="198A9F4E" w:rsidR="00BA672D" w:rsidRDefault="00BA672D" w:rsidP="00B0520E"/>
    <w:p w14:paraId="10AABC15" w14:textId="5E16DC86" w:rsidR="00C72611" w:rsidRDefault="00C72611" w:rsidP="00C72611"/>
    <w:p w14:paraId="37A4D710" w14:textId="5691A0DF" w:rsidR="00C72611" w:rsidRDefault="00C72611" w:rsidP="00C72611"/>
    <w:p w14:paraId="35BA6970" w14:textId="35DC3656" w:rsidR="00646BCF" w:rsidRDefault="00646BCF" w:rsidP="00C72611"/>
    <w:p w14:paraId="2AD820F0" w14:textId="77777777" w:rsidR="00646BCF" w:rsidRDefault="00646BCF" w:rsidP="00C72611"/>
    <w:p w14:paraId="096D4EEB" w14:textId="4B4CC871" w:rsidR="00E32ADD" w:rsidRDefault="00E32ADD" w:rsidP="00204E29"/>
    <w:p w14:paraId="12B23207" w14:textId="6B464FDA" w:rsidR="00E32ADD" w:rsidRDefault="00E32ADD" w:rsidP="00204E29"/>
    <w:p w14:paraId="04A0B398" w14:textId="0E2F6D22" w:rsidR="00E32ADD" w:rsidRDefault="00E32ADD" w:rsidP="00204E29"/>
    <w:p w14:paraId="632FF114" w14:textId="77777777" w:rsidR="00D8391B" w:rsidRDefault="00D8391B" w:rsidP="00B0520E"/>
    <w:p w14:paraId="730EFF47" w14:textId="2A001616" w:rsidR="008857EE" w:rsidRPr="008857EE" w:rsidRDefault="008857EE" w:rsidP="00326F65">
      <w:r>
        <w:t>This chapter provi</w:t>
      </w:r>
      <w:r w:rsidRPr="008857EE">
        <w:t>des an overview of applications considered in 2015</w:t>
      </w:r>
      <w:r w:rsidR="008205A1">
        <w:noBreakHyphen/>
      </w:r>
      <w:r w:rsidRPr="008857EE">
        <w:t xml:space="preserve">16. It provides information on proposed investment </w:t>
      </w:r>
      <w:r w:rsidR="00666F06">
        <w:t>falling</w:t>
      </w:r>
      <w:r w:rsidRPr="008857EE">
        <w:t xml:space="preserve"> within the scope of Australia</w:t>
      </w:r>
      <w:r w:rsidR="008205A1">
        <w:t>’</w:t>
      </w:r>
      <w:r>
        <w:t>s Foreign In</w:t>
      </w:r>
      <w:r w:rsidRPr="008857EE">
        <w:t>vestment Policy (the Policy)</w:t>
      </w:r>
      <w:r w:rsidR="00D93685">
        <w:t>,</w:t>
      </w:r>
      <w:r w:rsidRPr="008857EE">
        <w:t xml:space="preserve"> the </w:t>
      </w:r>
      <w:r>
        <w:rPr>
          <w:i/>
        </w:rPr>
        <w:t>Forei</w:t>
      </w:r>
      <w:r w:rsidRPr="008857EE">
        <w:rPr>
          <w:i/>
        </w:rPr>
        <w:t>g</w:t>
      </w:r>
      <w:r>
        <w:rPr>
          <w:i/>
        </w:rPr>
        <w:t>n</w:t>
      </w:r>
      <w:r w:rsidRPr="008857EE">
        <w:rPr>
          <w:i/>
        </w:rPr>
        <w:t xml:space="preserve"> Acquisitions and Takeovers Act 1975</w:t>
      </w:r>
      <w:r w:rsidR="00FD029B">
        <w:t xml:space="preserve"> (the Act)</w:t>
      </w:r>
      <w:r w:rsidR="00D93685">
        <w:t xml:space="preserve"> and supporting legislation</w:t>
      </w:r>
      <w:r w:rsidR="00FD029B">
        <w:t>.</w:t>
      </w:r>
    </w:p>
    <w:p w14:paraId="26D87648" w14:textId="77777777" w:rsidR="00D92E16" w:rsidRPr="00B579B9" w:rsidRDefault="00D92E16" w:rsidP="00C72611">
      <w:pPr>
        <w:pStyle w:val="Heading2noTOC"/>
      </w:pPr>
      <w:r w:rsidRPr="00B579B9">
        <w:t>Features of the Foreign Investment Review Board statistics</w:t>
      </w:r>
    </w:p>
    <w:p w14:paraId="19952077" w14:textId="17B76D66" w:rsidR="00682678" w:rsidRPr="00B579B9" w:rsidRDefault="007A6391" w:rsidP="00B579B9">
      <w:pPr>
        <w:spacing w:after="0"/>
        <w:rPr>
          <w:color w:val="auto"/>
          <w:szCs w:val="24"/>
        </w:rPr>
      </w:pPr>
      <w:r w:rsidRPr="00B579B9">
        <w:rPr>
          <w:color w:val="auto"/>
          <w:szCs w:val="24"/>
        </w:rPr>
        <w:t>This section analyses all investment proposals that were finalised (approved, rejected, withdrawn or exempt) during 201</w:t>
      </w:r>
      <w:r w:rsidR="005452CD" w:rsidRPr="00B579B9">
        <w:rPr>
          <w:color w:val="auto"/>
          <w:szCs w:val="24"/>
        </w:rPr>
        <w:t>5</w:t>
      </w:r>
      <w:r w:rsidR="008205A1">
        <w:rPr>
          <w:color w:val="auto"/>
          <w:szCs w:val="24"/>
        </w:rPr>
        <w:noBreakHyphen/>
      </w:r>
      <w:r w:rsidRPr="00B579B9">
        <w:rPr>
          <w:color w:val="auto"/>
          <w:szCs w:val="24"/>
        </w:rPr>
        <w:t>1</w:t>
      </w:r>
      <w:r w:rsidR="005452CD" w:rsidRPr="00B579B9">
        <w:rPr>
          <w:color w:val="auto"/>
          <w:szCs w:val="24"/>
        </w:rPr>
        <w:t>6</w:t>
      </w:r>
      <w:r w:rsidRPr="00B579B9">
        <w:rPr>
          <w:color w:val="auto"/>
          <w:szCs w:val="24"/>
        </w:rPr>
        <w:t xml:space="preserve">, irrespective of the date </w:t>
      </w:r>
      <w:r w:rsidR="00B37F10">
        <w:rPr>
          <w:color w:val="auto"/>
          <w:szCs w:val="24"/>
        </w:rPr>
        <w:t xml:space="preserve">the application was </w:t>
      </w:r>
      <w:r w:rsidRPr="00B579B9">
        <w:rPr>
          <w:color w:val="auto"/>
          <w:szCs w:val="24"/>
        </w:rPr>
        <w:t xml:space="preserve">submitted. </w:t>
      </w:r>
      <w:r w:rsidR="00682678" w:rsidRPr="00B579B9">
        <w:rPr>
          <w:color w:val="auto"/>
          <w:szCs w:val="24"/>
        </w:rPr>
        <w:t xml:space="preserve">The term </w:t>
      </w:r>
      <w:r w:rsidR="008205A1">
        <w:rPr>
          <w:color w:val="auto"/>
          <w:szCs w:val="24"/>
        </w:rPr>
        <w:t>‘</w:t>
      </w:r>
      <w:r w:rsidR="00682678" w:rsidRPr="00B579B9">
        <w:rPr>
          <w:color w:val="auto"/>
          <w:szCs w:val="24"/>
        </w:rPr>
        <w:t>proposed investment</w:t>
      </w:r>
      <w:r w:rsidR="008205A1">
        <w:rPr>
          <w:color w:val="auto"/>
          <w:szCs w:val="24"/>
        </w:rPr>
        <w:t>’</w:t>
      </w:r>
      <w:r w:rsidR="00682678" w:rsidRPr="00B579B9">
        <w:rPr>
          <w:color w:val="auto"/>
          <w:szCs w:val="24"/>
        </w:rPr>
        <w:t xml:space="preserve"> is used widely throughout this report. The value of proposed investment is</w:t>
      </w:r>
      <w:r w:rsidR="003432CB">
        <w:rPr>
          <w:color w:val="auto"/>
          <w:szCs w:val="24"/>
        </w:rPr>
        <w:t xml:space="preserve"> an </w:t>
      </w:r>
      <w:r w:rsidR="00682678" w:rsidRPr="00B579B9">
        <w:rPr>
          <w:color w:val="auto"/>
          <w:szCs w:val="24"/>
        </w:rPr>
        <w:t>estimate</w:t>
      </w:r>
      <w:r w:rsidR="003432CB">
        <w:rPr>
          <w:color w:val="auto"/>
          <w:szCs w:val="24"/>
        </w:rPr>
        <w:t xml:space="preserve"> of the following</w:t>
      </w:r>
      <w:r w:rsidR="00682678" w:rsidRPr="00B579B9">
        <w:rPr>
          <w:color w:val="auto"/>
          <w:szCs w:val="24"/>
        </w:rPr>
        <w:t xml:space="preserve"> at the time of the approval:</w:t>
      </w:r>
    </w:p>
    <w:p w14:paraId="0D0B6F15" w14:textId="09296FA8" w:rsidR="00682678" w:rsidRPr="003432CB" w:rsidRDefault="00682678" w:rsidP="00834FAC">
      <w:pPr>
        <w:pStyle w:val="Bullet"/>
        <w:spacing w:before="60" w:after="60"/>
        <w:ind w:left="471" w:hanging="471"/>
      </w:pPr>
      <w:r w:rsidRPr="00834FAC">
        <w:rPr>
          <w:rFonts w:ascii="Calibri" w:hAnsi="Calibri"/>
        </w:rPr>
        <w:t>acquisition costs (including shares, real estate or other assets);</w:t>
      </w:r>
      <w:r w:rsidR="00C45A17" w:rsidRPr="003432CB">
        <w:rPr>
          <w:rFonts w:ascii="Calibri" w:hAnsi="Calibri"/>
        </w:rPr>
        <w:t xml:space="preserve"> </w:t>
      </w:r>
      <w:r w:rsidR="003432CB" w:rsidRPr="003432CB">
        <w:rPr>
          <w:rFonts w:ascii="Calibri" w:hAnsi="Calibri"/>
        </w:rPr>
        <w:t>and/or</w:t>
      </w:r>
    </w:p>
    <w:p w14:paraId="0AB13B3E" w14:textId="77777777" w:rsidR="00682678" w:rsidRPr="00B579B9" w:rsidRDefault="00682678" w:rsidP="00B579B9">
      <w:pPr>
        <w:pStyle w:val="Bullet"/>
        <w:spacing w:before="60"/>
        <w:rPr>
          <w:rFonts w:ascii="Calibri" w:hAnsi="Calibri"/>
        </w:rPr>
      </w:pPr>
      <w:proofErr w:type="gramStart"/>
      <w:r w:rsidRPr="00B579B9">
        <w:rPr>
          <w:rFonts w:ascii="Calibri" w:hAnsi="Calibri"/>
        </w:rPr>
        <w:t>costs</w:t>
      </w:r>
      <w:proofErr w:type="gramEnd"/>
      <w:r w:rsidRPr="00B579B9">
        <w:rPr>
          <w:rFonts w:ascii="Calibri" w:hAnsi="Calibri"/>
        </w:rPr>
        <w:t xml:space="preserve"> of both establishment and development in the case of new businesses.</w:t>
      </w:r>
    </w:p>
    <w:p w14:paraId="1F4F8D80" w14:textId="51640DC5" w:rsidR="003F1A7B" w:rsidRDefault="00682678" w:rsidP="00B579B9">
      <w:pPr>
        <w:rPr>
          <w:color w:val="auto"/>
        </w:rPr>
      </w:pPr>
      <w:r w:rsidRPr="005F07F8">
        <w:rPr>
          <w:color w:val="auto"/>
          <w:szCs w:val="24"/>
        </w:rPr>
        <w:t xml:space="preserve">There are a number of caveats that need to be applied in interpreting this data and these are set out in </w:t>
      </w:r>
      <w:r w:rsidR="005142C7">
        <w:rPr>
          <w:color w:val="auto"/>
          <w:szCs w:val="24"/>
        </w:rPr>
        <w:t xml:space="preserve">detail </w:t>
      </w:r>
      <w:r w:rsidR="00666F06">
        <w:rPr>
          <w:color w:val="auto"/>
          <w:szCs w:val="24"/>
        </w:rPr>
        <w:t xml:space="preserve">at </w:t>
      </w:r>
      <w:r w:rsidRPr="005F07F8">
        <w:rPr>
          <w:color w:val="auto"/>
          <w:szCs w:val="24"/>
        </w:rPr>
        <w:t>Appendix A.</w:t>
      </w:r>
      <w:r w:rsidR="003F1A7B">
        <w:rPr>
          <w:color w:val="auto"/>
          <w:szCs w:val="24"/>
        </w:rPr>
        <w:t xml:space="preserve"> Importantly, t</w:t>
      </w:r>
      <w:r w:rsidRPr="00B579B9">
        <w:rPr>
          <w:color w:val="auto"/>
          <w:szCs w:val="24"/>
        </w:rPr>
        <w:t>he approvals data do not measure total foreign investment made in any year or changes in net foreign ownership levels in Australia. Trends in actual investment are measured by the Australian Bureau of Statistics (ABS) and show a more stable trend over time than the approvals data</w:t>
      </w:r>
      <w:r w:rsidRPr="005F07F8">
        <w:rPr>
          <w:color w:val="auto"/>
          <w:szCs w:val="24"/>
        </w:rPr>
        <w:t xml:space="preserve">. </w:t>
      </w:r>
      <w:r w:rsidR="00666F06">
        <w:rPr>
          <w:color w:val="auto"/>
        </w:rPr>
        <w:t>T</w:t>
      </w:r>
      <w:r w:rsidR="00D92E16" w:rsidRPr="005F07F8">
        <w:rPr>
          <w:color w:val="auto"/>
        </w:rPr>
        <w:t>he</w:t>
      </w:r>
      <w:r w:rsidR="00D80389" w:rsidRPr="005F07F8">
        <w:rPr>
          <w:color w:val="auto"/>
        </w:rPr>
        <w:t xml:space="preserve"> foreign investment trends</w:t>
      </w:r>
      <w:r w:rsidR="00D92E16" w:rsidRPr="005F07F8">
        <w:rPr>
          <w:color w:val="auto"/>
        </w:rPr>
        <w:t xml:space="preserve"> section </w:t>
      </w:r>
      <w:r w:rsidR="00D80389" w:rsidRPr="005F07F8">
        <w:rPr>
          <w:color w:val="auto"/>
        </w:rPr>
        <w:t>of this report</w:t>
      </w:r>
      <w:r w:rsidR="00D92E16" w:rsidRPr="005F07F8">
        <w:rPr>
          <w:color w:val="auto"/>
        </w:rPr>
        <w:t xml:space="preserve"> </w:t>
      </w:r>
      <w:r w:rsidR="00666F06">
        <w:rPr>
          <w:color w:val="auto"/>
        </w:rPr>
        <w:t>provides the</w:t>
      </w:r>
      <w:r w:rsidR="00D92E16" w:rsidRPr="005F07F8">
        <w:rPr>
          <w:color w:val="auto"/>
        </w:rPr>
        <w:t xml:space="preserve"> actual investment data.</w:t>
      </w:r>
    </w:p>
    <w:p w14:paraId="3D1DDFD3" w14:textId="1DA0243E" w:rsidR="008B6006" w:rsidRPr="00B579B9" w:rsidRDefault="003F1A7B" w:rsidP="00B579B9">
      <w:pPr>
        <w:rPr>
          <w:color w:val="auto"/>
          <w:szCs w:val="24"/>
        </w:rPr>
      </w:pPr>
      <w:r>
        <w:rPr>
          <w:color w:val="auto"/>
        </w:rPr>
        <w:t>In addition</w:t>
      </w:r>
      <w:r w:rsidR="0058501D">
        <w:rPr>
          <w:color w:val="auto"/>
        </w:rPr>
        <w:t>,</w:t>
      </w:r>
      <w:r>
        <w:rPr>
          <w:color w:val="auto"/>
        </w:rPr>
        <w:t xml:space="preserve"> policy changes, legislative changes and changes to reporting methodologies over time can limit the comparability of data. </w:t>
      </w:r>
    </w:p>
    <w:p w14:paraId="4A455B85" w14:textId="6CD64E67" w:rsidR="006B0B26" w:rsidRDefault="006B0B26" w:rsidP="007E31CB">
      <w:pPr>
        <w:pStyle w:val="Heading2"/>
      </w:pPr>
      <w:bookmarkStart w:id="27" w:name="_Toc476737078"/>
      <w:r>
        <w:lastRenderedPageBreak/>
        <w:t>Proposals data overview</w:t>
      </w:r>
      <w:bookmarkEnd w:id="27"/>
    </w:p>
    <w:p w14:paraId="6CFFD8DC" w14:textId="7950D956" w:rsidR="005F2987" w:rsidRPr="005F2987" w:rsidRDefault="005F2987" w:rsidP="005F2987">
      <w:pPr>
        <w:pStyle w:val="TableGraphic"/>
      </w:pPr>
      <w:r>
        <w:rPr>
          <w:noProof/>
        </w:rPr>
        <w:drawing>
          <wp:anchor distT="0" distB="0" distL="114300" distR="114300" simplePos="0" relativeHeight="251658269" behindDoc="1" locked="0" layoutInCell="1" allowOverlap="1" wp14:anchorId="73B44C6A" wp14:editId="10D850BF">
            <wp:simplePos x="0" y="0"/>
            <wp:positionH relativeFrom="column">
              <wp:posOffset>1270</wp:posOffset>
            </wp:positionH>
            <wp:positionV relativeFrom="paragraph">
              <wp:posOffset>38735</wp:posOffset>
            </wp:positionV>
            <wp:extent cx="4790337" cy="6762174"/>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ME\AppData\Local\Microsoft\Windows\Temporary Internet Files\Content.Outlook\I70P45CX\Data overview points 02 (3).jpg"/>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796706" cy="677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E915C" w14:textId="4BF46198" w:rsidR="008C617D" w:rsidRDefault="008C617D">
      <w:pPr>
        <w:spacing w:after="200" w:line="276" w:lineRule="auto"/>
        <w:jc w:val="left"/>
        <w:rPr>
          <w:sz w:val="28"/>
        </w:rPr>
      </w:pPr>
    </w:p>
    <w:p w14:paraId="2D1B58A8" w14:textId="77777777" w:rsidR="008C617D" w:rsidRDefault="008C617D">
      <w:pPr>
        <w:spacing w:after="200" w:line="276" w:lineRule="auto"/>
        <w:jc w:val="left"/>
        <w:rPr>
          <w:sz w:val="28"/>
        </w:rPr>
      </w:pPr>
    </w:p>
    <w:p w14:paraId="2D4C0862" w14:textId="04E32FCB" w:rsidR="00843C9A" w:rsidRDefault="00843C9A">
      <w:pPr>
        <w:spacing w:after="200" w:line="276" w:lineRule="auto"/>
        <w:jc w:val="left"/>
        <w:rPr>
          <w:rFonts w:ascii="Arial" w:hAnsi="Arial"/>
          <w:b/>
          <w:color w:val="003E74"/>
          <w:sz w:val="28"/>
        </w:rPr>
      </w:pPr>
    </w:p>
    <w:p w14:paraId="7E84A0EF" w14:textId="77777777" w:rsidR="008C617D" w:rsidRDefault="008C617D">
      <w:pPr>
        <w:spacing w:after="200" w:line="276" w:lineRule="auto"/>
        <w:jc w:val="left"/>
        <w:rPr>
          <w:rFonts w:ascii="Arial" w:hAnsi="Arial"/>
          <w:b/>
          <w:color w:val="003E74"/>
          <w:sz w:val="28"/>
        </w:rPr>
      </w:pPr>
    </w:p>
    <w:p w14:paraId="411EEF4E" w14:textId="77777777" w:rsidR="008C617D" w:rsidRDefault="008C617D">
      <w:pPr>
        <w:spacing w:after="200" w:line="276" w:lineRule="auto"/>
        <w:jc w:val="left"/>
        <w:rPr>
          <w:rFonts w:ascii="Arial" w:hAnsi="Arial"/>
          <w:b/>
          <w:color w:val="003E74"/>
          <w:sz w:val="28"/>
        </w:rPr>
      </w:pPr>
    </w:p>
    <w:p w14:paraId="5ACF59BA" w14:textId="77777777" w:rsidR="008C617D" w:rsidRDefault="008C617D">
      <w:pPr>
        <w:spacing w:after="200" w:line="276" w:lineRule="auto"/>
        <w:jc w:val="left"/>
        <w:rPr>
          <w:rFonts w:ascii="Arial" w:hAnsi="Arial"/>
          <w:b/>
          <w:color w:val="003E74"/>
          <w:sz w:val="28"/>
        </w:rPr>
      </w:pPr>
    </w:p>
    <w:p w14:paraId="5FB21EF8" w14:textId="77777777" w:rsidR="008C617D" w:rsidRDefault="008C617D">
      <w:pPr>
        <w:spacing w:after="200" w:line="276" w:lineRule="auto"/>
        <w:jc w:val="left"/>
        <w:rPr>
          <w:rFonts w:ascii="Arial" w:hAnsi="Arial"/>
          <w:b/>
          <w:color w:val="003E74"/>
          <w:sz w:val="28"/>
        </w:rPr>
      </w:pPr>
    </w:p>
    <w:p w14:paraId="4F5AE73C" w14:textId="77777777" w:rsidR="008C617D" w:rsidRDefault="008C617D">
      <w:pPr>
        <w:spacing w:after="200" w:line="276" w:lineRule="auto"/>
        <w:jc w:val="left"/>
        <w:rPr>
          <w:rFonts w:ascii="Arial" w:hAnsi="Arial"/>
          <w:b/>
          <w:color w:val="003E74"/>
          <w:sz w:val="28"/>
        </w:rPr>
      </w:pPr>
    </w:p>
    <w:p w14:paraId="6D65CC26" w14:textId="77777777" w:rsidR="008C617D" w:rsidRDefault="008C617D">
      <w:pPr>
        <w:spacing w:after="200" w:line="276" w:lineRule="auto"/>
        <w:jc w:val="left"/>
        <w:rPr>
          <w:rFonts w:ascii="Arial" w:hAnsi="Arial"/>
          <w:b/>
          <w:color w:val="003E74"/>
          <w:sz w:val="28"/>
        </w:rPr>
      </w:pPr>
    </w:p>
    <w:p w14:paraId="7555C876" w14:textId="77777777" w:rsidR="008C617D" w:rsidRDefault="008C617D">
      <w:pPr>
        <w:spacing w:after="200" w:line="276" w:lineRule="auto"/>
        <w:jc w:val="left"/>
        <w:rPr>
          <w:rFonts w:ascii="Arial" w:hAnsi="Arial"/>
          <w:b/>
          <w:color w:val="003E74"/>
          <w:sz w:val="28"/>
        </w:rPr>
      </w:pPr>
    </w:p>
    <w:p w14:paraId="76F83E0A" w14:textId="77777777" w:rsidR="008C617D" w:rsidRDefault="008C617D">
      <w:pPr>
        <w:spacing w:after="200" w:line="276" w:lineRule="auto"/>
        <w:jc w:val="left"/>
        <w:rPr>
          <w:rFonts w:ascii="Arial" w:hAnsi="Arial"/>
          <w:b/>
          <w:color w:val="003E74"/>
          <w:sz w:val="28"/>
        </w:rPr>
      </w:pPr>
    </w:p>
    <w:p w14:paraId="2C710A7B" w14:textId="77777777" w:rsidR="008C617D" w:rsidRDefault="008C617D">
      <w:pPr>
        <w:spacing w:after="200" w:line="276" w:lineRule="auto"/>
        <w:jc w:val="left"/>
        <w:rPr>
          <w:rFonts w:ascii="Arial" w:hAnsi="Arial"/>
          <w:b/>
          <w:color w:val="003E74"/>
          <w:sz w:val="28"/>
        </w:rPr>
      </w:pPr>
    </w:p>
    <w:p w14:paraId="07ABEC79" w14:textId="77777777" w:rsidR="008C617D" w:rsidRDefault="008C617D">
      <w:pPr>
        <w:spacing w:after="200" w:line="276" w:lineRule="auto"/>
        <w:jc w:val="left"/>
        <w:rPr>
          <w:rFonts w:ascii="Arial" w:hAnsi="Arial"/>
          <w:b/>
          <w:color w:val="003E74"/>
          <w:sz w:val="28"/>
        </w:rPr>
      </w:pPr>
    </w:p>
    <w:p w14:paraId="699BA4FD" w14:textId="77777777" w:rsidR="008C617D" w:rsidRDefault="008C617D">
      <w:pPr>
        <w:spacing w:after="200" w:line="276" w:lineRule="auto"/>
        <w:jc w:val="left"/>
        <w:rPr>
          <w:rFonts w:ascii="Arial" w:hAnsi="Arial"/>
          <w:b/>
          <w:color w:val="003E74"/>
          <w:sz w:val="28"/>
        </w:rPr>
      </w:pPr>
    </w:p>
    <w:p w14:paraId="13155F3F" w14:textId="77777777" w:rsidR="008C617D" w:rsidRDefault="008C617D">
      <w:pPr>
        <w:spacing w:after="200" w:line="276" w:lineRule="auto"/>
        <w:jc w:val="left"/>
        <w:rPr>
          <w:rFonts w:ascii="Arial" w:hAnsi="Arial"/>
          <w:b/>
          <w:color w:val="003E74"/>
          <w:sz w:val="28"/>
        </w:rPr>
      </w:pPr>
    </w:p>
    <w:p w14:paraId="35F3A57D" w14:textId="77777777" w:rsidR="008C617D" w:rsidRDefault="008C617D">
      <w:pPr>
        <w:spacing w:after="200" w:line="276" w:lineRule="auto"/>
        <w:jc w:val="left"/>
        <w:rPr>
          <w:rFonts w:ascii="Arial" w:hAnsi="Arial"/>
          <w:b/>
          <w:color w:val="003E74"/>
          <w:sz w:val="28"/>
        </w:rPr>
      </w:pPr>
    </w:p>
    <w:p w14:paraId="5F208FB0" w14:textId="77777777" w:rsidR="008C617D" w:rsidRDefault="008C617D">
      <w:pPr>
        <w:spacing w:after="200" w:line="276" w:lineRule="auto"/>
        <w:jc w:val="left"/>
        <w:rPr>
          <w:rFonts w:ascii="Arial" w:hAnsi="Arial"/>
          <w:b/>
          <w:color w:val="003E74"/>
          <w:sz w:val="28"/>
        </w:rPr>
      </w:pPr>
    </w:p>
    <w:p w14:paraId="32C30B97" w14:textId="77777777" w:rsidR="005F2987" w:rsidRDefault="005F2987" w:rsidP="005F2987">
      <w:pPr>
        <w:pStyle w:val="SingleParagraph"/>
      </w:pPr>
    </w:p>
    <w:p w14:paraId="7FA065FC" w14:textId="77777777" w:rsidR="005F2987" w:rsidRDefault="008C617D" w:rsidP="008C617D">
      <w:pPr>
        <w:pStyle w:val="ChartandTableFootnote"/>
      </w:pPr>
      <w:r>
        <w:t xml:space="preserve">When considering this data please note: </w:t>
      </w:r>
    </w:p>
    <w:p w14:paraId="6524901B" w14:textId="7B2A0D23" w:rsidR="008C617D" w:rsidRDefault="008C617D" w:rsidP="008C617D">
      <w:pPr>
        <w:pStyle w:val="ChartandTableFootnote"/>
      </w:pPr>
      <w:r>
        <w:t>A</w:t>
      </w:r>
      <w:r w:rsidRPr="00B579B9">
        <w:t>pprovals data do not measure total foreign investment made in any year or c</w:t>
      </w:r>
      <w:r>
        <w:t xml:space="preserve">hanges in net foreign ownership </w:t>
      </w:r>
      <w:r w:rsidRPr="00B579B9">
        <w:t>levels in Australia</w:t>
      </w:r>
      <w:r>
        <w:t xml:space="preserve">. </w:t>
      </w:r>
      <w:r>
        <w:rPr>
          <w:color w:val="auto"/>
          <w:szCs w:val="24"/>
        </w:rPr>
        <w:t>Approvals data can be impacted by large one</w:t>
      </w:r>
      <w:r w:rsidR="008205A1">
        <w:rPr>
          <w:color w:val="auto"/>
          <w:szCs w:val="24"/>
        </w:rPr>
        <w:noBreakHyphen/>
      </w:r>
      <w:r>
        <w:rPr>
          <w:color w:val="auto"/>
          <w:szCs w:val="24"/>
        </w:rPr>
        <w:t>off proposed transactions, affecting the comparability of industry data across years.</w:t>
      </w:r>
    </w:p>
    <w:p w14:paraId="4CC8562B" w14:textId="57AB5E05" w:rsidR="007A6391" w:rsidRPr="00843C9A" w:rsidRDefault="00E30512" w:rsidP="00115593">
      <w:pPr>
        <w:pStyle w:val="Heading2"/>
      </w:pPr>
      <w:bookmarkStart w:id="28" w:name="_Toc476737079"/>
      <w:r>
        <w:lastRenderedPageBreak/>
        <w:t>Overall applications c</w:t>
      </w:r>
      <w:r w:rsidR="0094750D" w:rsidRPr="00843C9A">
        <w:t>onsidered</w:t>
      </w:r>
      <w:bookmarkEnd w:id="28"/>
    </w:p>
    <w:p w14:paraId="22CC1365" w14:textId="41312A2E" w:rsidR="00C03378" w:rsidRPr="00843C9A" w:rsidRDefault="00E560F4" w:rsidP="00843C9A">
      <w:pPr>
        <w:rPr>
          <w:color w:val="auto"/>
          <w:szCs w:val="24"/>
        </w:rPr>
      </w:pPr>
      <w:r w:rsidRPr="00843C9A">
        <w:rPr>
          <w:color w:val="auto"/>
          <w:szCs w:val="24"/>
        </w:rPr>
        <w:t>In 201</w:t>
      </w:r>
      <w:r w:rsidR="005452CD" w:rsidRPr="00843C9A">
        <w:rPr>
          <w:color w:val="auto"/>
          <w:szCs w:val="24"/>
        </w:rPr>
        <w:t>5</w:t>
      </w:r>
      <w:r w:rsidR="008205A1">
        <w:rPr>
          <w:color w:val="auto"/>
          <w:szCs w:val="24"/>
        </w:rPr>
        <w:noBreakHyphen/>
      </w:r>
      <w:r w:rsidRPr="00843C9A">
        <w:rPr>
          <w:color w:val="auto"/>
          <w:szCs w:val="24"/>
        </w:rPr>
        <w:t>1</w:t>
      </w:r>
      <w:r w:rsidR="005452CD" w:rsidRPr="00843C9A">
        <w:rPr>
          <w:color w:val="auto"/>
          <w:szCs w:val="24"/>
        </w:rPr>
        <w:t>6</w:t>
      </w:r>
      <w:r w:rsidRPr="00843C9A">
        <w:rPr>
          <w:color w:val="auto"/>
          <w:szCs w:val="24"/>
        </w:rPr>
        <w:t xml:space="preserve">, the number of </w:t>
      </w:r>
      <w:r w:rsidR="0018636D">
        <w:rPr>
          <w:color w:val="auto"/>
          <w:szCs w:val="24"/>
        </w:rPr>
        <w:t xml:space="preserve">applications </w:t>
      </w:r>
      <w:r w:rsidR="007E005A">
        <w:rPr>
          <w:color w:val="auto"/>
          <w:szCs w:val="24"/>
        </w:rPr>
        <w:t>approved</w:t>
      </w:r>
      <w:r w:rsidR="00C03378" w:rsidRPr="00843C9A">
        <w:rPr>
          <w:color w:val="auto"/>
          <w:szCs w:val="24"/>
        </w:rPr>
        <w:t xml:space="preserve"> </w:t>
      </w:r>
      <w:r w:rsidR="005971CC" w:rsidRPr="00843C9A">
        <w:rPr>
          <w:color w:val="auto"/>
          <w:szCs w:val="24"/>
        </w:rPr>
        <w:t>grew</w:t>
      </w:r>
      <w:r w:rsidR="00C04434" w:rsidRPr="00843C9A">
        <w:rPr>
          <w:color w:val="auto"/>
          <w:szCs w:val="24"/>
        </w:rPr>
        <w:t xml:space="preserve"> to 41,445 compared with 37,953 in 2014</w:t>
      </w:r>
      <w:r w:rsidR="008205A1">
        <w:rPr>
          <w:color w:val="auto"/>
          <w:szCs w:val="24"/>
        </w:rPr>
        <w:noBreakHyphen/>
      </w:r>
      <w:r w:rsidR="00C04434" w:rsidRPr="00843C9A">
        <w:rPr>
          <w:color w:val="auto"/>
          <w:szCs w:val="24"/>
        </w:rPr>
        <w:t>15.</w:t>
      </w:r>
      <w:r w:rsidR="00A0516F">
        <w:rPr>
          <w:color w:val="auto"/>
          <w:szCs w:val="24"/>
        </w:rPr>
        <w:t xml:space="preserve"> This represented $2</w:t>
      </w:r>
      <w:r w:rsidR="00B33348">
        <w:rPr>
          <w:color w:val="auto"/>
          <w:szCs w:val="24"/>
        </w:rPr>
        <w:t>47.9</w:t>
      </w:r>
      <w:r w:rsidR="00A0516F">
        <w:rPr>
          <w:color w:val="auto"/>
          <w:szCs w:val="24"/>
        </w:rPr>
        <w:t xml:space="preserve"> billion of proposed investment</w:t>
      </w:r>
      <w:r w:rsidR="00CC56FB">
        <w:rPr>
          <w:color w:val="auto"/>
          <w:szCs w:val="24"/>
        </w:rPr>
        <w:t xml:space="preserve">, up from </w:t>
      </w:r>
      <w:r w:rsidR="00A0516F">
        <w:rPr>
          <w:color w:val="auto"/>
          <w:szCs w:val="24"/>
        </w:rPr>
        <w:t>$191.9 billion in</w:t>
      </w:r>
      <w:r w:rsidR="00BB0B98">
        <w:rPr>
          <w:color w:val="auto"/>
          <w:szCs w:val="24"/>
        </w:rPr>
        <w:t> </w:t>
      </w:r>
      <w:r w:rsidR="00A0516F">
        <w:rPr>
          <w:color w:val="auto"/>
          <w:szCs w:val="24"/>
        </w:rPr>
        <w:t>201</w:t>
      </w:r>
      <w:r w:rsidR="00E919E1">
        <w:rPr>
          <w:color w:val="auto"/>
          <w:szCs w:val="24"/>
        </w:rPr>
        <w:t>4</w:t>
      </w:r>
      <w:r w:rsidR="008205A1">
        <w:rPr>
          <w:color w:val="auto"/>
          <w:szCs w:val="24"/>
        </w:rPr>
        <w:noBreakHyphen/>
      </w:r>
      <w:r w:rsidR="00A0516F">
        <w:rPr>
          <w:color w:val="auto"/>
          <w:szCs w:val="24"/>
        </w:rPr>
        <w:t>15</w:t>
      </w:r>
      <w:r w:rsidR="001C64EE">
        <w:rPr>
          <w:color w:val="auto"/>
          <w:szCs w:val="24"/>
        </w:rPr>
        <w:t>.</w:t>
      </w:r>
    </w:p>
    <w:p w14:paraId="5FD1F833" w14:textId="3B31CF9C" w:rsidR="00BF0C32" w:rsidRDefault="00BF0C32" w:rsidP="00843C9A">
      <w:pPr>
        <w:rPr>
          <w:color w:val="auto"/>
          <w:szCs w:val="24"/>
        </w:rPr>
      </w:pPr>
      <w:r w:rsidRPr="00843C9A">
        <w:rPr>
          <w:color w:val="auto"/>
          <w:szCs w:val="24"/>
        </w:rPr>
        <w:t>The</w:t>
      </w:r>
      <w:r w:rsidR="00245F47">
        <w:rPr>
          <w:color w:val="auto"/>
          <w:szCs w:val="24"/>
        </w:rPr>
        <w:t>re was</w:t>
      </w:r>
      <w:r w:rsidRPr="00843C9A">
        <w:rPr>
          <w:color w:val="auto"/>
          <w:szCs w:val="24"/>
        </w:rPr>
        <w:t xml:space="preserve"> a significant increase in the number of </w:t>
      </w:r>
      <w:r w:rsidR="00FD1A3E">
        <w:rPr>
          <w:color w:val="auto"/>
          <w:szCs w:val="24"/>
        </w:rPr>
        <w:t>applications submitted</w:t>
      </w:r>
      <w:r w:rsidRPr="00843C9A">
        <w:rPr>
          <w:color w:val="auto"/>
          <w:szCs w:val="24"/>
        </w:rPr>
        <w:t xml:space="preserve"> in the </w:t>
      </w:r>
      <w:r w:rsidR="00FD1A3E">
        <w:rPr>
          <w:color w:val="auto"/>
          <w:szCs w:val="24"/>
        </w:rPr>
        <w:t>immediate lead</w:t>
      </w:r>
      <w:r w:rsidR="008205A1">
        <w:rPr>
          <w:color w:val="auto"/>
          <w:szCs w:val="24"/>
        </w:rPr>
        <w:noBreakHyphen/>
      </w:r>
      <w:r w:rsidR="00FD1A3E">
        <w:rPr>
          <w:color w:val="auto"/>
          <w:szCs w:val="24"/>
        </w:rPr>
        <w:t xml:space="preserve">up to </w:t>
      </w:r>
      <w:r w:rsidR="00245F47">
        <w:rPr>
          <w:color w:val="auto"/>
          <w:szCs w:val="24"/>
        </w:rPr>
        <w:t>1 December 2015</w:t>
      </w:r>
      <w:r w:rsidRPr="00843C9A">
        <w:rPr>
          <w:color w:val="auto"/>
          <w:szCs w:val="24"/>
        </w:rPr>
        <w:t>. Around 16,000 applications were received in November</w:t>
      </w:r>
      <w:r w:rsidR="00383948">
        <w:rPr>
          <w:color w:val="auto"/>
          <w:szCs w:val="24"/>
        </w:rPr>
        <w:t xml:space="preserve"> 2015</w:t>
      </w:r>
      <w:r w:rsidRPr="00843C9A">
        <w:rPr>
          <w:color w:val="auto"/>
          <w:szCs w:val="24"/>
        </w:rPr>
        <w:t xml:space="preserve">, including almost 8,000 in </w:t>
      </w:r>
      <w:r w:rsidR="003E638F" w:rsidRPr="00843C9A">
        <w:rPr>
          <w:color w:val="auto"/>
          <w:szCs w:val="24"/>
        </w:rPr>
        <w:t xml:space="preserve">the </w:t>
      </w:r>
      <w:r w:rsidRPr="00843C9A">
        <w:rPr>
          <w:color w:val="auto"/>
          <w:szCs w:val="24"/>
        </w:rPr>
        <w:t>week</w:t>
      </w:r>
      <w:r w:rsidR="003E638F" w:rsidRPr="00843C9A">
        <w:rPr>
          <w:color w:val="auto"/>
          <w:szCs w:val="24"/>
        </w:rPr>
        <w:t xml:space="preserve"> before 1 December 2015</w:t>
      </w:r>
      <w:r w:rsidR="00695826">
        <w:rPr>
          <w:color w:val="auto"/>
          <w:szCs w:val="24"/>
        </w:rPr>
        <w:t xml:space="preserve">. </w:t>
      </w:r>
      <w:r w:rsidR="006659B9">
        <w:rPr>
          <w:color w:val="auto"/>
          <w:szCs w:val="24"/>
        </w:rPr>
        <w:t>By</w:t>
      </w:r>
      <w:r w:rsidR="00695826">
        <w:rPr>
          <w:color w:val="auto"/>
          <w:szCs w:val="24"/>
        </w:rPr>
        <w:t xml:space="preserve"> comparison</w:t>
      </w:r>
      <w:r w:rsidRPr="00843C9A">
        <w:rPr>
          <w:color w:val="auto"/>
          <w:szCs w:val="24"/>
        </w:rPr>
        <w:t>, the average number of monthly applications for 2014</w:t>
      </w:r>
      <w:r w:rsidR="008205A1">
        <w:rPr>
          <w:color w:val="auto"/>
          <w:szCs w:val="24"/>
        </w:rPr>
        <w:noBreakHyphen/>
      </w:r>
      <w:r w:rsidRPr="00843C9A">
        <w:rPr>
          <w:color w:val="auto"/>
          <w:szCs w:val="24"/>
        </w:rPr>
        <w:t xml:space="preserve">15 </w:t>
      </w:r>
      <w:r w:rsidR="00695826">
        <w:rPr>
          <w:color w:val="auto"/>
          <w:szCs w:val="24"/>
        </w:rPr>
        <w:t>was</w:t>
      </w:r>
      <w:r w:rsidRPr="00843C9A">
        <w:rPr>
          <w:color w:val="auto"/>
          <w:szCs w:val="24"/>
        </w:rPr>
        <w:t xml:space="preserve"> around 3,200</w:t>
      </w:r>
      <w:r w:rsidR="00FD1A3E">
        <w:rPr>
          <w:color w:val="auto"/>
          <w:szCs w:val="24"/>
        </w:rPr>
        <w:t xml:space="preserve"> per month</w:t>
      </w:r>
      <w:r w:rsidRPr="00843C9A">
        <w:rPr>
          <w:color w:val="auto"/>
          <w:szCs w:val="24"/>
        </w:rPr>
        <w:t>.</w:t>
      </w:r>
      <w:r w:rsidR="00B96B51">
        <w:rPr>
          <w:color w:val="auto"/>
          <w:szCs w:val="24"/>
        </w:rPr>
        <w:t xml:space="preserve"> </w:t>
      </w:r>
      <w:r w:rsidR="00044857">
        <w:rPr>
          <w:color w:val="auto"/>
          <w:szCs w:val="24"/>
        </w:rPr>
        <w:t>Th</w:t>
      </w:r>
      <w:r w:rsidR="007E005A">
        <w:rPr>
          <w:color w:val="auto"/>
          <w:szCs w:val="24"/>
        </w:rPr>
        <w:t>e short term increase</w:t>
      </w:r>
      <w:r w:rsidR="00044857">
        <w:rPr>
          <w:color w:val="auto"/>
          <w:szCs w:val="24"/>
        </w:rPr>
        <w:t xml:space="preserve"> is </w:t>
      </w:r>
      <w:r w:rsidR="005A2D14">
        <w:rPr>
          <w:color w:val="auto"/>
          <w:szCs w:val="24"/>
        </w:rPr>
        <w:t>most likely</w:t>
      </w:r>
      <w:r w:rsidR="00044857">
        <w:rPr>
          <w:color w:val="auto"/>
          <w:szCs w:val="24"/>
        </w:rPr>
        <w:t xml:space="preserve"> </w:t>
      </w:r>
      <w:r w:rsidR="00E65F39">
        <w:rPr>
          <w:color w:val="auto"/>
          <w:szCs w:val="24"/>
        </w:rPr>
        <w:t>attributable</w:t>
      </w:r>
      <w:r w:rsidR="00695826">
        <w:rPr>
          <w:color w:val="auto"/>
          <w:szCs w:val="24"/>
        </w:rPr>
        <w:t xml:space="preserve"> to</w:t>
      </w:r>
      <w:r w:rsidR="00044857">
        <w:rPr>
          <w:color w:val="auto"/>
          <w:szCs w:val="24"/>
        </w:rPr>
        <w:t xml:space="preserve"> the</w:t>
      </w:r>
      <w:r w:rsidR="00B96B51">
        <w:rPr>
          <w:color w:val="auto"/>
          <w:szCs w:val="24"/>
        </w:rPr>
        <w:t xml:space="preserve"> </w:t>
      </w:r>
      <w:r w:rsidR="00FD41AA">
        <w:rPr>
          <w:color w:val="auto"/>
          <w:szCs w:val="24"/>
        </w:rPr>
        <w:t xml:space="preserve">introduction of fees for applications </w:t>
      </w:r>
      <w:r w:rsidR="00695826">
        <w:rPr>
          <w:color w:val="auto"/>
          <w:szCs w:val="24"/>
        </w:rPr>
        <w:t>submitted from 1 December 2015.</w:t>
      </w:r>
    </w:p>
    <w:p w14:paraId="42102E00" w14:textId="70AF663C" w:rsidR="00CC56FB" w:rsidRDefault="00B96322" w:rsidP="00843C9A">
      <w:pPr>
        <w:rPr>
          <w:color w:val="auto"/>
          <w:szCs w:val="24"/>
        </w:rPr>
      </w:pPr>
      <w:r>
        <w:rPr>
          <w:color w:val="auto"/>
          <w:szCs w:val="24"/>
        </w:rPr>
        <w:t>Fewer applications were approved with conditions during 2015</w:t>
      </w:r>
      <w:r w:rsidR="008205A1">
        <w:rPr>
          <w:color w:val="auto"/>
          <w:szCs w:val="24"/>
        </w:rPr>
        <w:noBreakHyphen/>
      </w:r>
      <w:r>
        <w:rPr>
          <w:color w:val="auto"/>
          <w:szCs w:val="24"/>
        </w:rPr>
        <w:t>16</w:t>
      </w:r>
      <w:r w:rsidR="00E65F39">
        <w:rPr>
          <w:color w:val="auto"/>
          <w:szCs w:val="24"/>
        </w:rPr>
        <w:t xml:space="preserve"> than in 2014</w:t>
      </w:r>
      <w:r w:rsidR="008205A1">
        <w:rPr>
          <w:color w:val="auto"/>
          <w:szCs w:val="24"/>
        </w:rPr>
        <w:noBreakHyphen/>
      </w:r>
      <w:r w:rsidR="00E65F39">
        <w:rPr>
          <w:color w:val="auto"/>
          <w:szCs w:val="24"/>
        </w:rPr>
        <w:t>15</w:t>
      </w:r>
      <w:r w:rsidR="00BB0B98">
        <w:rPr>
          <w:color w:val="auto"/>
          <w:szCs w:val="24"/>
        </w:rPr>
        <w:t xml:space="preserve"> althoug</w:t>
      </w:r>
      <w:r w:rsidR="00CC56FB">
        <w:rPr>
          <w:color w:val="auto"/>
          <w:szCs w:val="24"/>
        </w:rPr>
        <w:t>h</w:t>
      </w:r>
      <w:r w:rsidR="00BB0B98">
        <w:rPr>
          <w:color w:val="auto"/>
          <w:szCs w:val="24"/>
        </w:rPr>
        <w:t xml:space="preserve"> </w:t>
      </w:r>
      <w:r w:rsidR="00CC56FB">
        <w:rPr>
          <w:color w:val="auto"/>
          <w:szCs w:val="24"/>
        </w:rPr>
        <w:t>the number of conditional business approvals increased</w:t>
      </w:r>
      <w:r>
        <w:rPr>
          <w:color w:val="auto"/>
          <w:szCs w:val="24"/>
        </w:rPr>
        <w:t xml:space="preserve">. </w:t>
      </w:r>
    </w:p>
    <w:p w14:paraId="6355117B" w14:textId="7B423C47" w:rsidR="00AE4B69" w:rsidRPr="00843C9A" w:rsidRDefault="00B96322" w:rsidP="00843C9A">
      <w:pPr>
        <w:rPr>
          <w:color w:val="auto"/>
          <w:szCs w:val="24"/>
        </w:rPr>
      </w:pPr>
      <w:r>
        <w:rPr>
          <w:color w:val="auto"/>
          <w:szCs w:val="24"/>
        </w:rPr>
        <w:t xml:space="preserve">This can be explained by </w:t>
      </w:r>
      <w:r w:rsidR="00695826">
        <w:rPr>
          <w:color w:val="auto"/>
          <w:szCs w:val="24"/>
        </w:rPr>
        <w:t>an increase in the</w:t>
      </w:r>
      <w:r>
        <w:rPr>
          <w:color w:val="auto"/>
          <w:szCs w:val="24"/>
        </w:rPr>
        <w:t xml:space="preserve"> number of approvals for new dwellings</w:t>
      </w:r>
      <w:r w:rsidR="00695826">
        <w:rPr>
          <w:color w:val="auto"/>
          <w:szCs w:val="24"/>
        </w:rPr>
        <w:t xml:space="preserve"> (</w:t>
      </w:r>
      <w:r>
        <w:rPr>
          <w:color w:val="auto"/>
          <w:szCs w:val="24"/>
        </w:rPr>
        <w:t>which are not typically subject to condition</w:t>
      </w:r>
      <w:r w:rsidR="00695826">
        <w:rPr>
          <w:color w:val="auto"/>
          <w:szCs w:val="24"/>
        </w:rPr>
        <w:t xml:space="preserve">s on </w:t>
      </w:r>
      <w:r>
        <w:rPr>
          <w:color w:val="auto"/>
          <w:szCs w:val="24"/>
        </w:rPr>
        <w:t>approval</w:t>
      </w:r>
      <w:r w:rsidR="00695826">
        <w:rPr>
          <w:color w:val="auto"/>
          <w:szCs w:val="24"/>
        </w:rPr>
        <w:t>) matched with a decrease in approvals for established dwellings (which are typically subject to conditions on approval). This is consistent with the Government</w:t>
      </w:r>
      <w:r w:rsidR="008205A1">
        <w:rPr>
          <w:color w:val="auto"/>
          <w:szCs w:val="24"/>
        </w:rPr>
        <w:t>’</w:t>
      </w:r>
      <w:r w:rsidR="00695826">
        <w:rPr>
          <w:color w:val="auto"/>
          <w:szCs w:val="24"/>
        </w:rPr>
        <w:t>s policy to channel foreign investment in residential real estate into investment that increases the housing stock</w:t>
      </w:r>
      <w:r>
        <w:rPr>
          <w:color w:val="auto"/>
          <w:szCs w:val="24"/>
        </w:rPr>
        <w:t xml:space="preserve">. </w:t>
      </w:r>
      <w:r w:rsidR="007E005A">
        <w:rPr>
          <w:color w:val="auto"/>
          <w:szCs w:val="24"/>
        </w:rPr>
        <w:t>However, t</w:t>
      </w:r>
      <w:r w:rsidR="00AE4B69">
        <w:rPr>
          <w:color w:val="auto"/>
          <w:szCs w:val="24"/>
        </w:rPr>
        <w:t xml:space="preserve">he value of applications </w:t>
      </w:r>
      <w:r w:rsidR="007E005A">
        <w:rPr>
          <w:color w:val="auto"/>
          <w:szCs w:val="24"/>
        </w:rPr>
        <w:t xml:space="preserve">approved </w:t>
      </w:r>
      <w:r w:rsidR="00AE4B69">
        <w:rPr>
          <w:color w:val="auto"/>
          <w:szCs w:val="24"/>
        </w:rPr>
        <w:t xml:space="preserve">with conditions increased </w:t>
      </w:r>
      <w:r w:rsidR="00380D3F">
        <w:rPr>
          <w:color w:val="auto"/>
          <w:szCs w:val="24"/>
        </w:rPr>
        <w:t>significantly, reflecti</w:t>
      </w:r>
      <w:r w:rsidR="00695826">
        <w:rPr>
          <w:color w:val="auto"/>
          <w:szCs w:val="24"/>
        </w:rPr>
        <w:t>ng large, one</w:t>
      </w:r>
      <w:r w:rsidR="008205A1">
        <w:rPr>
          <w:color w:val="auto"/>
          <w:szCs w:val="24"/>
        </w:rPr>
        <w:noBreakHyphen/>
      </w:r>
      <w:r w:rsidR="00695826">
        <w:rPr>
          <w:color w:val="auto"/>
          <w:szCs w:val="24"/>
        </w:rPr>
        <w:t>off transactions</w:t>
      </w:r>
      <w:r w:rsidR="007E005A">
        <w:rPr>
          <w:color w:val="auto"/>
          <w:szCs w:val="24"/>
        </w:rPr>
        <w:t xml:space="preserve"> in sensitive sectors</w:t>
      </w:r>
      <w:r w:rsidR="00695826">
        <w:rPr>
          <w:color w:val="auto"/>
          <w:szCs w:val="24"/>
        </w:rPr>
        <w:t>.</w:t>
      </w:r>
    </w:p>
    <w:p w14:paraId="34EC122C" w14:textId="77777777" w:rsidR="0094750D" w:rsidRPr="00843C9A" w:rsidRDefault="0094750D" w:rsidP="00843C9A">
      <w:pPr>
        <w:pStyle w:val="Heading3"/>
        <w:rPr>
          <w:rFonts w:asciiTheme="minorHAnsi" w:hAnsiTheme="minorHAnsi"/>
          <w:smallCaps/>
        </w:rPr>
      </w:pPr>
      <w:r w:rsidRPr="00843C9A">
        <w:rPr>
          <w:rFonts w:asciiTheme="minorHAnsi" w:hAnsiTheme="minorHAnsi"/>
        </w:rPr>
        <w:t>Withdrawn applications</w:t>
      </w:r>
    </w:p>
    <w:p w14:paraId="294D3A3C" w14:textId="7F910032" w:rsidR="008B6006" w:rsidRPr="00843C9A" w:rsidRDefault="009B17DA" w:rsidP="00843C9A">
      <w:pPr>
        <w:rPr>
          <w:color w:val="auto"/>
          <w:szCs w:val="24"/>
        </w:rPr>
      </w:pPr>
      <w:r>
        <w:rPr>
          <w:color w:val="auto"/>
          <w:szCs w:val="24"/>
        </w:rPr>
        <w:t>In</w:t>
      </w:r>
      <w:r w:rsidR="001439E5" w:rsidRPr="00843C9A">
        <w:rPr>
          <w:color w:val="auto"/>
          <w:szCs w:val="24"/>
        </w:rPr>
        <w:t xml:space="preserve"> 2015</w:t>
      </w:r>
      <w:r w:rsidR="008205A1">
        <w:rPr>
          <w:color w:val="auto"/>
          <w:szCs w:val="24"/>
        </w:rPr>
        <w:noBreakHyphen/>
      </w:r>
      <w:r>
        <w:rPr>
          <w:color w:val="auto"/>
          <w:szCs w:val="24"/>
        </w:rPr>
        <w:t xml:space="preserve">16, 1,319 applications were withdrawn. Prior to the </w:t>
      </w:r>
      <w:r w:rsidR="001439E5" w:rsidRPr="00843C9A">
        <w:rPr>
          <w:color w:val="auto"/>
          <w:szCs w:val="24"/>
        </w:rPr>
        <w:t>December 2015</w:t>
      </w:r>
      <w:r>
        <w:rPr>
          <w:color w:val="auto"/>
          <w:szCs w:val="24"/>
        </w:rPr>
        <w:t xml:space="preserve"> reforms</w:t>
      </w:r>
      <w:r w:rsidR="001439E5" w:rsidRPr="00843C9A">
        <w:rPr>
          <w:color w:val="auto"/>
          <w:szCs w:val="24"/>
        </w:rPr>
        <w:t xml:space="preserve">, an applicant may have withdrawn </w:t>
      </w:r>
      <w:r w:rsidR="008B6006" w:rsidRPr="00843C9A">
        <w:rPr>
          <w:color w:val="auto"/>
          <w:szCs w:val="24"/>
        </w:rPr>
        <w:t xml:space="preserve">and resubmitted </w:t>
      </w:r>
      <w:r w:rsidR="00141E58" w:rsidRPr="00843C9A">
        <w:rPr>
          <w:color w:val="auto"/>
          <w:szCs w:val="24"/>
        </w:rPr>
        <w:t>their</w:t>
      </w:r>
      <w:r w:rsidR="001439E5" w:rsidRPr="00843C9A">
        <w:rPr>
          <w:color w:val="auto"/>
          <w:szCs w:val="24"/>
        </w:rPr>
        <w:t xml:space="preserve"> application </w:t>
      </w:r>
      <w:r w:rsidR="008B6006" w:rsidRPr="00843C9A">
        <w:rPr>
          <w:color w:val="auto"/>
          <w:szCs w:val="24"/>
        </w:rPr>
        <w:t>to extend the statutory deadline</w:t>
      </w:r>
      <w:r w:rsidR="001439E5" w:rsidRPr="00843C9A">
        <w:rPr>
          <w:color w:val="auto"/>
          <w:szCs w:val="24"/>
        </w:rPr>
        <w:t xml:space="preserve">. However, as part of the reforms, the </w:t>
      </w:r>
      <w:r>
        <w:rPr>
          <w:color w:val="auto"/>
          <w:szCs w:val="24"/>
        </w:rPr>
        <w:t>extension</w:t>
      </w:r>
      <w:r w:rsidR="001439E5" w:rsidRPr="00843C9A">
        <w:rPr>
          <w:color w:val="auto"/>
          <w:szCs w:val="24"/>
        </w:rPr>
        <w:t xml:space="preserve"> process was simplified so </w:t>
      </w:r>
      <w:r w:rsidR="00141E58" w:rsidRPr="00843C9A">
        <w:rPr>
          <w:color w:val="auto"/>
          <w:szCs w:val="24"/>
        </w:rPr>
        <w:t xml:space="preserve">the period to consider an application </w:t>
      </w:r>
      <w:r w:rsidR="001439E5" w:rsidRPr="00843C9A">
        <w:rPr>
          <w:color w:val="auto"/>
          <w:szCs w:val="24"/>
        </w:rPr>
        <w:t xml:space="preserve">can be </w:t>
      </w:r>
      <w:r w:rsidR="00141E58" w:rsidRPr="00843C9A">
        <w:rPr>
          <w:color w:val="auto"/>
          <w:szCs w:val="24"/>
        </w:rPr>
        <w:t xml:space="preserve">extended </w:t>
      </w:r>
      <w:r>
        <w:rPr>
          <w:color w:val="auto"/>
          <w:szCs w:val="24"/>
        </w:rPr>
        <w:t xml:space="preserve">when requested </w:t>
      </w:r>
      <w:r w:rsidR="00141E58" w:rsidRPr="00843C9A">
        <w:rPr>
          <w:color w:val="auto"/>
          <w:szCs w:val="24"/>
        </w:rPr>
        <w:t xml:space="preserve">by the </w:t>
      </w:r>
      <w:r w:rsidR="001439E5" w:rsidRPr="00843C9A">
        <w:rPr>
          <w:color w:val="auto"/>
          <w:szCs w:val="24"/>
        </w:rPr>
        <w:t>applicant.</w:t>
      </w:r>
      <w:r w:rsidR="00CF2D11" w:rsidRPr="00843C9A">
        <w:rPr>
          <w:color w:val="auto"/>
          <w:szCs w:val="24"/>
        </w:rPr>
        <w:t xml:space="preserve"> We expect to see a relative decline in the number of applications that</w:t>
      </w:r>
      <w:r w:rsidR="00843C9A">
        <w:rPr>
          <w:color w:val="auto"/>
          <w:szCs w:val="24"/>
        </w:rPr>
        <w:t xml:space="preserve"> are withdrawn in future years.</w:t>
      </w:r>
    </w:p>
    <w:p w14:paraId="11906A04" w14:textId="27BCE5D2" w:rsidR="0094750D" w:rsidRPr="00843C9A" w:rsidRDefault="0094750D" w:rsidP="00843C9A">
      <w:pPr>
        <w:pStyle w:val="Heading3"/>
        <w:rPr>
          <w:rFonts w:asciiTheme="minorHAnsi" w:hAnsiTheme="minorHAnsi"/>
          <w:smallCaps/>
        </w:rPr>
      </w:pPr>
      <w:r w:rsidRPr="00843C9A">
        <w:rPr>
          <w:rFonts w:asciiTheme="minorHAnsi" w:hAnsiTheme="minorHAnsi"/>
        </w:rPr>
        <w:t>Exempt applications</w:t>
      </w:r>
    </w:p>
    <w:p w14:paraId="37959E0A" w14:textId="3344A072" w:rsidR="009336EF" w:rsidRPr="00843C9A" w:rsidRDefault="00044B94" w:rsidP="00843C9A">
      <w:pPr>
        <w:rPr>
          <w:color w:val="auto"/>
          <w:szCs w:val="24"/>
        </w:rPr>
      </w:pPr>
      <w:r>
        <w:rPr>
          <w:color w:val="auto"/>
          <w:szCs w:val="24"/>
        </w:rPr>
        <w:t>In 2015</w:t>
      </w:r>
      <w:r w:rsidR="008205A1">
        <w:rPr>
          <w:color w:val="auto"/>
          <w:szCs w:val="24"/>
        </w:rPr>
        <w:noBreakHyphen/>
      </w:r>
      <w:r>
        <w:rPr>
          <w:color w:val="auto"/>
          <w:szCs w:val="24"/>
        </w:rPr>
        <w:t>16, there were 244 exempt applications where the action was out of scope of the Act.</w:t>
      </w:r>
    </w:p>
    <w:p w14:paraId="12BFC72C" w14:textId="1B67FE75" w:rsidR="008B6006" w:rsidRPr="00843C9A" w:rsidRDefault="00A22C6F" w:rsidP="00843C9A">
      <w:pPr>
        <w:rPr>
          <w:color w:val="auto"/>
          <w:szCs w:val="24"/>
        </w:rPr>
      </w:pPr>
      <w:r w:rsidRPr="00843C9A">
        <w:rPr>
          <w:color w:val="auto"/>
          <w:szCs w:val="24"/>
        </w:rPr>
        <w:t>As part of the December 2015 reforms</w:t>
      </w:r>
      <w:r w:rsidR="00141E58" w:rsidRPr="00843C9A">
        <w:rPr>
          <w:color w:val="auto"/>
          <w:szCs w:val="24"/>
        </w:rPr>
        <w:t xml:space="preserve"> to modernise and simplify the legislation, </w:t>
      </w:r>
      <w:r w:rsidR="009336EF" w:rsidRPr="00843C9A">
        <w:rPr>
          <w:color w:val="auto"/>
          <w:szCs w:val="24"/>
        </w:rPr>
        <w:t xml:space="preserve">some acquisitions which had required screening prior to 1 December 2015 no longer required screening from </w:t>
      </w:r>
      <w:r w:rsidR="00D034E0" w:rsidRPr="00843C9A">
        <w:rPr>
          <w:color w:val="auto"/>
          <w:szCs w:val="24"/>
        </w:rPr>
        <w:t>that date</w:t>
      </w:r>
      <w:r w:rsidR="00843C9A">
        <w:rPr>
          <w:color w:val="auto"/>
          <w:szCs w:val="24"/>
        </w:rPr>
        <w:t xml:space="preserve">. </w:t>
      </w:r>
      <w:r w:rsidR="009336EF" w:rsidRPr="00843C9A">
        <w:rPr>
          <w:color w:val="auto"/>
          <w:szCs w:val="24"/>
        </w:rPr>
        <w:t>Where an application was received, but a decision not made before 1</w:t>
      </w:r>
      <w:r w:rsidR="00E31CC4" w:rsidRPr="00843C9A">
        <w:rPr>
          <w:color w:val="auto"/>
          <w:szCs w:val="24"/>
        </w:rPr>
        <w:t> </w:t>
      </w:r>
      <w:r w:rsidR="009336EF" w:rsidRPr="00843C9A">
        <w:rPr>
          <w:color w:val="auto"/>
          <w:szCs w:val="24"/>
        </w:rPr>
        <w:t>December 2015, and the application subsequently did not require screening</w:t>
      </w:r>
      <w:r w:rsidR="00843C9A">
        <w:rPr>
          <w:color w:val="auto"/>
          <w:szCs w:val="24"/>
        </w:rPr>
        <w:t>,</w:t>
      </w:r>
      <w:r w:rsidR="009336EF" w:rsidRPr="00843C9A">
        <w:rPr>
          <w:color w:val="auto"/>
          <w:szCs w:val="24"/>
        </w:rPr>
        <w:t xml:space="preserve"> the applicant was notified that the acquisition did not require approval from the Treasurer</w:t>
      </w:r>
      <w:r w:rsidR="008B6006" w:rsidRPr="00843C9A" w:rsidDel="00A22C6F">
        <w:rPr>
          <w:color w:val="auto"/>
          <w:szCs w:val="24"/>
        </w:rPr>
        <w:t>.</w:t>
      </w:r>
    </w:p>
    <w:p w14:paraId="057AE039" w14:textId="77777777" w:rsidR="003272DA" w:rsidRPr="00843C9A" w:rsidRDefault="003272DA" w:rsidP="00843C9A">
      <w:pPr>
        <w:pStyle w:val="Heading3"/>
        <w:rPr>
          <w:rFonts w:asciiTheme="minorHAnsi" w:hAnsiTheme="minorHAnsi"/>
          <w:smallCaps/>
        </w:rPr>
      </w:pPr>
      <w:r w:rsidRPr="00843C9A">
        <w:rPr>
          <w:rFonts w:asciiTheme="minorHAnsi" w:hAnsiTheme="minorHAnsi"/>
        </w:rPr>
        <w:t>Variations</w:t>
      </w:r>
    </w:p>
    <w:p w14:paraId="55F8A514" w14:textId="72D4DA41" w:rsidR="003272DA" w:rsidRPr="00843C9A" w:rsidRDefault="003272DA" w:rsidP="00843C9A">
      <w:pPr>
        <w:rPr>
          <w:color w:val="auto"/>
          <w:szCs w:val="24"/>
        </w:rPr>
      </w:pPr>
      <w:r w:rsidRPr="00843C9A">
        <w:rPr>
          <w:color w:val="auto"/>
          <w:szCs w:val="24"/>
        </w:rPr>
        <w:t>The Act allows investors to apply for variations to no objection notifications, to conditions that are imposed in no objection notifications and to exemption certificates</w:t>
      </w:r>
      <w:r w:rsidR="00843C9A">
        <w:rPr>
          <w:color w:val="auto"/>
          <w:szCs w:val="24"/>
        </w:rPr>
        <w:t>.</w:t>
      </w:r>
    </w:p>
    <w:p w14:paraId="7B0E0D62" w14:textId="76A74FDE" w:rsidR="00CC56FB" w:rsidRDefault="003272DA" w:rsidP="00695826">
      <w:pPr>
        <w:rPr>
          <w:sz w:val="24"/>
        </w:rPr>
      </w:pPr>
      <w:r w:rsidRPr="00843C9A">
        <w:rPr>
          <w:color w:val="auto"/>
          <w:szCs w:val="24"/>
        </w:rPr>
        <w:lastRenderedPageBreak/>
        <w:t>The Treasurer may vary the content of a no objection notification or exemption certificate if the Treasurer is satisfied that it is not contrary to the national interest.</w:t>
      </w:r>
      <w:r w:rsidR="001D5E26">
        <w:rPr>
          <w:color w:val="auto"/>
          <w:szCs w:val="24"/>
        </w:rPr>
        <w:t xml:space="preserve"> </w:t>
      </w:r>
      <w:r w:rsidRPr="00843C9A">
        <w:rPr>
          <w:color w:val="auto"/>
          <w:szCs w:val="24"/>
        </w:rPr>
        <w:t>Variation applications are considered on a case</w:t>
      </w:r>
      <w:r w:rsidR="008205A1">
        <w:rPr>
          <w:color w:val="auto"/>
          <w:szCs w:val="24"/>
        </w:rPr>
        <w:noBreakHyphen/>
      </w:r>
      <w:r w:rsidRPr="00843C9A">
        <w:rPr>
          <w:color w:val="auto"/>
          <w:szCs w:val="24"/>
        </w:rPr>
        <w:t>by</w:t>
      </w:r>
      <w:r w:rsidR="008205A1">
        <w:rPr>
          <w:color w:val="auto"/>
          <w:szCs w:val="24"/>
        </w:rPr>
        <w:noBreakHyphen/>
      </w:r>
      <w:r w:rsidRPr="00843C9A">
        <w:rPr>
          <w:color w:val="auto"/>
          <w:szCs w:val="24"/>
        </w:rPr>
        <w:t>case basis.</w:t>
      </w:r>
      <w:r w:rsidR="00A0516F" w:rsidRPr="00D269D7">
        <w:rPr>
          <w:sz w:val="24"/>
        </w:rPr>
        <w:t xml:space="preserve"> </w:t>
      </w:r>
    </w:p>
    <w:p w14:paraId="7605AF74" w14:textId="2F7FF47F" w:rsidR="00CC56FB" w:rsidRDefault="00CC56FB" w:rsidP="00CC56FB">
      <w:pPr>
        <w:pStyle w:val="Heading3"/>
        <w:rPr>
          <w:rFonts w:asciiTheme="minorHAnsi" w:hAnsiTheme="minorHAnsi"/>
        </w:rPr>
      </w:pPr>
      <w:r w:rsidRPr="00CC56FB">
        <w:rPr>
          <w:rFonts w:asciiTheme="minorHAnsi" w:hAnsiTheme="minorHAnsi"/>
        </w:rPr>
        <w:t xml:space="preserve">Rejected applications </w:t>
      </w:r>
    </w:p>
    <w:p w14:paraId="4A8C0316" w14:textId="62739B10" w:rsidR="00AC5132" w:rsidRPr="00AC5132" w:rsidRDefault="00AC5132" w:rsidP="00AC5132">
      <w:r>
        <w:t xml:space="preserve">There were five applications which were prohibited from proceeding. Four of these were in the residential real estate sector and one in the commercial real estate sector. </w:t>
      </w:r>
    </w:p>
    <w:p w14:paraId="5085518A" w14:textId="652470AC" w:rsidR="00B96322" w:rsidRPr="001D5E26" w:rsidRDefault="00B96322" w:rsidP="00695826">
      <w:pPr>
        <w:rPr>
          <w:color w:val="auto"/>
          <w:szCs w:val="24"/>
        </w:rPr>
      </w:pPr>
      <w:r>
        <w:rPr>
          <w:sz w:val="24"/>
        </w:rPr>
        <w:br w:type="page"/>
      </w:r>
    </w:p>
    <w:p w14:paraId="17170F27" w14:textId="0D28E6A2" w:rsidR="008B6006" w:rsidRPr="00D269D7" w:rsidRDefault="008B6006" w:rsidP="00115593">
      <w:pPr>
        <w:pStyle w:val="TableHeading"/>
      </w:pPr>
      <w:r w:rsidRPr="00D269D7">
        <w:lastRenderedPageBreak/>
        <w:t xml:space="preserve">Table </w:t>
      </w:r>
      <w:r w:rsidR="00695826">
        <w:t>3</w:t>
      </w:r>
      <w:r w:rsidRPr="00D269D7">
        <w:t xml:space="preserve">.1: Applications considered: </w:t>
      </w:r>
      <w:r w:rsidR="009336EF" w:rsidRPr="00D269D7">
        <w:t>2012</w:t>
      </w:r>
      <w:r w:rsidR="008205A1">
        <w:noBreakHyphen/>
      </w:r>
      <w:r w:rsidR="009336EF" w:rsidRPr="00D269D7">
        <w:t>13</w:t>
      </w:r>
      <w:r w:rsidRPr="00D269D7">
        <w:t xml:space="preserve"> to 201</w:t>
      </w:r>
      <w:r w:rsidR="009336EF" w:rsidRPr="00D269D7">
        <w:t>5</w:t>
      </w:r>
      <w:r w:rsidR="008205A1">
        <w:noBreakHyphen/>
      </w:r>
      <w:r w:rsidR="00844DA0" w:rsidRPr="00D269D7">
        <w:t>1</w:t>
      </w:r>
      <w:r w:rsidR="009336EF" w:rsidRPr="00D269D7">
        <w:t>6</w:t>
      </w:r>
      <w:r w:rsidR="00844DA0" w:rsidRPr="00D269D7">
        <w:t xml:space="preserve"> </w:t>
      </w:r>
      <w:r w:rsidRPr="00D269D7">
        <w:t>(number</w:t>
      </w:r>
      <w:r w:rsidR="0023639A" w:rsidRPr="00D269D7">
        <w:t> </w:t>
      </w:r>
      <w:r w:rsidRPr="00D269D7">
        <w:t>of</w:t>
      </w:r>
      <w:r w:rsidR="0023639A" w:rsidRPr="00D269D7">
        <w:t> </w:t>
      </w:r>
      <w:r w:rsidRPr="00D269D7">
        <w:t>proposals)</w:t>
      </w:r>
      <w:r w:rsidRPr="00433C05">
        <w:fldChar w:fldCharType="begin"/>
      </w:r>
      <w:r w:rsidRPr="00D269D7">
        <w:instrText xml:space="preserve"> LINK </w:instrText>
      </w:r>
      <w:r w:rsidR="00221D2C">
        <w:instrText xml:space="preserve">Excel.Sheet.12 "http://tweb/sites/mg/fitpd/FIRB/Annual Report (written only)/2014-15/Data - Charts and Tables/2014-15 Table 2.1.xlsx" Sheet1!R3C1:R15C7 </w:instrText>
      </w:r>
      <w:r w:rsidRPr="00D269D7">
        <w:instrText xml:space="preserve">\a \f 4 \h  \* MERGEFORMAT </w:instrText>
      </w:r>
      <w:r w:rsidRPr="00433C05">
        <w:fldChar w:fldCharType="separate"/>
      </w:r>
      <w:bookmarkStart w:id="29" w:name="_1548075087"/>
      <w:bookmarkEnd w:id="29"/>
    </w:p>
    <w:p w14:paraId="05E6F8BB" w14:textId="082B941A" w:rsidR="00CB3684" w:rsidRDefault="008B6006" w:rsidP="008C617D">
      <w:pPr>
        <w:pStyle w:val="TableGraphic"/>
      </w:pPr>
      <w:r w:rsidRPr="00433C05">
        <w:fldChar w:fldCharType="end"/>
      </w:r>
      <w:bookmarkStart w:id="30" w:name="_1548074916"/>
      <w:bookmarkEnd w:id="30"/>
      <w:r w:rsidR="008C617D">
        <w:object w:dxaOrig="7717" w:dyaOrig="3800" w14:anchorId="326270BB">
          <v:shape id="_x0000_i1026" type="#_x0000_t75" style="width:384.45pt;height:190.85pt" o:ole="">
            <v:imagedata r:id="rId57" o:title=""/>
          </v:shape>
          <o:OLEObject Type="Link" ProgID="Excel.Sheet.12" ShapeID="_x0000_i1026" DrawAspect="Content" r:id="rId58" UpdateMode="Always">
            <o:LinkType>EnhancedMetaFile</o:LinkType>
            <o:LockedField>false</o:LockedField>
          </o:OLEObject>
        </w:object>
      </w:r>
    </w:p>
    <w:p w14:paraId="0ADFA40A" w14:textId="14FC36C9" w:rsidR="008B6006" w:rsidRDefault="008B6006" w:rsidP="008B6006">
      <w:pPr>
        <w:pStyle w:val="StyleChartorTableNoteLeft0cmHanging1cm"/>
      </w:pPr>
      <w:r w:rsidRPr="00C919DF">
        <w:t xml:space="preserve">Note: </w:t>
      </w:r>
      <w:r w:rsidRPr="00C919DF">
        <w:tab/>
        <w:t xml:space="preserve">Figures include corporate reorganisations </w:t>
      </w:r>
      <w:bookmarkStart w:id="31" w:name="OLE_LINK19"/>
      <w:bookmarkStart w:id="32" w:name="OLE_LINK20"/>
      <w:r w:rsidRPr="00C919DF">
        <w:t>(</w:t>
      </w:r>
      <w:r w:rsidR="00854C21">
        <w:t>99</w:t>
      </w:r>
      <w:r w:rsidR="00854C21" w:rsidRPr="00C919DF">
        <w:t xml:space="preserve"> </w:t>
      </w:r>
      <w:r w:rsidR="00854C21">
        <w:t>in</w:t>
      </w:r>
      <w:r w:rsidRPr="00C919DF">
        <w:t xml:space="preserve"> 201</w:t>
      </w:r>
      <w:r w:rsidR="00CB3684">
        <w:t>5</w:t>
      </w:r>
      <w:r w:rsidR="008205A1">
        <w:noBreakHyphen/>
      </w:r>
      <w:r w:rsidRPr="00C919DF">
        <w:t>1</w:t>
      </w:r>
      <w:r w:rsidR="00CB3684">
        <w:t>6</w:t>
      </w:r>
      <w:r w:rsidRPr="00C919DF">
        <w:t>).</w:t>
      </w:r>
      <w:bookmarkEnd w:id="31"/>
      <w:bookmarkEnd w:id="32"/>
      <w:r w:rsidR="007A6391">
        <w:t xml:space="preserve"> This data is excluded in other approvals analysis unless otherwise noted.</w:t>
      </w:r>
    </w:p>
    <w:p w14:paraId="4C132BFD" w14:textId="3850D6BF" w:rsidR="00DC285F" w:rsidRPr="00DC285F" w:rsidRDefault="008B6006" w:rsidP="00DC285F">
      <w:pPr>
        <w:pStyle w:val="StyleChartorTableNoteLeft0cmHanging1cm"/>
      </w:pPr>
      <w:r>
        <w:tab/>
      </w:r>
      <w:r w:rsidR="00DC285F" w:rsidRPr="00DC285F">
        <w:t>2015</w:t>
      </w:r>
      <w:r w:rsidR="008205A1">
        <w:noBreakHyphen/>
      </w:r>
      <w:r w:rsidR="00DC285F" w:rsidRPr="00DC285F">
        <w:t>16 figures were impacted by the 1 December 2015 reforms, which may impact comparability of data</w:t>
      </w:r>
      <w:r w:rsidR="00DC285F">
        <w:t>. The 2014</w:t>
      </w:r>
      <w:r w:rsidR="008205A1">
        <w:noBreakHyphen/>
      </w:r>
      <w:r w:rsidR="00DC285F">
        <w:t xml:space="preserve">15 figures have also been revised. Further details are at Appendix A. </w:t>
      </w:r>
    </w:p>
    <w:p w14:paraId="0ACB021E" w14:textId="77777777" w:rsidR="008B6006" w:rsidRPr="001873B6" w:rsidRDefault="008B6006" w:rsidP="00715C4E">
      <w:pPr>
        <w:pStyle w:val="SingleParagraph"/>
      </w:pPr>
    </w:p>
    <w:p w14:paraId="05A3E8DF" w14:textId="06C8B65F" w:rsidR="008B6006" w:rsidRPr="00D269D7" w:rsidRDefault="008B6006" w:rsidP="00115593">
      <w:pPr>
        <w:pStyle w:val="TableHeading"/>
      </w:pPr>
      <w:r w:rsidRPr="00D269D7">
        <w:t xml:space="preserve">Table </w:t>
      </w:r>
      <w:r w:rsidR="00180785">
        <w:t>3</w:t>
      </w:r>
      <w:r w:rsidRPr="00D269D7">
        <w:t>.2: Applications decided: 20</w:t>
      </w:r>
      <w:r w:rsidR="00783AFE" w:rsidRPr="00D269D7">
        <w:t>12</w:t>
      </w:r>
      <w:r w:rsidR="008205A1">
        <w:noBreakHyphen/>
      </w:r>
      <w:r w:rsidR="00783AFE" w:rsidRPr="00D269D7">
        <w:t>13</w:t>
      </w:r>
      <w:r w:rsidRPr="00D269D7">
        <w:t xml:space="preserve"> to 201</w:t>
      </w:r>
      <w:r w:rsidR="00783AFE" w:rsidRPr="00D269D7">
        <w:t>5</w:t>
      </w:r>
      <w:r w:rsidR="008205A1">
        <w:noBreakHyphen/>
      </w:r>
      <w:r w:rsidR="00844DA0" w:rsidRPr="00D269D7">
        <w:t>1</w:t>
      </w:r>
      <w:r w:rsidR="00783AFE" w:rsidRPr="00D269D7">
        <w:t>6</w:t>
      </w:r>
      <w:r w:rsidR="00844DA0" w:rsidRPr="00D269D7">
        <w:t xml:space="preserve"> </w:t>
      </w:r>
      <w:r w:rsidRPr="00D269D7">
        <w:t>(value</w:t>
      </w:r>
      <w:r w:rsidR="0023639A" w:rsidRPr="00D269D7">
        <w:t> </w:t>
      </w:r>
      <w:r w:rsidRPr="00D269D7">
        <w:t>of</w:t>
      </w:r>
      <w:r w:rsidR="0023639A" w:rsidRPr="00D269D7">
        <w:t> </w:t>
      </w:r>
      <w:r w:rsidRPr="00D269D7">
        <w:t>proposed investment)</w:t>
      </w:r>
      <w:r>
        <w:fldChar w:fldCharType="begin"/>
      </w:r>
      <w:r w:rsidRPr="00D269D7">
        <w:instrText xml:space="preserve"> LINK </w:instrText>
      </w:r>
      <w:r w:rsidR="00221D2C">
        <w:instrText xml:space="preserve">Excel.Sheet.12 "http://tweb/sites/mg/fitpd/FIRB/Annual Report (written only)/2014-15/Data - Charts and Tables/2014-15 Table 2.2.xlsx" Sheet1!R3C1:R9C7 </w:instrText>
      </w:r>
      <w:r w:rsidRPr="00D269D7">
        <w:instrText xml:space="preserve">\a \f 4 \h  \* MERGEFORMAT </w:instrText>
      </w:r>
      <w:r>
        <w:fldChar w:fldCharType="separate"/>
      </w:r>
      <w:bookmarkStart w:id="33" w:name="_1548075093"/>
      <w:bookmarkEnd w:id="33"/>
    </w:p>
    <w:p w14:paraId="35A7B1B6" w14:textId="1A29B672" w:rsidR="00783AFE" w:rsidRDefault="008B6006" w:rsidP="008C617D">
      <w:pPr>
        <w:pStyle w:val="TableGraphic"/>
      </w:pPr>
      <w:r>
        <w:fldChar w:fldCharType="end"/>
      </w:r>
      <w:bookmarkStart w:id="34" w:name="_1548074918"/>
      <w:bookmarkEnd w:id="34"/>
      <w:r w:rsidR="008C617D">
        <w:object w:dxaOrig="7717" w:dyaOrig="2056" w14:anchorId="4D48F5BA">
          <v:shape id="_x0000_i1027" type="#_x0000_t75" style="width:384.45pt;height:103.25pt" o:ole="">
            <v:imagedata r:id="rId59" o:title=""/>
          </v:shape>
          <o:OLEObject Type="Link" ProgID="Excel.Sheet.12" ShapeID="_x0000_i1027" DrawAspect="Content" r:id="rId60" UpdateMode="Always">
            <o:LinkType>EnhancedMetaFile</o:LinkType>
            <o:LockedField>false</o:LockedField>
          </o:OLEObject>
        </w:object>
      </w:r>
    </w:p>
    <w:p w14:paraId="5AC68129" w14:textId="16E4941B" w:rsidR="008B6006" w:rsidRPr="00B940AA" w:rsidRDefault="008B6006" w:rsidP="008B6006">
      <w:pPr>
        <w:pStyle w:val="StyleChartorTableNoteLeft0cmHanging1cm"/>
      </w:pPr>
      <w:r w:rsidRPr="00B940AA">
        <w:t>Note:</w:t>
      </w:r>
      <w:r w:rsidRPr="00B940AA">
        <w:tab/>
        <w:t>Totals may not add due to rounding.</w:t>
      </w:r>
    </w:p>
    <w:p w14:paraId="0C55DD3C" w14:textId="2268C497" w:rsidR="008B6006" w:rsidRPr="00B940AA" w:rsidRDefault="008B6006" w:rsidP="008B6006">
      <w:pPr>
        <w:pStyle w:val="StyleChartorTableNoteLeft0cmHanging1cm"/>
      </w:pPr>
      <w:r>
        <w:tab/>
      </w:r>
      <w:r w:rsidR="008205A1">
        <w:t>‘</w:t>
      </w:r>
      <w:r w:rsidRPr="00B940AA">
        <w:t>0.0</w:t>
      </w:r>
      <w:r w:rsidR="008205A1">
        <w:t>’</w:t>
      </w:r>
      <w:r w:rsidRPr="00B940AA">
        <w:t xml:space="preserve"> indicates a figure of less than $50 </w:t>
      </w:r>
      <w:r w:rsidRPr="00290BF6">
        <w:t>million</w:t>
      </w:r>
      <w:r w:rsidRPr="00B940AA">
        <w:t>.</w:t>
      </w:r>
    </w:p>
    <w:p w14:paraId="55150A62" w14:textId="417B5CC9" w:rsidR="008B6006" w:rsidRPr="00B940AA" w:rsidRDefault="008B6006" w:rsidP="008B6006">
      <w:pPr>
        <w:pStyle w:val="StyleChartorTableNoteLeft0cmHanging1cm"/>
      </w:pPr>
      <w:r>
        <w:tab/>
      </w:r>
      <w:r w:rsidR="00B50C7B">
        <w:t xml:space="preserve">Figures </w:t>
      </w:r>
      <w:r w:rsidR="00F522FB">
        <w:t>i</w:t>
      </w:r>
      <w:r w:rsidRPr="00B940AA">
        <w:t>nclud</w:t>
      </w:r>
      <w:r w:rsidR="00B50C7B">
        <w:t>e</w:t>
      </w:r>
      <w:r w:rsidRPr="00B940AA">
        <w:t xml:space="preserve"> corporate reorganisations (</w:t>
      </w:r>
      <w:r w:rsidR="00783AFE">
        <w:t>99</w:t>
      </w:r>
      <w:r w:rsidRPr="00B940AA">
        <w:t xml:space="preserve"> in </w:t>
      </w:r>
      <w:r>
        <w:t>201</w:t>
      </w:r>
      <w:r w:rsidR="00783AFE">
        <w:t>5</w:t>
      </w:r>
      <w:r w:rsidR="008205A1">
        <w:noBreakHyphen/>
      </w:r>
      <w:r w:rsidR="00783AFE">
        <w:t>16</w:t>
      </w:r>
      <w:r w:rsidRPr="00B940AA">
        <w:t xml:space="preserve">, including </w:t>
      </w:r>
      <w:r w:rsidR="00783AFE">
        <w:t>14</w:t>
      </w:r>
      <w:r w:rsidRPr="00B940AA">
        <w:t xml:space="preserve"> in the real estate sector</w:t>
      </w:r>
      <w:r>
        <w:t>).</w:t>
      </w:r>
      <w:r w:rsidRPr="00B940AA">
        <w:t xml:space="preserve"> </w:t>
      </w:r>
    </w:p>
    <w:p w14:paraId="16ED43ED" w14:textId="6D79CB16" w:rsidR="00DC285F" w:rsidRPr="00DC285F" w:rsidRDefault="00DC285F" w:rsidP="00DC285F">
      <w:pPr>
        <w:pStyle w:val="StyleChartorTableNoteLeft0cmHanging1cm"/>
      </w:pPr>
      <w:r>
        <w:tab/>
      </w:r>
      <w:r w:rsidR="00F522FB">
        <w:t xml:space="preserve">The </w:t>
      </w:r>
      <w:r w:rsidRPr="00DC285F">
        <w:t>2015</w:t>
      </w:r>
      <w:r w:rsidR="008205A1">
        <w:noBreakHyphen/>
      </w:r>
      <w:r w:rsidRPr="00DC285F">
        <w:t xml:space="preserve">16 figures were impacted by the 1 December 2015 reforms, which may </w:t>
      </w:r>
      <w:r w:rsidR="00AC5132">
        <w:t>affect</w:t>
      </w:r>
      <w:r w:rsidRPr="00DC285F">
        <w:t xml:space="preserve"> </w:t>
      </w:r>
      <w:r w:rsidR="00AC5132">
        <w:t xml:space="preserve">data </w:t>
      </w:r>
      <w:r w:rsidRPr="00DC285F">
        <w:t>comparability</w:t>
      </w:r>
      <w:r w:rsidR="00AC5132">
        <w:t xml:space="preserve">. </w:t>
      </w:r>
      <w:r>
        <w:t>The 2014</w:t>
      </w:r>
      <w:r w:rsidR="008205A1">
        <w:noBreakHyphen/>
      </w:r>
      <w:r>
        <w:t xml:space="preserve">15 figures have also been revised. Further details are at Appendix A. </w:t>
      </w:r>
    </w:p>
    <w:p w14:paraId="233C254C" w14:textId="275391B9" w:rsidR="00843C9A" w:rsidRDefault="00DC285F">
      <w:pPr>
        <w:spacing w:after="200" w:line="276" w:lineRule="auto"/>
        <w:jc w:val="left"/>
        <w:rPr>
          <w:rFonts w:ascii="Arial" w:hAnsi="Arial"/>
          <w:sz w:val="16"/>
        </w:rPr>
      </w:pPr>
      <w:r>
        <w:t xml:space="preserve"> </w:t>
      </w:r>
      <w:r w:rsidR="00843C9A">
        <w:br w:type="page"/>
      </w:r>
    </w:p>
    <w:p w14:paraId="2F019895" w14:textId="072F705D" w:rsidR="00F70762" w:rsidRPr="00D269D7" w:rsidRDefault="00C22579" w:rsidP="00D269D7">
      <w:pPr>
        <w:pStyle w:val="Heading3"/>
        <w:rPr>
          <w:rFonts w:asciiTheme="minorHAnsi" w:hAnsiTheme="minorHAnsi"/>
          <w:smallCaps/>
        </w:rPr>
      </w:pPr>
      <w:r w:rsidRPr="00D269D7">
        <w:rPr>
          <w:rFonts w:asciiTheme="minorHAnsi" w:hAnsiTheme="minorHAnsi"/>
        </w:rPr>
        <w:lastRenderedPageBreak/>
        <w:t>Approval values</w:t>
      </w:r>
    </w:p>
    <w:p w14:paraId="2A53ECF8" w14:textId="26A8CA05" w:rsidR="00F70762" w:rsidRPr="00D269D7" w:rsidRDefault="00F70762" w:rsidP="00D269D7">
      <w:pPr>
        <w:rPr>
          <w:color w:val="auto"/>
          <w:szCs w:val="24"/>
        </w:rPr>
      </w:pPr>
      <w:r w:rsidRPr="00D269D7">
        <w:rPr>
          <w:color w:val="auto"/>
          <w:szCs w:val="24"/>
        </w:rPr>
        <w:t xml:space="preserve">The majority of approvals </w:t>
      </w:r>
      <w:r w:rsidR="00180785">
        <w:rPr>
          <w:color w:val="auto"/>
          <w:szCs w:val="24"/>
        </w:rPr>
        <w:t>for investments</w:t>
      </w:r>
      <w:r w:rsidRPr="00D269D7">
        <w:rPr>
          <w:color w:val="auto"/>
          <w:szCs w:val="24"/>
        </w:rPr>
        <w:t xml:space="preserve"> below $50 million relate to </w:t>
      </w:r>
      <w:r w:rsidR="00044857">
        <w:rPr>
          <w:color w:val="auto"/>
          <w:szCs w:val="24"/>
        </w:rPr>
        <w:t xml:space="preserve">residential </w:t>
      </w:r>
      <w:r w:rsidRPr="00D269D7">
        <w:rPr>
          <w:color w:val="auto"/>
          <w:szCs w:val="24"/>
        </w:rPr>
        <w:t xml:space="preserve">real estate (because of the </w:t>
      </w:r>
      <w:r w:rsidR="00044857">
        <w:rPr>
          <w:color w:val="auto"/>
          <w:szCs w:val="24"/>
        </w:rPr>
        <w:t xml:space="preserve">requirement that all </w:t>
      </w:r>
      <w:r w:rsidR="00180785">
        <w:rPr>
          <w:color w:val="auto"/>
          <w:szCs w:val="24"/>
        </w:rPr>
        <w:t xml:space="preserve">residential </w:t>
      </w:r>
      <w:r w:rsidR="00854C21">
        <w:rPr>
          <w:color w:val="auto"/>
          <w:szCs w:val="24"/>
        </w:rPr>
        <w:t>acquisitions</w:t>
      </w:r>
      <w:r w:rsidR="00044857">
        <w:rPr>
          <w:color w:val="auto"/>
          <w:szCs w:val="24"/>
        </w:rPr>
        <w:t xml:space="preserve"> </w:t>
      </w:r>
      <w:r w:rsidR="00AC5C81">
        <w:rPr>
          <w:color w:val="auto"/>
          <w:szCs w:val="24"/>
        </w:rPr>
        <w:t xml:space="preserve">must be </w:t>
      </w:r>
      <w:r w:rsidR="00044857">
        <w:rPr>
          <w:color w:val="auto"/>
          <w:szCs w:val="24"/>
        </w:rPr>
        <w:t>notified</w:t>
      </w:r>
      <w:r w:rsidR="005971CC" w:rsidRPr="00D269D7">
        <w:rPr>
          <w:color w:val="auto"/>
          <w:szCs w:val="24"/>
        </w:rPr>
        <w:t xml:space="preserve">). There continued to be an </w:t>
      </w:r>
      <w:r w:rsidRPr="00D269D7">
        <w:rPr>
          <w:color w:val="auto"/>
          <w:szCs w:val="24"/>
        </w:rPr>
        <w:t xml:space="preserve">increase in the number of residential real estate </w:t>
      </w:r>
      <w:r w:rsidR="005971CC" w:rsidRPr="00D269D7">
        <w:rPr>
          <w:color w:val="auto"/>
          <w:szCs w:val="24"/>
        </w:rPr>
        <w:t>approvals in 2015</w:t>
      </w:r>
      <w:r w:rsidR="008205A1">
        <w:rPr>
          <w:color w:val="auto"/>
          <w:szCs w:val="24"/>
        </w:rPr>
        <w:noBreakHyphen/>
      </w:r>
      <w:r w:rsidR="005971CC" w:rsidRPr="00D269D7">
        <w:rPr>
          <w:color w:val="auto"/>
          <w:szCs w:val="24"/>
        </w:rPr>
        <w:t xml:space="preserve">16. However, </w:t>
      </w:r>
      <w:r w:rsidR="00B73AB4">
        <w:rPr>
          <w:color w:val="auto"/>
          <w:szCs w:val="24"/>
        </w:rPr>
        <w:t xml:space="preserve">the rate of </w:t>
      </w:r>
      <w:r w:rsidR="005971CC" w:rsidRPr="00D269D7">
        <w:rPr>
          <w:color w:val="auto"/>
          <w:szCs w:val="24"/>
        </w:rPr>
        <w:t>growth was signific</w:t>
      </w:r>
      <w:r w:rsidR="00B73AB4">
        <w:rPr>
          <w:color w:val="auto"/>
          <w:szCs w:val="24"/>
        </w:rPr>
        <w:t xml:space="preserve">antly </w:t>
      </w:r>
      <w:r w:rsidR="005971CC" w:rsidRPr="00D269D7">
        <w:rPr>
          <w:color w:val="auto"/>
          <w:szCs w:val="24"/>
        </w:rPr>
        <w:t xml:space="preserve">lower than </w:t>
      </w:r>
      <w:r w:rsidRPr="00D269D7">
        <w:rPr>
          <w:color w:val="auto"/>
          <w:szCs w:val="24"/>
        </w:rPr>
        <w:t>in 2014</w:t>
      </w:r>
      <w:r w:rsidR="008205A1">
        <w:rPr>
          <w:color w:val="auto"/>
          <w:szCs w:val="24"/>
        </w:rPr>
        <w:noBreakHyphen/>
      </w:r>
      <w:r w:rsidRPr="00D269D7">
        <w:rPr>
          <w:color w:val="auto"/>
          <w:szCs w:val="24"/>
        </w:rPr>
        <w:t>15</w:t>
      </w:r>
      <w:r w:rsidR="00180785">
        <w:rPr>
          <w:color w:val="auto"/>
          <w:szCs w:val="24"/>
        </w:rPr>
        <w:t>.</w:t>
      </w:r>
      <w:r w:rsidR="00677D3D" w:rsidRPr="00677D3D">
        <w:t xml:space="preserve"> </w:t>
      </w:r>
    </w:p>
    <w:p w14:paraId="52516CD6" w14:textId="069A3098" w:rsidR="00044857" w:rsidRDefault="00044857" w:rsidP="00D269D7">
      <w:pPr>
        <w:rPr>
          <w:color w:val="auto"/>
          <w:szCs w:val="24"/>
        </w:rPr>
      </w:pPr>
      <w:r>
        <w:rPr>
          <w:color w:val="auto"/>
          <w:szCs w:val="24"/>
        </w:rPr>
        <w:t>There was a distinct increase in the number and value of approvals for proposals valued at</w:t>
      </w:r>
      <w:r w:rsidR="004D30B0">
        <w:rPr>
          <w:color w:val="auto"/>
          <w:szCs w:val="24"/>
        </w:rPr>
        <w:t> </w:t>
      </w:r>
      <w:r>
        <w:rPr>
          <w:color w:val="auto"/>
          <w:szCs w:val="24"/>
        </w:rPr>
        <w:t xml:space="preserve">$2 billion or above. </w:t>
      </w:r>
      <w:r w:rsidR="002D535A">
        <w:rPr>
          <w:color w:val="auto"/>
          <w:szCs w:val="24"/>
        </w:rPr>
        <w:t>This g</w:t>
      </w:r>
      <w:r w:rsidR="006E3F30">
        <w:rPr>
          <w:color w:val="auto"/>
          <w:szCs w:val="24"/>
        </w:rPr>
        <w:t>rowth in high value transactions accounted for most of the increase in the total value of approvals</w:t>
      </w:r>
      <w:r w:rsidR="00B73AB4">
        <w:rPr>
          <w:color w:val="auto"/>
          <w:szCs w:val="24"/>
        </w:rPr>
        <w:t xml:space="preserve">. It reflects </w:t>
      </w:r>
      <w:r w:rsidR="007E005A">
        <w:rPr>
          <w:color w:val="auto"/>
          <w:szCs w:val="24"/>
        </w:rPr>
        <w:t>an increase in</w:t>
      </w:r>
      <w:r>
        <w:rPr>
          <w:color w:val="auto"/>
          <w:szCs w:val="24"/>
        </w:rPr>
        <w:t xml:space="preserve"> foreign investment into infrastructure assets as states and territories increasingly seek to privatise these assets and the scope of the asset class diversifies.</w:t>
      </w:r>
    </w:p>
    <w:p w14:paraId="28B19247" w14:textId="4FD14719" w:rsidR="00B96322" w:rsidRPr="00D269D7" w:rsidRDefault="00200B7C" w:rsidP="00D269D7">
      <w:pPr>
        <w:rPr>
          <w:color w:val="auto"/>
          <w:szCs w:val="24"/>
        </w:rPr>
      </w:pPr>
      <w:r w:rsidRPr="00200B7C">
        <w:rPr>
          <w:color w:val="auto"/>
          <w:szCs w:val="24"/>
        </w:rPr>
        <w:t xml:space="preserve">There were a number of significant </w:t>
      </w:r>
      <w:r w:rsidR="00180785">
        <w:rPr>
          <w:color w:val="auto"/>
          <w:szCs w:val="24"/>
        </w:rPr>
        <w:t>high</w:t>
      </w:r>
      <w:r w:rsidR="008205A1">
        <w:rPr>
          <w:color w:val="auto"/>
          <w:szCs w:val="24"/>
        </w:rPr>
        <w:noBreakHyphen/>
      </w:r>
      <w:r w:rsidR="00180785">
        <w:rPr>
          <w:color w:val="auto"/>
          <w:szCs w:val="24"/>
        </w:rPr>
        <w:t xml:space="preserve">value </w:t>
      </w:r>
      <w:r w:rsidRPr="00200B7C">
        <w:rPr>
          <w:color w:val="auto"/>
          <w:szCs w:val="24"/>
        </w:rPr>
        <w:t>transactions during 2015</w:t>
      </w:r>
      <w:r w:rsidR="008205A1">
        <w:rPr>
          <w:color w:val="auto"/>
          <w:szCs w:val="24"/>
        </w:rPr>
        <w:noBreakHyphen/>
      </w:r>
      <w:r w:rsidRPr="00200B7C">
        <w:rPr>
          <w:color w:val="auto"/>
          <w:szCs w:val="24"/>
        </w:rPr>
        <w:t>16 where foreign investment approval may have been</w:t>
      </w:r>
      <w:r>
        <w:rPr>
          <w:color w:val="auto"/>
          <w:szCs w:val="24"/>
        </w:rPr>
        <w:t xml:space="preserve"> required by one or more part</w:t>
      </w:r>
      <w:r w:rsidR="00A87CB4">
        <w:rPr>
          <w:color w:val="auto"/>
          <w:szCs w:val="24"/>
        </w:rPr>
        <w:t>ies</w:t>
      </w:r>
      <w:r>
        <w:rPr>
          <w:color w:val="auto"/>
          <w:szCs w:val="24"/>
        </w:rPr>
        <w:t xml:space="preserve">. </w:t>
      </w:r>
      <w:r w:rsidR="00180785">
        <w:rPr>
          <w:color w:val="auto"/>
          <w:szCs w:val="24"/>
        </w:rPr>
        <w:t xml:space="preserve">As such, the number and value of approvals may </w:t>
      </w:r>
      <w:r w:rsidR="002272DE">
        <w:rPr>
          <w:color w:val="auto"/>
          <w:szCs w:val="24"/>
        </w:rPr>
        <w:t>reflect a figure that is</w:t>
      </w:r>
      <w:r w:rsidR="00180785">
        <w:rPr>
          <w:color w:val="auto"/>
          <w:szCs w:val="24"/>
        </w:rPr>
        <w:t xml:space="preserve"> </w:t>
      </w:r>
      <w:r w:rsidR="00AD7404">
        <w:rPr>
          <w:color w:val="auto"/>
          <w:szCs w:val="24"/>
        </w:rPr>
        <w:t xml:space="preserve">significantly </w:t>
      </w:r>
      <w:r w:rsidR="00180785">
        <w:rPr>
          <w:color w:val="auto"/>
          <w:szCs w:val="24"/>
        </w:rPr>
        <w:t xml:space="preserve">higher than </w:t>
      </w:r>
      <w:r w:rsidR="00B73AB4">
        <w:rPr>
          <w:color w:val="auto"/>
          <w:szCs w:val="24"/>
        </w:rPr>
        <w:t>w</w:t>
      </w:r>
      <w:r w:rsidR="002272DE">
        <w:rPr>
          <w:color w:val="auto"/>
          <w:szCs w:val="24"/>
        </w:rPr>
        <w:t xml:space="preserve">ould actually </w:t>
      </w:r>
      <w:proofErr w:type="gramStart"/>
      <w:r w:rsidR="002272DE">
        <w:rPr>
          <w:color w:val="auto"/>
          <w:szCs w:val="24"/>
        </w:rPr>
        <w:t>proceed</w:t>
      </w:r>
      <w:proofErr w:type="gramEnd"/>
      <w:r w:rsidR="00AD7404">
        <w:rPr>
          <w:color w:val="auto"/>
          <w:szCs w:val="24"/>
        </w:rPr>
        <w:t>, particularly for high value transactions as represented in Table 3.3</w:t>
      </w:r>
      <w:r w:rsidR="00180785">
        <w:rPr>
          <w:color w:val="auto"/>
          <w:szCs w:val="24"/>
        </w:rPr>
        <w:t>.</w:t>
      </w:r>
    </w:p>
    <w:p w14:paraId="70B6B5E4" w14:textId="376DB7BA" w:rsidR="00F70762" w:rsidRPr="00D269D7" w:rsidRDefault="00F70762" w:rsidP="00115593">
      <w:pPr>
        <w:pStyle w:val="TableHeading"/>
      </w:pPr>
      <w:r w:rsidRPr="00D269D7">
        <w:t xml:space="preserve">Table </w:t>
      </w:r>
      <w:r w:rsidR="00180785">
        <w:t>3</w:t>
      </w:r>
      <w:r w:rsidRPr="00D269D7">
        <w:t>.3: Total approvals by value: 201</w:t>
      </w:r>
      <w:r w:rsidR="00783AFE" w:rsidRPr="00D269D7">
        <w:t>2</w:t>
      </w:r>
      <w:r w:rsidR="008205A1">
        <w:noBreakHyphen/>
      </w:r>
      <w:r w:rsidRPr="00D269D7">
        <w:t>1</w:t>
      </w:r>
      <w:r w:rsidR="00783AFE" w:rsidRPr="00D269D7">
        <w:t>3</w:t>
      </w:r>
      <w:r w:rsidRPr="00D269D7">
        <w:t xml:space="preserve"> to 201</w:t>
      </w:r>
      <w:r w:rsidR="00783AFE" w:rsidRPr="00D269D7">
        <w:t>5</w:t>
      </w:r>
      <w:r w:rsidR="008205A1">
        <w:noBreakHyphen/>
      </w:r>
      <w:r w:rsidRPr="00D269D7">
        <w:t>1</w:t>
      </w:r>
      <w:r w:rsidR="00783AFE" w:rsidRPr="00D269D7">
        <w:t>6</w:t>
      </w:r>
    </w:p>
    <w:bookmarkStart w:id="35" w:name="_1548074920"/>
    <w:bookmarkEnd w:id="35"/>
    <w:p w14:paraId="5FC0E93D" w14:textId="0EC126A0" w:rsidR="00783AFE" w:rsidRDefault="008D5D74" w:rsidP="00783AFE">
      <w:pPr>
        <w:pStyle w:val="TableGraphic"/>
      </w:pPr>
      <w:r>
        <w:object w:dxaOrig="7705" w:dyaOrig="2928" w14:anchorId="22F37E00">
          <v:shape id="_x0000_i1028" type="#_x0000_t75" style="width:385.8pt;height:145.35pt" o:ole="">
            <v:imagedata r:id="rId61" o:title=""/>
          </v:shape>
          <o:OLEObject Type="Link" ProgID="Excel.Sheet.12" ShapeID="_x0000_i1028" DrawAspect="Content" r:id="rId62" UpdateMode="Always">
            <o:LinkType>EnhancedMetaFile</o:LinkType>
            <o:LockedField>false</o:LockedField>
          </o:OLEObject>
        </w:object>
      </w:r>
    </w:p>
    <w:p w14:paraId="667A452D" w14:textId="57D085DD" w:rsidR="00F70762" w:rsidRPr="00F96AF7" w:rsidRDefault="00F70762" w:rsidP="00F70762">
      <w:pPr>
        <w:pStyle w:val="StyleChartorTableNoteLeft0cmHanging1cm"/>
      </w:pPr>
      <w:r w:rsidRPr="00F96AF7">
        <w:t>Note:</w:t>
      </w:r>
      <w:r w:rsidRPr="00F96AF7">
        <w:tab/>
        <w:t>Tota</w:t>
      </w:r>
      <w:r w:rsidR="00180785">
        <w:t>ls may not add due to rounding.</w:t>
      </w:r>
    </w:p>
    <w:p w14:paraId="7BBCB818" w14:textId="1155C090" w:rsidR="00F70762" w:rsidRDefault="00F70762" w:rsidP="00F70762">
      <w:pPr>
        <w:pStyle w:val="StyleChartorTableNoteLeft0cmHanging1cm"/>
      </w:pPr>
      <w:r>
        <w:tab/>
      </w:r>
      <w:proofErr w:type="gramStart"/>
      <w:r w:rsidRPr="00F96AF7">
        <w:t xml:space="preserve">Excludes corporate </w:t>
      </w:r>
      <w:r w:rsidRPr="005700AB">
        <w:t>reorganisations</w:t>
      </w:r>
      <w:r w:rsidRPr="00F96AF7">
        <w:t xml:space="preserve"> (</w:t>
      </w:r>
      <w:r w:rsidR="00783AFE">
        <w:t>99</w:t>
      </w:r>
      <w:r>
        <w:t xml:space="preserve"> </w:t>
      </w:r>
      <w:r w:rsidRPr="00F96AF7">
        <w:t>in</w:t>
      </w:r>
      <w:r>
        <w:t xml:space="preserve"> 201</w:t>
      </w:r>
      <w:r w:rsidR="00783AFE">
        <w:t>5</w:t>
      </w:r>
      <w:r w:rsidR="008205A1">
        <w:noBreakHyphen/>
      </w:r>
      <w:r>
        <w:t>1</w:t>
      </w:r>
      <w:r w:rsidR="00783AFE">
        <w:t>6</w:t>
      </w:r>
      <w:r w:rsidRPr="00F96AF7">
        <w:t>).</w:t>
      </w:r>
      <w:proofErr w:type="gramEnd"/>
    </w:p>
    <w:p w14:paraId="3E1BE12A" w14:textId="7C73CAE0" w:rsidR="00DC285F" w:rsidRPr="00DC285F" w:rsidRDefault="00DC285F" w:rsidP="00DC285F">
      <w:pPr>
        <w:pStyle w:val="StyleChartorTableNoteLeft0cmHanging1cm"/>
      </w:pPr>
      <w:r>
        <w:tab/>
      </w:r>
      <w:r w:rsidR="00F522FB">
        <w:t xml:space="preserve">The </w:t>
      </w:r>
      <w:r w:rsidRPr="00DC285F">
        <w:t>2015</w:t>
      </w:r>
      <w:r w:rsidR="008205A1">
        <w:noBreakHyphen/>
      </w:r>
      <w:r w:rsidRPr="00DC285F">
        <w:t xml:space="preserve">16 figures were impacted by the 1 December 2015 reforms, which may </w:t>
      </w:r>
      <w:r w:rsidR="00AC5132">
        <w:t>affect data</w:t>
      </w:r>
      <w:r w:rsidRPr="00DC285F">
        <w:t xml:space="preserve"> comparability</w:t>
      </w:r>
      <w:r>
        <w:t>. The 2014</w:t>
      </w:r>
      <w:r w:rsidR="008205A1">
        <w:noBreakHyphen/>
      </w:r>
      <w:r>
        <w:t xml:space="preserve">15 figures have also been revised. Further details are at Appendix A. </w:t>
      </w:r>
    </w:p>
    <w:p w14:paraId="13FBAC2F" w14:textId="0B7BE5DA" w:rsidR="008B6006" w:rsidRDefault="008B6006" w:rsidP="00F70762"/>
    <w:p w14:paraId="3D3847DA" w14:textId="77777777" w:rsidR="004E2FCC" w:rsidRDefault="004E2FCC">
      <w:pPr>
        <w:spacing w:after="200" w:line="276" w:lineRule="auto"/>
        <w:jc w:val="left"/>
        <w:rPr>
          <w:rFonts w:ascii="Arial" w:hAnsi="Arial"/>
          <w:b/>
          <w:color w:val="003E74"/>
          <w:sz w:val="28"/>
        </w:rPr>
      </w:pPr>
      <w:r>
        <w:rPr>
          <w:sz w:val="28"/>
        </w:rPr>
        <w:br w:type="page"/>
      </w:r>
    </w:p>
    <w:p w14:paraId="02974631" w14:textId="77777777" w:rsidR="00393731" w:rsidRPr="00D269D7" w:rsidRDefault="00393731" w:rsidP="00C72611">
      <w:pPr>
        <w:pStyle w:val="Heading2noTOC"/>
      </w:pPr>
      <w:r w:rsidRPr="00D269D7">
        <w:lastRenderedPageBreak/>
        <w:t>Approvals by sector</w:t>
      </w:r>
    </w:p>
    <w:p w14:paraId="73D4634A" w14:textId="1ECA6309" w:rsidR="009A3FD4" w:rsidRDefault="009A3FD4" w:rsidP="00115593">
      <w:pPr>
        <w:pStyle w:val="ChartMainHeading"/>
      </w:pPr>
      <w:r w:rsidRPr="00D269D7">
        <w:t xml:space="preserve">Chart </w:t>
      </w:r>
      <w:r w:rsidR="00AD7404">
        <w:t>3.1</w:t>
      </w:r>
      <w:r w:rsidRPr="00D269D7">
        <w:t xml:space="preserve">: </w:t>
      </w:r>
      <w:r w:rsidR="001F5F6D">
        <w:t>Share of t</w:t>
      </w:r>
      <w:r w:rsidRPr="00D269D7">
        <w:t>otal approvals by industry sector in 201</w:t>
      </w:r>
      <w:r w:rsidR="008E4A26" w:rsidRPr="00D269D7">
        <w:t>5</w:t>
      </w:r>
      <w:r w:rsidR="008205A1">
        <w:noBreakHyphen/>
      </w:r>
      <w:r w:rsidR="008E4A26" w:rsidRPr="00D269D7">
        <w:t>16</w:t>
      </w:r>
      <w:r w:rsidR="001F5F6D">
        <w:t>, by value</w:t>
      </w:r>
      <w:r w:rsidRPr="00D269D7">
        <w:t xml:space="preserve"> </w:t>
      </w:r>
      <w:r w:rsidRPr="00D269D7">
        <w:br/>
      </w:r>
    </w:p>
    <w:bookmarkStart w:id="36" w:name="_1548074922"/>
    <w:bookmarkEnd w:id="36"/>
    <w:p w14:paraId="08AE372E" w14:textId="1F467C2B" w:rsidR="00563165" w:rsidRPr="00563165" w:rsidRDefault="008C617D" w:rsidP="008C617D">
      <w:pPr>
        <w:pStyle w:val="ChartGraphic"/>
      </w:pPr>
      <w:r>
        <w:object w:dxaOrig="7351" w:dyaOrig="4530" w14:anchorId="6E164BC5">
          <v:shape id="_x0000_i1029" type="#_x0000_t75" style="width:367.45pt;height:226.85pt" o:ole="">
            <v:imagedata r:id="rId63" o:title=""/>
          </v:shape>
          <o:OLEObject Type="Link" ProgID="Excel.Sheet.12" ShapeID="_x0000_i1029" DrawAspect="Content" r:id="rId64" UpdateMode="Always">
            <o:LinkType>EnhancedMetaFile</o:LinkType>
            <o:LockedField>false</o:LockedField>
          </o:OLEObject>
        </w:object>
      </w:r>
    </w:p>
    <w:p w14:paraId="35F20C36" w14:textId="7CC6F71D" w:rsidR="009A3FD4" w:rsidRPr="00F96AF7" w:rsidRDefault="009A3FD4" w:rsidP="009A3FD4">
      <w:pPr>
        <w:pStyle w:val="ChartGraphic"/>
      </w:pPr>
    </w:p>
    <w:p w14:paraId="21CB56E6" w14:textId="0574AB1B" w:rsidR="009A3FD4" w:rsidRDefault="009A3FD4" w:rsidP="00AC3D60">
      <w:pPr>
        <w:pStyle w:val="ChartorTableNote"/>
      </w:pPr>
      <w:r w:rsidRPr="00E77A1F">
        <w:t>Note:</w:t>
      </w:r>
      <w:r w:rsidRPr="00E77A1F">
        <w:tab/>
        <w:t>Totals may not add due to rounding.</w:t>
      </w:r>
      <w:r w:rsidRPr="009A3FD4">
        <w:t xml:space="preserve"> </w:t>
      </w:r>
      <w:r w:rsidRPr="00F96AF7">
        <w:t>Corporate reorganisations are excluded (</w:t>
      </w:r>
      <w:r w:rsidR="00022C48">
        <w:t>99</w:t>
      </w:r>
      <w:r>
        <w:t xml:space="preserve"> </w:t>
      </w:r>
      <w:r w:rsidRPr="00F96AF7">
        <w:t xml:space="preserve">in </w:t>
      </w:r>
      <w:r>
        <w:t>201</w:t>
      </w:r>
      <w:r w:rsidR="00022C48">
        <w:t>5</w:t>
      </w:r>
      <w:r w:rsidR="008205A1">
        <w:noBreakHyphen/>
      </w:r>
      <w:r>
        <w:t>1</w:t>
      </w:r>
      <w:r w:rsidR="00022C48">
        <w:t>6</w:t>
      </w:r>
      <w:r w:rsidRPr="00F96AF7">
        <w:t>)</w:t>
      </w:r>
      <w:r>
        <w:t>.</w:t>
      </w:r>
    </w:p>
    <w:p w14:paraId="10D182E2" w14:textId="4AC478C1" w:rsidR="009A3FD4" w:rsidRDefault="009A3FD4" w:rsidP="00715C4E">
      <w:pPr>
        <w:pStyle w:val="SingleParagraph"/>
      </w:pPr>
    </w:p>
    <w:p w14:paraId="3DA27365" w14:textId="6053CFB6" w:rsidR="00AC2248" w:rsidRDefault="00AC2248" w:rsidP="00D269D7">
      <w:pPr>
        <w:rPr>
          <w:color w:val="auto"/>
          <w:szCs w:val="24"/>
        </w:rPr>
      </w:pPr>
      <w:r>
        <w:rPr>
          <w:color w:val="auto"/>
          <w:szCs w:val="24"/>
        </w:rPr>
        <w:t>Approvals data can be impacted by large one</w:t>
      </w:r>
      <w:r w:rsidR="008205A1">
        <w:rPr>
          <w:color w:val="auto"/>
          <w:szCs w:val="24"/>
        </w:rPr>
        <w:noBreakHyphen/>
      </w:r>
      <w:r>
        <w:rPr>
          <w:color w:val="auto"/>
          <w:szCs w:val="24"/>
        </w:rPr>
        <w:t xml:space="preserve">off proposed transactions. This </w:t>
      </w:r>
      <w:r w:rsidR="008205A1">
        <w:rPr>
          <w:color w:val="auto"/>
          <w:szCs w:val="24"/>
        </w:rPr>
        <w:t>‘</w:t>
      </w:r>
      <w:r>
        <w:rPr>
          <w:color w:val="auto"/>
          <w:szCs w:val="24"/>
        </w:rPr>
        <w:t>lumpiness</w:t>
      </w:r>
      <w:r w:rsidR="008205A1">
        <w:rPr>
          <w:color w:val="auto"/>
          <w:szCs w:val="24"/>
        </w:rPr>
        <w:t>’</w:t>
      </w:r>
      <w:r>
        <w:rPr>
          <w:color w:val="auto"/>
          <w:szCs w:val="24"/>
        </w:rPr>
        <w:t xml:space="preserve"> should be taken into account when comparing industry data </w:t>
      </w:r>
      <w:r w:rsidR="00814BDD">
        <w:rPr>
          <w:color w:val="auto"/>
          <w:szCs w:val="24"/>
        </w:rPr>
        <w:t>across years</w:t>
      </w:r>
      <w:r w:rsidR="00AD7404">
        <w:rPr>
          <w:color w:val="auto"/>
          <w:szCs w:val="24"/>
        </w:rPr>
        <w:t>.</w:t>
      </w:r>
    </w:p>
    <w:p w14:paraId="5DD13AD1" w14:textId="1C25E74E" w:rsidR="00393731" w:rsidRPr="00D269D7" w:rsidRDefault="00633582" w:rsidP="00D269D7">
      <w:pPr>
        <w:rPr>
          <w:color w:val="auto"/>
          <w:szCs w:val="24"/>
        </w:rPr>
      </w:pPr>
      <w:r w:rsidRPr="00D269D7">
        <w:rPr>
          <w:color w:val="auto"/>
          <w:szCs w:val="24"/>
        </w:rPr>
        <w:t>In 2015</w:t>
      </w:r>
      <w:r w:rsidR="008205A1">
        <w:rPr>
          <w:color w:val="auto"/>
          <w:szCs w:val="24"/>
        </w:rPr>
        <w:noBreakHyphen/>
      </w:r>
      <w:r w:rsidRPr="00D269D7">
        <w:rPr>
          <w:color w:val="auto"/>
          <w:szCs w:val="24"/>
        </w:rPr>
        <w:t>16, real estate remained the largest industry sector by number and value of approvals</w:t>
      </w:r>
      <w:r w:rsidR="005A38D6">
        <w:rPr>
          <w:color w:val="auto"/>
          <w:szCs w:val="24"/>
        </w:rPr>
        <w:t>, increasing by $25.1</w:t>
      </w:r>
      <w:r w:rsidR="00C05CB0">
        <w:rPr>
          <w:color w:val="auto"/>
          <w:szCs w:val="24"/>
        </w:rPr>
        <w:t xml:space="preserve"> billion. </w:t>
      </w:r>
      <w:r>
        <w:rPr>
          <w:color w:val="auto"/>
          <w:szCs w:val="24"/>
        </w:rPr>
        <w:t>T</w:t>
      </w:r>
      <w:r w:rsidR="002272DE">
        <w:rPr>
          <w:color w:val="auto"/>
          <w:szCs w:val="24"/>
        </w:rPr>
        <w:t xml:space="preserve">he value of </w:t>
      </w:r>
      <w:r w:rsidR="00AD7404">
        <w:rPr>
          <w:color w:val="auto"/>
          <w:szCs w:val="24"/>
        </w:rPr>
        <w:t xml:space="preserve">approvals </w:t>
      </w:r>
      <w:r w:rsidR="00C05CB0">
        <w:rPr>
          <w:color w:val="auto"/>
          <w:szCs w:val="24"/>
        </w:rPr>
        <w:t xml:space="preserve">also </w:t>
      </w:r>
      <w:r w:rsidR="00AD7404">
        <w:rPr>
          <w:color w:val="auto"/>
          <w:szCs w:val="24"/>
        </w:rPr>
        <w:t>increased in</w:t>
      </w:r>
      <w:r w:rsidR="00393731" w:rsidRPr="00D269D7">
        <w:rPr>
          <w:color w:val="auto"/>
          <w:szCs w:val="24"/>
        </w:rPr>
        <w:t xml:space="preserve"> the manufacturing</w:t>
      </w:r>
      <w:r w:rsidR="004E2FCC" w:rsidRPr="00D269D7">
        <w:rPr>
          <w:color w:val="auto"/>
          <w:szCs w:val="24"/>
        </w:rPr>
        <w:t xml:space="preserve">, electricity and gas </w:t>
      </w:r>
      <w:r w:rsidR="00393731" w:rsidRPr="00D269D7">
        <w:rPr>
          <w:color w:val="auto"/>
          <w:szCs w:val="24"/>
        </w:rPr>
        <w:t>sector</w:t>
      </w:r>
      <w:r w:rsidR="00D269D7">
        <w:rPr>
          <w:color w:val="auto"/>
          <w:szCs w:val="24"/>
        </w:rPr>
        <w:t> </w:t>
      </w:r>
      <w:r>
        <w:rPr>
          <w:color w:val="auto"/>
          <w:szCs w:val="24"/>
        </w:rPr>
        <w:t>(up by </w:t>
      </w:r>
      <w:r w:rsidR="00393731" w:rsidRPr="00D269D7">
        <w:rPr>
          <w:color w:val="auto"/>
          <w:szCs w:val="24"/>
        </w:rPr>
        <w:t>$</w:t>
      </w:r>
      <w:r w:rsidR="004E2FCC" w:rsidRPr="00D269D7">
        <w:rPr>
          <w:color w:val="auto"/>
          <w:szCs w:val="24"/>
        </w:rPr>
        <w:t>37</w:t>
      </w:r>
      <w:r w:rsidR="00E919E1">
        <w:rPr>
          <w:color w:val="auto"/>
          <w:szCs w:val="24"/>
        </w:rPr>
        <w:t>.1</w:t>
      </w:r>
      <w:r w:rsidR="002272DE">
        <w:rPr>
          <w:color w:val="auto"/>
          <w:szCs w:val="24"/>
        </w:rPr>
        <w:t> </w:t>
      </w:r>
      <w:r w:rsidR="00393731" w:rsidRPr="00D269D7">
        <w:rPr>
          <w:color w:val="auto"/>
          <w:szCs w:val="24"/>
        </w:rPr>
        <w:t>billion)</w:t>
      </w:r>
      <w:r w:rsidR="00C05CB0">
        <w:rPr>
          <w:color w:val="auto"/>
          <w:szCs w:val="24"/>
        </w:rPr>
        <w:t xml:space="preserve"> and </w:t>
      </w:r>
      <w:r w:rsidR="00393731" w:rsidRPr="00D269D7">
        <w:rPr>
          <w:color w:val="auto"/>
          <w:szCs w:val="24"/>
        </w:rPr>
        <w:t>finance and insurance sector (up by $</w:t>
      </w:r>
      <w:r w:rsidR="004E2FCC" w:rsidRPr="00D269D7">
        <w:rPr>
          <w:color w:val="auto"/>
          <w:szCs w:val="24"/>
        </w:rPr>
        <w:t>6.75</w:t>
      </w:r>
      <w:r w:rsidR="00393731" w:rsidRPr="00D269D7">
        <w:rPr>
          <w:color w:val="auto"/>
          <w:szCs w:val="24"/>
        </w:rPr>
        <w:t> billi</w:t>
      </w:r>
      <w:r w:rsidR="002272DE">
        <w:rPr>
          <w:color w:val="auto"/>
          <w:szCs w:val="24"/>
        </w:rPr>
        <w:t>on)</w:t>
      </w:r>
      <w:r w:rsidR="00393731" w:rsidRPr="00D269D7">
        <w:rPr>
          <w:color w:val="auto"/>
          <w:szCs w:val="24"/>
        </w:rPr>
        <w:t>.</w:t>
      </w:r>
    </w:p>
    <w:p w14:paraId="62DF3A69" w14:textId="0B0F2779" w:rsidR="004E2FCC" w:rsidRDefault="00AC5132" w:rsidP="00D269D7">
      <w:pPr>
        <w:rPr>
          <w:color w:val="auto"/>
          <w:szCs w:val="24"/>
        </w:rPr>
      </w:pPr>
      <w:r>
        <w:rPr>
          <w:color w:val="auto"/>
          <w:szCs w:val="24"/>
        </w:rPr>
        <w:t>T</w:t>
      </w:r>
      <w:r w:rsidR="004E2FCC" w:rsidRPr="00D269D7">
        <w:rPr>
          <w:color w:val="auto"/>
          <w:szCs w:val="24"/>
        </w:rPr>
        <w:t xml:space="preserve">here </w:t>
      </w:r>
      <w:r w:rsidR="004A7F97" w:rsidRPr="00D269D7">
        <w:rPr>
          <w:color w:val="auto"/>
          <w:szCs w:val="24"/>
        </w:rPr>
        <w:t xml:space="preserve">was also an increase in agricultural land approvals, by number and value, </w:t>
      </w:r>
      <w:r>
        <w:rPr>
          <w:color w:val="auto"/>
          <w:szCs w:val="24"/>
        </w:rPr>
        <w:t>in part reflecting</w:t>
      </w:r>
      <w:r w:rsidR="00C05CB0">
        <w:rPr>
          <w:color w:val="auto"/>
          <w:szCs w:val="24"/>
        </w:rPr>
        <w:t xml:space="preserve"> the </w:t>
      </w:r>
      <w:r w:rsidR="00CC3E63" w:rsidRPr="00D269D7">
        <w:rPr>
          <w:color w:val="auto"/>
          <w:szCs w:val="24"/>
        </w:rPr>
        <w:t>lower screening th</w:t>
      </w:r>
      <w:r w:rsidR="00D269D7">
        <w:rPr>
          <w:color w:val="auto"/>
          <w:szCs w:val="24"/>
        </w:rPr>
        <w:t xml:space="preserve">reshold </w:t>
      </w:r>
      <w:r>
        <w:rPr>
          <w:color w:val="auto"/>
          <w:szCs w:val="24"/>
        </w:rPr>
        <w:t xml:space="preserve">applying since </w:t>
      </w:r>
      <w:r w:rsidR="00D269D7">
        <w:rPr>
          <w:color w:val="auto"/>
          <w:szCs w:val="24"/>
        </w:rPr>
        <w:t>1 March 2015. Data </w:t>
      </w:r>
      <w:r w:rsidR="00CC3E63" w:rsidRPr="00D269D7">
        <w:rPr>
          <w:color w:val="auto"/>
          <w:szCs w:val="24"/>
        </w:rPr>
        <w:t>from future years will provide a better sense of the investment trends in ag</w:t>
      </w:r>
      <w:r w:rsidR="002D535A">
        <w:rPr>
          <w:color w:val="auto"/>
          <w:szCs w:val="24"/>
        </w:rPr>
        <w:t>ric</w:t>
      </w:r>
      <w:r w:rsidR="00CC3E63" w:rsidRPr="00D269D7">
        <w:rPr>
          <w:color w:val="auto"/>
          <w:szCs w:val="24"/>
        </w:rPr>
        <w:t xml:space="preserve">ultural land. </w:t>
      </w:r>
    </w:p>
    <w:p w14:paraId="1343E056" w14:textId="77777777" w:rsidR="00633582" w:rsidRPr="00D269D7" w:rsidRDefault="00633582" w:rsidP="00D269D7">
      <w:pPr>
        <w:rPr>
          <w:color w:val="auto"/>
          <w:szCs w:val="24"/>
        </w:rPr>
      </w:pPr>
    </w:p>
    <w:p w14:paraId="27FCEB87" w14:textId="567BE8DF" w:rsidR="00393731" w:rsidRPr="00D269D7" w:rsidRDefault="00393731" w:rsidP="00115593">
      <w:pPr>
        <w:pStyle w:val="TableHeading"/>
      </w:pPr>
      <w:r w:rsidRPr="00D269D7">
        <w:lastRenderedPageBreak/>
        <w:t xml:space="preserve">Table </w:t>
      </w:r>
      <w:r w:rsidR="00B67E59">
        <w:t>3</w:t>
      </w:r>
      <w:r w:rsidRPr="00D269D7">
        <w:t>.4: Total approvals by industry sector</w:t>
      </w:r>
      <w:r w:rsidR="009B3992" w:rsidRPr="00D269D7">
        <w:t>: 2012</w:t>
      </w:r>
      <w:r w:rsidR="008205A1">
        <w:noBreakHyphen/>
      </w:r>
      <w:r w:rsidR="009B3992" w:rsidRPr="00D269D7">
        <w:t>13 to 2015</w:t>
      </w:r>
      <w:r w:rsidR="008205A1">
        <w:noBreakHyphen/>
      </w:r>
      <w:r w:rsidR="009B3992" w:rsidRPr="00D269D7">
        <w:t>16</w:t>
      </w:r>
    </w:p>
    <w:bookmarkStart w:id="37" w:name="_1548074924"/>
    <w:bookmarkEnd w:id="37"/>
    <w:p w14:paraId="555911AA" w14:textId="7D6D8C43" w:rsidR="009B3992" w:rsidRDefault="003119D8" w:rsidP="009B3992">
      <w:pPr>
        <w:pStyle w:val="TableGraphic"/>
      </w:pPr>
      <w:r>
        <w:object w:dxaOrig="7705" w:dyaOrig="4382" w14:anchorId="4F733D11">
          <v:shape id="_x0000_i1030" type="#_x0000_t75" style="width:385.8pt;height:219.4pt" o:ole="">
            <v:imagedata r:id="rId65" o:title=""/>
          </v:shape>
          <o:OLEObject Type="Link" ProgID="Excel.Sheet.12" ShapeID="_x0000_i1030" DrawAspect="Content" r:id="rId66" UpdateMode="Always">
            <o:LinkType>EnhancedMetaFile</o:LinkType>
            <o:LockedField/>
          </o:OLEObject>
        </w:object>
      </w:r>
    </w:p>
    <w:p w14:paraId="4FE8BD2F" w14:textId="1A0CB6C6" w:rsidR="00393731" w:rsidRPr="00F97E30" w:rsidRDefault="007D044E" w:rsidP="00393731">
      <w:pPr>
        <w:pStyle w:val="ChartandTableFootnoteAlpha"/>
      </w:pPr>
      <w:r>
        <w:t>Proposed investment includes new dwelling exemption certificates</w:t>
      </w:r>
      <w:r w:rsidR="00393731" w:rsidRPr="00F97E30">
        <w:t xml:space="preserve"> provided to real estate developers </w:t>
      </w:r>
      <w:r>
        <w:t xml:space="preserve">(previously </w:t>
      </w:r>
      <w:r w:rsidRPr="00F97E30">
        <w:t>off</w:t>
      </w:r>
      <w:r w:rsidR="008205A1">
        <w:noBreakHyphen/>
      </w:r>
      <w:r w:rsidRPr="00F97E30">
        <w:t>the</w:t>
      </w:r>
      <w:r w:rsidR="008205A1">
        <w:noBreakHyphen/>
      </w:r>
      <w:r w:rsidRPr="00F97E30">
        <w:t>plan approvals</w:t>
      </w:r>
      <w:r>
        <w:t xml:space="preserve">) </w:t>
      </w:r>
      <w:r w:rsidR="00393731" w:rsidRPr="00F97E30">
        <w:t xml:space="preserve">and approvals for </w:t>
      </w:r>
      <w:r>
        <w:t>exemption certificates</w:t>
      </w:r>
      <w:r w:rsidR="00393731" w:rsidRPr="00F97E30">
        <w:t xml:space="preserve">. </w:t>
      </w:r>
      <w:r w:rsidR="00393731" w:rsidRPr="00B86122">
        <w:t>Further details are provided in the section on real estate.</w:t>
      </w:r>
    </w:p>
    <w:p w14:paraId="2EAE89CB" w14:textId="03696476" w:rsidR="00393731" w:rsidRDefault="00393731" w:rsidP="00393731">
      <w:pPr>
        <w:pStyle w:val="StyleChartorTableNoteLeft0cmHanging1cm"/>
      </w:pPr>
      <w:r w:rsidRPr="00F96AF7">
        <w:t>Note:</w:t>
      </w:r>
      <w:r w:rsidRPr="00F96AF7">
        <w:tab/>
      </w:r>
      <w:r w:rsidRPr="003A5531">
        <w:t>Tota</w:t>
      </w:r>
      <w:r w:rsidR="005A38D6">
        <w:t>l number of approvals in Table 3</w:t>
      </w:r>
      <w:r w:rsidRPr="003A5531">
        <w:t>.4 may be greater than or equal to the</w:t>
      </w:r>
      <w:r w:rsidR="005A38D6">
        <w:t xml:space="preserve"> number of approvals in Tables 3.1 and 3</w:t>
      </w:r>
      <w:r w:rsidRPr="003A5531">
        <w:t>.3 as the case management system allows for reporting by target,</w:t>
      </w:r>
      <w:r>
        <w:t xml:space="preserve"> including industry sectors (for example, o</w:t>
      </w:r>
      <w:r w:rsidRPr="003A5531">
        <w:t>ne proposal to acquire two targets that operate in separate sectors will appear as one approval per sector).</w:t>
      </w:r>
    </w:p>
    <w:p w14:paraId="78E902CA" w14:textId="77777777" w:rsidR="00393731" w:rsidRPr="00F96AF7" w:rsidRDefault="00393731" w:rsidP="00393731">
      <w:pPr>
        <w:pStyle w:val="StyleChartorTableNoteLeft0cmHanging1cm"/>
      </w:pPr>
      <w:r>
        <w:tab/>
      </w:r>
      <w:r w:rsidRPr="00F96AF7">
        <w:t>Totals may not add due to rounding.</w:t>
      </w:r>
    </w:p>
    <w:p w14:paraId="1E1CFB9E" w14:textId="64FC448E" w:rsidR="00393731" w:rsidRDefault="00393731" w:rsidP="00393731">
      <w:pPr>
        <w:pStyle w:val="StyleChartorTableNoteLeft0cmHanging1cm"/>
      </w:pPr>
      <w:r w:rsidRPr="00F96AF7">
        <w:tab/>
      </w:r>
      <w:proofErr w:type="gramStart"/>
      <w:r w:rsidRPr="00F96AF7">
        <w:t>Excludes corporate reorganisations (</w:t>
      </w:r>
      <w:r w:rsidR="009B3992">
        <w:t>99</w:t>
      </w:r>
      <w:r>
        <w:t xml:space="preserve"> </w:t>
      </w:r>
      <w:r w:rsidRPr="00F96AF7">
        <w:t xml:space="preserve">in </w:t>
      </w:r>
      <w:r>
        <w:t>201</w:t>
      </w:r>
      <w:r w:rsidR="009B3992">
        <w:t>5</w:t>
      </w:r>
      <w:r w:rsidR="008205A1">
        <w:noBreakHyphen/>
      </w:r>
      <w:r>
        <w:t>1</w:t>
      </w:r>
      <w:r w:rsidR="009B3992">
        <w:t>6</w:t>
      </w:r>
      <w:r w:rsidRPr="00F96AF7">
        <w:t>).</w:t>
      </w:r>
      <w:proofErr w:type="gramEnd"/>
    </w:p>
    <w:p w14:paraId="229682CB" w14:textId="47D2F096" w:rsidR="00A76931" w:rsidRDefault="00A76931" w:rsidP="00A76931">
      <w:pPr>
        <w:pStyle w:val="StyleChartorTableNoteLeft0cmHanging1cm"/>
        <w:ind w:firstLine="0"/>
      </w:pPr>
      <w:r w:rsidRPr="00A76931">
        <w:t xml:space="preserve">The manufacturing, electricity &amp; gas sector has been renamed </w:t>
      </w:r>
      <w:r>
        <w:t xml:space="preserve">to improve </w:t>
      </w:r>
      <w:r w:rsidR="00854C21" w:rsidRPr="00A76931">
        <w:t>clarity</w:t>
      </w:r>
      <w:r w:rsidR="00633582">
        <w:t>. T</w:t>
      </w:r>
      <w:r w:rsidRPr="00A76931">
        <w:t xml:space="preserve">he industries </w:t>
      </w:r>
      <w:r>
        <w:t xml:space="preserve">covered by </w:t>
      </w:r>
      <w:r w:rsidRPr="00A76931">
        <w:t>this sector have not changed from previous annual reports.</w:t>
      </w:r>
    </w:p>
    <w:p w14:paraId="1D3C1B3F" w14:textId="543479AD" w:rsidR="00DC285F" w:rsidRDefault="00DC285F" w:rsidP="00CD06D7">
      <w:pPr>
        <w:pStyle w:val="StyleChartorTableNoteLeft0cmHanging1cm"/>
      </w:pPr>
      <w:r>
        <w:tab/>
      </w:r>
      <w:r w:rsidR="00F522FB">
        <w:t xml:space="preserve">The </w:t>
      </w:r>
      <w:r w:rsidRPr="00DC285F">
        <w:t>2015</w:t>
      </w:r>
      <w:r w:rsidR="008205A1">
        <w:noBreakHyphen/>
      </w:r>
      <w:r w:rsidRPr="00DC285F">
        <w:t xml:space="preserve">16 figures were impacted by the 1 December 2015 reforms, which may </w:t>
      </w:r>
      <w:r w:rsidR="00451533">
        <w:t>affect data comparability</w:t>
      </w:r>
      <w:r>
        <w:t>. The 2014</w:t>
      </w:r>
      <w:r w:rsidR="008205A1">
        <w:noBreakHyphen/>
      </w:r>
      <w:r>
        <w:t xml:space="preserve">15 figures have also been revised. Further details are at Appendix A. </w:t>
      </w:r>
    </w:p>
    <w:p w14:paraId="40F708B5" w14:textId="77777777" w:rsidR="00393731" w:rsidRDefault="00393731" w:rsidP="00F70762">
      <w:pPr>
        <w:pStyle w:val="CoverTitleMain"/>
        <w:rPr>
          <w:sz w:val="20"/>
        </w:rPr>
      </w:pPr>
    </w:p>
    <w:p w14:paraId="41098693" w14:textId="3111FE33" w:rsidR="00393731" w:rsidRDefault="00393731" w:rsidP="00363B79">
      <w:pPr>
        <w:tabs>
          <w:tab w:val="left" w:pos="5125"/>
        </w:tabs>
        <w:rPr>
          <w:rFonts w:ascii="Arial" w:hAnsi="Arial"/>
          <w:color w:val="003E74"/>
        </w:rPr>
      </w:pPr>
      <w:r>
        <w:br w:type="page"/>
      </w:r>
    </w:p>
    <w:p w14:paraId="750C1149" w14:textId="77777777" w:rsidR="008B6006" w:rsidRPr="00D269D7" w:rsidRDefault="008B6006" w:rsidP="00D269D7">
      <w:pPr>
        <w:pStyle w:val="Heading3"/>
        <w:rPr>
          <w:rFonts w:asciiTheme="minorHAnsi" w:hAnsiTheme="minorHAnsi"/>
          <w:smallCaps/>
        </w:rPr>
      </w:pPr>
      <w:r w:rsidRPr="00D269D7">
        <w:rPr>
          <w:rFonts w:asciiTheme="minorHAnsi" w:hAnsiTheme="minorHAnsi"/>
        </w:rPr>
        <w:lastRenderedPageBreak/>
        <w:t>Agriculture, forestry and fishing</w:t>
      </w:r>
    </w:p>
    <w:p w14:paraId="7819E335" w14:textId="5F0BB3DC" w:rsidR="00602AF0" w:rsidRDefault="00602AF0" w:rsidP="00D269D7">
      <w:pPr>
        <w:rPr>
          <w:color w:val="auto"/>
          <w:sz w:val="24"/>
        </w:rPr>
      </w:pPr>
      <w:r w:rsidRPr="00D269D7">
        <w:rPr>
          <w:noProof/>
          <w:color w:val="auto"/>
          <w:szCs w:val="24"/>
        </w:rPr>
        <mc:AlternateContent>
          <mc:Choice Requires="wpc">
            <w:drawing>
              <wp:anchor distT="0" distB="0" distL="114300" distR="114300" simplePos="0" relativeHeight="251658264" behindDoc="1" locked="0" layoutInCell="1" allowOverlap="1" wp14:anchorId="7C847B75" wp14:editId="78A5785E">
                <wp:simplePos x="0" y="0"/>
                <wp:positionH relativeFrom="column">
                  <wp:posOffset>-139065</wp:posOffset>
                </wp:positionH>
                <wp:positionV relativeFrom="paragraph">
                  <wp:posOffset>59690</wp:posOffset>
                </wp:positionV>
                <wp:extent cx="1190625" cy="947420"/>
                <wp:effectExtent l="0" t="0" r="0" b="5080"/>
                <wp:wrapSquare wrapText="bothSides"/>
                <wp:docPr id="312" name="Canvas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0" name="Oval 310"/>
                        <wps:cNvSpPr/>
                        <wps:spPr>
                          <a:xfrm>
                            <a:off x="106878" y="0"/>
                            <a:ext cx="938153" cy="911792"/>
                          </a:xfrm>
                          <a:prstGeom prst="ellipse">
                            <a:avLst/>
                          </a:prstGeom>
                          <a:solidFill>
                            <a:schemeClr val="tx2"/>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1" y="116958"/>
                            <a:ext cx="1150191" cy="793679"/>
                          </a:xfrm>
                          <a:prstGeom prst="rect">
                            <a:avLst/>
                          </a:prstGeom>
                          <a:noFill/>
                          <a:ln w="6350">
                            <a:noFill/>
                          </a:ln>
                          <a:effectLst/>
                        </wps:spPr>
                        <wps:txbx>
                          <w:txbxContent>
                            <w:p w14:paraId="0694FB5A" w14:textId="7E728D8A" w:rsidR="00C263DE" w:rsidRPr="00D8391B" w:rsidRDefault="00C263DE" w:rsidP="00B434D4">
                              <w:pPr>
                                <w:spacing w:after="0"/>
                                <w:jc w:val="center"/>
                                <w:rPr>
                                  <w:b/>
                                  <w:color w:val="FFFFFF" w:themeColor="background1"/>
                                  <w:sz w:val="24"/>
                                </w:rPr>
                              </w:pPr>
                              <w:r w:rsidRPr="00D8391B">
                                <w:rPr>
                                  <w:b/>
                                  <w:color w:val="FFFFFF" w:themeColor="background1"/>
                                  <w:sz w:val="24"/>
                                </w:rPr>
                                <w:t>$</w:t>
                              </w:r>
                              <w:r>
                                <w:rPr>
                                  <w:b/>
                                  <w:color w:val="FFFFFF" w:themeColor="background1"/>
                                  <w:sz w:val="24"/>
                                </w:rPr>
                                <w:t>4.6</w:t>
                              </w:r>
                              <w:r w:rsidRPr="00D8391B">
                                <w:rPr>
                                  <w:b/>
                                  <w:color w:val="FFFFFF" w:themeColor="background1"/>
                                  <w:sz w:val="24"/>
                                </w:rPr>
                                <w:t>b</w:t>
                              </w:r>
                            </w:p>
                            <w:p w14:paraId="1C7B4EEA" w14:textId="77777777" w:rsidR="00C263DE" w:rsidRPr="00D8391B" w:rsidRDefault="00C263DE" w:rsidP="00B434D4">
                              <w:pPr>
                                <w:spacing w:after="0"/>
                                <w:jc w:val="center"/>
                                <w:rPr>
                                  <w:b/>
                                  <w:color w:val="FFFFFF" w:themeColor="background1"/>
                                  <w:sz w:val="24"/>
                                </w:rPr>
                              </w:pPr>
                              <w:proofErr w:type="gramStart"/>
                              <w:r w:rsidRPr="00D8391B">
                                <w:rPr>
                                  <w:b/>
                                  <w:color w:val="FFFFFF" w:themeColor="background1"/>
                                  <w:sz w:val="24"/>
                                </w:rPr>
                                <w:t>approved</w:t>
                              </w:r>
                              <w:proofErr w:type="gramEnd"/>
                            </w:p>
                            <w:p w14:paraId="418F28B8" w14:textId="77777777" w:rsidR="00C263DE" w:rsidRPr="001628FF" w:rsidRDefault="00C263DE" w:rsidP="00B434D4">
                              <w:pPr>
                                <w:jc w:val="center"/>
                                <w:rPr>
                                  <w:sz w:val="24"/>
                                </w:rPr>
                              </w:pPr>
                              <w:proofErr w:type="gramStart"/>
                              <w:r w:rsidRPr="00D8391B">
                                <w:rPr>
                                  <w:b/>
                                  <w:color w:val="FFFFFF" w:themeColor="background1"/>
                                  <w:sz w:val="24"/>
                                </w:rPr>
                                <w:t>investment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312" o:spid="_x0000_s1028" editas="canvas" style="position:absolute;left:0;text-align:left;margin-left:-10.95pt;margin-top:4.7pt;width:93.75pt;height:74.6pt;z-index:-251658216" coordsize="11906,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">
                <v:shape id="_x0000_s1029" type="#_x0000_t75" style="position:absolute;width:11906;height:9474;visibility:visible;mso-wrap-style:square">
                  <v:fill o:detectmouseclick="t"/>
                  <v:path o:connecttype="none"/>
                </v:shape>
                <v:oval id="Oval 310" o:spid="_x0000_s1030" style="position:absolute;left:1068;width:9382;height:9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2rwA&#10;AADcAAAADwAAAGRycy9kb3ducmV2LnhtbERPSwrCMBDdC94hjOBO0yqKVqOIIogrfwcYm+kHm0lp&#10;otbbm4Xg8vH+y3VrKvGixpWWFcTDCARxanXJuYLbdT+YgXAeWWNlmRR8yMF61e0sMdH2zWd6XXwu&#10;Qgi7BBUU3teJlC4tyKAb2po4cJltDPoAm1zqBt8h3FRyFEVTabDk0FBgTduC0sflaRScJrv4MTtS&#10;xfdyd0DaZ/ScZ0r1e+1mAcJT6//in/ugFYzjMD+cC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Cn/avAAAANwAAAAPAAAAAAAAAAAAAAAAAJgCAABkcnMvZG93bnJldi54&#10;bWxQSwUGAAAAAAQABAD1AAAAgQMAAAAA&#10;" fillcolor="#1f497d [3215]" strokecolor="#1f497d" strokeweight="2pt"/>
                <v:shapetype id="_x0000_t202" coordsize="21600,21600" o:spt="202" path="m,l,21600r21600,l21600,xe">
                  <v:stroke joinstyle="miter"/>
                  <v:path gradientshapeok="t" o:connecttype="rect"/>
                </v:shapetype>
                <v:shape id="Text Box 311" o:spid="_x0000_s1031" type="#_x0000_t202" style="position:absolute;top:1169;width:11501;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14:paraId="0694FB5A" w14:textId="7E728D8A" w:rsidR="00C263DE" w:rsidRPr="00D8391B" w:rsidRDefault="00C263DE" w:rsidP="00B434D4">
                        <w:pPr>
                          <w:spacing w:after="0"/>
                          <w:jc w:val="center"/>
                          <w:rPr>
                            <w:b/>
                            <w:color w:val="FFFFFF" w:themeColor="background1"/>
                            <w:sz w:val="24"/>
                          </w:rPr>
                        </w:pPr>
                        <w:r w:rsidRPr="00D8391B">
                          <w:rPr>
                            <w:b/>
                            <w:color w:val="FFFFFF" w:themeColor="background1"/>
                            <w:sz w:val="24"/>
                          </w:rPr>
                          <w:t>$</w:t>
                        </w:r>
                        <w:r>
                          <w:rPr>
                            <w:b/>
                            <w:color w:val="FFFFFF" w:themeColor="background1"/>
                            <w:sz w:val="24"/>
                          </w:rPr>
                          <w:t>4.6</w:t>
                        </w:r>
                        <w:r w:rsidRPr="00D8391B">
                          <w:rPr>
                            <w:b/>
                            <w:color w:val="FFFFFF" w:themeColor="background1"/>
                            <w:sz w:val="24"/>
                          </w:rPr>
                          <w:t>b</w:t>
                        </w:r>
                      </w:p>
                      <w:p w14:paraId="1C7B4EEA" w14:textId="77777777" w:rsidR="00C263DE" w:rsidRPr="00D8391B" w:rsidRDefault="00C263DE" w:rsidP="00B434D4">
                        <w:pPr>
                          <w:spacing w:after="0"/>
                          <w:jc w:val="center"/>
                          <w:rPr>
                            <w:b/>
                            <w:color w:val="FFFFFF" w:themeColor="background1"/>
                            <w:sz w:val="24"/>
                          </w:rPr>
                        </w:pPr>
                        <w:proofErr w:type="gramStart"/>
                        <w:r w:rsidRPr="00D8391B">
                          <w:rPr>
                            <w:b/>
                            <w:color w:val="FFFFFF" w:themeColor="background1"/>
                            <w:sz w:val="24"/>
                          </w:rPr>
                          <w:t>approved</w:t>
                        </w:r>
                        <w:proofErr w:type="gramEnd"/>
                      </w:p>
                      <w:p w14:paraId="418F28B8" w14:textId="77777777" w:rsidR="00C263DE" w:rsidRPr="001628FF" w:rsidRDefault="00C263DE" w:rsidP="00B434D4">
                        <w:pPr>
                          <w:jc w:val="center"/>
                          <w:rPr>
                            <w:sz w:val="24"/>
                          </w:rPr>
                        </w:pPr>
                        <w:proofErr w:type="gramStart"/>
                        <w:r w:rsidRPr="00D8391B">
                          <w:rPr>
                            <w:b/>
                            <w:color w:val="FFFFFF" w:themeColor="background1"/>
                            <w:sz w:val="24"/>
                          </w:rPr>
                          <w:t>investment</w:t>
                        </w:r>
                        <w:proofErr w:type="gramEnd"/>
                      </w:p>
                    </w:txbxContent>
                  </v:textbox>
                </v:shape>
                <w10:wrap type="square"/>
              </v:group>
            </w:pict>
          </mc:Fallback>
        </mc:AlternateContent>
      </w:r>
      <w:r w:rsidRPr="00D269D7">
        <w:rPr>
          <w:color w:val="auto"/>
          <w:szCs w:val="24"/>
        </w:rPr>
        <w:t>In 2015</w:t>
      </w:r>
      <w:r w:rsidR="008205A1">
        <w:rPr>
          <w:color w:val="auto"/>
          <w:szCs w:val="24"/>
        </w:rPr>
        <w:noBreakHyphen/>
      </w:r>
      <w:r w:rsidRPr="00D269D7">
        <w:rPr>
          <w:color w:val="auto"/>
          <w:szCs w:val="24"/>
        </w:rPr>
        <w:t>16, 227 approvals were given for proposed investment in the agriculture, forestry and fishing sec</w:t>
      </w:r>
      <w:r w:rsidR="008F3B80">
        <w:rPr>
          <w:color w:val="auto"/>
          <w:szCs w:val="24"/>
        </w:rPr>
        <w:t>tor worth $4.6 billion. The two </w:t>
      </w:r>
      <w:r w:rsidRPr="00D269D7">
        <w:rPr>
          <w:color w:val="auto"/>
          <w:szCs w:val="24"/>
        </w:rPr>
        <w:t>largest source countries of inv</w:t>
      </w:r>
      <w:r w:rsidR="00451533">
        <w:rPr>
          <w:color w:val="auto"/>
          <w:szCs w:val="24"/>
        </w:rPr>
        <w:t>estment by value in this sector</w:t>
      </w:r>
      <w:r w:rsidRPr="00D269D7">
        <w:rPr>
          <w:color w:val="auto"/>
          <w:szCs w:val="24"/>
        </w:rPr>
        <w:t xml:space="preserve"> remain the US ($1.3 billion) and China ($996 million)</w:t>
      </w:r>
      <w:r w:rsidR="008F3B80">
        <w:rPr>
          <w:color w:val="auto"/>
          <w:szCs w:val="24"/>
        </w:rPr>
        <w:t>.</w:t>
      </w:r>
      <w:r w:rsidR="00A7701C">
        <w:rPr>
          <w:rStyle w:val="FootnoteReference"/>
          <w:color w:val="auto"/>
          <w:szCs w:val="24"/>
        </w:rPr>
        <w:footnoteReference w:id="2"/>
      </w:r>
    </w:p>
    <w:p w14:paraId="45ECCD9B" w14:textId="3F6A9650" w:rsidR="00CF796A" w:rsidRDefault="00CF796A" w:rsidP="00602AF0">
      <w:pPr>
        <w:rPr>
          <w:color w:val="auto"/>
          <w:szCs w:val="24"/>
        </w:rPr>
      </w:pPr>
      <w:r w:rsidRPr="00451533">
        <w:rPr>
          <w:color w:val="auto"/>
          <w:szCs w:val="24"/>
        </w:rPr>
        <w:t>O</w:t>
      </w:r>
      <w:r w:rsidRPr="00D269D7">
        <w:rPr>
          <w:color w:val="auto"/>
          <w:szCs w:val="24"/>
        </w:rPr>
        <w:t xml:space="preserve">n 1 March 2015, the agricultural </w:t>
      </w:r>
      <w:r w:rsidR="00BD0094">
        <w:rPr>
          <w:color w:val="auto"/>
          <w:szCs w:val="24"/>
        </w:rPr>
        <w:t xml:space="preserve">land </w:t>
      </w:r>
      <w:r w:rsidRPr="00D269D7">
        <w:rPr>
          <w:color w:val="auto"/>
          <w:szCs w:val="24"/>
        </w:rPr>
        <w:t xml:space="preserve">screening threshold was lowered from $252 million per acquisition to $15 million cumulative. This means that more agricultural land applications, particularly for lower value </w:t>
      </w:r>
      <w:r w:rsidR="00451533">
        <w:rPr>
          <w:color w:val="auto"/>
          <w:szCs w:val="24"/>
        </w:rPr>
        <w:t>transactions</w:t>
      </w:r>
      <w:r w:rsidRPr="00D269D7">
        <w:rPr>
          <w:color w:val="auto"/>
          <w:szCs w:val="24"/>
        </w:rPr>
        <w:t xml:space="preserve">, were screened from this time. Due to this change, </w:t>
      </w:r>
      <w:r w:rsidR="00FB60C8">
        <w:rPr>
          <w:color w:val="auto"/>
          <w:szCs w:val="24"/>
        </w:rPr>
        <w:t xml:space="preserve">around </w:t>
      </w:r>
      <w:r w:rsidR="00360887">
        <w:rPr>
          <w:color w:val="auto"/>
          <w:szCs w:val="24"/>
        </w:rPr>
        <w:t>110</w:t>
      </w:r>
      <w:r w:rsidRPr="00D269D7">
        <w:rPr>
          <w:color w:val="auto"/>
          <w:szCs w:val="24"/>
        </w:rPr>
        <w:t xml:space="preserve"> proposals for agricultural land</w:t>
      </w:r>
      <w:r w:rsidR="00CB2D02">
        <w:rPr>
          <w:color w:val="auto"/>
          <w:szCs w:val="24"/>
        </w:rPr>
        <w:t xml:space="preserve"> valued at </w:t>
      </w:r>
      <w:r w:rsidR="00FB60C8">
        <w:rPr>
          <w:color w:val="auto"/>
          <w:szCs w:val="24"/>
        </w:rPr>
        <w:t>approximately</w:t>
      </w:r>
      <w:r w:rsidR="00CB2D02">
        <w:rPr>
          <w:color w:val="auto"/>
          <w:szCs w:val="24"/>
        </w:rPr>
        <w:t xml:space="preserve"> $</w:t>
      </w:r>
      <w:r w:rsidR="00451533">
        <w:rPr>
          <w:color w:val="auto"/>
          <w:szCs w:val="24"/>
        </w:rPr>
        <w:t>1.4 billion</w:t>
      </w:r>
      <w:r w:rsidRPr="00D269D7">
        <w:rPr>
          <w:color w:val="auto"/>
          <w:szCs w:val="24"/>
        </w:rPr>
        <w:t xml:space="preserve"> were screened in 2015</w:t>
      </w:r>
      <w:r w:rsidR="008205A1">
        <w:rPr>
          <w:color w:val="auto"/>
          <w:szCs w:val="24"/>
        </w:rPr>
        <w:noBreakHyphen/>
      </w:r>
      <w:r w:rsidRPr="00D269D7">
        <w:rPr>
          <w:color w:val="auto"/>
          <w:szCs w:val="24"/>
        </w:rPr>
        <w:t xml:space="preserve">16 </w:t>
      </w:r>
      <w:r w:rsidR="00451533">
        <w:rPr>
          <w:color w:val="auto"/>
          <w:szCs w:val="24"/>
        </w:rPr>
        <w:t>that otherwise</w:t>
      </w:r>
      <w:r w:rsidRPr="00D269D7">
        <w:rPr>
          <w:color w:val="auto"/>
          <w:szCs w:val="24"/>
        </w:rPr>
        <w:t xml:space="preserve"> would not</w:t>
      </w:r>
      <w:r w:rsidR="00143EBC">
        <w:rPr>
          <w:color w:val="auto"/>
          <w:szCs w:val="24"/>
        </w:rPr>
        <w:t xml:space="preserve"> have been screened previously.</w:t>
      </w:r>
    </w:p>
    <w:p w14:paraId="5F1C66D1" w14:textId="77777777" w:rsidR="00CD06D7" w:rsidRPr="006A6448" w:rsidRDefault="00CD06D7" w:rsidP="00CD06D7">
      <w:pPr>
        <w:pStyle w:val="Heading3"/>
        <w:spacing w:before="240"/>
        <w:rPr>
          <w:rFonts w:asciiTheme="minorHAnsi" w:hAnsiTheme="minorHAnsi"/>
          <w:smallCaps/>
        </w:rPr>
      </w:pPr>
      <w:r w:rsidRPr="006A6448">
        <w:rPr>
          <w:rFonts w:asciiTheme="minorHAnsi" w:hAnsiTheme="minorHAnsi"/>
        </w:rPr>
        <w:t>Finance and insurance</w:t>
      </w:r>
    </w:p>
    <w:p w14:paraId="5FA13904" w14:textId="52B69A3C" w:rsidR="00CD06D7" w:rsidRPr="006A6448" w:rsidRDefault="00CD06D7" w:rsidP="00CD06D7">
      <w:pPr>
        <w:rPr>
          <w:color w:val="auto"/>
          <w:szCs w:val="24"/>
        </w:rPr>
      </w:pPr>
      <w:r w:rsidRPr="006A6448">
        <w:rPr>
          <w:color w:val="auto"/>
          <w:szCs w:val="24"/>
        </w:rPr>
        <w:t>The value of approved proposed investment in the finance and in</w:t>
      </w:r>
      <w:r w:rsidR="00975138">
        <w:rPr>
          <w:color w:val="auto"/>
          <w:szCs w:val="24"/>
        </w:rPr>
        <w:t>surance sector doubled from $6.75</w:t>
      </w:r>
      <w:r w:rsidRPr="006A6448">
        <w:rPr>
          <w:color w:val="auto"/>
          <w:szCs w:val="24"/>
        </w:rPr>
        <w:t> billion in 2014</w:t>
      </w:r>
      <w:r w:rsidR="008205A1">
        <w:rPr>
          <w:color w:val="auto"/>
          <w:szCs w:val="24"/>
        </w:rPr>
        <w:noBreakHyphen/>
      </w:r>
      <w:r w:rsidRPr="006A6448">
        <w:rPr>
          <w:color w:val="auto"/>
          <w:szCs w:val="24"/>
        </w:rPr>
        <w:t>15 to $13.5</w:t>
      </w:r>
      <w:r w:rsidR="00677D3D">
        <w:rPr>
          <w:color w:val="auto"/>
          <w:szCs w:val="24"/>
        </w:rPr>
        <w:t> b</w:t>
      </w:r>
      <w:r w:rsidRPr="006A6448">
        <w:rPr>
          <w:color w:val="auto"/>
          <w:szCs w:val="24"/>
        </w:rPr>
        <w:t>illion in 2015</w:t>
      </w:r>
      <w:r w:rsidR="008205A1">
        <w:rPr>
          <w:color w:val="auto"/>
          <w:szCs w:val="24"/>
        </w:rPr>
        <w:noBreakHyphen/>
      </w:r>
      <w:r w:rsidRPr="006A6448">
        <w:rPr>
          <w:color w:val="auto"/>
          <w:szCs w:val="24"/>
        </w:rPr>
        <w:t xml:space="preserve">16. </w:t>
      </w:r>
      <w:r w:rsidRPr="006A6448">
        <w:rPr>
          <w:noProof/>
          <w:color w:val="auto"/>
          <w:szCs w:val="24"/>
        </w:rPr>
        <mc:AlternateContent>
          <mc:Choice Requires="wpc">
            <w:drawing>
              <wp:anchor distT="0" distB="0" distL="114300" distR="114300" simplePos="0" relativeHeight="251658266" behindDoc="1" locked="0" layoutInCell="1" allowOverlap="1" wp14:anchorId="4715272B" wp14:editId="118C78DC">
                <wp:simplePos x="0" y="0"/>
                <wp:positionH relativeFrom="column">
                  <wp:posOffset>-8255</wp:posOffset>
                </wp:positionH>
                <wp:positionV relativeFrom="paragraph">
                  <wp:posOffset>42545</wp:posOffset>
                </wp:positionV>
                <wp:extent cx="1190625" cy="947420"/>
                <wp:effectExtent l="0" t="0" r="0" b="5080"/>
                <wp:wrapSquare wrapText="bothSides"/>
                <wp:docPr id="305" name="Canvas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3" name="Oval 303"/>
                        <wps:cNvSpPr/>
                        <wps:spPr>
                          <a:xfrm>
                            <a:off x="106878" y="0"/>
                            <a:ext cx="938153" cy="911792"/>
                          </a:xfrm>
                          <a:prstGeom prst="ellipse">
                            <a:avLst/>
                          </a:prstGeom>
                          <a:solidFill>
                            <a:schemeClr val="tx2"/>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1" y="116958"/>
                            <a:ext cx="1150191" cy="793679"/>
                          </a:xfrm>
                          <a:prstGeom prst="rect">
                            <a:avLst/>
                          </a:prstGeom>
                          <a:noFill/>
                          <a:ln w="6350">
                            <a:noFill/>
                          </a:ln>
                          <a:effectLst/>
                        </wps:spPr>
                        <wps:txbx>
                          <w:txbxContent>
                            <w:p w14:paraId="11259477" w14:textId="77777777" w:rsidR="00C263DE" w:rsidRPr="00D8391B" w:rsidRDefault="00C263DE" w:rsidP="00CD06D7">
                              <w:pPr>
                                <w:spacing w:after="0"/>
                                <w:jc w:val="center"/>
                                <w:rPr>
                                  <w:b/>
                                  <w:color w:val="FFFFFF" w:themeColor="background1"/>
                                  <w:sz w:val="24"/>
                                </w:rPr>
                              </w:pPr>
                              <w:r w:rsidRPr="00D8391B">
                                <w:rPr>
                                  <w:b/>
                                  <w:color w:val="FFFFFF" w:themeColor="background1"/>
                                  <w:sz w:val="24"/>
                                </w:rPr>
                                <w:t>$</w:t>
                              </w:r>
                              <w:r>
                                <w:rPr>
                                  <w:b/>
                                  <w:color w:val="FFFFFF" w:themeColor="background1"/>
                                  <w:sz w:val="24"/>
                                </w:rPr>
                                <w:t>13.5</w:t>
                              </w:r>
                              <w:r w:rsidRPr="00D8391B">
                                <w:rPr>
                                  <w:b/>
                                  <w:color w:val="FFFFFF" w:themeColor="background1"/>
                                  <w:sz w:val="24"/>
                                </w:rPr>
                                <w:t>b</w:t>
                              </w:r>
                            </w:p>
                            <w:p w14:paraId="69BD4EE0" w14:textId="77777777" w:rsidR="00C263DE" w:rsidRPr="00D8391B" w:rsidRDefault="00C263DE" w:rsidP="00CD06D7">
                              <w:pPr>
                                <w:spacing w:after="0"/>
                                <w:jc w:val="center"/>
                                <w:rPr>
                                  <w:b/>
                                  <w:color w:val="FFFFFF" w:themeColor="background1"/>
                                  <w:sz w:val="24"/>
                                </w:rPr>
                              </w:pPr>
                              <w:proofErr w:type="gramStart"/>
                              <w:r w:rsidRPr="00D8391B">
                                <w:rPr>
                                  <w:b/>
                                  <w:color w:val="FFFFFF" w:themeColor="background1"/>
                                  <w:sz w:val="24"/>
                                </w:rPr>
                                <w:t>approved</w:t>
                              </w:r>
                              <w:proofErr w:type="gramEnd"/>
                            </w:p>
                            <w:p w14:paraId="1E87E9AD" w14:textId="77777777" w:rsidR="00C263DE" w:rsidRPr="001628FF" w:rsidRDefault="00C263DE" w:rsidP="00CD06D7">
                              <w:pPr>
                                <w:jc w:val="center"/>
                                <w:rPr>
                                  <w:sz w:val="24"/>
                                </w:rPr>
                              </w:pPr>
                              <w:proofErr w:type="gramStart"/>
                              <w:r w:rsidRPr="00D8391B">
                                <w:rPr>
                                  <w:b/>
                                  <w:color w:val="FFFFFF" w:themeColor="background1"/>
                                  <w:sz w:val="24"/>
                                </w:rPr>
                                <w:t>investment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305" o:spid="_x0000_s1032" editas="canvas" style="position:absolute;left:0;text-align:left;margin-left:-.65pt;margin-top:3.35pt;width:93.75pt;height:74.6pt;z-index:-251658214" coordsize="11906,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">
                <v:shape id="_x0000_s1033" type="#_x0000_t75" style="position:absolute;width:11906;height:9474;visibility:visible;mso-wrap-style:square">
                  <v:fill o:detectmouseclick="t"/>
                  <v:path o:connecttype="none"/>
                </v:shape>
                <v:oval id="Oval 303" o:spid="_x0000_s1034" style="position:absolute;left:1068;width:9382;height:9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3cL8A&#10;AADcAAAADwAAAGRycy9kb3ducmV2LnhtbESPzQrCMBCE74LvEFbwpqmKotUoogjiyb8HWJvtDzab&#10;0kStb28EweMwM98wi1VjSvGk2hWWFQz6EQjixOqCMwXXy643BeE8ssbSMil4k4PVst1aYKzti0/0&#10;PPtMBAi7GBXk3lexlC7JyaDr24o4eKmtDfog60zqGl8Bbko5jKKJNFhwWMixok1Oyf38MAqO4+3g&#10;Pj1Qybdiu0fapfSYpUp1O816DsJT4//hX3uvFYyiE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XdwvwAAANwAAAAPAAAAAAAAAAAAAAAAAJgCAABkcnMvZG93bnJl&#10;di54bWxQSwUGAAAAAAQABAD1AAAAhAMAAAAA&#10;" fillcolor="#1f497d [3215]" strokecolor="#1f497d" strokeweight="2pt"/>
                <v:shape id="Text Box 304" o:spid="_x0000_s1035" type="#_x0000_t202" style="position:absolute;top:1169;width:11501;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14:paraId="11259477" w14:textId="77777777" w:rsidR="00C263DE" w:rsidRPr="00D8391B" w:rsidRDefault="00C263DE" w:rsidP="00CD06D7">
                        <w:pPr>
                          <w:spacing w:after="0"/>
                          <w:jc w:val="center"/>
                          <w:rPr>
                            <w:b/>
                            <w:color w:val="FFFFFF" w:themeColor="background1"/>
                            <w:sz w:val="24"/>
                          </w:rPr>
                        </w:pPr>
                        <w:r w:rsidRPr="00D8391B">
                          <w:rPr>
                            <w:b/>
                            <w:color w:val="FFFFFF" w:themeColor="background1"/>
                            <w:sz w:val="24"/>
                          </w:rPr>
                          <w:t>$</w:t>
                        </w:r>
                        <w:r>
                          <w:rPr>
                            <w:b/>
                            <w:color w:val="FFFFFF" w:themeColor="background1"/>
                            <w:sz w:val="24"/>
                          </w:rPr>
                          <w:t>13.5</w:t>
                        </w:r>
                        <w:r w:rsidRPr="00D8391B">
                          <w:rPr>
                            <w:b/>
                            <w:color w:val="FFFFFF" w:themeColor="background1"/>
                            <w:sz w:val="24"/>
                          </w:rPr>
                          <w:t>b</w:t>
                        </w:r>
                      </w:p>
                      <w:p w14:paraId="69BD4EE0" w14:textId="77777777" w:rsidR="00C263DE" w:rsidRPr="00D8391B" w:rsidRDefault="00C263DE" w:rsidP="00CD06D7">
                        <w:pPr>
                          <w:spacing w:after="0"/>
                          <w:jc w:val="center"/>
                          <w:rPr>
                            <w:b/>
                            <w:color w:val="FFFFFF" w:themeColor="background1"/>
                            <w:sz w:val="24"/>
                          </w:rPr>
                        </w:pPr>
                        <w:proofErr w:type="gramStart"/>
                        <w:r w:rsidRPr="00D8391B">
                          <w:rPr>
                            <w:b/>
                            <w:color w:val="FFFFFF" w:themeColor="background1"/>
                            <w:sz w:val="24"/>
                          </w:rPr>
                          <w:t>approved</w:t>
                        </w:r>
                        <w:proofErr w:type="gramEnd"/>
                      </w:p>
                      <w:p w14:paraId="1E87E9AD" w14:textId="77777777" w:rsidR="00C263DE" w:rsidRPr="001628FF" w:rsidRDefault="00C263DE" w:rsidP="00CD06D7">
                        <w:pPr>
                          <w:jc w:val="center"/>
                          <w:rPr>
                            <w:sz w:val="24"/>
                          </w:rPr>
                        </w:pPr>
                        <w:proofErr w:type="gramStart"/>
                        <w:r w:rsidRPr="00D8391B">
                          <w:rPr>
                            <w:b/>
                            <w:color w:val="FFFFFF" w:themeColor="background1"/>
                            <w:sz w:val="24"/>
                          </w:rPr>
                          <w:t>investment</w:t>
                        </w:r>
                        <w:proofErr w:type="gramEnd"/>
                      </w:p>
                    </w:txbxContent>
                  </v:textbox>
                </v:shape>
                <w10:wrap type="square"/>
              </v:group>
            </w:pict>
          </mc:Fallback>
        </mc:AlternateContent>
      </w:r>
      <w:r w:rsidRPr="006A6448">
        <w:rPr>
          <w:color w:val="auto"/>
          <w:szCs w:val="24"/>
        </w:rPr>
        <w:t>This was despite a decrease in the number of approvals</w:t>
      </w:r>
      <w:r w:rsidR="00975138">
        <w:rPr>
          <w:color w:val="auto"/>
          <w:szCs w:val="24"/>
        </w:rPr>
        <w:t xml:space="preserve">. It </w:t>
      </w:r>
      <w:r>
        <w:rPr>
          <w:color w:val="auto"/>
          <w:szCs w:val="24"/>
        </w:rPr>
        <w:t xml:space="preserve">was primarily the result of a </w:t>
      </w:r>
      <w:r w:rsidR="00975138">
        <w:rPr>
          <w:color w:val="auto"/>
          <w:szCs w:val="24"/>
        </w:rPr>
        <w:t xml:space="preserve">small </w:t>
      </w:r>
      <w:r>
        <w:rPr>
          <w:color w:val="auto"/>
          <w:szCs w:val="24"/>
        </w:rPr>
        <w:t xml:space="preserve">number of </w:t>
      </w:r>
      <w:r w:rsidR="00975138">
        <w:rPr>
          <w:color w:val="auto"/>
          <w:szCs w:val="24"/>
        </w:rPr>
        <w:t>high value</w:t>
      </w:r>
      <w:r>
        <w:rPr>
          <w:color w:val="auto"/>
          <w:szCs w:val="24"/>
        </w:rPr>
        <w:t xml:space="preserve"> transactions in the financial sector.</w:t>
      </w:r>
    </w:p>
    <w:p w14:paraId="6BDA3B3F" w14:textId="6620BDFE" w:rsidR="00CD06D7" w:rsidRDefault="00CD06D7" w:rsidP="00602AF0">
      <w:pPr>
        <w:rPr>
          <w:sz w:val="24"/>
        </w:rPr>
      </w:pPr>
    </w:p>
    <w:p w14:paraId="0343DE73" w14:textId="4413E3F9" w:rsidR="00CD06D7" w:rsidRDefault="00B90094" w:rsidP="0025623B">
      <w:pPr>
        <w:pStyle w:val="Heading3"/>
        <w:spacing w:before="240"/>
        <w:rPr>
          <w:rFonts w:eastAsiaTheme="majorEastAsia" w:cstheme="majorBidi"/>
          <w:b w:val="0"/>
          <w:bCs w:val="0"/>
          <w:smallCaps/>
          <w:color w:val="4F81BD" w:themeColor="accent1"/>
          <w:sz w:val="24"/>
        </w:rPr>
      </w:pPr>
      <w:r w:rsidRPr="00B90094">
        <w:rPr>
          <w:rFonts w:asciiTheme="minorHAnsi" w:hAnsiTheme="minorHAnsi"/>
          <w:smallCaps/>
          <w:noProof/>
        </w:rPr>
        <w:lastRenderedPageBreak/>
        <mc:AlternateContent>
          <mc:Choice Requires="wps">
            <w:drawing>
              <wp:anchor distT="0" distB="0" distL="114300" distR="114300" simplePos="0" relativeHeight="251658245" behindDoc="0" locked="0" layoutInCell="1" allowOverlap="1" wp14:anchorId="5510F614" wp14:editId="629AABFD">
                <wp:simplePos x="0" y="0"/>
                <wp:positionH relativeFrom="column">
                  <wp:posOffset>39370</wp:posOffset>
                </wp:positionH>
                <wp:positionV relativeFrom="paragraph">
                  <wp:posOffset>100965</wp:posOffset>
                </wp:positionV>
                <wp:extent cx="4857115" cy="7229475"/>
                <wp:effectExtent l="0" t="0" r="635" b="9525"/>
                <wp:wrapSquare wrapText="bothSides"/>
                <wp:docPr id="40" name="Snip and Round Single Corner Rectangle 40"/>
                <wp:cNvGraphicFramePr/>
                <a:graphic xmlns:a="http://schemas.openxmlformats.org/drawingml/2006/main">
                  <a:graphicData uri="http://schemas.microsoft.com/office/word/2010/wordprocessingShape">
                    <wps:wsp>
                      <wps:cNvSpPr/>
                      <wps:spPr>
                        <a:xfrm>
                          <a:off x="0" y="0"/>
                          <a:ext cx="4857115" cy="7229475"/>
                        </a:xfrm>
                        <a:prstGeom prst="snipRoundRect">
                          <a:avLst>
                            <a:gd name="adj1" fmla="val 4290"/>
                            <a:gd name="adj2" fmla="val 16667"/>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D506F" w14:textId="1FFD496C" w:rsidR="00C263DE" w:rsidRPr="00D269D7" w:rsidRDefault="00C263DE" w:rsidP="00115593">
                            <w:pPr>
                              <w:pStyle w:val="BoxHeading"/>
                            </w:pPr>
                            <w:r w:rsidRPr="00D269D7">
                              <w:t>S. Kidman and Co. Limited</w:t>
                            </w:r>
                          </w:p>
                          <w:p w14:paraId="228254FE" w14:textId="70B7A916" w:rsidR="00C263DE" w:rsidRPr="00D269D7" w:rsidRDefault="00C263DE" w:rsidP="00115593">
                            <w:pPr>
                              <w:pStyle w:val="BoxText"/>
                            </w:pPr>
                            <w:r w:rsidRPr="00D269D7">
                              <w:t>Throughout 2015</w:t>
                            </w:r>
                            <w:r>
                              <w:noBreakHyphen/>
                            </w:r>
                            <w:r w:rsidRPr="00D269D7">
                              <w:t xml:space="preserve">16 the Foreign Investment Review Board reviewed several foreign </w:t>
                            </w:r>
                            <w:r>
                              <w:t xml:space="preserve">investment </w:t>
                            </w:r>
                            <w:r w:rsidRPr="00D269D7">
                              <w:t>applications to purchase S. Kidman and Co. Limited (Kidman). Kidman was Australia</w:t>
                            </w:r>
                            <w:r>
                              <w:t>’</w:t>
                            </w:r>
                            <w:r w:rsidRPr="00D269D7">
                              <w:t>s largest private landowner, holding 101,411 square kilometres equal to approximately 1.3 per cent of Australia</w:t>
                            </w:r>
                            <w:r>
                              <w:t>’</w:t>
                            </w:r>
                            <w:r w:rsidRPr="00D269D7">
                              <w:t>s total land area and 2.5 per cent of all agricultural land. The ten Kidman cattle stations were located across South Australia (SA), Western Australia, the Northern Territory and Queensland. One of the Kidman stations, Anna Creek, has significant landholdings within the Woomera Prohibited</w:t>
                            </w:r>
                            <w:r>
                              <w:t xml:space="preserve"> Area (</w:t>
                            </w:r>
                            <w:proofErr w:type="spellStart"/>
                            <w:r>
                              <w:t>WPA</w:t>
                            </w:r>
                            <w:proofErr w:type="spellEnd"/>
                            <w:r>
                              <w:t>) defence zone in SA.</w:t>
                            </w:r>
                          </w:p>
                          <w:p w14:paraId="7D034D4A" w14:textId="2EEFFF3C" w:rsidR="00C263DE" w:rsidRDefault="00C263DE" w:rsidP="00643CA1">
                            <w:pPr>
                              <w:pStyle w:val="BoxText"/>
                              <w:spacing w:after="0"/>
                            </w:pPr>
                            <w:r w:rsidRPr="00D269D7">
                              <w:t xml:space="preserve">Given the size and significance of the Kidman properties and the national security issues around access to the </w:t>
                            </w:r>
                            <w:proofErr w:type="spellStart"/>
                            <w:r w:rsidRPr="00D269D7">
                              <w:t>WPA</w:t>
                            </w:r>
                            <w:proofErr w:type="spellEnd"/>
                            <w:r w:rsidRPr="00D269D7">
                              <w:t>, on 19 November 2015</w:t>
                            </w:r>
                            <w:r>
                              <w:t xml:space="preserve"> </w:t>
                            </w:r>
                            <w:r w:rsidRPr="00D269D7">
                              <w:t xml:space="preserve">the Treasurer </w:t>
                            </w:r>
                            <w:r>
                              <w:t xml:space="preserve">announced that he would not allow the sale to proceed. The applicants withdrew their applications before the Treasurer’s Final Order was formalised. </w:t>
                            </w:r>
                            <w:r w:rsidRPr="00D269D7">
                              <w:t>Following this, a revised proposal which excised the Anna Creek property was submitted by a joint venture 80</w:t>
                            </w:r>
                            <w:r>
                              <w:t> </w:t>
                            </w:r>
                            <w:r w:rsidRPr="00D269D7">
                              <w:t>per</w:t>
                            </w:r>
                            <w:r>
                              <w:t> </w:t>
                            </w:r>
                            <w:r w:rsidRPr="00D269D7">
                              <w:t xml:space="preserve">cent owned by Chinese entity </w:t>
                            </w:r>
                            <w:proofErr w:type="spellStart"/>
                            <w:r w:rsidRPr="00D269D7">
                              <w:t>Dakang</w:t>
                            </w:r>
                            <w:proofErr w:type="spellEnd"/>
                            <w:r w:rsidRPr="00D269D7">
                              <w:t xml:space="preserve"> Australia Holdings Pty Ltd and 20</w:t>
                            </w:r>
                            <w:r>
                              <w:t> </w:t>
                            </w:r>
                            <w:r w:rsidRPr="00D269D7">
                              <w:t>per cent owned by Australian entity Australian Rural Capital. On 29 April 2016, after careful consideration the Treasurer made a preliminary decision that the proposal was contrary to the national</w:t>
                            </w:r>
                            <w:r>
                              <w:t xml:space="preserve"> interest.</w:t>
                            </w:r>
                          </w:p>
                          <w:p w14:paraId="5407C147" w14:textId="687F2F4B" w:rsidR="00C263DE" w:rsidRPr="00D269D7" w:rsidRDefault="00C263DE" w:rsidP="00115593">
                            <w:pPr>
                              <w:pStyle w:val="BoxText"/>
                            </w:pPr>
                            <w:r>
                              <w:rPr>
                                <w:noProof/>
                              </w:rPr>
                              <w:drawing>
                                <wp:inline distT="0" distB="0" distL="0" distR="0" wp14:anchorId="3BE3712C" wp14:editId="03F71BE6">
                                  <wp:extent cx="4359599" cy="37924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MCD\Publishing\Graphic Design Services Team\Projects\2017\S34523 FIRB Annual Report 2015-16\Australian cattle companies_v3-01.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359599" cy="3792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nip and Round Single Corner Rectangle 40" o:spid="_x0000_s1036" style="position:absolute;margin-left:3.1pt;margin-top:7.95pt;width:382.45pt;height:56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857115,722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" adj="-11796480,,5400" path="m208370,l4047580,r809535,809535l4857115,7229475,,7229475,,208370c,93290,93290,,208370,xe" fillcolor="#1f497d" stroked="f" strokeweight="2pt">
                <v:stroke joinstyle="miter"/>
                <v:formulas/>
                <v:path arrowok="t" o:connecttype="custom" o:connectlocs="208370,0;4047580,0;4857115,809535;4857115,7229475;0,7229475;0,208370;208370,0" o:connectangles="0,0,0,0,0,0,0" textboxrect="0,0,4857115,7229475"/>
                <v:textbox>
                  <w:txbxContent>
                    <w:p w14:paraId="06BD506F" w14:textId="1FFD496C" w:rsidR="00C263DE" w:rsidRPr="00D269D7" w:rsidRDefault="00C263DE" w:rsidP="00115593">
                      <w:pPr>
                        <w:pStyle w:val="BoxHeading"/>
                      </w:pPr>
                      <w:r w:rsidRPr="00D269D7">
                        <w:t>S. Kidman and Co. Limited</w:t>
                      </w:r>
                    </w:p>
                    <w:p w14:paraId="228254FE" w14:textId="70B7A916" w:rsidR="00C263DE" w:rsidRPr="00D269D7" w:rsidRDefault="00C263DE" w:rsidP="00115593">
                      <w:pPr>
                        <w:pStyle w:val="BoxText"/>
                      </w:pPr>
                      <w:r w:rsidRPr="00D269D7">
                        <w:t>Throughout 2015</w:t>
                      </w:r>
                      <w:r>
                        <w:noBreakHyphen/>
                      </w:r>
                      <w:r w:rsidRPr="00D269D7">
                        <w:t xml:space="preserve">16 the Foreign Investment Review Board reviewed several foreign </w:t>
                      </w:r>
                      <w:r>
                        <w:t xml:space="preserve">investment </w:t>
                      </w:r>
                      <w:r w:rsidRPr="00D269D7">
                        <w:t>applications to purchase S. Kidman and Co. Limited (Kidman). Kidman was Australia</w:t>
                      </w:r>
                      <w:r>
                        <w:t>’</w:t>
                      </w:r>
                      <w:r w:rsidRPr="00D269D7">
                        <w:t>s largest private landowner, holding 101,411 square kilometres equal to approximately 1.3 per cent of Australia</w:t>
                      </w:r>
                      <w:r>
                        <w:t>’</w:t>
                      </w:r>
                      <w:r w:rsidRPr="00D269D7">
                        <w:t>s total land area and 2.5 per cent of all agricultural land. The ten Kidman cattle stations were located across South Australia (SA), Western Australia, the Northern Territory and Queensland. One of the Kidman stations, Anna Creek, has significant landholdings within the Woomera Prohibited</w:t>
                      </w:r>
                      <w:r>
                        <w:t xml:space="preserve"> Area (</w:t>
                      </w:r>
                      <w:proofErr w:type="spellStart"/>
                      <w:r>
                        <w:t>WPA</w:t>
                      </w:r>
                      <w:proofErr w:type="spellEnd"/>
                      <w:r>
                        <w:t>) defence zone in SA.</w:t>
                      </w:r>
                    </w:p>
                    <w:p w14:paraId="7D034D4A" w14:textId="2EEFFF3C" w:rsidR="00C263DE" w:rsidRDefault="00C263DE" w:rsidP="00643CA1">
                      <w:pPr>
                        <w:pStyle w:val="BoxText"/>
                        <w:spacing w:after="0"/>
                      </w:pPr>
                      <w:r w:rsidRPr="00D269D7">
                        <w:t xml:space="preserve">Given the size and significance of the Kidman properties and the national security issues around access to the </w:t>
                      </w:r>
                      <w:proofErr w:type="spellStart"/>
                      <w:r w:rsidRPr="00D269D7">
                        <w:t>WPA</w:t>
                      </w:r>
                      <w:proofErr w:type="spellEnd"/>
                      <w:r w:rsidRPr="00D269D7">
                        <w:t>, on 19 November 2015</w:t>
                      </w:r>
                      <w:r>
                        <w:t xml:space="preserve"> </w:t>
                      </w:r>
                      <w:r w:rsidRPr="00D269D7">
                        <w:t xml:space="preserve">the Treasurer </w:t>
                      </w:r>
                      <w:r>
                        <w:t xml:space="preserve">announced that he would not allow the sale to proceed. The applicants withdrew their applications before the Treasurer’s Final Order was formalised. </w:t>
                      </w:r>
                      <w:r w:rsidRPr="00D269D7">
                        <w:t>Following this, a revised proposal which excised the Anna Creek property was submitted by a joint venture 80</w:t>
                      </w:r>
                      <w:r>
                        <w:t> </w:t>
                      </w:r>
                      <w:r w:rsidRPr="00D269D7">
                        <w:t>per</w:t>
                      </w:r>
                      <w:r>
                        <w:t> </w:t>
                      </w:r>
                      <w:r w:rsidRPr="00D269D7">
                        <w:t xml:space="preserve">cent owned by Chinese entity </w:t>
                      </w:r>
                      <w:proofErr w:type="spellStart"/>
                      <w:r w:rsidRPr="00D269D7">
                        <w:t>Dakang</w:t>
                      </w:r>
                      <w:proofErr w:type="spellEnd"/>
                      <w:r w:rsidRPr="00D269D7">
                        <w:t xml:space="preserve"> Australia Holdings Pty Ltd and 20</w:t>
                      </w:r>
                      <w:r>
                        <w:t> </w:t>
                      </w:r>
                      <w:r w:rsidRPr="00D269D7">
                        <w:t>per cent owned by Australian entity Australian Rural Capital. On 29 April 2016, after careful consideration the Treasurer made a preliminary decision that the proposal was contrary to the national</w:t>
                      </w:r>
                      <w:r>
                        <w:t xml:space="preserve"> interest.</w:t>
                      </w:r>
                    </w:p>
                    <w:p w14:paraId="5407C147" w14:textId="687F2F4B" w:rsidR="00C263DE" w:rsidRPr="00D269D7" w:rsidRDefault="00C263DE" w:rsidP="00115593">
                      <w:pPr>
                        <w:pStyle w:val="BoxText"/>
                      </w:pPr>
                      <w:r>
                        <w:rPr>
                          <w:noProof/>
                        </w:rPr>
                        <w:drawing>
                          <wp:inline distT="0" distB="0" distL="0" distR="0" wp14:anchorId="3BE3712C" wp14:editId="03F71BE6">
                            <wp:extent cx="4359599" cy="37924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MCD\Publishing\Graphic Design Services Team\Projects\2017\S34523 FIRB Annual Report 2015-16\Australian cattle companies_v3-01.png"/>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359599" cy="3792445"/>
                                    </a:xfrm>
                                    <a:prstGeom prst="rect">
                                      <a:avLst/>
                                    </a:prstGeom>
                                    <a:noFill/>
                                    <a:ln>
                                      <a:noFill/>
                                    </a:ln>
                                  </pic:spPr>
                                </pic:pic>
                              </a:graphicData>
                            </a:graphic>
                          </wp:inline>
                        </w:drawing>
                      </w:r>
                    </w:p>
                  </w:txbxContent>
                </v:textbox>
                <w10:wrap type="square"/>
              </v:shape>
            </w:pict>
          </mc:Fallback>
        </mc:AlternateContent>
      </w:r>
      <w:r w:rsidR="00CD06D7">
        <w:rPr>
          <w:smallCaps/>
          <w:sz w:val="24"/>
        </w:rPr>
        <w:br w:type="page"/>
      </w:r>
    </w:p>
    <w:p w14:paraId="76857843" w14:textId="37DF5E8B" w:rsidR="0025623B" w:rsidRDefault="0025623B" w:rsidP="0025623B">
      <w:pPr>
        <w:pStyle w:val="SingleParagraph"/>
      </w:pPr>
      <w:r w:rsidRPr="00B90094">
        <w:rPr>
          <w:noProof/>
        </w:rPr>
        <w:lastRenderedPageBreak/>
        <mc:AlternateContent>
          <mc:Choice Requires="wps">
            <w:drawing>
              <wp:anchor distT="0" distB="0" distL="114300" distR="114300" simplePos="0" relativeHeight="251658272" behindDoc="0" locked="0" layoutInCell="1" allowOverlap="1" wp14:anchorId="765EBF60" wp14:editId="0CF90919">
                <wp:simplePos x="0" y="0"/>
                <wp:positionH relativeFrom="column">
                  <wp:posOffset>-8255</wp:posOffset>
                </wp:positionH>
                <wp:positionV relativeFrom="paragraph">
                  <wp:posOffset>177165</wp:posOffset>
                </wp:positionV>
                <wp:extent cx="4857115" cy="2876550"/>
                <wp:effectExtent l="0" t="0" r="635" b="0"/>
                <wp:wrapSquare wrapText="bothSides"/>
                <wp:docPr id="13" name="Snip and Round Single Corner Rectangle 13"/>
                <wp:cNvGraphicFramePr/>
                <a:graphic xmlns:a="http://schemas.openxmlformats.org/drawingml/2006/main">
                  <a:graphicData uri="http://schemas.microsoft.com/office/word/2010/wordprocessingShape">
                    <wps:wsp>
                      <wps:cNvSpPr/>
                      <wps:spPr>
                        <a:xfrm>
                          <a:off x="0" y="0"/>
                          <a:ext cx="4857115" cy="2876550"/>
                        </a:xfrm>
                        <a:prstGeom prst="snipRoundRect">
                          <a:avLst>
                            <a:gd name="adj1" fmla="val 4290"/>
                            <a:gd name="adj2" fmla="val 16667"/>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29F67" w14:textId="25EFE7E7" w:rsidR="00C263DE" w:rsidRPr="00D269D7" w:rsidRDefault="00C263DE" w:rsidP="0025623B">
                            <w:pPr>
                              <w:pStyle w:val="BoxHeading"/>
                            </w:pPr>
                            <w:r w:rsidRPr="00D269D7">
                              <w:t>S. Kidman and Co. Limited</w:t>
                            </w:r>
                            <w:r>
                              <w:t xml:space="preserve"> (continued)</w:t>
                            </w:r>
                          </w:p>
                          <w:p w14:paraId="3C2391D4" w14:textId="77777777" w:rsidR="00C263DE" w:rsidRPr="00D269D7" w:rsidRDefault="00C263DE" w:rsidP="0025623B">
                            <w:pPr>
                              <w:pStyle w:val="BoxText"/>
                            </w:pPr>
                            <w:r w:rsidRPr="00D269D7">
                              <w:t>Following the April decision, Kidman undertook a new sales process, engaging with a wide range of interested parties, inclu</w:t>
                            </w:r>
                            <w:r>
                              <w:t>ding new Australian bidders. In </w:t>
                            </w:r>
                            <w:r w:rsidRPr="00D269D7">
                              <w:t xml:space="preserve">October 2016, </w:t>
                            </w:r>
                            <w:r>
                              <w:t>Australian Outback Beef Pty Ltd</w:t>
                            </w:r>
                            <w:r w:rsidRPr="00D269D7">
                              <w:t xml:space="preserve">, 67 per cent owned by Australian entity Hancock Beef Pty Ltd and 33 per cent owned by Chinese entity </w:t>
                            </w:r>
                            <w:r>
                              <w:t xml:space="preserve">Shanghai </w:t>
                            </w:r>
                            <w:r w:rsidRPr="00D269D7">
                              <w:t xml:space="preserve">CRED </w:t>
                            </w:r>
                            <w:r>
                              <w:t xml:space="preserve">Real Estate Stock Co. </w:t>
                            </w:r>
                            <w:r w:rsidRPr="00D269D7">
                              <w:t xml:space="preserve">Ltd, entered into an agreement to acquire up to a 100 per cent interest in Kidman, excluding the Anna Creek property. </w:t>
                            </w:r>
                          </w:p>
                          <w:p w14:paraId="3B9E58F8" w14:textId="77777777" w:rsidR="00C263DE" w:rsidRPr="00A06E7E" w:rsidRDefault="00C263DE" w:rsidP="0025623B">
                            <w:pPr>
                              <w:pStyle w:val="BoxText"/>
                            </w:pPr>
                            <w:r w:rsidRPr="00D269D7">
                              <w:t>The Treasurer was satisfied that Australian parties had sufficient opportunity to participate in the new sales process, and announced that he had decided that the proposed transaction was not contrary to the national interest, subject to the</w:t>
                            </w:r>
                            <w:r>
                              <w:t xml:space="preserve"> imposition of tax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nip and Round Single Corner Rectangle 13" o:spid="_x0000_s1037" style="position:absolute;left:0;text-align:left;margin-left:-.65pt;margin-top:13.95pt;width:382.45pt;height:22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857115,2876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" adj="-11796480,,5400" path="m123404,l4377680,r479435,479435l4857115,2876550,,2876550,,123404c,55250,55250,,123404,xe" fillcolor="#1f497d" stroked="f" strokeweight="2pt">
                <v:stroke joinstyle="miter"/>
                <v:formulas/>
                <v:path arrowok="t" o:connecttype="custom" o:connectlocs="123404,0;4377680,0;4857115,479435;4857115,2876550;0,2876550;0,123404;123404,0" o:connectangles="0,0,0,0,0,0,0" textboxrect="0,0,4857115,2876550"/>
                <v:textbox>
                  <w:txbxContent>
                    <w:p w14:paraId="66029F67" w14:textId="25EFE7E7" w:rsidR="00C263DE" w:rsidRPr="00D269D7" w:rsidRDefault="00C263DE" w:rsidP="0025623B">
                      <w:pPr>
                        <w:pStyle w:val="BoxHeading"/>
                      </w:pPr>
                      <w:r w:rsidRPr="00D269D7">
                        <w:t>S. Kidman and Co. Limited</w:t>
                      </w:r>
                      <w:r>
                        <w:t xml:space="preserve"> (continued)</w:t>
                      </w:r>
                    </w:p>
                    <w:p w14:paraId="3C2391D4" w14:textId="77777777" w:rsidR="00C263DE" w:rsidRPr="00D269D7" w:rsidRDefault="00C263DE" w:rsidP="0025623B">
                      <w:pPr>
                        <w:pStyle w:val="BoxText"/>
                      </w:pPr>
                      <w:r w:rsidRPr="00D269D7">
                        <w:t>Following the April decision, Kidman undertook a new sales process, engaging with a wide range of interested parties, inclu</w:t>
                      </w:r>
                      <w:r>
                        <w:t>ding new Australian bidders. In </w:t>
                      </w:r>
                      <w:r w:rsidRPr="00D269D7">
                        <w:t xml:space="preserve">October 2016, </w:t>
                      </w:r>
                      <w:r>
                        <w:t>Australian Outback Beef Pty Ltd</w:t>
                      </w:r>
                      <w:r w:rsidRPr="00D269D7">
                        <w:t xml:space="preserve">, 67 per cent owned by Australian entity Hancock Beef Pty Ltd and 33 per cent owned by Chinese entity </w:t>
                      </w:r>
                      <w:r>
                        <w:t xml:space="preserve">Shanghai </w:t>
                      </w:r>
                      <w:r w:rsidRPr="00D269D7">
                        <w:t xml:space="preserve">CRED </w:t>
                      </w:r>
                      <w:r>
                        <w:t xml:space="preserve">Real Estate Stock Co. </w:t>
                      </w:r>
                      <w:r w:rsidRPr="00D269D7">
                        <w:t xml:space="preserve">Ltd, entered into an agreement to acquire up to a 100 per cent interest in Kidman, excluding the Anna Creek property. </w:t>
                      </w:r>
                    </w:p>
                    <w:p w14:paraId="3B9E58F8" w14:textId="77777777" w:rsidR="00C263DE" w:rsidRPr="00A06E7E" w:rsidRDefault="00C263DE" w:rsidP="0025623B">
                      <w:pPr>
                        <w:pStyle w:val="BoxText"/>
                      </w:pPr>
                      <w:r w:rsidRPr="00D269D7">
                        <w:t>The Treasurer was satisfied that Australian parties had sufficient opportunity to participate in the new sales process, and announced that he had decided that the proposed transaction was not contrary to the national interest, subject to the</w:t>
                      </w:r>
                      <w:r>
                        <w:t xml:space="preserve"> imposition of tax conditions.</w:t>
                      </w:r>
                    </w:p>
                  </w:txbxContent>
                </v:textbox>
                <w10:wrap type="square"/>
              </v:shape>
            </w:pict>
          </mc:Fallback>
        </mc:AlternateContent>
      </w:r>
    </w:p>
    <w:p w14:paraId="245156F8" w14:textId="12029673" w:rsidR="008B6006" w:rsidRPr="00B90094" w:rsidRDefault="008B6006" w:rsidP="00B90094">
      <w:pPr>
        <w:pStyle w:val="Heading3"/>
        <w:spacing w:before="240"/>
        <w:rPr>
          <w:rFonts w:asciiTheme="minorHAnsi" w:hAnsiTheme="minorHAnsi"/>
          <w:smallCaps/>
        </w:rPr>
      </w:pPr>
      <w:r w:rsidRPr="00B90094">
        <w:rPr>
          <w:rFonts w:asciiTheme="minorHAnsi" w:hAnsiTheme="minorHAnsi"/>
        </w:rPr>
        <w:t>Manufacturing</w:t>
      </w:r>
      <w:r w:rsidR="002B1342" w:rsidRPr="00B90094">
        <w:rPr>
          <w:rFonts w:asciiTheme="minorHAnsi" w:hAnsiTheme="minorHAnsi"/>
        </w:rPr>
        <w:t>, electricity and gas</w:t>
      </w:r>
    </w:p>
    <w:p w14:paraId="304022B5" w14:textId="1BFB6B91" w:rsidR="00545CF7" w:rsidRDefault="002B1342" w:rsidP="00B90094">
      <w:pPr>
        <w:rPr>
          <w:color w:val="auto"/>
          <w:szCs w:val="24"/>
        </w:rPr>
      </w:pPr>
      <w:r w:rsidRPr="00B90094">
        <w:rPr>
          <w:noProof/>
          <w:color w:val="auto"/>
          <w:szCs w:val="24"/>
        </w:rPr>
        <mc:AlternateContent>
          <mc:Choice Requires="wpc">
            <w:drawing>
              <wp:anchor distT="0" distB="0" distL="114300" distR="114300" simplePos="0" relativeHeight="251658258" behindDoc="1" locked="0" layoutInCell="1" allowOverlap="1" wp14:anchorId="00250F4D" wp14:editId="7C43781E">
                <wp:simplePos x="0" y="0"/>
                <wp:positionH relativeFrom="column">
                  <wp:posOffset>-12700</wp:posOffset>
                </wp:positionH>
                <wp:positionV relativeFrom="paragraph">
                  <wp:posOffset>14605</wp:posOffset>
                </wp:positionV>
                <wp:extent cx="1190625" cy="947420"/>
                <wp:effectExtent l="0" t="0" r="0" b="5080"/>
                <wp:wrapSquare wrapText="bothSides"/>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3" name="Oval 63"/>
                        <wps:cNvSpPr/>
                        <wps:spPr>
                          <a:xfrm>
                            <a:off x="106878" y="0"/>
                            <a:ext cx="938153" cy="911792"/>
                          </a:xfrm>
                          <a:prstGeom prst="ellipse">
                            <a:avLst/>
                          </a:prstGeom>
                          <a:solidFill>
                            <a:schemeClr val="tx2"/>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Text Box 289"/>
                        <wps:cNvSpPr txBox="1"/>
                        <wps:spPr>
                          <a:xfrm>
                            <a:off x="1" y="116958"/>
                            <a:ext cx="1150191" cy="793679"/>
                          </a:xfrm>
                          <a:prstGeom prst="rect">
                            <a:avLst/>
                          </a:prstGeom>
                          <a:noFill/>
                          <a:ln w="6350">
                            <a:noFill/>
                          </a:ln>
                          <a:effectLst/>
                        </wps:spPr>
                        <wps:txbx>
                          <w:txbxContent>
                            <w:p w14:paraId="2EAA92B7" w14:textId="1B2AE123" w:rsidR="00C263DE" w:rsidRPr="00D8391B" w:rsidRDefault="00C263DE" w:rsidP="002B1342">
                              <w:pPr>
                                <w:spacing w:after="0"/>
                                <w:jc w:val="center"/>
                                <w:rPr>
                                  <w:b/>
                                  <w:color w:val="FFFFFF" w:themeColor="background1"/>
                                  <w:sz w:val="24"/>
                                </w:rPr>
                              </w:pPr>
                              <w:r w:rsidRPr="00D8391B">
                                <w:rPr>
                                  <w:b/>
                                  <w:color w:val="FFFFFF" w:themeColor="background1"/>
                                  <w:sz w:val="24"/>
                                </w:rPr>
                                <w:t>$</w:t>
                              </w:r>
                              <w:r>
                                <w:rPr>
                                  <w:b/>
                                  <w:color w:val="FFFFFF" w:themeColor="background1"/>
                                  <w:sz w:val="24"/>
                                </w:rPr>
                                <w:t>56.6</w:t>
                              </w:r>
                              <w:r w:rsidRPr="00D8391B">
                                <w:rPr>
                                  <w:b/>
                                  <w:color w:val="FFFFFF" w:themeColor="background1"/>
                                  <w:sz w:val="24"/>
                                </w:rPr>
                                <w:t>b</w:t>
                              </w:r>
                            </w:p>
                            <w:p w14:paraId="60CB33D8" w14:textId="77777777" w:rsidR="00C263DE" w:rsidRPr="00D8391B" w:rsidRDefault="00C263DE" w:rsidP="002B1342">
                              <w:pPr>
                                <w:spacing w:after="0"/>
                                <w:jc w:val="center"/>
                                <w:rPr>
                                  <w:b/>
                                  <w:color w:val="FFFFFF" w:themeColor="background1"/>
                                  <w:sz w:val="24"/>
                                </w:rPr>
                              </w:pPr>
                              <w:proofErr w:type="gramStart"/>
                              <w:r w:rsidRPr="00D8391B">
                                <w:rPr>
                                  <w:b/>
                                  <w:color w:val="FFFFFF" w:themeColor="background1"/>
                                  <w:sz w:val="24"/>
                                </w:rPr>
                                <w:t>approved</w:t>
                              </w:r>
                              <w:proofErr w:type="gramEnd"/>
                            </w:p>
                            <w:p w14:paraId="6E90DC9A" w14:textId="77777777" w:rsidR="00C263DE" w:rsidRPr="001628FF" w:rsidRDefault="00C263DE" w:rsidP="002B1342">
                              <w:pPr>
                                <w:jc w:val="center"/>
                                <w:rPr>
                                  <w:sz w:val="24"/>
                                </w:rPr>
                              </w:pPr>
                              <w:proofErr w:type="gramStart"/>
                              <w:r w:rsidRPr="00D8391B">
                                <w:rPr>
                                  <w:b/>
                                  <w:color w:val="FFFFFF" w:themeColor="background1"/>
                                  <w:sz w:val="24"/>
                                </w:rPr>
                                <w:t>investment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90" o:spid="_x0000_s1038" editas="canvas" style="position:absolute;left:0;text-align:left;margin-left:-1pt;margin-top:1.15pt;width:93.75pt;height:74.6pt;z-index:-251658222" coordsize="11906,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">
                <v:shape id="_x0000_s1039" type="#_x0000_t75" style="position:absolute;width:11906;height:9474;visibility:visible;mso-wrap-style:square">
                  <v:fill o:detectmouseclick="t"/>
                  <v:path o:connecttype="none"/>
                </v:shape>
                <v:oval id="Oval 63" o:spid="_x0000_s1040" style="position:absolute;left:1068;width:9382;height:9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K3b4A&#10;AADbAAAADwAAAGRycy9kb3ducmV2LnhtbESPzQrCMBCE74LvEFbwpqmKotUoogjiyb8HWJvtDzab&#10;0kStb28EweMwM98wi1VjSvGk2hWWFQz6EQjixOqCMwXXy643BeE8ssbSMil4k4PVst1aYKzti0/0&#10;PPtMBAi7GBXk3lexlC7JyaDr24o4eKmtDfog60zqGl8Bbko5jKKJNFhwWMixok1Oyf38MAqO4+3g&#10;Pj1Qybdiu0fapfSYpUp1O816DsJT4//hX3uvFUxG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Wyt2+AAAA2wAAAA8AAAAAAAAAAAAAAAAAmAIAAGRycy9kb3ducmV2&#10;LnhtbFBLBQYAAAAABAAEAPUAAACDAwAAAAA=&#10;" fillcolor="#1f497d [3215]" strokecolor="#1f497d" strokeweight="2pt"/>
                <v:shape id="Text Box 289" o:spid="_x0000_s1041" type="#_x0000_t202" style="position:absolute;top:1169;width:11501;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2EAA92B7" w14:textId="1B2AE123" w:rsidR="00C263DE" w:rsidRPr="00D8391B" w:rsidRDefault="00C263DE" w:rsidP="002B1342">
                        <w:pPr>
                          <w:spacing w:after="0"/>
                          <w:jc w:val="center"/>
                          <w:rPr>
                            <w:b/>
                            <w:color w:val="FFFFFF" w:themeColor="background1"/>
                            <w:sz w:val="24"/>
                          </w:rPr>
                        </w:pPr>
                        <w:r w:rsidRPr="00D8391B">
                          <w:rPr>
                            <w:b/>
                            <w:color w:val="FFFFFF" w:themeColor="background1"/>
                            <w:sz w:val="24"/>
                          </w:rPr>
                          <w:t>$</w:t>
                        </w:r>
                        <w:r>
                          <w:rPr>
                            <w:b/>
                            <w:color w:val="FFFFFF" w:themeColor="background1"/>
                            <w:sz w:val="24"/>
                          </w:rPr>
                          <w:t>56.6</w:t>
                        </w:r>
                        <w:r w:rsidRPr="00D8391B">
                          <w:rPr>
                            <w:b/>
                            <w:color w:val="FFFFFF" w:themeColor="background1"/>
                            <w:sz w:val="24"/>
                          </w:rPr>
                          <w:t>b</w:t>
                        </w:r>
                      </w:p>
                      <w:p w14:paraId="60CB33D8" w14:textId="77777777" w:rsidR="00C263DE" w:rsidRPr="00D8391B" w:rsidRDefault="00C263DE" w:rsidP="002B1342">
                        <w:pPr>
                          <w:spacing w:after="0"/>
                          <w:jc w:val="center"/>
                          <w:rPr>
                            <w:b/>
                            <w:color w:val="FFFFFF" w:themeColor="background1"/>
                            <w:sz w:val="24"/>
                          </w:rPr>
                        </w:pPr>
                        <w:proofErr w:type="gramStart"/>
                        <w:r w:rsidRPr="00D8391B">
                          <w:rPr>
                            <w:b/>
                            <w:color w:val="FFFFFF" w:themeColor="background1"/>
                            <w:sz w:val="24"/>
                          </w:rPr>
                          <w:t>approved</w:t>
                        </w:r>
                        <w:proofErr w:type="gramEnd"/>
                      </w:p>
                      <w:p w14:paraId="6E90DC9A" w14:textId="77777777" w:rsidR="00C263DE" w:rsidRPr="001628FF" w:rsidRDefault="00C263DE" w:rsidP="002B1342">
                        <w:pPr>
                          <w:jc w:val="center"/>
                          <w:rPr>
                            <w:sz w:val="24"/>
                          </w:rPr>
                        </w:pPr>
                        <w:proofErr w:type="gramStart"/>
                        <w:r w:rsidRPr="00D8391B">
                          <w:rPr>
                            <w:b/>
                            <w:color w:val="FFFFFF" w:themeColor="background1"/>
                            <w:sz w:val="24"/>
                          </w:rPr>
                          <w:t>investment</w:t>
                        </w:r>
                        <w:proofErr w:type="gramEnd"/>
                      </w:p>
                    </w:txbxContent>
                  </v:textbox>
                </v:shape>
                <w10:wrap type="square"/>
              </v:group>
            </w:pict>
          </mc:Fallback>
        </mc:AlternateContent>
      </w:r>
      <w:r w:rsidR="008B6006" w:rsidRPr="00B90094">
        <w:rPr>
          <w:color w:val="auto"/>
          <w:szCs w:val="24"/>
        </w:rPr>
        <w:t xml:space="preserve">The </w:t>
      </w:r>
      <w:r w:rsidRPr="00B90094">
        <w:rPr>
          <w:color w:val="auto"/>
          <w:szCs w:val="24"/>
        </w:rPr>
        <w:t>$56.6</w:t>
      </w:r>
      <w:r w:rsidR="00947EAC">
        <w:rPr>
          <w:color w:val="auto"/>
          <w:szCs w:val="24"/>
        </w:rPr>
        <w:t> </w:t>
      </w:r>
      <w:r w:rsidRPr="00B90094">
        <w:rPr>
          <w:color w:val="auto"/>
          <w:szCs w:val="24"/>
        </w:rPr>
        <w:t>b</w:t>
      </w:r>
      <w:r w:rsidR="00947EAC">
        <w:rPr>
          <w:color w:val="auto"/>
          <w:szCs w:val="24"/>
        </w:rPr>
        <w:t>illion</w:t>
      </w:r>
      <w:r w:rsidRPr="00B90094">
        <w:rPr>
          <w:color w:val="auto"/>
          <w:szCs w:val="24"/>
        </w:rPr>
        <w:t xml:space="preserve"> worth of proposed investment approved in 2015</w:t>
      </w:r>
      <w:r w:rsidR="008205A1">
        <w:rPr>
          <w:color w:val="auto"/>
          <w:szCs w:val="24"/>
        </w:rPr>
        <w:noBreakHyphen/>
      </w:r>
      <w:r w:rsidRPr="00B90094">
        <w:rPr>
          <w:color w:val="auto"/>
          <w:szCs w:val="24"/>
        </w:rPr>
        <w:t xml:space="preserve">16 in the </w:t>
      </w:r>
      <w:r w:rsidR="008B6006" w:rsidRPr="00B90094">
        <w:rPr>
          <w:color w:val="auto"/>
          <w:szCs w:val="24"/>
        </w:rPr>
        <w:t>manufacturing</w:t>
      </w:r>
      <w:r w:rsidRPr="00B90094">
        <w:rPr>
          <w:color w:val="auto"/>
          <w:szCs w:val="24"/>
        </w:rPr>
        <w:t xml:space="preserve">, electricity and gas </w:t>
      </w:r>
      <w:r w:rsidR="008B6006" w:rsidRPr="00B90094">
        <w:rPr>
          <w:color w:val="auto"/>
          <w:szCs w:val="24"/>
        </w:rPr>
        <w:t xml:space="preserve">sector </w:t>
      </w:r>
      <w:r w:rsidRPr="00B90094">
        <w:rPr>
          <w:color w:val="auto"/>
          <w:szCs w:val="24"/>
        </w:rPr>
        <w:t>was almost triple the value of approved investment in the sector in 2014</w:t>
      </w:r>
      <w:r w:rsidR="008205A1">
        <w:rPr>
          <w:color w:val="auto"/>
          <w:szCs w:val="24"/>
        </w:rPr>
        <w:noBreakHyphen/>
      </w:r>
      <w:r w:rsidRPr="00B90094">
        <w:rPr>
          <w:color w:val="auto"/>
          <w:szCs w:val="24"/>
        </w:rPr>
        <w:t>15</w:t>
      </w:r>
      <w:r w:rsidR="00451533">
        <w:rPr>
          <w:color w:val="auto"/>
          <w:szCs w:val="24"/>
        </w:rPr>
        <w:t>,</w:t>
      </w:r>
      <w:r w:rsidR="00494FE5">
        <w:rPr>
          <w:color w:val="auto"/>
          <w:szCs w:val="24"/>
        </w:rPr>
        <w:t xml:space="preserve"> despite</w:t>
      </w:r>
      <w:r w:rsidRPr="00B90094">
        <w:rPr>
          <w:color w:val="auto"/>
          <w:szCs w:val="24"/>
        </w:rPr>
        <w:t xml:space="preserve"> the </w:t>
      </w:r>
      <w:r w:rsidR="00494FE5">
        <w:rPr>
          <w:color w:val="auto"/>
          <w:szCs w:val="24"/>
        </w:rPr>
        <w:t>similar number</w:t>
      </w:r>
      <w:r w:rsidRPr="00B90094">
        <w:rPr>
          <w:color w:val="auto"/>
          <w:szCs w:val="24"/>
        </w:rPr>
        <w:t xml:space="preserve"> of approvals</w:t>
      </w:r>
      <w:r w:rsidR="000A6CB2">
        <w:rPr>
          <w:color w:val="auto"/>
          <w:szCs w:val="24"/>
        </w:rPr>
        <w:t>.</w:t>
      </w:r>
    </w:p>
    <w:p w14:paraId="7FCD2D3B" w14:textId="0FC9329F" w:rsidR="00AE7ACF" w:rsidRPr="00B90094" w:rsidRDefault="00AE7ACF" w:rsidP="00B90094">
      <w:pPr>
        <w:rPr>
          <w:color w:val="auto"/>
          <w:szCs w:val="24"/>
        </w:rPr>
      </w:pPr>
      <w:r w:rsidRPr="00B90094">
        <w:rPr>
          <w:color w:val="auto"/>
          <w:szCs w:val="24"/>
        </w:rPr>
        <w:t xml:space="preserve">The significant increase in </w:t>
      </w:r>
      <w:r w:rsidR="00494FE5">
        <w:rPr>
          <w:color w:val="auto"/>
          <w:szCs w:val="24"/>
        </w:rPr>
        <w:t xml:space="preserve">the </w:t>
      </w:r>
      <w:r w:rsidR="002B1342" w:rsidRPr="00B90094">
        <w:rPr>
          <w:color w:val="auto"/>
          <w:szCs w:val="24"/>
        </w:rPr>
        <w:t xml:space="preserve">value of </w:t>
      </w:r>
      <w:r w:rsidRPr="00B90094">
        <w:rPr>
          <w:color w:val="auto"/>
          <w:szCs w:val="24"/>
        </w:rPr>
        <w:t xml:space="preserve">proposed investment </w:t>
      </w:r>
      <w:r w:rsidR="00A62296">
        <w:rPr>
          <w:color w:val="auto"/>
          <w:szCs w:val="24"/>
        </w:rPr>
        <w:t xml:space="preserve">can be explained by </w:t>
      </w:r>
      <w:r w:rsidR="00494FE5">
        <w:rPr>
          <w:color w:val="auto"/>
          <w:szCs w:val="24"/>
        </w:rPr>
        <w:t xml:space="preserve">a small number of </w:t>
      </w:r>
      <w:r w:rsidRPr="00B90094">
        <w:rPr>
          <w:color w:val="auto"/>
          <w:szCs w:val="24"/>
        </w:rPr>
        <w:t xml:space="preserve">transactions </w:t>
      </w:r>
      <w:r w:rsidR="00494FE5">
        <w:rPr>
          <w:color w:val="auto"/>
          <w:szCs w:val="24"/>
        </w:rPr>
        <w:t>for which foreign investment approval was required</w:t>
      </w:r>
      <w:r w:rsidR="00451533">
        <w:rPr>
          <w:color w:val="auto"/>
          <w:szCs w:val="24"/>
        </w:rPr>
        <w:t>,</w:t>
      </w:r>
      <w:r w:rsidR="00494FE5">
        <w:rPr>
          <w:color w:val="auto"/>
          <w:szCs w:val="24"/>
        </w:rPr>
        <w:t xml:space="preserve"> including</w:t>
      </w:r>
      <w:r w:rsidRPr="00B90094">
        <w:rPr>
          <w:color w:val="auto"/>
          <w:szCs w:val="24"/>
        </w:rPr>
        <w:t xml:space="preserve"> the 99 year lease of </w:t>
      </w:r>
      <w:proofErr w:type="spellStart"/>
      <w:r w:rsidRPr="00B90094">
        <w:rPr>
          <w:color w:val="auto"/>
          <w:szCs w:val="24"/>
        </w:rPr>
        <w:t>TransGrid</w:t>
      </w:r>
      <w:proofErr w:type="spellEnd"/>
      <w:r w:rsidR="000A6CB2">
        <w:rPr>
          <w:color w:val="auto"/>
          <w:szCs w:val="24"/>
        </w:rPr>
        <w:t>.</w:t>
      </w:r>
    </w:p>
    <w:p w14:paraId="22310A9F" w14:textId="293A23A2" w:rsidR="008B6006" w:rsidRPr="00B90094" w:rsidRDefault="008B6006" w:rsidP="00115593">
      <w:pPr>
        <w:pStyle w:val="TableHeading"/>
      </w:pPr>
      <w:r w:rsidRPr="00B90094">
        <w:t xml:space="preserve">Table </w:t>
      </w:r>
      <w:r w:rsidR="000A6CB2">
        <w:t>3</w:t>
      </w:r>
      <w:r w:rsidRPr="00B90094">
        <w:t>.5: Manufacturing</w:t>
      </w:r>
      <w:r w:rsidR="008E4A26" w:rsidRPr="00B90094">
        <w:t>, electricity and gas</w:t>
      </w:r>
      <w:r w:rsidRPr="00B90094">
        <w:t xml:space="preserve"> sector approvals</w:t>
      </w:r>
      <w:r w:rsidR="009B3992" w:rsidRPr="00B90094">
        <w:t>: 2012</w:t>
      </w:r>
      <w:r w:rsidR="008205A1">
        <w:noBreakHyphen/>
      </w:r>
      <w:r w:rsidR="009B3992" w:rsidRPr="00B90094">
        <w:t>13 to 2015</w:t>
      </w:r>
      <w:r w:rsidR="008205A1">
        <w:noBreakHyphen/>
      </w:r>
      <w:r w:rsidR="009B3992" w:rsidRPr="00B90094">
        <w:t>16</w:t>
      </w:r>
    </w:p>
    <w:bookmarkStart w:id="38" w:name="_1548074926"/>
    <w:bookmarkEnd w:id="38"/>
    <w:p w14:paraId="4E7131EE" w14:textId="18FF501F" w:rsidR="008B6006" w:rsidRDefault="008F3B80" w:rsidP="008F3B80">
      <w:pPr>
        <w:pStyle w:val="TableGraphic"/>
        <w:rPr>
          <w:rFonts w:ascii="Times New Roman" w:hAnsi="Times New Roman"/>
          <w:color w:val="auto"/>
        </w:rPr>
      </w:pPr>
      <w:r>
        <w:object w:dxaOrig="7705" w:dyaOrig="2928" w14:anchorId="15B16512">
          <v:shape id="_x0000_i1031" type="#_x0000_t75" style="width:385.8pt;height:146.7pt" o:ole="">
            <v:imagedata r:id="rId68" o:title=""/>
          </v:shape>
          <o:OLEObject Type="Link" ProgID="Excel.Sheet.12" ShapeID="_x0000_i1031" DrawAspect="Content" r:id="rId69" UpdateMode="Always">
            <o:LinkType>EnhancedMetaFile</o:LinkType>
            <o:LockedField>false</o:LockedField>
          </o:OLEObject>
        </w:object>
      </w:r>
      <w:r w:rsidR="008B6006">
        <w:fldChar w:fldCharType="begin"/>
      </w:r>
      <w:r w:rsidR="008B6006">
        <w:instrText xml:space="preserve"> LINK </w:instrText>
      </w:r>
      <w:r w:rsidR="00221D2C">
        <w:instrText xml:space="preserve">Excel.Sheet.12 "http://tweb/sites/mg/fitpd/FIRB/Annual Report (written only)/2014-15/Data - Charts and Tables/2014-15 Table 2.5.xlsx" Sheet1!R3C1:R11C3 </w:instrText>
      </w:r>
      <w:r w:rsidR="008B6006">
        <w:instrText xml:space="preserve">\a \f 4 \h  \* MERGEFORMAT </w:instrText>
      </w:r>
      <w:r w:rsidR="008B6006">
        <w:fldChar w:fldCharType="separate"/>
      </w:r>
      <w:bookmarkStart w:id="39" w:name="_1548075111"/>
      <w:bookmarkEnd w:id="39"/>
    </w:p>
    <w:p w14:paraId="67954BD4" w14:textId="77777777" w:rsidR="008B6006" w:rsidRPr="00802A40" w:rsidRDefault="008B6006" w:rsidP="00E919E1">
      <w:pPr>
        <w:pStyle w:val="ChartandTableFootnoteAlpha"/>
        <w:numPr>
          <w:ilvl w:val="0"/>
          <w:numId w:val="13"/>
        </w:numPr>
      </w:pPr>
      <w:r>
        <w:fldChar w:fldCharType="end"/>
      </w:r>
      <w:r w:rsidRPr="00802A40">
        <w:t>Comprises: textile, leather, clothing and footwear; polymer product and rubber products; primary metal and metal product; fabricated metal products; transport equipment; machinery and equipment; and furniture manufacturing.</w:t>
      </w:r>
    </w:p>
    <w:p w14:paraId="658AF215" w14:textId="7376C133" w:rsidR="008B6006" w:rsidRPr="00802A40" w:rsidRDefault="008B6006" w:rsidP="008B6006">
      <w:pPr>
        <w:pStyle w:val="StyleChartorTableNoteLeft0cmHanging1cm"/>
      </w:pPr>
      <w:r w:rsidRPr="00802A40">
        <w:t>Note:</w:t>
      </w:r>
      <w:r w:rsidRPr="00802A40">
        <w:tab/>
        <w:t>Totals may not add due to rounding.</w:t>
      </w:r>
    </w:p>
    <w:p w14:paraId="1E760951" w14:textId="3BF7E38F" w:rsidR="008B6006" w:rsidRPr="00802A40" w:rsidRDefault="004B555D" w:rsidP="004B555D">
      <w:pPr>
        <w:tabs>
          <w:tab w:val="left" w:pos="5660"/>
        </w:tabs>
      </w:pPr>
      <w:r>
        <w:rPr>
          <w:rFonts w:ascii="Times New Roman" w:eastAsiaTheme="minorHAnsi" w:hAnsi="Times New Roman"/>
          <w:noProof/>
          <w:color w:val="auto"/>
          <w:sz w:val="24"/>
          <w:szCs w:val="24"/>
        </w:rPr>
        <w:lastRenderedPageBreak/>
        <mc:AlternateContent>
          <mc:Choice Requires="wps">
            <w:drawing>
              <wp:anchor distT="0" distB="0" distL="114300" distR="114300" simplePos="0" relativeHeight="251658246" behindDoc="0" locked="0" layoutInCell="1" allowOverlap="1" wp14:anchorId="5596BD29" wp14:editId="7D3319AF">
                <wp:simplePos x="0" y="0"/>
                <wp:positionH relativeFrom="column">
                  <wp:posOffset>-46355</wp:posOffset>
                </wp:positionH>
                <wp:positionV relativeFrom="paragraph">
                  <wp:posOffset>24765</wp:posOffset>
                </wp:positionV>
                <wp:extent cx="4720590" cy="6734175"/>
                <wp:effectExtent l="0" t="0" r="3810" b="9525"/>
                <wp:wrapSquare wrapText="bothSides"/>
                <wp:docPr id="42" name="Snip and Round Single Corner Rectangle 42"/>
                <wp:cNvGraphicFramePr/>
                <a:graphic xmlns:a="http://schemas.openxmlformats.org/drawingml/2006/main">
                  <a:graphicData uri="http://schemas.microsoft.com/office/word/2010/wordprocessingShape">
                    <wps:wsp>
                      <wps:cNvSpPr/>
                      <wps:spPr>
                        <a:xfrm>
                          <a:off x="0" y="0"/>
                          <a:ext cx="4720590" cy="6734175"/>
                        </a:xfrm>
                        <a:prstGeom prst="snipRoundRect">
                          <a:avLst>
                            <a:gd name="adj1" fmla="val 4290"/>
                            <a:gd name="adj2" fmla="val 16667"/>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78B36" w14:textId="66696BF1" w:rsidR="00C263DE" w:rsidRPr="006A6448" w:rsidRDefault="00C263DE" w:rsidP="00115593">
                            <w:pPr>
                              <w:pStyle w:val="BoxHeading"/>
                            </w:pPr>
                            <w:r w:rsidRPr="006A6448">
                              <w:t>State and Territory Asset Privatisation</w:t>
                            </w:r>
                          </w:p>
                          <w:p w14:paraId="6975045C" w14:textId="32ABE88A" w:rsidR="00C263DE" w:rsidRPr="006A6448" w:rsidRDefault="00C263DE" w:rsidP="00115593">
                            <w:pPr>
                              <w:pStyle w:val="BoxText"/>
                            </w:pPr>
                            <w:r w:rsidRPr="006A6448">
                              <w:t>During 2015</w:t>
                            </w:r>
                            <w:r>
                              <w:noBreakHyphen/>
                            </w:r>
                            <w:r w:rsidRPr="006A6448">
                              <w:t xml:space="preserve">16, the </w:t>
                            </w:r>
                            <w:proofErr w:type="spellStart"/>
                            <w:r>
                              <w:t>FIRB</w:t>
                            </w:r>
                            <w:proofErr w:type="spellEnd"/>
                            <w:r>
                              <w:t xml:space="preserve"> Secretariat</w:t>
                            </w:r>
                            <w:r w:rsidRPr="006A6448">
                              <w:t xml:space="preserve"> continued to pro</w:t>
                            </w:r>
                            <w:r>
                              <w:noBreakHyphen/>
                            </w:r>
                            <w:r w:rsidRPr="006A6448">
                              <w:t xml:space="preserve">actively engage with state and territory governments in the privatisation of electricity network assets and Australian ports of national significance. </w:t>
                            </w:r>
                          </w:p>
                          <w:p w14:paraId="49353A07" w14:textId="05316435" w:rsidR="00C263DE" w:rsidRPr="006A6448" w:rsidRDefault="00C263DE" w:rsidP="00115593">
                            <w:pPr>
                              <w:pStyle w:val="BoxText"/>
                            </w:pPr>
                            <w:r w:rsidRPr="006A6448">
                              <w:t xml:space="preserve">This work resulted in constructive engagement and cooperation between the </w:t>
                            </w:r>
                            <w:proofErr w:type="spellStart"/>
                            <w:r w:rsidRPr="006A6448">
                              <w:t>FIRB</w:t>
                            </w:r>
                            <w:proofErr w:type="spellEnd"/>
                            <w:r w:rsidRPr="006A6448">
                              <w:t xml:space="preserve"> Secretariat, the relevant state and territory governments, their advisers and relevant Commonwealth agencies to identify potential national interest concerns and to develop mitigations early in the privatisation process. Bidders and their advisers were also encouraged to engage early with the </w:t>
                            </w:r>
                            <w:proofErr w:type="spellStart"/>
                            <w:r w:rsidRPr="006A6448">
                              <w:t>FIRB</w:t>
                            </w:r>
                            <w:proofErr w:type="spellEnd"/>
                            <w:r w:rsidRPr="006A6448">
                              <w:t xml:space="preserve"> </w:t>
                            </w:r>
                            <w:r>
                              <w:t xml:space="preserve">Secretariat </w:t>
                            </w:r>
                            <w:r w:rsidRPr="006A6448">
                              <w:t xml:space="preserve">to ensure that complex investment proposals were fully understood. </w:t>
                            </w:r>
                          </w:p>
                          <w:p w14:paraId="19FFFB02" w14:textId="39BCEB60" w:rsidR="00C263DE" w:rsidRPr="006A6448" w:rsidRDefault="00C263DE" w:rsidP="00115593">
                            <w:pPr>
                              <w:pStyle w:val="BoxText"/>
                              <w:rPr>
                                <w:szCs w:val="24"/>
                              </w:rPr>
                            </w:pPr>
                            <w:r>
                              <w:rPr>
                                <w:szCs w:val="24"/>
                              </w:rPr>
                              <w:t xml:space="preserve">The </w:t>
                            </w:r>
                            <w:proofErr w:type="spellStart"/>
                            <w:r w:rsidRPr="006A6448">
                              <w:rPr>
                                <w:szCs w:val="24"/>
                              </w:rPr>
                              <w:t>FIRB</w:t>
                            </w:r>
                            <w:proofErr w:type="spellEnd"/>
                            <w:r w:rsidRPr="006A6448">
                              <w:rPr>
                                <w:szCs w:val="24"/>
                              </w:rPr>
                              <w:t xml:space="preserve"> </w:t>
                            </w:r>
                            <w:r>
                              <w:rPr>
                                <w:szCs w:val="24"/>
                              </w:rPr>
                              <w:t xml:space="preserve">Secretariat </w:t>
                            </w:r>
                            <w:r w:rsidRPr="006A6448">
                              <w:rPr>
                                <w:szCs w:val="24"/>
                              </w:rPr>
                              <w:t xml:space="preserve">engaged with the NSW Government and potential bidders to ensure that national interest considerations were addressed in the 99 year leases of </w:t>
                            </w:r>
                            <w:proofErr w:type="spellStart"/>
                            <w:r w:rsidRPr="006A6448">
                              <w:rPr>
                                <w:szCs w:val="24"/>
                              </w:rPr>
                              <w:t>TransGrid</w:t>
                            </w:r>
                            <w:proofErr w:type="spellEnd"/>
                            <w:r w:rsidRPr="006A6448">
                              <w:rPr>
                                <w:szCs w:val="24"/>
                              </w:rPr>
                              <w:t xml:space="preserve"> and </w:t>
                            </w:r>
                            <w:proofErr w:type="spellStart"/>
                            <w:r w:rsidRPr="006A6448">
                              <w:rPr>
                                <w:szCs w:val="24"/>
                              </w:rPr>
                              <w:t>Ausgrid</w:t>
                            </w:r>
                            <w:proofErr w:type="spellEnd"/>
                            <w:r w:rsidRPr="006A6448">
                              <w:rPr>
                                <w:szCs w:val="24"/>
                              </w:rPr>
                              <w:t xml:space="preserve">, both critical infrastructure assets for NSW and the National Electricity Market. </w:t>
                            </w:r>
                            <w:r>
                              <w:rPr>
                                <w:szCs w:val="24"/>
                              </w:rPr>
                              <w:t>It</w:t>
                            </w:r>
                            <w:r w:rsidRPr="006A6448">
                              <w:rPr>
                                <w:szCs w:val="24"/>
                              </w:rPr>
                              <w:t xml:space="preserve"> also pro</w:t>
                            </w:r>
                            <w:r>
                              <w:rPr>
                                <w:szCs w:val="24"/>
                              </w:rPr>
                              <w:noBreakHyphen/>
                            </w:r>
                            <w:r w:rsidRPr="006A6448">
                              <w:rPr>
                                <w:szCs w:val="24"/>
                              </w:rPr>
                              <w:t xml:space="preserve">actively engaged with key stakeholders involved with the privatisations of the Port of Darwin and the Port of Melbourne as well as the </w:t>
                            </w:r>
                            <w:r>
                              <w:rPr>
                                <w:szCs w:val="24"/>
                              </w:rPr>
                              <w:t>possible forthcoming</w:t>
                            </w:r>
                            <w:r w:rsidRPr="006A6448">
                              <w:rPr>
                                <w:szCs w:val="24"/>
                              </w:rPr>
                              <w:t xml:space="preserve"> privatisations of Fremantle Port and Utah Point.</w:t>
                            </w:r>
                          </w:p>
                          <w:p w14:paraId="0C4D34C0" w14:textId="6D45E9C5" w:rsidR="00C263DE" w:rsidRPr="006A6448" w:rsidRDefault="00C263DE" w:rsidP="00115593">
                            <w:pPr>
                              <w:pStyle w:val="BoxText"/>
                              <w:rPr>
                                <w:szCs w:val="24"/>
                              </w:rPr>
                            </w:pPr>
                            <w:r w:rsidRPr="006A6448">
                              <w:rPr>
                                <w:szCs w:val="24"/>
                              </w:rPr>
                              <w:t xml:space="preserve">On 25 November 2015, the NSW Government announced </w:t>
                            </w:r>
                            <w:r>
                              <w:rPr>
                                <w:szCs w:val="24"/>
                              </w:rPr>
                              <w:t>‘</w:t>
                            </w:r>
                            <w:r w:rsidRPr="006A6448">
                              <w:rPr>
                                <w:szCs w:val="24"/>
                              </w:rPr>
                              <w:t>NSW Electricity Networks</w:t>
                            </w:r>
                            <w:r>
                              <w:rPr>
                                <w:szCs w:val="24"/>
                              </w:rPr>
                              <w:t>’</w:t>
                            </w:r>
                            <w:r w:rsidRPr="006A6448">
                              <w:rPr>
                                <w:szCs w:val="24"/>
                              </w:rPr>
                              <w:t xml:space="preserve">, a consortium comprising Australian investors, a Canadian pension fund and Middle Eastern sovereign wealth funds, as the successful bidder for the 99 year lease of </w:t>
                            </w:r>
                            <w:proofErr w:type="spellStart"/>
                            <w:r w:rsidRPr="006A6448">
                              <w:rPr>
                                <w:szCs w:val="24"/>
                              </w:rPr>
                              <w:t>TransGrid</w:t>
                            </w:r>
                            <w:proofErr w:type="spellEnd"/>
                            <w:r w:rsidRPr="006A6448">
                              <w:rPr>
                                <w:szCs w:val="24"/>
                              </w:rPr>
                              <w:t xml:space="preserve">, the NSW electricity transmission network. Extensive consultation allowed the Treasurer to </w:t>
                            </w:r>
                            <w:r>
                              <w:rPr>
                                <w:szCs w:val="24"/>
                              </w:rPr>
                              <w:t>apply</w:t>
                            </w:r>
                            <w:r w:rsidRPr="006A6448">
                              <w:rPr>
                                <w:szCs w:val="24"/>
                              </w:rPr>
                              <w:t xml:space="preserve"> safeguards to ensure that operational control of the network remained in Australia and that </w:t>
                            </w:r>
                            <w:proofErr w:type="spellStart"/>
                            <w:r w:rsidRPr="006A6448">
                              <w:rPr>
                                <w:szCs w:val="24"/>
                              </w:rPr>
                              <w:t>TransGrid</w:t>
                            </w:r>
                            <w:r>
                              <w:rPr>
                                <w:szCs w:val="24"/>
                              </w:rPr>
                              <w:t>’</w:t>
                            </w:r>
                            <w:r w:rsidRPr="006A6448">
                              <w:rPr>
                                <w:szCs w:val="24"/>
                              </w:rPr>
                              <w:t>s</w:t>
                            </w:r>
                            <w:proofErr w:type="spellEnd"/>
                            <w:r w:rsidRPr="006A6448">
                              <w:rPr>
                                <w:szCs w:val="24"/>
                              </w:rPr>
                              <w:t xml:space="preserve"> boards comprise Australian citizens and residents. Protections were also </w:t>
                            </w:r>
                            <w:r>
                              <w:rPr>
                                <w:szCs w:val="24"/>
                              </w:rPr>
                              <w:t>applied</w:t>
                            </w:r>
                            <w:r w:rsidRPr="006A6448">
                              <w:rPr>
                                <w:szCs w:val="24"/>
                              </w:rPr>
                              <w:t xml:space="preserve"> to ensure that electricity supply data and personal information is held and accessed solely within Australia.</w:t>
                            </w:r>
                          </w:p>
                          <w:p w14:paraId="08ED65FF" w14:textId="57983D86" w:rsidR="00C263DE" w:rsidRPr="006A6448" w:rsidRDefault="00C263DE" w:rsidP="00115593">
                            <w:pPr>
                              <w:pStyle w:val="BoxText"/>
                              <w:rPr>
                                <w:szCs w:val="24"/>
                              </w:rPr>
                            </w:pPr>
                            <w:r>
                              <w:rPr>
                                <w:szCs w:val="24"/>
                              </w:rPr>
                              <w:t xml:space="preserve">The </w:t>
                            </w:r>
                            <w:proofErr w:type="spellStart"/>
                            <w:r>
                              <w:rPr>
                                <w:szCs w:val="24"/>
                              </w:rPr>
                              <w:t>FIRB</w:t>
                            </w:r>
                            <w:proofErr w:type="spellEnd"/>
                            <w:r>
                              <w:rPr>
                                <w:szCs w:val="24"/>
                              </w:rPr>
                              <w:t xml:space="preserve"> Secretariat also engaged with potential bidders for the Port of Darwin, including </w:t>
                            </w:r>
                            <w:proofErr w:type="spellStart"/>
                            <w:r>
                              <w:rPr>
                                <w:szCs w:val="24"/>
                              </w:rPr>
                              <w:t>Landbridge</w:t>
                            </w:r>
                            <w:proofErr w:type="spellEnd"/>
                            <w:r>
                              <w:rPr>
                                <w:szCs w:val="24"/>
                              </w:rPr>
                              <w:t>. However, at</w:t>
                            </w:r>
                            <w:r w:rsidRPr="006A6448">
                              <w:rPr>
                                <w:szCs w:val="24"/>
                              </w:rPr>
                              <w:t xml:space="preserve"> the time the Port of Darwin was privatised, the successful bidder who was a privately owned Chinese investor did not require foreign investment approval because of an exemption under the </w:t>
                            </w:r>
                            <w:r w:rsidRPr="00A62296">
                              <w:rPr>
                                <w:i/>
                              </w:rPr>
                              <w:t>Foreign Acquisitions and Takeovers Act 1975</w:t>
                            </w:r>
                            <w:r w:rsidRPr="006A6448">
                              <w:rPr>
                                <w:szCs w:val="24"/>
                              </w:rPr>
                              <w:t xml:space="preserve"> for interests acquired directly from an Australian government</w:t>
                            </w:r>
                            <w:r>
                              <w:rPr>
                                <w:szCs w:val="24"/>
                              </w:rPr>
                              <w:t xml:space="preserve"> by foreign private investors</w:t>
                            </w:r>
                            <w:r w:rsidRPr="006A6448">
                              <w:rPr>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nip and Round Single Corner Rectangle 42" o:spid="_x0000_s1042" style="position:absolute;left:0;text-align:left;margin-left:-3.65pt;margin-top:1.95pt;width:371.7pt;height:53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720590,673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" adj="-11796480,,5400" path="m202513,l3933809,r786781,786781l4720590,6734175,,6734175,,202513c,90668,90668,,202513,xe" fillcolor="#1f497d" stroked="f" strokeweight="2pt">
                <v:stroke joinstyle="miter"/>
                <v:formulas/>
                <v:path arrowok="t" o:connecttype="custom" o:connectlocs="202513,0;3933809,0;4720590,786781;4720590,6734175;0,6734175;0,202513;202513,0" o:connectangles="0,0,0,0,0,0,0" textboxrect="0,0,4720590,6734175"/>
                <v:textbox>
                  <w:txbxContent>
                    <w:p w14:paraId="5BC78B36" w14:textId="66696BF1" w:rsidR="00C263DE" w:rsidRPr="006A6448" w:rsidRDefault="00C263DE" w:rsidP="00115593">
                      <w:pPr>
                        <w:pStyle w:val="BoxHeading"/>
                      </w:pPr>
                      <w:r w:rsidRPr="006A6448">
                        <w:t>State and Territory Asset Privatisation</w:t>
                      </w:r>
                    </w:p>
                    <w:p w14:paraId="6975045C" w14:textId="32ABE88A" w:rsidR="00C263DE" w:rsidRPr="006A6448" w:rsidRDefault="00C263DE" w:rsidP="00115593">
                      <w:pPr>
                        <w:pStyle w:val="BoxText"/>
                      </w:pPr>
                      <w:r w:rsidRPr="006A6448">
                        <w:t>During 2015</w:t>
                      </w:r>
                      <w:r>
                        <w:noBreakHyphen/>
                      </w:r>
                      <w:r w:rsidRPr="006A6448">
                        <w:t xml:space="preserve">16, the </w:t>
                      </w:r>
                      <w:proofErr w:type="spellStart"/>
                      <w:r>
                        <w:t>FIRB</w:t>
                      </w:r>
                      <w:proofErr w:type="spellEnd"/>
                      <w:r>
                        <w:t xml:space="preserve"> Secretariat</w:t>
                      </w:r>
                      <w:r w:rsidRPr="006A6448">
                        <w:t xml:space="preserve"> continued to pro</w:t>
                      </w:r>
                      <w:r>
                        <w:noBreakHyphen/>
                      </w:r>
                      <w:r w:rsidRPr="006A6448">
                        <w:t xml:space="preserve">actively engage with state and territory governments in the privatisation of electricity network assets and Australian ports of national significance. </w:t>
                      </w:r>
                    </w:p>
                    <w:p w14:paraId="49353A07" w14:textId="05316435" w:rsidR="00C263DE" w:rsidRPr="006A6448" w:rsidRDefault="00C263DE" w:rsidP="00115593">
                      <w:pPr>
                        <w:pStyle w:val="BoxText"/>
                      </w:pPr>
                      <w:r w:rsidRPr="006A6448">
                        <w:t xml:space="preserve">This work resulted in constructive engagement and cooperation between the </w:t>
                      </w:r>
                      <w:proofErr w:type="spellStart"/>
                      <w:r w:rsidRPr="006A6448">
                        <w:t>FIRB</w:t>
                      </w:r>
                      <w:proofErr w:type="spellEnd"/>
                      <w:r w:rsidRPr="006A6448">
                        <w:t xml:space="preserve"> Secretariat, the relevant state and territory governments, their advisers and relevant Commonwealth agencies to identify potential national interest concerns and to develop mitigations early in the privatisation process. Bidders and their advisers were also encouraged to engage early with the </w:t>
                      </w:r>
                      <w:proofErr w:type="spellStart"/>
                      <w:r w:rsidRPr="006A6448">
                        <w:t>FIRB</w:t>
                      </w:r>
                      <w:proofErr w:type="spellEnd"/>
                      <w:r w:rsidRPr="006A6448">
                        <w:t xml:space="preserve"> </w:t>
                      </w:r>
                      <w:r>
                        <w:t xml:space="preserve">Secretariat </w:t>
                      </w:r>
                      <w:r w:rsidRPr="006A6448">
                        <w:t xml:space="preserve">to ensure that complex investment proposals were fully understood. </w:t>
                      </w:r>
                    </w:p>
                    <w:p w14:paraId="19FFFB02" w14:textId="39BCEB60" w:rsidR="00C263DE" w:rsidRPr="006A6448" w:rsidRDefault="00C263DE" w:rsidP="00115593">
                      <w:pPr>
                        <w:pStyle w:val="BoxText"/>
                        <w:rPr>
                          <w:szCs w:val="24"/>
                        </w:rPr>
                      </w:pPr>
                      <w:r>
                        <w:rPr>
                          <w:szCs w:val="24"/>
                        </w:rPr>
                        <w:t xml:space="preserve">The </w:t>
                      </w:r>
                      <w:proofErr w:type="spellStart"/>
                      <w:r w:rsidRPr="006A6448">
                        <w:rPr>
                          <w:szCs w:val="24"/>
                        </w:rPr>
                        <w:t>FIRB</w:t>
                      </w:r>
                      <w:proofErr w:type="spellEnd"/>
                      <w:r w:rsidRPr="006A6448">
                        <w:rPr>
                          <w:szCs w:val="24"/>
                        </w:rPr>
                        <w:t xml:space="preserve"> </w:t>
                      </w:r>
                      <w:r>
                        <w:rPr>
                          <w:szCs w:val="24"/>
                        </w:rPr>
                        <w:t xml:space="preserve">Secretariat </w:t>
                      </w:r>
                      <w:r w:rsidRPr="006A6448">
                        <w:rPr>
                          <w:szCs w:val="24"/>
                        </w:rPr>
                        <w:t xml:space="preserve">engaged with the NSW Government and potential bidders to ensure that national interest considerations were addressed in the 99 year leases of </w:t>
                      </w:r>
                      <w:proofErr w:type="spellStart"/>
                      <w:r w:rsidRPr="006A6448">
                        <w:rPr>
                          <w:szCs w:val="24"/>
                        </w:rPr>
                        <w:t>TransGrid</w:t>
                      </w:r>
                      <w:proofErr w:type="spellEnd"/>
                      <w:r w:rsidRPr="006A6448">
                        <w:rPr>
                          <w:szCs w:val="24"/>
                        </w:rPr>
                        <w:t xml:space="preserve"> and </w:t>
                      </w:r>
                      <w:proofErr w:type="spellStart"/>
                      <w:r w:rsidRPr="006A6448">
                        <w:rPr>
                          <w:szCs w:val="24"/>
                        </w:rPr>
                        <w:t>Ausgrid</w:t>
                      </w:r>
                      <w:proofErr w:type="spellEnd"/>
                      <w:r w:rsidRPr="006A6448">
                        <w:rPr>
                          <w:szCs w:val="24"/>
                        </w:rPr>
                        <w:t xml:space="preserve">, both critical infrastructure assets for NSW and the National Electricity Market. </w:t>
                      </w:r>
                      <w:r>
                        <w:rPr>
                          <w:szCs w:val="24"/>
                        </w:rPr>
                        <w:t>It</w:t>
                      </w:r>
                      <w:r w:rsidRPr="006A6448">
                        <w:rPr>
                          <w:szCs w:val="24"/>
                        </w:rPr>
                        <w:t xml:space="preserve"> also pro</w:t>
                      </w:r>
                      <w:r>
                        <w:rPr>
                          <w:szCs w:val="24"/>
                        </w:rPr>
                        <w:noBreakHyphen/>
                      </w:r>
                      <w:r w:rsidRPr="006A6448">
                        <w:rPr>
                          <w:szCs w:val="24"/>
                        </w:rPr>
                        <w:t xml:space="preserve">actively engaged with key stakeholders involved with the privatisations of the Port of Darwin and the Port of Melbourne as well as the </w:t>
                      </w:r>
                      <w:r>
                        <w:rPr>
                          <w:szCs w:val="24"/>
                        </w:rPr>
                        <w:t>possible forthcoming</w:t>
                      </w:r>
                      <w:r w:rsidRPr="006A6448">
                        <w:rPr>
                          <w:szCs w:val="24"/>
                        </w:rPr>
                        <w:t xml:space="preserve"> privatisations of Fremantle Port and Utah Point.</w:t>
                      </w:r>
                    </w:p>
                    <w:p w14:paraId="0C4D34C0" w14:textId="6D45E9C5" w:rsidR="00C263DE" w:rsidRPr="006A6448" w:rsidRDefault="00C263DE" w:rsidP="00115593">
                      <w:pPr>
                        <w:pStyle w:val="BoxText"/>
                        <w:rPr>
                          <w:szCs w:val="24"/>
                        </w:rPr>
                      </w:pPr>
                      <w:r w:rsidRPr="006A6448">
                        <w:rPr>
                          <w:szCs w:val="24"/>
                        </w:rPr>
                        <w:t xml:space="preserve">On 25 November 2015, the NSW Government announced </w:t>
                      </w:r>
                      <w:r>
                        <w:rPr>
                          <w:szCs w:val="24"/>
                        </w:rPr>
                        <w:t>‘</w:t>
                      </w:r>
                      <w:r w:rsidRPr="006A6448">
                        <w:rPr>
                          <w:szCs w:val="24"/>
                        </w:rPr>
                        <w:t>NSW Electricity Networks</w:t>
                      </w:r>
                      <w:r>
                        <w:rPr>
                          <w:szCs w:val="24"/>
                        </w:rPr>
                        <w:t>’</w:t>
                      </w:r>
                      <w:r w:rsidRPr="006A6448">
                        <w:rPr>
                          <w:szCs w:val="24"/>
                        </w:rPr>
                        <w:t xml:space="preserve">, a consortium comprising Australian investors, a Canadian pension fund and Middle Eastern sovereign wealth funds, as the successful bidder for the 99 year lease of </w:t>
                      </w:r>
                      <w:proofErr w:type="spellStart"/>
                      <w:r w:rsidRPr="006A6448">
                        <w:rPr>
                          <w:szCs w:val="24"/>
                        </w:rPr>
                        <w:t>TransGrid</w:t>
                      </w:r>
                      <w:proofErr w:type="spellEnd"/>
                      <w:r w:rsidRPr="006A6448">
                        <w:rPr>
                          <w:szCs w:val="24"/>
                        </w:rPr>
                        <w:t xml:space="preserve">, the NSW electricity transmission network. Extensive consultation allowed the Treasurer to </w:t>
                      </w:r>
                      <w:r>
                        <w:rPr>
                          <w:szCs w:val="24"/>
                        </w:rPr>
                        <w:t>apply</w:t>
                      </w:r>
                      <w:r w:rsidRPr="006A6448">
                        <w:rPr>
                          <w:szCs w:val="24"/>
                        </w:rPr>
                        <w:t xml:space="preserve"> safeguards to ensure that operational control of the network remained in Australia and that </w:t>
                      </w:r>
                      <w:proofErr w:type="spellStart"/>
                      <w:r w:rsidRPr="006A6448">
                        <w:rPr>
                          <w:szCs w:val="24"/>
                        </w:rPr>
                        <w:t>TransGrid</w:t>
                      </w:r>
                      <w:r>
                        <w:rPr>
                          <w:szCs w:val="24"/>
                        </w:rPr>
                        <w:t>’</w:t>
                      </w:r>
                      <w:r w:rsidRPr="006A6448">
                        <w:rPr>
                          <w:szCs w:val="24"/>
                        </w:rPr>
                        <w:t>s</w:t>
                      </w:r>
                      <w:proofErr w:type="spellEnd"/>
                      <w:r w:rsidRPr="006A6448">
                        <w:rPr>
                          <w:szCs w:val="24"/>
                        </w:rPr>
                        <w:t xml:space="preserve"> boards comprise Australian citizens and residents. Protections were also </w:t>
                      </w:r>
                      <w:r>
                        <w:rPr>
                          <w:szCs w:val="24"/>
                        </w:rPr>
                        <w:t>applied</w:t>
                      </w:r>
                      <w:r w:rsidRPr="006A6448">
                        <w:rPr>
                          <w:szCs w:val="24"/>
                        </w:rPr>
                        <w:t xml:space="preserve"> to ensure that electricity supply data and personal information is held and accessed solely within Australia.</w:t>
                      </w:r>
                    </w:p>
                    <w:p w14:paraId="08ED65FF" w14:textId="57983D86" w:rsidR="00C263DE" w:rsidRPr="006A6448" w:rsidRDefault="00C263DE" w:rsidP="00115593">
                      <w:pPr>
                        <w:pStyle w:val="BoxText"/>
                        <w:rPr>
                          <w:szCs w:val="24"/>
                        </w:rPr>
                      </w:pPr>
                      <w:r>
                        <w:rPr>
                          <w:szCs w:val="24"/>
                        </w:rPr>
                        <w:t xml:space="preserve">The </w:t>
                      </w:r>
                      <w:proofErr w:type="spellStart"/>
                      <w:r>
                        <w:rPr>
                          <w:szCs w:val="24"/>
                        </w:rPr>
                        <w:t>FIRB</w:t>
                      </w:r>
                      <w:proofErr w:type="spellEnd"/>
                      <w:r>
                        <w:rPr>
                          <w:szCs w:val="24"/>
                        </w:rPr>
                        <w:t xml:space="preserve"> Secretariat also engaged with potential bidders for the Port of Darwin, including </w:t>
                      </w:r>
                      <w:proofErr w:type="spellStart"/>
                      <w:r>
                        <w:rPr>
                          <w:szCs w:val="24"/>
                        </w:rPr>
                        <w:t>Landbridge</w:t>
                      </w:r>
                      <w:proofErr w:type="spellEnd"/>
                      <w:r>
                        <w:rPr>
                          <w:szCs w:val="24"/>
                        </w:rPr>
                        <w:t>. However, at</w:t>
                      </w:r>
                      <w:r w:rsidRPr="006A6448">
                        <w:rPr>
                          <w:szCs w:val="24"/>
                        </w:rPr>
                        <w:t xml:space="preserve"> the time the Port of Darwin was privatised, the successful bidder who was a privately owned Chinese investor did not require foreign investment approval because of an exemption under the </w:t>
                      </w:r>
                      <w:r w:rsidRPr="00A62296">
                        <w:rPr>
                          <w:i/>
                        </w:rPr>
                        <w:t>Foreign Acquisitions and Takeovers Act 1975</w:t>
                      </w:r>
                      <w:r w:rsidRPr="006A6448">
                        <w:rPr>
                          <w:szCs w:val="24"/>
                        </w:rPr>
                        <w:t xml:space="preserve"> for interests acquired directly from an Australian government</w:t>
                      </w:r>
                      <w:r>
                        <w:rPr>
                          <w:szCs w:val="24"/>
                        </w:rPr>
                        <w:t xml:space="preserve"> by foreign private investors</w:t>
                      </w:r>
                      <w:r w:rsidRPr="006A6448">
                        <w:rPr>
                          <w:szCs w:val="24"/>
                        </w:rPr>
                        <w:t xml:space="preserve">. </w:t>
                      </w:r>
                    </w:p>
                  </w:txbxContent>
                </v:textbox>
                <w10:wrap type="square"/>
              </v:shape>
            </w:pict>
          </mc:Fallback>
        </mc:AlternateContent>
      </w:r>
      <w:r>
        <w:tab/>
      </w:r>
    </w:p>
    <w:p w14:paraId="0E161D57" w14:textId="77777777" w:rsidR="00E32E07" w:rsidRDefault="00E32E07" w:rsidP="00BC59FA">
      <w:pPr>
        <w:pStyle w:val="CoverTitleMain"/>
        <w:jc w:val="left"/>
        <w:rPr>
          <w:sz w:val="28"/>
        </w:rPr>
      </w:pPr>
    </w:p>
    <w:p w14:paraId="69343F9F" w14:textId="77777777" w:rsidR="008B6006" w:rsidRPr="006A6448" w:rsidRDefault="008B6006" w:rsidP="006A6448">
      <w:pPr>
        <w:pStyle w:val="Heading3"/>
        <w:spacing w:before="240"/>
        <w:rPr>
          <w:rFonts w:asciiTheme="minorHAnsi" w:hAnsiTheme="minorHAnsi"/>
          <w:smallCaps/>
        </w:rPr>
      </w:pPr>
      <w:r w:rsidRPr="006A6448">
        <w:rPr>
          <w:rFonts w:asciiTheme="minorHAnsi" w:hAnsiTheme="minorHAnsi"/>
        </w:rPr>
        <w:lastRenderedPageBreak/>
        <w:t>Mineral exploration and development</w:t>
      </w:r>
    </w:p>
    <w:p w14:paraId="295FEA61" w14:textId="561269B1" w:rsidR="00BF21C5" w:rsidRDefault="002E494E" w:rsidP="006A6448">
      <w:pPr>
        <w:rPr>
          <w:color w:val="auto"/>
          <w:szCs w:val="24"/>
        </w:rPr>
      </w:pPr>
      <w:r w:rsidRPr="006A6448">
        <w:rPr>
          <w:noProof/>
          <w:color w:val="auto"/>
          <w:szCs w:val="24"/>
        </w:rPr>
        <mc:AlternateContent>
          <mc:Choice Requires="wpc">
            <w:drawing>
              <wp:anchor distT="0" distB="0" distL="114300" distR="114300" simplePos="0" relativeHeight="251658259" behindDoc="1" locked="0" layoutInCell="1" allowOverlap="1" wp14:anchorId="6A98D1A5" wp14:editId="3915317A">
                <wp:simplePos x="0" y="0"/>
                <wp:positionH relativeFrom="column">
                  <wp:posOffset>27940</wp:posOffset>
                </wp:positionH>
                <wp:positionV relativeFrom="paragraph">
                  <wp:posOffset>54610</wp:posOffset>
                </wp:positionV>
                <wp:extent cx="1190625" cy="947420"/>
                <wp:effectExtent l="0" t="0" r="0" b="5080"/>
                <wp:wrapSquare wrapText="bothSides"/>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Oval 47"/>
                        <wps:cNvSpPr/>
                        <wps:spPr>
                          <a:xfrm>
                            <a:off x="106878" y="0"/>
                            <a:ext cx="938153" cy="911792"/>
                          </a:xfrm>
                          <a:prstGeom prst="ellipse">
                            <a:avLst/>
                          </a:prstGeom>
                          <a:solidFill>
                            <a:schemeClr val="tx2"/>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1" y="116958"/>
                            <a:ext cx="1150191" cy="793679"/>
                          </a:xfrm>
                          <a:prstGeom prst="rect">
                            <a:avLst/>
                          </a:prstGeom>
                          <a:noFill/>
                          <a:ln w="6350">
                            <a:noFill/>
                          </a:ln>
                          <a:effectLst/>
                        </wps:spPr>
                        <wps:txbx>
                          <w:txbxContent>
                            <w:p w14:paraId="5E938C19" w14:textId="09D22B66" w:rsidR="00C263DE" w:rsidRPr="00D8391B" w:rsidRDefault="00C263DE" w:rsidP="002E494E">
                              <w:pPr>
                                <w:spacing w:after="0"/>
                                <w:jc w:val="center"/>
                                <w:rPr>
                                  <w:b/>
                                  <w:color w:val="FFFFFF" w:themeColor="background1"/>
                                  <w:sz w:val="24"/>
                                </w:rPr>
                              </w:pPr>
                              <w:r w:rsidRPr="00D8391B">
                                <w:rPr>
                                  <w:b/>
                                  <w:color w:val="FFFFFF" w:themeColor="background1"/>
                                  <w:sz w:val="24"/>
                                </w:rPr>
                                <w:t>$</w:t>
                              </w:r>
                              <w:r>
                                <w:rPr>
                                  <w:b/>
                                  <w:color w:val="FFFFFF" w:themeColor="background1"/>
                                  <w:sz w:val="24"/>
                                </w:rPr>
                                <w:t>27.6</w:t>
                              </w:r>
                              <w:r w:rsidRPr="00D8391B">
                                <w:rPr>
                                  <w:b/>
                                  <w:color w:val="FFFFFF" w:themeColor="background1"/>
                                  <w:sz w:val="24"/>
                                </w:rPr>
                                <w:t>b</w:t>
                              </w:r>
                            </w:p>
                            <w:p w14:paraId="5D728B9F" w14:textId="77777777" w:rsidR="00C263DE" w:rsidRPr="00D8391B" w:rsidRDefault="00C263DE" w:rsidP="002E494E">
                              <w:pPr>
                                <w:spacing w:after="0"/>
                                <w:jc w:val="center"/>
                                <w:rPr>
                                  <w:b/>
                                  <w:color w:val="FFFFFF" w:themeColor="background1"/>
                                  <w:sz w:val="24"/>
                                </w:rPr>
                              </w:pPr>
                              <w:proofErr w:type="gramStart"/>
                              <w:r w:rsidRPr="00D8391B">
                                <w:rPr>
                                  <w:b/>
                                  <w:color w:val="FFFFFF" w:themeColor="background1"/>
                                  <w:sz w:val="24"/>
                                </w:rPr>
                                <w:t>approved</w:t>
                              </w:r>
                              <w:proofErr w:type="gramEnd"/>
                            </w:p>
                            <w:p w14:paraId="0E634C39" w14:textId="77777777" w:rsidR="00C263DE" w:rsidRPr="001628FF" w:rsidRDefault="00C263DE" w:rsidP="002E494E">
                              <w:pPr>
                                <w:jc w:val="center"/>
                                <w:rPr>
                                  <w:sz w:val="24"/>
                                </w:rPr>
                              </w:pPr>
                              <w:proofErr w:type="gramStart"/>
                              <w:r w:rsidRPr="00D8391B">
                                <w:rPr>
                                  <w:b/>
                                  <w:color w:val="FFFFFF" w:themeColor="background1"/>
                                  <w:sz w:val="24"/>
                                </w:rPr>
                                <w:t>investment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50" o:spid="_x0000_s1043" editas="canvas" style="position:absolute;left:0;text-align:left;margin-left:2.2pt;margin-top:4.3pt;width:93.75pt;height:74.6pt;z-index:-251658221" coordsize="11906,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">
                <v:shape id="_x0000_s1044" type="#_x0000_t75" style="position:absolute;width:11906;height:9474;visibility:visible;mso-wrap-style:square">
                  <v:fill o:detectmouseclick="t"/>
                  <v:path o:connecttype="none"/>
                </v:shape>
                <v:oval id="Oval 47" o:spid="_x0000_s1045" style="position:absolute;left:1068;width:9382;height:9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QvsMA&#10;AADbAAAADwAAAGRycy9kb3ducmV2LnhtbESP22rDMBBE3wP5B7GBviVyQi+JE8WEGkPoU+P2A7bW&#10;+kKslbHkS/++KhT6OMzMGeaUzKYVI/Wusaxgu4lAEBdWN1wp+PzI1nsQziNrbC2Tgm9ykJyXixPG&#10;2k58ozH3lQgQdjEqqL3vYildUZNBt7EdcfBK2xv0QfaV1D1OAW5auYuiZ2mw4bBQY0evNRX3fDAK&#10;3p/S7X3/Ri1/NekVKStpOJRKPazmyxGEp9n/h//aV63g8QV+v4QfI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iQvsMAAADbAAAADwAAAAAAAAAAAAAAAACYAgAAZHJzL2Rv&#10;d25yZXYueG1sUEsFBgAAAAAEAAQA9QAAAIgDAAAAAA==&#10;" fillcolor="#1f497d [3215]" strokecolor="#1f497d" strokeweight="2pt"/>
                <v:shape id="Text Box 48" o:spid="_x0000_s1046" type="#_x0000_t202" style="position:absolute;top:1169;width:11501;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5E938C19" w14:textId="09D22B66" w:rsidR="00C263DE" w:rsidRPr="00D8391B" w:rsidRDefault="00C263DE" w:rsidP="002E494E">
                        <w:pPr>
                          <w:spacing w:after="0"/>
                          <w:jc w:val="center"/>
                          <w:rPr>
                            <w:b/>
                            <w:color w:val="FFFFFF" w:themeColor="background1"/>
                            <w:sz w:val="24"/>
                          </w:rPr>
                        </w:pPr>
                        <w:r w:rsidRPr="00D8391B">
                          <w:rPr>
                            <w:b/>
                            <w:color w:val="FFFFFF" w:themeColor="background1"/>
                            <w:sz w:val="24"/>
                          </w:rPr>
                          <w:t>$</w:t>
                        </w:r>
                        <w:r>
                          <w:rPr>
                            <w:b/>
                            <w:color w:val="FFFFFF" w:themeColor="background1"/>
                            <w:sz w:val="24"/>
                          </w:rPr>
                          <w:t>27.6</w:t>
                        </w:r>
                        <w:r w:rsidRPr="00D8391B">
                          <w:rPr>
                            <w:b/>
                            <w:color w:val="FFFFFF" w:themeColor="background1"/>
                            <w:sz w:val="24"/>
                          </w:rPr>
                          <w:t>b</w:t>
                        </w:r>
                      </w:p>
                      <w:p w14:paraId="5D728B9F" w14:textId="77777777" w:rsidR="00C263DE" w:rsidRPr="00D8391B" w:rsidRDefault="00C263DE" w:rsidP="002E494E">
                        <w:pPr>
                          <w:spacing w:after="0"/>
                          <w:jc w:val="center"/>
                          <w:rPr>
                            <w:b/>
                            <w:color w:val="FFFFFF" w:themeColor="background1"/>
                            <w:sz w:val="24"/>
                          </w:rPr>
                        </w:pPr>
                        <w:proofErr w:type="gramStart"/>
                        <w:r w:rsidRPr="00D8391B">
                          <w:rPr>
                            <w:b/>
                            <w:color w:val="FFFFFF" w:themeColor="background1"/>
                            <w:sz w:val="24"/>
                          </w:rPr>
                          <w:t>approved</w:t>
                        </w:r>
                        <w:proofErr w:type="gramEnd"/>
                      </w:p>
                      <w:p w14:paraId="0E634C39" w14:textId="77777777" w:rsidR="00C263DE" w:rsidRPr="001628FF" w:rsidRDefault="00C263DE" w:rsidP="002E494E">
                        <w:pPr>
                          <w:jc w:val="center"/>
                          <w:rPr>
                            <w:sz w:val="24"/>
                          </w:rPr>
                        </w:pPr>
                        <w:proofErr w:type="gramStart"/>
                        <w:r w:rsidRPr="00D8391B">
                          <w:rPr>
                            <w:b/>
                            <w:color w:val="FFFFFF" w:themeColor="background1"/>
                            <w:sz w:val="24"/>
                          </w:rPr>
                          <w:t>investment</w:t>
                        </w:r>
                        <w:proofErr w:type="gramEnd"/>
                      </w:p>
                    </w:txbxContent>
                  </v:textbox>
                </v:shape>
                <w10:wrap type="square"/>
              </v:group>
            </w:pict>
          </mc:Fallback>
        </mc:AlternateContent>
      </w:r>
      <w:r w:rsidR="001F5F6D">
        <w:rPr>
          <w:color w:val="auto"/>
          <w:szCs w:val="24"/>
        </w:rPr>
        <w:t xml:space="preserve">There were 182 approvals </w:t>
      </w:r>
      <w:r w:rsidR="00056259" w:rsidRPr="006A6448">
        <w:rPr>
          <w:color w:val="auto"/>
          <w:szCs w:val="24"/>
        </w:rPr>
        <w:t>given in 2015</w:t>
      </w:r>
      <w:r w:rsidR="008205A1">
        <w:rPr>
          <w:color w:val="auto"/>
          <w:szCs w:val="24"/>
        </w:rPr>
        <w:noBreakHyphen/>
      </w:r>
      <w:r w:rsidR="00056259" w:rsidRPr="006A6448">
        <w:rPr>
          <w:color w:val="auto"/>
          <w:szCs w:val="24"/>
        </w:rPr>
        <w:t>16 for $27.6 billion of proposed investment in the mineral explorati</w:t>
      </w:r>
      <w:r w:rsidR="00BF21C5">
        <w:rPr>
          <w:color w:val="auto"/>
          <w:szCs w:val="24"/>
        </w:rPr>
        <w:t xml:space="preserve">on and development sector. The number and value of approvals was almost unchanged </w:t>
      </w:r>
      <w:r w:rsidR="00BF21C5" w:rsidRPr="00BB0B98">
        <w:t>from</w:t>
      </w:r>
      <w:r w:rsidR="00BB0B98">
        <w:t> </w:t>
      </w:r>
      <w:r w:rsidR="00BF21C5" w:rsidRPr="00BB0B98">
        <w:t>2014</w:t>
      </w:r>
      <w:r w:rsidR="008205A1">
        <w:rPr>
          <w:color w:val="auto"/>
          <w:szCs w:val="24"/>
        </w:rPr>
        <w:noBreakHyphen/>
      </w:r>
      <w:r w:rsidR="00BF21C5">
        <w:rPr>
          <w:color w:val="auto"/>
          <w:szCs w:val="24"/>
        </w:rPr>
        <w:t xml:space="preserve">15. </w:t>
      </w:r>
    </w:p>
    <w:p w14:paraId="3A048D03" w14:textId="29919907" w:rsidR="005D5701" w:rsidRPr="006A6448" w:rsidRDefault="00BD3A88" w:rsidP="006A6448">
      <w:pPr>
        <w:rPr>
          <w:color w:val="auto"/>
          <w:szCs w:val="24"/>
        </w:rPr>
      </w:pPr>
      <w:r>
        <w:rPr>
          <w:color w:val="auto"/>
          <w:szCs w:val="24"/>
        </w:rPr>
        <w:t>The</w:t>
      </w:r>
      <w:r w:rsidR="00461D8C">
        <w:rPr>
          <w:color w:val="auto"/>
          <w:szCs w:val="24"/>
        </w:rPr>
        <w:t xml:space="preserve"> value of approvals for proposed investment in 2015</w:t>
      </w:r>
      <w:r w:rsidR="008205A1">
        <w:rPr>
          <w:color w:val="auto"/>
          <w:szCs w:val="24"/>
        </w:rPr>
        <w:noBreakHyphen/>
      </w:r>
      <w:r w:rsidR="00461D8C">
        <w:rPr>
          <w:color w:val="auto"/>
          <w:szCs w:val="24"/>
        </w:rPr>
        <w:t>16 is inflated by the Australian component of Royal Dutch Shell</w:t>
      </w:r>
      <w:r w:rsidR="008205A1">
        <w:rPr>
          <w:color w:val="auto"/>
          <w:szCs w:val="24"/>
        </w:rPr>
        <w:t>’</w:t>
      </w:r>
      <w:r w:rsidR="00461D8C">
        <w:rPr>
          <w:color w:val="auto"/>
          <w:szCs w:val="24"/>
        </w:rPr>
        <w:t>s takeover of BG Group Plc</w:t>
      </w:r>
      <w:r w:rsidR="00E548AE">
        <w:rPr>
          <w:color w:val="auto"/>
          <w:szCs w:val="24"/>
        </w:rPr>
        <w:t>.</w:t>
      </w:r>
      <w:r w:rsidR="00451533">
        <w:rPr>
          <w:color w:val="auto"/>
          <w:szCs w:val="24"/>
        </w:rPr>
        <w:t xml:space="preserve"> </w:t>
      </w:r>
      <w:r w:rsidR="005D5701">
        <w:rPr>
          <w:color w:val="auto"/>
          <w:szCs w:val="24"/>
        </w:rPr>
        <w:t xml:space="preserve">The decline in </w:t>
      </w:r>
      <w:r w:rsidR="00BC3344">
        <w:rPr>
          <w:color w:val="auto"/>
          <w:szCs w:val="24"/>
        </w:rPr>
        <w:t>applications submitted</w:t>
      </w:r>
      <w:r w:rsidR="001F5F6D">
        <w:rPr>
          <w:color w:val="auto"/>
          <w:szCs w:val="24"/>
        </w:rPr>
        <w:t xml:space="preserve"> since 2012</w:t>
      </w:r>
      <w:r w:rsidR="007B46EF">
        <w:rPr>
          <w:color w:val="auto"/>
          <w:szCs w:val="24"/>
        </w:rPr>
        <w:t xml:space="preserve"> in the mining, </w:t>
      </w:r>
      <w:r w:rsidR="005D5701">
        <w:rPr>
          <w:color w:val="auto"/>
          <w:szCs w:val="24"/>
        </w:rPr>
        <w:t xml:space="preserve">exploration and development sector is consistent with the </w:t>
      </w:r>
      <w:r w:rsidR="00FB39CB">
        <w:rPr>
          <w:color w:val="auto"/>
          <w:szCs w:val="24"/>
        </w:rPr>
        <w:t>broader decline in mining investment in the Australian economy</w:t>
      </w:r>
      <w:r w:rsidR="004B3644">
        <w:rPr>
          <w:color w:val="auto"/>
          <w:szCs w:val="24"/>
        </w:rPr>
        <w:t>.</w:t>
      </w:r>
    </w:p>
    <w:p w14:paraId="014E4C57" w14:textId="50F3AC52" w:rsidR="008B6006" w:rsidRPr="006A6448" w:rsidRDefault="008B6006" w:rsidP="00115593">
      <w:pPr>
        <w:pStyle w:val="TableHeading"/>
      </w:pPr>
      <w:r w:rsidRPr="006A6448">
        <w:t xml:space="preserve">Table </w:t>
      </w:r>
      <w:r w:rsidR="00AF1097">
        <w:t>3</w:t>
      </w:r>
      <w:r w:rsidRPr="006A6448">
        <w:t xml:space="preserve">.6: Mineral exploration and development sector approvals: </w:t>
      </w:r>
      <w:r w:rsidR="00715C4E">
        <w:br/>
      </w:r>
      <w:r w:rsidRPr="006A6448">
        <w:t>201</w:t>
      </w:r>
      <w:r w:rsidR="009B3992" w:rsidRPr="006A6448">
        <w:t>2</w:t>
      </w:r>
      <w:r w:rsidR="008205A1">
        <w:noBreakHyphen/>
      </w:r>
      <w:r w:rsidR="009B3992" w:rsidRPr="006A6448">
        <w:t>13</w:t>
      </w:r>
      <w:r w:rsidRPr="006A6448">
        <w:t xml:space="preserve"> to 201</w:t>
      </w:r>
      <w:r w:rsidR="009B3992" w:rsidRPr="006A6448">
        <w:t>5</w:t>
      </w:r>
      <w:r w:rsidR="008205A1">
        <w:noBreakHyphen/>
      </w:r>
      <w:r w:rsidR="009B3992" w:rsidRPr="006A6448">
        <w:t>16</w:t>
      </w:r>
    </w:p>
    <w:bookmarkStart w:id="40" w:name="_1548074927"/>
    <w:bookmarkEnd w:id="40"/>
    <w:p w14:paraId="32CD6A20" w14:textId="4C3BA786" w:rsidR="00D71441" w:rsidRDefault="0046408E" w:rsidP="00D71441">
      <w:pPr>
        <w:pStyle w:val="TableGraphic"/>
      </w:pPr>
      <w:r>
        <w:object w:dxaOrig="7705" w:dyaOrig="4091" w14:anchorId="27969D6B">
          <v:shape id="_x0000_i1032" type="#_x0000_t75" style="width:385.8pt;height:205.8pt" o:ole="">
            <v:imagedata r:id="rId70" o:title=""/>
          </v:shape>
          <o:OLEObject Type="Link" ProgID="Excel.Sheet.12" ShapeID="_x0000_i1032" DrawAspect="Content" r:id="rId71" UpdateMode="Always">
            <o:LinkType>EnhancedMetaFile</o:LinkType>
            <o:LockedField>false</o:LockedField>
          </o:OLEObject>
        </w:object>
      </w:r>
    </w:p>
    <w:p w14:paraId="4DAE7092" w14:textId="7953634F" w:rsidR="008B6006" w:rsidRPr="008E67A6" w:rsidRDefault="008B6006" w:rsidP="001D790E">
      <w:pPr>
        <w:pStyle w:val="ChartandTableFootnoteAlpha"/>
        <w:numPr>
          <w:ilvl w:val="0"/>
          <w:numId w:val="14"/>
        </w:numPr>
      </w:pPr>
      <w:r w:rsidRPr="008E67A6">
        <w:t>Comprises: exploration and other mining support services; and other non</w:t>
      </w:r>
      <w:r w:rsidR="008205A1">
        <w:noBreakHyphen/>
      </w:r>
      <w:r w:rsidRPr="008E67A6">
        <w:t xml:space="preserve">metallic minerals </w:t>
      </w:r>
      <w:r>
        <w:t xml:space="preserve">mining </w:t>
      </w:r>
      <w:r w:rsidRPr="008E67A6">
        <w:t>and quarrying.</w:t>
      </w:r>
    </w:p>
    <w:p w14:paraId="38216479" w14:textId="77777777" w:rsidR="008B6006" w:rsidRDefault="008B6006" w:rsidP="008B6006">
      <w:pPr>
        <w:pStyle w:val="StyleChartorTableNoteLeft0cmHanging1cm"/>
      </w:pPr>
      <w:r w:rsidRPr="00F96AF7">
        <w:t>Note:</w:t>
      </w:r>
      <w:r w:rsidRPr="00F96AF7">
        <w:tab/>
        <w:t xml:space="preserve">Totals may not add due to rounding. </w:t>
      </w:r>
    </w:p>
    <w:p w14:paraId="48D0E71E" w14:textId="77777777" w:rsidR="00AF1097" w:rsidRDefault="00AF1097">
      <w:pPr>
        <w:spacing w:after="200" w:line="276" w:lineRule="auto"/>
        <w:jc w:val="left"/>
        <w:rPr>
          <w:rFonts w:eastAsiaTheme="majorEastAsia" w:cstheme="majorBidi"/>
          <w:b/>
          <w:bCs/>
          <w:smallCaps/>
          <w:color w:val="4F81BD" w:themeColor="accent1"/>
          <w:sz w:val="24"/>
        </w:rPr>
      </w:pPr>
      <w:r>
        <w:rPr>
          <w:smallCaps/>
          <w:sz w:val="24"/>
        </w:rPr>
        <w:br w:type="page"/>
      </w:r>
    </w:p>
    <w:p w14:paraId="0AED859B" w14:textId="125E5ADF" w:rsidR="008B6006" w:rsidRPr="006A6448" w:rsidRDefault="008B6006" w:rsidP="006A6448">
      <w:pPr>
        <w:pStyle w:val="Heading3"/>
        <w:spacing w:before="240"/>
        <w:rPr>
          <w:rFonts w:asciiTheme="minorHAnsi" w:hAnsiTheme="minorHAnsi"/>
          <w:smallCaps/>
        </w:rPr>
      </w:pPr>
      <w:r w:rsidRPr="006A6448">
        <w:rPr>
          <w:rFonts w:asciiTheme="minorHAnsi" w:hAnsiTheme="minorHAnsi"/>
        </w:rPr>
        <w:lastRenderedPageBreak/>
        <w:t>Services</w:t>
      </w:r>
    </w:p>
    <w:p w14:paraId="552B5171" w14:textId="43BD1E73" w:rsidR="008B6006" w:rsidRPr="006A6448" w:rsidRDefault="005C786A" w:rsidP="00412F56">
      <w:pPr>
        <w:rPr>
          <w:color w:val="auto"/>
          <w:szCs w:val="24"/>
        </w:rPr>
      </w:pPr>
      <w:r w:rsidRPr="006A6448">
        <w:rPr>
          <w:noProof/>
          <w:color w:val="auto"/>
          <w:szCs w:val="24"/>
        </w:rPr>
        <mc:AlternateContent>
          <mc:Choice Requires="wpc">
            <w:drawing>
              <wp:anchor distT="0" distB="0" distL="114300" distR="114300" simplePos="0" relativeHeight="251658260" behindDoc="1" locked="0" layoutInCell="1" allowOverlap="1" wp14:anchorId="774B874F" wp14:editId="29640087">
                <wp:simplePos x="0" y="0"/>
                <wp:positionH relativeFrom="column">
                  <wp:posOffset>24130</wp:posOffset>
                </wp:positionH>
                <wp:positionV relativeFrom="paragraph">
                  <wp:posOffset>70485</wp:posOffset>
                </wp:positionV>
                <wp:extent cx="1190625" cy="947420"/>
                <wp:effectExtent l="0" t="0" r="0" b="5080"/>
                <wp:wrapSquare wrapText="bothSides"/>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Oval 6"/>
                        <wps:cNvSpPr/>
                        <wps:spPr>
                          <a:xfrm>
                            <a:off x="106878" y="0"/>
                            <a:ext cx="938153" cy="911792"/>
                          </a:xfrm>
                          <a:prstGeom prst="ellipse">
                            <a:avLst/>
                          </a:prstGeom>
                          <a:solidFill>
                            <a:schemeClr val="tx2"/>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 y="116958"/>
                            <a:ext cx="1150191" cy="793679"/>
                          </a:xfrm>
                          <a:prstGeom prst="rect">
                            <a:avLst/>
                          </a:prstGeom>
                          <a:noFill/>
                          <a:ln w="6350">
                            <a:noFill/>
                          </a:ln>
                          <a:effectLst/>
                        </wps:spPr>
                        <wps:txbx>
                          <w:txbxContent>
                            <w:p w14:paraId="568DEB60" w14:textId="5261380D" w:rsidR="00C263DE" w:rsidRPr="00D8391B" w:rsidRDefault="00C263DE" w:rsidP="005C786A">
                              <w:pPr>
                                <w:spacing w:after="0"/>
                                <w:jc w:val="center"/>
                                <w:rPr>
                                  <w:b/>
                                  <w:color w:val="FFFFFF" w:themeColor="background1"/>
                                  <w:sz w:val="24"/>
                                </w:rPr>
                              </w:pPr>
                              <w:r w:rsidRPr="00D8391B">
                                <w:rPr>
                                  <w:b/>
                                  <w:color w:val="FFFFFF" w:themeColor="background1"/>
                                  <w:sz w:val="24"/>
                                </w:rPr>
                                <w:t>$</w:t>
                              </w:r>
                              <w:r>
                                <w:rPr>
                                  <w:b/>
                                  <w:color w:val="FFFFFF" w:themeColor="background1"/>
                                  <w:sz w:val="24"/>
                                </w:rPr>
                                <w:t>23.2</w:t>
                              </w:r>
                              <w:r w:rsidRPr="00D8391B">
                                <w:rPr>
                                  <w:b/>
                                  <w:color w:val="FFFFFF" w:themeColor="background1"/>
                                  <w:sz w:val="24"/>
                                </w:rPr>
                                <w:t>b</w:t>
                              </w:r>
                            </w:p>
                            <w:p w14:paraId="1D8BB485" w14:textId="77777777" w:rsidR="00C263DE" w:rsidRPr="00D8391B" w:rsidRDefault="00C263DE" w:rsidP="005C786A">
                              <w:pPr>
                                <w:spacing w:after="0"/>
                                <w:jc w:val="center"/>
                                <w:rPr>
                                  <w:b/>
                                  <w:color w:val="FFFFFF" w:themeColor="background1"/>
                                  <w:sz w:val="24"/>
                                </w:rPr>
                              </w:pPr>
                              <w:proofErr w:type="gramStart"/>
                              <w:r w:rsidRPr="00D8391B">
                                <w:rPr>
                                  <w:b/>
                                  <w:color w:val="FFFFFF" w:themeColor="background1"/>
                                  <w:sz w:val="24"/>
                                </w:rPr>
                                <w:t>approved</w:t>
                              </w:r>
                              <w:proofErr w:type="gramEnd"/>
                            </w:p>
                            <w:p w14:paraId="13990259" w14:textId="77777777" w:rsidR="00C263DE" w:rsidRPr="001628FF" w:rsidRDefault="00C263DE" w:rsidP="005C786A">
                              <w:pPr>
                                <w:jc w:val="center"/>
                                <w:rPr>
                                  <w:sz w:val="24"/>
                                </w:rPr>
                              </w:pPr>
                              <w:proofErr w:type="gramStart"/>
                              <w:r w:rsidRPr="00D8391B">
                                <w:rPr>
                                  <w:b/>
                                  <w:color w:val="FFFFFF" w:themeColor="background1"/>
                                  <w:sz w:val="24"/>
                                </w:rPr>
                                <w:t>investment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7" o:spid="_x0000_s1047" editas="canvas" style="position:absolute;left:0;text-align:left;margin-left:1.9pt;margin-top:5.55pt;width:93.75pt;height:74.6pt;z-index:-251658220" coordsize="11906,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">
                <v:shape id="_x0000_s1048" type="#_x0000_t75" style="position:absolute;width:11906;height:9474;visibility:visible;mso-wrap-style:square">
                  <v:fill o:detectmouseclick="t"/>
                  <v:path o:connecttype="none"/>
                </v:shape>
                <v:oval id="Oval 6" o:spid="_x0000_s1049" style="position:absolute;left:1068;width:9382;height:9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bb0A&#10;AADaAAAADwAAAGRycy9kb3ducmV2LnhtbESPzQrCMBCE74LvEFbwpqmCotUoogjiyb8HWJvtDzab&#10;0sRa394IgsdhZr5hluvWlKKh2hWWFYyGEQjixOqCMwW3634wA+E8ssbSMil4k4P1qttZYqzti8/U&#10;XHwmAoRdjApy76tYSpfkZNANbUUcvNTWBn2QdSZ1ja8AN6UcR9FUGiw4LORY0Tan5HF5GgWnyW70&#10;mB2p5HuxOyDtU3rOU6X6vXazAOGp9f/wr33QCqbwvRJu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Gzkbb0AAADaAAAADwAAAAAAAAAAAAAAAACYAgAAZHJzL2Rvd25yZXYu&#10;eG1sUEsFBgAAAAAEAAQA9QAAAIIDAAAAAA==&#10;" fillcolor="#1f497d [3215]" strokecolor="#1f497d" strokeweight="2pt"/>
                <v:shape id="Text Box 15" o:spid="_x0000_s1050" type="#_x0000_t202" style="position:absolute;top:1169;width:11501;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568DEB60" w14:textId="5261380D" w:rsidR="00C263DE" w:rsidRPr="00D8391B" w:rsidRDefault="00C263DE" w:rsidP="005C786A">
                        <w:pPr>
                          <w:spacing w:after="0"/>
                          <w:jc w:val="center"/>
                          <w:rPr>
                            <w:b/>
                            <w:color w:val="FFFFFF" w:themeColor="background1"/>
                            <w:sz w:val="24"/>
                          </w:rPr>
                        </w:pPr>
                        <w:r w:rsidRPr="00D8391B">
                          <w:rPr>
                            <w:b/>
                            <w:color w:val="FFFFFF" w:themeColor="background1"/>
                            <w:sz w:val="24"/>
                          </w:rPr>
                          <w:t>$</w:t>
                        </w:r>
                        <w:r>
                          <w:rPr>
                            <w:b/>
                            <w:color w:val="FFFFFF" w:themeColor="background1"/>
                            <w:sz w:val="24"/>
                          </w:rPr>
                          <w:t>23.2</w:t>
                        </w:r>
                        <w:r w:rsidRPr="00D8391B">
                          <w:rPr>
                            <w:b/>
                            <w:color w:val="FFFFFF" w:themeColor="background1"/>
                            <w:sz w:val="24"/>
                          </w:rPr>
                          <w:t>b</w:t>
                        </w:r>
                      </w:p>
                      <w:p w14:paraId="1D8BB485" w14:textId="77777777" w:rsidR="00C263DE" w:rsidRPr="00D8391B" w:rsidRDefault="00C263DE" w:rsidP="005C786A">
                        <w:pPr>
                          <w:spacing w:after="0"/>
                          <w:jc w:val="center"/>
                          <w:rPr>
                            <w:b/>
                            <w:color w:val="FFFFFF" w:themeColor="background1"/>
                            <w:sz w:val="24"/>
                          </w:rPr>
                        </w:pPr>
                        <w:proofErr w:type="gramStart"/>
                        <w:r w:rsidRPr="00D8391B">
                          <w:rPr>
                            <w:b/>
                            <w:color w:val="FFFFFF" w:themeColor="background1"/>
                            <w:sz w:val="24"/>
                          </w:rPr>
                          <w:t>approved</w:t>
                        </w:r>
                        <w:proofErr w:type="gramEnd"/>
                      </w:p>
                      <w:p w14:paraId="13990259" w14:textId="77777777" w:rsidR="00C263DE" w:rsidRPr="001628FF" w:rsidRDefault="00C263DE" w:rsidP="005C786A">
                        <w:pPr>
                          <w:jc w:val="center"/>
                          <w:rPr>
                            <w:sz w:val="24"/>
                          </w:rPr>
                        </w:pPr>
                        <w:proofErr w:type="gramStart"/>
                        <w:r w:rsidRPr="00D8391B">
                          <w:rPr>
                            <w:b/>
                            <w:color w:val="FFFFFF" w:themeColor="background1"/>
                            <w:sz w:val="24"/>
                          </w:rPr>
                          <w:t>investment</w:t>
                        </w:r>
                        <w:proofErr w:type="gramEnd"/>
                      </w:p>
                    </w:txbxContent>
                  </v:textbox>
                </v:shape>
                <w10:wrap type="square"/>
              </v:group>
            </w:pict>
          </mc:Fallback>
        </mc:AlternateContent>
      </w:r>
      <w:r w:rsidR="008B6006" w:rsidRPr="006A6448">
        <w:rPr>
          <w:color w:val="auto"/>
          <w:szCs w:val="24"/>
        </w:rPr>
        <w:t>The</w:t>
      </w:r>
      <w:r w:rsidR="00EB7037">
        <w:rPr>
          <w:color w:val="auto"/>
          <w:szCs w:val="24"/>
        </w:rPr>
        <w:t>re were 162</w:t>
      </w:r>
      <w:r w:rsidR="008B6006" w:rsidRPr="006A6448">
        <w:rPr>
          <w:color w:val="auto"/>
          <w:szCs w:val="24"/>
        </w:rPr>
        <w:t xml:space="preserve"> approvals </w:t>
      </w:r>
      <w:r w:rsidR="00771258" w:rsidRPr="006A6448">
        <w:rPr>
          <w:color w:val="auto"/>
          <w:szCs w:val="24"/>
        </w:rPr>
        <w:t xml:space="preserve">for proposed investment in the services sector </w:t>
      </w:r>
      <w:r w:rsidR="00EB7037">
        <w:rPr>
          <w:color w:val="auto"/>
          <w:szCs w:val="24"/>
        </w:rPr>
        <w:t>in 2015</w:t>
      </w:r>
      <w:r w:rsidR="008205A1">
        <w:rPr>
          <w:color w:val="auto"/>
          <w:szCs w:val="24"/>
        </w:rPr>
        <w:noBreakHyphen/>
      </w:r>
      <w:r w:rsidR="00EB7037">
        <w:rPr>
          <w:color w:val="auto"/>
          <w:szCs w:val="24"/>
        </w:rPr>
        <w:t>16, a decline of 70 approvals on the previous year,</w:t>
      </w:r>
      <w:r w:rsidR="007A43D5">
        <w:rPr>
          <w:color w:val="auto"/>
          <w:szCs w:val="24"/>
        </w:rPr>
        <w:t xml:space="preserve"> with a corresponding decrease</w:t>
      </w:r>
      <w:r w:rsidR="008B6006" w:rsidRPr="006A6448">
        <w:rPr>
          <w:color w:val="auto"/>
          <w:szCs w:val="24"/>
        </w:rPr>
        <w:t xml:space="preserve"> </w:t>
      </w:r>
      <w:r w:rsidR="00EB7037">
        <w:rPr>
          <w:color w:val="auto"/>
          <w:szCs w:val="24"/>
        </w:rPr>
        <w:t xml:space="preserve">in value </w:t>
      </w:r>
      <w:r w:rsidR="008B6006" w:rsidRPr="006A6448">
        <w:rPr>
          <w:color w:val="auto"/>
          <w:szCs w:val="24"/>
        </w:rPr>
        <w:t>from $38.8 billion</w:t>
      </w:r>
      <w:r w:rsidR="00EB7037">
        <w:rPr>
          <w:color w:val="auto"/>
          <w:szCs w:val="24"/>
        </w:rPr>
        <w:t xml:space="preserve"> to $23.2 </w:t>
      </w:r>
      <w:r w:rsidR="0063389D" w:rsidRPr="006A6448">
        <w:rPr>
          <w:color w:val="auto"/>
          <w:szCs w:val="24"/>
        </w:rPr>
        <w:t>billion</w:t>
      </w:r>
      <w:r w:rsidR="008B6006" w:rsidRPr="006A6448">
        <w:rPr>
          <w:color w:val="auto"/>
          <w:szCs w:val="24"/>
        </w:rPr>
        <w:t xml:space="preserve">. </w:t>
      </w:r>
      <w:r w:rsidR="00771258" w:rsidRPr="006A6448">
        <w:rPr>
          <w:color w:val="auto"/>
          <w:szCs w:val="24"/>
        </w:rPr>
        <w:t xml:space="preserve">This </w:t>
      </w:r>
      <w:r w:rsidR="001F5F6D">
        <w:rPr>
          <w:color w:val="auto"/>
          <w:szCs w:val="24"/>
        </w:rPr>
        <w:t xml:space="preserve">represents a return to </w:t>
      </w:r>
      <w:r w:rsidR="00771258" w:rsidRPr="006A6448">
        <w:rPr>
          <w:color w:val="auto"/>
          <w:szCs w:val="24"/>
        </w:rPr>
        <w:t>levels of investme</w:t>
      </w:r>
      <w:r w:rsidR="006A6448">
        <w:rPr>
          <w:color w:val="auto"/>
          <w:szCs w:val="24"/>
        </w:rPr>
        <w:t xml:space="preserve">nt </w:t>
      </w:r>
      <w:r w:rsidR="001F5F6D">
        <w:rPr>
          <w:color w:val="auto"/>
          <w:szCs w:val="24"/>
        </w:rPr>
        <w:t xml:space="preserve">last </w:t>
      </w:r>
      <w:r w:rsidR="006A6448">
        <w:rPr>
          <w:color w:val="auto"/>
          <w:szCs w:val="24"/>
        </w:rPr>
        <w:t>seen in 2012</w:t>
      </w:r>
      <w:r w:rsidR="008205A1">
        <w:rPr>
          <w:color w:val="auto"/>
          <w:szCs w:val="24"/>
        </w:rPr>
        <w:noBreakHyphen/>
      </w:r>
      <w:r w:rsidR="00771258" w:rsidRPr="006A6448">
        <w:rPr>
          <w:color w:val="auto"/>
          <w:szCs w:val="24"/>
        </w:rPr>
        <w:t>13.</w:t>
      </w:r>
    </w:p>
    <w:p w14:paraId="708935E2" w14:textId="3138BF72" w:rsidR="0063389D" w:rsidRPr="006A6448" w:rsidRDefault="008B6006" w:rsidP="006A6448">
      <w:pPr>
        <w:rPr>
          <w:color w:val="auto"/>
          <w:szCs w:val="24"/>
        </w:rPr>
      </w:pPr>
      <w:r w:rsidRPr="006A6448">
        <w:rPr>
          <w:color w:val="auto"/>
          <w:szCs w:val="24"/>
        </w:rPr>
        <w:t xml:space="preserve">The services </w:t>
      </w:r>
      <w:r w:rsidR="004F38BC">
        <w:rPr>
          <w:color w:val="auto"/>
          <w:szCs w:val="24"/>
        </w:rPr>
        <w:t xml:space="preserve">sector </w:t>
      </w:r>
      <w:r w:rsidRPr="006A6448">
        <w:rPr>
          <w:color w:val="auto"/>
          <w:szCs w:val="24"/>
        </w:rPr>
        <w:t xml:space="preserve">approval data </w:t>
      </w:r>
      <w:r w:rsidR="007A43D5">
        <w:rPr>
          <w:color w:val="auto"/>
          <w:szCs w:val="24"/>
        </w:rPr>
        <w:t>is typically</w:t>
      </w:r>
      <w:r w:rsidRPr="006A6448">
        <w:rPr>
          <w:color w:val="auto"/>
          <w:szCs w:val="24"/>
        </w:rPr>
        <w:t xml:space="preserve"> affected by large </w:t>
      </w:r>
      <w:r w:rsidR="004F38BC">
        <w:rPr>
          <w:color w:val="auto"/>
          <w:szCs w:val="24"/>
        </w:rPr>
        <w:t>one</w:t>
      </w:r>
      <w:r w:rsidR="008205A1">
        <w:rPr>
          <w:color w:val="auto"/>
          <w:szCs w:val="24"/>
        </w:rPr>
        <w:noBreakHyphen/>
      </w:r>
      <w:r w:rsidR="007A43D5">
        <w:rPr>
          <w:color w:val="auto"/>
          <w:szCs w:val="24"/>
        </w:rPr>
        <w:t>off transactions</w:t>
      </w:r>
      <w:r w:rsidR="00E07A9E">
        <w:rPr>
          <w:color w:val="auto"/>
          <w:szCs w:val="24"/>
        </w:rPr>
        <w:t>.</w:t>
      </w:r>
      <w:r w:rsidRPr="006A6448">
        <w:rPr>
          <w:color w:val="auto"/>
          <w:szCs w:val="24"/>
        </w:rPr>
        <w:t xml:space="preserve"> </w:t>
      </w:r>
      <w:r w:rsidR="00BD52DC" w:rsidRPr="006A6448">
        <w:rPr>
          <w:color w:val="auto"/>
          <w:szCs w:val="24"/>
        </w:rPr>
        <w:t xml:space="preserve">For example, in </w:t>
      </w:r>
      <w:r w:rsidR="0063389D" w:rsidRPr="006A6448">
        <w:rPr>
          <w:color w:val="auto"/>
          <w:szCs w:val="24"/>
        </w:rPr>
        <w:t>2014</w:t>
      </w:r>
      <w:r w:rsidR="008205A1">
        <w:rPr>
          <w:color w:val="auto"/>
          <w:szCs w:val="24"/>
        </w:rPr>
        <w:noBreakHyphen/>
      </w:r>
      <w:r w:rsidR="0063389D" w:rsidRPr="006A6448">
        <w:rPr>
          <w:color w:val="auto"/>
          <w:szCs w:val="24"/>
        </w:rPr>
        <w:t>15</w:t>
      </w:r>
      <w:r w:rsidR="00BD52DC" w:rsidRPr="006A6448">
        <w:rPr>
          <w:color w:val="auto"/>
          <w:szCs w:val="24"/>
        </w:rPr>
        <w:t xml:space="preserve"> approval was given for the acquisition of Toll Holdings by Japan Post (transport)</w:t>
      </w:r>
      <w:r w:rsidR="00461D8C">
        <w:rPr>
          <w:color w:val="auto"/>
          <w:szCs w:val="24"/>
        </w:rPr>
        <w:t>,</w:t>
      </w:r>
      <w:r w:rsidR="005D5701">
        <w:rPr>
          <w:color w:val="auto"/>
          <w:szCs w:val="24"/>
        </w:rPr>
        <w:t xml:space="preserve"> a large one</w:t>
      </w:r>
      <w:r w:rsidR="008205A1">
        <w:rPr>
          <w:color w:val="auto"/>
          <w:szCs w:val="24"/>
        </w:rPr>
        <w:noBreakHyphen/>
      </w:r>
      <w:r w:rsidR="005D5701">
        <w:rPr>
          <w:color w:val="auto"/>
          <w:szCs w:val="24"/>
        </w:rPr>
        <w:t>off transaction</w:t>
      </w:r>
      <w:r w:rsidR="00EB7037">
        <w:rPr>
          <w:color w:val="auto"/>
          <w:szCs w:val="24"/>
        </w:rPr>
        <w:t xml:space="preserve"> which partly explains the lower value of approvals for proposed investment in the transport sub</w:t>
      </w:r>
      <w:r w:rsidR="008205A1">
        <w:rPr>
          <w:color w:val="auto"/>
          <w:szCs w:val="24"/>
        </w:rPr>
        <w:noBreakHyphen/>
      </w:r>
      <w:r w:rsidR="00EB7037">
        <w:rPr>
          <w:color w:val="auto"/>
          <w:szCs w:val="24"/>
        </w:rPr>
        <w:t>sector in 2015</w:t>
      </w:r>
      <w:r w:rsidR="008205A1">
        <w:rPr>
          <w:color w:val="auto"/>
          <w:szCs w:val="24"/>
        </w:rPr>
        <w:noBreakHyphen/>
      </w:r>
      <w:r w:rsidR="00EB7037">
        <w:rPr>
          <w:color w:val="auto"/>
          <w:szCs w:val="24"/>
        </w:rPr>
        <w:t>16</w:t>
      </w:r>
      <w:r w:rsidR="005D5701">
        <w:rPr>
          <w:color w:val="auto"/>
          <w:szCs w:val="24"/>
        </w:rPr>
        <w:t>.</w:t>
      </w:r>
      <w:r w:rsidR="00EB7037">
        <w:rPr>
          <w:color w:val="auto"/>
          <w:szCs w:val="24"/>
        </w:rPr>
        <w:t xml:space="preserve"> There was also a large one</w:t>
      </w:r>
      <w:r w:rsidR="008205A1">
        <w:rPr>
          <w:color w:val="auto"/>
          <w:szCs w:val="24"/>
        </w:rPr>
        <w:noBreakHyphen/>
      </w:r>
      <w:r w:rsidR="00EB7037">
        <w:rPr>
          <w:color w:val="auto"/>
          <w:szCs w:val="24"/>
        </w:rPr>
        <w:t>off transaction in the construction sub</w:t>
      </w:r>
      <w:r w:rsidR="008205A1">
        <w:rPr>
          <w:color w:val="auto"/>
          <w:szCs w:val="24"/>
        </w:rPr>
        <w:noBreakHyphen/>
      </w:r>
      <w:r w:rsidR="00EB7037">
        <w:rPr>
          <w:color w:val="auto"/>
          <w:szCs w:val="24"/>
        </w:rPr>
        <w:t>sector in 2014</w:t>
      </w:r>
      <w:r w:rsidR="008205A1">
        <w:rPr>
          <w:color w:val="auto"/>
          <w:szCs w:val="24"/>
        </w:rPr>
        <w:noBreakHyphen/>
      </w:r>
      <w:r w:rsidR="00EB7037">
        <w:rPr>
          <w:color w:val="auto"/>
          <w:szCs w:val="24"/>
        </w:rPr>
        <w:t>15 which is reflected in the significantly higher value of approvals in that year. 2014</w:t>
      </w:r>
      <w:r w:rsidR="008205A1">
        <w:rPr>
          <w:color w:val="auto"/>
          <w:szCs w:val="24"/>
        </w:rPr>
        <w:noBreakHyphen/>
      </w:r>
      <w:r w:rsidR="00EB7037">
        <w:rPr>
          <w:color w:val="auto"/>
          <w:szCs w:val="24"/>
        </w:rPr>
        <w:t xml:space="preserve">15 was also marked by a large number of approvals for proposed investment in hotels, </w:t>
      </w:r>
      <w:r w:rsidR="00451533">
        <w:rPr>
          <w:color w:val="auto"/>
          <w:szCs w:val="24"/>
        </w:rPr>
        <w:t xml:space="preserve">as </w:t>
      </w:r>
      <w:r w:rsidR="00EB7037">
        <w:rPr>
          <w:color w:val="auto"/>
          <w:szCs w:val="24"/>
        </w:rPr>
        <w:t>reflected in the accommodation, food and beverage sub</w:t>
      </w:r>
      <w:r w:rsidR="008205A1">
        <w:rPr>
          <w:color w:val="auto"/>
          <w:szCs w:val="24"/>
        </w:rPr>
        <w:noBreakHyphen/>
      </w:r>
      <w:r w:rsidR="00EB7037">
        <w:rPr>
          <w:color w:val="auto"/>
          <w:szCs w:val="24"/>
        </w:rPr>
        <w:t>sector</w:t>
      </w:r>
      <w:r w:rsidR="00451533">
        <w:rPr>
          <w:color w:val="auto"/>
          <w:szCs w:val="24"/>
        </w:rPr>
        <w:t xml:space="preserve"> data</w:t>
      </w:r>
      <w:r w:rsidR="00EB7037">
        <w:rPr>
          <w:color w:val="auto"/>
          <w:szCs w:val="24"/>
        </w:rPr>
        <w:t>. The lower number of approvals in 2015</w:t>
      </w:r>
      <w:r w:rsidR="008205A1">
        <w:rPr>
          <w:color w:val="auto"/>
          <w:szCs w:val="24"/>
        </w:rPr>
        <w:noBreakHyphen/>
      </w:r>
      <w:r w:rsidR="00EB7037">
        <w:rPr>
          <w:color w:val="auto"/>
          <w:szCs w:val="24"/>
        </w:rPr>
        <w:t xml:space="preserve">16 may not </w:t>
      </w:r>
      <w:r w:rsidR="00156E8D">
        <w:rPr>
          <w:color w:val="auto"/>
          <w:szCs w:val="24"/>
        </w:rPr>
        <w:t>necessarily</w:t>
      </w:r>
      <w:r w:rsidR="00EB7037">
        <w:rPr>
          <w:color w:val="auto"/>
          <w:szCs w:val="24"/>
        </w:rPr>
        <w:t xml:space="preserve"> reflect a decreasing interest in the hotel sector, but be the result of the higher monetary thresholds for non</w:t>
      </w:r>
      <w:r w:rsidR="008205A1">
        <w:rPr>
          <w:color w:val="auto"/>
          <w:szCs w:val="24"/>
        </w:rPr>
        <w:noBreakHyphen/>
      </w:r>
      <w:r w:rsidR="00EB7037">
        <w:rPr>
          <w:color w:val="auto"/>
          <w:szCs w:val="24"/>
        </w:rPr>
        <w:t>vacant commercial land which have applied since 1 December 2015.</w:t>
      </w:r>
    </w:p>
    <w:p w14:paraId="29973C78" w14:textId="7BC2E26F" w:rsidR="008B6006" w:rsidRPr="006A6448" w:rsidRDefault="008B6006" w:rsidP="00115593">
      <w:pPr>
        <w:pStyle w:val="TableHeading"/>
      </w:pPr>
      <w:r w:rsidRPr="006A6448">
        <w:t xml:space="preserve">Table </w:t>
      </w:r>
      <w:r w:rsidR="00AF1097">
        <w:t>3</w:t>
      </w:r>
      <w:r w:rsidR="000E1685">
        <w:t>.7: Services (excluding t</w:t>
      </w:r>
      <w:r w:rsidRPr="006A6448">
        <w:t>ourism) sector approvals</w:t>
      </w:r>
      <w:r w:rsidR="00156E8D" w:rsidRPr="006A6448">
        <w:t xml:space="preserve">: </w:t>
      </w:r>
      <w:r w:rsidRPr="006A6448">
        <w:br/>
        <w:t>201</w:t>
      </w:r>
      <w:r w:rsidR="00D71441" w:rsidRPr="006A6448">
        <w:t>2</w:t>
      </w:r>
      <w:r w:rsidR="008205A1">
        <w:noBreakHyphen/>
      </w:r>
      <w:r w:rsidR="00D71441" w:rsidRPr="006A6448">
        <w:t>13</w:t>
      </w:r>
      <w:r w:rsidRPr="006A6448">
        <w:t xml:space="preserve"> to 201</w:t>
      </w:r>
      <w:r w:rsidR="00D71441" w:rsidRPr="006A6448">
        <w:t>5</w:t>
      </w:r>
      <w:r w:rsidR="008205A1">
        <w:noBreakHyphen/>
      </w:r>
      <w:r w:rsidR="00D71441" w:rsidRPr="006A6448">
        <w:t>16</w:t>
      </w:r>
    </w:p>
    <w:bookmarkStart w:id="41" w:name="_1548074929"/>
    <w:bookmarkEnd w:id="41"/>
    <w:p w14:paraId="6BD31797" w14:textId="1C27EE71" w:rsidR="00D71441" w:rsidRDefault="0046408E" w:rsidP="00D71441">
      <w:pPr>
        <w:pStyle w:val="TableGraphic"/>
      </w:pPr>
      <w:r>
        <w:object w:dxaOrig="7705" w:dyaOrig="3800" w14:anchorId="42F333E0">
          <v:shape id="_x0000_i1033" type="#_x0000_t75" style="width:385.8pt;height:190.85pt" o:ole="">
            <v:imagedata r:id="rId72" o:title=""/>
          </v:shape>
          <o:OLEObject Type="Link" ProgID="Excel.Sheet.12" ShapeID="_x0000_i1033" DrawAspect="Content" r:id="rId73" UpdateMode="Always">
            <o:LinkType>EnhancedMetaFile</o:LinkType>
            <o:LockedField>false</o:LockedField>
          </o:OLEObject>
        </w:object>
      </w:r>
    </w:p>
    <w:p w14:paraId="16F6EAAE" w14:textId="7139426E" w:rsidR="008B6006" w:rsidRPr="005142B8" w:rsidRDefault="008B6006" w:rsidP="001D790E">
      <w:pPr>
        <w:pStyle w:val="ChartandTableFootnoteAlpha"/>
        <w:numPr>
          <w:ilvl w:val="0"/>
          <w:numId w:val="15"/>
        </w:numPr>
      </w:pPr>
      <w:r w:rsidRPr="008E67A6">
        <w:t>Comprises: accommodation; food and beverage services.</w:t>
      </w:r>
    </w:p>
    <w:p w14:paraId="15F19AE7" w14:textId="0BCCBF19" w:rsidR="00A10950" w:rsidRDefault="00A10950" w:rsidP="001D790E">
      <w:pPr>
        <w:pStyle w:val="ChartandTableFootnoteAlpha"/>
        <w:numPr>
          <w:ilvl w:val="0"/>
          <w:numId w:val="15"/>
        </w:numPr>
      </w:pPr>
      <w:r w:rsidRPr="005142B8">
        <w:t>Comprises: publishing (including internet); motion picture and sound recording activities; broadcasting (including internet); and telecommunication</w:t>
      </w:r>
      <w:r>
        <w:t xml:space="preserve"> services (including internet).</w:t>
      </w:r>
    </w:p>
    <w:p w14:paraId="1995C4CB" w14:textId="77777777" w:rsidR="008B6006" w:rsidRPr="005142B8" w:rsidRDefault="008B6006" w:rsidP="001D790E">
      <w:pPr>
        <w:pStyle w:val="ChartandTableFootnoteAlpha"/>
        <w:numPr>
          <w:ilvl w:val="0"/>
          <w:numId w:val="15"/>
        </w:numPr>
      </w:pPr>
      <w:r w:rsidRPr="005142B8">
        <w:t>Comprises: building construction; heavy and civil engineering construction and services to construction.</w:t>
      </w:r>
    </w:p>
    <w:p w14:paraId="469B8CBF" w14:textId="77777777" w:rsidR="008B6006" w:rsidRPr="005142B8" w:rsidRDefault="008B6006" w:rsidP="001D790E">
      <w:pPr>
        <w:pStyle w:val="ChartandTableFootnoteAlpha"/>
        <w:numPr>
          <w:ilvl w:val="0"/>
          <w:numId w:val="15"/>
        </w:numPr>
      </w:pPr>
      <w:r w:rsidRPr="005142B8">
        <w:t>Comprises: hospitals; medical and other health care services; residential and social assistance services.</w:t>
      </w:r>
    </w:p>
    <w:p w14:paraId="58735C7E" w14:textId="77777777" w:rsidR="008B6006" w:rsidRPr="005142B8" w:rsidRDefault="008B6006" w:rsidP="001D790E">
      <w:pPr>
        <w:pStyle w:val="ChartandTableFootnoteAlpha"/>
        <w:numPr>
          <w:ilvl w:val="0"/>
          <w:numId w:val="15"/>
        </w:numPr>
      </w:pPr>
      <w:r w:rsidRPr="005142B8">
        <w:t>Comprises: property and real estate operators; professional, scientific and technical services; computer system design services; and administrative services.</w:t>
      </w:r>
    </w:p>
    <w:p w14:paraId="5CB03732" w14:textId="77777777" w:rsidR="008B6006" w:rsidRPr="005142B8" w:rsidRDefault="008B6006" w:rsidP="001D790E">
      <w:pPr>
        <w:pStyle w:val="ChartandTableFootnoteAlpha"/>
        <w:numPr>
          <w:ilvl w:val="0"/>
          <w:numId w:val="15"/>
        </w:numPr>
      </w:pPr>
      <w:r w:rsidRPr="005142B8">
        <w:t xml:space="preserve">Comprises: wholesaling of basic material, machinery and equipment, grocery, liquor and tobacco products; and retailing of fuel, food and other store based retailing. </w:t>
      </w:r>
    </w:p>
    <w:p w14:paraId="6F4268CE" w14:textId="77777777" w:rsidR="008B6006" w:rsidRPr="005142B8" w:rsidRDefault="008B6006" w:rsidP="001D790E">
      <w:pPr>
        <w:pStyle w:val="ChartandTableFootnoteAlpha"/>
        <w:numPr>
          <w:ilvl w:val="0"/>
          <w:numId w:val="15"/>
        </w:numPr>
      </w:pPr>
      <w:r w:rsidRPr="005142B8">
        <w:t>Comprises: road, rail, water, air and space, postal and courier (pickup and delivery), warehousing and storage; and transport support services.</w:t>
      </w:r>
    </w:p>
    <w:p w14:paraId="61BB9966" w14:textId="77777777" w:rsidR="008B6006" w:rsidRPr="005142B8" w:rsidRDefault="008B6006" w:rsidP="001D790E">
      <w:pPr>
        <w:pStyle w:val="ChartandTableFootnoteAlpha"/>
        <w:numPr>
          <w:ilvl w:val="0"/>
          <w:numId w:val="15"/>
        </w:numPr>
      </w:pPr>
      <w:r w:rsidRPr="005142B8">
        <w:t>Comprises: repair and maintenance; public administration; defence; and education related services.</w:t>
      </w:r>
    </w:p>
    <w:p w14:paraId="08E6AD80" w14:textId="6C215851" w:rsidR="008B6006" w:rsidRPr="00F96AF7" w:rsidRDefault="008B6006" w:rsidP="00EB7037">
      <w:pPr>
        <w:pStyle w:val="StyleChartorTableNoteLeft0cmHanging1cm"/>
      </w:pPr>
      <w:r w:rsidRPr="002961AE">
        <w:t>Note:</w:t>
      </w:r>
      <w:r w:rsidRPr="002961AE">
        <w:tab/>
        <w:t>Totals may not add due to rounding.</w:t>
      </w:r>
    </w:p>
    <w:p w14:paraId="477A37A9" w14:textId="724E7E63" w:rsidR="008B6006" w:rsidRPr="006A6448" w:rsidRDefault="008B6006" w:rsidP="006A6448">
      <w:pPr>
        <w:pStyle w:val="Heading3"/>
        <w:spacing w:before="240"/>
        <w:rPr>
          <w:rFonts w:asciiTheme="minorHAnsi" w:hAnsiTheme="minorHAnsi"/>
          <w:smallCaps/>
        </w:rPr>
      </w:pPr>
      <w:bookmarkStart w:id="42" w:name="_Ref348507478"/>
      <w:r w:rsidRPr="006A6448">
        <w:rPr>
          <w:rFonts w:asciiTheme="minorHAnsi" w:hAnsiTheme="minorHAnsi"/>
        </w:rPr>
        <w:lastRenderedPageBreak/>
        <w:t>Real estate</w:t>
      </w:r>
      <w:bookmarkEnd w:id="42"/>
    </w:p>
    <w:p w14:paraId="03D0C761" w14:textId="668C9EF8" w:rsidR="008B6006" w:rsidRPr="006A6448" w:rsidRDefault="005F2554" w:rsidP="006A6448">
      <w:pPr>
        <w:rPr>
          <w:color w:val="auto"/>
          <w:szCs w:val="24"/>
        </w:rPr>
      </w:pPr>
      <w:r w:rsidRPr="00907C17">
        <w:rPr>
          <w:noProof/>
          <w:color w:val="auto"/>
          <w:szCs w:val="24"/>
        </w:rPr>
        <mc:AlternateContent>
          <mc:Choice Requires="wpc">
            <w:drawing>
              <wp:anchor distT="0" distB="0" distL="114300" distR="114300" simplePos="0" relativeHeight="251658261" behindDoc="1" locked="0" layoutInCell="1" allowOverlap="1" wp14:anchorId="27BA0B1C" wp14:editId="73DA1EAF">
                <wp:simplePos x="0" y="0"/>
                <wp:positionH relativeFrom="column">
                  <wp:posOffset>-130810</wp:posOffset>
                </wp:positionH>
                <wp:positionV relativeFrom="paragraph">
                  <wp:posOffset>62230</wp:posOffset>
                </wp:positionV>
                <wp:extent cx="1190625" cy="947420"/>
                <wp:effectExtent l="0" t="0" r="0" b="5080"/>
                <wp:wrapSquare wrapText="bothSides"/>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Oval 35"/>
                        <wps:cNvSpPr/>
                        <wps:spPr>
                          <a:xfrm>
                            <a:off x="106878" y="0"/>
                            <a:ext cx="938153" cy="911792"/>
                          </a:xfrm>
                          <a:prstGeom prst="ellipse">
                            <a:avLst/>
                          </a:prstGeom>
                          <a:solidFill>
                            <a:schemeClr val="tx2"/>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1" y="116958"/>
                            <a:ext cx="1150191" cy="793679"/>
                          </a:xfrm>
                          <a:prstGeom prst="rect">
                            <a:avLst/>
                          </a:prstGeom>
                          <a:noFill/>
                          <a:ln w="6350">
                            <a:noFill/>
                          </a:ln>
                          <a:effectLst/>
                        </wps:spPr>
                        <wps:txbx>
                          <w:txbxContent>
                            <w:p w14:paraId="79541C0C" w14:textId="28CCA7BB" w:rsidR="00C263DE" w:rsidRPr="00D8391B" w:rsidRDefault="00C263DE" w:rsidP="005F2554">
                              <w:pPr>
                                <w:spacing w:after="0"/>
                                <w:jc w:val="center"/>
                                <w:rPr>
                                  <w:b/>
                                  <w:color w:val="FFFFFF" w:themeColor="background1"/>
                                  <w:sz w:val="24"/>
                                </w:rPr>
                              </w:pPr>
                              <w:r w:rsidRPr="00D8391B">
                                <w:rPr>
                                  <w:b/>
                                  <w:color w:val="FFFFFF" w:themeColor="background1"/>
                                  <w:sz w:val="24"/>
                                </w:rPr>
                                <w:t>$12</w:t>
                              </w:r>
                              <w:r>
                                <w:rPr>
                                  <w:b/>
                                  <w:color w:val="FFFFFF" w:themeColor="background1"/>
                                  <w:sz w:val="24"/>
                                </w:rPr>
                                <w:t>2</w:t>
                              </w:r>
                              <w:r w:rsidRPr="00D8391B">
                                <w:rPr>
                                  <w:b/>
                                  <w:color w:val="FFFFFF" w:themeColor="background1"/>
                                  <w:sz w:val="24"/>
                                </w:rPr>
                                <w:t>.</w:t>
                              </w:r>
                              <w:r>
                                <w:rPr>
                                  <w:b/>
                                  <w:color w:val="FFFFFF" w:themeColor="background1"/>
                                  <w:sz w:val="24"/>
                                </w:rPr>
                                <w:t>1</w:t>
                              </w:r>
                              <w:r w:rsidRPr="00D8391B">
                                <w:rPr>
                                  <w:b/>
                                  <w:color w:val="FFFFFF" w:themeColor="background1"/>
                                  <w:sz w:val="24"/>
                                </w:rPr>
                                <w:t>b</w:t>
                              </w:r>
                            </w:p>
                            <w:p w14:paraId="2AC4E47C" w14:textId="4CE661A0" w:rsidR="00C263DE" w:rsidRPr="00D8391B" w:rsidRDefault="00C263DE" w:rsidP="005F2554">
                              <w:pPr>
                                <w:spacing w:after="0"/>
                                <w:jc w:val="center"/>
                                <w:rPr>
                                  <w:b/>
                                  <w:color w:val="FFFFFF" w:themeColor="background1"/>
                                  <w:sz w:val="24"/>
                                </w:rPr>
                              </w:pPr>
                              <w:proofErr w:type="gramStart"/>
                              <w:r w:rsidRPr="00D8391B">
                                <w:rPr>
                                  <w:b/>
                                  <w:color w:val="FFFFFF" w:themeColor="background1"/>
                                  <w:sz w:val="24"/>
                                </w:rPr>
                                <w:t>approved</w:t>
                              </w:r>
                              <w:proofErr w:type="gramEnd"/>
                            </w:p>
                            <w:p w14:paraId="51D05A5C" w14:textId="4B403258" w:rsidR="00C263DE" w:rsidRPr="001628FF" w:rsidRDefault="00C263DE" w:rsidP="005F2554">
                              <w:pPr>
                                <w:jc w:val="center"/>
                                <w:rPr>
                                  <w:sz w:val="24"/>
                                </w:rPr>
                              </w:pPr>
                              <w:proofErr w:type="gramStart"/>
                              <w:r w:rsidRPr="00D8391B">
                                <w:rPr>
                                  <w:b/>
                                  <w:color w:val="FFFFFF" w:themeColor="background1"/>
                                  <w:sz w:val="24"/>
                                </w:rPr>
                                <w:t>investment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37" o:spid="_x0000_s1051" editas="canvas" style="position:absolute;left:0;text-align:left;margin-left:-10.3pt;margin-top:4.9pt;width:93.75pt;height:74.6pt;z-index:-251658219" coordsize="11906,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">
                <v:shape id="_x0000_s1052" type="#_x0000_t75" style="position:absolute;width:11906;height:9474;visibility:visible;mso-wrap-style:square">
                  <v:fill o:detectmouseclick="t"/>
                  <v:path o:connecttype="none"/>
                </v:shape>
                <v:oval id="Oval 35" o:spid="_x0000_s1053" style="position:absolute;left:1068;width:9382;height:9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YL74A&#10;AADbAAAADwAAAGRycy9kb3ducmV2LnhtbESPzQrCMBCE74LvEFbwpqmKotUoogjiyb8HWJvtDzab&#10;0kStb28EweMwM98wi1VjSvGk2hWWFQz6EQjixOqCMwXXy643BeE8ssbSMil4k4PVst1aYKzti0/0&#10;PPtMBAi7GBXk3lexlC7JyaDr24o4eKmtDfog60zqGl8Bbko5jKKJNFhwWMixok1Oyf38MAqO4+3g&#10;Pj1Qybdiu0fapfSYpUp1O816DsJT4//hX3uvFYzG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A2C++AAAA2wAAAA8AAAAAAAAAAAAAAAAAmAIAAGRycy9kb3ducmV2&#10;LnhtbFBLBQYAAAAABAAEAPUAAACDAwAAAAA=&#10;" fillcolor="#1f497d [3215]" strokecolor="#1f497d" strokeweight="2pt"/>
                <v:shape id="Text Box 36" o:spid="_x0000_s1054" type="#_x0000_t202" style="position:absolute;top:1169;width:11501;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79541C0C" w14:textId="28CCA7BB" w:rsidR="00C263DE" w:rsidRPr="00D8391B" w:rsidRDefault="00C263DE" w:rsidP="005F2554">
                        <w:pPr>
                          <w:spacing w:after="0"/>
                          <w:jc w:val="center"/>
                          <w:rPr>
                            <w:b/>
                            <w:color w:val="FFFFFF" w:themeColor="background1"/>
                            <w:sz w:val="24"/>
                          </w:rPr>
                        </w:pPr>
                        <w:r w:rsidRPr="00D8391B">
                          <w:rPr>
                            <w:b/>
                            <w:color w:val="FFFFFF" w:themeColor="background1"/>
                            <w:sz w:val="24"/>
                          </w:rPr>
                          <w:t>$12</w:t>
                        </w:r>
                        <w:r>
                          <w:rPr>
                            <w:b/>
                            <w:color w:val="FFFFFF" w:themeColor="background1"/>
                            <w:sz w:val="24"/>
                          </w:rPr>
                          <w:t>2</w:t>
                        </w:r>
                        <w:r w:rsidRPr="00D8391B">
                          <w:rPr>
                            <w:b/>
                            <w:color w:val="FFFFFF" w:themeColor="background1"/>
                            <w:sz w:val="24"/>
                          </w:rPr>
                          <w:t>.</w:t>
                        </w:r>
                        <w:r>
                          <w:rPr>
                            <w:b/>
                            <w:color w:val="FFFFFF" w:themeColor="background1"/>
                            <w:sz w:val="24"/>
                          </w:rPr>
                          <w:t>1</w:t>
                        </w:r>
                        <w:r w:rsidRPr="00D8391B">
                          <w:rPr>
                            <w:b/>
                            <w:color w:val="FFFFFF" w:themeColor="background1"/>
                            <w:sz w:val="24"/>
                          </w:rPr>
                          <w:t>b</w:t>
                        </w:r>
                      </w:p>
                      <w:p w14:paraId="2AC4E47C" w14:textId="4CE661A0" w:rsidR="00C263DE" w:rsidRPr="00D8391B" w:rsidRDefault="00C263DE" w:rsidP="005F2554">
                        <w:pPr>
                          <w:spacing w:after="0"/>
                          <w:jc w:val="center"/>
                          <w:rPr>
                            <w:b/>
                            <w:color w:val="FFFFFF" w:themeColor="background1"/>
                            <w:sz w:val="24"/>
                          </w:rPr>
                        </w:pPr>
                        <w:proofErr w:type="gramStart"/>
                        <w:r w:rsidRPr="00D8391B">
                          <w:rPr>
                            <w:b/>
                            <w:color w:val="FFFFFF" w:themeColor="background1"/>
                            <w:sz w:val="24"/>
                          </w:rPr>
                          <w:t>approved</w:t>
                        </w:r>
                        <w:proofErr w:type="gramEnd"/>
                      </w:p>
                      <w:p w14:paraId="51D05A5C" w14:textId="4B403258" w:rsidR="00C263DE" w:rsidRPr="001628FF" w:rsidRDefault="00C263DE" w:rsidP="005F2554">
                        <w:pPr>
                          <w:jc w:val="center"/>
                          <w:rPr>
                            <w:sz w:val="24"/>
                          </w:rPr>
                        </w:pPr>
                        <w:proofErr w:type="gramStart"/>
                        <w:r w:rsidRPr="00D8391B">
                          <w:rPr>
                            <w:b/>
                            <w:color w:val="FFFFFF" w:themeColor="background1"/>
                            <w:sz w:val="24"/>
                          </w:rPr>
                          <w:t>investment</w:t>
                        </w:r>
                        <w:proofErr w:type="gramEnd"/>
                      </w:p>
                    </w:txbxContent>
                  </v:textbox>
                </v:shape>
                <w10:wrap type="square"/>
              </v:group>
            </w:pict>
          </mc:Fallback>
        </mc:AlternateContent>
      </w:r>
      <w:r w:rsidR="008467DC">
        <w:rPr>
          <w:color w:val="auto"/>
          <w:szCs w:val="24"/>
        </w:rPr>
        <w:t xml:space="preserve">There were </w:t>
      </w:r>
      <w:r w:rsidR="00264D2B" w:rsidRPr="00907C17">
        <w:rPr>
          <w:color w:val="auto"/>
          <w:szCs w:val="24"/>
        </w:rPr>
        <w:t>40,7</w:t>
      </w:r>
      <w:r w:rsidR="00907C17" w:rsidRPr="00907C17">
        <w:rPr>
          <w:color w:val="auto"/>
          <w:szCs w:val="24"/>
        </w:rPr>
        <w:t>55</w:t>
      </w:r>
      <w:r w:rsidR="00E50C49" w:rsidRPr="006A6448">
        <w:rPr>
          <w:color w:val="auto"/>
          <w:szCs w:val="24"/>
        </w:rPr>
        <w:t xml:space="preserve"> applications a</w:t>
      </w:r>
      <w:r w:rsidR="008B6006" w:rsidRPr="006A6448">
        <w:rPr>
          <w:color w:val="auto"/>
          <w:szCs w:val="24"/>
        </w:rPr>
        <w:t xml:space="preserve">pproved </w:t>
      </w:r>
      <w:r w:rsidR="00E50C49" w:rsidRPr="006A6448">
        <w:rPr>
          <w:color w:val="auto"/>
          <w:szCs w:val="24"/>
        </w:rPr>
        <w:t xml:space="preserve">for proposed </w:t>
      </w:r>
      <w:r w:rsidR="008B6006" w:rsidRPr="006A6448">
        <w:rPr>
          <w:color w:val="auto"/>
          <w:szCs w:val="24"/>
        </w:rPr>
        <w:t xml:space="preserve">investment in real estate (comprising commercial and residential proposals) </w:t>
      </w:r>
      <w:r w:rsidR="004448A1">
        <w:rPr>
          <w:color w:val="auto"/>
          <w:szCs w:val="24"/>
        </w:rPr>
        <w:t>with a total value of</w:t>
      </w:r>
      <w:r w:rsidR="008B6006" w:rsidRPr="006A6448">
        <w:rPr>
          <w:color w:val="auto"/>
          <w:szCs w:val="24"/>
        </w:rPr>
        <w:t xml:space="preserve"> $</w:t>
      </w:r>
      <w:r w:rsidR="00264D2B" w:rsidRPr="006A6448">
        <w:rPr>
          <w:color w:val="auto"/>
          <w:szCs w:val="24"/>
        </w:rPr>
        <w:t>12</w:t>
      </w:r>
      <w:r w:rsidR="00CA5B4E">
        <w:rPr>
          <w:color w:val="auto"/>
          <w:szCs w:val="24"/>
        </w:rPr>
        <w:t>2</w:t>
      </w:r>
      <w:r w:rsidR="00264D2B" w:rsidRPr="006A6448">
        <w:rPr>
          <w:color w:val="auto"/>
          <w:szCs w:val="24"/>
        </w:rPr>
        <w:t>.</w:t>
      </w:r>
      <w:r w:rsidR="00CA5B4E">
        <w:rPr>
          <w:color w:val="auto"/>
          <w:szCs w:val="24"/>
        </w:rPr>
        <w:t>1</w:t>
      </w:r>
      <w:r w:rsidR="006A6448">
        <w:rPr>
          <w:color w:val="auto"/>
          <w:szCs w:val="24"/>
        </w:rPr>
        <w:t> </w:t>
      </w:r>
      <w:r w:rsidR="008B6006" w:rsidRPr="006A6448">
        <w:rPr>
          <w:color w:val="auto"/>
          <w:szCs w:val="24"/>
        </w:rPr>
        <w:t>billion in 201</w:t>
      </w:r>
      <w:r w:rsidRPr="006A6448">
        <w:rPr>
          <w:color w:val="auto"/>
          <w:szCs w:val="24"/>
        </w:rPr>
        <w:t>5</w:t>
      </w:r>
      <w:r w:rsidR="008205A1">
        <w:rPr>
          <w:color w:val="auto"/>
          <w:szCs w:val="24"/>
        </w:rPr>
        <w:noBreakHyphen/>
      </w:r>
      <w:r w:rsidR="008B6006" w:rsidRPr="006A6448">
        <w:rPr>
          <w:color w:val="auto"/>
          <w:szCs w:val="24"/>
        </w:rPr>
        <w:t>1</w:t>
      </w:r>
      <w:r w:rsidRPr="006A6448">
        <w:rPr>
          <w:color w:val="auto"/>
          <w:szCs w:val="24"/>
        </w:rPr>
        <w:t>6</w:t>
      </w:r>
      <w:r w:rsidR="008B6006" w:rsidRPr="006A6448">
        <w:rPr>
          <w:color w:val="auto"/>
          <w:szCs w:val="24"/>
        </w:rPr>
        <w:t xml:space="preserve">. </w:t>
      </w:r>
      <w:r w:rsidR="00CA5B4E">
        <w:rPr>
          <w:color w:val="auto"/>
          <w:szCs w:val="24"/>
        </w:rPr>
        <w:t xml:space="preserve">This is </w:t>
      </w:r>
      <w:r w:rsidR="00907C17">
        <w:rPr>
          <w:color w:val="auto"/>
          <w:szCs w:val="24"/>
        </w:rPr>
        <w:t xml:space="preserve">an </w:t>
      </w:r>
      <w:r w:rsidR="00264D2B" w:rsidRPr="006A6448">
        <w:rPr>
          <w:color w:val="auto"/>
          <w:szCs w:val="24"/>
        </w:rPr>
        <w:t xml:space="preserve">increase </w:t>
      </w:r>
      <w:r w:rsidR="00DA62D0">
        <w:rPr>
          <w:color w:val="auto"/>
          <w:szCs w:val="24"/>
        </w:rPr>
        <w:t xml:space="preserve">of </w:t>
      </w:r>
      <w:r w:rsidR="005A38D6">
        <w:rPr>
          <w:color w:val="auto"/>
          <w:szCs w:val="24"/>
        </w:rPr>
        <w:t>around</w:t>
      </w:r>
      <w:r w:rsidR="00DA62D0">
        <w:rPr>
          <w:color w:val="auto"/>
          <w:szCs w:val="24"/>
        </w:rPr>
        <w:t xml:space="preserve"> 25 </w:t>
      </w:r>
      <w:r w:rsidR="00907C17">
        <w:rPr>
          <w:color w:val="auto"/>
          <w:szCs w:val="24"/>
        </w:rPr>
        <w:t>per</w:t>
      </w:r>
      <w:r w:rsidR="00DA62D0">
        <w:rPr>
          <w:color w:val="auto"/>
          <w:szCs w:val="24"/>
        </w:rPr>
        <w:t> </w:t>
      </w:r>
      <w:r w:rsidR="00907C17">
        <w:rPr>
          <w:color w:val="auto"/>
          <w:szCs w:val="24"/>
        </w:rPr>
        <w:t xml:space="preserve">cent </w:t>
      </w:r>
      <w:r w:rsidR="00264D2B" w:rsidRPr="006A6448">
        <w:rPr>
          <w:color w:val="auto"/>
          <w:szCs w:val="24"/>
        </w:rPr>
        <w:t>in the value of real estate approvals for the second year in a row</w:t>
      </w:r>
      <w:r w:rsidR="00DA62D0">
        <w:rPr>
          <w:color w:val="auto"/>
          <w:szCs w:val="24"/>
        </w:rPr>
        <w:t xml:space="preserve">. Unlike earlier years where growth in the value of approvals was a result of applications in the </w:t>
      </w:r>
      <w:r w:rsidR="00677D3D">
        <w:rPr>
          <w:color w:val="auto"/>
          <w:szCs w:val="24"/>
        </w:rPr>
        <w:t xml:space="preserve">residential </w:t>
      </w:r>
      <w:r w:rsidR="00DA62D0">
        <w:rPr>
          <w:color w:val="auto"/>
          <w:szCs w:val="24"/>
        </w:rPr>
        <w:t>real estate sector, growth in the value of applications in real estate in 2015</w:t>
      </w:r>
      <w:r w:rsidR="008205A1">
        <w:rPr>
          <w:color w:val="auto"/>
          <w:szCs w:val="24"/>
        </w:rPr>
        <w:noBreakHyphen/>
      </w:r>
      <w:r w:rsidR="00DA62D0">
        <w:rPr>
          <w:color w:val="auto"/>
          <w:szCs w:val="24"/>
        </w:rPr>
        <w:t xml:space="preserve">16 was driven by high value approvals in the commercial real estate sector. </w:t>
      </w:r>
    </w:p>
    <w:p w14:paraId="5F12C69D" w14:textId="51C472AD" w:rsidR="00971B0A" w:rsidRDefault="00971B0A">
      <w:pPr>
        <w:spacing w:after="200" w:line="276" w:lineRule="auto"/>
        <w:jc w:val="left"/>
        <w:rPr>
          <w:rFonts w:asciiTheme="majorHAnsi" w:eastAsiaTheme="majorEastAsia" w:hAnsiTheme="majorHAnsi" w:cstheme="majorBidi"/>
          <w:b/>
          <w:bCs/>
          <w:i/>
          <w:iCs/>
          <w:color w:val="4F81BD" w:themeColor="accent1"/>
        </w:rPr>
      </w:pPr>
    </w:p>
    <w:p w14:paraId="2EEAF478" w14:textId="68AE616E" w:rsidR="00971B0A" w:rsidRPr="006A6448" w:rsidRDefault="00971B0A" w:rsidP="00115593">
      <w:pPr>
        <w:pStyle w:val="Heading3"/>
        <w:rPr>
          <w:smallCaps/>
        </w:rPr>
      </w:pPr>
      <w:r w:rsidRPr="006A6448">
        <w:t xml:space="preserve">Commercial </w:t>
      </w:r>
      <w:r w:rsidRPr="00115593">
        <w:t>real</w:t>
      </w:r>
      <w:r w:rsidRPr="006A6448">
        <w:t xml:space="preserve"> estate</w:t>
      </w:r>
    </w:p>
    <w:p w14:paraId="4ECF8986" w14:textId="2681D271" w:rsidR="00545993" w:rsidRDefault="00BC6163" w:rsidP="00545993">
      <w:pPr>
        <w:rPr>
          <w:color w:val="auto"/>
          <w:szCs w:val="24"/>
        </w:rPr>
      </w:pPr>
      <w:r w:rsidRPr="006A6448">
        <w:rPr>
          <w:noProof/>
          <w:color w:val="auto"/>
          <w:szCs w:val="24"/>
        </w:rPr>
        <mc:AlternateContent>
          <mc:Choice Requires="wpc">
            <w:drawing>
              <wp:anchor distT="0" distB="0" distL="114300" distR="114300" simplePos="0" relativeHeight="251658262" behindDoc="1" locked="0" layoutInCell="1" allowOverlap="1" wp14:anchorId="0D2FC6A5" wp14:editId="7ECCF52B">
                <wp:simplePos x="0" y="0"/>
                <wp:positionH relativeFrom="column">
                  <wp:posOffset>-149860</wp:posOffset>
                </wp:positionH>
                <wp:positionV relativeFrom="paragraph">
                  <wp:posOffset>107315</wp:posOffset>
                </wp:positionV>
                <wp:extent cx="1190625" cy="947420"/>
                <wp:effectExtent l="0" t="0" r="0" b="5080"/>
                <wp:wrapSquare wrapText="bothSides"/>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Oval 55"/>
                        <wps:cNvSpPr/>
                        <wps:spPr>
                          <a:xfrm>
                            <a:off x="106878" y="0"/>
                            <a:ext cx="938153" cy="911792"/>
                          </a:xfrm>
                          <a:prstGeom prst="ellipse">
                            <a:avLst/>
                          </a:prstGeom>
                          <a:solidFill>
                            <a:schemeClr val="tx2"/>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1" y="116958"/>
                            <a:ext cx="1150191" cy="793679"/>
                          </a:xfrm>
                          <a:prstGeom prst="rect">
                            <a:avLst/>
                          </a:prstGeom>
                          <a:noFill/>
                          <a:ln w="6350">
                            <a:noFill/>
                          </a:ln>
                          <a:effectLst/>
                        </wps:spPr>
                        <wps:txbx>
                          <w:txbxContent>
                            <w:p w14:paraId="487B0A52" w14:textId="650B30A5" w:rsidR="00C263DE" w:rsidRPr="00D8391B" w:rsidRDefault="00C263DE" w:rsidP="00BC6163">
                              <w:pPr>
                                <w:spacing w:after="0"/>
                                <w:jc w:val="center"/>
                                <w:rPr>
                                  <w:b/>
                                  <w:color w:val="FFFFFF" w:themeColor="background1"/>
                                  <w:sz w:val="24"/>
                                </w:rPr>
                              </w:pPr>
                              <w:r w:rsidRPr="00D8391B">
                                <w:rPr>
                                  <w:b/>
                                  <w:color w:val="FFFFFF" w:themeColor="background1"/>
                                  <w:sz w:val="24"/>
                                </w:rPr>
                                <w:t>$</w:t>
                              </w:r>
                              <w:r>
                                <w:rPr>
                                  <w:b/>
                                  <w:color w:val="FFFFFF" w:themeColor="background1"/>
                                  <w:sz w:val="24"/>
                                </w:rPr>
                                <w:t>49.7</w:t>
                              </w:r>
                              <w:r w:rsidRPr="00D8391B">
                                <w:rPr>
                                  <w:b/>
                                  <w:color w:val="FFFFFF" w:themeColor="background1"/>
                                  <w:sz w:val="24"/>
                                </w:rPr>
                                <w:t>b</w:t>
                              </w:r>
                            </w:p>
                            <w:p w14:paraId="3347B478" w14:textId="0D656977" w:rsidR="00C263DE" w:rsidRPr="00D8391B" w:rsidRDefault="00C263DE" w:rsidP="00BC6163">
                              <w:pPr>
                                <w:spacing w:after="0"/>
                                <w:jc w:val="center"/>
                                <w:rPr>
                                  <w:b/>
                                  <w:color w:val="FFFFFF" w:themeColor="background1"/>
                                  <w:sz w:val="24"/>
                                </w:rPr>
                              </w:pPr>
                              <w:proofErr w:type="gramStart"/>
                              <w:r w:rsidRPr="00D8391B">
                                <w:rPr>
                                  <w:b/>
                                  <w:color w:val="FFFFFF" w:themeColor="background1"/>
                                  <w:sz w:val="24"/>
                                </w:rPr>
                                <w:t>approved</w:t>
                              </w:r>
                              <w:proofErr w:type="gramEnd"/>
                            </w:p>
                            <w:p w14:paraId="60E340C6" w14:textId="77777777" w:rsidR="00C263DE" w:rsidRPr="001628FF" w:rsidRDefault="00C263DE" w:rsidP="00BC6163">
                              <w:pPr>
                                <w:jc w:val="center"/>
                                <w:rPr>
                                  <w:sz w:val="24"/>
                                </w:rPr>
                              </w:pPr>
                              <w:proofErr w:type="gramStart"/>
                              <w:r w:rsidRPr="00D8391B">
                                <w:rPr>
                                  <w:b/>
                                  <w:color w:val="FFFFFF" w:themeColor="background1"/>
                                  <w:sz w:val="24"/>
                                </w:rPr>
                                <w:t>investment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57" o:spid="_x0000_s1055" editas="canvas" style="position:absolute;left:0;text-align:left;margin-left:-11.8pt;margin-top:8.45pt;width:93.75pt;height:74.6pt;z-index:-251658218" coordsize="11906,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">
                <v:shape id="_x0000_s1056" type="#_x0000_t75" style="position:absolute;width:11906;height:9474;visibility:visible;mso-wrap-style:square">
                  <v:fill o:detectmouseclick="t"/>
                  <v:path o:connecttype="none"/>
                </v:shape>
                <v:oval id="Oval 55" o:spid="_x0000_s1057" style="position:absolute;left:1068;width:9382;height:9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9j74A&#10;AADbAAAADwAAAGRycy9kb3ducmV2LnhtbESPzQrCMBCE74LvEFbwpqlCRatRRBHEk38PsDbbH2w2&#10;pYla394IgsdhZr5hFqvWVOJJjSstKxgNIxDEqdUl5wqul91gCsJ5ZI2VZVLwJgerZbezwETbF5/o&#10;efa5CBB2CSoovK8TKV1akEE3tDVx8DLbGPRBNrnUDb4C3FRyHEUTabDksFBgTZuC0vv5YRQc4+3o&#10;Pj1Qxbdyu0faZfSYZUr1e+16DsJT6//hX3uvFcQx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PY++AAAA2wAAAA8AAAAAAAAAAAAAAAAAmAIAAGRycy9kb3ducmV2&#10;LnhtbFBLBQYAAAAABAAEAPUAAACDAwAAAAA=&#10;" fillcolor="#1f497d [3215]" strokecolor="#1f497d" strokeweight="2pt"/>
                <v:shape id="Text Box 56" o:spid="_x0000_s1058" type="#_x0000_t202" style="position:absolute;top:1169;width:11501;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487B0A52" w14:textId="650B30A5" w:rsidR="00C263DE" w:rsidRPr="00D8391B" w:rsidRDefault="00C263DE" w:rsidP="00BC6163">
                        <w:pPr>
                          <w:spacing w:after="0"/>
                          <w:jc w:val="center"/>
                          <w:rPr>
                            <w:b/>
                            <w:color w:val="FFFFFF" w:themeColor="background1"/>
                            <w:sz w:val="24"/>
                          </w:rPr>
                        </w:pPr>
                        <w:r w:rsidRPr="00D8391B">
                          <w:rPr>
                            <w:b/>
                            <w:color w:val="FFFFFF" w:themeColor="background1"/>
                            <w:sz w:val="24"/>
                          </w:rPr>
                          <w:t>$</w:t>
                        </w:r>
                        <w:r>
                          <w:rPr>
                            <w:b/>
                            <w:color w:val="FFFFFF" w:themeColor="background1"/>
                            <w:sz w:val="24"/>
                          </w:rPr>
                          <w:t>49.7</w:t>
                        </w:r>
                        <w:r w:rsidRPr="00D8391B">
                          <w:rPr>
                            <w:b/>
                            <w:color w:val="FFFFFF" w:themeColor="background1"/>
                            <w:sz w:val="24"/>
                          </w:rPr>
                          <w:t>b</w:t>
                        </w:r>
                      </w:p>
                      <w:p w14:paraId="3347B478" w14:textId="0D656977" w:rsidR="00C263DE" w:rsidRPr="00D8391B" w:rsidRDefault="00C263DE" w:rsidP="00BC6163">
                        <w:pPr>
                          <w:spacing w:after="0"/>
                          <w:jc w:val="center"/>
                          <w:rPr>
                            <w:b/>
                            <w:color w:val="FFFFFF" w:themeColor="background1"/>
                            <w:sz w:val="24"/>
                          </w:rPr>
                        </w:pPr>
                        <w:proofErr w:type="gramStart"/>
                        <w:r w:rsidRPr="00D8391B">
                          <w:rPr>
                            <w:b/>
                            <w:color w:val="FFFFFF" w:themeColor="background1"/>
                            <w:sz w:val="24"/>
                          </w:rPr>
                          <w:t>approved</w:t>
                        </w:r>
                        <w:proofErr w:type="gramEnd"/>
                      </w:p>
                      <w:p w14:paraId="60E340C6" w14:textId="77777777" w:rsidR="00C263DE" w:rsidRPr="001628FF" w:rsidRDefault="00C263DE" w:rsidP="00BC6163">
                        <w:pPr>
                          <w:jc w:val="center"/>
                          <w:rPr>
                            <w:sz w:val="24"/>
                          </w:rPr>
                        </w:pPr>
                        <w:proofErr w:type="gramStart"/>
                        <w:r w:rsidRPr="00D8391B">
                          <w:rPr>
                            <w:b/>
                            <w:color w:val="FFFFFF" w:themeColor="background1"/>
                            <w:sz w:val="24"/>
                          </w:rPr>
                          <w:t>investment</w:t>
                        </w:r>
                        <w:proofErr w:type="gramEnd"/>
                      </w:p>
                    </w:txbxContent>
                  </v:textbox>
                </v:shape>
                <w10:wrap type="square"/>
              </v:group>
            </w:pict>
          </mc:Fallback>
        </mc:AlternateContent>
      </w:r>
      <w:r w:rsidR="00FA51C8" w:rsidRPr="006A6448">
        <w:rPr>
          <w:color w:val="auto"/>
          <w:szCs w:val="24"/>
        </w:rPr>
        <w:t>In 2015</w:t>
      </w:r>
      <w:r w:rsidR="008205A1">
        <w:rPr>
          <w:color w:val="auto"/>
          <w:szCs w:val="24"/>
        </w:rPr>
        <w:noBreakHyphen/>
      </w:r>
      <w:r w:rsidR="00FA51C8" w:rsidRPr="006A6448">
        <w:rPr>
          <w:color w:val="auto"/>
          <w:szCs w:val="24"/>
        </w:rPr>
        <w:t>16 there was a significant increase in applications for commercial real estate</w:t>
      </w:r>
      <w:r w:rsidR="0089423A">
        <w:rPr>
          <w:color w:val="auto"/>
          <w:szCs w:val="24"/>
        </w:rPr>
        <w:t>. Forei</w:t>
      </w:r>
      <w:r w:rsidR="007627C2">
        <w:rPr>
          <w:color w:val="auto"/>
          <w:szCs w:val="24"/>
        </w:rPr>
        <w:t>g</w:t>
      </w:r>
      <w:r w:rsidR="0089423A">
        <w:rPr>
          <w:color w:val="auto"/>
          <w:szCs w:val="24"/>
        </w:rPr>
        <w:t xml:space="preserve">n investment approval was given for </w:t>
      </w:r>
      <w:r w:rsidR="00FA51C8" w:rsidRPr="006A6448">
        <w:rPr>
          <w:color w:val="auto"/>
          <w:szCs w:val="24"/>
        </w:rPr>
        <w:t>606</w:t>
      </w:r>
      <w:r w:rsidR="0089423A">
        <w:rPr>
          <w:color w:val="auto"/>
          <w:szCs w:val="24"/>
        </w:rPr>
        <w:t> </w:t>
      </w:r>
      <w:r w:rsidR="00FA51C8" w:rsidRPr="006A6448">
        <w:rPr>
          <w:color w:val="auto"/>
          <w:szCs w:val="24"/>
        </w:rPr>
        <w:t xml:space="preserve">approvals </w:t>
      </w:r>
      <w:r w:rsidR="0089423A">
        <w:rPr>
          <w:color w:val="auto"/>
          <w:szCs w:val="24"/>
        </w:rPr>
        <w:t>valued at $</w:t>
      </w:r>
      <w:r w:rsidR="00CA5B4E">
        <w:rPr>
          <w:color w:val="auto"/>
          <w:szCs w:val="24"/>
        </w:rPr>
        <w:t>49</w:t>
      </w:r>
      <w:r w:rsidR="0089423A">
        <w:rPr>
          <w:color w:val="auto"/>
          <w:szCs w:val="24"/>
        </w:rPr>
        <w:t>.</w:t>
      </w:r>
      <w:r w:rsidR="00CA5B4E">
        <w:rPr>
          <w:color w:val="auto"/>
          <w:szCs w:val="24"/>
        </w:rPr>
        <w:t>7</w:t>
      </w:r>
      <w:r w:rsidR="00FA51C8" w:rsidRPr="006A6448">
        <w:rPr>
          <w:color w:val="auto"/>
          <w:szCs w:val="24"/>
        </w:rPr>
        <w:t> billion</w:t>
      </w:r>
      <w:r w:rsidR="00545993" w:rsidRPr="006A6448">
        <w:rPr>
          <w:color w:val="auto"/>
          <w:szCs w:val="24"/>
        </w:rPr>
        <w:t>. The increase was driven by investment in developed commercial property</w:t>
      </w:r>
      <w:r w:rsidR="00461D8C">
        <w:rPr>
          <w:color w:val="auto"/>
          <w:szCs w:val="24"/>
        </w:rPr>
        <w:t>,</w:t>
      </w:r>
      <w:r w:rsidR="00545993" w:rsidRPr="006A6448">
        <w:rPr>
          <w:color w:val="auto"/>
          <w:szCs w:val="24"/>
        </w:rPr>
        <w:t xml:space="preserve"> </w:t>
      </w:r>
      <w:r w:rsidR="0089423A">
        <w:rPr>
          <w:color w:val="auto"/>
          <w:szCs w:val="24"/>
        </w:rPr>
        <w:t>and includes</w:t>
      </w:r>
      <w:r w:rsidR="00DE7BBE" w:rsidRPr="006A6448">
        <w:rPr>
          <w:color w:val="auto"/>
          <w:szCs w:val="24"/>
        </w:rPr>
        <w:t xml:space="preserve"> approvals given for </w:t>
      </w:r>
      <w:r w:rsidR="00334516">
        <w:rPr>
          <w:color w:val="auto"/>
          <w:szCs w:val="24"/>
        </w:rPr>
        <w:t>multiple applicants in respect of</w:t>
      </w:r>
      <w:r w:rsidR="0089423A">
        <w:rPr>
          <w:color w:val="auto"/>
          <w:szCs w:val="24"/>
        </w:rPr>
        <w:t xml:space="preserve"> </w:t>
      </w:r>
      <w:r w:rsidR="00545993" w:rsidRPr="006A6448">
        <w:rPr>
          <w:color w:val="auto"/>
          <w:szCs w:val="24"/>
        </w:rPr>
        <w:t xml:space="preserve">two </w:t>
      </w:r>
      <w:r w:rsidR="0089423A">
        <w:rPr>
          <w:color w:val="auto"/>
          <w:szCs w:val="24"/>
        </w:rPr>
        <w:t>large</w:t>
      </w:r>
      <w:r w:rsidR="00545993" w:rsidRPr="006A6448">
        <w:rPr>
          <w:color w:val="auto"/>
          <w:szCs w:val="24"/>
        </w:rPr>
        <w:t xml:space="preserve"> </w:t>
      </w:r>
      <w:r w:rsidR="007A43D5">
        <w:rPr>
          <w:color w:val="auto"/>
          <w:szCs w:val="24"/>
        </w:rPr>
        <w:t>transactions</w:t>
      </w:r>
      <w:r w:rsidR="00545993" w:rsidRPr="006A6448">
        <w:rPr>
          <w:color w:val="auto"/>
          <w:szCs w:val="24"/>
        </w:rPr>
        <w:t xml:space="preserve"> during this period.</w:t>
      </w:r>
    </w:p>
    <w:p w14:paraId="651259DC" w14:textId="1E320F62" w:rsidR="0089423A" w:rsidRPr="006A6448" w:rsidRDefault="0089423A" w:rsidP="00545993">
      <w:pPr>
        <w:rPr>
          <w:color w:val="auto"/>
          <w:szCs w:val="24"/>
        </w:rPr>
      </w:pPr>
      <w:r>
        <w:rPr>
          <w:color w:val="auto"/>
          <w:szCs w:val="24"/>
        </w:rPr>
        <w:t xml:space="preserve">The increasing interest in commercial property reflects </w:t>
      </w:r>
      <w:r w:rsidR="00C61528">
        <w:rPr>
          <w:color w:val="auto"/>
          <w:szCs w:val="24"/>
        </w:rPr>
        <w:t xml:space="preserve">favourable liquidity conditions and </w:t>
      </w:r>
      <w:r>
        <w:rPr>
          <w:color w:val="auto"/>
          <w:szCs w:val="24"/>
        </w:rPr>
        <w:t>Australia</w:t>
      </w:r>
      <w:r w:rsidR="008205A1">
        <w:rPr>
          <w:color w:val="auto"/>
          <w:szCs w:val="24"/>
        </w:rPr>
        <w:t>’</w:t>
      </w:r>
      <w:r>
        <w:rPr>
          <w:color w:val="auto"/>
          <w:szCs w:val="24"/>
        </w:rPr>
        <w:t xml:space="preserve">s </w:t>
      </w:r>
      <w:r w:rsidR="00C61528">
        <w:rPr>
          <w:color w:val="auto"/>
          <w:szCs w:val="24"/>
        </w:rPr>
        <w:t>attractive yields relative to the international</w:t>
      </w:r>
      <w:r>
        <w:rPr>
          <w:color w:val="auto"/>
          <w:szCs w:val="24"/>
        </w:rPr>
        <w:t xml:space="preserve"> market</w:t>
      </w:r>
      <w:r w:rsidR="00711C46">
        <w:rPr>
          <w:color w:val="auto"/>
          <w:szCs w:val="24"/>
        </w:rPr>
        <w:t>.</w:t>
      </w:r>
    </w:p>
    <w:p w14:paraId="4482C0AF" w14:textId="5A4A3B9A" w:rsidR="00971B0A" w:rsidRPr="006A6448" w:rsidRDefault="00971B0A" w:rsidP="00115593">
      <w:pPr>
        <w:pStyle w:val="TableHeading"/>
      </w:pPr>
      <w:r w:rsidRPr="006A6448">
        <w:t xml:space="preserve">Table </w:t>
      </w:r>
      <w:r w:rsidR="00E548AE">
        <w:t>3.8</w:t>
      </w:r>
      <w:r w:rsidRPr="006A6448">
        <w:t>: Investment in commercial real estate by type of approval and number of proposals approved: 201</w:t>
      </w:r>
      <w:r w:rsidR="003D5BDC" w:rsidRPr="006A6448">
        <w:t>2</w:t>
      </w:r>
      <w:r w:rsidR="008205A1">
        <w:noBreakHyphen/>
      </w:r>
      <w:r w:rsidR="003D5BDC" w:rsidRPr="006A6448">
        <w:t>13 to 2015</w:t>
      </w:r>
      <w:r w:rsidR="008205A1">
        <w:noBreakHyphen/>
      </w:r>
      <w:r w:rsidR="003D5BDC" w:rsidRPr="006A6448">
        <w:t>16</w:t>
      </w:r>
    </w:p>
    <w:bookmarkStart w:id="43" w:name="_1548074931"/>
    <w:bookmarkEnd w:id="43"/>
    <w:p w14:paraId="6726CE2B" w14:textId="1FF143CA" w:rsidR="00971B0A" w:rsidRDefault="0046408E" w:rsidP="003D5BDC">
      <w:pPr>
        <w:pStyle w:val="TableGraphic"/>
      </w:pPr>
      <w:r>
        <w:object w:dxaOrig="7729" w:dyaOrig="3510" w14:anchorId="05C26990">
          <v:shape id="_x0000_i1034" type="#_x0000_t75" style="width:385.8pt;height:175.25pt" o:ole="">
            <v:imagedata r:id="rId74" o:title=""/>
          </v:shape>
          <o:OLEObject Type="Link" ProgID="Excel.Sheet.12" ShapeID="_x0000_i1034" DrawAspect="Content" r:id="rId75" UpdateMode="Always">
            <o:LinkType>EnhancedMetaFile</o:LinkType>
            <o:LockedField>false</o:LockedField>
          </o:OLEObject>
        </w:object>
      </w:r>
    </w:p>
    <w:p w14:paraId="0FFA8EAD" w14:textId="5C55D42D" w:rsidR="008A13DD" w:rsidRDefault="00971B0A" w:rsidP="00971B0A">
      <w:pPr>
        <w:pStyle w:val="StyleChartorTableNoteLeft0cmHanging1cm"/>
      </w:pPr>
      <w:r w:rsidRPr="002E4CED">
        <w:t>Note:</w:t>
      </w:r>
      <w:r w:rsidRPr="002E4CED">
        <w:tab/>
      </w:r>
      <w:r w:rsidR="008A13DD">
        <w:t>* From 1 December 2015, annual programs under the new provisions in the Act are known as exemption certificates.</w:t>
      </w:r>
    </w:p>
    <w:p w14:paraId="243AD8C2" w14:textId="3E52060E" w:rsidR="00971B0A" w:rsidRDefault="008A13DD" w:rsidP="00711C46">
      <w:pPr>
        <w:pStyle w:val="StyleChartorTableNoteLeft0cmHanging1cm"/>
      </w:pPr>
      <w:r>
        <w:tab/>
      </w:r>
      <w:r w:rsidR="00971B0A" w:rsidRPr="002E4CED">
        <w:t>Totals may not add due to rounding.</w:t>
      </w:r>
    </w:p>
    <w:p w14:paraId="15B82FFC" w14:textId="77777777" w:rsidR="00E548AE" w:rsidRDefault="00E548AE" w:rsidP="006A6448">
      <w:pPr>
        <w:pStyle w:val="CoverTitleMain"/>
        <w:spacing w:before="120" w:after="0" w:line="260" w:lineRule="exact"/>
        <w:jc w:val="left"/>
        <w:rPr>
          <w:rFonts w:asciiTheme="minorHAnsi" w:hAnsiTheme="minorHAnsi"/>
          <w:sz w:val="24"/>
        </w:rPr>
      </w:pPr>
    </w:p>
    <w:p w14:paraId="1695D4BD" w14:textId="77777777" w:rsidR="00E548AE" w:rsidRDefault="00E548AE" w:rsidP="00E548AE">
      <w:pPr>
        <w:rPr>
          <w:color w:val="003E74"/>
        </w:rPr>
      </w:pPr>
      <w:r>
        <w:br w:type="page"/>
      </w:r>
    </w:p>
    <w:p w14:paraId="7CD3A942" w14:textId="02B362E7" w:rsidR="006827FB" w:rsidRPr="006A6448" w:rsidRDefault="006827FB" w:rsidP="00115593">
      <w:pPr>
        <w:pStyle w:val="TableHeading"/>
      </w:pPr>
      <w:r w:rsidRPr="006A6448">
        <w:lastRenderedPageBreak/>
        <w:t xml:space="preserve">Table </w:t>
      </w:r>
      <w:r w:rsidR="00E548AE">
        <w:t>3.9</w:t>
      </w:r>
      <w:r w:rsidRPr="006A6448">
        <w:t xml:space="preserve">: State and </w:t>
      </w:r>
      <w:r w:rsidR="00FF1814" w:rsidRPr="006A6448">
        <w:t xml:space="preserve">territory </w:t>
      </w:r>
      <w:r w:rsidRPr="006A6448">
        <w:t>distribution of proposed investment in</w:t>
      </w:r>
      <w:r w:rsidR="00FF1814" w:rsidRPr="006A6448">
        <w:t xml:space="preserve"> commercial</w:t>
      </w:r>
      <w:r w:rsidRPr="006A6448">
        <w:t xml:space="preserve"> real estate in 201</w:t>
      </w:r>
      <w:r w:rsidR="00FF1814" w:rsidRPr="006A6448">
        <w:t>5</w:t>
      </w:r>
      <w:r w:rsidR="008205A1">
        <w:noBreakHyphen/>
      </w:r>
      <w:r w:rsidR="00FF1814" w:rsidRPr="006A6448">
        <w:t>16</w:t>
      </w:r>
    </w:p>
    <w:bookmarkStart w:id="44" w:name="_1548074932"/>
    <w:bookmarkEnd w:id="44"/>
    <w:p w14:paraId="5F1140EF" w14:textId="64A34C0C" w:rsidR="006827FB" w:rsidRDefault="004D30B0" w:rsidP="00FF1814">
      <w:pPr>
        <w:pStyle w:val="TableGraphic"/>
      </w:pPr>
      <w:r>
        <w:object w:dxaOrig="7713" w:dyaOrig="3510" w14:anchorId="1FE223E9">
          <v:shape id="_x0000_i1035" type="#_x0000_t75" style="width:386.5pt;height:175.25pt" o:ole="">
            <v:imagedata r:id="rId76" o:title=""/>
          </v:shape>
          <o:OLEObject Type="Link" ProgID="Excel.Sheet.12" ShapeID="_x0000_i1035" DrawAspect="Content" r:id="rId77" UpdateMode="Always">
            <o:LinkType>EnhancedMetaFile</o:LinkType>
            <o:LockedField>false</o:LockedField>
          </o:OLEObject>
        </w:object>
      </w:r>
    </w:p>
    <w:p w14:paraId="33F509AF" w14:textId="77777777" w:rsidR="006827FB" w:rsidRDefault="006827FB" w:rsidP="001D790E">
      <w:pPr>
        <w:pStyle w:val="ChartandTableFootnoteAlpha"/>
        <w:numPr>
          <w:ilvl w:val="0"/>
          <w:numId w:val="16"/>
        </w:numPr>
      </w:pPr>
      <w:r w:rsidRPr="002E4CED">
        <w:t>Comprises approved proposals where the proposed investment is to be undertaken in</w:t>
      </w:r>
      <w:r w:rsidRPr="00F96AF7">
        <w:t xml:space="preserve"> </w:t>
      </w:r>
      <w:r w:rsidRPr="002E4CED">
        <w:t>more than one</w:t>
      </w:r>
      <w:r>
        <w:t> </w:t>
      </w:r>
      <w:r w:rsidRPr="002E4CED">
        <w:t xml:space="preserve">state or territory. </w:t>
      </w:r>
    </w:p>
    <w:p w14:paraId="5A8157E3" w14:textId="77777777" w:rsidR="006827FB" w:rsidRDefault="006827FB" w:rsidP="006827FB">
      <w:pPr>
        <w:pStyle w:val="StyleChartorTableNoteLeft0cmHanging1cm"/>
      </w:pPr>
      <w:r w:rsidRPr="006132D1">
        <w:t>Note:</w:t>
      </w:r>
      <w:r w:rsidRPr="006132D1">
        <w:tab/>
        <w:t>Totals may not add due to rounding.</w:t>
      </w:r>
    </w:p>
    <w:p w14:paraId="2F158D16" w14:textId="61028A2C" w:rsidR="006827FB" w:rsidRDefault="00F522FB" w:rsidP="006827FB">
      <w:pPr>
        <w:pStyle w:val="StyleChartorTableNoteLeft0cmHanging1cm"/>
      </w:pPr>
      <w:r>
        <w:tab/>
      </w:r>
      <w:r w:rsidR="008205A1">
        <w:t>‘</w:t>
      </w:r>
      <w:r w:rsidR="008205A1">
        <w:noBreakHyphen/>
      </w:r>
      <w:proofErr w:type="gramStart"/>
      <w:r w:rsidR="008205A1">
        <w:t>‘</w:t>
      </w:r>
      <w:r w:rsidR="006827FB" w:rsidRPr="006A3A37">
        <w:t xml:space="preserve"> indicates</w:t>
      </w:r>
      <w:proofErr w:type="gramEnd"/>
      <w:r w:rsidR="006827FB" w:rsidRPr="006A3A37">
        <w:t xml:space="preserve"> a figure of zero or a figure less than $10 million</w:t>
      </w:r>
      <w:r w:rsidR="006827FB">
        <w:t>.</w:t>
      </w:r>
    </w:p>
    <w:p w14:paraId="76271647" w14:textId="67F24082" w:rsidR="00141BAD" w:rsidRPr="006132D1" w:rsidRDefault="00141BAD" w:rsidP="006827FB">
      <w:pPr>
        <w:pStyle w:val="StyleChartorTableNoteLeft0cmHanging1cm"/>
      </w:pPr>
      <w:r>
        <w:tab/>
      </w:r>
      <w:r w:rsidR="008205A1">
        <w:t>‘</w:t>
      </w:r>
      <w:r>
        <w:t>*</w:t>
      </w:r>
      <w:r w:rsidR="008205A1">
        <w:t>’</w:t>
      </w:r>
      <w:r>
        <w:t xml:space="preserve"> indicates between 1 and 9 approvals.</w:t>
      </w:r>
    </w:p>
    <w:p w14:paraId="7B3777A3" w14:textId="3652A857" w:rsidR="00DC285F" w:rsidRPr="00DC285F" w:rsidRDefault="00DC285F" w:rsidP="00DC285F">
      <w:pPr>
        <w:pStyle w:val="StyleChartorTableNoteLeft0cmHanging1cm"/>
      </w:pPr>
    </w:p>
    <w:p w14:paraId="499C8A7B" w14:textId="77777777" w:rsidR="00DC285F" w:rsidRPr="006132D1" w:rsidRDefault="00DC285F" w:rsidP="006827FB">
      <w:pPr>
        <w:pStyle w:val="StyleChartorTableNoteLeft0cmHanging1cm"/>
      </w:pPr>
    </w:p>
    <w:p w14:paraId="009A3E7B" w14:textId="77777777" w:rsidR="00971B0A" w:rsidRDefault="00971B0A" w:rsidP="00971B0A">
      <w:pPr>
        <w:spacing w:after="200" w:line="276" w:lineRule="auto"/>
        <w:jc w:val="left"/>
        <w:rPr>
          <w:rFonts w:asciiTheme="majorHAnsi" w:eastAsiaTheme="majorEastAsia" w:hAnsiTheme="majorHAnsi" w:cstheme="majorBidi"/>
          <w:b/>
          <w:bCs/>
          <w:i/>
          <w:iCs/>
          <w:color w:val="4F81BD" w:themeColor="accent1"/>
        </w:rPr>
      </w:pPr>
      <w:r>
        <w:br w:type="page"/>
      </w:r>
    </w:p>
    <w:p w14:paraId="7B7D8F6E" w14:textId="1AA624F8" w:rsidR="008B6006" w:rsidRPr="006A6448" w:rsidRDefault="008B6006" w:rsidP="00115593">
      <w:pPr>
        <w:pStyle w:val="Heading3"/>
        <w:rPr>
          <w:smallCaps/>
        </w:rPr>
      </w:pPr>
      <w:r w:rsidRPr="006A6448">
        <w:lastRenderedPageBreak/>
        <w:t>Residential real estate</w:t>
      </w:r>
    </w:p>
    <w:p w14:paraId="6584DDB6" w14:textId="1C5CC59D" w:rsidR="001628FF" w:rsidRDefault="001628FF" w:rsidP="00393731">
      <w:pPr>
        <w:rPr>
          <w:smallCaps/>
          <w:sz w:val="24"/>
        </w:rPr>
      </w:pPr>
      <w:r>
        <w:rPr>
          <w:noProof/>
        </w:rPr>
        <mc:AlternateContent>
          <mc:Choice Requires="wpc">
            <w:drawing>
              <wp:anchor distT="0" distB="0" distL="114300" distR="114300" simplePos="0" relativeHeight="251658263" behindDoc="0" locked="0" layoutInCell="1" allowOverlap="1" wp14:anchorId="21049415" wp14:editId="62373791">
                <wp:simplePos x="0" y="0"/>
                <wp:positionH relativeFrom="column">
                  <wp:posOffset>-133350</wp:posOffset>
                </wp:positionH>
                <wp:positionV relativeFrom="paragraph">
                  <wp:posOffset>78105</wp:posOffset>
                </wp:positionV>
                <wp:extent cx="1377315" cy="1187450"/>
                <wp:effectExtent l="0" t="0" r="0" b="12700"/>
                <wp:wrapSquare wrapText="bothSides"/>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Oval 22"/>
                        <wps:cNvSpPr/>
                        <wps:spPr>
                          <a:xfrm>
                            <a:off x="106877" y="36567"/>
                            <a:ext cx="1151907" cy="1151907"/>
                          </a:xfrm>
                          <a:prstGeom prst="ellipse">
                            <a:avLst/>
                          </a:prstGeom>
                          <a:solidFill>
                            <a:schemeClr val="tx2"/>
                          </a:solidFill>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06877" y="287079"/>
                            <a:ext cx="1151907" cy="79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4C4E5" w14:textId="48C5AAD3" w:rsidR="00C263DE" w:rsidRPr="00273FBF" w:rsidRDefault="00C263DE" w:rsidP="001628FF">
                              <w:pPr>
                                <w:jc w:val="center"/>
                                <w:rPr>
                                  <w:b/>
                                  <w:color w:val="FFFFFF" w:themeColor="background1"/>
                                  <w:sz w:val="24"/>
                                </w:rPr>
                              </w:pPr>
                              <w:r w:rsidRPr="00273FBF">
                                <w:rPr>
                                  <w:b/>
                                  <w:color w:val="FFFFFF" w:themeColor="background1"/>
                                  <w:sz w:val="24"/>
                                </w:rPr>
                                <w:t>$72.4b approved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30" o:spid="_x0000_s1059" editas="canvas" style="position:absolute;left:0;text-align:left;margin-left:-10.5pt;margin-top:6.15pt;width:108.45pt;height:93.5pt;z-index:251658263" coordsize="13773,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">
                <v:shape id="_x0000_s1060" type="#_x0000_t75" style="position:absolute;width:13773;height:11874;visibility:visible;mso-wrap-style:square">
                  <v:fill o:detectmouseclick="t"/>
                  <v:path o:connecttype="none"/>
                </v:shape>
                <v:oval id="Oval 22" o:spid="_x0000_s1061" style="position:absolute;left:1068;top:365;width:11519;height:1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qEsUA&#10;AADbAAAADwAAAGRycy9kb3ducmV2LnhtbESPQWvCQBSE74L/YXlCb7pp2mqJrlKFUkFEokU8PrKv&#10;2dDs25jdavz3bqHQ4zAz3zCzRWdrcaHWV44VPI4SEMSF0xWXCj4P78NXED4ga6wdk4IbeVjM+70Z&#10;ZtpdOafLPpQiQthnqMCE0GRS+sKQRT9yDXH0vlxrMUTZllK3eI1wW8s0ScbSYsVxwWBDK0PF9/7H&#10;Ktiayfm023Yfx12+OZ4PtHx5fsqVehh0b1MQgbrwH/5rr7WCNIX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OoSxQAAANsAAAAPAAAAAAAAAAAAAAAAAJgCAABkcnMv&#10;ZG93bnJldi54bWxQSwUGAAAAAAQABAD1AAAAigMAAAAA&#10;" fillcolor="#1f497d [3215]" strokecolor="#1f497d [3215]" strokeweight="2pt"/>
                <v:shape id="Text Box 23" o:spid="_x0000_s1062" type="#_x0000_t202" style="position:absolute;left:1068;top:2870;width:11519;height:7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7794C4E5" w14:textId="48C5AAD3" w:rsidR="00C263DE" w:rsidRPr="00273FBF" w:rsidRDefault="00C263DE" w:rsidP="001628FF">
                        <w:pPr>
                          <w:jc w:val="center"/>
                          <w:rPr>
                            <w:b/>
                            <w:color w:val="FFFFFF" w:themeColor="background1"/>
                            <w:sz w:val="24"/>
                          </w:rPr>
                        </w:pPr>
                        <w:r w:rsidRPr="00273FBF">
                          <w:rPr>
                            <w:b/>
                            <w:color w:val="FFFFFF" w:themeColor="background1"/>
                            <w:sz w:val="24"/>
                          </w:rPr>
                          <w:t>$72.4b approved investment</w:t>
                        </w:r>
                      </w:p>
                    </w:txbxContent>
                  </v:textbox>
                </v:shape>
                <w10:wrap type="square"/>
              </v:group>
            </w:pict>
          </mc:Fallback>
        </mc:AlternateContent>
      </w:r>
    </w:p>
    <w:p w14:paraId="46347180" w14:textId="405263E0" w:rsidR="001628FF" w:rsidRPr="006A6448" w:rsidRDefault="00971B0A" w:rsidP="00393731">
      <w:pPr>
        <w:rPr>
          <w:color w:val="auto"/>
          <w:szCs w:val="24"/>
        </w:rPr>
      </w:pPr>
      <w:r w:rsidRPr="006A6448">
        <w:rPr>
          <w:color w:val="auto"/>
          <w:szCs w:val="24"/>
        </w:rPr>
        <w:t>In 2015</w:t>
      </w:r>
      <w:r w:rsidR="008205A1">
        <w:rPr>
          <w:color w:val="auto"/>
          <w:szCs w:val="24"/>
        </w:rPr>
        <w:noBreakHyphen/>
      </w:r>
      <w:r w:rsidRPr="006A6448">
        <w:rPr>
          <w:color w:val="auto"/>
          <w:szCs w:val="24"/>
        </w:rPr>
        <w:t>16,</w:t>
      </w:r>
      <w:r w:rsidR="008A594A" w:rsidRPr="006A6448">
        <w:rPr>
          <w:color w:val="auto"/>
          <w:szCs w:val="24"/>
        </w:rPr>
        <w:t xml:space="preserve"> </w:t>
      </w:r>
      <w:r w:rsidR="00B07810" w:rsidRPr="006A6448">
        <w:rPr>
          <w:color w:val="auto"/>
          <w:szCs w:val="24"/>
        </w:rPr>
        <w:t xml:space="preserve">a total of </w:t>
      </w:r>
      <w:r w:rsidR="008A594A" w:rsidRPr="006A6448">
        <w:rPr>
          <w:color w:val="auto"/>
          <w:szCs w:val="24"/>
        </w:rPr>
        <w:t>40,14</w:t>
      </w:r>
      <w:r w:rsidR="000F35A4">
        <w:rPr>
          <w:color w:val="auto"/>
          <w:szCs w:val="24"/>
        </w:rPr>
        <w:t>9</w:t>
      </w:r>
      <w:r w:rsidRPr="006A6448">
        <w:rPr>
          <w:color w:val="auto"/>
          <w:szCs w:val="24"/>
        </w:rPr>
        <w:t xml:space="preserve"> residential real estate applications were approved </w:t>
      </w:r>
      <w:r w:rsidR="008A594A" w:rsidRPr="006A6448">
        <w:rPr>
          <w:color w:val="auto"/>
          <w:szCs w:val="24"/>
        </w:rPr>
        <w:t xml:space="preserve">for proposed investment </w:t>
      </w:r>
      <w:r w:rsidRPr="006A6448">
        <w:rPr>
          <w:color w:val="auto"/>
          <w:szCs w:val="24"/>
        </w:rPr>
        <w:t>worth $</w:t>
      </w:r>
      <w:r w:rsidR="008A594A" w:rsidRPr="006A6448">
        <w:rPr>
          <w:color w:val="auto"/>
          <w:szCs w:val="24"/>
        </w:rPr>
        <w:t>72.4 </w:t>
      </w:r>
      <w:r w:rsidRPr="006A6448">
        <w:rPr>
          <w:color w:val="auto"/>
          <w:szCs w:val="24"/>
        </w:rPr>
        <w:t>billion.</w:t>
      </w:r>
    </w:p>
    <w:p w14:paraId="1DF96774" w14:textId="7B953FAD" w:rsidR="00971B0A" w:rsidRDefault="00B07810" w:rsidP="00393731">
      <w:pPr>
        <w:rPr>
          <w:color w:val="auto"/>
          <w:szCs w:val="24"/>
        </w:rPr>
      </w:pPr>
      <w:r w:rsidRPr="006A6448">
        <w:rPr>
          <w:color w:val="auto"/>
          <w:szCs w:val="24"/>
        </w:rPr>
        <w:t xml:space="preserve">Over the last four years the proportion of </w:t>
      </w:r>
      <w:r w:rsidR="00B06B7F" w:rsidRPr="006A6448">
        <w:rPr>
          <w:color w:val="auto"/>
          <w:szCs w:val="24"/>
        </w:rPr>
        <w:t xml:space="preserve">all </w:t>
      </w:r>
      <w:r w:rsidRPr="006A6448">
        <w:rPr>
          <w:color w:val="auto"/>
          <w:szCs w:val="24"/>
        </w:rPr>
        <w:t>residential real estate approvals for development has steadily increased</w:t>
      </w:r>
      <w:r w:rsidR="008F04A5">
        <w:rPr>
          <w:color w:val="auto"/>
          <w:szCs w:val="24"/>
        </w:rPr>
        <w:t xml:space="preserve"> and represents</w:t>
      </w:r>
      <w:r w:rsidRPr="006A6448">
        <w:rPr>
          <w:color w:val="auto"/>
          <w:szCs w:val="24"/>
        </w:rPr>
        <w:t xml:space="preserve"> </w:t>
      </w:r>
      <w:r w:rsidR="00273FBF" w:rsidRPr="006A6448">
        <w:rPr>
          <w:color w:val="auto"/>
          <w:szCs w:val="24"/>
        </w:rPr>
        <w:t>85.4 per cent</w:t>
      </w:r>
      <w:r w:rsidRPr="006A6448">
        <w:rPr>
          <w:color w:val="auto"/>
          <w:szCs w:val="24"/>
        </w:rPr>
        <w:t xml:space="preserve"> of </w:t>
      </w:r>
      <w:r w:rsidR="008F04A5">
        <w:rPr>
          <w:color w:val="auto"/>
          <w:szCs w:val="24"/>
        </w:rPr>
        <w:t xml:space="preserve">all </w:t>
      </w:r>
      <w:r w:rsidRPr="006A6448">
        <w:rPr>
          <w:color w:val="auto"/>
          <w:szCs w:val="24"/>
        </w:rPr>
        <w:t>residential approvals in 2015</w:t>
      </w:r>
      <w:r w:rsidR="008205A1">
        <w:rPr>
          <w:color w:val="auto"/>
          <w:szCs w:val="24"/>
        </w:rPr>
        <w:noBreakHyphen/>
      </w:r>
      <w:r w:rsidRPr="006A6448">
        <w:rPr>
          <w:color w:val="auto"/>
          <w:szCs w:val="24"/>
        </w:rPr>
        <w:t>16</w:t>
      </w:r>
      <w:r w:rsidR="008F04A5">
        <w:rPr>
          <w:color w:val="auto"/>
          <w:szCs w:val="24"/>
        </w:rPr>
        <w:t>. Approvals</w:t>
      </w:r>
      <w:r w:rsidRPr="006A6448">
        <w:rPr>
          <w:color w:val="auto"/>
          <w:szCs w:val="24"/>
        </w:rPr>
        <w:t xml:space="preserve"> which are for development include approvals</w:t>
      </w:r>
      <w:r w:rsidR="00971B0A" w:rsidRPr="006A6448">
        <w:rPr>
          <w:color w:val="auto"/>
          <w:szCs w:val="24"/>
        </w:rPr>
        <w:t xml:space="preserve"> </w:t>
      </w:r>
      <w:r w:rsidR="006D76D4" w:rsidRPr="006A6448">
        <w:rPr>
          <w:color w:val="auto"/>
          <w:szCs w:val="24"/>
        </w:rPr>
        <w:t xml:space="preserve">for </w:t>
      </w:r>
      <w:r w:rsidR="00971B0A" w:rsidRPr="006A6448">
        <w:rPr>
          <w:color w:val="auto"/>
          <w:szCs w:val="24"/>
        </w:rPr>
        <w:t xml:space="preserve">new dwellings, vacant land and </w:t>
      </w:r>
      <w:r w:rsidR="00677D3D">
        <w:rPr>
          <w:color w:val="auto"/>
          <w:szCs w:val="24"/>
        </w:rPr>
        <w:t>redevelopment of existing residential property that increases the housing stock</w:t>
      </w:r>
      <w:r w:rsidR="00971B0A" w:rsidRPr="006A6448">
        <w:rPr>
          <w:color w:val="auto"/>
          <w:szCs w:val="24"/>
        </w:rPr>
        <w:t>. This aligns with Australia</w:t>
      </w:r>
      <w:r w:rsidR="008205A1">
        <w:rPr>
          <w:color w:val="auto"/>
          <w:szCs w:val="24"/>
        </w:rPr>
        <w:t>’</w:t>
      </w:r>
      <w:r w:rsidR="00971B0A" w:rsidRPr="006A6448">
        <w:rPr>
          <w:color w:val="auto"/>
          <w:szCs w:val="24"/>
        </w:rPr>
        <w:t>s foreign investment policy</w:t>
      </w:r>
      <w:r w:rsidR="00465D47">
        <w:rPr>
          <w:color w:val="auto"/>
          <w:szCs w:val="24"/>
        </w:rPr>
        <w:t>,</w:t>
      </w:r>
      <w:r w:rsidR="00971B0A" w:rsidRPr="006A6448">
        <w:rPr>
          <w:color w:val="auto"/>
          <w:szCs w:val="24"/>
        </w:rPr>
        <w:t xml:space="preserve"> which </w:t>
      </w:r>
      <w:r w:rsidR="00465D47">
        <w:rPr>
          <w:color w:val="auto"/>
          <w:szCs w:val="24"/>
        </w:rPr>
        <w:t>seeks</w:t>
      </w:r>
      <w:r w:rsidR="00BE020E" w:rsidRPr="006A6448">
        <w:rPr>
          <w:color w:val="auto"/>
          <w:szCs w:val="24"/>
        </w:rPr>
        <w:t xml:space="preserve"> to attract investment that increases the housing stock</w:t>
      </w:r>
      <w:r w:rsidR="006A6448">
        <w:rPr>
          <w:color w:val="auto"/>
          <w:szCs w:val="24"/>
        </w:rPr>
        <w:t>.</w:t>
      </w:r>
    </w:p>
    <w:p w14:paraId="7796CE7E" w14:textId="422AECE1" w:rsidR="00BB0B98" w:rsidRDefault="00B87380" w:rsidP="00BB0B98">
      <w:pPr>
        <w:pStyle w:val="ChartMainHeading"/>
      </w:pPr>
      <w:r>
        <w:t>Chart 3.2</w:t>
      </w:r>
      <w:r w:rsidR="00BB0B98">
        <w:t>: Number of approvals by State &amp; Territory</w:t>
      </w:r>
    </w:p>
    <w:bookmarkStart w:id="45" w:name="_1548074934"/>
    <w:bookmarkStart w:id="46" w:name="_GoBack"/>
    <w:bookmarkEnd w:id="45"/>
    <w:p w14:paraId="446A66A6" w14:textId="70A6D8C4" w:rsidR="00710BB7" w:rsidRDefault="00D407C0" w:rsidP="00D407C0">
      <w:pPr>
        <w:pStyle w:val="ChartGraphic"/>
      </w:pPr>
      <w:r>
        <w:object w:dxaOrig="7351" w:dyaOrig="4530" w14:anchorId="4BD6BF6E">
          <v:shape id="_x0000_i1044" type="#_x0000_t75" style="width:367.45pt;height:226.2pt" o:ole="">
            <v:imagedata r:id="rId78" o:title=""/>
          </v:shape>
          <o:OLEObject Type="Link" ProgID="Excel.Sheet.12" ShapeID="_x0000_i1044" DrawAspect="Content" r:id="rId79" UpdateMode="Always">
            <o:LinkType>EnhancedMetaFile</o:LinkType>
            <o:LockedField>false</o:LockedField>
          </o:OLEObject>
        </w:object>
      </w:r>
      <w:bookmarkEnd w:id="46"/>
    </w:p>
    <w:p w14:paraId="44935AB8" w14:textId="77777777" w:rsidR="00EA768F" w:rsidRDefault="00EA768F" w:rsidP="00AB48A7">
      <w:pPr>
        <w:pStyle w:val="SingleParagraph"/>
        <w:rPr>
          <w:highlight w:val="yellow"/>
        </w:rPr>
      </w:pPr>
    </w:p>
    <w:p w14:paraId="0FAC21B9" w14:textId="331AE047" w:rsidR="00EA768F" w:rsidRDefault="005A38D6" w:rsidP="00710BB7">
      <w:pPr>
        <w:rPr>
          <w:color w:val="auto"/>
          <w:szCs w:val="24"/>
        </w:rPr>
      </w:pPr>
      <w:r>
        <w:rPr>
          <w:color w:val="auto"/>
        </w:rPr>
        <w:t>Three</w:t>
      </w:r>
      <w:r w:rsidR="008205A1">
        <w:rPr>
          <w:color w:val="auto"/>
        </w:rPr>
        <w:noBreakHyphen/>
      </w:r>
      <w:r>
        <w:rPr>
          <w:color w:val="auto"/>
        </w:rPr>
        <w:t>quarters</w:t>
      </w:r>
      <w:r w:rsidR="00EA768F">
        <w:rPr>
          <w:color w:val="auto"/>
        </w:rPr>
        <w:t xml:space="preserve"> </w:t>
      </w:r>
      <w:r w:rsidR="00710BB7" w:rsidRPr="00637250">
        <w:rPr>
          <w:color w:val="auto"/>
          <w:szCs w:val="24"/>
        </w:rPr>
        <w:t xml:space="preserve">of </w:t>
      </w:r>
      <w:r w:rsidR="00EA768F">
        <w:rPr>
          <w:color w:val="auto"/>
          <w:szCs w:val="24"/>
        </w:rPr>
        <w:t xml:space="preserve">all </w:t>
      </w:r>
      <w:r w:rsidR="00710BB7" w:rsidRPr="00637250">
        <w:rPr>
          <w:color w:val="auto"/>
          <w:szCs w:val="24"/>
        </w:rPr>
        <w:t>residential real estate approvals were for purchases in Victoria</w:t>
      </w:r>
      <w:r w:rsidR="00584591" w:rsidRPr="00637250">
        <w:rPr>
          <w:color w:val="auto"/>
          <w:szCs w:val="24"/>
        </w:rPr>
        <w:t xml:space="preserve"> and</w:t>
      </w:r>
      <w:r w:rsidR="00710BB7" w:rsidRPr="00637250">
        <w:rPr>
          <w:color w:val="auto"/>
          <w:szCs w:val="24"/>
        </w:rPr>
        <w:t xml:space="preserve"> New</w:t>
      </w:r>
      <w:r w:rsidR="001E36FB" w:rsidRPr="00637250">
        <w:rPr>
          <w:color w:val="auto"/>
          <w:szCs w:val="24"/>
        </w:rPr>
        <w:t> </w:t>
      </w:r>
      <w:r w:rsidR="00710BB7" w:rsidRPr="00637250">
        <w:rPr>
          <w:color w:val="auto"/>
          <w:szCs w:val="24"/>
        </w:rPr>
        <w:t xml:space="preserve">South Wales. </w:t>
      </w:r>
      <w:r w:rsidR="00584591" w:rsidRPr="00637250">
        <w:rPr>
          <w:color w:val="auto"/>
          <w:szCs w:val="24"/>
        </w:rPr>
        <w:t xml:space="preserve">This is consistent with recent years and reflects strong </w:t>
      </w:r>
      <w:r w:rsidR="00637250">
        <w:rPr>
          <w:color w:val="auto"/>
          <w:szCs w:val="24"/>
        </w:rPr>
        <w:t>demand</w:t>
      </w:r>
      <w:r w:rsidR="00584591" w:rsidRPr="00637250">
        <w:rPr>
          <w:color w:val="auto"/>
          <w:szCs w:val="24"/>
        </w:rPr>
        <w:t xml:space="preserve"> </w:t>
      </w:r>
      <w:r w:rsidR="00637250">
        <w:rPr>
          <w:color w:val="auto"/>
          <w:szCs w:val="24"/>
        </w:rPr>
        <w:t xml:space="preserve">for residential property </w:t>
      </w:r>
      <w:r w:rsidR="00584591" w:rsidRPr="00637250">
        <w:rPr>
          <w:color w:val="auto"/>
          <w:szCs w:val="24"/>
        </w:rPr>
        <w:t>in Sydney and Melbourne.</w:t>
      </w:r>
    </w:p>
    <w:p w14:paraId="1BE6F765" w14:textId="59966629" w:rsidR="001628FF" w:rsidRDefault="001628FF" w:rsidP="00710BB7">
      <w:pPr>
        <w:rPr>
          <w:rFonts w:eastAsiaTheme="majorEastAsia" w:cstheme="majorBidi"/>
          <w:b/>
          <w:bCs/>
          <w:smallCaps/>
          <w:color w:val="4F81BD" w:themeColor="accent1"/>
          <w:sz w:val="24"/>
        </w:rPr>
      </w:pPr>
      <w:r>
        <w:rPr>
          <w:smallCaps/>
          <w:sz w:val="24"/>
        </w:rPr>
        <w:br w:type="page"/>
      </w:r>
    </w:p>
    <w:p w14:paraId="27413763" w14:textId="7F488174" w:rsidR="003A03ED" w:rsidRPr="003A03ED" w:rsidRDefault="0089423A" w:rsidP="008F3B80">
      <w:pPr>
        <w:pStyle w:val="Heading3"/>
        <w:tabs>
          <w:tab w:val="left" w:pos="1945"/>
        </w:tabs>
      </w:pPr>
      <w:r>
        <w:rPr>
          <w:rFonts w:ascii="Times New Roman" w:eastAsiaTheme="minorHAnsi" w:hAnsi="Times New Roman"/>
          <w:noProof/>
          <w:color w:val="auto"/>
          <w:szCs w:val="24"/>
        </w:rPr>
        <w:lastRenderedPageBreak/>
        <mc:AlternateContent>
          <mc:Choice Requires="wps">
            <w:drawing>
              <wp:anchor distT="0" distB="0" distL="114300" distR="114300" simplePos="0" relativeHeight="251658248" behindDoc="0" locked="0" layoutInCell="1" allowOverlap="1" wp14:anchorId="79DA341B" wp14:editId="70A700CE">
                <wp:simplePos x="0" y="0"/>
                <wp:positionH relativeFrom="column">
                  <wp:posOffset>-74930</wp:posOffset>
                </wp:positionH>
                <wp:positionV relativeFrom="paragraph">
                  <wp:posOffset>62865</wp:posOffset>
                </wp:positionV>
                <wp:extent cx="4857115" cy="6953250"/>
                <wp:effectExtent l="0" t="0" r="635" b="0"/>
                <wp:wrapSquare wrapText="bothSides"/>
                <wp:docPr id="9" name="Snip and Round Single Corner Rectangle 9"/>
                <wp:cNvGraphicFramePr/>
                <a:graphic xmlns:a="http://schemas.openxmlformats.org/drawingml/2006/main">
                  <a:graphicData uri="http://schemas.microsoft.com/office/word/2010/wordprocessingShape">
                    <wps:wsp>
                      <wps:cNvSpPr/>
                      <wps:spPr>
                        <a:xfrm>
                          <a:off x="0" y="0"/>
                          <a:ext cx="4857115" cy="6953250"/>
                        </a:xfrm>
                        <a:prstGeom prst="snipRoundRect">
                          <a:avLst>
                            <a:gd name="adj1" fmla="val 4290"/>
                            <a:gd name="adj2" fmla="val 16667"/>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9A333" w14:textId="6CD192B9" w:rsidR="00C263DE" w:rsidRPr="00637250" w:rsidRDefault="00C263DE" w:rsidP="00115593">
                            <w:pPr>
                              <w:pStyle w:val="BoxHeading"/>
                            </w:pPr>
                            <w:r>
                              <w:t xml:space="preserve">Foreign investment and residential real estate prices </w:t>
                            </w:r>
                          </w:p>
                          <w:p w14:paraId="7A1667C9" w14:textId="1FB4F097" w:rsidR="00C263DE" w:rsidRPr="008E44B4" w:rsidRDefault="00C263DE" w:rsidP="00115593">
                            <w:pPr>
                              <w:pStyle w:val="BoxText"/>
                            </w:pPr>
                            <w:r w:rsidRPr="008E44B4">
                              <w:t>In December 2016, Treasury published a working paper which explored the relationship between foreign demand for residential real estate and dwelling prices</w:t>
                            </w:r>
                            <w:r>
                              <w:t xml:space="preserve">. </w:t>
                            </w:r>
                            <w:r w:rsidRPr="008E44B4">
                              <w:t>The paper, which used foreign investment approvals data from mid</w:t>
                            </w:r>
                            <w:r>
                              <w:noBreakHyphen/>
                            </w:r>
                            <w:r w:rsidRPr="008E44B4">
                              <w:t>2010 to early</w:t>
                            </w:r>
                            <w:r>
                              <w:t> </w:t>
                            </w:r>
                            <w:r w:rsidRPr="008E44B4">
                              <w:t xml:space="preserve">2015, found that the effect of foreign investment on residential property prices was small. It also suggested that supply constraints contributed to high dwelling prices in Australian capital cities. </w:t>
                            </w:r>
                          </w:p>
                          <w:p w14:paraId="2090CC25" w14:textId="77777777" w:rsidR="00C263DE" w:rsidRPr="008E44B4" w:rsidRDefault="00C263DE" w:rsidP="00115593">
                            <w:pPr>
                              <w:pStyle w:val="BoxText"/>
                            </w:pPr>
                            <w:r w:rsidRPr="008E44B4">
                              <w:t>Foreign investment in residential real estate was concentrated in Melbourne and Sydney over the period of the study. While Melbourne received more foreign investment approvals than Sydney, price growth in Sydney was much stronger than in Melbourne.</w:t>
                            </w:r>
                          </w:p>
                          <w:p w14:paraId="0A322956" w14:textId="0535E7EE" w:rsidR="00C263DE" w:rsidRDefault="00C263DE" w:rsidP="00115593">
                            <w:pPr>
                              <w:pStyle w:val="BoxText"/>
                            </w:pPr>
                            <w:r w:rsidRPr="008E44B4">
                              <w:t>The paper suggests that foreign demand increased prices by between $80 and $122 in Melbour</w:t>
                            </w:r>
                            <w:r>
                              <w:t xml:space="preserve">ne and Sydney in each quarter. </w:t>
                            </w:r>
                            <w:r w:rsidRPr="008E44B4">
                              <w:t>This is modest when compared to the average quarterly increase of $12,800 in Australia</w:t>
                            </w:r>
                            <w:r>
                              <w:t>’</w:t>
                            </w:r>
                            <w:r w:rsidRPr="008E44B4">
                              <w:t>s two largest cities during the period.</w:t>
                            </w:r>
                          </w:p>
                          <w:p w14:paraId="388E307C" w14:textId="5D97BA79" w:rsidR="00C263DE" w:rsidRPr="008F3B80" w:rsidRDefault="00C263DE" w:rsidP="008F3B80">
                            <w:pPr>
                              <w:pStyle w:val="ChartMainHeading"/>
                              <w:rPr>
                                <w:color w:val="FFFFFF" w:themeColor="background1"/>
                              </w:rPr>
                            </w:pPr>
                            <w:r>
                              <w:rPr>
                                <w:color w:val="FFFFFF" w:themeColor="background1"/>
                              </w:rPr>
                              <w:t>Chart 3.3</w:t>
                            </w:r>
                            <w:r w:rsidRPr="008F3B80">
                              <w:rPr>
                                <w:color w:val="FFFFFF" w:themeColor="background1"/>
                              </w:rPr>
                              <w:t xml:space="preserve">: Location of foreign investment approvals </w:t>
                            </w:r>
                            <w:r>
                              <w:rPr>
                                <w:color w:val="FFFFFF" w:themeColor="background1"/>
                              </w:rPr>
                              <w:br/>
                            </w:r>
                            <w:r w:rsidRPr="008F3B80">
                              <w:rPr>
                                <w:color w:val="FFFFFF" w:themeColor="background1"/>
                              </w:rPr>
                              <w:t>(1 July 2010</w:t>
                            </w:r>
                            <w:r>
                              <w:rPr>
                                <w:color w:val="FFFFFF" w:themeColor="background1"/>
                              </w:rPr>
                              <w:t xml:space="preserve"> — </w:t>
                            </w:r>
                            <w:r w:rsidRPr="008F3B80">
                              <w:rPr>
                                <w:color w:val="FFFFFF" w:themeColor="background1"/>
                              </w:rPr>
                              <w:t>31</w:t>
                            </w:r>
                            <w:r>
                              <w:rPr>
                                <w:color w:val="FFFFFF" w:themeColor="background1"/>
                              </w:rPr>
                              <w:t> </w:t>
                            </w:r>
                            <w:r w:rsidRPr="008F3B80">
                              <w:rPr>
                                <w:color w:val="FFFFFF" w:themeColor="background1"/>
                              </w:rPr>
                              <w:t>March 2015)</w:t>
                            </w:r>
                          </w:p>
                          <w:p w14:paraId="2E536BDB" w14:textId="76401D40" w:rsidR="00C263DE" w:rsidRPr="008F3B80" w:rsidRDefault="00C263DE" w:rsidP="008F3B80">
                            <w:pPr>
                              <w:pStyle w:val="ChartandTableFootnote"/>
                              <w:rPr>
                                <w:color w:val="FFFFFF" w:themeColor="background1"/>
                              </w:rPr>
                            </w:pPr>
                            <w:r>
                              <w:object w:dxaOrig="6601" w:dyaOrig="4530" w14:anchorId="3E14A8AC">
                                <v:shape id="_x0000_i1038" type="#_x0000_t75" style="width:329.45pt;height:226.85pt" o:ole="">
                                  <v:imagedata r:id="rId80" o:title=""/>
                                </v:shape>
                                <o:OLEObject Type="Link" ProgID="Excel.Sheet.12" ShapeID="_x0000_i1038" DrawAspect="Content" r:id="rId81" UpdateMode="Always">
                                  <o:LinkType>EnhancedMetaFile</o:LinkType>
                                  <o:LockedField>false</o:LockedField>
                                </o:OLEObject>
                              </w:object>
                            </w:r>
                            <w:r w:rsidRPr="008F3B80">
                              <w:rPr>
                                <w:color w:val="FFFFFF" w:themeColor="background1"/>
                              </w:rPr>
                              <w:t>Note: Melbourne postcodes between 3000 and 3207; Sydney postcodes between 2000 and 2234</w:t>
                            </w:r>
                          </w:p>
                          <w:p w14:paraId="515D7019" w14:textId="10F9108B" w:rsidR="00C263DE" w:rsidRPr="008F3B80" w:rsidRDefault="00C263DE" w:rsidP="008F3B80">
                            <w:pPr>
                              <w:pStyle w:val="ChartandTableFootnote"/>
                              <w:rPr>
                                <w:color w:val="FFFFFF" w:themeColor="background1"/>
                              </w:rPr>
                            </w:pPr>
                            <w:r w:rsidRPr="008F3B80">
                              <w:rPr>
                                <w:color w:val="FFFFFF" w:themeColor="background1"/>
                              </w:rPr>
                              <w:t>Source:</w:t>
                            </w:r>
                            <w:r>
                              <w:rPr>
                                <w:color w:val="FFFFFF" w:themeColor="background1"/>
                              </w:rPr>
                              <w:t xml:space="preserve"> </w:t>
                            </w:r>
                            <w:r w:rsidRPr="008F3B80">
                              <w:rPr>
                                <w:color w:val="FFFFFF" w:themeColor="background1"/>
                              </w:rPr>
                              <w:t>http://treasury.gov.au/PublicationsAndMedia/Publications/2016/Foreign</w:t>
                            </w:r>
                            <w:r>
                              <w:rPr>
                                <w:color w:val="FFFFFF" w:themeColor="background1"/>
                              </w:rPr>
                              <w:noBreakHyphen/>
                            </w:r>
                            <w:r w:rsidRPr="008F3B80">
                              <w:rPr>
                                <w:color w:val="FFFFFF" w:themeColor="background1"/>
                              </w:rPr>
                              <w:t>Investment</w:t>
                            </w:r>
                            <w:r>
                              <w:rPr>
                                <w:color w:val="FFFFFF" w:themeColor="background1"/>
                              </w:rPr>
                              <w:noBreakHyphen/>
                            </w:r>
                            <w:r w:rsidRPr="008F3B80">
                              <w:rPr>
                                <w:color w:val="FFFFFF" w:themeColor="background1"/>
                              </w:rPr>
                              <w:t>and</w:t>
                            </w:r>
                            <w:r>
                              <w:rPr>
                                <w:color w:val="FFFFFF" w:themeColor="background1"/>
                              </w:rPr>
                              <w:noBreakHyphen/>
                            </w:r>
                            <w:r>
                              <w:rPr>
                                <w:color w:val="FFFFFF" w:themeColor="background1"/>
                              </w:rPr>
                              <w:br/>
                            </w:r>
                            <w:r w:rsidRPr="008F3B80">
                              <w:rPr>
                                <w:color w:val="FFFFFF" w:themeColor="background1"/>
                              </w:rPr>
                              <w:t>Residential</w:t>
                            </w:r>
                            <w:r>
                              <w:rPr>
                                <w:color w:val="FFFFFF" w:themeColor="background1"/>
                              </w:rPr>
                              <w:noBreakHyphen/>
                            </w:r>
                            <w:r w:rsidRPr="008F3B80">
                              <w:rPr>
                                <w:color w:val="FFFFFF" w:themeColor="background1"/>
                              </w:rPr>
                              <w:t>Property</w:t>
                            </w:r>
                            <w:r>
                              <w:rPr>
                                <w:color w:val="FFFFFF" w:themeColor="background1"/>
                              </w:rPr>
                              <w:noBreakHyphen/>
                            </w:r>
                            <w:r w:rsidRPr="008F3B80">
                              <w:rPr>
                                <w:color w:val="FFFFFF" w:themeColor="background1"/>
                              </w:rPr>
                              <w:t>Price</w:t>
                            </w:r>
                            <w:r>
                              <w:rPr>
                                <w:color w:val="FFFFFF" w:themeColor="background1"/>
                              </w:rPr>
                              <w:noBreakHyphen/>
                            </w:r>
                            <w:r w:rsidRPr="008F3B80">
                              <w:rPr>
                                <w:color w:val="FFFFFF" w:themeColor="background1"/>
                              </w:rPr>
                              <w:t>Growth</w:t>
                            </w:r>
                            <w:r>
                              <w:rPr>
                                <w:color w:val="FFFFFF" w:themeColor="background1"/>
                              </w:rPr>
                              <w:t>.</w:t>
                            </w:r>
                          </w:p>
                          <w:p w14:paraId="08A24A20" w14:textId="77777777" w:rsidR="00C263DE" w:rsidRDefault="00C263DE" w:rsidP="004B297C">
                            <w:pPr>
                              <w:rPr>
                                <w:color w:val="FFFFFF" w:themeColor="background1"/>
                              </w:rPr>
                            </w:pPr>
                          </w:p>
                          <w:p w14:paraId="6B452736" w14:textId="3F03D369" w:rsidR="00C263DE" w:rsidRDefault="00C263DE" w:rsidP="004B297C">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nip and Round Single Corner Rectangle 9" o:spid="_x0000_s1063" style="position:absolute;margin-left:-5.9pt;margin-top:4.95pt;width:382.45pt;height:54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857115,695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" adj="-11796480,,5400" path="m208370,l4047580,r809535,809535l4857115,6953250,,6953250,,208370c,93290,93290,,208370,xe" fillcolor="#1f497d" stroked="f" strokeweight="2pt">
                <v:stroke joinstyle="miter"/>
                <v:formulas/>
                <v:path arrowok="t" o:connecttype="custom" o:connectlocs="208370,0;4047580,0;4857115,809535;4857115,6953250;0,6953250;0,208370;208370,0" o:connectangles="0,0,0,0,0,0,0" textboxrect="0,0,4857115,6953250"/>
                <v:textbox>
                  <w:txbxContent>
                    <w:p w14:paraId="11C9A333" w14:textId="6CD192B9" w:rsidR="00C263DE" w:rsidRPr="00637250" w:rsidRDefault="00C263DE" w:rsidP="00115593">
                      <w:pPr>
                        <w:pStyle w:val="BoxHeading"/>
                      </w:pPr>
                      <w:r>
                        <w:t xml:space="preserve">Foreign investment and residential real estate prices </w:t>
                      </w:r>
                    </w:p>
                    <w:p w14:paraId="7A1667C9" w14:textId="1FB4F097" w:rsidR="00C263DE" w:rsidRPr="008E44B4" w:rsidRDefault="00C263DE" w:rsidP="00115593">
                      <w:pPr>
                        <w:pStyle w:val="BoxText"/>
                      </w:pPr>
                      <w:r w:rsidRPr="008E44B4">
                        <w:t>In December 2016, Treasury published a working paper which explored the relationship between foreign demand for residential real estate and dwelling prices</w:t>
                      </w:r>
                      <w:r>
                        <w:t xml:space="preserve">. </w:t>
                      </w:r>
                      <w:r w:rsidRPr="008E44B4">
                        <w:t>The paper, which used foreign investment approvals data from mid</w:t>
                      </w:r>
                      <w:r>
                        <w:noBreakHyphen/>
                      </w:r>
                      <w:r w:rsidRPr="008E44B4">
                        <w:t>2010 to early</w:t>
                      </w:r>
                      <w:r>
                        <w:t> </w:t>
                      </w:r>
                      <w:r w:rsidRPr="008E44B4">
                        <w:t xml:space="preserve">2015, found that the effect of foreign investment on residential property prices was small. It also suggested that supply constraints contributed to high dwelling prices in Australian capital cities. </w:t>
                      </w:r>
                    </w:p>
                    <w:p w14:paraId="2090CC25" w14:textId="77777777" w:rsidR="00C263DE" w:rsidRPr="008E44B4" w:rsidRDefault="00C263DE" w:rsidP="00115593">
                      <w:pPr>
                        <w:pStyle w:val="BoxText"/>
                      </w:pPr>
                      <w:r w:rsidRPr="008E44B4">
                        <w:t>Foreign investment in residential real estate was concentrated in Melbourne and Sydney over the period of the study. While Melbourne received more foreign investment approvals than Sydney, price growth in Sydney was much stronger than in Melbourne.</w:t>
                      </w:r>
                    </w:p>
                    <w:p w14:paraId="0A322956" w14:textId="0535E7EE" w:rsidR="00C263DE" w:rsidRDefault="00C263DE" w:rsidP="00115593">
                      <w:pPr>
                        <w:pStyle w:val="BoxText"/>
                      </w:pPr>
                      <w:r w:rsidRPr="008E44B4">
                        <w:t>The paper suggests that foreign demand increased prices by between $80 and $122 in Melbour</w:t>
                      </w:r>
                      <w:r>
                        <w:t xml:space="preserve">ne and Sydney in each quarter. </w:t>
                      </w:r>
                      <w:r w:rsidRPr="008E44B4">
                        <w:t>This is modest when compared to the average quarterly increase of $12,800 in Australia</w:t>
                      </w:r>
                      <w:r>
                        <w:t>’</w:t>
                      </w:r>
                      <w:r w:rsidRPr="008E44B4">
                        <w:t>s two largest cities during the period.</w:t>
                      </w:r>
                    </w:p>
                    <w:p w14:paraId="388E307C" w14:textId="5D97BA79" w:rsidR="00C263DE" w:rsidRPr="008F3B80" w:rsidRDefault="00C263DE" w:rsidP="008F3B80">
                      <w:pPr>
                        <w:pStyle w:val="ChartMainHeading"/>
                        <w:rPr>
                          <w:color w:val="FFFFFF" w:themeColor="background1"/>
                        </w:rPr>
                      </w:pPr>
                      <w:r>
                        <w:rPr>
                          <w:color w:val="FFFFFF" w:themeColor="background1"/>
                        </w:rPr>
                        <w:t>Chart 3.3</w:t>
                      </w:r>
                      <w:r w:rsidRPr="008F3B80">
                        <w:rPr>
                          <w:color w:val="FFFFFF" w:themeColor="background1"/>
                        </w:rPr>
                        <w:t xml:space="preserve">: Location of foreign investment approvals </w:t>
                      </w:r>
                      <w:r>
                        <w:rPr>
                          <w:color w:val="FFFFFF" w:themeColor="background1"/>
                        </w:rPr>
                        <w:br/>
                      </w:r>
                      <w:r w:rsidRPr="008F3B80">
                        <w:rPr>
                          <w:color w:val="FFFFFF" w:themeColor="background1"/>
                        </w:rPr>
                        <w:t>(1 July 2010</w:t>
                      </w:r>
                      <w:r>
                        <w:rPr>
                          <w:color w:val="FFFFFF" w:themeColor="background1"/>
                        </w:rPr>
                        <w:t xml:space="preserve"> — </w:t>
                      </w:r>
                      <w:r w:rsidRPr="008F3B80">
                        <w:rPr>
                          <w:color w:val="FFFFFF" w:themeColor="background1"/>
                        </w:rPr>
                        <w:t>31</w:t>
                      </w:r>
                      <w:r>
                        <w:rPr>
                          <w:color w:val="FFFFFF" w:themeColor="background1"/>
                        </w:rPr>
                        <w:t> </w:t>
                      </w:r>
                      <w:r w:rsidRPr="008F3B80">
                        <w:rPr>
                          <w:color w:val="FFFFFF" w:themeColor="background1"/>
                        </w:rPr>
                        <w:t>March 2015)</w:t>
                      </w:r>
                    </w:p>
                    <w:p w14:paraId="2E536BDB" w14:textId="76401D40" w:rsidR="00C263DE" w:rsidRPr="008F3B80" w:rsidRDefault="00C263DE" w:rsidP="008F3B80">
                      <w:pPr>
                        <w:pStyle w:val="ChartandTableFootnote"/>
                        <w:rPr>
                          <w:color w:val="FFFFFF" w:themeColor="background1"/>
                        </w:rPr>
                      </w:pPr>
                      <w:r>
                        <w:object w:dxaOrig="6601" w:dyaOrig="4530" w14:anchorId="3E14A8AC">
                          <v:shape id="_x0000_i1038" type="#_x0000_t75" style="width:329.45pt;height:226.85pt" o:ole="">
                            <v:imagedata r:id="rId80" o:title=""/>
                          </v:shape>
                          <o:OLEObject Type="Link" ProgID="Excel.Sheet.12" ShapeID="_x0000_i1038" DrawAspect="Content" r:id="rId82" UpdateMode="Always">
                            <o:LinkType>EnhancedMetaFile</o:LinkType>
                            <o:LockedField>false</o:LockedField>
                          </o:OLEObject>
                        </w:object>
                      </w:r>
                      <w:r w:rsidRPr="008F3B80">
                        <w:rPr>
                          <w:color w:val="FFFFFF" w:themeColor="background1"/>
                        </w:rPr>
                        <w:t>Note: Melbourne postcodes between 3000 and 3207; Sydney postcodes between 2000 and 2234</w:t>
                      </w:r>
                    </w:p>
                    <w:p w14:paraId="515D7019" w14:textId="10F9108B" w:rsidR="00C263DE" w:rsidRPr="008F3B80" w:rsidRDefault="00C263DE" w:rsidP="008F3B80">
                      <w:pPr>
                        <w:pStyle w:val="ChartandTableFootnote"/>
                        <w:rPr>
                          <w:color w:val="FFFFFF" w:themeColor="background1"/>
                        </w:rPr>
                      </w:pPr>
                      <w:r w:rsidRPr="008F3B80">
                        <w:rPr>
                          <w:color w:val="FFFFFF" w:themeColor="background1"/>
                        </w:rPr>
                        <w:t>Source:</w:t>
                      </w:r>
                      <w:r>
                        <w:rPr>
                          <w:color w:val="FFFFFF" w:themeColor="background1"/>
                        </w:rPr>
                        <w:t xml:space="preserve"> </w:t>
                      </w:r>
                      <w:r w:rsidRPr="008F3B80">
                        <w:rPr>
                          <w:color w:val="FFFFFF" w:themeColor="background1"/>
                        </w:rPr>
                        <w:t>http://treasury.gov.au/PublicationsAndMedia/Publications/2016/Foreign</w:t>
                      </w:r>
                      <w:r>
                        <w:rPr>
                          <w:color w:val="FFFFFF" w:themeColor="background1"/>
                        </w:rPr>
                        <w:noBreakHyphen/>
                      </w:r>
                      <w:r w:rsidRPr="008F3B80">
                        <w:rPr>
                          <w:color w:val="FFFFFF" w:themeColor="background1"/>
                        </w:rPr>
                        <w:t>Investment</w:t>
                      </w:r>
                      <w:r>
                        <w:rPr>
                          <w:color w:val="FFFFFF" w:themeColor="background1"/>
                        </w:rPr>
                        <w:noBreakHyphen/>
                      </w:r>
                      <w:r w:rsidRPr="008F3B80">
                        <w:rPr>
                          <w:color w:val="FFFFFF" w:themeColor="background1"/>
                        </w:rPr>
                        <w:t>and</w:t>
                      </w:r>
                      <w:r>
                        <w:rPr>
                          <w:color w:val="FFFFFF" w:themeColor="background1"/>
                        </w:rPr>
                        <w:noBreakHyphen/>
                      </w:r>
                      <w:r>
                        <w:rPr>
                          <w:color w:val="FFFFFF" w:themeColor="background1"/>
                        </w:rPr>
                        <w:br/>
                      </w:r>
                      <w:r w:rsidRPr="008F3B80">
                        <w:rPr>
                          <w:color w:val="FFFFFF" w:themeColor="background1"/>
                        </w:rPr>
                        <w:t>Residential</w:t>
                      </w:r>
                      <w:r>
                        <w:rPr>
                          <w:color w:val="FFFFFF" w:themeColor="background1"/>
                        </w:rPr>
                        <w:noBreakHyphen/>
                      </w:r>
                      <w:r w:rsidRPr="008F3B80">
                        <w:rPr>
                          <w:color w:val="FFFFFF" w:themeColor="background1"/>
                        </w:rPr>
                        <w:t>Property</w:t>
                      </w:r>
                      <w:r>
                        <w:rPr>
                          <w:color w:val="FFFFFF" w:themeColor="background1"/>
                        </w:rPr>
                        <w:noBreakHyphen/>
                      </w:r>
                      <w:r w:rsidRPr="008F3B80">
                        <w:rPr>
                          <w:color w:val="FFFFFF" w:themeColor="background1"/>
                        </w:rPr>
                        <w:t>Price</w:t>
                      </w:r>
                      <w:r>
                        <w:rPr>
                          <w:color w:val="FFFFFF" w:themeColor="background1"/>
                        </w:rPr>
                        <w:noBreakHyphen/>
                      </w:r>
                      <w:r w:rsidRPr="008F3B80">
                        <w:rPr>
                          <w:color w:val="FFFFFF" w:themeColor="background1"/>
                        </w:rPr>
                        <w:t>Growth</w:t>
                      </w:r>
                      <w:r>
                        <w:rPr>
                          <w:color w:val="FFFFFF" w:themeColor="background1"/>
                        </w:rPr>
                        <w:t>.</w:t>
                      </w:r>
                    </w:p>
                    <w:p w14:paraId="08A24A20" w14:textId="77777777" w:rsidR="00C263DE" w:rsidRDefault="00C263DE" w:rsidP="004B297C">
                      <w:pPr>
                        <w:rPr>
                          <w:color w:val="FFFFFF" w:themeColor="background1"/>
                        </w:rPr>
                      </w:pPr>
                    </w:p>
                    <w:p w14:paraId="6B452736" w14:textId="3F03D369" w:rsidR="00C263DE" w:rsidRDefault="00C263DE" w:rsidP="004B297C">
                      <w:pPr>
                        <w:rPr>
                          <w:color w:val="FFFFFF" w:themeColor="background1"/>
                        </w:rPr>
                      </w:pPr>
                    </w:p>
                  </w:txbxContent>
                </v:textbox>
                <w10:wrap type="square"/>
              </v:shape>
            </w:pict>
          </mc:Fallback>
        </mc:AlternateContent>
      </w:r>
    </w:p>
    <w:p w14:paraId="20AB7B79" w14:textId="4165A2E1" w:rsidR="00A3498E" w:rsidRDefault="00A3498E">
      <w:pPr>
        <w:spacing w:after="200" w:line="276" w:lineRule="auto"/>
        <w:jc w:val="left"/>
        <w:rPr>
          <w:b/>
          <w:color w:val="auto"/>
          <w:szCs w:val="24"/>
        </w:rPr>
      </w:pPr>
      <w:r>
        <w:rPr>
          <w:b/>
          <w:color w:val="auto"/>
          <w:szCs w:val="24"/>
        </w:rPr>
        <w:br w:type="page"/>
      </w:r>
    </w:p>
    <w:p w14:paraId="07797E70" w14:textId="443B2C1B" w:rsidR="0091379B" w:rsidRPr="00637250" w:rsidRDefault="0091379B" w:rsidP="0089568D">
      <w:pPr>
        <w:pStyle w:val="Heading3noTOC"/>
      </w:pPr>
      <w:r w:rsidRPr="00637250">
        <w:lastRenderedPageBreak/>
        <w:t>Developed</w:t>
      </w:r>
    </w:p>
    <w:p w14:paraId="46B96AF6" w14:textId="2505622F" w:rsidR="008F04A5" w:rsidRPr="00637250" w:rsidRDefault="008F04A5" w:rsidP="008F04A5">
      <w:pPr>
        <w:rPr>
          <w:color w:val="auto"/>
          <w:szCs w:val="24"/>
        </w:rPr>
      </w:pPr>
      <w:r w:rsidRPr="00637250">
        <w:rPr>
          <w:color w:val="auto"/>
          <w:szCs w:val="24"/>
        </w:rPr>
        <w:t>Established dwellings</w:t>
      </w:r>
      <w:r>
        <w:rPr>
          <w:color w:val="auto"/>
          <w:szCs w:val="24"/>
        </w:rPr>
        <w:t xml:space="preserve"> (or developed residential premises)</w:t>
      </w:r>
      <w:r w:rsidRPr="00637250">
        <w:rPr>
          <w:color w:val="auto"/>
          <w:szCs w:val="24"/>
        </w:rPr>
        <w:t xml:space="preserve"> can generally only be purchased by temporary residents for use as their home </w:t>
      </w:r>
      <w:r>
        <w:rPr>
          <w:color w:val="auto"/>
          <w:szCs w:val="24"/>
        </w:rPr>
        <w:t xml:space="preserve">while they remain </w:t>
      </w:r>
      <w:r w:rsidRPr="00637250">
        <w:rPr>
          <w:color w:val="auto"/>
          <w:szCs w:val="24"/>
        </w:rPr>
        <w:t>in Australia. A small number of approvals are given for foreign persons that operate a substantial Australian business to acquire an established dwelling to house their Australian based staff.</w:t>
      </w:r>
    </w:p>
    <w:p w14:paraId="4F635C5B" w14:textId="4CE7ABAD" w:rsidR="00185B30" w:rsidRPr="00637250" w:rsidRDefault="00E11EAD" w:rsidP="0091379B">
      <w:pPr>
        <w:rPr>
          <w:color w:val="auto"/>
          <w:szCs w:val="24"/>
        </w:rPr>
      </w:pPr>
      <w:r w:rsidRPr="00637250">
        <w:rPr>
          <w:color w:val="auto"/>
          <w:szCs w:val="24"/>
        </w:rPr>
        <w:t>In 2015</w:t>
      </w:r>
      <w:r w:rsidR="008205A1">
        <w:rPr>
          <w:color w:val="auto"/>
          <w:szCs w:val="24"/>
        </w:rPr>
        <w:noBreakHyphen/>
      </w:r>
      <w:r w:rsidRPr="00637250">
        <w:rPr>
          <w:color w:val="auto"/>
          <w:szCs w:val="24"/>
        </w:rPr>
        <w:t>16</w:t>
      </w:r>
      <w:r w:rsidR="00185B30" w:rsidRPr="00637250">
        <w:rPr>
          <w:color w:val="auto"/>
          <w:szCs w:val="24"/>
        </w:rPr>
        <w:t>,</w:t>
      </w:r>
      <w:r w:rsidRPr="00637250">
        <w:rPr>
          <w:color w:val="auto"/>
          <w:szCs w:val="24"/>
        </w:rPr>
        <w:t xml:space="preserve"> </w:t>
      </w:r>
      <w:r w:rsidR="00D97F24" w:rsidRPr="00637250">
        <w:rPr>
          <w:color w:val="auto"/>
          <w:szCs w:val="24"/>
        </w:rPr>
        <w:t>5,877</w:t>
      </w:r>
      <w:r w:rsidR="00EB6203" w:rsidRPr="00637250">
        <w:rPr>
          <w:color w:val="auto"/>
          <w:szCs w:val="24"/>
        </w:rPr>
        <w:t xml:space="preserve"> approvals were given for established dwellings, a decrease of 36 per cent from 2014</w:t>
      </w:r>
      <w:r w:rsidR="008205A1">
        <w:rPr>
          <w:color w:val="auto"/>
          <w:szCs w:val="24"/>
        </w:rPr>
        <w:noBreakHyphen/>
      </w:r>
      <w:r w:rsidR="00EB6203" w:rsidRPr="00637250">
        <w:rPr>
          <w:color w:val="auto"/>
          <w:szCs w:val="24"/>
        </w:rPr>
        <w:t>15. The decrease can be attributed to a range of reasons including housing market conditions, state and territory policy changes</w:t>
      </w:r>
      <w:r w:rsidR="00185B30" w:rsidRPr="00637250">
        <w:rPr>
          <w:color w:val="auto"/>
          <w:szCs w:val="24"/>
        </w:rPr>
        <w:t xml:space="preserve">, </w:t>
      </w:r>
      <w:r w:rsidR="0081048E" w:rsidRPr="00637250">
        <w:rPr>
          <w:color w:val="auto"/>
          <w:szCs w:val="24"/>
        </w:rPr>
        <w:t xml:space="preserve">a shift to investment in new dwellings, </w:t>
      </w:r>
      <w:r w:rsidR="00241D16">
        <w:rPr>
          <w:color w:val="auto"/>
          <w:szCs w:val="24"/>
        </w:rPr>
        <w:t xml:space="preserve">and </w:t>
      </w:r>
      <w:r w:rsidR="00185B30" w:rsidRPr="00637250">
        <w:rPr>
          <w:color w:val="auto"/>
          <w:szCs w:val="24"/>
        </w:rPr>
        <w:t>the introduction of fees and processing changes</w:t>
      </w:r>
      <w:r w:rsidR="00EB6203" w:rsidRPr="00B14EFF">
        <w:rPr>
          <w:color w:val="auto"/>
          <w:szCs w:val="24"/>
        </w:rPr>
        <w:t>.</w:t>
      </w:r>
      <w:r w:rsidR="0081048E" w:rsidRPr="00B14EFF">
        <w:rPr>
          <w:color w:val="auto"/>
          <w:szCs w:val="24"/>
        </w:rPr>
        <w:t xml:space="preserve"> </w:t>
      </w:r>
      <w:r w:rsidR="00F01A2D" w:rsidRPr="00127D2F">
        <w:rPr>
          <w:color w:val="auto"/>
        </w:rPr>
        <w:t>Additionally, the introduction of</w:t>
      </w:r>
      <w:r w:rsidR="00CE50A1" w:rsidRPr="00127D2F">
        <w:rPr>
          <w:color w:val="auto"/>
        </w:rPr>
        <w:t xml:space="preserve"> the</w:t>
      </w:r>
      <w:r w:rsidR="00465D47" w:rsidRPr="00127D2F">
        <w:rPr>
          <w:color w:val="auto"/>
        </w:rPr>
        <w:t xml:space="preserve"> established dwelling exemption c</w:t>
      </w:r>
      <w:r w:rsidR="00F01A2D" w:rsidRPr="00127D2F">
        <w:rPr>
          <w:color w:val="auto"/>
        </w:rPr>
        <w:t>ertificate enable</w:t>
      </w:r>
      <w:r w:rsidR="00CE50A1" w:rsidRPr="00127D2F">
        <w:rPr>
          <w:color w:val="auto"/>
        </w:rPr>
        <w:t>s</w:t>
      </w:r>
      <w:r w:rsidR="00F01A2D" w:rsidRPr="00127D2F">
        <w:rPr>
          <w:color w:val="auto"/>
        </w:rPr>
        <w:t xml:space="preserve"> foreign persons to receive pre</w:t>
      </w:r>
      <w:r w:rsidR="007954C8">
        <w:rPr>
          <w:color w:val="auto"/>
        </w:rPr>
        <w:noBreakHyphen/>
      </w:r>
      <w:r w:rsidR="00F01A2D" w:rsidRPr="00127D2F">
        <w:rPr>
          <w:color w:val="auto"/>
        </w:rPr>
        <w:t xml:space="preserve">approval </w:t>
      </w:r>
      <w:r w:rsidR="00026CC8" w:rsidRPr="00127D2F">
        <w:rPr>
          <w:color w:val="auto"/>
        </w:rPr>
        <w:t>to purchase</w:t>
      </w:r>
      <w:r w:rsidR="00F01A2D" w:rsidRPr="00127D2F">
        <w:rPr>
          <w:color w:val="auto"/>
        </w:rPr>
        <w:t xml:space="preserve"> a single established dwelling</w:t>
      </w:r>
      <w:r w:rsidR="00B14EFF" w:rsidRPr="00127D2F">
        <w:rPr>
          <w:color w:val="auto"/>
        </w:rPr>
        <w:t xml:space="preserve"> and notify its location once </w:t>
      </w:r>
      <w:r w:rsidR="007714F4" w:rsidRPr="00127D2F">
        <w:rPr>
          <w:color w:val="auto"/>
          <w:szCs w:val="24"/>
        </w:rPr>
        <w:t>purchased,</w:t>
      </w:r>
      <w:r w:rsidR="00F01A2D" w:rsidRPr="00127D2F">
        <w:rPr>
          <w:color w:val="auto"/>
        </w:rPr>
        <w:t xml:space="preserve"> </w:t>
      </w:r>
      <w:r w:rsidR="00CE50A1" w:rsidRPr="00127D2F">
        <w:rPr>
          <w:color w:val="auto"/>
        </w:rPr>
        <w:t xml:space="preserve">rather than requiring the person to seek individual approvals for each dwelling they may be </w:t>
      </w:r>
      <w:r w:rsidR="001F150B">
        <w:rPr>
          <w:color w:val="auto"/>
        </w:rPr>
        <w:t>seeking</w:t>
      </w:r>
      <w:r w:rsidR="00CE50A1" w:rsidRPr="00127D2F">
        <w:rPr>
          <w:color w:val="auto"/>
        </w:rPr>
        <w:t xml:space="preserve"> </w:t>
      </w:r>
      <w:r w:rsidR="001F150B">
        <w:rPr>
          <w:color w:val="auto"/>
        </w:rPr>
        <w:t>to</w:t>
      </w:r>
      <w:r w:rsidR="00CE50A1" w:rsidRPr="00127D2F">
        <w:rPr>
          <w:color w:val="auto"/>
        </w:rPr>
        <w:t xml:space="preserve"> </w:t>
      </w:r>
      <w:r w:rsidR="001F150B">
        <w:rPr>
          <w:color w:val="auto"/>
        </w:rPr>
        <w:t>purchase until they successfully purchase one dwelling</w:t>
      </w:r>
      <w:r w:rsidR="00156E8D" w:rsidRPr="00127D2F">
        <w:rPr>
          <w:color w:val="auto"/>
        </w:rPr>
        <w:t>.</w:t>
      </w:r>
      <w:r w:rsidR="00156E8D" w:rsidRPr="00127D2F">
        <w:rPr>
          <w:color w:val="auto"/>
          <w:szCs w:val="24"/>
        </w:rPr>
        <w:t xml:space="preserve"> </w:t>
      </w:r>
      <w:r w:rsidR="00A6562F">
        <w:rPr>
          <w:color w:val="auto"/>
          <w:szCs w:val="24"/>
        </w:rPr>
        <w:t>In 2015</w:t>
      </w:r>
      <w:r w:rsidR="008205A1">
        <w:rPr>
          <w:color w:val="auto"/>
          <w:szCs w:val="24"/>
        </w:rPr>
        <w:noBreakHyphen/>
      </w:r>
      <w:r w:rsidR="00A6562F">
        <w:rPr>
          <w:color w:val="auto"/>
          <w:szCs w:val="24"/>
        </w:rPr>
        <w:t>16, t</w:t>
      </w:r>
      <w:r w:rsidR="00156E8D" w:rsidRPr="00127D2F">
        <w:rPr>
          <w:color w:val="auto"/>
          <w:szCs w:val="24"/>
        </w:rPr>
        <w:t>he</w:t>
      </w:r>
      <w:r w:rsidR="00465D47" w:rsidRPr="00127D2F">
        <w:rPr>
          <w:color w:val="auto"/>
          <w:szCs w:val="24"/>
        </w:rPr>
        <w:t xml:space="preserve"> established dwelling exemption c</w:t>
      </w:r>
      <w:r w:rsidR="00026CC8" w:rsidRPr="00127D2F">
        <w:rPr>
          <w:color w:val="auto"/>
          <w:szCs w:val="24"/>
        </w:rPr>
        <w:t xml:space="preserve">ertificate </w:t>
      </w:r>
      <w:r w:rsidR="00A6562F">
        <w:rPr>
          <w:color w:val="auto"/>
          <w:szCs w:val="24"/>
        </w:rPr>
        <w:t>was limited to use for purchases of an established</w:t>
      </w:r>
      <w:r w:rsidR="00026CC8" w:rsidRPr="00127D2F">
        <w:rPr>
          <w:color w:val="auto"/>
          <w:szCs w:val="24"/>
        </w:rPr>
        <w:t xml:space="preserve"> dwelling </w:t>
      </w:r>
      <w:r w:rsidR="00A6562F">
        <w:rPr>
          <w:color w:val="auto"/>
          <w:szCs w:val="24"/>
        </w:rPr>
        <w:t xml:space="preserve">made </w:t>
      </w:r>
      <w:r w:rsidR="00026CC8" w:rsidRPr="00127D2F">
        <w:rPr>
          <w:color w:val="auto"/>
          <w:szCs w:val="24"/>
        </w:rPr>
        <w:t>through an auction process.</w:t>
      </w:r>
    </w:p>
    <w:p w14:paraId="6692A2D3" w14:textId="77777777" w:rsidR="0091379B" w:rsidRPr="00637250" w:rsidRDefault="0091379B" w:rsidP="0089568D">
      <w:pPr>
        <w:pStyle w:val="Heading3noTOC"/>
      </w:pPr>
      <w:r w:rsidRPr="00637250">
        <w:t>For development</w:t>
      </w:r>
    </w:p>
    <w:p w14:paraId="63065195" w14:textId="78A4EDCC" w:rsidR="00A53DEF" w:rsidRPr="00637250" w:rsidRDefault="00A53DEF" w:rsidP="0091379B">
      <w:pPr>
        <w:rPr>
          <w:color w:val="auto"/>
          <w:szCs w:val="24"/>
        </w:rPr>
      </w:pPr>
      <w:r w:rsidRPr="00637250">
        <w:rPr>
          <w:color w:val="auto"/>
          <w:szCs w:val="24"/>
        </w:rPr>
        <w:t>Australia</w:t>
      </w:r>
      <w:r w:rsidR="008205A1">
        <w:rPr>
          <w:color w:val="auto"/>
          <w:szCs w:val="24"/>
        </w:rPr>
        <w:t>’</w:t>
      </w:r>
      <w:r w:rsidRPr="00637250">
        <w:rPr>
          <w:color w:val="auto"/>
          <w:szCs w:val="24"/>
        </w:rPr>
        <w:t xml:space="preserve">s foreign investment policy encourages investment in the residential real estate sector which helps build supply. The 34,264 approvals given for development include approvals for new dwellings, vacant land and other residential property for development. </w:t>
      </w:r>
      <w:r w:rsidR="0081048E" w:rsidRPr="00637250">
        <w:rPr>
          <w:color w:val="auto"/>
          <w:szCs w:val="24"/>
        </w:rPr>
        <w:t xml:space="preserve">This represents a growth of 24 per cent </w:t>
      </w:r>
      <w:r w:rsidR="00465D47">
        <w:rPr>
          <w:color w:val="auto"/>
          <w:szCs w:val="24"/>
        </w:rPr>
        <w:t xml:space="preserve">growth </w:t>
      </w:r>
      <w:r w:rsidR="0081048E" w:rsidRPr="00637250">
        <w:rPr>
          <w:color w:val="auto"/>
          <w:szCs w:val="24"/>
        </w:rPr>
        <w:t xml:space="preserve">on approvals </w:t>
      </w:r>
      <w:r w:rsidR="00465D47">
        <w:rPr>
          <w:color w:val="auto"/>
          <w:szCs w:val="24"/>
        </w:rPr>
        <w:t>granted</w:t>
      </w:r>
      <w:r w:rsidR="0081048E" w:rsidRPr="00637250">
        <w:rPr>
          <w:color w:val="auto"/>
          <w:szCs w:val="24"/>
        </w:rPr>
        <w:t xml:space="preserve"> in 2014</w:t>
      </w:r>
      <w:r w:rsidR="008205A1">
        <w:rPr>
          <w:color w:val="auto"/>
          <w:szCs w:val="24"/>
        </w:rPr>
        <w:noBreakHyphen/>
      </w:r>
      <w:r w:rsidR="0081048E" w:rsidRPr="00637250">
        <w:rPr>
          <w:color w:val="auto"/>
          <w:szCs w:val="24"/>
        </w:rPr>
        <w:t>1</w:t>
      </w:r>
      <w:r w:rsidR="007972DE">
        <w:rPr>
          <w:color w:val="auto"/>
          <w:szCs w:val="24"/>
        </w:rPr>
        <w:t>5 for property for development.</w:t>
      </w:r>
    </w:p>
    <w:p w14:paraId="10CFD30B" w14:textId="4E673D62" w:rsidR="0091379B" w:rsidRPr="00637250" w:rsidRDefault="0091379B" w:rsidP="0091379B">
      <w:pPr>
        <w:rPr>
          <w:color w:val="auto"/>
          <w:szCs w:val="24"/>
        </w:rPr>
      </w:pPr>
      <w:r w:rsidRPr="00637250">
        <w:rPr>
          <w:color w:val="auto"/>
          <w:szCs w:val="24"/>
        </w:rPr>
        <w:t xml:space="preserve">The </w:t>
      </w:r>
      <w:bookmarkStart w:id="47" w:name="OLE_LINK54"/>
      <w:bookmarkStart w:id="48" w:name="OLE_LINK55"/>
      <w:r w:rsidRPr="00465D47">
        <w:rPr>
          <w:color w:val="auto"/>
          <w:szCs w:val="24"/>
        </w:rPr>
        <w:t>new dwelling exemption certificate</w:t>
      </w:r>
      <w:r w:rsidRPr="00637250">
        <w:rPr>
          <w:color w:val="auto"/>
          <w:szCs w:val="24"/>
        </w:rPr>
        <w:t xml:space="preserve"> </w:t>
      </w:r>
      <w:bookmarkEnd w:id="47"/>
      <w:bookmarkEnd w:id="48"/>
      <w:r w:rsidR="0081048E" w:rsidRPr="00637250">
        <w:rPr>
          <w:color w:val="auto"/>
          <w:szCs w:val="24"/>
        </w:rPr>
        <w:t>allows</w:t>
      </w:r>
      <w:r w:rsidRPr="00637250">
        <w:rPr>
          <w:color w:val="auto"/>
          <w:szCs w:val="24"/>
        </w:rPr>
        <w:t xml:space="preserve"> developers to </w:t>
      </w:r>
      <w:r w:rsidR="0081048E" w:rsidRPr="00637250">
        <w:rPr>
          <w:color w:val="auto"/>
          <w:szCs w:val="24"/>
        </w:rPr>
        <w:t>receive pre</w:t>
      </w:r>
      <w:r w:rsidR="008205A1">
        <w:rPr>
          <w:color w:val="auto"/>
          <w:szCs w:val="24"/>
        </w:rPr>
        <w:noBreakHyphen/>
      </w:r>
      <w:r w:rsidR="0081048E" w:rsidRPr="00637250">
        <w:rPr>
          <w:color w:val="auto"/>
          <w:szCs w:val="24"/>
        </w:rPr>
        <w:t xml:space="preserve">approval for foreign investors to purchase </w:t>
      </w:r>
      <w:r w:rsidRPr="00637250">
        <w:rPr>
          <w:color w:val="auto"/>
          <w:szCs w:val="24"/>
        </w:rPr>
        <w:t xml:space="preserve">new residences </w:t>
      </w:r>
      <w:r w:rsidR="0058501D">
        <w:rPr>
          <w:color w:val="auto"/>
          <w:szCs w:val="24"/>
        </w:rPr>
        <w:t>valued under $3 million</w:t>
      </w:r>
      <w:r w:rsidR="0058501D" w:rsidRPr="00637250">
        <w:rPr>
          <w:color w:val="auto"/>
          <w:szCs w:val="24"/>
        </w:rPr>
        <w:t xml:space="preserve"> </w:t>
      </w:r>
      <w:r w:rsidRPr="00637250">
        <w:rPr>
          <w:color w:val="auto"/>
          <w:szCs w:val="24"/>
        </w:rPr>
        <w:t>in a development</w:t>
      </w:r>
      <w:r w:rsidR="007A7403" w:rsidRPr="00637250">
        <w:rPr>
          <w:color w:val="auto"/>
          <w:szCs w:val="24"/>
        </w:rPr>
        <w:t xml:space="preserve">. The developer is </w:t>
      </w:r>
      <w:r w:rsidRPr="00637250">
        <w:rPr>
          <w:color w:val="auto"/>
          <w:szCs w:val="24"/>
        </w:rPr>
        <w:t>required to market the dwellings locally</w:t>
      </w:r>
      <w:r w:rsidR="007A7403" w:rsidRPr="00637250">
        <w:rPr>
          <w:color w:val="auto"/>
          <w:szCs w:val="24"/>
        </w:rPr>
        <w:t xml:space="preserve"> and must report on all purchases made by foreign persons (which can occur over a number of years). As the value of the investment reported against this exemption certificate represents the maximum amount foreign persons may acquire under the certificate, the approved investment figure may overstate the exte</w:t>
      </w:r>
      <w:r w:rsidR="007972DE">
        <w:rPr>
          <w:color w:val="auto"/>
          <w:szCs w:val="24"/>
        </w:rPr>
        <w:t>nt of actual foreign purchases.</w:t>
      </w:r>
    </w:p>
    <w:p w14:paraId="1FCC9024" w14:textId="2CBB73D4" w:rsidR="00637250" w:rsidRDefault="00637250">
      <w:pPr>
        <w:spacing w:after="200" w:line="276" w:lineRule="auto"/>
        <w:jc w:val="left"/>
        <w:rPr>
          <w:sz w:val="24"/>
        </w:rPr>
      </w:pPr>
      <w:r>
        <w:rPr>
          <w:sz w:val="24"/>
        </w:rPr>
        <w:br w:type="page"/>
      </w:r>
    </w:p>
    <w:p w14:paraId="006F322C" w14:textId="165D9EA1" w:rsidR="001628FF" w:rsidRPr="00637250" w:rsidRDefault="001628FF" w:rsidP="00115593">
      <w:pPr>
        <w:pStyle w:val="TableHeading"/>
      </w:pPr>
      <w:r w:rsidRPr="00637250">
        <w:lastRenderedPageBreak/>
        <w:t xml:space="preserve">Table </w:t>
      </w:r>
      <w:r w:rsidR="00EA768F">
        <w:t>3.10</w:t>
      </w:r>
      <w:r w:rsidRPr="00637250">
        <w:t>: Investment in residential real estate by type of approval and number of proposals approved: 201</w:t>
      </w:r>
      <w:r w:rsidR="00D91F93" w:rsidRPr="00637250">
        <w:t>2</w:t>
      </w:r>
      <w:r w:rsidR="008205A1">
        <w:noBreakHyphen/>
      </w:r>
      <w:r w:rsidR="00D91F93" w:rsidRPr="00637250">
        <w:t>13 to 2015</w:t>
      </w:r>
      <w:r w:rsidR="008205A1">
        <w:noBreakHyphen/>
      </w:r>
      <w:r w:rsidR="00D91F93" w:rsidRPr="00637250">
        <w:t>16</w:t>
      </w:r>
    </w:p>
    <w:bookmarkStart w:id="49" w:name="_1548074936"/>
    <w:bookmarkEnd w:id="49"/>
    <w:p w14:paraId="44E48186" w14:textId="139C54A8" w:rsidR="001628FF" w:rsidRDefault="006C7693" w:rsidP="00C204CC">
      <w:pPr>
        <w:pStyle w:val="TableGraphic"/>
      </w:pPr>
      <w:r>
        <w:object w:dxaOrig="7724" w:dyaOrig="5836" w14:anchorId="5E81AC8F">
          <v:shape id="_x0000_i1039" type="#_x0000_t75" style="width:385.15pt;height:292.1pt" o:ole="">
            <v:imagedata r:id="rId83" o:title=""/>
          </v:shape>
          <o:OLEObject Type="Link" ProgID="Excel.Sheet.12" ShapeID="_x0000_i1039" DrawAspect="Content" r:id="rId84" UpdateMode="Always">
            <o:LinkType>EnhancedMetaFile</o:LinkType>
            <o:LockedField/>
          </o:OLEObject>
        </w:object>
      </w:r>
    </w:p>
    <w:p w14:paraId="0D49CCB9" w14:textId="77777777" w:rsidR="001628FF" w:rsidRDefault="001628FF" w:rsidP="0020367F">
      <w:pPr>
        <w:pStyle w:val="ChartandTableFootnoteSmall"/>
      </w:pPr>
      <w:r w:rsidRPr="008E67A6">
        <w:t>Note:</w:t>
      </w:r>
      <w:r w:rsidRPr="008E67A6">
        <w:tab/>
      </w:r>
      <w:r w:rsidRPr="0020367F">
        <w:t>Totals</w:t>
      </w:r>
      <w:r w:rsidRPr="008E67A6">
        <w:t xml:space="preserve"> may not add due to rounding.</w:t>
      </w:r>
      <w:r w:rsidRPr="00F96AF7">
        <w:t xml:space="preserve"> </w:t>
      </w:r>
    </w:p>
    <w:p w14:paraId="2A5C9675" w14:textId="5BCBEEBF" w:rsidR="00FB19BC" w:rsidRDefault="00FB19BC" w:rsidP="00FB19BC">
      <w:pPr>
        <w:pStyle w:val="ChartandTableFootnoteSmall"/>
        <w:ind w:left="720"/>
      </w:pPr>
      <w:r>
        <w:t>* Established dwelling exemption certificates were introduced with the 1 December 2015 reforms.</w:t>
      </w:r>
    </w:p>
    <w:p w14:paraId="01C55EA4" w14:textId="5EE4D5C1" w:rsidR="00F44B1D" w:rsidRDefault="00FB19BC" w:rsidP="00FB19BC">
      <w:pPr>
        <w:pStyle w:val="ChartandTableFootnoteSmall"/>
        <w:ind w:left="720"/>
      </w:pPr>
      <w:r>
        <w:t>^ From 1 December 2015, annual programs under the new provisions in the Act are known as exemption certificates</w:t>
      </w:r>
      <w:r w:rsidR="00D73834">
        <w:t>.</w:t>
      </w:r>
      <w:r>
        <w:t xml:space="preserve"> </w:t>
      </w:r>
    </w:p>
    <w:p w14:paraId="7F82BCC0" w14:textId="14D05BFE" w:rsidR="00956EC8" w:rsidRDefault="00F522FB" w:rsidP="00375851">
      <w:pPr>
        <w:pStyle w:val="ChartandTableFootnoteSmall"/>
        <w:ind w:firstLine="720"/>
      </w:pPr>
      <w:r>
        <w:t xml:space="preserve">The </w:t>
      </w:r>
      <w:r w:rsidR="00DC285F" w:rsidRPr="00DC285F">
        <w:t>2015</w:t>
      </w:r>
      <w:r w:rsidR="008205A1">
        <w:noBreakHyphen/>
      </w:r>
      <w:r w:rsidR="00DC285F" w:rsidRPr="00DC285F">
        <w:t xml:space="preserve">16 figures were impacted by the 1 December 2015 reforms, which may </w:t>
      </w:r>
      <w:r w:rsidR="00465D47">
        <w:t xml:space="preserve">affect data </w:t>
      </w:r>
      <w:r w:rsidR="00DC285F" w:rsidRPr="00DC285F">
        <w:t>comparability</w:t>
      </w:r>
      <w:r w:rsidR="00956EC8">
        <w:t>.</w:t>
      </w:r>
    </w:p>
    <w:p w14:paraId="73843D62" w14:textId="77777777" w:rsidR="006313AE" w:rsidRDefault="006313AE">
      <w:pPr>
        <w:spacing w:after="200" w:line="276" w:lineRule="auto"/>
        <w:jc w:val="left"/>
        <w:rPr>
          <w:rFonts w:ascii="Calibri" w:hAnsi="Calibri"/>
          <w:b/>
          <w:bCs/>
          <w:color w:val="003E74"/>
          <w:sz w:val="22"/>
          <w:szCs w:val="22"/>
        </w:rPr>
      </w:pPr>
      <w:r>
        <w:br w:type="page"/>
      </w:r>
    </w:p>
    <w:p w14:paraId="48F42301" w14:textId="582DE3AD" w:rsidR="00D91F93" w:rsidRPr="00637250" w:rsidRDefault="00D91F93" w:rsidP="00115593">
      <w:pPr>
        <w:pStyle w:val="TableHeading"/>
      </w:pPr>
      <w:r w:rsidRPr="00637250">
        <w:lastRenderedPageBreak/>
        <w:t xml:space="preserve">Table </w:t>
      </w:r>
      <w:r w:rsidR="007972DE" w:rsidRPr="007972DE">
        <w:t>3</w:t>
      </w:r>
      <w:r w:rsidRPr="007972DE">
        <w:t>.1</w:t>
      </w:r>
      <w:r w:rsidR="007972DE" w:rsidRPr="007972DE">
        <w:t>1</w:t>
      </w:r>
      <w:r w:rsidRPr="00637250">
        <w:t xml:space="preserve">: State and </w:t>
      </w:r>
      <w:r w:rsidR="001E36FB" w:rsidRPr="00637250">
        <w:t xml:space="preserve">territory </w:t>
      </w:r>
      <w:r w:rsidRPr="00637250">
        <w:t xml:space="preserve">distribution of proposed investment in </w:t>
      </w:r>
      <w:r w:rsidR="00F44B1D">
        <w:t xml:space="preserve">residential </w:t>
      </w:r>
      <w:r w:rsidRPr="00637250">
        <w:t>real estate in 201</w:t>
      </w:r>
      <w:r w:rsidR="001E36FB" w:rsidRPr="00637250">
        <w:t>5</w:t>
      </w:r>
      <w:r w:rsidR="008205A1">
        <w:noBreakHyphen/>
      </w:r>
      <w:r w:rsidR="001E36FB" w:rsidRPr="00637250">
        <w:t>16</w:t>
      </w:r>
    </w:p>
    <w:bookmarkStart w:id="50" w:name="_1548074937"/>
    <w:bookmarkEnd w:id="50"/>
    <w:p w14:paraId="58EFBACC" w14:textId="2B1EB041" w:rsidR="00D91F93" w:rsidRDefault="004D30B0" w:rsidP="001E36FB">
      <w:pPr>
        <w:pStyle w:val="TableGraphic"/>
      </w:pPr>
      <w:r>
        <w:object w:dxaOrig="7729" w:dyaOrig="3510" w14:anchorId="119E6B80">
          <v:shape id="_x0000_i1040" type="#_x0000_t75" style="width:387.15pt;height:175.25pt" o:ole="">
            <v:imagedata r:id="rId85" o:title=""/>
          </v:shape>
          <o:OLEObject Type="Link" ProgID="Excel.Sheet.12" ShapeID="_x0000_i1040" DrawAspect="Content" r:id="rId86" UpdateMode="Always">
            <o:LinkType>EnhancedMetaFile</o:LinkType>
            <o:LockedField>false</o:LockedField>
          </o:OLEObject>
        </w:object>
      </w:r>
    </w:p>
    <w:p w14:paraId="7FDE115A" w14:textId="468E2695" w:rsidR="00D91F93" w:rsidRDefault="00A45443" w:rsidP="0020367F">
      <w:pPr>
        <w:pStyle w:val="ChartandTableFootnoteAlphaSmall"/>
      </w:pPr>
      <w:r>
        <w:t>(</w:t>
      </w:r>
      <w:proofErr w:type="gramStart"/>
      <w:r>
        <w:t>a</w:t>
      </w:r>
      <w:proofErr w:type="gramEnd"/>
      <w:r>
        <w:t xml:space="preserve">) </w:t>
      </w:r>
      <w:r w:rsidR="00375851">
        <w:tab/>
      </w:r>
      <w:r w:rsidR="00D91F93" w:rsidRPr="002E4CED">
        <w:t>Comprises approved proposals where the proposed investment is to be undertaken in</w:t>
      </w:r>
      <w:r w:rsidR="00D91F93" w:rsidRPr="00F96AF7">
        <w:t xml:space="preserve"> </w:t>
      </w:r>
      <w:r w:rsidR="00D91F93" w:rsidRPr="002E4CED">
        <w:t>more than one</w:t>
      </w:r>
      <w:r w:rsidR="00D91F93">
        <w:t> </w:t>
      </w:r>
      <w:r w:rsidR="00D91F93" w:rsidRPr="002E4CED">
        <w:t xml:space="preserve">state or territory. </w:t>
      </w:r>
    </w:p>
    <w:p w14:paraId="054CA375" w14:textId="7F9C18DC" w:rsidR="00D91F93" w:rsidRDefault="00D91F93" w:rsidP="0020367F">
      <w:pPr>
        <w:pStyle w:val="ChartandTableFootnoteSmall"/>
      </w:pPr>
      <w:r w:rsidRPr="006132D1">
        <w:t>Note:</w:t>
      </w:r>
      <w:r w:rsidR="00375851">
        <w:t xml:space="preserve"> </w:t>
      </w:r>
      <w:r w:rsidR="00375851">
        <w:tab/>
      </w:r>
      <w:r w:rsidRPr="006132D1">
        <w:t xml:space="preserve">Totals may </w:t>
      </w:r>
      <w:r w:rsidRPr="0020367F">
        <w:t>not</w:t>
      </w:r>
      <w:r w:rsidRPr="006132D1">
        <w:t xml:space="preserve"> add due to rounding.</w:t>
      </w:r>
    </w:p>
    <w:p w14:paraId="6827796C" w14:textId="7E737144" w:rsidR="00D91F93" w:rsidRPr="006132D1" w:rsidRDefault="00D91F93" w:rsidP="0020367F">
      <w:pPr>
        <w:pStyle w:val="ChartandTableFootnoteAlphaSmall"/>
      </w:pPr>
      <w:r>
        <w:tab/>
      </w:r>
      <w:r w:rsidR="00375851">
        <w:tab/>
      </w:r>
      <w:r w:rsidR="00375851">
        <w:tab/>
      </w:r>
      <w:r w:rsidR="008205A1">
        <w:t>‘</w:t>
      </w:r>
      <w:r w:rsidR="008205A1">
        <w:noBreakHyphen/>
      </w:r>
      <w:proofErr w:type="gramStart"/>
      <w:r w:rsidR="008205A1">
        <w:t>‘</w:t>
      </w:r>
      <w:r w:rsidRPr="006A3A37">
        <w:t xml:space="preserve"> </w:t>
      </w:r>
      <w:r w:rsidRPr="0020367F">
        <w:t>indicates</w:t>
      </w:r>
      <w:proofErr w:type="gramEnd"/>
      <w:r w:rsidRPr="006A3A37">
        <w:t xml:space="preserve"> a figure of zero or a figure less than $10 million</w:t>
      </w:r>
      <w:r>
        <w:t>.</w:t>
      </w:r>
    </w:p>
    <w:p w14:paraId="0C4AC920" w14:textId="77777777" w:rsidR="006313AE" w:rsidRDefault="006313AE" w:rsidP="00115593">
      <w:pPr>
        <w:pStyle w:val="TableHeading"/>
      </w:pPr>
    </w:p>
    <w:p w14:paraId="3088AE91" w14:textId="27806D51" w:rsidR="001628FF" w:rsidRPr="00637250" w:rsidRDefault="001628FF" w:rsidP="00115593">
      <w:pPr>
        <w:pStyle w:val="TableHeading"/>
      </w:pPr>
      <w:r w:rsidRPr="00637250">
        <w:t xml:space="preserve">Table </w:t>
      </w:r>
      <w:r w:rsidR="007972DE">
        <w:t>3.12</w:t>
      </w:r>
      <w:r w:rsidRPr="00637250">
        <w:t xml:space="preserve">: State and </w:t>
      </w:r>
      <w:r w:rsidR="008A2E71" w:rsidRPr="00637250">
        <w:t xml:space="preserve">territory </w:t>
      </w:r>
      <w:r w:rsidRPr="00637250">
        <w:t>distribution of proposed investment in residential real estate by industry subtype in 201</w:t>
      </w:r>
      <w:r w:rsidR="003E2072" w:rsidRPr="00637250">
        <w:t>5</w:t>
      </w:r>
      <w:r w:rsidR="008205A1">
        <w:noBreakHyphen/>
      </w:r>
      <w:r w:rsidRPr="00637250">
        <w:t>1</w:t>
      </w:r>
      <w:r w:rsidR="003E2072" w:rsidRPr="00637250">
        <w:t>6</w:t>
      </w:r>
    </w:p>
    <w:bookmarkStart w:id="51" w:name="_1548074939"/>
    <w:bookmarkEnd w:id="51"/>
    <w:p w14:paraId="7A3EAAD5" w14:textId="77777777" w:rsidR="0089568D" w:rsidRDefault="00FC2A89" w:rsidP="00BA5CC9">
      <w:pPr>
        <w:pStyle w:val="TableGraphic"/>
      </w:pPr>
      <w:r>
        <w:object w:dxaOrig="7732" w:dyaOrig="3510" w14:anchorId="6B443C4E">
          <v:shape id="_x0000_i1041" type="#_x0000_t75" style="width:385.15pt;height:175.25pt" o:ole="">
            <v:imagedata r:id="rId87" o:title=""/>
          </v:shape>
          <o:OLEObject Type="Link" ProgID="Excel.Sheet.12" ShapeID="_x0000_i1041" DrawAspect="Content" r:id="rId88" UpdateMode="Always">
            <o:LinkType>EnhancedMetaFile</o:LinkType>
            <o:LockedField>false</o:LockedField>
          </o:OLEObject>
        </w:object>
      </w:r>
      <w:r w:rsidR="00BA5CC9">
        <w:t xml:space="preserve"> </w:t>
      </w:r>
    </w:p>
    <w:p w14:paraId="6C8C1159" w14:textId="4439487A" w:rsidR="001628FF" w:rsidRPr="0020367F" w:rsidRDefault="001628FF" w:rsidP="0020367F">
      <w:pPr>
        <w:pStyle w:val="ChartandTableFootnoteAlpha"/>
        <w:numPr>
          <w:ilvl w:val="0"/>
          <w:numId w:val="48"/>
        </w:numPr>
        <w:rPr>
          <w:rFonts w:asciiTheme="minorHAnsi" w:hAnsiTheme="minorHAnsi"/>
        </w:rPr>
      </w:pPr>
      <w:r w:rsidRPr="0020367F">
        <w:rPr>
          <w:rFonts w:asciiTheme="minorHAnsi" w:hAnsiTheme="minorHAnsi"/>
        </w:rPr>
        <w:t>Comprises approved proposals where the proposed investment is to be undertaken in more than one state or territory.</w:t>
      </w:r>
    </w:p>
    <w:p w14:paraId="548284E2" w14:textId="77777777" w:rsidR="001628FF" w:rsidRPr="0020367F" w:rsidRDefault="001628FF" w:rsidP="0020367F">
      <w:pPr>
        <w:pStyle w:val="ChartandTableFootnote"/>
      </w:pPr>
      <w:r w:rsidRPr="0020367F">
        <w:t>Note:</w:t>
      </w:r>
      <w:r w:rsidRPr="0020367F">
        <w:tab/>
        <w:t>Totals may not add due to rounding.</w:t>
      </w:r>
    </w:p>
    <w:p w14:paraId="2E30AE31" w14:textId="2F3D7B1A" w:rsidR="001628FF" w:rsidRPr="0020367F" w:rsidRDefault="001628FF" w:rsidP="0020367F">
      <w:pPr>
        <w:pStyle w:val="ChartandTableFootnote"/>
      </w:pPr>
      <w:r w:rsidRPr="0020367F">
        <w:tab/>
      </w:r>
      <w:proofErr w:type="gramStart"/>
      <w:r w:rsidRPr="0020367F">
        <w:t>Excludes</w:t>
      </w:r>
      <w:r w:rsidR="00F44B1D" w:rsidRPr="0020367F">
        <w:t xml:space="preserve"> exemption certificates</w:t>
      </w:r>
      <w:r w:rsidRPr="0020367F">
        <w:t xml:space="preserve"> and corporate reorganisations.</w:t>
      </w:r>
      <w:proofErr w:type="gramEnd"/>
    </w:p>
    <w:p w14:paraId="1C974A58" w14:textId="3DFC59FF" w:rsidR="001628FF" w:rsidRPr="0020367F" w:rsidRDefault="001628FF" w:rsidP="00850ADB">
      <w:pPr>
        <w:pStyle w:val="ChartandTableFootnote"/>
        <w:ind w:left="720"/>
      </w:pPr>
      <w:r w:rsidRPr="0020367F">
        <w:t xml:space="preserve">^ Developer includes </w:t>
      </w:r>
      <w:r w:rsidR="00F44B1D" w:rsidRPr="0020367F">
        <w:t>new dwelling exemption certificate</w:t>
      </w:r>
      <w:r w:rsidRPr="0020367F">
        <w:t xml:space="preserve"> approvals provided to real estate developers</w:t>
      </w:r>
      <w:r w:rsidR="00F44B1D" w:rsidRPr="0020367F">
        <w:t xml:space="preserve"> (previously off</w:t>
      </w:r>
      <w:r w:rsidR="008205A1">
        <w:noBreakHyphen/>
      </w:r>
      <w:r w:rsidR="00F44B1D" w:rsidRPr="0020367F">
        <w:t>the</w:t>
      </w:r>
      <w:r w:rsidR="008205A1">
        <w:noBreakHyphen/>
      </w:r>
      <w:r w:rsidR="00F44B1D" w:rsidRPr="0020367F">
        <w:t>plan approvals)</w:t>
      </w:r>
      <w:r w:rsidRPr="0020367F">
        <w:t>. Further details are provided in the section on real estate.</w:t>
      </w:r>
    </w:p>
    <w:p w14:paraId="730BE2D0" w14:textId="448F195D" w:rsidR="001628FF" w:rsidRPr="0020367F" w:rsidRDefault="001628FF" w:rsidP="0020367F">
      <w:pPr>
        <w:pStyle w:val="ChartandTableFootnote"/>
      </w:pPr>
      <w:r w:rsidRPr="0020367F">
        <w:tab/>
      </w:r>
      <w:r w:rsidR="008205A1">
        <w:t>‘</w:t>
      </w:r>
      <w:r w:rsidR="008205A1">
        <w:noBreakHyphen/>
      </w:r>
      <w:proofErr w:type="gramStart"/>
      <w:r w:rsidR="008205A1">
        <w:t>‘</w:t>
      </w:r>
      <w:r w:rsidRPr="0020367F">
        <w:t xml:space="preserve"> indicates</w:t>
      </w:r>
      <w:proofErr w:type="gramEnd"/>
      <w:r w:rsidRPr="0020367F">
        <w:t xml:space="preserve"> a figure of zero or a figure less than $10 million.</w:t>
      </w:r>
    </w:p>
    <w:p w14:paraId="2A094564" w14:textId="5CCB785B" w:rsidR="001628FF" w:rsidRPr="0020367F" w:rsidRDefault="001628FF" w:rsidP="0020367F">
      <w:pPr>
        <w:pStyle w:val="ChartandTableFootnote"/>
      </w:pPr>
      <w:r w:rsidRPr="0020367F">
        <w:tab/>
      </w:r>
      <w:r w:rsidR="008205A1">
        <w:t>‘</w:t>
      </w:r>
      <w:r w:rsidRPr="0020367F">
        <w:t>*</w:t>
      </w:r>
      <w:r w:rsidR="008205A1">
        <w:t>’</w:t>
      </w:r>
      <w:r w:rsidRPr="0020367F">
        <w:t xml:space="preserve"> indicates between 1 and 9 approvals.</w:t>
      </w:r>
    </w:p>
    <w:p w14:paraId="0653EADF" w14:textId="6FA0437F" w:rsidR="001628FF" w:rsidRPr="00637250" w:rsidRDefault="00344893" w:rsidP="0089568D">
      <w:pPr>
        <w:pStyle w:val="Heading2noTOC"/>
        <w:spacing w:before="240"/>
      </w:pPr>
      <w:r w:rsidRPr="00637250">
        <w:lastRenderedPageBreak/>
        <w:t xml:space="preserve">Investor </w:t>
      </w:r>
      <w:r w:rsidRPr="00115593">
        <w:t>countries</w:t>
      </w:r>
    </w:p>
    <w:p w14:paraId="7AFC9095" w14:textId="5A192AD9" w:rsidR="00166AF1" w:rsidRDefault="004E6B38" w:rsidP="00344893">
      <w:pPr>
        <w:rPr>
          <w:color w:val="auto"/>
          <w:szCs w:val="24"/>
        </w:rPr>
      </w:pPr>
      <w:r w:rsidRPr="00685A9B">
        <w:rPr>
          <w:color w:val="auto"/>
          <w:szCs w:val="24"/>
        </w:rPr>
        <w:t>In 2015</w:t>
      </w:r>
      <w:r w:rsidR="008205A1">
        <w:rPr>
          <w:color w:val="auto"/>
          <w:szCs w:val="24"/>
        </w:rPr>
        <w:noBreakHyphen/>
      </w:r>
      <w:r w:rsidRPr="00685A9B">
        <w:rPr>
          <w:color w:val="auto"/>
          <w:szCs w:val="24"/>
        </w:rPr>
        <w:t xml:space="preserve">16, </w:t>
      </w:r>
      <w:r w:rsidR="008B6006" w:rsidRPr="00685A9B">
        <w:rPr>
          <w:color w:val="auto"/>
        </w:rPr>
        <w:t xml:space="preserve">China </w:t>
      </w:r>
      <w:r w:rsidR="00344893" w:rsidRPr="00685A9B">
        <w:rPr>
          <w:color w:val="auto"/>
        </w:rPr>
        <w:t>was</w:t>
      </w:r>
      <w:r w:rsidR="008B6006" w:rsidRPr="00685A9B">
        <w:rPr>
          <w:color w:val="auto"/>
        </w:rPr>
        <w:t xml:space="preserve"> the largest source of foreign investment </w:t>
      </w:r>
      <w:r w:rsidR="005D6812" w:rsidRPr="00685A9B">
        <w:rPr>
          <w:color w:val="auto"/>
        </w:rPr>
        <w:t>approvals</w:t>
      </w:r>
      <w:r w:rsidR="00344893" w:rsidRPr="00685A9B">
        <w:rPr>
          <w:color w:val="auto"/>
        </w:rPr>
        <w:t xml:space="preserve"> </w:t>
      </w:r>
      <w:r w:rsidR="00D31E11" w:rsidRPr="00685A9B">
        <w:rPr>
          <w:color w:val="auto"/>
          <w:szCs w:val="24"/>
        </w:rPr>
        <w:t xml:space="preserve">by </w:t>
      </w:r>
      <w:r w:rsidRPr="00685A9B">
        <w:rPr>
          <w:color w:val="auto"/>
          <w:szCs w:val="24"/>
        </w:rPr>
        <w:t xml:space="preserve">both </w:t>
      </w:r>
      <w:r w:rsidR="00D31E11" w:rsidRPr="00685A9B">
        <w:rPr>
          <w:color w:val="auto"/>
          <w:szCs w:val="24"/>
        </w:rPr>
        <w:t>value</w:t>
      </w:r>
      <w:r w:rsidRPr="00685A9B">
        <w:rPr>
          <w:color w:val="auto"/>
          <w:szCs w:val="24"/>
        </w:rPr>
        <w:t xml:space="preserve"> and number</w:t>
      </w:r>
      <w:r w:rsidR="00344893" w:rsidRPr="00685A9B">
        <w:rPr>
          <w:color w:val="auto"/>
          <w:szCs w:val="24"/>
        </w:rPr>
        <w:t xml:space="preserve">. </w:t>
      </w:r>
      <w:r w:rsidR="00BD14E4" w:rsidRPr="00685A9B">
        <w:rPr>
          <w:color w:val="auto"/>
          <w:szCs w:val="24"/>
        </w:rPr>
        <w:t>While</w:t>
      </w:r>
      <w:r w:rsidR="00085246" w:rsidRPr="00685A9B">
        <w:rPr>
          <w:color w:val="auto"/>
        </w:rPr>
        <w:t xml:space="preserve"> the value of approvals </w:t>
      </w:r>
      <w:r w:rsidR="00A3498E">
        <w:rPr>
          <w:color w:val="auto"/>
        </w:rPr>
        <w:t xml:space="preserve">for Chinese investors </w:t>
      </w:r>
      <w:r w:rsidR="00BD14E4" w:rsidRPr="00685A9B">
        <w:rPr>
          <w:color w:val="auto"/>
          <w:szCs w:val="24"/>
        </w:rPr>
        <w:t xml:space="preserve">did increase, it </w:t>
      </w:r>
      <w:r w:rsidR="00085246" w:rsidRPr="00685A9B">
        <w:rPr>
          <w:color w:val="auto"/>
        </w:rPr>
        <w:t xml:space="preserve">increased by less than </w:t>
      </w:r>
      <w:r w:rsidR="00600E8E" w:rsidRPr="00125F2F">
        <w:rPr>
          <w:color w:val="auto"/>
        </w:rPr>
        <w:t>6</w:t>
      </w:r>
      <w:r w:rsidR="00085246" w:rsidRPr="00125F2F">
        <w:rPr>
          <w:color w:val="auto"/>
        </w:rPr>
        <w:t xml:space="preserve"> per cent </w:t>
      </w:r>
      <w:r w:rsidR="00125F2F">
        <w:rPr>
          <w:color w:val="auto"/>
        </w:rPr>
        <w:t>since</w:t>
      </w:r>
      <w:r w:rsidR="00085246" w:rsidRPr="00125F2F">
        <w:rPr>
          <w:color w:val="auto"/>
        </w:rPr>
        <w:t xml:space="preserve"> 2014</w:t>
      </w:r>
      <w:r w:rsidR="008205A1">
        <w:rPr>
          <w:color w:val="auto"/>
        </w:rPr>
        <w:noBreakHyphen/>
      </w:r>
      <w:r w:rsidR="00085246" w:rsidRPr="00125F2F">
        <w:rPr>
          <w:color w:val="auto"/>
        </w:rPr>
        <w:t>15</w:t>
      </w:r>
      <w:r w:rsidR="008F4BF0" w:rsidRPr="00685A9B">
        <w:rPr>
          <w:color w:val="auto"/>
        </w:rPr>
        <w:t xml:space="preserve">. This was a significantly </w:t>
      </w:r>
      <w:r w:rsidR="00817427" w:rsidRPr="00685A9B">
        <w:rPr>
          <w:color w:val="auto"/>
          <w:szCs w:val="24"/>
        </w:rPr>
        <w:t>lower increase</w:t>
      </w:r>
      <w:r w:rsidR="00085246" w:rsidRPr="00685A9B">
        <w:rPr>
          <w:color w:val="auto"/>
        </w:rPr>
        <w:t xml:space="preserve"> in comparison </w:t>
      </w:r>
      <w:r w:rsidR="00A3498E">
        <w:rPr>
          <w:color w:val="auto"/>
        </w:rPr>
        <w:t xml:space="preserve">to the </w:t>
      </w:r>
      <w:r w:rsidR="00600E8E">
        <w:rPr>
          <w:color w:val="auto"/>
        </w:rPr>
        <w:t xml:space="preserve">greater than </w:t>
      </w:r>
      <w:r w:rsidR="00A3498E">
        <w:rPr>
          <w:color w:val="auto"/>
        </w:rPr>
        <w:t>6</w:t>
      </w:r>
      <w:r w:rsidR="00600E8E">
        <w:rPr>
          <w:color w:val="auto"/>
        </w:rPr>
        <w:t>0</w:t>
      </w:r>
      <w:r w:rsidR="00A3498E">
        <w:rPr>
          <w:color w:val="auto"/>
        </w:rPr>
        <w:t> </w:t>
      </w:r>
      <w:r w:rsidR="00085246">
        <w:rPr>
          <w:color w:val="auto"/>
        </w:rPr>
        <w:t xml:space="preserve">per cent </w:t>
      </w:r>
      <w:r w:rsidR="00685A9B">
        <w:rPr>
          <w:color w:val="auto"/>
          <w:szCs w:val="24"/>
        </w:rPr>
        <w:t xml:space="preserve">increase </w:t>
      </w:r>
      <w:r w:rsidR="00153AAE">
        <w:rPr>
          <w:color w:val="auto"/>
          <w:szCs w:val="24"/>
        </w:rPr>
        <w:t xml:space="preserve">in the value of approvals </w:t>
      </w:r>
      <w:r w:rsidR="00085246">
        <w:rPr>
          <w:color w:val="auto"/>
        </w:rPr>
        <w:t xml:space="preserve">between </w:t>
      </w:r>
      <w:r w:rsidR="007972DE">
        <w:rPr>
          <w:color w:val="auto"/>
        </w:rPr>
        <w:t>2013</w:t>
      </w:r>
      <w:r w:rsidR="008205A1">
        <w:rPr>
          <w:color w:val="auto"/>
        </w:rPr>
        <w:noBreakHyphen/>
      </w:r>
      <w:r w:rsidR="007972DE">
        <w:rPr>
          <w:color w:val="auto"/>
        </w:rPr>
        <w:t>14 and 2014</w:t>
      </w:r>
      <w:r w:rsidR="008205A1">
        <w:rPr>
          <w:color w:val="auto"/>
        </w:rPr>
        <w:noBreakHyphen/>
      </w:r>
      <w:r w:rsidR="007972DE">
        <w:rPr>
          <w:color w:val="auto"/>
        </w:rPr>
        <w:t>15.</w:t>
      </w:r>
    </w:p>
    <w:p w14:paraId="3F94D9EB" w14:textId="12212E72" w:rsidR="00085246" w:rsidRDefault="00085246" w:rsidP="00344893">
      <w:pPr>
        <w:rPr>
          <w:color w:val="auto"/>
          <w:szCs w:val="24"/>
        </w:rPr>
      </w:pPr>
      <w:r w:rsidRPr="00685A9B">
        <w:rPr>
          <w:color w:val="auto"/>
        </w:rPr>
        <w:t>Th</w:t>
      </w:r>
      <w:r>
        <w:rPr>
          <w:color w:val="auto"/>
        </w:rPr>
        <w:t xml:space="preserve">e value of approvals for </w:t>
      </w:r>
      <w:r w:rsidR="00685A9B">
        <w:rPr>
          <w:color w:val="auto"/>
          <w:szCs w:val="24"/>
        </w:rPr>
        <w:t>Chinese</w:t>
      </w:r>
      <w:r>
        <w:rPr>
          <w:color w:val="auto"/>
        </w:rPr>
        <w:t xml:space="preserve"> investors represents </w:t>
      </w:r>
      <w:r w:rsidR="00882A90">
        <w:rPr>
          <w:color w:val="auto"/>
        </w:rPr>
        <w:t>26</w:t>
      </w:r>
      <w:r w:rsidR="00685A9B">
        <w:rPr>
          <w:color w:val="auto"/>
          <w:szCs w:val="24"/>
        </w:rPr>
        <w:t> </w:t>
      </w:r>
      <w:r>
        <w:rPr>
          <w:color w:val="auto"/>
        </w:rPr>
        <w:t>per</w:t>
      </w:r>
      <w:r w:rsidR="00685A9B">
        <w:rPr>
          <w:color w:val="auto"/>
          <w:szCs w:val="24"/>
        </w:rPr>
        <w:t> </w:t>
      </w:r>
      <w:r w:rsidRPr="00685A9B">
        <w:rPr>
          <w:color w:val="auto"/>
        </w:rPr>
        <w:t>cent of the total valu</w:t>
      </w:r>
      <w:r>
        <w:rPr>
          <w:color w:val="auto"/>
        </w:rPr>
        <w:t>e of approvals</w:t>
      </w:r>
      <w:r w:rsidR="00685A9B">
        <w:rPr>
          <w:color w:val="auto"/>
          <w:szCs w:val="24"/>
        </w:rPr>
        <w:t xml:space="preserve">. </w:t>
      </w:r>
      <w:r w:rsidR="00166AF1">
        <w:rPr>
          <w:color w:val="auto"/>
          <w:szCs w:val="24"/>
        </w:rPr>
        <w:t xml:space="preserve">Investors from China received approval for a number of large </w:t>
      </w:r>
      <w:r w:rsidR="00153AAE">
        <w:rPr>
          <w:color w:val="auto"/>
          <w:szCs w:val="24"/>
        </w:rPr>
        <w:t xml:space="preserve">value </w:t>
      </w:r>
      <w:r w:rsidR="00166AF1">
        <w:rPr>
          <w:color w:val="auto"/>
          <w:szCs w:val="24"/>
        </w:rPr>
        <w:t xml:space="preserve">transactions </w:t>
      </w:r>
      <w:r w:rsidR="001C381E">
        <w:rPr>
          <w:color w:val="auto"/>
          <w:szCs w:val="24"/>
        </w:rPr>
        <w:t xml:space="preserve">included in the </w:t>
      </w:r>
      <w:r w:rsidR="00156E8D">
        <w:rPr>
          <w:color w:val="auto"/>
          <w:szCs w:val="24"/>
        </w:rPr>
        <w:t>manufacturing,</w:t>
      </w:r>
      <w:r w:rsidR="001C381E">
        <w:rPr>
          <w:color w:val="auto"/>
          <w:szCs w:val="24"/>
        </w:rPr>
        <w:t xml:space="preserve"> electricity and gas</w:t>
      </w:r>
      <w:r w:rsidR="00CD52D9">
        <w:rPr>
          <w:color w:val="auto"/>
          <w:szCs w:val="24"/>
        </w:rPr>
        <w:t xml:space="preserve"> sector</w:t>
      </w:r>
      <w:r w:rsidR="00A7701C">
        <w:rPr>
          <w:color w:val="auto"/>
          <w:szCs w:val="24"/>
        </w:rPr>
        <w:t xml:space="preserve">, for example </w:t>
      </w:r>
      <w:proofErr w:type="spellStart"/>
      <w:r w:rsidR="00153AAE">
        <w:rPr>
          <w:color w:val="auto"/>
          <w:szCs w:val="24"/>
        </w:rPr>
        <w:t>TransGrid</w:t>
      </w:r>
      <w:proofErr w:type="spellEnd"/>
      <w:r w:rsidR="00A7701C">
        <w:rPr>
          <w:color w:val="auto"/>
          <w:szCs w:val="24"/>
        </w:rPr>
        <w:t>.</w:t>
      </w:r>
      <w:r w:rsidR="00CD52D9">
        <w:rPr>
          <w:color w:val="auto"/>
          <w:szCs w:val="24"/>
        </w:rPr>
        <w:t xml:space="preserve"> </w:t>
      </w:r>
      <w:r w:rsidR="00153AAE">
        <w:rPr>
          <w:color w:val="auto"/>
          <w:szCs w:val="24"/>
        </w:rPr>
        <w:t>Chinese interest in Australia</w:t>
      </w:r>
      <w:r w:rsidR="008205A1">
        <w:rPr>
          <w:color w:val="auto"/>
          <w:szCs w:val="24"/>
        </w:rPr>
        <w:t>’</w:t>
      </w:r>
      <w:r w:rsidR="00153AAE">
        <w:rPr>
          <w:color w:val="auto"/>
          <w:szCs w:val="24"/>
        </w:rPr>
        <w:t xml:space="preserve">s real estate sector remains strong with the value of approvals </w:t>
      </w:r>
      <w:r w:rsidR="00A3498E">
        <w:rPr>
          <w:color w:val="auto"/>
          <w:szCs w:val="24"/>
        </w:rPr>
        <w:t>for Chinese</w:t>
      </w:r>
      <w:r w:rsidR="004D30B0">
        <w:rPr>
          <w:color w:val="auto"/>
          <w:szCs w:val="24"/>
        </w:rPr>
        <w:t> </w:t>
      </w:r>
      <w:r w:rsidR="00A3498E">
        <w:rPr>
          <w:color w:val="auto"/>
          <w:szCs w:val="24"/>
        </w:rPr>
        <w:t xml:space="preserve">investors </w:t>
      </w:r>
      <w:r w:rsidR="00153AAE">
        <w:rPr>
          <w:color w:val="auto"/>
          <w:szCs w:val="24"/>
        </w:rPr>
        <w:t>growing by 31</w:t>
      </w:r>
      <w:r w:rsidR="00882A90">
        <w:rPr>
          <w:color w:val="auto"/>
          <w:szCs w:val="24"/>
        </w:rPr>
        <w:t> </w:t>
      </w:r>
      <w:r w:rsidR="00153AAE">
        <w:rPr>
          <w:color w:val="auto"/>
          <w:szCs w:val="24"/>
        </w:rPr>
        <w:t xml:space="preserve">per cent </w:t>
      </w:r>
      <w:r w:rsidR="00882A90">
        <w:rPr>
          <w:color w:val="auto"/>
          <w:szCs w:val="24"/>
        </w:rPr>
        <w:t>since</w:t>
      </w:r>
      <w:r w:rsidR="00153AAE">
        <w:rPr>
          <w:color w:val="auto"/>
          <w:szCs w:val="24"/>
        </w:rPr>
        <w:t xml:space="preserve"> 2014</w:t>
      </w:r>
      <w:r w:rsidR="008205A1">
        <w:rPr>
          <w:color w:val="auto"/>
          <w:szCs w:val="24"/>
        </w:rPr>
        <w:noBreakHyphen/>
      </w:r>
      <w:r w:rsidR="00153AAE">
        <w:rPr>
          <w:color w:val="auto"/>
          <w:szCs w:val="24"/>
        </w:rPr>
        <w:t>15.</w:t>
      </w:r>
    </w:p>
    <w:p w14:paraId="0DDD9DDA" w14:textId="151559A4" w:rsidR="001C381E" w:rsidRDefault="00D31E11" w:rsidP="008B6006">
      <w:pPr>
        <w:rPr>
          <w:color w:val="auto"/>
          <w:szCs w:val="24"/>
        </w:rPr>
      </w:pPr>
      <w:r w:rsidRPr="00685A9B">
        <w:rPr>
          <w:color w:val="auto"/>
          <w:szCs w:val="24"/>
        </w:rPr>
        <w:t xml:space="preserve">The US remained the second largest source country </w:t>
      </w:r>
      <w:r w:rsidR="00166AF1">
        <w:rPr>
          <w:color w:val="auto"/>
          <w:szCs w:val="24"/>
        </w:rPr>
        <w:t>for</w:t>
      </w:r>
      <w:r w:rsidRPr="00685A9B">
        <w:rPr>
          <w:color w:val="auto"/>
          <w:szCs w:val="24"/>
        </w:rPr>
        <w:t xml:space="preserve"> foreign investment approvals by value</w:t>
      </w:r>
      <w:r w:rsidR="006917DF">
        <w:rPr>
          <w:color w:val="auto"/>
          <w:szCs w:val="24"/>
        </w:rPr>
        <w:t xml:space="preserve"> and the largest investor in non</w:t>
      </w:r>
      <w:r w:rsidR="008205A1">
        <w:rPr>
          <w:color w:val="auto"/>
          <w:szCs w:val="24"/>
        </w:rPr>
        <w:noBreakHyphen/>
      </w:r>
      <w:r w:rsidR="006917DF">
        <w:rPr>
          <w:color w:val="auto"/>
          <w:szCs w:val="24"/>
        </w:rPr>
        <w:t>real estate transactions</w:t>
      </w:r>
      <w:r w:rsidRPr="00685A9B">
        <w:rPr>
          <w:color w:val="auto"/>
          <w:szCs w:val="24"/>
        </w:rPr>
        <w:t xml:space="preserve">. </w:t>
      </w:r>
      <w:r w:rsidR="00166AF1">
        <w:rPr>
          <w:color w:val="auto"/>
          <w:szCs w:val="24"/>
        </w:rPr>
        <w:t xml:space="preserve">Interest from US investors in the agricultural sector has been strong, with approvals increasing by </w:t>
      </w:r>
      <w:r w:rsidR="00882A90">
        <w:rPr>
          <w:color w:val="auto"/>
          <w:szCs w:val="24"/>
        </w:rPr>
        <w:t xml:space="preserve">over </w:t>
      </w:r>
      <w:r w:rsidR="00166AF1">
        <w:rPr>
          <w:color w:val="auto"/>
          <w:szCs w:val="24"/>
        </w:rPr>
        <w:t>$700 million from 2014</w:t>
      </w:r>
      <w:r w:rsidR="008205A1">
        <w:rPr>
          <w:color w:val="auto"/>
          <w:szCs w:val="24"/>
        </w:rPr>
        <w:noBreakHyphen/>
      </w:r>
      <w:r w:rsidR="00166AF1">
        <w:rPr>
          <w:color w:val="auto"/>
          <w:szCs w:val="24"/>
        </w:rPr>
        <w:t>15</w:t>
      </w:r>
      <w:r w:rsidR="0089568D">
        <w:rPr>
          <w:color w:val="auto"/>
          <w:szCs w:val="24"/>
        </w:rPr>
        <w:t>.</w:t>
      </w:r>
      <w:r w:rsidR="0089568D">
        <w:rPr>
          <w:rStyle w:val="FootnoteReference"/>
          <w:color w:val="auto"/>
          <w:szCs w:val="24"/>
        </w:rPr>
        <w:footnoteReference w:id="3"/>
      </w:r>
      <w:r w:rsidR="0089568D">
        <w:rPr>
          <w:color w:val="auto"/>
          <w:szCs w:val="24"/>
        </w:rPr>
        <w:t xml:space="preserve"> </w:t>
      </w:r>
      <w:r w:rsidR="001C381E">
        <w:rPr>
          <w:color w:val="auto"/>
          <w:szCs w:val="24"/>
        </w:rPr>
        <w:t xml:space="preserve">There was significant growth in the value of approvals for US investors in the financial and insurance sector. This is the result of two large acquisitions in this sector. </w:t>
      </w:r>
    </w:p>
    <w:p w14:paraId="05189C79" w14:textId="009230E6" w:rsidR="00CA3ABC" w:rsidRDefault="008B6006" w:rsidP="008B6006">
      <w:pPr>
        <w:rPr>
          <w:color w:val="auto"/>
          <w:szCs w:val="24"/>
        </w:rPr>
      </w:pPr>
      <w:r w:rsidRPr="00685A9B">
        <w:rPr>
          <w:color w:val="auto"/>
          <w:szCs w:val="24"/>
        </w:rPr>
        <w:t>The </w:t>
      </w:r>
      <w:r w:rsidR="00CD52D9">
        <w:rPr>
          <w:color w:val="auto"/>
          <w:szCs w:val="24"/>
        </w:rPr>
        <w:t>next three</w:t>
      </w:r>
      <w:r w:rsidR="00153AAE">
        <w:rPr>
          <w:color w:val="auto"/>
          <w:szCs w:val="24"/>
        </w:rPr>
        <w:t xml:space="preserve"> </w:t>
      </w:r>
      <w:r w:rsidR="000D2E72">
        <w:rPr>
          <w:color w:val="auto"/>
          <w:szCs w:val="24"/>
        </w:rPr>
        <w:t xml:space="preserve">top </w:t>
      </w:r>
      <w:r w:rsidR="00153AAE">
        <w:rPr>
          <w:color w:val="auto"/>
          <w:szCs w:val="24"/>
        </w:rPr>
        <w:t xml:space="preserve">source countries </w:t>
      </w:r>
      <w:r w:rsidRPr="00685A9B">
        <w:rPr>
          <w:color w:val="auto"/>
          <w:szCs w:val="24"/>
        </w:rPr>
        <w:t xml:space="preserve">of proposed investment </w:t>
      </w:r>
      <w:r w:rsidR="00685A9B">
        <w:rPr>
          <w:color w:val="auto"/>
          <w:szCs w:val="24"/>
        </w:rPr>
        <w:t xml:space="preserve">by value </w:t>
      </w:r>
      <w:r w:rsidRPr="00685A9B">
        <w:rPr>
          <w:color w:val="auto"/>
          <w:szCs w:val="24"/>
        </w:rPr>
        <w:t xml:space="preserve">were </w:t>
      </w:r>
      <w:r w:rsidR="00CD52D9">
        <w:rPr>
          <w:color w:val="auto"/>
          <w:szCs w:val="24"/>
        </w:rPr>
        <w:t>Netherlands </w:t>
      </w:r>
      <w:r w:rsidR="00D50290">
        <w:rPr>
          <w:color w:val="auto"/>
          <w:szCs w:val="24"/>
        </w:rPr>
        <w:t>(ranked 14</w:t>
      </w:r>
      <w:r w:rsidR="00D50290" w:rsidRPr="00685A9B">
        <w:rPr>
          <w:color w:val="auto"/>
          <w:szCs w:val="24"/>
          <w:vertAlign w:val="superscript"/>
        </w:rPr>
        <w:t>th</w:t>
      </w:r>
      <w:r w:rsidR="00D50290">
        <w:rPr>
          <w:color w:val="auto"/>
          <w:szCs w:val="24"/>
        </w:rPr>
        <w:t xml:space="preserve"> in 2014</w:t>
      </w:r>
      <w:r w:rsidR="008205A1">
        <w:rPr>
          <w:color w:val="auto"/>
          <w:szCs w:val="24"/>
        </w:rPr>
        <w:noBreakHyphen/>
      </w:r>
      <w:r w:rsidR="00D50290">
        <w:rPr>
          <w:color w:val="auto"/>
          <w:szCs w:val="24"/>
        </w:rPr>
        <w:t xml:space="preserve">15), </w:t>
      </w:r>
      <w:r w:rsidR="00685A9B">
        <w:rPr>
          <w:color w:val="auto"/>
          <w:szCs w:val="24"/>
        </w:rPr>
        <w:t>Canada (ranked 5</w:t>
      </w:r>
      <w:r w:rsidR="00685A9B" w:rsidRPr="00685A9B">
        <w:rPr>
          <w:color w:val="auto"/>
          <w:szCs w:val="24"/>
          <w:vertAlign w:val="superscript"/>
        </w:rPr>
        <w:t>th</w:t>
      </w:r>
      <w:r w:rsidR="00685A9B">
        <w:rPr>
          <w:color w:val="auto"/>
          <w:szCs w:val="24"/>
        </w:rPr>
        <w:t xml:space="preserve"> in 2014</w:t>
      </w:r>
      <w:r w:rsidR="008205A1">
        <w:rPr>
          <w:color w:val="auto"/>
          <w:szCs w:val="24"/>
        </w:rPr>
        <w:noBreakHyphen/>
      </w:r>
      <w:r w:rsidR="00685A9B">
        <w:rPr>
          <w:color w:val="auto"/>
          <w:szCs w:val="24"/>
        </w:rPr>
        <w:t xml:space="preserve">15), and </w:t>
      </w:r>
      <w:r w:rsidR="009D6EE3">
        <w:rPr>
          <w:color w:val="auto"/>
          <w:szCs w:val="24"/>
        </w:rPr>
        <w:t xml:space="preserve">the </w:t>
      </w:r>
      <w:r w:rsidR="0089568D">
        <w:rPr>
          <w:color w:val="auto"/>
          <w:szCs w:val="24"/>
        </w:rPr>
        <w:t>United </w:t>
      </w:r>
      <w:r w:rsidR="00685A9B">
        <w:rPr>
          <w:color w:val="auto"/>
          <w:szCs w:val="24"/>
        </w:rPr>
        <w:t>Arab</w:t>
      </w:r>
      <w:r w:rsidR="0089568D">
        <w:rPr>
          <w:color w:val="auto"/>
          <w:szCs w:val="24"/>
        </w:rPr>
        <w:t> </w:t>
      </w:r>
      <w:r w:rsidR="00685A9B">
        <w:rPr>
          <w:color w:val="auto"/>
          <w:szCs w:val="24"/>
        </w:rPr>
        <w:t>Emirates (ranked 12</w:t>
      </w:r>
      <w:r w:rsidR="00685A9B" w:rsidRPr="00685A9B">
        <w:rPr>
          <w:color w:val="auto"/>
          <w:szCs w:val="24"/>
          <w:vertAlign w:val="superscript"/>
        </w:rPr>
        <w:t>th</w:t>
      </w:r>
      <w:r w:rsidR="00CD52D9">
        <w:rPr>
          <w:color w:val="auto"/>
          <w:szCs w:val="24"/>
        </w:rPr>
        <w:t xml:space="preserve"> in 2014</w:t>
      </w:r>
      <w:r w:rsidR="008205A1">
        <w:rPr>
          <w:color w:val="auto"/>
          <w:szCs w:val="24"/>
        </w:rPr>
        <w:noBreakHyphen/>
      </w:r>
      <w:r w:rsidR="00CD52D9">
        <w:rPr>
          <w:color w:val="auto"/>
          <w:szCs w:val="24"/>
        </w:rPr>
        <w:t xml:space="preserve">15). </w:t>
      </w:r>
      <w:r w:rsidR="001C381E">
        <w:rPr>
          <w:color w:val="auto"/>
          <w:szCs w:val="24"/>
        </w:rPr>
        <w:t>The significant shift in Netherland</w:t>
      </w:r>
      <w:r w:rsidR="008205A1">
        <w:rPr>
          <w:color w:val="auto"/>
          <w:szCs w:val="24"/>
        </w:rPr>
        <w:t>’</w:t>
      </w:r>
      <w:r w:rsidR="001C381E">
        <w:rPr>
          <w:color w:val="auto"/>
          <w:szCs w:val="24"/>
        </w:rPr>
        <w:t xml:space="preserve">s ranking to fourth </w:t>
      </w:r>
      <w:proofErr w:type="gramStart"/>
      <w:r w:rsidR="001C381E">
        <w:rPr>
          <w:color w:val="auto"/>
          <w:szCs w:val="24"/>
        </w:rPr>
        <w:t>is</w:t>
      </w:r>
      <w:proofErr w:type="gramEnd"/>
      <w:r w:rsidR="001C381E">
        <w:rPr>
          <w:color w:val="auto"/>
          <w:szCs w:val="24"/>
        </w:rPr>
        <w:t xml:space="preserve"> a result of </w:t>
      </w:r>
      <w:r w:rsidR="001C381E" w:rsidRPr="001C381E">
        <w:rPr>
          <w:color w:val="auto"/>
          <w:szCs w:val="24"/>
        </w:rPr>
        <w:t>Royal Dutch Shell</w:t>
      </w:r>
      <w:r w:rsidR="008205A1">
        <w:rPr>
          <w:color w:val="auto"/>
          <w:szCs w:val="24"/>
        </w:rPr>
        <w:t>’</w:t>
      </w:r>
      <w:r w:rsidR="001C381E">
        <w:rPr>
          <w:color w:val="auto"/>
          <w:szCs w:val="24"/>
        </w:rPr>
        <w:t>s</w:t>
      </w:r>
      <w:r w:rsidR="001C381E" w:rsidRPr="001C381E">
        <w:rPr>
          <w:color w:val="auto"/>
          <w:szCs w:val="24"/>
        </w:rPr>
        <w:t xml:space="preserve"> </w:t>
      </w:r>
      <w:r w:rsidR="001C381E">
        <w:rPr>
          <w:color w:val="auto"/>
          <w:szCs w:val="24"/>
        </w:rPr>
        <w:t xml:space="preserve">takeover of BG Group </w:t>
      </w:r>
      <w:proofErr w:type="spellStart"/>
      <w:r w:rsidR="001C381E">
        <w:rPr>
          <w:color w:val="auto"/>
          <w:szCs w:val="24"/>
        </w:rPr>
        <w:t>Plc</w:t>
      </w:r>
      <w:proofErr w:type="spellEnd"/>
      <w:r w:rsidR="001C381E" w:rsidRPr="001C381E">
        <w:rPr>
          <w:color w:val="auto"/>
          <w:szCs w:val="24"/>
        </w:rPr>
        <w:t>, which included Australian</w:t>
      </w:r>
      <w:r w:rsidR="004D30B0">
        <w:rPr>
          <w:color w:val="auto"/>
          <w:szCs w:val="24"/>
        </w:rPr>
        <w:t> </w:t>
      </w:r>
      <w:r w:rsidR="001C381E" w:rsidRPr="001C381E">
        <w:rPr>
          <w:color w:val="auto"/>
          <w:szCs w:val="24"/>
        </w:rPr>
        <w:t>assets</w:t>
      </w:r>
      <w:r w:rsidR="00CD52D9">
        <w:rPr>
          <w:color w:val="auto"/>
          <w:szCs w:val="24"/>
        </w:rPr>
        <w:t>.</w:t>
      </w:r>
    </w:p>
    <w:p w14:paraId="74603760" w14:textId="0E313DC2" w:rsidR="00685A9B" w:rsidRDefault="001C381E" w:rsidP="008B6006">
      <w:pPr>
        <w:rPr>
          <w:color w:val="auto"/>
          <w:szCs w:val="24"/>
        </w:rPr>
      </w:pPr>
      <w:r>
        <w:rPr>
          <w:color w:val="auto"/>
          <w:szCs w:val="24"/>
        </w:rPr>
        <w:t xml:space="preserve">Investors from the United Arab Emirates </w:t>
      </w:r>
      <w:r w:rsidR="00CA3ABC">
        <w:rPr>
          <w:color w:val="auto"/>
          <w:szCs w:val="24"/>
        </w:rPr>
        <w:t>were part of the consortium for the 99</w:t>
      </w:r>
      <w:r w:rsidR="008205A1">
        <w:rPr>
          <w:color w:val="auto"/>
          <w:szCs w:val="24"/>
        </w:rPr>
        <w:noBreakHyphen/>
      </w:r>
      <w:r w:rsidR="00CA3ABC">
        <w:rPr>
          <w:color w:val="auto"/>
          <w:szCs w:val="24"/>
        </w:rPr>
        <w:t xml:space="preserve">year lease of </w:t>
      </w:r>
      <w:proofErr w:type="spellStart"/>
      <w:r w:rsidR="00CA3ABC">
        <w:rPr>
          <w:color w:val="auto"/>
          <w:szCs w:val="24"/>
        </w:rPr>
        <w:t>TransGrid</w:t>
      </w:r>
      <w:proofErr w:type="spellEnd"/>
      <w:r w:rsidR="00CA3ABC">
        <w:rPr>
          <w:color w:val="auto"/>
          <w:szCs w:val="24"/>
        </w:rPr>
        <w:t>. Investors from the United Arab Emirates also received approval for a number of large value investm</w:t>
      </w:r>
      <w:r w:rsidR="00CD52D9">
        <w:rPr>
          <w:color w:val="auto"/>
          <w:szCs w:val="24"/>
        </w:rPr>
        <w:t>ents in commercial real estate.</w:t>
      </w:r>
    </w:p>
    <w:p w14:paraId="596DAEBE" w14:textId="01A67381" w:rsidR="00CA3ABC" w:rsidRPr="00CA3ABC" w:rsidRDefault="00CA3ABC" w:rsidP="00CA3ABC">
      <w:pPr>
        <w:rPr>
          <w:color w:val="auto"/>
          <w:szCs w:val="24"/>
        </w:rPr>
      </w:pPr>
      <w:r>
        <w:rPr>
          <w:color w:val="auto"/>
          <w:szCs w:val="24"/>
        </w:rPr>
        <w:t xml:space="preserve">Kuwait was not </w:t>
      </w:r>
      <w:r w:rsidRPr="00CA3ABC">
        <w:rPr>
          <w:color w:val="auto"/>
          <w:szCs w:val="24"/>
        </w:rPr>
        <w:t xml:space="preserve">in </w:t>
      </w:r>
      <w:r>
        <w:rPr>
          <w:color w:val="auto"/>
          <w:szCs w:val="24"/>
        </w:rPr>
        <w:t xml:space="preserve">the </w:t>
      </w:r>
      <w:r w:rsidRPr="00CA3ABC">
        <w:rPr>
          <w:color w:val="auto"/>
          <w:szCs w:val="24"/>
        </w:rPr>
        <w:t>top 18 countries</w:t>
      </w:r>
      <w:r>
        <w:rPr>
          <w:color w:val="auto"/>
          <w:szCs w:val="24"/>
        </w:rPr>
        <w:t xml:space="preserve"> listed in the 2014</w:t>
      </w:r>
      <w:r w:rsidR="008205A1">
        <w:rPr>
          <w:color w:val="auto"/>
          <w:szCs w:val="24"/>
        </w:rPr>
        <w:noBreakHyphen/>
      </w:r>
      <w:r>
        <w:rPr>
          <w:color w:val="auto"/>
          <w:szCs w:val="24"/>
        </w:rPr>
        <w:t xml:space="preserve">15 annual report but </w:t>
      </w:r>
      <w:r w:rsidR="0058501D">
        <w:rPr>
          <w:color w:val="auto"/>
          <w:szCs w:val="24"/>
        </w:rPr>
        <w:t>was</w:t>
      </w:r>
      <w:r>
        <w:rPr>
          <w:color w:val="auto"/>
          <w:szCs w:val="24"/>
        </w:rPr>
        <w:t xml:space="preserve"> ranked 8</w:t>
      </w:r>
      <w:r w:rsidRPr="00CA3ABC">
        <w:rPr>
          <w:color w:val="auto"/>
          <w:szCs w:val="24"/>
          <w:vertAlign w:val="superscript"/>
        </w:rPr>
        <w:t>th</w:t>
      </w:r>
      <w:r>
        <w:rPr>
          <w:color w:val="auto"/>
          <w:szCs w:val="24"/>
        </w:rPr>
        <w:t xml:space="preserve"> in</w:t>
      </w:r>
      <w:r w:rsidR="0089568D">
        <w:rPr>
          <w:color w:val="auto"/>
          <w:szCs w:val="24"/>
        </w:rPr>
        <w:t> </w:t>
      </w:r>
      <w:r>
        <w:rPr>
          <w:color w:val="auto"/>
          <w:szCs w:val="24"/>
        </w:rPr>
        <w:t>2015</w:t>
      </w:r>
      <w:r w:rsidR="008205A1">
        <w:rPr>
          <w:color w:val="auto"/>
          <w:szCs w:val="24"/>
        </w:rPr>
        <w:noBreakHyphen/>
      </w:r>
      <w:r>
        <w:rPr>
          <w:color w:val="auto"/>
          <w:szCs w:val="24"/>
        </w:rPr>
        <w:t xml:space="preserve">16, </w:t>
      </w:r>
      <w:r w:rsidR="00854C21">
        <w:rPr>
          <w:color w:val="auto"/>
          <w:szCs w:val="24"/>
        </w:rPr>
        <w:t>primarily</w:t>
      </w:r>
      <w:r>
        <w:rPr>
          <w:color w:val="auto"/>
          <w:szCs w:val="24"/>
        </w:rPr>
        <w:t xml:space="preserve"> </w:t>
      </w:r>
      <w:r w:rsidR="00CD52D9">
        <w:rPr>
          <w:color w:val="auto"/>
          <w:szCs w:val="24"/>
        </w:rPr>
        <w:t>because</w:t>
      </w:r>
      <w:r>
        <w:rPr>
          <w:color w:val="auto"/>
          <w:szCs w:val="24"/>
        </w:rPr>
        <w:t xml:space="preserve"> foreign investment approval was required</w:t>
      </w:r>
      <w:r w:rsidR="00597B8F">
        <w:rPr>
          <w:color w:val="auto"/>
          <w:szCs w:val="24"/>
        </w:rPr>
        <w:t xml:space="preserve"> for</w:t>
      </w:r>
      <w:r>
        <w:rPr>
          <w:color w:val="auto"/>
          <w:szCs w:val="24"/>
        </w:rPr>
        <w:t xml:space="preserve"> </w:t>
      </w:r>
      <w:r w:rsidR="00997242">
        <w:rPr>
          <w:color w:val="auto"/>
          <w:szCs w:val="24"/>
        </w:rPr>
        <w:t xml:space="preserve">investors from Kuwait </w:t>
      </w:r>
      <w:r>
        <w:rPr>
          <w:color w:val="auto"/>
          <w:szCs w:val="24"/>
        </w:rPr>
        <w:t>for the 99</w:t>
      </w:r>
      <w:r w:rsidR="008205A1">
        <w:rPr>
          <w:color w:val="auto"/>
          <w:szCs w:val="24"/>
        </w:rPr>
        <w:noBreakHyphen/>
      </w:r>
      <w:r>
        <w:rPr>
          <w:color w:val="auto"/>
          <w:szCs w:val="24"/>
        </w:rPr>
        <w:t xml:space="preserve">year lease of </w:t>
      </w:r>
      <w:proofErr w:type="spellStart"/>
      <w:r>
        <w:rPr>
          <w:color w:val="auto"/>
          <w:szCs w:val="24"/>
        </w:rPr>
        <w:t>TransGrid</w:t>
      </w:r>
      <w:proofErr w:type="spellEnd"/>
      <w:r>
        <w:rPr>
          <w:color w:val="auto"/>
          <w:szCs w:val="24"/>
        </w:rPr>
        <w:t xml:space="preserve">. </w:t>
      </w:r>
    </w:p>
    <w:p w14:paraId="4DA177AB" w14:textId="3EFD0993" w:rsidR="008B6006" w:rsidRPr="00637250" w:rsidRDefault="00344893" w:rsidP="008B6006">
      <w:pPr>
        <w:rPr>
          <w:color w:val="auto"/>
          <w:szCs w:val="24"/>
        </w:rPr>
      </w:pPr>
      <w:r>
        <w:rPr>
          <w:color w:val="auto"/>
        </w:rPr>
        <w:t xml:space="preserve">Proposed investment in </w:t>
      </w:r>
      <w:r w:rsidR="00685A9B">
        <w:rPr>
          <w:color w:val="auto"/>
          <w:szCs w:val="24"/>
        </w:rPr>
        <w:t>2015</w:t>
      </w:r>
      <w:r w:rsidR="008205A1">
        <w:rPr>
          <w:color w:val="auto"/>
          <w:szCs w:val="24"/>
        </w:rPr>
        <w:noBreakHyphen/>
      </w:r>
      <w:r w:rsidR="00685A9B">
        <w:rPr>
          <w:color w:val="auto"/>
          <w:szCs w:val="24"/>
        </w:rPr>
        <w:t>16</w:t>
      </w:r>
      <w:r w:rsidRPr="00685A9B">
        <w:rPr>
          <w:color w:val="auto"/>
        </w:rPr>
        <w:t xml:space="preserve"> by selected country, disaggregated by sector, is shown in</w:t>
      </w:r>
      <w:r w:rsidR="0089568D">
        <w:rPr>
          <w:color w:val="auto"/>
        </w:rPr>
        <w:t> </w:t>
      </w:r>
      <w:r w:rsidRPr="009D6EE3">
        <w:rPr>
          <w:color w:val="auto"/>
        </w:rPr>
        <w:t>Table</w:t>
      </w:r>
      <w:r w:rsidR="00E16374" w:rsidRPr="009D6EE3">
        <w:rPr>
          <w:color w:val="auto"/>
        </w:rPr>
        <w:t xml:space="preserve"> </w:t>
      </w:r>
      <w:r w:rsidR="00854C21" w:rsidRPr="009D6EE3">
        <w:rPr>
          <w:color w:val="auto"/>
        </w:rPr>
        <w:t>3.13</w:t>
      </w:r>
      <w:r w:rsidRPr="00685A9B">
        <w:rPr>
          <w:color w:val="auto"/>
        </w:rPr>
        <w:t>.</w:t>
      </w:r>
    </w:p>
    <w:p w14:paraId="2971D4F6" w14:textId="6EE084DD" w:rsidR="008B6006" w:rsidRPr="008275CC" w:rsidRDefault="008B6006" w:rsidP="00344893">
      <w:pPr>
        <w:jc w:val="left"/>
        <w:rPr>
          <w:color w:val="00B050"/>
        </w:rPr>
        <w:sectPr w:rsidR="008B6006" w:rsidRPr="008275CC" w:rsidSect="0020758A">
          <w:headerReference w:type="default" r:id="rId89"/>
          <w:headerReference w:type="first" r:id="rId90"/>
          <w:type w:val="oddPage"/>
          <w:pgSz w:w="11907" w:h="16840" w:code="9"/>
          <w:pgMar w:top="2466" w:right="2098" w:bottom="2466" w:left="2098" w:header="1899" w:footer="1899" w:gutter="0"/>
          <w:cols w:space="720"/>
          <w:titlePg/>
          <w:docGrid w:linePitch="360"/>
        </w:sectPr>
      </w:pPr>
    </w:p>
    <w:p w14:paraId="0F03BA16" w14:textId="1DF1FBC9" w:rsidR="008B6006" w:rsidRDefault="008B6006" w:rsidP="00115593">
      <w:pPr>
        <w:pStyle w:val="TableHeading"/>
      </w:pPr>
      <w:r w:rsidRPr="00637250">
        <w:lastRenderedPageBreak/>
        <w:t xml:space="preserve">Table </w:t>
      </w:r>
      <w:r w:rsidR="00CD52D9">
        <w:t>3.13</w:t>
      </w:r>
      <w:r w:rsidRPr="00637250">
        <w:t>: Approvals by country of investor by industry sector in 201</w:t>
      </w:r>
      <w:r w:rsidR="003E2072" w:rsidRPr="00637250">
        <w:t>5</w:t>
      </w:r>
      <w:r w:rsidR="008205A1">
        <w:noBreakHyphen/>
      </w:r>
      <w:r w:rsidR="003E2072" w:rsidRPr="00637250">
        <w:t>16</w:t>
      </w:r>
    </w:p>
    <w:p w14:paraId="0A98255F" w14:textId="2EA66528" w:rsidR="00FC2A89" w:rsidRPr="00FC2A89" w:rsidRDefault="00FC2A89" w:rsidP="00FC2A89">
      <w:pPr>
        <w:pStyle w:val="TableGraphic"/>
      </w:pPr>
      <w:r>
        <w:object w:dxaOrig="11908" w:dyaOrig="5880" w14:anchorId="408389D2">
          <v:shape id="_x0000_i1042" type="#_x0000_t75" style="width:595.7pt;height:293.45pt" o:ole="">
            <v:imagedata r:id="rId91" o:title=""/>
          </v:shape>
          <o:OLEObject Type="Link" ProgID="Excel.Sheet.12" ShapeID="_x0000_i1042" DrawAspect="Content" r:id="rId92" UpdateMode="Always">
            <o:LinkType>EnhancedMetaFile</o:LinkType>
            <o:LockedField>false</o:LockedField>
          </o:OLEObject>
        </w:object>
      </w:r>
    </w:p>
    <w:p w14:paraId="1D0693DE" w14:textId="77777777" w:rsidR="008B6006" w:rsidRDefault="008B6006" w:rsidP="00FC2A89">
      <w:pPr>
        <w:pStyle w:val="ChartandTableFootnoteSmall"/>
      </w:pPr>
      <w:bookmarkStart w:id="52" w:name="_1548074941"/>
      <w:bookmarkEnd w:id="52"/>
    </w:p>
    <w:p w14:paraId="4105CB22" w14:textId="77777777" w:rsidR="00FC2A89" w:rsidRDefault="00FC2A89" w:rsidP="00FC2A89"/>
    <w:p w14:paraId="632FDF23" w14:textId="77777777" w:rsidR="00FC2A89" w:rsidRPr="00FC2A89" w:rsidRDefault="00FC2A89" w:rsidP="00FC2A89"/>
    <w:p w14:paraId="22B79899" w14:textId="1BBF9BDD" w:rsidR="008B6006" w:rsidRPr="00841976" w:rsidRDefault="008B6006" w:rsidP="008B6006">
      <w:pPr>
        <w:pStyle w:val="SingleParagraph"/>
        <w:spacing w:line="240" w:lineRule="auto"/>
        <w:rPr>
          <w:sz w:val="2"/>
          <w:szCs w:val="8"/>
        </w:rPr>
        <w:sectPr w:rsidR="008B6006" w:rsidRPr="00841976" w:rsidSect="00204E29">
          <w:headerReference w:type="first" r:id="rId93"/>
          <w:footerReference w:type="first" r:id="rId94"/>
          <w:pgSz w:w="16840" w:h="11907" w:orient="landscape" w:code="9"/>
          <w:pgMar w:top="2098" w:right="2466" w:bottom="2098" w:left="2466" w:header="1871" w:footer="1899" w:gutter="0"/>
          <w:cols w:space="720"/>
          <w:titlePg/>
          <w:docGrid w:linePitch="360"/>
        </w:sectPr>
      </w:pPr>
    </w:p>
    <w:p w14:paraId="7865D96E" w14:textId="5661E73C" w:rsidR="008B6006" w:rsidRPr="00637250" w:rsidRDefault="008B6006" w:rsidP="006F5BF5">
      <w:pPr>
        <w:pStyle w:val="TableMainHeadingContd"/>
        <w:spacing w:after="240"/>
      </w:pPr>
      <w:r w:rsidRPr="00637250">
        <w:lastRenderedPageBreak/>
        <w:t xml:space="preserve">Notes applying to Table </w:t>
      </w:r>
      <w:r w:rsidR="00F91E30">
        <w:t>3</w:t>
      </w:r>
      <w:r w:rsidRPr="00637250">
        <w:t>.1</w:t>
      </w:r>
      <w:r w:rsidR="00F91E30">
        <w:t>3</w:t>
      </w:r>
    </w:p>
    <w:p w14:paraId="76534579" w14:textId="77777777" w:rsidR="008B6006" w:rsidRPr="00CF37CB" w:rsidRDefault="008B6006" w:rsidP="008B6006">
      <w:pPr>
        <w:pStyle w:val="StyleChartorTableNoteLeft0cmHanging1cm"/>
      </w:pPr>
      <w:r w:rsidRPr="00F96AF7">
        <w:t>Note:</w:t>
      </w:r>
      <w:r w:rsidRPr="00F96AF7">
        <w:tab/>
        <w:t xml:space="preserve">Totals may not add due to rounding. </w:t>
      </w:r>
    </w:p>
    <w:p w14:paraId="739D1E2D" w14:textId="409121FD" w:rsidR="008B6006" w:rsidRDefault="008B6006" w:rsidP="008B6006">
      <w:pPr>
        <w:pStyle w:val="StyleChartorTableNoteLeft0cmHanging1cm"/>
      </w:pPr>
      <w:r w:rsidRPr="00F96AF7">
        <w:tab/>
      </w:r>
      <w:r w:rsidR="008205A1">
        <w:t>‘</w:t>
      </w:r>
      <w:r w:rsidR="008205A1">
        <w:noBreakHyphen/>
      </w:r>
      <w:proofErr w:type="gramStart"/>
      <w:r w:rsidR="008205A1">
        <w:t>‘</w:t>
      </w:r>
      <w:r w:rsidRPr="00F96AF7">
        <w:t xml:space="preserve"> indicates</w:t>
      </w:r>
      <w:proofErr w:type="gramEnd"/>
      <w:r w:rsidRPr="00F96AF7">
        <w:t xml:space="preserve"> a figure of $10 million or less.</w:t>
      </w:r>
    </w:p>
    <w:p w14:paraId="6D9BA1DA" w14:textId="77777777" w:rsidR="008B6006" w:rsidRPr="00F96AF7" w:rsidRDefault="008B6006" w:rsidP="001D790E">
      <w:pPr>
        <w:pStyle w:val="ChartandTableFootnoteAlpha"/>
        <w:numPr>
          <w:ilvl w:val="0"/>
          <w:numId w:val="18"/>
        </w:numPr>
      </w:pPr>
      <w:r w:rsidRPr="00F96AF7">
        <w:t>Includes overseas territories.</w:t>
      </w:r>
    </w:p>
    <w:p w14:paraId="069D0BA1" w14:textId="77777777" w:rsidR="008B6006" w:rsidRPr="00F96AF7" w:rsidRDefault="008B6006" w:rsidP="008B6006">
      <w:pPr>
        <w:pStyle w:val="ChartandTableFootnoteAlpha"/>
      </w:pPr>
      <w:r w:rsidRPr="00F96AF7">
        <w:t>China excludes Special Administrative Regions and Taiwan.</w:t>
      </w:r>
    </w:p>
    <w:p w14:paraId="51D3D476" w14:textId="77777777" w:rsidR="008B6006" w:rsidRDefault="008B6006" w:rsidP="008B6006">
      <w:pPr>
        <w:pStyle w:val="ChartandTableFootnoteAlpha"/>
      </w:pPr>
      <w:r w:rsidRPr="00F96AF7">
        <w:t>Other comprises all other countries not in the largest 18 countries based on total proposed investment approved, as well as proposed investment approved which cannot be attributed to a country.</w:t>
      </w:r>
    </w:p>
    <w:p w14:paraId="468A9CD1" w14:textId="7ACCF5B0" w:rsidR="008B6006" w:rsidRPr="00F96AF7" w:rsidRDefault="008B6006" w:rsidP="008B6006">
      <w:pPr>
        <w:pStyle w:val="ChartandTableFootnoteAlpha"/>
      </w:pPr>
      <w:r>
        <w:t xml:space="preserve">One </w:t>
      </w:r>
      <w:r w:rsidR="00093F7E">
        <w:t xml:space="preserve">new dwelling exemption certificate (previously </w:t>
      </w:r>
      <w:r>
        <w:t xml:space="preserve">advanced </w:t>
      </w:r>
      <w:r w:rsidR="008205A1">
        <w:t>‘</w:t>
      </w:r>
      <w:r>
        <w:t>off</w:t>
      </w:r>
      <w:r w:rsidR="008205A1">
        <w:noBreakHyphen/>
      </w:r>
      <w:r>
        <w:t>the</w:t>
      </w:r>
      <w:r w:rsidR="008205A1">
        <w:noBreakHyphen/>
      </w:r>
      <w:r>
        <w:t>plan</w:t>
      </w:r>
      <w:r w:rsidR="008205A1">
        <w:t>’</w:t>
      </w:r>
      <w:r>
        <w:t xml:space="preserve"> certificate</w:t>
      </w:r>
      <w:r w:rsidR="00093F7E">
        <w:t>)</w:t>
      </w:r>
      <w:r>
        <w:t xml:space="preserve"> equates to one approval in terms of the number of approvals but the entire value of the proposed development is included in the value columns.</w:t>
      </w:r>
      <w:r w:rsidDel="00AD239D">
        <w:t xml:space="preserve"> </w:t>
      </w:r>
      <w:r>
        <w:t xml:space="preserve">Further details are provided in the section </w:t>
      </w:r>
      <w:r w:rsidRPr="0001216B">
        <w:t>on real estate</w:t>
      </w:r>
      <w:r>
        <w:t xml:space="preserve">. </w:t>
      </w:r>
    </w:p>
    <w:p w14:paraId="4EAED19F" w14:textId="77777777" w:rsidR="008B6006" w:rsidRPr="00F96AF7" w:rsidRDefault="008B6006" w:rsidP="008B6006">
      <w:pPr>
        <w:pStyle w:val="ChartandTableFootnoteAlpha"/>
      </w:pPr>
      <w:r w:rsidRPr="00F96AF7">
        <w:t>Comprises proposals where an Australian controlled investment manager acting on behalf of an investor operates independently of the interest holders in the investor, or an Australian investor(s) jointly intends to make a proposed investment with a foreign investor, or jointly establish a new business with a foreign government investor.</w:t>
      </w:r>
    </w:p>
    <w:p w14:paraId="23AC967B" w14:textId="77777777" w:rsidR="008B6006" w:rsidRPr="00F96AF7" w:rsidRDefault="008B6006" w:rsidP="008B6006">
      <w:pPr>
        <w:pStyle w:val="ChartandTableFootnoteAlpha"/>
      </w:pPr>
      <w:r w:rsidRPr="00F96AF7">
        <w:t xml:space="preserve">These figures indicate the total number of proposals in which investors from the particular country have an interest. Those involving investment originating from more than one country count as one proposal for each of the countries concerned. </w:t>
      </w:r>
    </w:p>
    <w:p w14:paraId="2F15BEBB" w14:textId="77777777" w:rsidR="008B6006" w:rsidRPr="008237F9" w:rsidRDefault="008B6006" w:rsidP="008B6006"/>
    <w:p w14:paraId="615CB277" w14:textId="77777777" w:rsidR="00204E29" w:rsidRDefault="00204E29">
      <w:pPr>
        <w:spacing w:after="200" w:line="276" w:lineRule="auto"/>
        <w:jc w:val="left"/>
        <w:sectPr w:rsidR="00204E29" w:rsidSect="00294A97">
          <w:headerReference w:type="even" r:id="rId95"/>
          <w:headerReference w:type="first" r:id="rId96"/>
          <w:footerReference w:type="first" r:id="rId97"/>
          <w:pgSz w:w="11907" w:h="16840" w:code="9"/>
          <w:pgMar w:top="2466" w:right="2098" w:bottom="2466" w:left="2098" w:header="1899" w:footer="1899" w:gutter="0"/>
          <w:cols w:space="708"/>
          <w:titlePg/>
          <w:docGrid w:linePitch="360"/>
        </w:sectPr>
      </w:pPr>
    </w:p>
    <w:p w14:paraId="232264E2" w14:textId="3D436565" w:rsidR="00FE4F85" w:rsidRPr="00E30512" w:rsidRDefault="00E30512" w:rsidP="00FE4F85">
      <w:pPr>
        <w:pStyle w:val="Heading1"/>
      </w:pPr>
      <w:bookmarkStart w:id="53" w:name="_Toc476737080"/>
      <w:r>
        <w:rPr>
          <w:noProof/>
        </w:rPr>
        <w:lastRenderedPageBreak/>
        <w:drawing>
          <wp:anchor distT="0" distB="0" distL="114300" distR="114300" simplePos="0" relativeHeight="251658251" behindDoc="0" locked="0" layoutInCell="1" allowOverlap="1" wp14:anchorId="2926C80E" wp14:editId="5D95B446">
            <wp:simplePos x="0" y="0"/>
            <wp:positionH relativeFrom="column">
              <wp:posOffset>6985</wp:posOffset>
            </wp:positionH>
            <wp:positionV relativeFrom="paragraph">
              <wp:posOffset>0</wp:posOffset>
            </wp:positionV>
            <wp:extent cx="4896485" cy="28638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896485" cy="2863850"/>
                    </a:xfrm>
                    <a:prstGeom prst="rect">
                      <a:avLst/>
                    </a:prstGeom>
                  </pic:spPr>
                </pic:pic>
              </a:graphicData>
            </a:graphic>
            <wp14:sizeRelH relativeFrom="page">
              <wp14:pctWidth>0</wp14:pctWidth>
            </wp14:sizeRelH>
            <wp14:sizeRelV relativeFrom="page">
              <wp14:pctHeight>0</wp14:pctHeight>
            </wp14:sizeRelV>
          </wp:anchor>
        </w:drawing>
      </w:r>
      <w:r w:rsidRPr="00E30512">
        <w:t xml:space="preserve">Chapter 4: </w:t>
      </w:r>
      <w:r w:rsidR="00FE4F85" w:rsidRPr="00E30512">
        <w:t>Foreign Investment Compliance</w:t>
      </w:r>
      <w:bookmarkEnd w:id="53"/>
    </w:p>
    <w:p w14:paraId="7042E1CC" w14:textId="1A0F8B38" w:rsidR="008B6006" w:rsidRDefault="008B6006">
      <w:pPr>
        <w:spacing w:after="200" w:line="276" w:lineRule="auto"/>
        <w:jc w:val="left"/>
      </w:pPr>
    </w:p>
    <w:p w14:paraId="27C5D1B3" w14:textId="7CA0BB6E" w:rsidR="004C402F" w:rsidRPr="00B8160A" w:rsidRDefault="004C402F" w:rsidP="00204E29"/>
    <w:p w14:paraId="50150084" w14:textId="77777777" w:rsidR="004C402F" w:rsidRDefault="004C402F" w:rsidP="004C402F"/>
    <w:p w14:paraId="50C1A2C4" w14:textId="77777777" w:rsidR="004C402F" w:rsidRDefault="004C402F" w:rsidP="004C402F"/>
    <w:p w14:paraId="2F8E18BD" w14:textId="77777777" w:rsidR="004C402F" w:rsidRDefault="004C402F" w:rsidP="004C402F"/>
    <w:p w14:paraId="7957D4D6" w14:textId="77777777" w:rsidR="004C402F" w:rsidRDefault="004C402F" w:rsidP="00FE4F85"/>
    <w:p w14:paraId="398D0F34" w14:textId="1A71E984" w:rsidR="004C402F" w:rsidRDefault="004C402F" w:rsidP="00FE4F85"/>
    <w:p w14:paraId="738D024C" w14:textId="77777777" w:rsidR="004C402F" w:rsidRDefault="004C402F" w:rsidP="00FE4F85"/>
    <w:p w14:paraId="039E1799" w14:textId="77777777" w:rsidR="004C402F" w:rsidRDefault="004C402F" w:rsidP="00FE4F85"/>
    <w:p w14:paraId="5B75F8E9" w14:textId="77777777" w:rsidR="00495F6E" w:rsidRDefault="00495F6E" w:rsidP="00FE4F85"/>
    <w:p w14:paraId="36AFC221" w14:textId="77777777" w:rsidR="00EA574E" w:rsidRDefault="00EA574E" w:rsidP="00FE4F85"/>
    <w:p w14:paraId="6B0A75E6" w14:textId="092D8058" w:rsidR="004C402F" w:rsidRPr="007E79D7" w:rsidRDefault="00997242" w:rsidP="007E79D7">
      <w:pPr>
        <w:rPr>
          <w:color w:val="auto"/>
        </w:rPr>
      </w:pPr>
      <w:r>
        <w:rPr>
          <w:color w:val="auto"/>
        </w:rPr>
        <w:t xml:space="preserve">The Australian Government supports the </w:t>
      </w:r>
      <w:r w:rsidR="004C402F" w:rsidRPr="007E79D7">
        <w:rPr>
          <w:color w:val="auto"/>
        </w:rPr>
        <w:t xml:space="preserve">foreign investment </w:t>
      </w:r>
      <w:r>
        <w:rPr>
          <w:color w:val="auto"/>
        </w:rPr>
        <w:t>regime through</w:t>
      </w:r>
      <w:r w:rsidR="004C402F" w:rsidRPr="007E79D7">
        <w:rPr>
          <w:color w:val="auto"/>
        </w:rPr>
        <w:t xml:space="preserve"> education and promotion of the</w:t>
      </w:r>
      <w:r w:rsidR="008171DD" w:rsidRPr="007E79D7">
        <w:rPr>
          <w:color w:val="auto"/>
        </w:rPr>
        <w:t xml:space="preserve"> </w:t>
      </w:r>
      <w:r w:rsidR="00DC0A40" w:rsidRPr="007E79D7">
        <w:rPr>
          <w:color w:val="auto"/>
        </w:rPr>
        <w:t>framework</w:t>
      </w:r>
      <w:r w:rsidR="004C402F" w:rsidRPr="007E79D7">
        <w:rPr>
          <w:color w:val="auto"/>
        </w:rPr>
        <w:t>, rigorous screening practices and a robust compliance program.</w:t>
      </w:r>
    </w:p>
    <w:p w14:paraId="0B59E966" w14:textId="2B1DA9DB" w:rsidR="004C402F" w:rsidRPr="007E79D7" w:rsidRDefault="004C402F" w:rsidP="00115593">
      <w:pPr>
        <w:pStyle w:val="Heading3"/>
        <w:rPr>
          <w:smallCaps/>
        </w:rPr>
      </w:pPr>
      <w:r w:rsidRPr="007E79D7">
        <w:t xml:space="preserve">Education </w:t>
      </w:r>
      <w:r w:rsidRPr="00115593">
        <w:t>and</w:t>
      </w:r>
      <w:r w:rsidRPr="007E79D7">
        <w:t xml:space="preserve"> </w:t>
      </w:r>
      <w:r w:rsidR="00026B74">
        <w:t>p</w:t>
      </w:r>
      <w:r w:rsidRPr="007E79D7">
        <w:t>romotion</w:t>
      </w:r>
    </w:p>
    <w:p w14:paraId="135BB6AA" w14:textId="2B19DBC3" w:rsidR="004C402F" w:rsidRPr="007E79D7" w:rsidRDefault="00DC0A40" w:rsidP="007E79D7">
      <w:pPr>
        <w:rPr>
          <w:color w:val="auto"/>
        </w:rPr>
      </w:pPr>
      <w:r w:rsidRPr="007E79D7">
        <w:rPr>
          <w:color w:val="auto"/>
        </w:rPr>
        <w:t xml:space="preserve">The </w:t>
      </w:r>
      <w:r w:rsidR="00595113" w:rsidRPr="007E79D7">
        <w:rPr>
          <w:color w:val="auto"/>
        </w:rPr>
        <w:t>Board</w:t>
      </w:r>
      <w:r w:rsidRPr="007E79D7">
        <w:rPr>
          <w:color w:val="auto"/>
        </w:rPr>
        <w:t xml:space="preserve"> and </w:t>
      </w:r>
      <w:r w:rsidR="00595113" w:rsidRPr="007E79D7">
        <w:rPr>
          <w:color w:val="auto"/>
        </w:rPr>
        <w:t xml:space="preserve">its </w:t>
      </w:r>
      <w:r w:rsidRPr="007E79D7">
        <w:rPr>
          <w:color w:val="auto"/>
        </w:rPr>
        <w:t xml:space="preserve">Secretariat undertake numerous </w:t>
      </w:r>
      <w:r w:rsidR="00854C21" w:rsidRPr="007E79D7">
        <w:rPr>
          <w:color w:val="auto"/>
        </w:rPr>
        <w:t>activities</w:t>
      </w:r>
      <w:r w:rsidRPr="007E79D7">
        <w:rPr>
          <w:color w:val="auto"/>
        </w:rPr>
        <w:t xml:space="preserve"> </w:t>
      </w:r>
      <w:r w:rsidR="004C402F" w:rsidRPr="007E79D7">
        <w:rPr>
          <w:color w:val="auto"/>
        </w:rPr>
        <w:t xml:space="preserve">to educate and provide information to individuals and organisations affected directly and indirectly by the foreign investment framework. </w:t>
      </w:r>
      <w:r w:rsidRPr="007E79D7">
        <w:rPr>
          <w:color w:val="auto"/>
        </w:rPr>
        <w:t>These a</w:t>
      </w:r>
      <w:r w:rsidR="004C402F" w:rsidRPr="007E79D7">
        <w:rPr>
          <w:color w:val="auto"/>
        </w:rPr>
        <w:t>ctivities include presenting at industry forums and seminars, providing information such as the Guidance Notes and the Investor Obligations — Fact Sheets (which are available on the Board</w:t>
      </w:r>
      <w:r w:rsidR="008205A1">
        <w:rPr>
          <w:color w:val="auto"/>
        </w:rPr>
        <w:t>’</w:t>
      </w:r>
      <w:r w:rsidR="004C402F" w:rsidRPr="007E79D7">
        <w:rPr>
          <w:color w:val="auto"/>
        </w:rPr>
        <w:t>s website); responding to written enquiries and providing information through the general enquiries helpline and the compliance hotline.</w:t>
      </w:r>
      <w:r w:rsidR="00595113" w:rsidRPr="007E79D7">
        <w:rPr>
          <w:color w:val="auto"/>
        </w:rPr>
        <w:t xml:space="preserve"> For further information on the Board</w:t>
      </w:r>
      <w:r w:rsidR="008205A1">
        <w:rPr>
          <w:color w:val="auto"/>
        </w:rPr>
        <w:t>’</w:t>
      </w:r>
      <w:r w:rsidR="00595113" w:rsidRPr="007E79D7">
        <w:rPr>
          <w:color w:val="auto"/>
        </w:rPr>
        <w:t>s engagement activities see th</w:t>
      </w:r>
      <w:r w:rsidR="005942D7">
        <w:rPr>
          <w:color w:val="auto"/>
        </w:rPr>
        <w:t>e 2015</w:t>
      </w:r>
      <w:r w:rsidR="008205A1">
        <w:rPr>
          <w:color w:val="auto"/>
        </w:rPr>
        <w:noBreakHyphen/>
      </w:r>
      <w:r w:rsidR="005942D7">
        <w:rPr>
          <w:color w:val="auto"/>
        </w:rPr>
        <w:t xml:space="preserve">16 </w:t>
      </w:r>
      <w:proofErr w:type="spellStart"/>
      <w:r w:rsidR="005942D7">
        <w:rPr>
          <w:color w:val="auto"/>
        </w:rPr>
        <w:t>FIRB</w:t>
      </w:r>
      <w:proofErr w:type="spellEnd"/>
      <w:r w:rsidR="005942D7">
        <w:rPr>
          <w:color w:val="auto"/>
        </w:rPr>
        <w:t xml:space="preserve"> Regulator Performance Framework Report, available at the Board</w:t>
      </w:r>
      <w:r w:rsidR="008205A1">
        <w:rPr>
          <w:color w:val="auto"/>
        </w:rPr>
        <w:t>’</w:t>
      </w:r>
      <w:r w:rsidR="005942D7">
        <w:rPr>
          <w:color w:val="auto"/>
        </w:rPr>
        <w:t>s website</w:t>
      </w:r>
      <w:r w:rsidR="00595113" w:rsidRPr="007E79D7">
        <w:rPr>
          <w:color w:val="auto"/>
        </w:rPr>
        <w:t>.</w:t>
      </w:r>
    </w:p>
    <w:p w14:paraId="407B4B9C" w14:textId="01193BA9" w:rsidR="004C402F" w:rsidRPr="007E79D7" w:rsidRDefault="004C402F" w:rsidP="00115593">
      <w:pPr>
        <w:pStyle w:val="Heading3"/>
        <w:rPr>
          <w:smallCaps/>
        </w:rPr>
      </w:pPr>
      <w:r w:rsidRPr="007E79D7">
        <w:t xml:space="preserve">Rigorous </w:t>
      </w:r>
      <w:r w:rsidR="00026B74">
        <w:t>s</w:t>
      </w:r>
      <w:r w:rsidRPr="00115593">
        <w:t>creening</w:t>
      </w:r>
      <w:r w:rsidRPr="007E79D7">
        <w:t xml:space="preserve"> </w:t>
      </w:r>
      <w:r w:rsidR="00026B74">
        <w:t>p</w:t>
      </w:r>
      <w:r w:rsidRPr="007E79D7">
        <w:t>ractices</w:t>
      </w:r>
    </w:p>
    <w:p w14:paraId="55106DD2" w14:textId="66372F7E" w:rsidR="004C402F" w:rsidRPr="007E79D7" w:rsidRDefault="00A67753" w:rsidP="007E79D7">
      <w:pPr>
        <w:rPr>
          <w:color w:val="auto"/>
        </w:rPr>
      </w:pPr>
      <w:r w:rsidRPr="007E79D7">
        <w:rPr>
          <w:color w:val="auto"/>
        </w:rPr>
        <w:t>When screening new applications, the applicant</w:t>
      </w:r>
      <w:r w:rsidR="008205A1">
        <w:rPr>
          <w:color w:val="auto"/>
        </w:rPr>
        <w:t>’</w:t>
      </w:r>
      <w:r w:rsidRPr="007E79D7">
        <w:rPr>
          <w:color w:val="auto"/>
        </w:rPr>
        <w:t>s</w:t>
      </w:r>
      <w:r w:rsidR="004C402F" w:rsidRPr="007E79D7">
        <w:rPr>
          <w:color w:val="auto"/>
        </w:rPr>
        <w:t xml:space="preserve"> </w:t>
      </w:r>
      <w:r w:rsidRPr="007E79D7">
        <w:rPr>
          <w:color w:val="auto"/>
        </w:rPr>
        <w:t xml:space="preserve">past </w:t>
      </w:r>
      <w:r w:rsidR="004C402F" w:rsidRPr="007E79D7">
        <w:rPr>
          <w:color w:val="auto"/>
        </w:rPr>
        <w:t xml:space="preserve">compliance </w:t>
      </w:r>
      <w:r w:rsidRPr="007E79D7">
        <w:rPr>
          <w:color w:val="auto"/>
        </w:rPr>
        <w:t xml:space="preserve">with the foreign investment regime is </w:t>
      </w:r>
      <w:r w:rsidR="004D775A">
        <w:rPr>
          <w:color w:val="auto"/>
        </w:rPr>
        <w:t>considered</w:t>
      </w:r>
      <w:r w:rsidRPr="007E79D7">
        <w:rPr>
          <w:color w:val="auto"/>
        </w:rPr>
        <w:t xml:space="preserve">. This includes reviewing whether past transactions have been correctly notified and ensuring </w:t>
      </w:r>
      <w:r w:rsidR="004C402F" w:rsidRPr="007E79D7">
        <w:rPr>
          <w:color w:val="auto"/>
        </w:rPr>
        <w:t xml:space="preserve">conditions relating to past proposals </w:t>
      </w:r>
      <w:r w:rsidR="00882A90">
        <w:rPr>
          <w:color w:val="auto"/>
        </w:rPr>
        <w:t>are met.</w:t>
      </w:r>
      <w:r w:rsidR="004C402F" w:rsidRPr="007E79D7">
        <w:rPr>
          <w:color w:val="auto"/>
        </w:rPr>
        <w:t xml:space="preserve"> Instances of </w:t>
      </w:r>
      <w:r w:rsidR="00465D47">
        <w:rPr>
          <w:color w:val="auto"/>
        </w:rPr>
        <w:t>non</w:t>
      </w:r>
      <w:r w:rsidR="008205A1">
        <w:rPr>
          <w:color w:val="auto"/>
        </w:rPr>
        <w:noBreakHyphen/>
      </w:r>
      <w:r w:rsidRPr="007E79D7">
        <w:rPr>
          <w:color w:val="auto"/>
        </w:rPr>
        <w:t>compliance</w:t>
      </w:r>
      <w:r w:rsidR="00461C2E" w:rsidRPr="007E79D7">
        <w:rPr>
          <w:color w:val="auto"/>
        </w:rPr>
        <w:t xml:space="preserve"> </w:t>
      </w:r>
      <w:r w:rsidR="004C402F" w:rsidRPr="007E79D7">
        <w:rPr>
          <w:color w:val="auto"/>
        </w:rPr>
        <w:t xml:space="preserve">may result in </w:t>
      </w:r>
      <w:r w:rsidR="00CB46AB" w:rsidRPr="007E79D7">
        <w:rPr>
          <w:color w:val="auto"/>
        </w:rPr>
        <w:t xml:space="preserve">more stringent conditions being imposed on </w:t>
      </w:r>
      <w:r w:rsidR="004C402F" w:rsidRPr="007E79D7">
        <w:rPr>
          <w:color w:val="auto"/>
        </w:rPr>
        <w:t xml:space="preserve">future </w:t>
      </w:r>
      <w:r w:rsidRPr="007E79D7">
        <w:rPr>
          <w:color w:val="auto"/>
        </w:rPr>
        <w:t>approvals</w:t>
      </w:r>
      <w:r w:rsidR="008171DD" w:rsidRPr="007E79D7">
        <w:rPr>
          <w:color w:val="auto"/>
        </w:rPr>
        <w:t xml:space="preserve"> </w:t>
      </w:r>
      <w:r w:rsidR="00CB46AB" w:rsidRPr="007E79D7">
        <w:rPr>
          <w:color w:val="auto"/>
        </w:rPr>
        <w:t>or even rejection</w:t>
      </w:r>
      <w:r w:rsidR="004C402F" w:rsidRPr="007E79D7">
        <w:rPr>
          <w:color w:val="auto"/>
        </w:rPr>
        <w:t>.</w:t>
      </w:r>
      <w:r w:rsidRPr="007E79D7">
        <w:rPr>
          <w:color w:val="auto"/>
        </w:rPr>
        <w:t xml:space="preserve"> The application screening process is outlined in Appendix B on page </w:t>
      </w:r>
      <w:r w:rsidR="00FB19BC">
        <w:rPr>
          <w:color w:val="auto"/>
        </w:rPr>
        <w:t>51</w:t>
      </w:r>
      <w:r w:rsidRPr="007E79D7">
        <w:rPr>
          <w:color w:val="auto"/>
        </w:rPr>
        <w:t>.</w:t>
      </w:r>
    </w:p>
    <w:p w14:paraId="7251FC6F" w14:textId="2026B357" w:rsidR="004C402F" w:rsidRPr="007E79D7" w:rsidRDefault="004C402F" w:rsidP="00115593">
      <w:pPr>
        <w:pStyle w:val="Heading3"/>
        <w:rPr>
          <w:smallCaps/>
        </w:rPr>
      </w:pPr>
      <w:r w:rsidRPr="00115593">
        <w:lastRenderedPageBreak/>
        <w:t>Compliance</w:t>
      </w:r>
      <w:r w:rsidRPr="007E79D7">
        <w:t xml:space="preserve"> </w:t>
      </w:r>
      <w:r w:rsidR="00026B74">
        <w:t>p</w:t>
      </w:r>
      <w:r w:rsidRPr="007E79D7">
        <w:t>rogram</w:t>
      </w:r>
    </w:p>
    <w:p w14:paraId="4E4E24C9" w14:textId="78D3E4CB" w:rsidR="004C402F" w:rsidRPr="007E79D7" w:rsidRDefault="004C402F" w:rsidP="00CC3A7A">
      <w:pPr>
        <w:rPr>
          <w:color w:val="auto"/>
        </w:rPr>
      </w:pPr>
      <w:r w:rsidRPr="007E79D7">
        <w:rPr>
          <w:color w:val="auto"/>
        </w:rPr>
        <w:t>General compliance and monitoring work includes the following activities:</w:t>
      </w:r>
    </w:p>
    <w:p w14:paraId="26E6139B" w14:textId="7F64E85A" w:rsidR="004C402F" w:rsidRPr="007E79D7" w:rsidRDefault="004C402F" w:rsidP="007E79D7">
      <w:pPr>
        <w:pStyle w:val="Bullet"/>
        <w:spacing w:before="60" w:after="60"/>
        <w:rPr>
          <w:rFonts w:ascii="Calibri" w:hAnsi="Calibri"/>
        </w:rPr>
      </w:pPr>
      <w:proofErr w:type="gramStart"/>
      <w:r w:rsidRPr="007E79D7">
        <w:rPr>
          <w:rFonts w:ascii="Calibri" w:hAnsi="Calibri"/>
        </w:rPr>
        <w:t>investigations</w:t>
      </w:r>
      <w:proofErr w:type="gramEnd"/>
      <w:r w:rsidRPr="007E79D7">
        <w:rPr>
          <w:rFonts w:ascii="Calibri" w:hAnsi="Calibri"/>
        </w:rPr>
        <w:t xml:space="preserve"> </w:t>
      </w:r>
      <w:r w:rsidR="00D07FCB" w:rsidRPr="007E79D7">
        <w:rPr>
          <w:rFonts w:ascii="Calibri" w:hAnsi="Calibri"/>
        </w:rPr>
        <w:t xml:space="preserve">triggered by data matching </w:t>
      </w:r>
      <w:r w:rsidRPr="007E79D7">
        <w:rPr>
          <w:rFonts w:ascii="Calibri" w:hAnsi="Calibri"/>
        </w:rPr>
        <w:t>and interpretation of trends</w:t>
      </w:r>
      <w:r w:rsidR="00D07FCB" w:rsidRPr="007E79D7">
        <w:rPr>
          <w:rFonts w:ascii="Calibri" w:hAnsi="Calibri"/>
        </w:rPr>
        <w:t>.</w:t>
      </w:r>
      <w:r w:rsidRPr="007E79D7">
        <w:rPr>
          <w:rFonts w:ascii="Calibri" w:hAnsi="Calibri"/>
        </w:rPr>
        <w:t xml:space="preserve"> These investigations</w:t>
      </w:r>
      <w:r w:rsidR="00461C2E" w:rsidRPr="007E79D7">
        <w:rPr>
          <w:rFonts w:ascii="Calibri" w:hAnsi="Calibri"/>
        </w:rPr>
        <w:t xml:space="preserve"> can</w:t>
      </w:r>
      <w:r w:rsidRPr="007E79D7">
        <w:rPr>
          <w:rFonts w:ascii="Calibri" w:hAnsi="Calibri"/>
        </w:rPr>
        <w:t xml:space="preserve"> include analysis of case histories, reviews of shareholding structures among listed Australian companies and regular monitoring of property market leasing </w:t>
      </w:r>
      <w:r w:rsidR="00486104">
        <w:rPr>
          <w:rFonts w:ascii="Calibri" w:hAnsi="Calibri"/>
        </w:rPr>
        <w:t xml:space="preserve">and sales </w:t>
      </w:r>
      <w:r w:rsidRPr="007E79D7">
        <w:rPr>
          <w:rFonts w:ascii="Calibri" w:hAnsi="Calibri"/>
        </w:rPr>
        <w:t>activity;</w:t>
      </w:r>
    </w:p>
    <w:p w14:paraId="638AD9F4" w14:textId="1108B3CA" w:rsidR="004C402F" w:rsidRPr="007E79D7" w:rsidRDefault="004C402F" w:rsidP="007E79D7">
      <w:pPr>
        <w:pStyle w:val="Bullet"/>
        <w:spacing w:before="60" w:after="60"/>
        <w:rPr>
          <w:rFonts w:ascii="Calibri" w:hAnsi="Calibri"/>
        </w:rPr>
      </w:pPr>
      <w:r w:rsidRPr="007E79D7">
        <w:rPr>
          <w:rFonts w:ascii="Calibri" w:hAnsi="Calibri"/>
        </w:rPr>
        <w:t xml:space="preserve">investigations triggered by information received from members of the public; </w:t>
      </w:r>
    </w:p>
    <w:p w14:paraId="60D84BC4" w14:textId="68FD0614" w:rsidR="004C402F" w:rsidRPr="007E79D7" w:rsidRDefault="004C402F" w:rsidP="007E79D7">
      <w:pPr>
        <w:pStyle w:val="Bullet"/>
        <w:spacing w:before="60" w:after="60"/>
        <w:rPr>
          <w:rFonts w:ascii="Calibri" w:hAnsi="Calibri"/>
        </w:rPr>
      </w:pPr>
      <w:r w:rsidRPr="007E79D7">
        <w:rPr>
          <w:rFonts w:ascii="Calibri" w:hAnsi="Calibri"/>
        </w:rPr>
        <w:t>monitoring to ensure that foreign persons are complying with the condition</w:t>
      </w:r>
      <w:r w:rsidR="004D7300">
        <w:rPr>
          <w:rFonts w:ascii="Calibri" w:hAnsi="Calibri"/>
        </w:rPr>
        <w:t xml:space="preserve"> attached to, </w:t>
      </w:r>
      <w:r w:rsidR="00461C2E" w:rsidRPr="007E79D7">
        <w:rPr>
          <w:rFonts w:ascii="Calibri" w:hAnsi="Calibri"/>
        </w:rPr>
        <w:t xml:space="preserve">or scope </w:t>
      </w:r>
      <w:r w:rsidRPr="007E79D7">
        <w:rPr>
          <w:rFonts w:ascii="Calibri" w:hAnsi="Calibri"/>
        </w:rPr>
        <w:t>of</w:t>
      </w:r>
      <w:r w:rsidR="004D7300">
        <w:rPr>
          <w:rFonts w:ascii="Calibri" w:hAnsi="Calibri"/>
        </w:rPr>
        <w:t>,</w:t>
      </w:r>
      <w:r w:rsidRPr="007E79D7">
        <w:rPr>
          <w:rFonts w:ascii="Calibri" w:hAnsi="Calibri"/>
        </w:rPr>
        <w:t xml:space="preserve"> their approvals; and</w:t>
      </w:r>
    </w:p>
    <w:p w14:paraId="64DF8E25" w14:textId="6429BBCD" w:rsidR="004C402F" w:rsidRPr="007E79D7" w:rsidRDefault="004C402F" w:rsidP="007E79D7">
      <w:pPr>
        <w:pStyle w:val="Bullet"/>
        <w:spacing w:before="60" w:after="60"/>
        <w:rPr>
          <w:rFonts w:ascii="Calibri" w:hAnsi="Calibri"/>
        </w:rPr>
      </w:pPr>
      <w:proofErr w:type="gramStart"/>
      <w:r w:rsidRPr="007E79D7">
        <w:rPr>
          <w:rFonts w:ascii="Calibri" w:hAnsi="Calibri"/>
        </w:rPr>
        <w:t>liais</w:t>
      </w:r>
      <w:r w:rsidR="004D775A">
        <w:rPr>
          <w:rFonts w:ascii="Calibri" w:hAnsi="Calibri"/>
        </w:rPr>
        <w:t>ing</w:t>
      </w:r>
      <w:proofErr w:type="gramEnd"/>
      <w:r w:rsidRPr="007E79D7">
        <w:rPr>
          <w:rFonts w:ascii="Calibri" w:hAnsi="Calibri"/>
        </w:rPr>
        <w:t xml:space="preserve"> with a range of government agencies including relevant national security agencies, the Department of Immigration and Border Protection, the Australian Securities and Investments Commission</w:t>
      </w:r>
      <w:r w:rsidR="00486104">
        <w:rPr>
          <w:rFonts w:ascii="Calibri" w:hAnsi="Calibri"/>
        </w:rPr>
        <w:t>, the Australian Criminal Intelligence Commission</w:t>
      </w:r>
      <w:r w:rsidRPr="007E79D7">
        <w:rPr>
          <w:rFonts w:ascii="Calibri" w:hAnsi="Calibri"/>
        </w:rPr>
        <w:t xml:space="preserve"> and the Australian Federal Police.</w:t>
      </w:r>
    </w:p>
    <w:p w14:paraId="160A4FC2" w14:textId="12EE3ADE" w:rsidR="00E772B4" w:rsidRPr="007E79D7" w:rsidRDefault="004C402F" w:rsidP="00CC3A7A">
      <w:pPr>
        <w:rPr>
          <w:color w:val="auto"/>
        </w:rPr>
      </w:pPr>
      <w:r w:rsidRPr="007E79D7">
        <w:rPr>
          <w:color w:val="auto"/>
        </w:rPr>
        <w:t xml:space="preserve">It is general </w:t>
      </w:r>
      <w:r w:rsidR="004D775A">
        <w:rPr>
          <w:color w:val="auto"/>
        </w:rPr>
        <w:t>practice</w:t>
      </w:r>
      <w:r w:rsidRPr="007E79D7">
        <w:rPr>
          <w:color w:val="auto"/>
        </w:rPr>
        <w:t xml:space="preserve"> to report potential</w:t>
      </w:r>
      <w:r w:rsidR="005942D7">
        <w:rPr>
          <w:color w:val="auto"/>
        </w:rPr>
        <w:t xml:space="preserve"> non</w:t>
      </w:r>
      <w:r w:rsidR="008205A1">
        <w:rPr>
          <w:color w:val="auto"/>
        </w:rPr>
        <w:noBreakHyphen/>
      </w:r>
      <w:r w:rsidR="005942D7">
        <w:rPr>
          <w:color w:val="auto"/>
        </w:rPr>
        <w:t>compliance with</w:t>
      </w:r>
      <w:r w:rsidRPr="007E79D7">
        <w:rPr>
          <w:color w:val="auto"/>
        </w:rPr>
        <w:t xml:space="preserve"> the Act to the Department of Immigration and Border Protection, the </w:t>
      </w:r>
      <w:proofErr w:type="spellStart"/>
      <w:r w:rsidRPr="007E79D7">
        <w:rPr>
          <w:color w:val="auto"/>
        </w:rPr>
        <w:t>A</w:t>
      </w:r>
      <w:r w:rsidR="004D775A">
        <w:rPr>
          <w:color w:val="auto"/>
        </w:rPr>
        <w:t>TO</w:t>
      </w:r>
      <w:proofErr w:type="spellEnd"/>
      <w:r w:rsidRPr="007E79D7">
        <w:rPr>
          <w:color w:val="auto"/>
        </w:rPr>
        <w:t>, the Australian Federal Police, national security agencies and other government agencies as appropriate</w:t>
      </w:r>
      <w:r w:rsidR="007E79D7" w:rsidRPr="007E79D7">
        <w:rPr>
          <w:color w:val="auto"/>
        </w:rPr>
        <w:t>.</w:t>
      </w:r>
    </w:p>
    <w:p w14:paraId="7ADB37BA" w14:textId="53C15561" w:rsidR="00B96582" w:rsidRPr="00437693" w:rsidRDefault="00B96582" w:rsidP="007E79D7">
      <w:pPr>
        <w:pStyle w:val="Heading3"/>
        <w:spacing w:before="240"/>
        <w:rPr>
          <w:rFonts w:asciiTheme="minorHAnsi" w:hAnsiTheme="minorHAnsi"/>
          <w:b w:val="0"/>
          <w:bCs w:val="0"/>
          <w:iCs/>
          <w:smallCaps/>
        </w:rPr>
      </w:pPr>
      <w:r w:rsidRPr="007E79D7">
        <w:rPr>
          <w:rFonts w:asciiTheme="minorHAnsi" w:hAnsiTheme="minorHAnsi"/>
        </w:rPr>
        <w:t>Penalties and enforcement powers</w:t>
      </w:r>
    </w:p>
    <w:p w14:paraId="6110387A" w14:textId="4BEB22FA" w:rsidR="00FF6B47" w:rsidRPr="00EA574E" w:rsidRDefault="00B96582" w:rsidP="00CC3A7A">
      <w:pPr>
        <w:rPr>
          <w:color w:val="auto"/>
        </w:rPr>
      </w:pPr>
      <w:r w:rsidRPr="00EA574E">
        <w:rPr>
          <w:color w:val="auto"/>
        </w:rPr>
        <w:t xml:space="preserve">The Act provides </w:t>
      </w:r>
      <w:r w:rsidR="00D76C82">
        <w:rPr>
          <w:color w:val="auto"/>
        </w:rPr>
        <w:t>a number of</w:t>
      </w:r>
      <w:r w:rsidRPr="00EA574E">
        <w:rPr>
          <w:color w:val="auto"/>
        </w:rPr>
        <w:t xml:space="preserve"> powers to enforce the foreign investment rules. </w:t>
      </w:r>
      <w:r w:rsidR="00FF6B47" w:rsidRPr="00EA574E">
        <w:rPr>
          <w:color w:val="auto"/>
        </w:rPr>
        <w:t xml:space="preserve">Criminal and civil penalties may be applied for breaches of the </w:t>
      </w:r>
      <w:r w:rsidR="003265D0">
        <w:rPr>
          <w:color w:val="auto"/>
        </w:rPr>
        <w:t>A</w:t>
      </w:r>
      <w:r w:rsidR="00FF6B47" w:rsidRPr="00EA574E">
        <w:rPr>
          <w:color w:val="auto"/>
        </w:rPr>
        <w:t>ct</w:t>
      </w:r>
      <w:r w:rsidR="004D775A">
        <w:rPr>
          <w:color w:val="auto"/>
        </w:rPr>
        <w:t>,</w:t>
      </w:r>
      <w:r w:rsidR="00FF6B47" w:rsidRPr="00EA574E">
        <w:rPr>
          <w:color w:val="auto"/>
        </w:rPr>
        <w:t xml:space="preserve"> including where a foreign person takes an action that has not received </w:t>
      </w:r>
      <w:r w:rsidR="00486104">
        <w:rPr>
          <w:color w:val="auto"/>
        </w:rPr>
        <w:t xml:space="preserve">prior </w:t>
      </w:r>
      <w:r w:rsidR="00FF6B47" w:rsidRPr="00EA574E">
        <w:rPr>
          <w:color w:val="auto"/>
        </w:rPr>
        <w:t>foreign investment approval or breach</w:t>
      </w:r>
      <w:r w:rsidR="004D775A">
        <w:rPr>
          <w:color w:val="auto"/>
        </w:rPr>
        <w:t>es</w:t>
      </w:r>
      <w:r w:rsidR="00FF6B47" w:rsidRPr="00EA574E">
        <w:rPr>
          <w:color w:val="auto"/>
        </w:rPr>
        <w:t xml:space="preserve"> a condition of a foreig</w:t>
      </w:r>
      <w:r w:rsidR="003174E9" w:rsidRPr="00EA574E">
        <w:rPr>
          <w:color w:val="auto"/>
        </w:rPr>
        <w:t>n</w:t>
      </w:r>
      <w:r w:rsidR="00FF6B47" w:rsidRPr="00EA574E">
        <w:rPr>
          <w:color w:val="auto"/>
        </w:rPr>
        <w:t xml:space="preserve"> investment approval. </w:t>
      </w:r>
      <w:r w:rsidRPr="00EA574E">
        <w:rPr>
          <w:color w:val="auto"/>
        </w:rPr>
        <w:t>For more significant breaches</w:t>
      </w:r>
      <w:r w:rsidR="004D775A">
        <w:rPr>
          <w:color w:val="auto"/>
        </w:rPr>
        <w:t>,</w:t>
      </w:r>
      <w:r w:rsidRPr="00EA574E">
        <w:rPr>
          <w:color w:val="auto"/>
        </w:rPr>
        <w:t xml:space="preserve"> </w:t>
      </w:r>
      <w:r w:rsidR="00F17CFC" w:rsidRPr="00EA574E">
        <w:rPr>
          <w:color w:val="auto"/>
        </w:rPr>
        <w:t xml:space="preserve">an investor may be ordered to </w:t>
      </w:r>
      <w:r w:rsidRPr="00EA574E">
        <w:rPr>
          <w:color w:val="auto"/>
        </w:rPr>
        <w:t>dives</w:t>
      </w:r>
      <w:r w:rsidR="00FF6B47" w:rsidRPr="00EA574E">
        <w:rPr>
          <w:color w:val="auto"/>
        </w:rPr>
        <w:t>t</w:t>
      </w:r>
      <w:r w:rsidRPr="00EA574E">
        <w:rPr>
          <w:color w:val="auto"/>
        </w:rPr>
        <w:t xml:space="preserve"> (by requiring the parties to sell shares, assets or property)</w:t>
      </w:r>
      <w:r w:rsidR="00F17CFC" w:rsidRPr="00EA574E">
        <w:rPr>
          <w:color w:val="auto"/>
        </w:rPr>
        <w:t xml:space="preserve">. </w:t>
      </w:r>
      <w:r w:rsidR="00FF6B47" w:rsidRPr="00EA574E">
        <w:rPr>
          <w:color w:val="auto"/>
        </w:rPr>
        <w:t xml:space="preserve">Civil </w:t>
      </w:r>
      <w:r w:rsidRPr="00EA574E">
        <w:rPr>
          <w:color w:val="auto"/>
        </w:rPr>
        <w:t xml:space="preserve">penalties </w:t>
      </w:r>
      <w:r w:rsidR="00FF6B47" w:rsidRPr="00EA574E">
        <w:rPr>
          <w:color w:val="auto"/>
        </w:rPr>
        <w:t>can also be applied to</w:t>
      </w:r>
      <w:r w:rsidRPr="00EA574E">
        <w:rPr>
          <w:color w:val="auto"/>
        </w:rPr>
        <w:t xml:space="preserve"> third parties who knowingly assist foreign investors to break the rules. </w:t>
      </w:r>
    </w:p>
    <w:p w14:paraId="4653925C" w14:textId="16A9B959" w:rsidR="00AB239B" w:rsidRPr="00EA574E" w:rsidRDefault="00FF6B47" w:rsidP="00CC3A7A">
      <w:pPr>
        <w:rPr>
          <w:color w:val="auto"/>
        </w:rPr>
      </w:pPr>
      <w:r w:rsidRPr="00EA574E">
        <w:rPr>
          <w:color w:val="auto"/>
        </w:rPr>
        <w:t>There are additional civil penalties in relation to residential land</w:t>
      </w:r>
      <w:r w:rsidR="004D775A">
        <w:rPr>
          <w:color w:val="auto"/>
        </w:rPr>
        <w:t>,</w:t>
      </w:r>
      <w:r w:rsidRPr="00EA574E">
        <w:rPr>
          <w:color w:val="auto"/>
        </w:rPr>
        <w:t xml:space="preserve"> including requiring an investor to </w:t>
      </w:r>
      <w:r w:rsidR="00854C21" w:rsidRPr="00EA574E">
        <w:rPr>
          <w:color w:val="auto"/>
        </w:rPr>
        <w:t>forfeit</w:t>
      </w:r>
      <w:r w:rsidRPr="00EA574E">
        <w:rPr>
          <w:color w:val="auto"/>
        </w:rPr>
        <w:t xml:space="preserve"> capital gains made on divestment of a property. </w:t>
      </w:r>
      <w:r w:rsidR="00AB239B" w:rsidRPr="00EA574E">
        <w:rPr>
          <w:color w:val="auto"/>
        </w:rPr>
        <w:t>L</w:t>
      </w:r>
      <w:r w:rsidRPr="00EA574E">
        <w:rPr>
          <w:color w:val="auto"/>
        </w:rPr>
        <w:t>ess significant breaches</w:t>
      </w:r>
      <w:r w:rsidR="00B96B5E" w:rsidRPr="00EA574E">
        <w:rPr>
          <w:color w:val="auto"/>
        </w:rPr>
        <w:t xml:space="preserve"> of the foreign investment rules in relation to residential real estate</w:t>
      </w:r>
      <w:r w:rsidRPr="00EA574E">
        <w:rPr>
          <w:color w:val="auto"/>
        </w:rPr>
        <w:t xml:space="preserve"> </w:t>
      </w:r>
      <w:r w:rsidR="005942D7">
        <w:rPr>
          <w:color w:val="auto"/>
        </w:rPr>
        <w:t xml:space="preserve">may be </w:t>
      </w:r>
      <w:r w:rsidR="00882A90">
        <w:rPr>
          <w:color w:val="auto"/>
        </w:rPr>
        <w:t>addressed</w:t>
      </w:r>
      <w:r w:rsidR="00AB239B" w:rsidRPr="00EA574E">
        <w:rPr>
          <w:color w:val="auto"/>
        </w:rPr>
        <w:t xml:space="preserve"> by way of </w:t>
      </w:r>
      <w:r w:rsidRPr="00EA574E">
        <w:rPr>
          <w:color w:val="auto"/>
        </w:rPr>
        <w:t>an infringement notice</w:t>
      </w:r>
      <w:r w:rsidR="007F065E" w:rsidRPr="00EA574E">
        <w:rPr>
          <w:color w:val="auto"/>
        </w:rPr>
        <w:t xml:space="preserve"> (instead of a higher civil penalty)</w:t>
      </w:r>
      <w:r w:rsidR="00E772B4" w:rsidRPr="00EA574E">
        <w:rPr>
          <w:color w:val="auto"/>
        </w:rPr>
        <w:t>.</w:t>
      </w:r>
      <w:r w:rsidR="00AB239B" w:rsidRPr="00EA574E">
        <w:rPr>
          <w:color w:val="auto"/>
        </w:rPr>
        <w:t xml:space="preserve"> </w:t>
      </w:r>
      <w:r w:rsidR="009345F3">
        <w:rPr>
          <w:color w:val="auto"/>
        </w:rPr>
        <w:t>L</w:t>
      </w:r>
      <w:r w:rsidR="00AB239B" w:rsidRPr="00EA574E">
        <w:rPr>
          <w:color w:val="auto"/>
        </w:rPr>
        <w:t>ess serious contraventions would involve circumstances where:</w:t>
      </w:r>
    </w:p>
    <w:p w14:paraId="4DA44074" w14:textId="4B877946" w:rsidR="00486104" w:rsidRDefault="00486104" w:rsidP="00EA574E">
      <w:pPr>
        <w:pStyle w:val="Bullet"/>
        <w:spacing w:before="60" w:after="60"/>
        <w:rPr>
          <w:rFonts w:ascii="Calibri" w:hAnsi="Calibri"/>
        </w:rPr>
      </w:pPr>
      <w:r>
        <w:rPr>
          <w:rFonts w:ascii="Calibri" w:hAnsi="Calibri"/>
        </w:rPr>
        <w:t>the investor makes a full disclosure of the breach before it is detected</w:t>
      </w:r>
      <w:r w:rsidR="009A5276">
        <w:rPr>
          <w:rFonts w:ascii="Calibri" w:hAnsi="Calibri"/>
        </w:rPr>
        <w:t>;</w:t>
      </w:r>
    </w:p>
    <w:p w14:paraId="0F22BECC" w14:textId="27F9E011" w:rsidR="00AB239B" w:rsidRDefault="00500115" w:rsidP="00EA574E">
      <w:pPr>
        <w:pStyle w:val="Bullet"/>
        <w:spacing w:before="60" w:after="60"/>
        <w:rPr>
          <w:rFonts w:ascii="Calibri" w:hAnsi="Calibri"/>
        </w:rPr>
      </w:pPr>
      <w:r>
        <w:rPr>
          <w:rFonts w:ascii="Calibri" w:hAnsi="Calibri"/>
        </w:rPr>
        <w:t>a breach occurs, and approval would have been granted had they given prior notice; or</w:t>
      </w:r>
    </w:p>
    <w:p w14:paraId="06C6266A" w14:textId="68A987E2" w:rsidR="009345F3" w:rsidRPr="00EA574E" w:rsidRDefault="009345F3" w:rsidP="00EA574E">
      <w:pPr>
        <w:pStyle w:val="Bullet"/>
        <w:spacing w:before="60" w:after="60"/>
        <w:rPr>
          <w:rFonts w:ascii="Calibri" w:hAnsi="Calibri"/>
        </w:rPr>
      </w:pPr>
      <w:proofErr w:type="gramStart"/>
      <w:r>
        <w:rPr>
          <w:rFonts w:ascii="Calibri" w:hAnsi="Calibri"/>
        </w:rPr>
        <w:t>the</w:t>
      </w:r>
      <w:proofErr w:type="gramEnd"/>
      <w:r>
        <w:rPr>
          <w:rFonts w:ascii="Calibri" w:hAnsi="Calibri"/>
        </w:rPr>
        <w:t xml:space="preserve"> person has inadvertently breached a condition of an existing foreign investment approval, but would have received approval had they applied to have those conditions varied.</w:t>
      </w:r>
    </w:p>
    <w:p w14:paraId="4709596D" w14:textId="06BDB49A" w:rsidR="0070259B" w:rsidRPr="00EA574E" w:rsidRDefault="007F065E" w:rsidP="00204E29">
      <w:r w:rsidRPr="00EA574E">
        <w:rPr>
          <w:noProof/>
        </w:rPr>
        <w:lastRenderedPageBreak/>
        <mc:AlternateContent>
          <mc:Choice Requires="wps">
            <w:drawing>
              <wp:anchor distT="0" distB="0" distL="114300" distR="114300" simplePos="0" relativeHeight="251658250" behindDoc="0" locked="0" layoutInCell="1" allowOverlap="1" wp14:anchorId="73E6A56F" wp14:editId="06EECE37">
                <wp:simplePos x="0" y="0"/>
                <wp:positionH relativeFrom="column">
                  <wp:posOffset>29845</wp:posOffset>
                </wp:positionH>
                <wp:positionV relativeFrom="paragraph">
                  <wp:posOffset>15240</wp:posOffset>
                </wp:positionV>
                <wp:extent cx="4857115" cy="5876925"/>
                <wp:effectExtent l="0" t="0" r="635" b="9525"/>
                <wp:wrapSquare wrapText="bothSides"/>
                <wp:docPr id="7" name="Snip and Round Single Corner Rectangle 7"/>
                <wp:cNvGraphicFramePr/>
                <a:graphic xmlns:a="http://schemas.openxmlformats.org/drawingml/2006/main">
                  <a:graphicData uri="http://schemas.microsoft.com/office/word/2010/wordprocessingShape">
                    <wps:wsp>
                      <wps:cNvSpPr/>
                      <wps:spPr>
                        <a:xfrm>
                          <a:off x="0" y="0"/>
                          <a:ext cx="4857115" cy="5876925"/>
                        </a:xfrm>
                        <a:prstGeom prst="snipRoundRect">
                          <a:avLst>
                            <a:gd name="adj1" fmla="val 4290"/>
                            <a:gd name="adj2" fmla="val 16667"/>
                          </a:avLst>
                        </a:prstGeom>
                        <a:solidFill>
                          <a:srgbClr val="1F497D"/>
                        </a:solidFill>
                        <a:ln w="25400" cap="flat" cmpd="sng" algn="ctr">
                          <a:noFill/>
                          <a:prstDash val="solid"/>
                        </a:ln>
                        <a:effectLst/>
                      </wps:spPr>
                      <wps:txbx>
                        <w:txbxContent>
                          <w:p w14:paraId="76F48794" w14:textId="17554014" w:rsidR="00C263DE" w:rsidRPr="007A5B9A" w:rsidRDefault="00C263DE" w:rsidP="00115593">
                            <w:pPr>
                              <w:pStyle w:val="BoxHeading"/>
                            </w:pPr>
                            <w:r w:rsidRPr="007A5B9A">
                              <w:t xml:space="preserve">Strengthening residential compliance </w:t>
                            </w:r>
                          </w:p>
                          <w:p w14:paraId="69EDAEDF" w14:textId="3673D494" w:rsidR="00C263DE" w:rsidRPr="007A5B9A" w:rsidRDefault="00C263DE" w:rsidP="00115593">
                            <w:pPr>
                              <w:pStyle w:val="BoxText"/>
                            </w:pPr>
                            <w:r w:rsidRPr="007A5B9A">
                              <w:t xml:space="preserve">A key part of the 2015 reforms </w:t>
                            </w:r>
                            <w:r>
                              <w:t xml:space="preserve">was to strengthen the integrity of </w:t>
                            </w:r>
                            <w:r w:rsidRPr="007A5B9A">
                              <w:t>the foreign investment framework</w:t>
                            </w:r>
                            <w:r>
                              <w:t xml:space="preserve">. </w:t>
                            </w:r>
                          </w:p>
                          <w:p w14:paraId="58216D17" w14:textId="00779112" w:rsidR="00C263DE" w:rsidRPr="007A5B9A" w:rsidRDefault="00C263DE" w:rsidP="00115593">
                            <w:pPr>
                              <w:pStyle w:val="BoxText"/>
                            </w:pPr>
                            <w:r w:rsidRPr="007A5B9A">
                              <w:t xml:space="preserve">To enable stronger enforcement of the foreign investment rules, all residential real estate functions were transferred to the </w:t>
                            </w:r>
                            <w:proofErr w:type="spellStart"/>
                            <w:r w:rsidRPr="007A5B9A">
                              <w:t>A</w:t>
                            </w:r>
                            <w:r>
                              <w:t>T</w:t>
                            </w:r>
                            <w:r w:rsidRPr="007A5B9A">
                              <w:t>O</w:t>
                            </w:r>
                            <w:proofErr w:type="spellEnd"/>
                            <w:r w:rsidRPr="007A5B9A">
                              <w:t xml:space="preserve">. This move took advantage of the existing compliance expertise within the </w:t>
                            </w:r>
                            <w:proofErr w:type="spellStart"/>
                            <w:r w:rsidRPr="007A5B9A">
                              <w:t>ATO</w:t>
                            </w:r>
                            <w:proofErr w:type="spellEnd"/>
                            <w:r>
                              <w:t>, especially its data</w:t>
                            </w:r>
                            <w:r>
                              <w:noBreakHyphen/>
                              <w:t>matching systems.</w:t>
                            </w:r>
                          </w:p>
                          <w:p w14:paraId="0264FBAF" w14:textId="0A390355" w:rsidR="00C263DE" w:rsidRPr="007A5B9A" w:rsidRDefault="00C263DE" w:rsidP="00115593">
                            <w:pPr>
                              <w:pStyle w:val="BoxText"/>
                            </w:pPr>
                            <w:r w:rsidRPr="007A5B9A">
                              <w:t xml:space="preserve">Data matching is a key tool </w:t>
                            </w:r>
                            <w:r>
                              <w:t xml:space="preserve">used </w:t>
                            </w:r>
                            <w:r w:rsidRPr="007A5B9A">
                              <w:t>to identify possible breaches of the foreign investment rules. The use of data matching capabilities involves cross match</w:t>
                            </w:r>
                            <w:r>
                              <w:t>ing</w:t>
                            </w:r>
                            <w:r w:rsidRPr="007A5B9A">
                              <w:t xml:space="preserve"> of tax, financial records, immigration and real property data to target investigations and detect patterns, trends and drivers of non</w:t>
                            </w:r>
                            <w:r>
                              <w:noBreakHyphen/>
                            </w:r>
                            <w:r w:rsidRPr="007A5B9A">
                              <w:t>compliance. Analytical models have been developed to identify patterns across advisers, financers, or geographic areas which will support further risk assessme</w:t>
                            </w:r>
                            <w:r>
                              <w:t>nt and investigation selection.</w:t>
                            </w:r>
                          </w:p>
                          <w:p w14:paraId="3C291FEA" w14:textId="0778AFC5" w:rsidR="00C263DE" w:rsidRPr="007A5B9A" w:rsidRDefault="00C263DE" w:rsidP="00115593">
                            <w:pPr>
                              <w:pStyle w:val="BoxText"/>
                            </w:pPr>
                            <w:r w:rsidRPr="007A5B9A">
                              <w:t xml:space="preserve">Stricter penalties were also introduced to make it easier to pursue foreign investors who breach the rules. </w:t>
                            </w:r>
                            <w:r>
                              <w:t>From 1 December 2015, c</w:t>
                            </w:r>
                            <w:r w:rsidRPr="007A5B9A">
                              <w:t>riminal penalties were increased to $135,000 or three years imprisonment for individuals and to $675,000 for companies. Divestment orders are now supplemented by civil penalties and infringement notices for less serious breaches. Further, to ensure that people who break the rules do not profit</w:t>
                            </w:r>
                            <w:r>
                              <w:t xml:space="preserve"> from their actions</w:t>
                            </w:r>
                            <w:r w:rsidRPr="007A5B9A">
                              <w:t>, a new civil penalty was introduced to capture any capital gain made on divestment of a property.</w:t>
                            </w:r>
                          </w:p>
                          <w:p w14:paraId="10BA30D9" w14:textId="14AF0563" w:rsidR="00C263DE" w:rsidRPr="007A5B9A" w:rsidRDefault="00C263DE" w:rsidP="00115593">
                            <w:pPr>
                              <w:pStyle w:val="BoxText"/>
                            </w:pPr>
                            <w:r w:rsidRPr="007A5B9A">
                              <w:t>Third parties who knowingly assist a foreign investor to breach the rules are subject to civil and criminal penalties, including fines of $45,000 for individuals and $225,000 for companies.</w:t>
                            </w:r>
                          </w:p>
                          <w:p w14:paraId="6A93F900" w14:textId="159A72AE" w:rsidR="00C263DE" w:rsidRPr="007A5B9A" w:rsidRDefault="00C263DE" w:rsidP="00115593">
                            <w:pPr>
                              <w:pStyle w:val="BoxText"/>
                            </w:pPr>
                            <w:r w:rsidRPr="007A5B9A">
                              <w:t xml:space="preserve">A reduced penalty period was in place from 2 May 2015 until 30 November 2015 to encourage those in breach of the residential foreign investment rules to </w:t>
                            </w:r>
                            <w:proofErr w:type="spellStart"/>
                            <w:r w:rsidRPr="007A5B9A">
                              <w:t>self disclose</w:t>
                            </w:r>
                            <w:proofErr w:type="spellEnd"/>
                            <w:r w:rsidRPr="007A5B9A">
                              <w:t xml:space="preserve">. Investors who came forward during this period were given 12 months to divest of their property where they were found to be in breach of the rules, rather than </w:t>
                            </w:r>
                            <w:r>
                              <w:t>the typical</w:t>
                            </w:r>
                            <w:r w:rsidRPr="007A5B9A">
                              <w:t xml:space="preserve"> </w:t>
                            </w:r>
                            <w:r>
                              <w:t>90</w:t>
                            </w:r>
                            <w:r w:rsidRPr="007A5B9A">
                              <w:t xml:space="preserve"> </w:t>
                            </w:r>
                            <w:r>
                              <w:t>days</w:t>
                            </w:r>
                            <w:r w:rsidRPr="007A5B9A">
                              <w:t xml:space="preserve">. </w:t>
                            </w:r>
                          </w:p>
                          <w:p w14:paraId="689C1F0C" w14:textId="77777777" w:rsidR="00C263DE" w:rsidRDefault="00C263DE" w:rsidP="00A74F62">
                            <w:pPr>
                              <w:pStyle w:val="Bullet"/>
                              <w:numPr>
                                <w:ilvl w:val="0"/>
                                <w:numId w:val="0"/>
                              </w:numPr>
                              <w:rPr>
                                <w:color w:val="FFFFFF" w:themeColor="background1"/>
                              </w:rPr>
                            </w:pPr>
                          </w:p>
                          <w:p w14:paraId="5616D66D" w14:textId="77777777" w:rsidR="00C263DE" w:rsidRDefault="00C263DE" w:rsidP="00A74F62">
                            <w:pPr>
                              <w:pStyle w:val="Bullet"/>
                              <w:numPr>
                                <w:ilvl w:val="0"/>
                                <w:numId w:val="0"/>
                              </w:numPr>
                              <w:rPr>
                                <w:color w:val="FFFFFF" w:themeColor="background1"/>
                              </w:rPr>
                            </w:pPr>
                          </w:p>
                          <w:p w14:paraId="452CF9A6" w14:textId="77777777" w:rsidR="00C263DE" w:rsidRDefault="00C263DE" w:rsidP="00A74F62">
                            <w:pPr>
                              <w:pStyle w:val="Bullet"/>
                              <w:numPr>
                                <w:ilvl w:val="0"/>
                                <w:numId w:val="0"/>
                              </w:numPr>
                              <w:rPr>
                                <w:color w:val="FFFFFF" w:themeColor="background1"/>
                              </w:rPr>
                            </w:pPr>
                          </w:p>
                          <w:p w14:paraId="69723E47" w14:textId="77777777" w:rsidR="00C263DE" w:rsidRDefault="00C263DE" w:rsidP="00A74F62">
                            <w:pPr>
                              <w:pStyle w:val="Bullet"/>
                              <w:numPr>
                                <w:ilvl w:val="0"/>
                                <w:numId w:val="0"/>
                              </w:numPr>
                              <w:rPr>
                                <w:color w:val="FFFFFF" w:themeColor="background1"/>
                              </w:rPr>
                            </w:pPr>
                          </w:p>
                          <w:p w14:paraId="5ECC15FD" w14:textId="77777777" w:rsidR="00C263DE" w:rsidRDefault="00C263DE" w:rsidP="00A74F62">
                            <w:pPr>
                              <w:pStyle w:val="Bullet"/>
                              <w:numPr>
                                <w:ilvl w:val="0"/>
                                <w:numId w:val="0"/>
                              </w:numPr>
                              <w:rPr>
                                <w:color w:val="FFFFFF" w:themeColor="background1"/>
                              </w:rPr>
                            </w:pPr>
                          </w:p>
                          <w:p w14:paraId="56746FD6" w14:textId="77777777" w:rsidR="00C263DE" w:rsidRDefault="00C263DE" w:rsidP="00A74F62">
                            <w:pPr>
                              <w:pStyle w:val="Bullet"/>
                              <w:numPr>
                                <w:ilvl w:val="0"/>
                                <w:numId w:val="0"/>
                              </w:numPr>
                              <w:rPr>
                                <w:color w:val="FFFFFF" w:themeColor="background1"/>
                              </w:rPr>
                            </w:pPr>
                          </w:p>
                          <w:p w14:paraId="4BF35848" w14:textId="77777777" w:rsidR="00C263DE" w:rsidRDefault="00C263DE" w:rsidP="00A74F62">
                            <w:pPr>
                              <w:pStyle w:val="Bullet"/>
                              <w:numPr>
                                <w:ilvl w:val="0"/>
                                <w:numId w:val="0"/>
                              </w:numPr>
                              <w:rPr>
                                <w:color w:val="FFFFFF" w:themeColor="background1"/>
                              </w:rPr>
                            </w:pPr>
                          </w:p>
                          <w:p w14:paraId="518E9F71" w14:textId="77777777" w:rsidR="00C263DE" w:rsidRDefault="00C263DE" w:rsidP="00A74F62">
                            <w:pPr>
                              <w:pStyle w:val="Bullet"/>
                              <w:numPr>
                                <w:ilvl w:val="0"/>
                                <w:numId w:val="0"/>
                              </w:numPr>
                              <w:rPr>
                                <w:color w:val="FFFFFF" w:themeColor="background1"/>
                              </w:rPr>
                            </w:pPr>
                          </w:p>
                          <w:p w14:paraId="6787915C" w14:textId="77777777" w:rsidR="00C263DE" w:rsidRDefault="00C263DE" w:rsidP="00A74F62">
                            <w:pPr>
                              <w:pStyle w:val="Bullet"/>
                              <w:numPr>
                                <w:ilvl w:val="0"/>
                                <w:numId w:val="0"/>
                              </w:numPr>
                              <w:rPr>
                                <w:color w:val="FFFFFF" w:themeColor="background1"/>
                              </w:rPr>
                            </w:pPr>
                          </w:p>
                          <w:p w14:paraId="56E0520F" w14:textId="77777777" w:rsidR="00C263DE" w:rsidRDefault="00C263DE" w:rsidP="00A74F62">
                            <w:pPr>
                              <w:pStyle w:val="Bullet"/>
                              <w:numPr>
                                <w:ilvl w:val="0"/>
                                <w:numId w:val="0"/>
                              </w:numPr>
                              <w:rPr>
                                <w:color w:val="FFFFFF" w:themeColor="background1"/>
                              </w:rPr>
                            </w:pPr>
                          </w:p>
                          <w:p w14:paraId="76B8E8E8" w14:textId="77777777" w:rsidR="00C263DE" w:rsidRDefault="00C263DE" w:rsidP="00A74F62">
                            <w:pPr>
                              <w:pStyle w:val="Bullet"/>
                              <w:numPr>
                                <w:ilvl w:val="0"/>
                                <w:numId w:val="0"/>
                              </w:numPr>
                              <w:rPr>
                                <w:color w:val="FFFFFF" w:themeColor="background1"/>
                              </w:rPr>
                            </w:pPr>
                          </w:p>
                          <w:p w14:paraId="2ECBF5DB" w14:textId="77777777" w:rsidR="00C263DE" w:rsidRDefault="00C263DE" w:rsidP="00A74F62">
                            <w:pPr>
                              <w:pStyle w:val="Bullet"/>
                              <w:numPr>
                                <w:ilvl w:val="0"/>
                                <w:numId w:val="0"/>
                              </w:numPr>
                              <w:rPr>
                                <w:color w:val="FFFFFF" w:themeColor="background1"/>
                              </w:rPr>
                            </w:pPr>
                          </w:p>
                          <w:p w14:paraId="61A3A9D9" w14:textId="77777777" w:rsidR="00C263DE" w:rsidRDefault="00C263DE" w:rsidP="00A74F62">
                            <w:pPr>
                              <w:pStyle w:val="Bullet"/>
                              <w:numPr>
                                <w:ilvl w:val="0"/>
                                <w:numId w:val="0"/>
                              </w:numPr>
                              <w:rPr>
                                <w:color w:val="FFFFFF" w:themeColor="background1"/>
                              </w:rPr>
                            </w:pPr>
                          </w:p>
                          <w:p w14:paraId="5EB7DB1F" w14:textId="77777777" w:rsidR="00C263DE" w:rsidRDefault="00C263DE" w:rsidP="00A74F62">
                            <w:pPr>
                              <w:pStyle w:val="Bullet"/>
                              <w:numPr>
                                <w:ilvl w:val="0"/>
                                <w:numId w:val="0"/>
                              </w:numPr>
                              <w:rPr>
                                <w:color w:val="FFFFFF" w:themeColor="background1"/>
                              </w:rPr>
                            </w:pPr>
                          </w:p>
                          <w:p w14:paraId="4E5E26AD" w14:textId="77777777" w:rsidR="00C263DE" w:rsidRDefault="00C263DE" w:rsidP="00A74F62">
                            <w:pPr>
                              <w:pStyle w:val="Bullet"/>
                              <w:numPr>
                                <w:ilvl w:val="0"/>
                                <w:numId w:val="0"/>
                              </w:numPr>
                              <w:rPr>
                                <w:color w:val="FFFFFF" w:themeColor="background1"/>
                              </w:rPr>
                            </w:pPr>
                          </w:p>
                          <w:p w14:paraId="0CFEA2B4" w14:textId="77777777" w:rsidR="00C263DE" w:rsidRDefault="00C263DE" w:rsidP="00A74F62">
                            <w:pPr>
                              <w:pStyle w:val="Bullet"/>
                              <w:numPr>
                                <w:ilvl w:val="0"/>
                                <w:numId w:val="0"/>
                              </w:numPr>
                              <w:rPr>
                                <w:color w:val="FFFFFF" w:themeColor="background1"/>
                              </w:rPr>
                            </w:pPr>
                          </w:p>
                          <w:p w14:paraId="1FB47D6D" w14:textId="77777777" w:rsidR="00C263DE" w:rsidRDefault="00C263DE" w:rsidP="00A74F62">
                            <w:pPr>
                              <w:pStyle w:val="Bullet"/>
                              <w:numPr>
                                <w:ilvl w:val="0"/>
                                <w:numId w:val="0"/>
                              </w:numPr>
                              <w:rPr>
                                <w:color w:val="FFFFFF" w:themeColor="background1"/>
                              </w:rPr>
                            </w:pPr>
                          </w:p>
                          <w:p w14:paraId="6A3C949D" w14:textId="77777777" w:rsidR="00C263DE" w:rsidRDefault="00C263DE" w:rsidP="00A74F62">
                            <w:pPr>
                              <w:pStyle w:val="Bullet"/>
                              <w:numPr>
                                <w:ilvl w:val="0"/>
                                <w:numId w:val="0"/>
                              </w:numPr>
                              <w:rPr>
                                <w:color w:val="FFFFFF" w:themeColor="background1"/>
                              </w:rPr>
                            </w:pPr>
                          </w:p>
                          <w:p w14:paraId="311E38F5" w14:textId="77777777" w:rsidR="00C263DE" w:rsidRDefault="00C263DE" w:rsidP="00A74F62">
                            <w:pPr>
                              <w:pStyle w:val="Bullet"/>
                              <w:numPr>
                                <w:ilvl w:val="0"/>
                                <w:numId w:val="0"/>
                              </w:numPr>
                              <w:rPr>
                                <w:color w:val="FFFFFF" w:themeColor="background1"/>
                              </w:rPr>
                            </w:pPr>
                          </w:p>
                          <w:p w14:paraId="6F7BD463" w14:textId="77777777" w:rsidR="00C263DE" w:rsidRDefault="00C263DE" w:rsidP="00A74F62">
                            <w:pPr>
                              <w:pStyle w:val="Bullet"/>
                              <w:numPr>
                                <w:ilvl w:val="0"/>
                                <w:numId w:val="0"/>
                              </w:numPr>
                              <w:rPr>
                                <w:color w:val="FFFFFF" w:themeColor="background1"/>
                              </w:rPr>
                            </w:pPr>
                          </w:p>
                          <w:p w14:paraId="7C8FBB71" w14:textId="77777777" w:rsidR="00C263DE" w:rsidRDefault="00C263DE" w:rsidP="00A74F62">
                            <w:pPr>
                              <w:pStyle w:val="Bullet"/>
                              <w:numPr>
                                <w:ilvl w:val="0"/>
                                <w:numId w:val="0"/>
                              </w:numPr>
                              <w:rPr>
                                <w:color w:val="FFFFFF" w:themeColor="background1"/>
                              </w:rPr>
                            </w:pPr>
                          </w:p>
                          <w:p w14:paraId="3116EA65" w14:textId="77777777" w:rsidR="00C263DE" w:rsidRDefault="00C263DE" w:rsidP="00A74F62">
                            <w:pPr>
                              <w:pStyle w:val="Bullet"/>
                              <w:numPr>
                                <w:ilvl w:val="0"/>
                                <w:numId w:val="0"/>
                              </w:numPr>
                              <w:rPr>
                                <w:color w:val="FFFFFF" w:themeColor="background1"/>
                              </w:rPr>
                            </w:pPr>
                          </w:p>
                          <w:p w14:paraId="572AE068" w14:textId="77777777" w:rsidR="00C263DE" w:rsidRDefault="00C263DE" w:rsidP="00A74F62">
                            <w:pPr>
                              <w:pStyle w:val="Bullet"/>
                              <w:numPr>
                                <w:ilvl w:val="0"/>
                                <w:numId w:val="0"/>
                              </w:numPr>
                              <w:rPr>
                                <w:color w:val="FFFFFF" w:themeColor="background1"/>
                              </w:rPr>
                            </w:pPr>
                          </w:p>
                          <w:p w14:paraId="22EFED12" w14:textId="77777777" w:rsidR="00C263DE" w:rsidRDefault="00C263DE" w:rsidP="00A74F62">
                            <w:pPr>
                              <w:pStyle w:val="Bullet"/>
                              <w:numPr>
                                <w:ilvl w:val="0"/>
                                <w:numId w:val="0"/>
                              </w:numPr>
                              <w:rPr>
                                <w:color w:val="FFFFFF" w:themeColor="background1"/>
                              </w:rPr>
                            </w:pPr>
                          </w:p>
                          <w:p w14:paraId="6966859B" w14:textId="77777777" w:rsidR="00C263DE" w:rsidRDefault="00C263DE" w:rsidP="00A74F62">
                            <w:pPr>
                              <w:pStyle w:val="Bullet"/>
                              <w:numPr>
                                <w:ilvl w:val="0"/>
                                <w:numId w:val="0"/>
                              </w:numPr>
                              <w:rPr>
                                <w:color w:val="FFFFFF" w:themeColor="background1"/>
                              </w:rPr>
                            </w:pPr>
                          </w:p>
                          <w:p w14:paraId="1D2082BF" w14:textId="77777777" w:rsidR="00C263DE" w:rsidRDefault="00C263DE" w:rsidP="00A74F62">
                            <w:pPr>
                              <w:pStyle w:val="Bullet"/>
                              <w:numPr>
                                <w:ilvl w:val="0"/>
                                <w:numId w:val="0"/>
                              </w:numPr>
                              <w:rPr>
                                <w:color w:val="FFFFFF" w:themeColor="background1"/>
                              </w:rPr>
                            </w:pP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nip and Round Single Corner Rectangle 7" o:spid="_x0000_s1064" style="position:absolute;left:0;text-align:left;margin-left:2.35pt;margin-top:1.2pt;width:382.45pt;height:462.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857115,587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" adj="-11796480,,5400" path="m208370,l4047580,r809535,809535l4857115,5876925,,5876925,,208370c,93290,93290,,208370,xe" fillcolor="#1f497d" stroked="f" strokeweight="2pt">
                <v:stroke joinstyle="miter"/>
                <v:formulas/>
                <v:path arrowok="t" o:connecttype="custom" o:connectlocs="208370,0;4047580,0;4857115,809535;4857115,5876925;0,5876925;0,208370;208370,0" o:connectangles="0,0,0,0,0,0,0" textboxrect="0,0,4857115,5876925"/>
                <v:textbox>
                  <w:txbxContent>
                    <w:p w14:paraId="76F48794" w14:textId="17554014" w:rsidR="00C263DE" w:rsidRPr="007A5B9A" w:rsidRDefault="00C263DE" w:rsidP="00115593">
                      <w:pPr>
                        <w:pStyle w:val="BoxHeading"/>
                      </w:pPr>
                      <w:r w:rsidRPr="007A5B9A">
                        <w:t xml:space="preserve">Strengthening residential compliance </w:t>
                      </w:r>
                    </w:p>
                    <w:p w14:paraId="69EDAEDF" w14:textId="3673D494" w:rsidR="00C263DE" w:rsidRPr="007A5B9A" w:rsidRDefault="00C263DE" w:rsidP="00115593">
                      <w:pPr>
                        <w:pStyle w:val="BoxText"/>
                      </w:pPr>
                      <w:r w:rsidRPr="007A5B9A">
                        <w:t xml:space="preserve">A key part of the 2015 reforms </w:t>
                      </w:r>
                      <w:r>
                        <w:t xml:space="preserve">was to strengthen the integrity of </w:t>
                      </w:r>
                      <w:r w:rsidRPr="007A5B9A">
                        <w:t>the foreign investment framework</w:t>
                      </w:r>
                      <w:r>
                        <w:t xml:space="preserve">. </w:t>
                      </w:r>
                    </w:p>
                    <w:p w14:paraId="58216D17" w14:textId="00779112" w:rsidR="00C263DE" w:rsidRPr="007A5B9A" w:rsidRDefault="00C263DE" w:rsidP="00115593">
                      <w:pPr>
                        <w:pStyle w:val="BoxText"/>
                      </w:pPr>
                      <w:r w:rsidRPr="007A5B9A">
                        <w:t xml:space="preserve">To enable stronger enforcement of the foreign investment rules, all residential real estate functions were transferred to the </w:t>
                      </w:r>
                      <w:proofErr w:type="spellStart"/>
                      <w:r w:rsidRPr="007A5B9A">
                        <w:t>A</w:t>
                      </w:r>
                      <w:r>
                        <w:t>T</w:t>
                      </w:r>
                      <w:r w:rsidRPr="007A5B9A">
                        <w:t>O</w:t>
                      </w:r>
                      <w:proofErr w:type="spellEnd"/>
                      <w:r w:rsidRPr="007A5B9A">
                        <w:t xml:space="preserve">. This move took advantage of the existing compliance expertise within the </w:t>
                      </w:r>
                      <w:proofErr w:type="spellStart"/>
                      <w:r w:rsidRPr="007A5B9A">
                        <w:t>ATO</w:t>
                      </w:r>
                      <w:proofErr w:type="spellEnd"/>
                      <w:r>
                        <w:t>, especially its data</w:t>
                      </w:r>
                      <w:r>
                        <w:noBreakHyphen/>
                        <w:t>matching systems.</w:t>
                      </w:r>
                    </w:p>
                    <w:p w14:paraId="0264FBAF" w14:textId="0A390355" w:rsidR="00C263DE" w:rsidRPr="007A5B9A" w:rsidRDefault="00C263DE" w:rsidP="00115593">
                      <w:pPr>
                        <w:pStyle w:val="BoxText"/>
                      </w:pPr>
                      <w:r w:rsidRPr="007A5B9A">
                        <w:t xml:space="preserve">Data matching is a key tool </w:t>
                      </w:r>
                      <w:r>
                        <w:t xml:space="preserve">used </w:t>
                      </w:r>
                      <w:r w:rsidRPr="007A5B9A">
                        <w:t>to identify possible breaches of the foreign investment rules. The use of data matching capabilities involves cross match</w:t>
                      </w:r>
                      <w:r>
                        <w:t>ing</w:t>
                      </w:r>
                      <w:r w:rsidRPr="007A5B9A">
                        <w:t xml:space="preserve"> of tax, financial records, immigration and real property data to target investigations and detect patterns, trends and drivers of non</w:t>
                      </w:r>
                      <w:r>
                        <w:noBreakHyphen/>
                      </w:r>
                      <w:r w:rsidRPr="007A5B9A">
                        <w:t>compliance. Analytical models have been developed to identify patterns across advisers, financers, or geographic areas which will support further risk assessme</w:t>
                      </w:r>
                      <w:r>
                        <w:t>nt and investigation selection.</w:t>
                      </w:r>
                    </w:p>
                    <w:p w14:paraId="3C291FEA" w14:textId="0778AFC5" w:rsidR="00C263DE" w:rsidRPr="007A5B9A" w:rsidRDefault="00C263DE" w:rsidP="00115593">
                      <w:pPr>
                        <w:pStyle w:val="BoxText"/>
                      </w:pPr>
                      <w:r w:rsidRPr="007A5B9A">
                        <w:t xml:space="preserve">Stricter penalties were also introduced to make it easier to pursue foreign investors who breach the rules. </w:t>
                      </w:r>
                      <w:r>
                        <w:t>From 1 December 2015, c</w:t>
                      </w:r>
                      <w:r w:rsidRPr="007A5B9A">
                        <w:t>riminal penalties were increased to $135,000 or three years imprisonment for individuals and to $675,000 for companies. Divestment orders are now supplemented by civil penalties and infringement notices for less serious breaches. Further, to ensure that people who break the rules do not profit</w:t>
                      </w:r>
                      <w:r>
                        <w:t xml:space="preserve"> from their actions</w:t>
                      </w:r>
                      <w:r w:rsidRPr="007A5B9A">
                        <w:t>, a new civil penalty was introduced to capture any capital gain made on divestment of a property.</w:t>
                      </w:r>
                    </w:p>
                    <w:p w14:paraId="10BA30D9" w14:textId="14AF0563" w:rsidR="00C263DE" w:rsidRPr="007A5B9A" w:rsidRDefault="00C263DE" w:rsidP="00115593">
                      <w:pPr>
                        <w:pStyle w:val="BoxText"/>
                      </w:pPr>
                      <w:r w:rsidRPr="007A5B9A">
                        <w:t>Third parties who knowingly assist a foreign investor to breach the rules are subject to civil and criminal penalties, including fines of $45,000 for individuals and $225,000 for companies.</w:t>
                      </w:r>
                    </w:p>
                    <w:p w14:paraId="6A93F900" w14:textId="159A72AE" w:rsidR="00C263DE" w:rsidRPr="007A5B9A" w:rsidRDefault="00C263DE" w:rsidP="00115593">
                      <w:pPr>
                        <w:pStyle w:val="BoxText"/>
                      </w:pPr>
                      <w:r w:rsidRPr="007A5B9A">
                        <w:t xml:space="preserve">A reduced penalty period was in place from 2 May 2015 until 30 November 2015 to encourage those in breach of the residential foreign investment rules to </w:t>
                      </w:r>
                      <w:proofErr w:type="spellStart"/>
                      <w:r w:rsidRPr="007A5B9A">
                        <w:t>self disclose</w:t>
                      </w:r>
                      <w:proofErr w:type="spellEnd"/>
                      <w:r w:rsidRPr="007A5B9A">
                        <w:t xml:space="preserve">. Investors who came forward during this period were given 12 months to divest of their property where they were found to be in breach of the rules, rather than </w:t>
                      </w:r>
                      <w:r>
                        <w:t>the typical</w:t>
                      </w:r>
                      <w:r w:rsidRPr="007A5B9A">
                        <w:t xml:space="preserve"> </w:t>
                      </w:r>
                      <w:r>
                        <w:t>90</w:t>
                      </w:r>
                      <w:r w:rsidRPr="007A5B9A">
                        <w:t xml:space="preserve"> </w:t>
                      </w:r>
                      <w:r>
                        <w:t>days</w:t>
                      </w:r>
                      <w:r w:rsidRPr="007A5B9A">
                        <w:t xml:space="preserve">. </w:t>
                      </w:r>
                    </w:p>
                    <w:p w14:paraId="689C1F0C" w14:textId="77777777" w:rsidR="00C263DE" w:rsidRDefault="00C263DE" w:rsidP="00A74F62">
                      <w:pPr>
                        <w:pStyle w:val="Bullet"/>
                        <w:numPr>
                          <w:ilvl w:val="0"/>
                          <w:numId w:val="0"/>
                        </w:numPr>
                        <w:rPr>
                          <w:color w:val="FFFFFF" w:themeColor="background1"/>
                        </w:rPr>
                      </w:pPr>
                    </w:p>
                    <w:p w14:paraId="5616D66D" w14:textId="77777777" w:rsidR="00C263DE" w:rsidRDefault="00C263DE" w:rsidP="00A74F62">
                      <w:pPr>
                        <w:pStyle w:val="Bullet"/>
                        <w:numPr>
                          <w:ilvl w:val="0"/>
                          <w:numId w:val="0"/>
                        </w:numPr>
                        <w:rPr>
                          <w:color w:val="FFFFFF" w:themeColor="background1"/>
                        </w:rPr>
                      </w:pPr>
                    </w:p>
                    <w:p w14:paraId="452CF9A6" w14:textId="77777777" w:rsidR="00C263DE" w:rsidRDefault="00C263DE" w:rsidP="00A74F62">
                      <w:pPr>
                        <w:pStyle w:val="Bullet"/>
                        <w:numPr>
                          <w:ilvl w:val="0"/>
                          <w:numId w:val="0"/>
                        </w:numPr>
                        <w:rPr>
                          <w:color w:val="FFFFFF" w:themeColor="background1"/>
                        </w:rPr>
                      </w:pPr>
                    </w:p>
                    <w:p w14:paraId="69723E47" w14:textId="77777777" w:rsidR="00C263DE" w:rsidRDefault="00C263DE" w:rsidP="00A74F62">
                      <w:pPr>
                        <w:pStyle w:val="Bullet"/>
                        <w:numPr>
                          <w:ilvl w:val="0"/>
                          <w:numId w:val="0"/>
                        </w:numPr>
                        <w:rPr>
                          <w:color w:val="FFFFFF" w:themeColor="background1"/>
                        </w:rPr>
                      </w:pPr>
                    </w:p>
                    <w:p w14:paraId="5ECC15FD" w14:textId="77777777" w:rsidR="00C263DE" w:rsidRDefault="00C263DE" w:rsidP="00A74F62">
                      <w:pPr>
                        <w:pStyle w:val="Bullet"/>
                        <w:numPr>
                          <w:ilvl w:val="0"/>
                          <w:numId w:val="0"/>
                        </w:numPr>
                        <w:rPr>
                          <w:color w:val="FFFFFF" w:themeColor="background1"/>
                        </w:rPr>
                      </w:pPr>
                    </w:p>
                    <w:p w14:paraId="56746FD6" w14:textId="77777777" w:rsidR="00C263DE" w:rsidRDefault="00C263DE" w:rsidP="00A74F62">
                      <w:pPr>
                        <w:pStyle w:val="Bullet"/>
                        <w:numPr>
                          <w:ilvl w:val="0"/>
                          <w:numId w:val="0"/>
                        </w:numPr>
                        <w:rPr>
                          <w:color w:val="FFFFFF" w:themeColor="background1"/>
                        </w:rPr>
                      </w:pPr>
                    </w:p>
                    <w:p w14:paraId="4BF35848" w14:textId="77777777" w:rsidR="00C263DE" w:rsidRDefault="00C263DE" w:rsidP="00A74F62">
                      <w:pPr>
                        <w:pStyle w:val="Bullet"/>
                        <w:numPr>
                          <w:ilvl w:val="0"/>
                          <w:numId w:val="0"/>
                        </w:numPr>
                        <w:rPr>
                          <w:color w:val="FFFFFF" w:themeColor="background1"/>
                        </w:rPr>
                      </w:pPr>
                    </w:p>
                    <w:p w14:paraId="518E9F71" w14:textId="77777777" w:rsidR="00C263DE" w:rsidRDefault="00C263DE" w:rsidP="00A74F62">
                      <w:pPr>
                        <w:pStyle w:val="Bullet"/>
                        <w:numPr>
                          <w:ilvl w:val="0"/>
                          <w:numId w:val="0"/>
                        </w:numPr>
                        <w:rPr>
                          <w:color w:val="FFFFFF" w:themeColor="background1"/>
                        </w:rPr>
                      </w:pPr>
                    </w:p>
                    <w:p w14:paraId="6787915C" w14:textId="77777777" w:rsidR="00C263DE" w:rsidRDefault="00C263DE" w:rsidP="00A74F62">
                      <w:pPr>
                        <w:pStyle w:val="Bullet"/>
                        <w:numPr>
                          <w:ilvl w:val="0"/>
                          <w:numId w:val="0"/>
                        </w:numPr>
                        <w:rPr>
                          <w:color w:val="FFFFFF" w:themeColor="background1"/>
                        </w:rPr>
                      </w:pPr>
                    </w:p>
                    <w:p w14:paraId="56E0520F" w14:textId="77777777" w:rsidR="00C263DE" w:rsidRDefault="00C263DE" w:rsidP="00A74F62">
                      <w:pPr>
                        <w:pStyle w:val="Bullet"/>
                        <w:numPr>
                          <w:ilvl w:val="0"/>
                          <w:numId w:val="0"/>
                        </w:numPr>
                        <w:rPr>
                          <w:color w:val="FFFFFF" w:themeColor="background1"/>
                        </w:rPr>
                      </w:pPr>
                    </w:p>
                    <w:p w14:paraId="76B8E8E8" w14:textId="77777777" w:rsidR="00C263DE" w:rsidRDefault="00C263DE" w:rsidP="00A74F62">
                      <w:pPr>
                        <w:pStyle w:val="Bullet"/>
                        <w:numPr>
                          <w:ilvl w:val="0"/>
                          <w:numId w:val="0"/>
                        </w:numPr>
                        <w:rPr>
                          <w:color w:val="FFFFFF" w:themeColor="background1"/>
                        </w:rPr>
                      </w:pPr>
                    </w:p>
                    <w:p w14:paraId="2ECBF5DB" w14:textId="77777777" w:rsidR="00C263DE" w:rsidRDefault="00C263DE" w:rsidP="00A74F62">
                      <w:pPr>
                        <w:pStyle w:val="Bullet"/>
                        <w:numPr>
                          <w:ilvl w:val="0"/>
                          <w:numId w:val="0"/>
                        </w:numPr>
                        <w:rPr>
                          <w:color w:val="FFFFFF" w:themeColor="background1"/>
                        </w:rPr>
                      </w:pPr>
                    </w:p>
                    <w:p w14:paraId="61A3A9D9" w14:textId="77777777" w:rsidR="00C263DE" w:rsidRDefault="00C263DE" w:rsidP="00A74F62">
                      <w:pPr>
                        <w:pStyle w:val="Bullet"/>
                        <w:numPr>
                          <w:ilvl w:val="0"/>
                          <w:numId w:val="0"/>
                        </w:numPr>
                        <w:rPr>
                          <w:color w:val="FFFFFF" w:themeColor="background1"/>
                        </w:rPr>
                      </w:pPr>
                    </w:p>
                    <w:p w14:paraId="5EB7DB1F" w14:textId="77777777" w:rsidR="00C263DE" w:rsidRDefault="00C263DE" w:rsidP="00A74F62">
                      <w:pPr>
                        <w:pStyle w:val="Bullet"/>
                        <w:numPr>
                          <w:ilvl w:val="0"/>
                          <w:numId w:val="0"/>
                        </w:numPr>
                        <w:rPr>
                          <w:color w:val="FFFFFF" w:themeColor="background1"/>
                        </w:rPr>
                      </w:pPr>
                    </w:p>
                    <w:p w14:paraId="4E5E26AD" w14:textId="77777777" w:rsidR="00C263DE" w:rsidRDefault="00C263DE" w:rsidP="00A74F62">
                      <w:pPr>
                        <w:pStyle w:val="Bullet"/>
                        <w:numPr>
                          <w:ilvl w:val="0"/>
                          <w:numId w:val="0"/>
                        </w:numPr>
                        <w:rPr>
                          <w:color w:val="FFFFFF" w:themeColor="background1"/>
                        </w:rPr>
                      </w:pPr>
                    </w:p>
                    <w:p w14:paraId="0CFEA2B4" w14:textId="77777777" w:rsidR="00C263DE" w:rsidRDefault="00C263DE" w:rsidP="00A74F62">
                      <w:pPr>
                        <w:pStyle w:val="Bullet"/>
                        <w:numPr>
                          <w:ilvl w:val="0"/>
                          <w:numId w:val="0"/>
                        </w:numPr>
                        <w:rPr>
                          <w:color w:val="FFFFFF" w:themeColor="background1"/>
                        </w:rPr>
                      </w:pPr>
                    </w:p>
                    <w:p w14:paraId="1FB47D6D" w14:textId="77777777" w:rsidR="00C263DE" w:rsidRDefault="00C263DE" w:rsidP="00A74F62">
                      <w:pPr>
                        <w:pStyle w:val="Bullet"/>
                        <w:numPr>
                          <w:ilvl w:val="0"/>
                          <w:numId w:val="0"/>
                        </w:numPr>
                        <w:rPr>
                          <w:color w:val="FFFFFF" w:themeColor="background1"/>
                        </w:rPr>
                      </w:pPr>
                    </w:p>
                    <w:p w14:paraId="6A3C949D" w14:textId="77777777" w:rsidR="00C263DE" w:rsidRDefault="00C263DE" w:rsidP="00A74F62">
                      <w:pPr>
                        <w:pStyle w:val="Bullet"/>
                        <w:numPr>
                          <w:ilvl w:val="0"/>
                          <w:numId w:val="0"/>
                        </w:numPr>
                        <w:rPr>
                          <w:color w:val="FFFFFF" w:themeColor="background1"/>
                        </w:rPr>
                      </w:pPr>
                    </w:p>
                    <w:p w14:paraId="311E38F5" w14:textId="77777777" w:rsidR="00C263DE" w:rsidRDefault="00C263DE" w:rsidP="00A74F62">
                      <w:pPr>
                        <w:pStyle w:val="Bullet"/>
                        <w:numPr>
                          <w:ilvl w:val="0"/>
                          <w:numId w:val="0"/>
                        </w:numPr>
                        <w:rPr>
                          <w:color w:val="FFFFFF" w:themeColor="background1"/>
                        </w:rPr>
                      </w:pPr>
                    </w:p>
                    <w:p w14:paraId="6F7BD463" w14:textId="77777777" w:rsidR="00C263DE" w:rsidRDefault="00C263DE" w:rsidP="00A74F62">
                      <w:pPr>
                        <w:pStyle w:val="Bullet"/>
                        <w:numPr>
                          <w:ilvl w:val="0"/>
                          <w:numId w:val="0"/>
                        </w:numPr>
                        <w:rPr>
                          <w:color w:val="FFFFFF" w:themeColor="background1"/>
                        </w:rPr>
                      </w:pPr>
                    </w:p>
                    <w:p w14:paraId="7C8FBB71" w14:textId="77777777" w:rsidR="00C263DE" w:rsidRDefault="00C263DE" w:rsidP="00A74F62">
                      <w:pPr>
                        <w:pStyle w:val="Bullet"/>
                        <w:numPr>
                          <w:ilvl w:val="0"/>
                          <w:numId w:val="0"/>
                        </w:numPr>
                        <w:rPr>
                          <w:color w:val="FFFFFF" w:themeColor="background1"/>
                        </w:rPr>
                      </w:pPr>
                    </w:p>
                    <w:p w14:paraId="3116EA65" w14:textId="77777777" w:rsidR="00C263DE" w:rsidRDefault="00C263DE" w:rsidP="00A74F62">
                      <w:pPr>
                        <w:pStyle w:val="Bullet"/>
                        <w:numPr>
                          <w:ilvl w:val="0"/>
                          <w:numId w:val="0"/>
                        </w:numPr>
                        <w:rPr>
                          <w:color w:val="FFFFFF" w:themeColor="background1"/>
                        </w:rPr>
                      </w:pPr>
                    </w:p>
                    <w:p w14:paraId="572AE068" w14:textId="77777777" w:rsidR="00C263DE" w:rsidRDefault="00C263DE" w:rsidP="00A74F62">
                      <w:pPr>
                        <w:pStyle w:val="Bullet"/>
                        <w:numPr>
                          <w:ilvl w:val="0"/>
                          <w:numId w:val="0"/>
                        </w:numPr>
                        <w:rPr>
                          <w:color w:val="FFFFFF" w:themeColor="background1"/>
                        </w:rPr>
                      </w:pPr>
                    </w:p>
                    <w:p w14:paraId="22EFED12" w14:textId="77777777" w:rsidR="00C263DE" w:rsidRDefault="00C263DE" w:rsidP="00A74F62">
                      <w:pPr>
                        <w:pStyle w:val="Bullet"/>
                        <w:numPr>
                          <w:ilvl w:val="0"/>
                          <w:numId w:val="0"/>
                        </w:numPr>
                        <w:rPr>
                          <w:color w:val="FFFFFF" w:themeColor="background1"/>
                        </w:rPr>
                      </w:pPr>
                    </w:p>
                    <w:p w14:paraId="6966859B" w14:textId="77777777" w:rsidR="00C263DE" w:rsidRDefault="00C263DE" w:rsidP="00A74F62">
                      <w:pPr>
                        <w:pStyle w:val="Bullet"/>
                        <w:numPr>
                          <w:ilvl w:val="0"/>
                          <w:numId w:val="0"/>
                        </w:numPr>
                        <w:rPr>
                          <w:color w:val="FFFFFF" w:themeColor="background1"/>
                        </w:rPr>
                      </w:pPr>
                    </w:p>
                    <w:p w14:paraId="1D2082BF" w14:textId="77777777" w:rsidR="00C263DE" w:rsidRDefault="00C263DE" w:rsidP="00A74F62">
                      <w:pPr>
                        <w:pStyle w:val="Bullet"/>
                        <w:numPr>
                          <w:ilvl w:val="0"/>
                          <w:numId w:val="0"/>
                        </w:numPr>
                        <w:rPr>
                          <w:color w:val="FFFFFF" w:themeColor="background1"/>
                        </w:rPr>
                      </w:pPr>
                      <w:r>
                        <w:rPr>
                          <w:color w:val="FFFFFF" w:themeColor="background1"/>
                        </w:rPr>
                        <w:t xml:space="preserve"> </w:t>
                      </w:r>
                    </w:p>
                  </w:txbxContent>
                </v:textbox>
                <w10:wrap type="square"/>
              </v:shape>
            </w:pict>
          </mc:Fallback>
        </mc:AlternateContent>
      </w:r>
    </w:p>
    <w:p w14:paraId="6A7BD245" w14:textId="77777777" w:rsidR="00E81D8B" w:rsidRDefault="00E81D8B" w:rsidP="00115593">
      <w:pPr>
        <w:pStyle w:val="Heading2"/>
      </w:pPr>
    </w:p>
    <w:p w14:paraId="0206EE9A" w14:textId="77777777" w:rsidR="00E81D8B" w:rsidRDefault="00E81D8B" w:rsidP="00115593">
      <w:pPr>
        <w:pStyle w:val="Heading2"/>
      </w:pPr>
    </w:p>
    <w:p w14:paraId="2F1C7BE5" w14:textId="77777777" w:rsidR="00E81D8B" w:rsidRDefault="00E81D8B">
      <w:pPr>
        <w:spacing w:after="200" w:line="276" w:lineRule="auto"/>
        <w:jc w:val="left"/>
        <w:rPr>
          <w:rFonts w:ascii="Calibri" w:hAnsi="Calibri" w:cs="Arial"/>
          <w:b/>
          <w:bCs/>
          <w:iCs/>
          <w:color w:val="003E74"/>
          <w:sz w:val="28"/>
          <w:szCs w:val="28"/>
        </w:rPr>
      </w:pPr>
      <w:r>
        <w:br w:type="page"/>
      </w:r>
    </w:p>
    <w:p w14:paraId="0517BFDF" w14:textId="3C8400B9" w:rsidR="004C402F" w:rsidRPr="002C61E5" w:rsidRDefault="0070259B" w:rsidP="00115593">
      <w:pPr>
        <w:pStyle w:val="Heading2"/>
      </w:pPr>
      <w:bookmarkStart w:id="54" w:name="_Toc476737081"/>
      <w:r w:rsidRPr="002C61E5">
        <w:lastRenderedPageBreak/>
        <w:t>Residential c</w:t>
      </w:r>
      <w:r w:rsidR="00437693" w:rsidRPr="002C61E5">
        <w:t xml:space="preserve">ompliance </w:t>
      </w:r>
      <w:r w:rsidR="004C402F" w:rsidRPr="002C61E5">
        <w:t>investigations and outcomes</w:t>
      </w:r>
      <w:bookmarkEnd w:id="54"/>
    </w:p>
    <w:p w14:paraId="7B2876D8" w14:textId="7F8ED359" w:rsidR="004C402F" w:rsidRPr="00C6216A" w:rsidRDefault="004C402F" w:rsidP="00CC3A7A">
      <w:pPr>
        <w:rPr>
          <w:color w:val="auto"/>
        </w:rPr>
      </w:pPr>
      <w:r w:rsidRPr="00C6216A">
        <w:rPr>
          <w:color w:val="auto"/>
        </w:rPr>
        <w:t xml:space="preserve">The data reported in this section is based on </w:t>
      </w:r>
      <w:r w:rsidR="0070259B" w:rsidRPr="00C6216A">
        <w:rPr>
          <w:color w:val="auto"/>
        </w:rPr>
        <w:t xml:space="preserve">residential real estate </w:t>
      </w:r>
      <w:r w:rsidR="008412F4" w:rsidRPr="00C6216A">
        <w:rPr>
          <w:color w:val="auto"/>
        </w:rPr>
        <w:t xml:space="preserve">compliance investigations from </w:t>
      </w:r>
      <w:r w:rsidR="009A5276">
        <w:rPr>
          <w:color w:val="auto"/>
        </w:rPr>
        <w:t>1 July 2015</w:t>
      </w:r>
      <w:r w:rsidR="00900347" w:rsidRPr="00C6216A">
        <w:rPr>
          <w:color w:val="auto"/>
        </w:rPr>
        <w:t xml:space="preserve"> to 30 June 2016. Data reflects outcomes of investigations </w:t>
      </w:r>
      <w:r w:rsidR="008412F4" w:rsidRPr="00C6216A">
        <w:rPr>
          <w:color w:val="auto"/>
        </w:rPr>
        <w:t>as at 30 June </w:t>
      </w:r>
      <w:r w:rsidR="00B91CFF" w:rsidRPr="00C6216A">
        <w:rPr>
          <w:color w:val="auto"/>
        </w:rPr>
        <w:t>2016.</w:t>
      </w:r>
    </w:p>
    <w:p w14:paraId="5B8A643D" w14:textId="2D47EC06" w:rsidR="00D25936" w:rsidRPr="00C6216A" w:rsidRDefault="008B3EC3" w:rsidP="00CC3A7A">
      <w:pPr>
        <w:rPr>
          <w:color w:val="auto"/>
        </w:rPr>
      </w:pPr>
      <w:r w:rsidRPr="00C6216A">
        <w:rPr>
          <w:color w:val="auto"/>
        </w:rPr>
        <w:t>During 2015</w:t>
      </w:r>
      <w:r w:rsidR="008205A1">
        <w:rPr>
          <w:color w:val="auto"/>
        </w:rPr>
        <w:noBreakHyphen/>
      </w:r>
      <w:r w:rsidRPr="00C6216A">
        <w:rPr>
          <w:color w:val="auto"/>
        </w:rPr>
        <w:t>16</w:t>
      </w:r>
      <w:r w:rsidR="00937B20" w:rsidRPr="00C6216A">
        <w:rPr>
          <w:color w:val="auto"/>
        </w:rPr>
        <w:t>,</w:t>
      </w:r>
      <w:r w:rsidRPr="00C6216A">
        <w:rPr>
          <w:color w:val="auto"/>
        </w:rPr>
        <w:t xml:space="preserve"> 2,104 cases were identified for investigation. 1,637 investigations were completed</w:t>
      </w:r>
      <w:r w:rsidR="00DB6DA7" w:rsidRPr="00C6216A">
        <w:rPr>
          <w:color w:val="auto"/>
        </w:rPr>
        <w:t>,</w:t>
      </w:r>
      <w:r w:rsidRPr="00C6216A">
        <w:rPr>
          <w:color w:val="auto"/>
        </w:rPr>
        <w:t xml:space="preserve"> with 26</w:t>
      </w:r>
      <w:r w:rsidR="009A5276">
        <w:rPr>
          <w:color w:val="auto"/>
        </w:rPr>
        <w:t>0</w:t>
      </w:r>
      <w:r w:rsidRPr="00C6216A">
        <w:rPr>
          <w:color w:val="auto"/>
        </w:rPr>
        <w:t xml:space="preserve"> inves</w:t>
      </w:r>
      <w:r w:rsidR="0070259B" w:rsidRPr="00C6216A">
        <w:rPr>
          <w:color w:val="auto"/>
        </w:rPr>
        <w:t>tors found to have breached Australia</w:t>
      </w:r>
      <w:r w:rsidR="008205A1">
        <w:rPr>
          <w:color w:val="auto"/>
        </w:rPr>
        <w:t>’</w:t>
      </w:r>
      <w:r w:rsidR="0070259B" w:rsidRPr="00C6216A">
        <w:rPr>
          <w:color w:val="auto"/>
        </w:rPr>
        <w:t>s foreign investment rules</w:t>
      </w:r>
      <w:r w:rsidRPr="00C6216A">
        <w:rPr>
          <w:color w:val="auto"/>
        </w:rPr>
        <w:t>.</w:t>
      </w:r>
      <w:r w:rsidR="00387E57" w:rsidRPr="00C6216A">
        <w:rPr>
          <w:color w:val="auto"/>
        </w:rPr>
        <w:t xml:space="preserve"> </w:t>
      </w:r>
      <w:r w:rsidR="002C0EDD">
        <w:rPr>
          <w:color w:val="auto"/>
        </w:rPr>
        <w:t xml:space="preserve">Concessional </w:t>
      </w:r>
      <w:r w:rsidR="00C17137">
        <w:rPr>
          <w:color w:val="auto"/>
        </w:rPr>
        <w:t>d</w:t>
      </w:r>
      <w:r w:rsidR="00D25936" w:rsidRPr="00C6216A">
        <w:rPr>
          <w:color w:val="auto"/>
        </w:rPr>
        <w:t xml:space="preserve">ivestments were </w:t>
      </w:r>
      <w:r w:rsidR="00C6216A" w:rsidRPr="00C6216A">
        <w:rPr>
          <w:color w:val="auto"/>
        </w:rPr>
        <w:t>required</w:t>
      </w:r>
      <w:r w:rsidR="00D25936" w:rsidRPr="00C6216A">
        <w:rPr>
          <w:color w:val="auto"/>
        </w:rPr>
        <w:t xml:space="preserve"> in </w:t>
      </w:r>
      <w:r w:rsidR="009A5276">
        <w:rPr>
          <w:color w:val="auto"/>
        </w:rPr>
        <w:t>39</w:t>
      </w:r>
      <w:r w:rsidR="00D25936" w:rsidRPr="00C6216A">
        <w:rPr>
          <w:color w:val="auto"/>
        </w:rPr>
        <w:t xml:space="preserve"> cases for residential property valued at $</w:t>
      </w:r>
      <w:r w:rsidR="009A5276">
        <w:rPr>
          <w:color w:val="auto"/>
        </w:rPr>
        <w:t>48.7</w:t>
      </w:r>
      <w:r w:rsidR="002C0EDD">
        <w:rPr>
          <w:color w:val="auto"/>
        </w:rPr>
        <w:t> </w:t>
      </w:r>
      <w:r w:rsidR="00C6216A" w:rsidRPr="00C6216A">
        <w:rPr>
          <w:color w:val="auto"/>
        </w:rPr>
        <w:t>million</w:t>
      </w:r>
      <w:r w:rsidR="0089568D">
        <w:rPr>
          <w:color w:val="auto"/>
        </w:rPr>
        <w:t>.</w:t>
      </w:r>
      <w:r w:rsidR="00D25936" w:rsidRPr="00C6216A">
        <w:rPr>
          <w:color w:val="auto"/>
          <w:vertAlign w:val="superscript"/>
        </w:rPr>
        <w:footnoteReference w:id="4"/>
      </w:r>
    </w:p>
    <w:p w14:paraId="551C1025" w14:textId="35884104" w:rsidR="002B6B79" w:rsidRPr="00C6216A" w:rsidRDefault="002B6B79" w:rsidP="00CC3A7A">
      <w:pPr>
        <w:rPr>
          <w:color w:val="auto"/>
        </w:rPr>
      </w:pPr>
      <w:r w:rsidRPr="00C6216A">
        <w:rPr>
          <w:color w:val="auto"/>
        </w:rPr>
        <w:t>Compliance investigations have involved a broad range of residential property and varying severity of breaches. Breaches include:</w:t>
      </w:r>
    </w:p>
    <w:p w14:paraId="30A42D0A" w14:textId="196E75B8" w:rsidR="002B6B79" w:rsidRPr="00C6216A" w:rsidRDefault="002B6B79" w:rsidP="00C6216A">
      <w:pPr>
        <w:pStyle w:val="Bullet"/>
        <w:spacing w:before="60" w:after="60"/>
        <w:rPr>
          <w:rFonts w:ascii="Calibri" w:hAnsi="Calibri"/>
        </w:rPr>
      </w:pPr>
      <w:r w:rsidRPr="00C6216A">
        <w:rPr>
          <w:rFonts w:ascii="Calibri" w:hAnsi="Calibri"/>
        </w:rPr>
        <w:t>fail</w:t>
      </w:r>
      <w:r w:rsidR="00500115">
        <w:rPr>
          <w:rFonts w:ascii="Calibri" w:hAnsi="Calibri"/>
        </w:rPr>
        <w:t>ure</w:t>
      </w:r>
      <w:r w:rsidRPr="00C6216A">
        <w:rPr>
          <w:rFonts w:ascii="Calibri" w:hAnsi="Calibri"/>
        </w:rPr>
        <w:t xml:space="preserve"> to seek approval before the purchase of a property</w:t>
      </w:r>
      <w:r w:rsidR="009345F3">
        <w:rPr>
          <w:rFonts w:ascii="Calibri" w:hAnsi="Calibri"/>
        </w:rPr>
        <w:t>;</w:t>
      </w:r>
    </w:p>
    <w:p w14:paraId="2560AB0E" w14:textId="02A36E69" w:rsidR="002B6B79" w:rsidRPr="00C6216A" w:rsidRDefault="002B6B79" w:rsidP="00C6216A">
      <w:pPr>
        <w:pStyle w:val="Bullet"/>
        <w:spacing w:before="60" w:after="60"/>
        <w:rPr>
          <w:rFonts w:ascii="Calibri" w:hAnsi="Calibri"/>
        </w:rPr>
      </w:pPr>
      <w:r w:rsidRPr="00C6216A">
        <w:rPr>
          <w:rFonts w:ascii="Calibri" w:hAnsi="Calibri"/>
        </w:rPr>
        <w:t xml:space="preserve">failure to sell </w:t>
      </w:r>
      <w:r w:rsidR="00010FC9" w:rsidRPr="00C6216A">
        <w:rPr>
          <w:rFonts w:ascii="Calibri" w:hAnsi="Calibri"/>
        </w:rPr>
        <w:t>an established</w:t>
      </w:r>
      <w:r w:rsidRPr="00C6216A">
        <w:rPr>
          <w:rFonts w:ascii="Calibri" w:hAnsi="Calibri"/>
        </w:rPr>
        <w:t xml:space="preserve"> property once the owner</w:t>
      </w:r>
      <w:r w:rsidR="008205A1">
        <w:rPr>
          <w:rFonts w:ascii="Calibri" w:hAnsi="Calibri"/>
        </w:rPr>
        <w:t>’</w:t>
      </w:r>
      <w:r w:rsidRPr="00C6216A">
        <w:rPr>
          <w:rFonts w:ascii="Calibri" w:hAnsi="Calibri"/>
        </w:rPr>
        <w:t>s temporary resident visa expires</w:t>
      </w:r>
      <w:r w:rsidR="009345F3">
        <w:rPr>
          <w:rFonts w:ascii="Calibri" w:hAnsi="Calibri"/>
        </w:rPr>
        <w:t>;</w:t>
      </w:r>
    </w:p>
    <w:p w14:paraId="088F0A70" w14:textId="1FB36804" w:rsidR="002B6B79" w:rsidRPr="00C6216A" w:rsidRDefault="002B6B79" w:rsidP="00C6216A">
      <w:pPr>
        <w:pStyle w:val="Bullet"/>
        <w:spacing w:before="60" w:after="60"/>
        <w:rPr>
          <w:rFonts w:ascii="Calibri" w:hAnsi="Calibri"/>
        </w:rPr>
      </w:pPr>
      <w:r w:rsidRPr="00C6216A">
        <w:rPr>
          <w:rFonts w:ascii="Calibri" w:hAnsi="Calibri"/>
        </w:rPr>
        <w:t>temporary resident visa holders owning more than one established property</w:t>
      </w:r>
      <w:r w:rsidR="009345F3">
        <w:rPr>
          <w:rFonts w:ascii="Calibri" w:hAnsi="Calibri"/>
        </w:rPr>
        <w:t>;</w:t>
      </w:r>
    </w:p>
    <w:p w14:paraId="72900FB3" w14:textId="38B579D1" w:rsidR="002B6B79" w:rsidRPr="00C6216A" w:rsidRDefault="002B6B79" w:rsidP="00C6216A">
      <w:pPr>
        <w:pStyle w:val="Bullet"/>
        <w:spacing w:before="60" w:after="60"/>
        <w:rPr>
          <w:rFonts w:ascii="Calibri" w:hAnsi="Calibri"/>
        </w:rPr>
      </w:pPr>
      <w:r w:rsidRPr="00C6216A">
        <w:rPr>
          <w:rFonts w:ascii="Calibri" w:hAnsi="Calibri"/>
        </w:rPr>
        <w:t xml:space="preserve">Australian companies and trusts controlled by </w:t>
      </w:r>
      <w:r w:rsidR="00010FC9" w:rsidRPr="00C6216A">
        <w:rPr>
          <w:rFonts w:ascii="Calibri" w:hAnsi="Calibri"/>
        </w:rPr>
        <w:t xml:space="preserve">foreign persons owning </w:t>
      </w:r>
      <w:r w:rsidRPr="00C6216A">
        <w:rPr>
          <w:rFonts w:ascii="Calibri" w:hAnsi="Calibri"/>
        </w:rPr>
        <w:t>established properties</w:t>
      </w:r>
      <w:r w:rsidR="009345F3">
        <w:rPr>
          <w:rFonts w:ascii="Calibri" w:hAnsi="Calibri"/>
        </w:rPr>
        <w:t>;</w:t>
      </w:r>
    </w:p>
    <w:p w14:paraId="1BB73BE4" w14:textId="035AA556" w:rsidR="002B6B79" w:rsidRDefault="000F7F92" w:rsidP="00C6216A">
      <w:pPr>
        <w:pStyle w:val="Bullet"/>
        <w:spacing w:before="60" w:after="60"/>
        <w:rPr>
          <w:rFonts w:ascii="Calibri" w:hAnsi="Calibri"/>
        </w:rPr>
      </w:pPr>
      <w:r>
        <w:rPr>
          <w:rFonts w:ascii="Calibri" w:hAnsi="Calibri"/>
        </w:rPr>
        <w:t>f</w:t>
      </w:r>
      <w:r w:rsidR="002B6B79" w:rsidRPr="00C6216A">
        <w:rPr>
          <w:rFonts w:ascii="Calibri" w:hAnsi="Calibri"/>
        </w:rPr>
        <w:t>ail</w:t>
      </w:r>
      <w:r w:rsidR="00026B74">
        <w:rPr>
          <w:rFonts w:ascii="Calibri" w:hAnsi="Calibri"/>
        </w:rPr>
        <w:t>ure</w:t>
      </w:r>
      <w:r w:rsidR="002B6B79" w:rsidRPr="00C6216A">
        <w:rPr>
          <w:rFonts w:ascii="Calibri" w:hAnsi="Calibri"/>
        </w:rPr>
        <w:t xml:space="preserve"> to comply with the conditions of an approval, such as not using a property as a principal place of residence, renting out a dwelling or failing to commence construction</w:t>
      </w:r>
      <w:r>
        <w:rPr>
          <w:rFonts w:ascii="Calibri" w:hAnsi="Calibri"/>
        </w:rPr>
        <w:t xml:space="preserve"> or to redevelop the property</w:t>
      </w:r>
      <w:r w:rsidR="002B6B79" w:rsidRPr="00C6216A">
        <w:rPr>
          <w:rFonts w:ascii="Calibri" w:hAnsi="Calibri"/>
        </w:rPr>
        <w:t xml:space="preserve"> within </w:t>
      </w:r>
      <w:r w:rsidR="00EA1A5F" w:rsidRPr="00C6216A">
        <w:rPr>
          <w:rFonts w:ascii="Calibri" w:hAnsi="Calibri"/>
        </w:rPr>
        <w:t xml:space="preserve">specified </w:t>
      </w:r>
      <w:r w:rsidR="002B6B79" w:rsidRPr="00C6216A">
        <w:rPr>
          <w:rFonts w:ascii="Calibri" w:hAnsi="Calibri"/>
        </w:rPr>
        <w:t>timeframes</w:t>
      </w:r>
      <w:r w:rsidR="009345F3">
        <w:rPr>
          <w:rFonts w:ascii="Calibri" w:hAnsi="Calibri"/>
        </w:rPr>
        <w:t>; and</w:t>
      </w:r>
    </w:p>
    <w:p w14:paraId="426D3097" w14:textId="5E3E31C8" w:rsidR="000F7F92" w:rsidRPr="00C6216A" w:rsidRDefault="00026B74" w:rsidP="00C6216A">
      <w:pPr>
        <w:pStyle w:val="Bullet"/>
        <w:spacing w:before="60" w:after="60"/>
        <w:rPr>
          <w:rFonts w:ascii="Calibri" w:hAnsi="Calibri"/>
        </w:rPr>
      </w:pPr>
      <w:proofErr w:type="gramStart"/>
      <w:r>
        <w:rPr>
          <w:rFonts w:ascii="Calibri" w:hAnsi="Calibri"/>
        </w:rPr>
        <w:t>f</w:t>
      </w:r>
      <w:r w:rsidR="000F7F92">
        <w:rPr>
          <w:rFonts w:ascii="Calibri" w:hAnsi="Calibri"/>
        </w:rPr>
        <w:t>ail</w:t>
      </w:r>
      <w:r>
        <w:rPr>
          <w:rFonts w:ascii="Calibri" w:hAnsi="Calibri"/>
        </w:rPr>
        <w:t>ure</w:t>
      </w:r>
      <w:proofErr w:type="gramEnd"/>
      <w:r w:rsidR="000F7F92">
        <w:rPr>
          <w:rFonts w:ascii="Calibri" w:hAnsi="Calibri"/>
        </w:rPr>
        <w:t xml:space="preserve"> to vary conditions </w:t>
      </w:r>
      <w:r w:rsidR="004D7300">
        <w:rPr>
          <w:rFonts w:ascii="Calibri" w:hAnsi="Calibri"/>
        </w:rPr>
        <w:t>which required certain actions within a specified period within two </w:t>
      </w:r>
      <w:r w:rsidR="000F7F92">
        <w:rPr>
          <w:rFonts w:ascii="Calibri" w:hAnsi="Calibri"/>
        </w:rPr>
        <w:t>months of the end of the period</w:t>
      </w:r>
      <w:r w:rsidR="009345F3">
        <w:rPr>
          <w:rFonts w:ascii="Calibri" w:hAnsi="Calibri"/>
        </w:rPr>
        <w:t>.</w:t>
      </w:r>
    </w:p>
    <w:p w14:paraId="02A70B29" w14:textId="173E6153" w:rsidR="002B6B79" w:rsidRPr="004529C9" w:rsidRDefault="00FE329F" w:rsidP="00115593">
      <w:pPr>
        <w:pStyle w:val="TableHeading"/>
      </w:pPr>
      <w:r w:rsidRPr="004529C9">
        <w:t>Table 4.1</w:t>
      </w:r>
      <w:r w:rsidR="002B6B79" w:rsidRPr="004529C9">
        <w:t>: Outcomes of completed investigations in 2015</w:t>
      </w:r>
      <w:r w:rsidR="008205A1">
        <w:noBreakHyphen/>
      </w:r>
      <w:r w:rsidR="002B6B79" w:rsidRPr="004529C9">
        <w:t>16</w:t>
      </w:r>
    </w:p>
    <w:tbl>
      <w:tblPr>
        <w:tblW w:w="7877" w:type="dxa"/>
        <w:tblBorders>
          <w:top w:val="single" w:sz="12" w:space="0" w:color="000000"/>
          <w:bottom w:val="single" w:sz="12" w:space="0" w:color="000000"/>
        </w:tblBorders>
        <w:tblCellMar>
          <w:top w:w="28" w:type="dxa"/>
          <w:bottom w:w="28" w:type="dxa"/>
        </w:tblCellMar>
        <w:tblLook w:val="04A0" w:firstRow="1" w:lastRow="0" w:firstColumn="1" w:lastColumn="0" w:noHBand="0" w:noVBand="1"/>
      </w:tblPr>
      <w:tblGrid>
        <w:gridCol w:w="4219"/>
        <w:gridCol w:w="1985"/>
        <w:gridCol w:w="1673"/>
      </w:tblGrid>
      <w:tr w:rsidR="002B6B79" w:rsidRPr="00122AC6" w14:paraId="3D18F9E5" w14:textId="77777777" w:rsidTr="006F5BF5">
        <w:trPr>
          <w:trHeight w:val="330"/>
        </w:trPr>
        <w:tc>
          <w:tcPr>
            <w:tcW w:w="4219" w:type="dxa"/>
            <w:tcBorders>
              <w:top w:val="dotted" w:sz="4" w:space="0" w:color="auto"/>
              <w:bottom w:val="dotted" w:sz="4" w:space="0" w:color="auto"/>
              <w:right w:val="nil"/>
            </w:tcBorders>
            <w:shd w:val="clear" w:color="auto" w:fill="auto"/>
            <w:hideMark/>
          </w:tcPr>
          <w:p w14:paraId="5D63E0A9" w14:textId="77777777" w:rsidR="002B6B79" w:rsidRPr="00122AC6" w:rsidRDefault="002B6B79" w:rsidP="00CC3A7A">
            <w:pPr>
              <w:spacing w:before="60" w:after="60" w:line="240" w:lineRule="auto"/>
              <w:jc w:val="left"/>
              <w:rPr>
                <w:rFonts w:ascii="Arial" w:hAnsi="Arial" w:cs="Arial"/>
                <w:bCs/>
                <w:iCs/>
                <w:sz w:val="16"/>
                <w:szCs w:val="16"/>
              </w:rPr>
            </w:pPr>
            <w:r w:rsidRPr="00122AC6">
              <w:rPr>
                <w:rFonts w:ascii="Arial" w:hAnsi="Arial" w:cs="Arial"/>
                <w:bCs/>
                <w:iCs/>
                <w:sz w:val="16"/>
                <w:szCs w:val="16"/>
              </w:rPr>
              <w:t>Compliance outcomes</w:t>
            </w:r>
          </w:p>
        </w:tc>
        <w:tc>
          <w:tcPr>
            <w:tcW w:w="1985" w:type="dxa"/>
            <w:tcBorders>
              <w:top w:val="dotted" w:sz="4" w:space="0" w:color="auto"/>
              <w:left w:val="nil"/>
              <w:bottom w:val="dotted" w:sz="4" w:space="0" w:color="auto"/>
            </w:tcBorders>
            <w:shd w:val="clear" w:color="auto" w:fill="auto"/>
            <w:hideMark/>
          </w:tcPr>
          <w:p w14:paraId="5BAE9926" w14:textId="77777777" w:rsidR="002B6B79" w:rsidRPr="00122AC6" w:rsidRDefault="002B6B79" w:rsidP="00CC3A7A">
            <w:pPr>
              <w:spacing w:before="60" w:after="60" w:line="240" w:lineRule="auto"/>
              <w:jc w:val="right"/>
              <w:rPr>
                <w:rFonts w:ascii="Arial" w:hAnsi="Arial" w:cs="Arial"/>
                <w:bCs/>
                <w:iCs/>
                <w:color w:val="auto"/>
                <w:sz w:val="16"/>
                <w:szCs w:val="16"/>
              </w:rPr>
            </w:pPr>
            <w:r w:rsidRPr="00122AC6">
              <w:rPr>
                <w:rFonts w:ascii="Arial" w:hAnsi="Arial" w:cs="Arial"/>
                <w:bCs/>
                <w:iCs/>
                <w:color w:val="auto"/>
                <w:sz w:val="16"/>
                <w:szCs w:val="16"/>
              </w:rPr>
              <w:t>Number of investigations</w:t>
            </w:r>
          </w:p>
        </w:tc>
        <w:tc>
          <w:tcPr>
            <w:tcW w:w="1673" w:type="dxa"/>
            <w:tcBorders>
              <w:top w:val="dotted" w:sz="4" w:space="0" w:color="auto"/>
              <w:bottom w:val="dotted" w:sz="4" w:space="0" w:color="auto"/>
            </w:tcBorders>
            <w:shd w:val="clear" w:color="auto" w:fill="auto"/>
            <w:hideMark/>
          </w:tcPr>
          <w:p w14:paraId="54362AE8" w14:textId="1B4BC524" w:rsidR="002B6B79" w:rsidRPr="00122AC6" w:rsidRDefault="002B6B79" w:rsidP="0046165E">
            <w:pPr>
              <w:spacing w:before="60" w:after="60" w:line="240" w:lineRule="auto"/>
              <w:jc w:val="right"/>
              <w:rPr>
                <w:rFonts w:ascii="Arial" w:hAnsi="Arial" w:cs="Arial"/>
                <w:bCs/>
                <w:iCs/>
                <w:color w:val="auto"/>
                <w:sz w:val="16"/>
                <w:szCs w:val="16"/>
              </w:rPr>
            </w:pPr>
            <w:r w:rsidRPr="00122AC6">
              <w:rPr>
                <w:rFonts w:ascii="Arial" w:hAnsi="Arial" w:cs="Arial"/>
                <w:bCs/>
                <w:iCs/>
                <w:color w:val="auto"/>
                <w:sz w:val="16"/>
                <w:szCs w:val="16"/>
              </w:rPr>
              <w:t xml:space="preserve">Percentage of </w:t>
            </w:r>
            <w:r w:rsidR="0046165E" w:rsidRPr="00122AC6">
              <w:rPr>
                <w:rFonts w:ascii="Arial" w:hAnsi="Arial" w:cs="Arial"/>
                <w:bCs/>
                <w:iCs/>
                <w:color w:val="auto"/>
                <w:sz w:val="16"/>
                <w:szCs w:val="16"/>
              </w:rPr>
              <w:t>total</w:t>
            </w:r>
          </w:p>
        </w:tc>
      </w:tr>
      <w:tr w:rsidR="002B6B79" w:rsidRPr="00A75FA9" w14:paraId="67513EF1" w14:textId="77777777" w:rsidTr="006F5BF5">
        <w:trPr>
          <w:trHeight w:val="330"/>
        </w:trPr>
        <w:tc>
          <w:tcPr>
            <w:tcW w:w="4219" w:type="dxa"/>
            <w:tcBorders>
              <w:top w:val="dotted" w:sz="4" w:space="0" w:color="auto"/>
              <w:bottom w:val="nil"/>
              <w:right w:val="nil"/>
            </w:tcBorders>
            <w:shd w:val="clear" w:color="auto" w:fill="auto"/>
            <w:hideMark/>
          </w:tcPr>
          <w:p w14:paraId="0237AA73" w14:textId="758F860C" w:rsidR="002B6B79" w:rsidRPr="00A75FA9" w:rsidRDefault="002B6B79" w:rsidP="00026B74">
            <w:pPr>
              <w:spacing w:before="60" w:after="60" w:line="240" w:lineRule="auto"/>
              <w:jc w:val="left"/>
              <w:rPr>
                <w:rFonts w:ascii="Arial" w:hAnsi="Arial" w:cs="Arial"/>
                <w:sz w:val="16"/>
                <w:szCs w:val="16"/>
              </w:rPr>
            </w:pPr>
            <w:r w:rsidRPr="00A75FA9">
              <w:rPr>
                <w:rFonts w:ascii="Arial" w:hAnsi="Arial" w:cs="Arial"/>
                <w:sz w:val="16"/>
                <w:szCs w:val="16"/>
              </w:rPr>
              <w:t xml:space="preserve">Concessional </w:t>
            </w:r>
            <w:r w:rsidR="00026B74">
              <w:rPr>
                <w:rFonts w:ascii="Arial" w:hAnsi="Arial" w:cs="Arial"/>
                <w:sz w:val="16"/>
                <w:szCs w:val="16"/>
              </w:rPr>
              <w:t>d</w:t>
            </w:r>
            <w:r w:rsidRPr="00A75FA9">
              <w:rPr>
                <w:rFonts w:ascii="Arial" w:hAnsi="Arial" w:cs="Arial"/>
                <w:sz w:val="16"/>
                <w:szCs w:val="16"/>
              </w:rPr>
              <w:t>i</w:t>
            </w:r>
            <w:r w:rsidR="00C6785E">
              <w:rPr>
                <w:rFonts w:ascii="Arial" w:hAnsi="Arial" w:cs="Arial"/>
                <w:sz w:val="16"/>
                <w:szCs w:val="16"/>
              </w:rPr>
              <w:t>vestment</w:t>
            </w:r>
            <w:r w:rsidR="00C9220E">
              <w:rPr>
                <w:rFonts w:ascii="Arial" w:hAnsi="Arial" w:cs="Arial"/>
                <w:sz w:val="16"/>
                <w:szCs w:val="16"/>
              </w:rPr>
              <w:t xml:space="preserve"> (a)</w:t>
            </w:r>
          </w:p>
        </w:tc>
        <w:tc>
          <w:tcPr>
            <w:tcW w:w="1985" w:type="dxa"/>
            <w:tcBorders>
              <w:top w:val="dotted" w:sz="4" w:space="0" w:color="auto"/>
              <w:left w:val="nil"/>
            </w:tcBorders>
            <w:shd w:val="clear" w:color="auto" w:fill="auto"/>
            <w:hideMark/>
          </w:tcPr>
          <w:p w14:paraId="2C92B29A" w14:textId="2EFEB205" w:rsidR="002B6B79" w:rsidRPr="00A75FA9" w:rsidRDefault="000F7F92" w:rsidP="000F7F92">
            <w:pPr>
              <w:spacing w:before="60" w:after="60" w:line="240" w:lineRule="auto"/>
              <w:jc w:val="right"/>
              <w:rPr>
                <w:rFonts w:ascii="Arial" w:hAnsi="Arial" w:cs="Arial"/>
                <w:color w:val="auto"/>
                <w:sz w:val="16"/>
                <w:szCs w:val="16"/>
              </w:rPr>
            </w:pPr>
            <w:r>
              <w:rPr>
                <w:rFonts w:ascii="Arial" w:hAnsi="Arial" w:cs="Arial"/>
                <w:color w:val="auto"/>
                <w:sz w:val="16"/>
                <w:szCs w:val="16"/>
              </w:rPr>
              <w:t>39</w:t>
            </w:r>
          </w:p>
        </w:tc>
        <w:tc>
          <w:tcPr>
            <w:tcW w:w="1673" w:type="dxa"/>
            <w:tcBorders>
              <w:top w:val="dotted" w:sz="4" w:space="0" w:color="auto"/>
            </w:tcBorders>
            <w:shd w:val="clear" w:color="auto" w:fill="auto"/>
            <w:hideMark/>
          </w:tcPr>
          <w:p w14:paraId="12DA99F6" w14:textId="4A8B74A8" w:rsidR="002B6B79" w:rsidRPr="00A75FA9" w:rsidRDefault="009345F3" w:rsidP="00100F11">
            <w:pPr>
              <w:spacing w:before="60" w:after="60" w:line="240" w:lineRule="auto"/>
              <w:jc w:val="right"/>
              <w:rPr>
                <w:rFonts w:ascii="Arial" w:hAnsi="Arial" w:cs="Arial"/>
                <w:color w:val="auto"/>
                <w:sz w:val="16"/>
                <w:szCs w:val="16"/>
              </w:rPr>
            </w:pPr>
            <w:r>
              <w:rPr>
                <w:rFonts w:ascii="Arial" w:hAnsi="Arial" w:cs="Arial"/>
                <w:color w:val="auto"/>
                <w:sz w:val="16"/>
                <w:szCs w:val="16"/>
              </w:rPr>
              <w:t>15.</w:t>
            </w:r>
            <w:r w:rsidR="00100F11">
              <w:rPr>
                <w:rFonts w:ascii="Arial" w:hAnsi="Arial" w:cs="Arial"/>
                <w:color w:val="auto"/>
                <w:sz w:val="16"/>
                <w:szCs w:val="16"/>
              </w:rPr>
              <w:t>0</w:t>
            </w:r>
          </w:p>
        </w:tc>
      </w:tr>
      <w:tr w:rsidR="002B6B79" w:rsidRPr="00A75FA9" w14:paraId="3347F0A8" w14:textId="77777777" w:rsidTr="006F5BF5">
        <w:trPr>
          <w:trHeight w:val="330"/>
        </w:trPr>
        <w:tc>
          <w:tcPr>
            <w:tcW w:w="4219" w:type="dxa"/>
            <w:tcBorders>
              <w:top w:val="nil"/>
              <w:bottom w:val="nil"/>
              <w:right w:val="nil"/>
            </w:tcBorders>
            <w:shd w:val="clear" w:color="auto" w:fill="auto"/>
            <w:hideMark/>
          </w:tcPr>
          <w:p w14:paraId="32E895D1" w14:textId="76CE379C" w:rsidR="002B6B79" w:rsidRPr="00A75FA9" w:rsidRDefault="00C6785E" w:rsidP="00026B74">
            <w:pPr>
              <w:spacing w:before="60" w:after="60" w:line="240" w:lineRule="auto"/>
              <w:jc w:val="left"/>
              <w:rPr>
                <w:rFonts w:ascii="Arial" w:hAnsi="Arial" w:cs="Arial"/>
                <w:sz w:val="16"/>
                <w:szCs w:val="16"/>
              </w:rPr>
            </w:pPr>
            <w:r>
              <w:rPr>
                <w:rFonts w:ascii="Arial" w:hAnsi="Arial" w:cs="Arial"/>
                <w:sz w:val="16"/>
                <w:szCs w:val="16"/>
              </w:rPr>
              <w:t xml:space="preserve">Formal </w:t>
            </w:r>
            <w:r w:rsidR="00026B74">
              <w:rPr>
                <w:rFonts w:ascii="Arial" w:hAnsi="Arial" w:cs="Arial"/>
                <w:sz w:val="16"/>
                <w:szCs w:val="16"/>
              </w:rPr>
              <w:t>d</w:t>
            </w:r>
            <w:r>
              <w:rPr>
                <w:rFonts w:ascii="Arial" w:hAnsi="Arial" w:cs="Arial"/>
                <w:sz w:val="16"/>
                <w:szCs w:val="16"/>
              </w:rPr>
              <w:t>ivestment</w:t>
            </w:r>
            <w:r w:rsidR="00C9220E">
              <w:rPr>
                <w:rFonts w:ascii="Arial" w:hAnsi="Arial" w:cs="Arial"/>
                <w:sz w:val="16"/>
                <w:szCs w:val="16"/>
              </w:rPr>
              <w:t xml:space="preserve"> (b)</w:t>
            </w:r>
          </w:p>
        </w:tc>
        <w:tc>
          <w:tcPr>
            <w:tcW w:w="1985" w:type="dxa"/>
            <w:tcBorders>
              <w:left w:val="nil"/>
            </w:tcBorders>
            <w:shd w:val="clear" w:color="auto" w:fill="auto"/>
            <w:hideMark/>
          </w:tcPr>
          <w:p w14:paraId="1FC84CD8" w14:textId="77777777" w:rsidR="002B6B79" w:rsidRPr="00A75FA9" w:rsidRDefault="002B6B79" w:rsidP="00CC3A7A">
            <w:pPr>
              <w:spacing w:before="60" w:after="60" w:line="240" w:lineRule="auto"/>
              <w:jc w:val="right"/>
              <w:rPr>
                <w:rFonts w:ascii="Arial" w:hAnsi="Arial" w:cs="Arial"/>
                <w:color w:val="auto"/>
                <w:sz w:val="16"/>
                <w:szCs w:val="16"/>
              </w:rPr>
            </w:pPr>
            <w:r w:rsidRPr="00A75FA9">
              <w:rPr>
                <w:rFonts w:ascii="Arial" w:hAnsi="Arial" w:cs="Arial"/>
                <w:color w:val="auto"/>
                <w:sz w:val="16"/>
                <w:szCs w:val="16"/>
              </w:rPr>
              <w:t>0</w:t>
            </w:r>
          </w:p>
        </w:tc>
        <w:tc>
          <w:tcPr>
            <w:tcW w:w="1673" w:type="dxa"/>
            <w:shd w:val="clear" w:color="auto" w:fill="auto"/>
            <w:hideMark/>
          </w:tcPr>
          <w:p w14:paraId="6238ACBE" w14:textId="268DD856" w:rsidR="002B6B79" w:rsidRPr="00A75FA9" w:rsidRDefault="009345F3" w:rsidP="00CC3A7A">
            <w:pPr>
              <w:spacing w:before="60" w:after="60" w:line="240" w:lineRule="auto"/>
              <w:jc w:val="right"/>
              <w:rPr>
                <w:rFonts w:ascii="Arial" w:hAnsi="Arial" w:cs="Arial"/>
                <w:color w:val="auto"/>
                <w:sz w:val="16"/>
                <w:szCs w:val="16"/>
              </w:rPr>
            </w:pPr>
            <w:r>
              <w:rPr>
                <w:rFonts w:ascii="Arial" w:hAnsi="Arial" w:cs="Arial"/>
                <w:color w:val="auto"/>
                <w:sz w:val="16"/>
                <w:szCs w:val="16"/>
              </w:rPr>
              <w:t>0.0</w:t>
            </w:r>
          </w:p>
        </w:tc>
      </w:tr>
      <w:tr w:rsidR="002B6B79" w:rsidRPr="00A75FA9" w14:paraId="11AA878B" w14:textId="77777777" w:rsidTr="006F5BF5">
        <w:trPr>
          <w:trHeight w:val="330"/>
        </w:trPr>
        <w:tc>
          <w:tcPr>
            <w:tcW w:w="4219" w:type="dxa"/>
            <w:tcBorders>
              <w:top w:val="nil"/>
              <w:bottom w:val="nil"/>
              <w:right w:val="nil"/>
            </w:tcBorders>
            <w:shd w:val="clear" w:color="auto" w:fill="auto"/>
            <w:hideMark/>
          </w:tcPr>
          <w:p w14:paraId="69E82BA1" w14:textId="47608C99" w:rsidR="002B6B79" w:rsidRPr="00A75FA9" w:rsidRDefault="00C6785E" w:rsidP="00026B74">
            <w:pPr>
              <w:spacing w:before="60" w:after="60" w:line="240" w:lineRule="auto"/>
              <w:jc w:val="left"/>
              <w:rPr>
                <w:rFonts w:ascii="Arial" w:hAnsi="Arial" w:cs="Arial"/>
                <w:sz w:val="16"/>
                <w:szCs w:val="16"/>
              </w:rPr>
            </w:pPr>
            <w:proofErr w:type="spellStart"/>
            <w:r>
              <w:rPr>
                <w:rFonts w:ascii="Arial" w:hAnsi="Arial" w:cs="Arial"/>
                <w:sz w:val="16"/>
                <w:szCs w:val="16"/>
              </w:rPr>
              <w:t xml:space="preserve">Self </w:t>
            </w:r>
            <w:r w:rsidR="00026B74">
              <w:rPr>
                <w:rFonts w:ascii="Arial" w:hAnsi="Arial" w:cs="Arial"/>
                <w:sz w:val="16"/>
                <w:szCs w:val="16"/>
              </w:rPr>
              <w:t>d</w:t>
            </w:r>
            <w:r>
              <w:rPr>
                <w:rFonts w:ascii="Arial" w:hAnsi="Arial" w:cs="Arial"/>
                <w:sz w:val="16"/>
                <w:szCs w:val="16"/>
              </w:rPr>
              <w:t>ivestment</w:t>
            </w:r>
            <w:proofErr w:type="spellEnd"/>
            <w:r w:rsidR="00C9220E">
              <w:rPr>
                <w:rFonts w:ascii="Arial" w:hAnsi="Arial" w:cs="Arial"/>
                <w:sz w:val="16"/>
                <w:szCs w:val="16"/>
              </w:rPr>
              <w:t xml:space="preserve"> (c)</w:t>
            </w:r>
          </w:p>
        </w:tc>
        <w:tc>
          <w:tcPr>
            <w:tcW w:w="1985" w:type="dxa"/>
            <w:tcBorders>
              <w:left w:val="nil"/>
            </w:tcBorders>
            <w:shd w:val="clear" w:color="auto" w:fill="auto"/>
            <w:hideMark/>
          </w:tcPr>
          <w:p w14:paraId="0ADEAE16" w14:textId="77777777" w:rsidR="002B6B79" w:rsidRPr="00A75FA9" w:rsidRDefault="002B6B79" w:rsidP="00CC3A7A">
            <w:pPr>
              <w:spacing w:before="60" w:after="60" w:line="240" w:lineRule="auto"/>
              <w:jc w:val="right"/>
              <w:rPr>
                <w:rFonts w:ascii="Arial" w:hAnsi="Arial" w:cs="Arial"/>
                <w:color w:val="auto"/>
                <w:sz w:val="16"/>
                <w:szCs w:val="16"/>
              </w:rPr>
            </w:pPr>
            <w:r w:rsidRPr="00A75FA9">
              <w:rPr>
                <w:rFonts w:ascii="Arial" w:hAnsi="Arial" w:cs="Arial"/>
                <w:color w:val="auto"/>
                <w:sz w:val="16"/>
                <w:szCs w:val="16"/>
              </w:rPr>
              <w:t>15</w:t>
            </w:r>
          </w:p>
        </w:tc>
        <w:tc>
          <w:tcPr>
            <w:tcW w:w="1673" w:type="dxa"/>
            <w:shd w:val="clear" w:color="auto" w:fill="auto"/>
            <w:hideMark/>
          </w:tcPr>
          <w:p w14:paraId="1BC9395E" w14:textId="0C27BCE1" w:rsidR="002B6B79" w:rsidRPr="00A75FA9" w:rsidRDefault="002B6B79" w:rsidP="00100F11">
            <w:pPr>
              <w:spacing w:before="60" w:after="60" w:line="240" w:lineRule="auto"/>
              <w:jc w:val="right"/>
              <w:rPr>
                <w:rFonts w:ascii="Arial" w:hAnsi="Arial" w:cs="Arial"/>
                <w:color w:val="auto"/>
                <w:sz w:val="16"/>
                <w:szCs w:val="16"/>
              </w:rPr>
            </w:pPr>
            <w:r w:rsidRPr="00A75FA9">
              <w:rPr>
                <w:rFonts w:ascii="Arial" w:hAnsi="Arial" w:cs="Arial"/>
                <w:color w:val="auto"/>
                <w:sz w:val="16"/>
                <w:szCs w:val="16"/>
              </w:rPr>
              <w:t>5.</w:t>
            </w:r>
            <w:r w:rsidR="00100F11">
              <w:rPr>
                <w:rFonts w:ascii="Arial" w:hAnsi="Arial" w:cs="Arial"/>
                <w:color w:val="auto"/>
                <w:sz w:val="16"/>
                <w:szCs w:val="16"/>
              </w:rPr>
              <w:t>8</w:t>
            </w:r>
          </w:p>
        </w:tc>
      </w:tr>
      <w:tr w:rsidR="002B6B79" w:rsidRPr="00A75FA9" w14:paraId="5E3C2C4F" w14:textId="77777777" w:rsidTr="006F5BF5">
        <w:trPr>
          <w:trHeight w:val="330"/>
        </w:trPr>
        <w:tc>
          <w:tcPr>
            <w:tcW w:w="4219" w:type="dxa"/>
            <w:tcBorders>
              <w:top w:val="nil"/>
              <w:bottom w:val="nil"/>
              <w:right w:val="nil"/>
            </w:tcBorders>
            <w:shd w:val="clear" w:color="auto" w:fill="auto"/>
            <w:hideMark/>
          </w:tcPr>
          <w:p w14:paraId="561EA268" w14:textId="40B776C6" w:rsidR="002B6B79" w:rsidRPr="00A75FA9" w:rsidRDefault="002B6B79" w:rsidP="00CC3A7A">
            <w:pPr>
              <w:spacing w:before="60" w:after="60" w:line="240" w:lineRule="auto"/>
              <w:jc w:val="left"/>
              <w:rPr>
                <w:rFonts w:ascii="Arial" w:hAnsi="Arial" w:cs="Arial"/>
                <w:sz w:val="16"/>
                <w:szCs w:val="16"/>
              </w:rPr>
            </w:pPr>
            <w:r w:rsidRPr="00A75FA9">
              <w:rPr>
                <w:rFonts w:ascii="Arial" w:hAnsi="Arial" w:cs="Arial"/>
                <w:sz w:val="16"/>
                <w:szCs w:val="16"/>
              </w:rPr>
              <w:t>Retrospective approval</w:t>
            </w:r>
          </w:p>
        </w:tc>
        <w:tc>
          <w:tcPr>
            <w:tcW w:w="1985" w:type="dxa"/>
            <w:tcBorders>
              <w:left w:val="nil"/>
            </w:tcBorders>
            <w:shd w:val="clear" w:color="auto" w:fill="auto"/>
            <w:hideMark/>
          </w:tcPr>
          <w:p w14:paraId="7049517C" w14:textId="77777777" w:rsidR="002B6B79" w:rsidRPr="00A75FA9" w:rsidRDefault="002B6B79" w:rsidP="00CC3A7A">
            <w:pPr>
              <w:spacing w:before="60" w:after="60" w:line="240" w:lineRule="auto"/>
              <w:jc w:val="right"/>
              <w:rPr>
                <w:rFonts w:ascii="Arial" w:hAnsi="Arial" w:cs="Arial"/>
                <w:color w:val="auto"/>
                <w:sz w:val="16"/>
                <w:szCs w:val="16"/>
              </w:rPr>
            </w:pPr>
            <w:r w:rsidRPr="00A75FA9">
              <w:rPr>
                <w:rFonts w:ascii="Arial" w:hAnsi="Arial" w:cs="Arial"/>
                <w:color w:val="auto"/>
                <w:sz w:val="16"/>
                <w:szCs w:val="16"/>
              </w:rPr>
              <w:t>147</w:t>
            </w:r>
          </w:p>
        </w:tc>
        <w:tc>
          <w:tcPr>
            <w:tcW w:w="1673" w:type="dxa"/>
            <w:shd w:val="clear" w:color="auto" w:fill="auto"/>
            <w:hideMark/>
          </w:tcPr>
          <w:p w14:paraId="47C7FCDB" w14:textId="0DBDABCE" w:rsidR="002B6B79" w:rsidRPr="00A75FA9" w:rsidRDefault="002B6B79" w:rsidP="000F7F92">
            <w:pPr>
              <w:spacing w:before="60" w:after="60" w:line="240" w:lineRule="auto"/>
              <w:jc w:val="right"/>
              <w:rPr>
                <w:rFonts w:ascii="Arial" w:hAnsi="Arial" w:cs="Arial"/>
                <w:color w:val="auto"/>
                <w:sz w:val="16"/>
                <w:szCs w:val="16"/>
              </w:rPr>
            </w:pPr>
            <w:r w:rsidRPr="00A75FA9">
              <w:rPr>
                <w:rFonts w:ascii="Arial" w:hAnsi="Arial" w:cs="Arial"/>
                <w:color w:val="auto"/>
                <w:sz w:val="16"/>
                <w:szCs w:val="16"/>
              </w:rPr>
              <w:t>56.</w:t>
            </w:r>
            <w:r w:rsidR="009345F3">
              <w:rPr>
                <w:rFonts w:ascii="Arial" w:hAnsi="Arial" w:cs="Arial"/>
                <w:color w:val="auto"/>
                <w:sz w:val="16"/>
                <w:szCs w:val="16"/>
              </w:rPr>
              <w:t>5</w:t>
            </w:r>
          </w:p>
        </w:tc>
      </w:tr>
      <w:tr w:rsidR="002B6B79" w:rsidRPr="00A75FA9" w14:paraId="248B105D" w14:textId="77777777" w:rsidTr="006F5BF5">
        <w:trPr>
          <w:trHeight w:val="330"/>
        </w:trPr>
        <w:tc>
          <w:tcPr>
            <w:tcW w:w="4219" w:type="dxa"/>
            <w:tcBorders>
              <w:top w:val="nil"/>
              <w:bottom w:val="dotted" w:sz="4" w:space="0" w:color="auto"/>
              <w:right w:val="nil"/>
            </w:tcBorders>
            <w:shd w:val="clear" w:color="auto" w:fill="auto"/>
            <w:hideMark/>
          </w:tcPr>
          <w:p w14:paraId="457CA8DE" w14:textId="77777777" w:rsidR="002B6B79" w:rsidRPr="00A75FA9" w:rsidRDefault="002B6B79" w:rsidP="00CC3A7A">
            <w:pPr>
              <w:spacing w:before="60" w:after="60" w:line="240" w:lineRule="auto"/>
              <w:jc w:val="left"/>
              <w:rPr>
                <w:rFonts w:ascii="Arial" w:hAnsi="Arial" w:cs="Arial"/>
                <w:sz w:val="16"/>
                <w:szCs w:val="16"/>
              </w:rPr>
            </w:pPr>
            <w:r w:rsidRPr="00A75FA9">
              <w:rPr>
                <w:rFonts w:ascii="Arial" w:hAnsi="Arial" w:cs="Arial"/>
                <w:sz w:val="16"/>
                <w:szCs w:val="16"/>
              </w:rPr>
              <w:t>Change of conditions</w:t>
            </w:r>
          </w:p>
        </w:tc>
        <w:tc>
          <w:tcPr>
            <w:tcW w:w="1985" w:type="dxa"/>
            <w:tcBorders>
              <w:left w:val="nil"/>
              <w:bottom w:val="dotted" w:sz="4" w:space="0" w:color="auto"/>
            </w:tcBorders>
            <w:shd w:val="clear" w:color="auto" w:fill="auto"/>
            <w:hideMark/>
          </w:tcPr>
          <w:p w14:paraId="5A672224" w14:textId="77777777" w:rsidR="002B6B79" w:rsidRPr="00A75FA9" w:rsidRDefault="002B6B79" w:rsidP="00CC3A7A">
            <w:pPr>
              <w:spacing w:before="60" w:after="60" w:line="240" w:lineRule="auto"/>
              <w:jc w:val="right"/>
              <w:rPr>
                <w:rFonts w:ascii="Arial" w:hAnsi="Arial" w:cs="Arial"/>
                <w:color w:val="auto"/>
                <w:sz w:val="16"/>
                <w:szCs w:val="16"/>
              </w:rPr>
            </w:pPr>
            <w:r w:rsidRPr="00A75FA9">
              <w:rPr>
                <w:rFonts w:ascii="Arial" w:hAnsi="Arial" w:cs="Arial"/>
                <w:color w:val="auto"/>
                <w:sz w:val="16"/>
                <w:szCs w:val="16"/>
              </w:rPr>
              <w:t>59</w:t>
            </w:r>
          </w:p>
        </w:tc>
        <w:tc>
          <w:tcPr>
            <w:tcW w:w="1673" w:type="dxa"/>
            <w:tcBorders>
              <w:bottom w:val="dotted" w:sz="4" w:space="0" w:color="auto"/>
            </w:tcBorders>
            <w:shd w:val="clear" w:color="auto" w:fill="auto"/>
            <w:hideMark/>
          </w:tcPr>
          <w:p w14:paraId="4195A295" w14:textId="44D025C5" w:rsidR="002B6B79" w:rsidRPr="00A75FA9" w:rsidRDefault="009345F3" w:rsidP="000F7F92">
            <w:pPr>
              <w:spacing w:before="60" w:after="60" w:line="240" w:lineRule="auto"/>
              <w:jc w:val="right"/>
              <w:rPr>
                <w:rFonts w:ascii="Arial" w:hAnsi="Arial" w:cs="Arial"/>
                <w:color w:val="auto"/>
                <w:sz w:val="16"/>
                <w:szCs w:val="16"/>
              </w:rPr>
            </w:pPr>
            <w:r>
              <w:rPr>
                <w:rFonts w:ascii="Arial" w:hAnsi="Arial" w:cs="Arial"/>
                <w:color w:val="auto"/>
                <w:sz w:val="16"/>
                <w:szCs w:val="16"/>
              </w:rPr>
              <w:t>22.7</w:t>
            </w:r>
          </w:p>
        </w:tc>
      </w:tr>
      <w:tr w:rsidR="002B6B79" w:rsidRPr="00A75FA9" w14:paraId="0768D17F" w14:textId="77777777" w:rsidTr="006F5BF5">
        <w:trPr>
          <w:trHeight w:val="330"/>
        </w:trPr>
        <w:tc>
          <w:tcPr>
            <w:tcW w:w="4219" w:type="dxa"/>
            <w:tcBorders>
              <w:top w:val="dotted" w:sz="4" w:space="0" w:color="auto"/>
              <w:bottom w:val="dotted" w:sz="4" w:space="0" w:color="auto"/>
              <w:right w:val="nil"/>
            </w:tcBorders>
            <w:shd w:val="clear" w:color="auto" w:fill="auto"/>
            <w:hideMark/>
          </w:tcPr>
          <w:p w14:paraId="05FF7849" w14:textId="77777777" w:rsidR="002B6B79" w:rsidRPr="00122AC6" w:rsidRDefault="002B6B79" w:rsidP="00CC3A7A">
            <w:pPr>
              <w:spacing w:before="60" w:after="60" w:line="240" w:lineRule="auto"/>
              <w:jc w:val="left"/>
              <w:rPr>
                <w:rFonts w:ascii="Arial" w:hAnsi="Arial" w:cs="Arial"/>
                <w:bCs/>
                <w:sz w:val="16"/>
                <w:szCs w:val="16"/>
              </w:rPr>
            </w:pPr>
            <w:r w:rsidRPr="00122AC6">
              <w:rPr>
                <w:rFonts w:ascii="Arial" w:hAnsi="Arial" w:cs="Arial"/>
                <w:bCs/>
                <w:sz w:val="16"/>
                <w:szCs w:val="16"/>
              </w:rPr>
              <w:t xml:space="preserve">Total outcomes </w:t>
            </w:r>
          </w:p>
        </w:tc>
        <w:tc>
          <w:tcPr>
            <w:tcW w:w="1985" w:type="dxa"/>
            <w:tcBorders>
              <w:top w:val="dotted" w:sz="4" w:space="0" w:color="auto"/>
              <w:left w:val="nil"/>
              <w:bottom w:val="dotted" w:sz="4" w:space="0" w:color="auto"/>
            </w:tcBorders>
            <w:shd w:val="clear" w:color="auto" w:fill="auto"/>
            <w:hideMark/>
          </w:tcPr>
          <w:p w14:paraId="34B63A59" w14:textId="623E11E8" w:rsidR="002B6B79" w:rsidRPr="00122AC6" w:rsidRDefault="002B6B79" w:rsidP="000F7F92">
            <w:pPr>
              <w:spacing w:before="60" w:after="60" w:line="240" w:lineRule="auto"/>
              <w:jc w:val="right"/>
              <w:rPr>
                <w:rFonts w:ascii="Arial" w:hAnsi="Arial" w:cs="Arial"/>
                <w:color w:val="auto"/>
                <w:sz w:val="16"/>
                <w:szCs w:val="16"/>
              </w:rPr>
            </w:pPr>
            <w:r w:rsidRPr="00122AC6">
              <w:rPr>
                <w:rFonts w:ascii="Arial" w:hAnsi="Arial" w:cs="Arial"/>
                <w:color w:val="auto"/>
                <w:sz w:val="16"/>
                <w:szCs w:val="16"/>
              </w:rPr>
              <w:t>26</w:t>
            </w:r>
            <w:r w:rsidR="000F7F92" w:rsidRPr="00122AC6">
              <w:rPr>
                <w:rFonts w:ascii="Arial" w:hAnsi="Arial" w:cs="Arial"/>
                <w:color w:val="auto"/>
                <w:sz w:val="16"/>
                <w:szCs w:val="16"/>
              </w:rPr>
              <w:t>0</w:t>
            </w:r>
          </w:p>
        </w:tc>
        <w:tc>
          <w:tcPr>
            <w:tcW w:w="1673" w:type="dxa"/>
            <w:tcBorders>
              <w:top w:val="dotted" w:sz="4" w:space="0" w:color="auto"/>
              <w:bottom w:val="dotted" w:sz="4" w:space="0" w:color="auto"/>
            </w:tcBorders>
            <w:shd w:val="clear" w:color="auto" w:fill="auto"/>
            <w:hideMark/>
          </w:tcPr>
          <w:p w14:paraId="4DE93A27" w14:textId="1186F563" w:rsidR="002B6B79" w:rsidRPr="00122AC6" w:rsidRDefault="009345F3" w:rsidP="00CC3A7A">
            <w:pPr>
              <w:spacing w:before="60" w:after="60" w:line="240" w:lineRule="auto"/>
              <w:jc w:val="right"/>
              <w:rPr>
                <w:rFonts w:ascii="Arial" w:hAnsi="Arial" w:cs="Arial"/>
                <w:color w:val="auto"/>
                <w:sz w:val="16"/>
                <w:szCs w:val="16"/>
              </w:rPr>
            </w:pPr>
            <w:r>
              <w:rPr>
                <w:rFonts w:ascii="Arial" w:hAnsi="Arial" w:cs="Arial"/>
                <w:color w:val="auto"/>
                <w:sz w:val="16"/>
                <w:szCs w:val="16"/>
              </w:rPr>
              <w:t>100.0</w:t>
            </w:r>
          </w:p>
        </w:tc>
      </w:tr>
    </w:tbl>
    <w:p w14:paraId="75428EE0" w14:textId="49C9EF30" w:rsidR="0089568D" w:rsidRDefault="00C9220E" w:rsidP="00CC3A7A">
      <w:pPr>
        <w:pStyle w:val="ChartandTableFootnoteAlpha"/>
        <w:numPr>
          <w:ilvl w:val="0"/>
          <w:numId w:val="49"/>
        </w:numPr>
      </w:pPr>
      <w:r w:rsidRPr="00C9220E">
        <w:t>Concessional divestment</w:t>
      </w:r>
      <w:r>
        <w:t>s are for</w:t>
      </w:r>
      <w:r w:rsidRPr="00C9220E">
        <w:t xml:space="preserve"> </w:t>
      </w:r>
      <w:proofErr w:type="spellStart"/>
      <w:r w:rsidRPr="00C9220E">
        <w:t>self disclosed</w:t>
      </w:r>
      <w:proofErr w:type="spellEnd"/>
      <w:r w:rsidRPr="00C9220E">
        <w:t xml:space="preserve"> breaches from investors during the </w:t>
      </w:r>
      <w:r w:rsidR="0049662B">
        <w:t>reduced penalty period</w:t>
      </w:r>
      <w:r w:rsidRPr="00C9220E">
        <w:t xml:space="preserve"> between 2 May 2015 and 30 November 201</w:t>
      </w:r>
      <w:r>
        <w:t>5.</w:t>
      </w:r>
    </w:p>
    <w:p w14:paraId="2669F433" w14:textId="77777777" w:rsidR="0089568D" w:rsidRPr="0089568D" w:rsidRDefault="00C9220E" w:rsidP="00CC3A7A">
      <w:pPr>
        <w:pStyle w:val="ChartandTableFootnoteAlpha"/>
        <w:numPr>
          <w:ilvl w:val="0"/>
          <w:numId w:val="49"/>
        </w:numPr>
      </w:pPr>
      <w:r w:rsidRPr="0089568D">
        <w:rPr>
          <w:szCs w:val="24"/>
        </w:rPr>
        <w:t>Formal divestments are those where a formal disposal order was issued under the Act.</w:t>
      </w:r>
    </w:p>
    <w:p w14:paraId="6C667F4C" w14:textId="49CA206B" w:rsidR="00C9220E" w:rsidRPr="0089568D" w:rsidRDefault="00C9220E" w:rsidP="00CC3A7A">
      <w:pPr>
        <w:pStyle w:val="ChartandTableFootnoteAlpha"/>
        <w:numPr>
          <w:ilvl w:val="0"/>
          <w:numId w:val="49"/>
        </w:numPr>
      </w:pPr>
      <w:proofErr w:type="spellStart"/>
      <w:r w:rsidRPr="0089568D">
        <w:rPr>
          <w:szCs w:val="24"/>
        </w:rPr>
        <w:t>Self divestments</w:t>
      </w:r>
      <w:proofErr w:type="spellEnd"/>
      <w:r w:rsidRPr="0089568D">
        <w:rPr>
          <w:szCs w:val="24"/>
        </w:rPr>
        <w:t xml:space="preserve"> are where an investor disposes of a property during an investigation.</w:t>
      </w:r>
    </w:p>
    <w:p w14:paraId="5D61F0B6" w14:textId="77777777" w:rsidR="009345F3" w:rsidRDefault="009345F3" w:rsidP="0089568D">
      <w:pPr>
        <w:pStyle w:val="SingleParagraph"/>
      </w:pPr>
    </w:p>
    <w:p w14:paraId="122734C4" w14:textId="0AD94E39" w:rsidR="00B96582" w:rsidRPr="002C61E5" w:rsidRDefault="00B96582" w:rsidP="00CC3A7A">
      <w:pPr>
        <w:rPr>
          <w:color w:val="auto"/>
        </w:rPr>
      </w:pPr>
      <w:r w:rsidRPr="002C61E5">
        <w:rPr>
          <w:color w:val="auto"/>
        </w:rPr>
        <w:t xml:space="preserve">Outcomes of investigations </w:t>
      </w:r>
      <w:r w:rsidR="00D85111" w:rsidRPr="002C61E5">
        <w:rPr>
          <w:color w:val="auto"/>
        </w:rPr>
        <w:t>includ</w:t>
      </w:r>
      <w:r w:rsidR="0046165E" w:rsidRPr="002C61E5">
        <w:rPr>
          <w:color w:val="auto"/>
        </w:rPr>
        <w:t>e</w:t>
      </w:r>
      <w:r w:rsidR="00D85111" w:rsidRPr="002C61E5">
        <w:rPr>
          <w:color w:val="auto"/>
        </w:rPr>
        <w:t xml:space="preserve"> divestments</w:t>
      </w:r>
      <w:r w:rsidRPr="002C61E5">
        <w:rPr>
          <w:color w:val="auto"/>
        </w:rPr>
        <w:t>, retrospective approval</w:t>
      </w:r>
      <w:r w:rsidR="00D85111" w:rsidRPr="002C61E5">
        <w:rPr>
          <w:color w:val="auto"/>
        </w:rPr>
        <w:t>s</w:t>
      </w:r>
      <w:r w:rsidRPr="002C61E5">
        <w:rPr>
          <w:color w:val="auto"/>
        </w:rPr>
        <w:t xml:space="preserve"> </w:t>
      </w:r>
      <w:r w:rsidR="00D85111" w:rsidRPr="002C61E5">
        <w:rPr>
          <w:color w:val="auto"/>
        </w:rPr>
        <w:t xml:space="preserve">and </w:t>
      </w:r>
      <w:r w:rsidR="000F7F92">
        <w:rPr>
          <w:color w:val="auto"/>
        </w:rPr>
        <w:t>variations</w:t>
      </w:r>
      <w:r w:rsidR="00D85111" w:rsidRPr="002C61E5">
        <w:rPr>
          <w:color w:val="auto"/>
        </w:rPr>
        <w:t xml:space="preserve"> of </w:t>
      </w:r>
      <w:r w:rsidRPr="002C61E5">
        <w:rPr>
          <w:color w:val="auto"/>
        </w:rPr>
        <w:t xml:space="preserve">conditions. In some circumstances an infringement notice may have also been applied. </w:t>
      </w:r>
      <w:r w:rsidRPr="002C61E5">
        <w:rPr>
          <w:color w:val="auto"/>
        </w:rPr>
        <w:lastRenderedPageBreak/>
        <w:t xml:space="preserve">Infringement notice data is reported separately </w:t>
      </w:r>
      <w:r w:rsidRPr="00FB19BC">
        <w:rPr>
          <w:color w:val="auto"/>
        </w:rPr>
        <w:t xml:space="preserve">on page </w:t>
      </w:r>
      <w:r w:rsidR="00FB19BC" w:rsidRPr="00FB19BC">
        <w:rPr>
          <w:color w:val="auto"/>
        </w:rPr>
        <w:t>45</w:t>
      </w:r>
      <w:r w:rsidRPr="00FB19BC">
        <w:rPr>
          <w:color w:val="auto"/>
        </w:rPr>
        <w:t>.</w:t>
      </w:r>
      <w:r w:rsidR="000F7F92" w:rsidRPr="00FB19BC">
        <w:rPr>
          <w:color w:val="auto"/>
        </w:rPr>
        <w:t xml:space="preserve"> Investors</w:t>
      </w:r>
      <w:r w:rsidR="000F7F92" w:rsidRPr="00E81D8B">
        <w:rPr>
          <w:color w:val="auto"/>
        </w:rPr>
        <w:t xml:space="preserve"> granted retrospective approvals </w:t>
      </w:r>
      <w:r w:rsidR="00302633" w:rsidRPr="00E81D8B">
        <w:rPr>
          <w:color w:val="auto"/>
        </w:rPr>
        <w:t xml:space="preserve">for actions taken after 1 December 2015 </w:t>
      </w:r>
      <w:r w:rsidR="000F7F92" w:rsidRPr="00E81D8B">
        <w:rPr>
          <w:color w:val="auto"/>
        </w:rPr>
        <w:t xml:space="preserve">are required to pay an application fee based on the value of the property. Variations to conditions </w:t>
      </w:r>
      <w:r w:rsidR="00302633" w:rsidRPr="00E81D8B">
        <w:rPr>
          <w:color w:val="auto"/>
        </w:rPr>
        <w:t xml:space="preserve">requested after 1 December 2015 </w:t>
      </w:r>
      <w:r w:rsidR="000F7F92" w:rsidRPr="00E81D8B">
        <w:rPr>
          <w:color w:val="auto"/>
        </w:rPr>
        <w:t>also attract a fee.</w:t>
      </w:r>
    </w:p>
    <w:p w14:paraId="051FF8B5" w14:textId="5DEFB10D" w:rsidR="00B96582" w:rsidRPr="002C61E5" w:rsidRDefault="005942D7" w:rsidP="00CC3A7A">
      <w:pPr>
        <w:rPr>
          <w:color w:val="auto"/>
        </w:rPr>
      </w:pPr>
      <w:r>
        <w:rPr>
          <w:color w:val="auto"/>
        </w:rPr>
        <w:t xml:space="preserve">Where a breach is detected, foreign persons are </w:t>
      </w:r>
      <w:r w:rsidR="008E74DC">
        <w:rPr>
          <w:color w:val="auto"/>
        </w:rPr>
        <w:t xml:space="preserve">generally </w:t>
      </w:r>
      <w:r>
        <w:rPr>
          <w:color w:val="auto"/>
        </w:rPr>
        <w:t>given an</w:t>
      </w:r>
      <w:r w:rsidR="00D85111" w:rsidRPr="002C61E5">
        <w:rPr>
          <w:color w:val="auto"/>
        </w:rPr>
        <w:t xml:space="preserve"> opportunity to re</w:t>
      </w:r>
      <w:r w:rsidR="008205A1">
        <w:rPr>
          <w:color w:val="auto"/>
        </w:rPr>
        <w:noBreakHyphen/>
      </w:r>
      <w:r w:rsidR="00D85111" w:rsidRPr="002C61E5">
        <w:rPr>
          <w:color w:val="auto"/>
        </w:rPr>
        <w:t xml:space="preserve">engage with the foreign investment regime. Retrospective approvals and </w:t>
      </w:r>
      <w:r w:rsidR="000F7F92">
        <w:rPr>
          <w:color w:val="auto"/>
        </w:rPr>
        <w:t>variations</w:t>
      </w:r>
      <w:r w:rsidR="00D85111" w:rsidRPr="002C61E5">
        <w:rPr>
          <w:color w:val="auto"/>
        </w:rPr>
        <w:t xml:space="preserve"> of conditions </w:t>
      </w:r>
      <w:r w:rsidR="002C61E5" w:rsidRPr="002C61E5">
        <w:rPr>
          <w:color w:val="auto"/>
        </w:rPr>
        <w:t xml:space="preserve">established by previous approvals </w:t>
      </w:r>
      <w:r w:rsidR="00D85111" w:rsidRPr="002C61E5">
        <w:rPr>
          <w:color w:val="auto"/>
        </w:rPr>
        <w:t xml:space="preserve">are only granted in circumstances where an approval or variation would have been granted had an application been made. For example, if an investor had applied for a variation to extend the required timeframe to </w:t>
      </w:r>
      <w:r w:rsidR="000F7F92">
        <w:rPr>
          <w:color w:val="auto"/>
        </w:rPr>
        <w:t>develop land</w:t>
      </w:r>
      <w:r w:rsidR="00D85111" w:rsidRPr="002C61E5">
        <w:rPr>
          <w:color w:val="auto"/>
        </w:rPr>
        <w:t xml:space="preserve"> this would likely be approved if sufficient evidence was provided that the lack of progress was due to circumstances outside of their control (such as delays in obtaining local government approvals). Where this investor was identified through compliance work because they had not obtained a variation it would generally not be contrary to the national interest to allow the investor to continue to build on the land</w:t>
      </w:r>
      <w:r w:rsidR="001A5E6F">
        <w:rPr>
          <w:color w:val="auto"/>
        </w:rPr>
        <w:t xml:space="preserve"> within a reasonable time frame</w:t>
      </w:r>
      <w:r w:rsidR="00D85111" w:rsidRPr="002C61E5">
        <w:rPr>
          <w:color w:val="auto"/>
        </w:rPr>
        <w:t>.</w:t>
      </w:r>
      <w:r w:rsidR="0070259B" w:rsidRPr="002C61E5">
        <w:rPr>
          <w:color w:val="auto"/>
        </w:rPr>
        <w:t xml:space="preserve"> Compliance with a revised condition will continue to be monitored and enforceme</w:t>
      </w:r>
      <w:r w:rsidR="00B02C9E">
        <w:rPr>
          <w:color w:val="auto"/>
        </w:rPr>
        <w:t>nt action taken where required.</w:t>
      </w:r>
    </w:p>
    <w:p w14:paraId="10C3506B" w14:textId="77777777" w:rsidR="00D054E9" w:rsidRPr="002C61E5" w:rsidRDefault="00D054E9" w:rsidP="002C61E5">
      <w:pPr>
        <w:pStyle w:val="Heading3"/>
        <w:spacing w:before="240"/>
        <w:rPr>
          <w:rFonts w:asciiTheme="minorHAnsi" w:hAnsiTheme="minorHAnsi"/>
          <w:smallCaps/>
        </w:rPr>
      </w:pPr>
      <w:r w:rsidRPr="002C61E5">
        <w:rPr>
          <w:rFonts w:asciiTheme="minorHAnsi" w:hAnsiTheme="minorHAnsi"/>
        </w:rPr>
        <w:t>Investigations by location</w:t>
      </w:r>
    </w:p>
    <w:p w14:paraId="778E4425" w14:textId="41648E1B" w:rsidR="002C61E5" w:rsidRDefault="00380FDC" w:rsidP="002C61E5">
      <w:pPr>
        <w:rPr>
          <w:color w:val="auto"/>
        </w:rPr>
      </w:pPr>
      <w:r w:rsidRPr="002C61E5">
        <w:rPr>
          <w:color w:val="auto"/>
        </w:rPr>
        <w:t xml:space="preserve">Almost </w:t>
      </w:r>
      <w:r w:rsidR="00FD519B" w:rsidRPr="002C61E5">
        <w:rPr>
          <w:color w:val="auto"/>
        </w:rPr>
        <w:t>half</w:t>
      </w:r>
      <w:r w:rsidRPr="002C61E5">
        <w:rPr>
          <w:color w:val="auto"/>
        </w:rPr>
        <w:t xml:space="preserve"> of all compliance investigations related to residential property purchased in Victoria. One</w:t>
      </w:r>
      <w:r w:rsidR="008205A1">
        <w:rPr>
          <w:color w:val="auto"/>
        </w:rPr>
        <w:noBreakHyphen/>
      </w:r>
      <w:r w:rsidRPr="002C61E5">
        <w:rPr>
          <w:color w:val="auto"/>
        </w:rPr>
        <w:t>third of investigations related to property in N</w:t>
      </w:r>
      <w:r w:rsidR="00FD519B" w:rsidRPr="002C61E5">
        <w:rPr>
          <w:color w:val="auto"/>
        </w:rPr>
        <w:t xml:space="preserve">ew </w:t>
      </w:r>
      <w:r w:rsidRPr="002C61E5">
        <w:rPr>
          <w:color w:val="auto"/>
        </w:rPr>
        <w:t>S</w:t>
      </w:r>
      <w:r w:rsidR="00FD519B" w:rsidRPr="002C61E5">
        <w:rPr>
          <w:color w:val="auto"/>
        </w:rPr>
        <w:t xml:space="preserve">outh </w:t>
      </w:r>
      <w:r w:rsidR="00854C21" w:rsidRPr="002C61E5">
        <w:rPr>
          <w:color w:val="auto"/>
        </w:rPr>
        <w:t>Wales. This</w:t>
      </w:r>
      <w:r w:rsidR="002C61E5" w:rsidRPr="002C61E5">
        <w:rPr>
          <w:color w:val="auto"/>
        </w:rPr>
        <w:t xml:space="preserve"> geographic distribution </w:t>
      </w:r>
      <w:r w:rsidRPr="002C61E5">
        <w:rPr>
          <w:color w:val="auto"/>
        </w:rPr>
        <w:t>reflect</w:t>
      </w:r>
      <w:r w:rsidR="009345F3">
        <w:rPr>
          <w:color w:val="auto"/>
        </w:rPr>
        <w:t>s</w:t>
      </w:r>
      <w:r w:rsidRPr="002C61E5">
        <w:rPr>
          <w:color w:val="auto"/>
        </w:rPr>
        <w:t xml:space="preserve"> the location of the properties that were found to have been purchased in breach of the forei</w:t>
      </w:r>
      <w:r w:rsidR="00FD519B" w:rsidRPr="002C61E5">
        <w:rPr>
          <w:color w:val="auto"/>
        </w:rPr>
        <w:t>g</w:t>
      </w:r>
      <w:r w:rsidRPr="002C61E5">
        <w:rPr>
          <w:color w:val="auto"/>
        </w:rPr>
        <w:t>n investment rules</w:t>
      </w:r>
      <w:r w:rsidR="002C61E5" w:rsidRPr="002C61E5">
        <w:rPr>
          <w:color w:val="auto"/>
        </w:rPr>
        <w:t>.</w:t>
      </w:r>
      <w:r w:rsidRPr="002C61E5">
        <w:rPr>
          <w:color w:val="auto"/>
        </w:rPr>
        <w:t xml:space="preserve"> </w:t>
      </w:r>
      <w:r w:rsidR="00FD519B" w:rsidRPr="002C61E5">
        <w:rPr>
          <w:color w:val="auto"/>
        </w:rPr>
        <w:t xml:space="preserve">Chart </w:t>
      </w:r>
      <w:r w:rsidR="00FE329F">
        <w:rPr>
          <w:color w:val="auto"/>
        </w:rPr>
        <w:t>4.1</w:t>
      </w:r>
      <w:r w:rsidR="00FD519B" w:rsidRPr="002C61E5">
        <w:rPr>
          <w:color w:val="auto"/>
        </w:rPr>
        <w:t xml:space="preserve"> shows the geographic distribution of compliance in</w:t>
      </w:r>
      <w:r w:rsidR="00B9210B">
        <w:rPr>
          <w:color w:val="auto"/>
        </w:rPr>
        <w:t>v</w:t>
      </w:r>
      <w:r w:rsidR="00FD519B" w:rsidRPr="002C61E5">
        <w:rPr>
          <w:color w:val="auto"/>
        </w:rPr>
        <w:t>estigation</w:t>
      </w:r>
      <w:r w:rsidR="00B9210B">
        <w:rPr>
          <w:color w:val="auto"/>
        </w:rPr>
        <w:t>s</w:t>
      </w:r>
      <w:r w:rsidR="00FD519B" w:rsidRPr="002C61E5">
        <w:rPr>
          <w:color w:val="auto"/>
        </w:rPr>
        <w:t xml:space="preserve"> in 2015</w:t>
      </w:r>
      <w:r w:rsidR="008205A1">
        <w:rPr>
          <w:color w:val="auto"/>
        </w:rPr>
        <w:noBreakHyphen/>
      </w:r>
      <w:r w:rsidR="00FD519B" w:rsidRPr="002C61E5">
        <w:rPr>
          <w:color w:val="auto"/>
        </w:rPr>
        <w:t>16.</w:t>
      </w:r>
    </w:p>
    <w:p w14:paraId="5F494DFF" w14:textId="773EB5ED" w:rsidR="00204E29" w:rsidRDefault="00204E29" w:rsidP="00204E29">
      <w:pPr>
        <w:pStyle w:val="ChartMainHeading"/>
      </w:pPr>
      <w:r w:rsidRPr="004529C9">
        <w:t>Chart 4.1: Location of compliance investigations in 2015</w:t>
      </w:r>
      <w:r w:rsidR="008205A1">
        <w:noBreakHyphen/>
      </w:r>
      <w:r w:rsidRPr="004529C9">
        <w:t>16</w:t>
      </w:r>
    </w:p>
    <w:p w14:paraId="65557E60" w14:textId="3703A0EC" w:rsidR="00204E29" w:rsidRDefault="00971054">
      <w:pPr>
        <w:spacing w:after="200" w:line="276" w:lineRule="auto"/>
        <w:jc w:val="left"/>
        <w:rPr>
          <w:rFonts w:ascii="Calibri" w:hAnsi="Calibri"/>
          <w:color w:val="003E74"/>
        </w:rPr>
      </w:pPr>
      <w:r w:rsidRPr="002C61E5">
        <w:rPr>
          <w:noProof/>
          <w:color w:val="auto"/>
        </w:rPr>
        <w:drawing>
          <wp:anchor distT="0" distB="0" distL="114300" distR="114300" simplePos="0" relativeHeight="251658249" behindDoc="1" locked="0" layoutInCell="1" allowOverlap="1" wp14:anchorId="29C1D3FA" wp14:editId="25FA575C">
            <wp:simplePos x="0" y="0"/>
            <wp:positionH relativeFrom="column">
              <wp:posOffset>508635</wp:posOffset>
            </wp:positionH>
            <wp:positionV relativeFrom="paragraph">
              <wp:posOffset>127000</wp:posOffset>
            </wp:positionV>
            <wp:extent cx="4005580" cy="219837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14:paraId="58931111" w14:textId="77777777" w:rsidR="00971054" w:rsidRDefault="00971054">
      <w:pPr>
        <w:spacing w:after="200" w:line="276" w:lineRule="auto"/>
        <w:jc w:val="left"/>
        <w:rPr>
          <w:rFonts w:ascii="Calibri" w:hAnsi="Calibri"/>
          <w:color w:val="003E74"/>
        </w:rPr>
      </w:pPr>
    </w:p>
    <w:p w14:paraId="1D02A60D" w14:textId="77777777" w:rsidR="00971054" w:rsidRDefault="00971054">
      <w:pPr>
        <w:spacing w:after="200" w:line="276" w:lineRule="auto"/>
        <w:jc w:val="left"/>
        <w:rPr>
          <w:rFonts w:ascii="Calibri" w:hAnsi="Calibri"/>
          <w:color w:val="003E74"/>
        </w:rPr>
      </w:pPr>
    </w:p>
    <w:p w14:paraId="09A8F148" w14:textId="77777777" w:rsidR="00971054" w:rsidRDefault="00971054">
      <w:pPr>
        <w:spacing w:after="200" w:line="276" w:lineRule="auto"/>
        <w:jc w:val="left"/>
        <w:rPr>
          <w:rFonts w:ascii="Calibri" w:hAnsi="Calibri"/>
          <w:color w:val="003E74"/>
        </w:rPr>
      </w:pPr>
    </w:p>
    <w:p w14:paraId="313CFF3E" w14:textId="77777777" w:rsidR="00971054" w:rsidRDefault="00971054">
      <w:pPr>
        <w:spacing w:after="200" w:line="276" w:lineRule="auto"/>
        <w:jc w:val="left"/>
        <w:rPr>
          <w:rFonts w:ascii="Calibri" w:hAnsi="Calibri"/>
          <w:color w:val="003E74"/>
        </w:rPr>
      </w:pPr>
    </w:p>
    <w:p w14:paraId="0C18CE2F" w14:textId="77777777" w:rsidR="00971054" w:rsidRDefault="00971054">
      <w:pPr>
        <w:spacing w:after="200" w:line="276" w:lineRule="auto"/>
        <w:jc w:val="left"/>
        <w:rPr>
          <w:rFonts w:ascii="Calibri" w:hAnsi="Calibri"/>
          <w:color w:val="003E74"/>
        </w:rPr>
      </w:pPr>
    </w:p>
    <w:p w14:paraId="2EAAA0B1" w14:textId="77777777" w:rsidR="00971054" w:rsidRDefault="00971054">
      <w:pPr>
        <w:spacing w:after="200" w:line="276" w:lineRule="auto"/>
        <w:jc w:val="left"/>
        <w:rPr>
          <w:rFonts w:ascii="Calibri" w:hAnsi="Calibri"/>
          <w:color w:val="003E74"/>
        </w:rPr>
      </w:pPr>
    </w:p>
    <w:p w14:paraId="62E361F1" w14:textId="77777777" w:rsidR="00971054" w:rsidRDefault="00971054">
      <w:pPr>
        <w:spacing w:after="200" w:line="276" w:lineRule="auto"/>
        <w:jc w:val="left"/>
        <w:rPr>
          <w:rFonts w:ascii="Calibri" w:hAnsi="Calibri"/>
          <w:color w:val="003E74"/>
        </w:rPr>
      </w:pPr>
    </w:p>
    <w:p w14:paraId="745A1396" w14:textId="3118F552" w:rsidR="00900347" w:rsidRPr="002C61E5" w:rsidRDefault="00900347" w:rsidP="00204E29">
      <w:pPr>
        <w:pStyle w:val="Heading3"/>
      </w:pPr>
      <w:r w:rsidRPr="002C61E5">
        <w:t>Investigation</w:t>
      </w:r>
      <w:r w:rsidR="00FB57DC" w:rsidRPr="002C61E5">
        <w:t>s by</w:t>
      </w:r>
      <w:r w:rsidRPr="002C61E5">
        <w:t xml:space="preserve"> source</w:t>
      </w:r>
    </w:p>
    <w:p w14:paraId="33C4C93D" w14:textId="0EF3F5DA" w:rsidR="00900347" w:rsidRPr="002C61E5" w:rsidRDefault="00900347" w:rsidP="00CC3A7A">
      <w:pPr>
        <w:rPr>
          <w:color w:val="auto"/>
        </w:rPr>
      </w:pPr>
      <w:r w:rsidRPr="002C61E5">
        <w:rPr>
          <w:color w:val="auto"/>
        </w:rPr>
        <w:t>The 2,104 cases identified for investigation in 2015</w:t>
      </w:r>
      <w:r w:rsidR="008205A1">
        <w:rPr>
          <w:color w:val="auto"/>
        </w:rPr>
        <w:noBreakHyphen/>
      </w:r>
      <w:r w:rsidRPr="002C61E5">
        <w:rPr>
          <w:color w:val="auto"/>
        </w:rPr>
        <w:t>16 came from a range of sources including community information, data matching and self</w:t>
      </w:r>
      <w:r w:rsidR="008205A1">
        <w:rPr>
          <w:color w:val="auto"/>
        </w:rPr>
        <w:noBreakHyphen/>
      </w:r>
      <w:r w:rsidRPr="002C61E5">
        <w:rPr>
          <w:color w:val="auto"/>
        </w:rPr>
        <w:t>disclosures. Just over 80</w:t>
      </w:r>
      <w:r w:rsidR="00380FDC" w:rsidRPr="002C61E5">
        <w:rPr>
          <w:color w:val="auto"/>
        </w:rPr>
        <w:t xml:space="preserve"> per cent</w:t>
      </w:r>
      <w:r w:rsidR="002C61E5">
        <w:rPr>
          <w:color w:val="auto"/>
        </w:rPr>
        <w:t xml:space="preserve"> of </w:t>
      </w:r>
      <w:r w:rsidR="002C61E5">
        <w:rPr>
          <w:color w:val="auto"/>
        </w:rPr>
        <w:lastRenderedPageBreak/>
        <w:t>self</w:t>
      </w:r>
      <w:r w:rsidR="008205A1">
        <w:rPr>
          <w:color w:val="auto"/>
        </w:rPr>
        <w:noBreakHyphen/>
      </w:r>
      <w:r w:rsidRPr="002C61E5">
        <w:rPr>
          <w:color w:val="auto"/>
        </w:rPr>
        <w:t xml:space="preserve">disclosures were received </w:t>
      </w:r>
      <w:r w:rsidR="002C61E5" w:rsidRPr="002C61E5">
        <w:rPr>
          <w:color w:val="auto"/>
        </w:rPr>
        <w:t>during</w:t>
      </w:r>
      <w:r w:rsidRPr="002C61E5">
        <w:rPr>
          <w:color w:val="auto"/>
        </w:rPr>
        <w:t xml:space="preserve"> the reduced penalty period. Table </w:t>
      </w:r>
      <w:r w:rsidR="00FE329F">
        <w:rPr>
          <w:color w:val="auto"/>
        </w:rPr>
        <w:t>4.2</w:t>
      </w:r>
      <w:r w:rsidRPr="002C61E5">
        <w:rPr>
          <w:color w:val="auto"/>
        </w:rPr>
        <w:t xml:space="preserve"> provides a breakdown of the source of investigations.</w:t>
      </w:r>
    </w:p>
    <w:p w14:paraId="15067495" w14:textId="5D609FDE" w:rsidR="004C402F" w:rsidRPr="004529C9" w:rsidRDefault="003A633A" w:rsidP="00115593">
      <w:pPr>
        <w:pStyle w:val="TableHeading"/>
      </w:pPr>
      <w:r w:rsidRPr="004529C9">
        <w:t xml:space="preserve">Table </w:t>
      </w:r>
      <w:r w:rsidR="00FE329F" w:rsidRPr="004529C9">
        <w:t>4.2</w:t>
      </w:r>
      <w:r w:rsidRPr="004529C9">
        <w:t>:</w:t>
      </w:r>
      <w:r w:rsidR="001A3655" w:rsidRPr="004529C9">
        <w:t xml:space="preserve"> Source of investigations in 2015</w:t>
      </w:r>
      <w:r w:rsidR="008205A1">
        <w:noBreakHyphen/>
      </w:r>
      <w:r w:rsidR="001A3655" w:rsidRPr="004529C9">
        <w:t>16</w:t>
      </w:r>
    </w:p>
    <w:tbl>
      <w:tblPr>
        <w:tblW w:w="7877" w:type="dxa"/>
        <w:tblBorders>
          <w:top w:val="single" w:sz="12" w:space="0" w:color="000000"/>
          <w:bottom w:val="single" w:sz="12" w:space="0" w:color="000000"/>
        </w:tblBorders>
        <w:tblLook w:val="04A0" w:firstRow="1" w:lastRow="0" w:firstColumn="1" w:lastColumn="0" w:noHBand="0" w:noVBand="1"/>
      </w:tblPr>
      <w:tblGrid>
        <w:gridCol w:w="1864"/>
        <w:gridCol w:w="920"/>
        <w:gridCol w:w="1293"/>
        <w:gridCol w:w="3800"/>
      </w:tblGrid>
      <w:tr w:rsidR="007B5AAF" w:rsidRPr="00A75FA9" w14:paraId="5DAFC821" w14:textId="77777777" w:rsidTr="006F5BF5">
        <w:trPr>
          <w:trHeight w:val="393"/>
        </w:trPr>
        <w:tc>
          <w:tcPr>
            <w:tcW w:w="1864" w:type="dxa"/>
            <w:tcBorders>
              <w:top w:val="dotted" w:sz="4" w:space="0" w:color="auto"/>
              <w:bottom w:val="dotted" w:sz="4" w:space="0" w:color="auto"/>
              <w:right w:val="nil"/>
            </w:tcBorders>
            <w:shd w:val="clear" w:color="auto" w:fill="auto"/>
            <w:hideMark/>
          </w:tcPr>
          <w:p w14:paraId="33B334BF" w14:textId="77777777" w:rsidR="004C402F" w:rsidRPr="00122AC6" w:rsidRDefault="004C402F" w:rsidP="00CC3A7A">
            <w:pPr>
              <w:spacing w:before="60" w:after="60" w:line="240" w:lineRule="auto"/>
              <w:jc w:val="left"/>
              <w:rPr>
                <w:rFonts w:ascii="Arial" w:hAnsi="Arial" w:cs="Arial"/>
                <w:bCs/>
                <w:iCs/>
                <w:sz w:val="16"/>
                <w:szCs w:val="16"/>
              </w:rPr>
            </w:pPr>
            <w:r w:rsidRPr="00122AC6">
              <w:rPr>
                <w:rFonts w:ascii="Arial" w:hAnsi="Arial" w:cs="Arial"/>
                <w:bCs/>
                <w:iCs/>
                <w:sz w:val="16"/>
                <w:szCs w:val="16"/>
              </w:rPr>
              <w:t xml:space="preserve">Source of Case </w:t>
            </w:r>
          </w:p>
        </w:tc>
        <w:tc>
          <w:tcPr>
            <w:tcW w:w="920" w:type="dxa"/>
            <w:tcBorders>
              <w:top w:val="dotted" w:sz="4" w:space="0" w:color="auto"/>
              <w:left w:val="nil"/>
              <w:bottom w:val="dotted" w:sz="4" w:space="0" w:color="auto"/>
            </w:tcBorders>
            <w:shd w:val="clear" w:color="auto" w:fill="auto"/>
            <w:hideMark/>
          </w:tcPr>
          <w:p w14:paraId="7CFB5B33" w14:textId="5F70128C" w:rsidR="004C402F" w:rsidRPr="00122AC6" w:rsidRDefault="00BE1F69" w:rsidP="00CC3A7A">
            <w:pPr>
              <w:spacing w:before="60" w:after="60" w:line="240" w:lineRule="auto"/>
              <w:jc w:val="center"/>
              <w:rPr>
                <w:rFonts w:ascii="Arial" w:hAnsi="Arial" w:cs="Arial"/>
                <w:bCs/>
                <w:iCs/>
                <w:sz w:val="16"/>
                <w:szCs w:val="16"/>
              </w:rPr>
            </w:pPr>
            <w:r w:rsidRPr="00122AC6">
              <w:rPr>
                <w:rFonts w:ascii="Arial" w:hAnsi="Arial" w:cs="Arial"/>
                <w:bCs/>
                <w:iCs/>
                <w:sz w:val="16"/>
                <w:szCs w:val="16"/>
              </w:rPr>
              <w:t>No.</w:t>
            </w:r>
            <w:r w:rsidR="004C402F" w:rsidRPr="00122AC6">
              <w:rPr>
                <w:rFonts w:ascii="Arial" w:hAnsi="Arial" w:cs="Arial"/>
                <w:bCs/>
                <w:iCs/>
                <w:sz w:val="16"/>
                <w:szCs w:val="16"/>
              </w:rPr>
              <w:t xml:space="preserve"> </w:t>
            </w:r>
          </w:p>
        </w:tc>
        <w:tc>
          <w:tcPr>
            <w:tcW w:w="1293" w:type="dxa"/>
            <w:tcBorders>
              <w:top w:val="dotted" w:sz="4" w:space="0" w:color="auto"/>
              <w:bottom w:val="dotted" w:sz="4" w:space="0" w:color="auto"/>
            </w:tcBorders>
            <w:shd w:val="clear" w:color="auto" w:fill="auto"/>
            <w:hideMark/>
          </w:tcPr>
          <w:p w14:paraId="51E6AF3C" w14:textId="12477BEF" w:rsidR="004C402F" w:rsidRPr="00122AC6" w:rsidRDefault="007B5AAF" w:rsidP="00CC3A7A">
            <w:pPr>
              <w:spacing w:before="60" w:after="60" w:line="240" w:lineRule="auto"/>
              <w:jc w:val="center"/>
              <w:rPr>
                <w:rFonts w:ascii="Arial" w:hAnsi="Arial" w:cs="Arial"/>
                <w:bCs/>
                <w:iCs/>
                <w:sz w:val="16"/>
                <w:szCs w:val="16"/>
              </w:rPr>
            </w:pPr>
            <w:r w:rsidRPr="00122AC6">
              <w:rPr>
                <w:rFonts w:ascii="Arial" w:hAnsi="Arial" w:cs="Arial"/>
                <w:bCs/>
                <w:iCs/>
                <w:sz w:val="16"/>
                <w:szCs w:val="16"/>
              </w:rPr>
              <w:t xml:space="preserve">Percentage </w:t>
            </w:r>
          </w:p>
        </w:tc>
        <w:tc>
          <w:tcPr>
            <w:tcW w:w="3800" w:type="dxa"/>
            <w:tcBorders>
              <w:top w:val="dotted" w:sz="4" w:space="0" w:color="auto"/>
              <w:bottom w:val="dotted" w:sz="4" w:space="0" w:color="auto"/>
            </w:tcBorders>
            <w:shd w:val="clear" w:color="auto" w:fill="auto"/>
            <w:hideMark/>
          </w:tcPr>
          <w:p w14:paraId="19DD6671" w14:textId="77777777" w:rsidR="004C402F" w:rsidRPr="00122AC6" w:rsidRDefault="004C402F" w:rsidP="00CC3A7A">
            <w:pPr>
              <w:spacing w:before="60" w:after="60" w:line="240" w:lineRule="auto"/>
              <w:jc w:val="left"/>
              <w:rPr>
                <w:rFonts w:ascii="Arial" w:hAnsi="Arial" w:cs="Arial"/>
                <w:bCs/>
                <w:iCs/>
                <w:sz w:val="16"/>
                <w:szCs w:val="16"/>
              </w:rPr>
            </w:pPr>
            <w:r w:rsidRPr="00122AC6">
              <w:rPr>
                <w:rFonts w:ascii="Arial" w:hAnsi="Arial" w:cs="Arial"/>
                <w:bCs/>
                <w:iCs/>
                <w:sz w:val="16"/>
                <w:szCs w:val="16"/>
              </w:rPr>
              <w:t xml:space="preserve">Description  </w:t>
            </w:r>
          </w:p>
        </w:tc>
      </w:tr>
      <w:tr w:rsidR="007B5AAF" w:rsidRPr="00A75FA9" w14:paraId="773BD983" w14:textId="77777777" w:rsidTr="006F5BF5">
        <w:tc>
          <w:tcPr>
            <w:tcW w:w="1864" w:type="dxa"/>
            <w:tcBorders>
              <w:top w:val="dotted" w:sz="4" w:space="0" w:color="auto"/>
              <w:right w:val="nil"/>
            </w:tcBorders>
            <w:shd w:val="clear" w:color="auto" w:fill="auto"/>
            <w:hideMark/>
          </w:tcPr>
          <w:p w14:paraId="3B9D73FA" w14:textId="1C6E94BF" w:rsidR="004C402F" w:rsidRPr="00A75FA9" w:rsidRDefault="004C402F" w:rsidP="003C0E70">
            <w:pPr>
              <w:spacing w:before="60" w:after="0" w:line="240" w:lineRule="auto"/>
              <w:jc w:val="left"/>
              <w:rPr>
                <w:rFonts w:ascii="Arial" w:hAnsi="Arial" w:cs="Arial"/>
                <w:sz w:val="16"/>
                <w:szCs w:val="16"/>
              </w:rPr>
            </w:pPr>
            <w:r w:rsidRPr="00A75FA9">
              <w:rPr>
                <w:rFonts w:ascii="Arial" w:hAnsi="Arial" w:cs="Arial"/>
                <w:sz w:val="16"/>
                <w:szCs w:val="16"/>
              </w:rPr>
              <w:t>Self</w:t>
            </w:r>
            <w:r w:rsidR="008205A1">
              <w:rPr>
                <w:rFonts w:ascii="Arial" w:hAnsi="Arial" w:cs="Arial"/>
                <w:sz w:val="16"/>
                <w:szCs w:val="16"/>
              </w:rPr>
              <w:noBreakHyphen/>
            </w:r>
            <w:r w:rsidRPr="00A75FA9">
              <w:rPr>
                <w:rFonts w:ascii="Arial" w:hAnsi="Arial" w:cs="Arial"/>
                <w:sz w:val="16"/>
                <w:szCs w:val="16"/>
              </w:rPr>
              <w:t xml:space="preserve">disclosure </w:t>
            </w:r>
          </w:p>
        </w:tc>
        <w:tc>
          <w:tcPr>
            <w:tcW w:w="920" w:type="dxa"/>
            <w:tcBorders>
              <w:top w:val="dotted" w:sz="4" w:space="0" w:color="auto"/>
              <w:left w:val="nil"/>
              <w:bottom w:val="nil"/>
            </w:tcBorders>
            <w:shd w:val="clear" w:color="auto" w:fill="auto"/>
            <w:noWrap/>
            <w:hideMark/>
          </w:tcPr>
          <w:p w14:paraId="22771D6E" w14:textId="77777777" w:rsidR="004C402F" w:rsidRPr="00A75FA9" w:rsidRDefault="004C402F" w:rsidP="003C0E70">
            <w:pPr>
              <w:spacing w:before="60" w:after="0" w:line="240" w:lineRule="auto"/>
              <w:jc w:val="center"/>
              <w:rPr>
                <w:rFonts w:ascii="Arial" w:hAnsi="Arial" w:cs="Arial"/>
                <w:sz w:val="16"/>
                <w:szCs w:val="16"/>
              </w:rPr>
            </w:pPr>
            <w:r w:rsidRPr="00A75FA9">
              <w:rPr>
                <w:rFonts w:ascii="Arial" w:hAnsi="Arial" w:cs="Arial"/>
                <w:sz w:val="16"/>
                <w:szCs w:val="16"/>
              </w:rPr>
              <w:t>368</w:t>
            </w:r>
          </w:p>
        </w:tc>
        <w:tc>
          <w:tcPr>
            <w:tcW w:w="1293" w:type="dxa"/>
            <w:tcBorders>
              <w:top w:val="dotted" w:sz="4" w:space="0" w:color="auto"/>
            </w:tcBorders>
            <w:shd w:val="clear" w:color="auto" w:fill="auto"/>
            <w:noWrap/>
            <w:hideMark/>
          </w:tcPr>
          <w:p w14:paraId="4EB0D61C" w14:textId="01FC8A11" w:rsidR="004C402F" w:rsidRPr="00A75FA9" w:rsidRDefault="00C90751" w:rsidP="00C90751">
            <w:pPr>
              <w:spacing w:before="60" w:after="0" w:line="240" w:lineRule="auto"/>
              <w:jc w:val="center"/>
              <w:rPr>
                <w:rFonts w:ascii="Arial" w:hAnsi="Arial" w:cs="Arial"/>
                <w:sz w:val="16"/>
                <w:szCs w:val="16"/>
              </w:rPr>
            </w:pPr>
            <w:r>
              <w:rPr>
                <w:rFonts w:ascii="Arial" w:hAnsi="Arial" w:cs="Arial"/>
                <w:sz w:val="16"/>
                <w:szCs w:val="16"/>
              </w:rPr>
              <w:t>17.5</w:t>
            </w:r>
          </w:p>
        </w:tc>
        <w:tc>
          <w:tcPr>
            <w:tcW w:w="3800" w:type="dxa"/>
            <w:tcBorders>
              <w:top w:val="dotted" w:sz="4" w:space="0" w:color="auto"/>
            </w:tcBorders>
            <w:shd w:val="clear" w:color="auto" w:fill="auto"/>
            <w:hideMark/>
          </w:tcPr>
          <w:p w14:paraId="7112BF25" w14:textId="7EF6FC7F" w:rsidR="004C402F" w:rsidRPr="00A75FA9" w:rsidRDefault="004C402F" w:rsidP="003C0E70">
            <w:pPr>
              <w:spacing w:before="60" w:after="0" w:line="240" w:lineRule="auto"/>
              <w:jc w:val="left"/>
              <w:rPr>
                <w:rFonts w:ascii="Arial" w:hAnsi="Arial" w:cs="Arial"/>
                <w:sz w:val="16"/>
                <w:szCs w:val="16"/>
              </w:rPr>
            </w:pPr>
            <w:r w:rsidRPr="00A75FA9">
              <w:rPr>
                <w:rFonts w:ascii="Arial" w:hAnsi="Arial" w:cs="Arial"/>
                <w:sz w:val="16"/>
                <w:szCs w:val="16"/>
              </w:rPr>
              <w:t>Self</w:t>
            </w:r>
            <w:r w:rsidR="008205A1">
              <w:rPr>
                <w:rFonts w:ascii="Arial" w:hAnsi="Arial" w:cs="Arial"/>
                <w:sz w:val="16"/>
                <w:szCs w:val="16"/>
              </w:rPr>
              <w:noBreakHyphen/>
            </w:r>
            <w:r w:rsidRPr="00A75FA9">
              <w:rPr>
                <w:rFonts w:ascii="Arial" w:hAnsi="Arial" w:cs="Arial"/>
                <w:sz w:val="16"/>
                <w:szCs w:val="16"/>
              </w:rPr>
              <w:t>disclosures made</w:t>
            </w:r>
            <w:r w:rsidR="002C61E5">
              <w:rPr>
                <w:rFonts w:ascii="Arial" w:hAnsi="Arial" w:cs="Arial"/>
                <w:sz w:val="16"/>
                <w:szCs w:val="16"/>
              </w:rPr>
              <w:t xml:space="preserve"> from 2 May 2015 to 30 </w:t>
            </w:r>
            <w:r w:rsidRPr="00A75FA9">
              <w:rPr>
                <w:rFonts w:ascii="Arial" w:hAnsi="Arial" w:cs="Arial"/>
                <w:sz w:val="16"/>
                <w:szCs w:val="16"/>
              </w:rPr>
              <w:t xml:space="preserve">June 2016 </w:t>
            </w:r>
          </w:p>
        </w:tc>
      </w:tr>
      <w:tr w:rsidR="007B5AAF" w:rsidRPr="00A75FA9" w14:paraId="258683B7" w14:textId="77777777" w:rsidTr="006F5BF5">
        <w:tc>
          <w:tcPr>
            <w:tcW w:w="1864" w:type="dxa"/>
            <w:tcBorders>
              <w:right w:val="nil"/>
            </w:tcBorders>
            <w:shd w:val="clear" w:color="auto" w:fill="auto"/>
            <w:hideMark/>
          </w:tcPr>
          <w:p w14:paraId="4E146628" w14:textId="77777777" w:rsidR="004C402F" w:rsidRPr="00A75FA9" w:rsidRDefault="004C402F" w:rsidP="00CC3A7A">
            <w:pPr>
              <w:spacing w:before="60" w:after="60" w:line="240" w:lineRule="auto"/>
              <w:jc w:val="left"/>
              <w:rPr>
                <w:rFonts w:ascii="Arial" w:hAnsi="Arial" w:cs="Arial"/>
                <w:sz w:val="16"/>
                <w:szCs w:val="16"/>
              </w:rPr>
            </w:pPr>
            <w:r w:rsidRPr="00A75FA9">
              <w:rPr>
                <w:rFonts w:ascii="Arial" w:hAnsi="Arial" w:cs="Arial"/>
                <w:sz w:val="16"/>
                <w:szCs w:val="16"/>
              </w:rPr>
              <w:t>Community information</w:t>
            </w:r>
          </w:p>
        </w:tc>
        <w:tc>
          <w:tcPr>
            <w:tcW w:w="920" w:type="dxa"/>
            <w:tcBorders>
              <w:top w:val="nil"/>
              <w:left w:val="nil"/>
              <w:bottom w:val="nil"/>
            </w:tcBorders>
            <w:shd w:val="clear" w:color="auto" w:fill="auto"/>
            <w:noWrap/>
            <w:hideMark/>
          </w:tcPr>
          <w:p w14:paraId="7F9FF833" w14:textId="77777777" w:rsidR="004C402F" w:rsidRPr="00A75FA9" w:rsidRDefault="004C402F" w:rsidP="00CC3A7A">
            <w:pPr>
              <w:spacing w:before="60" w:after="60" w:line="240" w:lineRule="auto"/>
              <w:jc w:val="center"/>
              <w:rPr>
                <w:rFonts w:ascii="Arial" w:hAnsi="Arial" w:cs="Arial"/>
                <w:sz w:val="16"/>
                <w:szCs w:val="16"/>
              </w:rPr>
            </w:pPr>
            <w:r w:rsidRPr="00A75FA9">
              <w:rPr>
                <w:rFonts w:ascii="Arial" w:hAnsi="Arial" w:cs="Arial"/>
                <w:sz w:val="16"/>
                <w:szCs w:val="16"/>
              </w:rPr>
              <w:t>1,226</w:t>
            </w:r>
          </w:p>
        </w:tc>
        <w:tc>
          <w:tcPr>
            <w:tcW w:w="1293" w:type="dxa"/>
            <w:shd w:val="clear" w:color="auto" w:fill="auto"/>
            <w:noWrap/>
            <w:hideMark/>
          </w:tcPr>
          <w:p w14:paraId="3701BD68" w14:textId="647B7CC6" w:rsidR="004C402F" w:rsidRPr="00A75FA9" w:rsidRDefault="004C402F" w:rsidP="00C90751">
            <w:pPr>
              <w:spacing w:before="60" w:after="60" w:line="240" w:lineRule="auto"/>
              <w:jc w:val="center"/>
              <w:rPr>
                <w:rFonts w:ascii="Arial" w:hAnsi="Arial" w:cs="Arial"/>
                <w:sz w:val="16"/>
                <w:szCs w:val="16"/>
              </w:rPr>
            </w:pPr>
            <w:r w:rsidRPr="00A75FA9">
              <w:rPr>
                <w:rFonts w:ascii="Arial" w:hAnsi="Arial" w:cs="Arial"/>
                <w:sz w:val="16"/>
                <w:szCs w:val="16"/>
              </w:rPr>
              <w:t>58.</w:t>
            </w:r>
            <w:r w:rsidR="00C90751">
              <w:rPr>
                <w:rFonts w:ascii="Arial" w:hAnsi="Arial" w:cs="Arial"/>
                <w:sz w:val="16"/>
                <w:szCs w:val="16"/>
              </w:rPr>
              <w:t>3</w:t>
            </w:r>
          </w:p>
        </w:tc>
        <w:tc>
          <w:tcPr>
            <w:tcW w:w="3800" w:type="dxa"/>
            <w:shd w:val="clear" w:color="auto" w:fill="auto"/>
            <w:hideMark/>
          </w:tcPr>
          <w:p w14:paraId="58CC0271" w14:textId="53982A66" w:rsidR="004C402F" w:rsidRPr="00A75FA9" w:rsidRDefault="004C402F" w:rsidP="00CC3A7A">
            <w:pPr>
              <w:spacing w:before="60" w:after="60" w:line="240" w:lineRule="auto"/>
              <w:jc w:val="left"/>
              <w:rPr>
                <w:rFonts w:ascii="Arial" w:hAnsi="Arial" w:cs="Arial"/>
                <w:sz w:val="16"/>
                <w:szCs w:val="16"/>
              </w:rPr>
            </w:pPr>
            <w:r w:rsidRPr="00A75FA9">
              <w:rPr>
                <w:rFonts w:ascii="Arial" w:hAnsi="Arial" w:cs="Arial"/>
                <w:sz w:val="16"/>
                <w:szCs w:val="16"/>
              </w:rPr>
              <w:t xml:space="preserve">Information received from </w:t>
            </w:r>
            <w:r w:rsidR="008205A1">
              <w:rPr>
                <w:rFonts w:ascii="Arial" w:hAnsi="Arial" w:cs="Arial"/>
                <w:sz w:val="16"/>
                <w:szCs w:val="16"/>
              </w:rPr>
              <w:t>‘</w:t>
            </w:r>
            <w:r w:rsidRPr="00A75FA9">
              <w:rPr>
                <w:rFonts w:ascii="Arial" w:hAnsi="Arial" w:cs="Arial"/>
                <w:sz w:val="16"/>
                <w:szCs w:val="16"/>
              </w:rPr>
              <w:t>dob ins</w:t>
            </w:r>
            <w:r w:rsidR="008205A1">
              <w:rPr>
                <w:rFonts w:ascii="Arial" w:hAnsi="Arial" w:cs="Arial"/>
                <w:sz w:val="16"/>
                <w:szCs w:val="16"/>
              </w:rPr>
              <w:t>’</w:t>
            </w:r>
            <w:r w:rsidRPr="00A75FA9">
              <w:rPr>
                <w:rFonts w:ascii="Arial" w:hAnsi="Arial" w:cs="Arial"/>
                <w:sz w:val="16"/>
                <w:szCs w:val="16"/>
              </w:rPr>
              <w:t xml:space="preserve"> made by the </w:t>
            </w:r>
            <w:r w:rsidR="00FC248E">
              <w:rPr>
                <w:rFonts w:ascii="Arial" w:hAnsi="Arial" w:cs="Arial"/>
                <w:sz w:val="16"/>
                <w:szCs w:val="16"/>
              </w:rPr>
              <w:t>c</w:t>
            </w:r>
            <w:r w:rsidRPr="00A75FA9">
              <w:rPr>
                <w:rFonts w:ascii="Arial" w:hAnsi="Arial" w:cs="Arial"/>
                <w:sz w:val="16"/>
                <w:szCs w:val="16"/>
              </w:rPr>
              <w:t xml:space="preserve">ommunity </w:t>
            </w:r>
          </w:p>
        </w:tc>
      </w:tr>
      <w:tr w:rsidR="007B5AAF" w:rsidRPr="00A75FA9" w14:paraId="5A6251EC" w14:textId="77777777" w:rsidTr="006F5BF5">
        <w:tc>
          <w:tcPr>
            <w:tcW w:w="1864" w:type="dxa"/>
            <w:tcBorders>
              <w:right w:val="nil"/>
            </w:tcBorders>
            <w:shd w:val="clear" w:color="auto" w:fill="auto"/>
            <w:hideMark/>
          </w:tcPr>
          <w:p w14:paraId="3477D514" w14:textId="77777777" w:rsidR="004C402F" w:rsidRPr="00A75FA9" w:rsidRDefault="004C402F" w:rsidP="00CC3A7A">
            <w:pPr>
              <w:spacing w:before="60" w:after="60" w:line="240" w:lineRule="auto"/>
              <w:jc w:val="left"/>
              <w:rPr>
                <w:rFonts w:ascii="Arial" w:hAnsi="Arial" w:cs="Arial"/>
                <w:sz w:val="16"/>
                <w:szCs w:val="16"/>
              </w:rPr>
            </w:pPr>
            <w:r w:rsidRPr="00A75FA9">
              <w:rPr>
                <w:rFonts w:ascii="Arial" w:hAnsi="Arial" w:cs="Arial"/>
                <w:sz w:val="16"/>
                <w:szCs w:val="16"/>
              </w:rPr>
              <w:t>Other referrals</w:t>
            </w:r>
          </w:p>
        </w:tc>
        <w:tc>
          <w:tcPr>
            <w:tcW w:w="920" w:type="dxa"/>
            <w:tcBorders>
              <w:top w:val="nil"/>
              <w:left w:val="nil"/>
              <w:bottom w:val="nil"/>
            </w:tcBorders>
            <w:shd w:val="clear" w:color="auto" w:fill="auto"/>
            <w:noWrap/>
            <w:hideMark/>
          </w:tcPr>
          <w:p w14:paraId="743632AF" w14:textId="77777777" w:rsidR="004C402F" w:rsidRPr="00A75FA9" w:rsidRDefault="004C402F" w:rsidP="00CC3A7A">
            <w:pPr>
              <w:spacing w:before="60" w:after="60" w:line="240" w:lineRule="auto"/>
              <w:jc w:val="center"/>
              <w:rPr>
                <w:rFonts w:ascii="Arial" w:hAnsi="Arial" w:cs="Arial"/>
                <w:sz w:val="16"/>
                <w:szCs w:val="16"/>
              </w:rPr>
            </w:pPr>
            <w:r w:rsidRPr="00A75FA9">
              <w:rPr>
                <w:rFonts w:ascii="Arial" w:hAnsi="Arial" w:cs="Arial"/>
                <w:sz w:val="16"/>
                <w:szCs w:val="16"/>
              </w:rPr>
              <w:t>136</w:t>
            </w:r>
          </w:p>
        </w:tc>
        <w:tc>
          <w:tcPr>
            <w:tcW w:w="1293" w:type="dxa"/>
            <w:shd w:val="clear" w:color="auto" w:fill="auto"/>
            <w:noWrap/>
            <w:hideMark/>
          </w:tcPr>
          <w:p w14:paraId="5E435C48" w14:textId="2DB340A6" w:rsidR="004C402F" w:rsidRPr="00A75FA9" w:rsidRDefault="00C90751" w:rsidP="00C90751">
            <w:pPr>
              <w:spacing w:before="60" w:after="60" w:line="240" w:lineRule="auto"/>
              <w:jc w:val="center"/>
              <w:rPr>
                <w:rFonts w:ascii="Arial" w:hAnsi="Arial" w:cs="Arial"/>
                <w:sz w:val="16"/>
                <w:szCs w:val="16"/>
              </w:rPr>
            </w:pPr>
            <w:r>
              <w:rPr>
                <w:rFonts w:ascii="Arial" w:hAnsi="Arial" w:cs="Arial"/>
                <w:sz w:val="16"/>
                <w:szCs w:val="16"/>
              </w:rPr>
              <w:t>6.5</w:t>
            </w:r>
          </w:p>
        </w:tc>
        <w:tc>
          <w:tcPr>
            <w:tcW w:w="3800" w:type="dxa"/>
            <w:shd w:val="clear" w:color="auto" w:fill="auto"/>
            <w:hideMark/>
          </w:tcPr>
          <w:p w14:paraId="593827F9" w14:textId="4ABBFFB4" w:rsidR="004C402F" w:rsidRPr="00A75FA9" w:rsidRDefault="00326819" w:rsidP="00326819">
            <w:pPr>
              <w:spacing w:before="60" w:after="60" w:line="240" w:lineRule="auto"/>
              <w:jc w:val="left"/>
              <w:rPr>
                <w:rFonts w:ascii="Arial" w:hAnsi="Arial" w:cs="Arial"/>
                <w:sz w:val="16"/>
                <w:szCs w:val="16"/>
              </w:rPr>
            </w:pPr>
            <w:r>
              <w:rPr>
                <w:rFonts w:ascii="Arial" w:hAnsi="Arial" w:cs="Arial"/>
                <w:sz w:val="16"/>
                <w:szCs w:val="16"/>
              </w:rPr>
              <w:t xml:space="preserve">Internal </w:t>
            </w:r>
            <w:proofErr w:type="spellStart"/>
            <w:r>
              <w:rPr>
                <w:rFonts w:ascii="Arial" w:hAnsi="Arial" w:cs="Arial"/>
                <w:sz w:val="16"/>
                <w:szCs w:val="16"/>
              </w:rPr>
              <w:t>ATO</w:t>
            </w:r>
            <w:proofErr w:type="spellEnd"/>
            <w:r>
              <w:rPr>
                <w:rFonts w:ascii="Arial" w:hAnsi="Arial" w:cs="Arial"/>
                <w:sz w:val="16"/>
                <w:szCs w:val="16"/>
              </w:rPr>
              <w:t xml:space="preserve"> r</w:t>
            </w:r>
            <w:r w:rsidR="004C402F" w:rsidRPr="00A75FA9">
              <w:rPr>
                <w:rFonts w:ascii="Arial" w:hAnsi="Arial" w:cs="Arial"/>
                <w:sz w:val="16"/>
                <w:szCs w:val="16"/>
              </w:rPr>
              <w:t xml:space="preserve">eferrals </w:t>
            </w:r>
            <w:r>
              <w:rPr>
                <w:rFonts w:ascii="Arial" w:hAnsi="Arial" w:cs="Arial"/>
                <w:sz w:val="16"/>
                <w:szCs w:val="16"/>
              </w:rPr>
              <w:t xml:space="preserve">and referrals </w:t>
            </w:r>
            <w:r w:rsidR="004C402F" w:rsidRPr="00A75FA9">
              <w:rPr>
                <w:rFonts w:ascii="Arial" w:hAnsi="Arial" w:cs="Arial"/>
                <w:sz w:val="16"/>
                <w:szCs w:val="16"/>
              </w:rPr>
              <w:t>received from other Government agencies, media reports</w:t>
            </w:r>
          </w:p>
        </w:tc>
      </w:tr>
      <w:tr w:rsidR="007B5AAF" w:rsidRPr="00A75FA9" w14:paraId="4CB6F993" w14:textId="77777777" w:rsidTr="006F5BF5">
        <w:tc>
          <w:tcPr>
            <w:tcW w:w="1864" w:type="dxa"/>
            <w:tcBorders>
              <w:bottom w:val="dotted" w:sz="4" w:space="0" w:color="auto"/>
              <w:right w:val="nil"/>
            </w:tcBorders>
            <w:shd w:val="clear" w:color="auto" w:fill="auto"/>
            <w:hideMark/>
          </w:tcPr>
          <w:p w14:paraId="08EDBC1B" w14:textId="77777777" w:rsidR="004C402F" w:rsidRPr="00A75FA9" w:rsidRDefault="004C402F" w:rsidP="00CC3A7A">
            <w:pPr>
              <w:spacing w:before="60" w:after="60" w:line="240" w:lineRule="auto"/>
              <w:jc w:val="left"/>
              <w:rPr>
                <w:rFonts w:ascii="Arial" w:hAnsi="Arial" w:cs="Arial"/>
                <w:sz w:val="16"/>
                <w:szCs w:val="16"/>
              </w:rPr>
            </w:pPr>
            <w:r w:rsidRPr="00A75FA9">
              <w:rPr>
                <w:rFonts w:ascii="Arial" w:hAnsi="Arial" w:cs="Arial"/>
                <w:sz w:val="16"/>
                <w:szCs w:val="16"/>
              </w:rPr>
              <w:t>Data matched</w:t>
            </w:r>
          </w:p>
        </w:tc>
        <w:tc>
          <w:tcPr>
            <w:tcW w:w="920" w:type="dxa"/>
            <w:tcBorders>
              <w:top w:val="nil"/>
              <w:left w:val="nil"/>
              <w:bottom w:val="dotted" w:sz="4" w:space="0" w:color="auto"/>
            </w:tcBorders>
            <w:shd w:val="clear" w:color="auto" w:fill="auto"/>
            <w:noWrap/>
            <w:hideMark/>
          </w:tcPr>
          <w:p w14:paraId="23560478" w14:textId="77777777" w:rsidR="004C402F" w:rsidRPr="00A75FA9" w:rsidRDefault="004C402F" w:rsidP="00CC3A7A">
            <w:pPr>
              <w:spacing w:before="60" w:after="60" w:line="240" w:lineRule="auto"/>
              <w:jc w:val="center"/>
              <w:rPr>
                <w:rFonts w:ascii="Arial" w:hAnsi="Arial" w:cs="Arial"/>
                <w:sz w:val="16"/>
                <w:szCs w:val="16"/>
              </w:rPr>
            </w:pPr>
            <w:r w:rsidRPr="00A75FA9">
              <w:rPr>
                <w:rFonts w:ascii="Arial" w:hAnsi="Arial" w:cs="Arial"/>
                <w:sz w:val="16"/>
                <w:szCs w:val="16"/>
              </w:rPr>
              <w:t>374</w:t>
            </w:r>
          </w:p>
        </w:tc>
        <w:tc>
          <w:tcPr>
            <w:tcW w:w="1293" w:type="dxa"/>
            <w:tcBorders>
              <w:bottom w:val="dotted" w:sz="4" w:space="0" w:color="auto"/>
            </w:tcBorders>
            <w:shd w:val="clear" w:color="auto" w:fill="auto"/>
            <w:noWrap/>
            <w:hideMark/>
          </w:tcPr>
          <w:p w14:paraId="35F62CF6" w14:textId="1ECE6B59" w:rsidR="004C402F" w:rsidRPr="00A75FA9" w:rsidRDefault="004C402F" w:rsidP="00C90751">
            <w:pPr>
              <w:spacing w:before="60" w:after="60" w:line="240" w:lineRule="auto"/>
              <w:jc w:val="center"/>
              <w:rPr>
                <w:rFonts w:ascii="Arial" w:hAnsi="Arial" w:cs="Arial"/>
                <w:sz w:val="16"/>
                <w:szCs w:val="16"/>
              </w:rPr>
            </w:pPr>
            <w:r w:rsidRPr="00A75FA9">
              <w:rPr>
                <w:rFonts w:ascii="Arial" w:hAnsi="Arial" w:cs="Arial"/>
                <w:sz w:val="16"/>
                <w:szCs w:val="16"/>
              </w:rPr>
              <w:t>17.</w:t>
            </w:r>
            <w:r w:rsidR="00C90751">
              <w:rPr>
                <w:rFonts w:ascii="Arial" w:hAnsi="Arial" w:cs="Arial"/>
                <w:sz w:val="16"/>
                <w:szCs w:val="16"/>
              </w:rPr>
              <w:t>8</w:t>
            </w:r>
          </w:p>
        </w:tc>
        <w:tc>
          <w:tcPr>
            <w:tcW w:w="3800" w:type="dxa"/>
            <w:tcBorders>
              <w:bottom w:val="dotted" w:sz="4" w:space="0" w:color="auto"/>
            </w:tcBorders>
            <w:shd w:val="clear" w:color="auto" w:fill="auto"/>
            <w:hideMark/>
          </w:tcPr>
          <w:p w14:paraId="4027AA24" w14:textId="77777777" w:rsidR="004C402F" w:rsidRPr="00A75FA9" w:rsidRDefault="004C402F" w:rsidP="00CC3A7A">
            <w:pPr>
              <w:spacing w:before="60" w:after="60" w:line="240" w:lineRule="auto"/>
              <w:jc w:val="left"/>
              <w:rPr>
                <w:rFonts w:ascii="Arial" w:hAnsi="Arial" w:cs="Arial"/>
                <w:sz w:val="16"/>
                <w:szCs w:val="16"/>
              </w:rPr>
            </w:pPr>
            <w:proofErr w:type="spellStart"/>
            <w:r w:rsidRPr="00A75FA9">
              <w:rPr>
                <w:rFonts w:ascii="Arial" w:hAnsi="Arial" w:cs="Arial"/>
                <w:sz w:val="16"/>
                <w:szCs w:val="16"/>
              </w:rPr>
              <w:t>ATO</w:t>
            </w:r>
            <w:proofErr w:type="spellEnd"/>
            <w:r w:rsidRPr="00A75FA9">
              <w:rPr>
                <w:rFonts w:ascii="Arial" w:hAnsi="Arial" w:cs="Arial"/>
                <w:sz w:val="16"/>
                <w:szCs w:val="16"/>
              </w:rPr>
              <w:t xml:space="preserve"> data matching sources</w:t>
            </w:r>
          </w:p>
        </w:tc>
      </w:tr>
      <w:tr w:rsidR="007B5AAF" w:rsidRPr="00A75FA9" w14:paraId="5B08C5BB" w14:textId="77777777" w:rsidTr="006F5BF5">
        <w:trPr>
          <w:trHeight w:val="330"/>
        </w:trPr>
        <w:tc>
          <w:tcPr>
            <w:tcW w:w="1864" w:type="dxa"/>
            <w:tcBorders>
              <w:top w:val="dotted" w:sz="4" w:space="0" w:color="auto"/>
              <w:bottom w:val="dotted" w:sz="4" w:space="0" w:color="auto"/>
              <w:right w:val="nil"/>
            </w:tcBorders>
            <w:shd w:val="clear" w:color="auto" w:fill="auto"/>
            <w:hideMark/>
          </w:tcPr>
          <w:p w14:paraId="229155B8" w14:textId="77777777" w:rsidR="004C402F" w:rsidRPr="003C0E70" w:rsidRDefault="004C402F" w:rsidP="00CC3A7A">
            <w:pPr>
              <w:spacing w:before="60" w:after="60" w:line="240" w:lineRule="auto"/>
              <w:jc w:val="left"/>
              <w:rPr>
                <w:rFonts w:ascii="Arial" w:hAnsi="Arial" w:cs="Arial"/>
                <w:bCs/>
                <w:sz w:val="16"/>
                <w:szCs w:val="16"/>
              </w:rPr>
            </w:pPr>
            <w:r w:rsidRPr="003C0E70">
              <w:rPr>
                <w:rFonts w:ascii="Arial" w:hAnsi="Arial" w:cs="Arial"/>
                <w:bCs/>
                <w:sz w:val="16"/>
                <w:szCs w:val="16"/>
              </w:rPr>
              <w:t>Total received</w:t>
            </w:r>
          </w:p>
        </w:tc>
        <w:tc>
          <w:tcPr>
            <w:tcW w:w="920" w:type="dxa"/>
            <w:tcBorders>
              <w:top w:val="dotted" w:sz="4" w:space="0" w:color="auto"/>
              <w:left w:val="nil"/>
              <w:bottom w:val="dotted" w:sz="4" w:space="0" w:color="auto"/>
            </w:tcBorders>
            <w:shd w:val="clear" w:color="auto" w:fill="auto"/>
            <w:noWrap/>
            <w:hideMark/>
          </w:tcPr>
          <w:p w14:paraId="3C923B1A" w14:textId="77777777" w:rsidR="004C402F" w:rsidRPr="003C0E70" w:rsidRDefault="004C402F" w:rsidP="00CC3A7A">
            <w:pPr>
              <w:spacing w:before="60" w:after="60" w:line="240" w:lineRule="auto"/>
              <w:jc w:val="center"/>
              <w:rPr>
                <w:rFonts w:ascii="Arial" w:hAnsi="Arial" w:cs="Arial"/>
                <w:color w:val="auto"/>
                <w:sz w:val="16"/>
                <w:szCs w:val="16"/>
              </w:rPr>
            </w:pPr>
            <w:r w:rsidRPr="003C0E70">
              <w:rPr>
                <w:rFonts w:ascii="Arial" w:hAnsi="Arial" w:cs="Arial"/>
                <w:color w:val="auto"/>
                <w:sz w:val="16"/>
                <w:szCs w:val="16"/>
              </w:rPr>
              <w:t>2,104</w:t>
            </w:r>
          </w:p>
        </w:tc>
        <w:tc>
          <w:tcPr>
            <w:tcW w:w="1293" w:type="dxa"/>
            <w:tcBorders>
              <w:top w:val="dotted" w:sz="4" w:space="0" w:color="auto"/>
              <w:bottom w:val="dotted" w:sz="4" w:space="0" w:color="auto"/>
            </w:tcBorders>
            <w:shd w:val="clear" w:color="auto" w:fill="auto"/>
            <w:noWrap/>
            <w:hideMark/>
          </w:tcPr>
          <w:p w14:paraId="50F22451" w14:textId="1D2DE755" w:rsidR="004C402F" w:rsidRPr="003C0E70" w:rsidRDefault="00C90751" w:rsidP="00C90751">
            <w:pPr>
              <w:spacing w:before="60" w:after="60" w:line="240" w:lineRule="auto"/>
              <w:jc w:val="center"/>
              <w:rPr>
                <w:rFonts w:ascii="Arial" w:hAnsi="Arial" w:cs="Arial"/>
                <w:color w:val="auto"/>
                <w:sz w:val="16"/>
                <w:szCs w:val="16"/>
              </w:rPr>
            </w:pPr>
            <w:r>
              <w:rPr>
                <w:rFonts w:ascii="Arial" w:hAnsi="Arial" w:cs="Arial"/>
                <w:color w:val="auto"/>
                <w:sz w:val="16"/>
                <w:szCs w:val="16"/>
              </w:rPr>
              <w:t>100.0</w:t>
            </w:r>
            <w:r w:rsidR="004C402F" w:rsidRPr="003C0E70">
              <w:rPr>
                <w:rFonts w:ascii="Arial" w:hAnsi="Arial" w:cs="Arial"/>
                <w:color w:val="auto"/>
                <w:sz w:val="16"/>
                <w:szCs w:val="16"/>
              </w:rPr>
              <w:t>%</w:t>
            </w:r>
          </w:p>
        </w:tc>
        <w:tc>
          <w:tcPr>
            <w:tcW w:w="3800" w:type="dxa"/>
            <w:tcBorders>
              <w:top w:val="dotted" w:sz="4" w:space="0" w:color="auto"/>
              <w:bottom w:val="dotted" w:sz="4" w:space="0" w:color="auto"/>
            </w:tcBorders>
            <w:shd w:val="clear" w:color="auto" w:fill="auto"/>
            <w:hideMark/>
          </w:tcPr>
          <w:p w14:paraId="74682964" w14:textId="77777777" w:rsidR="004C402F" w:rsidRPr="003C0E70" w:rsidRDefault="004C402F" w:rsidP="00CC3A7A">
            <w:pPr>
              <w:spacing w:before="60" w:after="60" w:line="240" w:lineRule="auto"/>
              <w:jc w:val="left"/>
              <w:rPr>
                <w:rFonts w:ascii="Arial" w:hAnsi="Arial" w:cs="Arial"/>
                <w:bCs/>
                <w:sz w:val="16"/>
                <w:szCs w:val="16"/>
              </w:rPr>
            </w:pPr>
          </w:p>
        </w:tc>
      </w:tr>
    </w:tbl>
    <w:p w14:paraId="6A4A852E" w14:textId="77777777" w:rsidR="0089568D" w:rsidRDefault="0089568D" w:rsidP="0089568D">
      <w:pPr>
        <w:pStyle w:val="SingleParagraph"/>
      </w:pPr>
    </w:p>
    <w:p w14:paraId="33316F7A" w14:textId="4AE10176" w:rsidR="003E5D7C" w:rsidRPr="002C61E5" w:rsidRDefault="003E5D7C" w:rsidP="002C61E5">
      <w:pPr>
        <w:rPr>
          <w:color w:val="auto"/>
        </w:rPr>
      </w:pPr>
      <w:r w:rsidRPr="002C61E5">
        <w:rPr>
          <w:color w:val="auto"/>
        </w:rPr>
        <w:t>Information from community members makes up over half of the items received for investigation. Although it is a valuable source of intel</w:t>
      </w:r>
      <w:r w:rsidR="00D21D4E">
        <w:rPr>
          <w:color w:val="auto"/>
        </w:rPr>
        <w:t xml:space="preserve">ligence for the </w:t>
      </w:r>
      <w:proofErr w:type="spellStart"/>
      <w:r w:rsidR="00D21D4E">
        <w:rPr>
          <w:color w:val="auto"/>
        </w:rPr>
        <w:t>ATO</w:t>
      </w:r>
      <w:proofErr w:type="spellEnd"/>
      <w:r w:rsidR="00D21D4E">
        <w:rPr>
          <w:color w:val="auto"/>
        </w:rPr>
        <w:t>, less than one per </w:t>
      </w:r>
      <w:r w:rsidR="00854C21" w:rsidRPr="002C61E5">
        <w:rPr>
          <w:color w:val="auto"/>
        </w:rPr>
        <w:t>cent of</w:t>
      </w:r>
      <w:r w:rsidRPr="002C61E5">
        <w:rPr>
          <w:color w:val="auto"/>
        </w:rPr>
        <w:t xml:space="preserve"> investigations arising from community information </w:t>
      </w:r>
      <w:r w:rsidR="000F7F92">
        <w:rPr>
          <w:color w:val="auto"/>
        </w:rPr>
        <w:t>involve</w:t>
      </w:r>
      <w:r w:rsidRPr="002C61E5">
        <w:rPr>
          <w:color w:val="auto"/>
        </w:rPr>
        <w:t xml:space="preserve"> a breach of the Act. In most cases, the owners of the properties reported by community members are Australian citizens or permanent residents and </w:t>
      </w:r>
      <w:r w:rsidR="00127638" w:rsidRPr="002C61E5">
        <w:rPr>
          <w:color w:val="auto"/>
        </w:rPr>
        <w:t xml:space="preserve">are </w:t>
      </w:r>
      <w:r w:rsidR="00FE329F">
        <w:rPr>
          <w:color w:val="auto"/>
        </w:rPr>
        <w:t>exempt from the Act.</w:t>
      </w:r>
    </w:p>
    <w:p w14:paraId="51338C07" w14:textId="3FF0A14A" w:rsidR="00AE399C" w:rsidRPr="004529C9" w:rsidRDefault="00AE399C" w:rsidP="00115593">
      <w:pPr>
        <w:pStyle w:val="TableHeading"/>
      </w:pPr>
      <w:r w:rsidRPr="004529C9">
        <w:t xml:space="preserve">Table </w:t>
      </w:r>
      <w:r w:rsidR="00FE329F" w:rsidRPr="004529C9">
        <w:t>4.3</w:t>
      </w:r>
      <w:r w:rsidRPr="004529C9">
        <w:t xml:space="preserve">: Outcomes </w:t>
      </w:r>
      <w:r w:rsidR="001A3655" w:rsidRPr="004529C9">
        <w:t>of investigations in 2015</w:t>
      </w:r>
      <w:r w:rsidR="008205A1">
        <w:noBreakHyphen/>
      </w:r>
      <w:r w:rsidR="001A3655" w:rsidRPr="004529C9">
        <w:t xml:space="preserve">16 by </w:t>
      </w:r>
      <w:r w:rsidRPr="004529C9">
        <w:t>source</w:t>
      </w:r>
    </w:p>
    <w:tbl>
      <w:tblPr>
        <w:tblW w:w="7877" w:type="dxa"/>
        <w:tblBorders>
          <w:top w:val="single" w:sz="12" w:space="0" w:color="000000"/>
          <w:bottom w:val="single" w:sz="12" w:space="0" w:color="000000"/>
        </w:tblBorders>
        <w:tblLook w:val="04A0" w:firstRow="1" w:lastRow="0" w:firstColumn="1" w:lastColumn="0" w:noHBand="0" w:noVBand="1"/>
      </w:tblPr>
      <w:tblGrid>
        <w:gridCol w:w="4503"/>
        <w:gridCol w:w="2126"/>
        <w:gridCol w:w="1248"/>
      </w:tblGrid>
      <w:tr w:rsidR="00AE399C" w:rsidRPr="00A75FA9" w14:paraId="0A5A73E8" w14:textId="77777777" w:rsidTr="0089568D">
        <w:trPr>
          <w:trHeight w:val="300"/>
        </w:trPr>
        <w:tc>
          <w:tcPr>
            <w:tcW w:w="4503" w:type="dxa"/>
            <w:tcBorders>
              <w:top w:val="dotted" w:sz="4" w:space="0" w:color="auto"/>
              <w:left w:val="single" w:sz="4" w:space="0" w:color="FFFFFF" w:themeColor="background1"/>
              <w:bottom w:val="dotted" w:sz="4" w:space="0" w:color="auto"/>
              <w:right w:val="nil"/>
            </w:tcBorders>
            <w:shd w:val="clear" w:color="auto" w:fill="auto"/>
            <w:noWrap/>
            <w:hideMark/>
          </w:tcPr>
          <w:p w14:paraId="418FCCDF" w14:textId="77777777" w:rsidR="00AE399C" w:rsidRPr="00122AC6" w:rsidRDefault="00AE399C" w:rsidP="00CC3A7A">
            <w:pPr>
              <w:spacing w:before="60" w:after="60" w:line="240" w:lineRule="auto"/>
              <w:jc w:val="left"/>
              <w:rPr>
                <w:rFonts w:ascii="Arial" w:hAnsi="Arial" w:cs="Arial"/>
                <w:bCs/>
                <w:iCs/>
                <w:sz w:val="16"/>
                <w:szCs w:val="16"/>
              </w:rPr>
            </w:pPr>
            <w:r w:rsidRPr="00122AC6">
              <w:rPr>
                <w:rFonts w:ascii="Arial" w:hAnsi="Arial" w:cs="Arial"/>
                <w:bCs/>
                <w:iCs/>
                <w:sz w:val="16"/>
                <w:szCs w:val="16"/>
              </w:rPr>
              <w:t xml:space="preserve">Source </w:t>
            </w:r>
          </w:p>
        </w:tc>
        <w:tc>
          <w:tcPr>
            <w:tcW w:w="2126" w:type="dxa"/>
            <w:tcBorders>
              <w:top w:val="dotted" w:sz="4" w:space="0" w:color="auto"/>
              <w:left w:val="nil"/>
              <w:bottom w:val="dotted" w:sz="4" w:space="0" w:color="auto"/>
            </w:tcBorders>
            <w:shd w:val="clear" w:color="auto" w:fill="auto"/>
            <w:noWrap/>
            <w:hideMark/>
          </w:tcPr>
          <w:p w14:paraId="44B3692B" w14:textId="0691F5A1" w:rsidR="00AE399C" w:rsidRPr="00122AC6" w:rsidRDefault="00AE399C" w:rsidP="00CC3A7A">
            <w:pPr>
              <w:spacing w:before="60" w:after="60" w:line="240" w:lineRule="auto"/>
              <w:jc w:val="right"/>
              <w:rPr>
                <w:rFonts w:ascii="Arial" w:hAnsi="Arial" w:cs="Arial"/>
                <w:bCs/>
                <w:iCs/>
                <w:sz w:val="16"/>
                <w:szCs w:val="16"/>
              </w:rPr>
            </w:pPr>
            <w:r w:rsidRPr="00122AC6">
              <w:rPr>
                <w:rFonts w:ascii="Arial" w:hAnsi="Arial" w:cs="Arial"/>
                <w:bCs/>
                <w:iCs/>
                <w:sz w:val="16"/>
                <w:szCs w:val="16"/>
              </w:rPr>
              <w:t>No. of  completed investigations</w:t>
            </w:r>
          </w:p>
        </w:tc>
        <w:tc>
          <w:tcPr>
            <w:tcW w:w="1248" w:type="dxa"/>
            <w:tcBorders>
              <w:top w:val="dotted" w:sz="4" w:space="0" w:color="auto"/>
              <w:bottom w:val="dotted" w:sz="4" w:space="0" w:color="auto"/>
              <w:right w:val="single" w:sz="4" w:space="0" w:color="FFFFFF" w:themeColor="background1"/>
            </w:tcBorders>
            <w:shd w:val="clear" w:color="auto" w:fill="auto"/>
            <w:noWrap/>
            <w:hideMark/>
          </w:tcPr>
          <w:p w14:paraId="31D66E83" w14:textId="2F734410" w:rsidR="00AE399C" w:rsidRPr="00122AC6" w:rsidRDefault="004F3E4D" w:rsidP="00CC3A7A">
            <w:pPr>
              <w:spacing w:before="60" w:after="60" w:line="240" w:lineRule="auto"/>
              <w:jc w:val="right"/>
              <w:rPr>
                <w:rFonts w:ascii="Arial" w:hAnsi="Arial" w:cs="Arial"/>
                <w:bCs/>
                <w:iCs/>
                <w:sz w:val="16"/>
                <w:szCs w:val="16"/>
              </w:rPr>
            </w:pPr>
            <w:r w:rsidRPr="00122AC6">
              <w:rPr>
                <w:rFonts w:ascii="Arial" w:hAnsi="Arial" w:cs="Arial"/>
                <w:bCs/>
                <w:iCs/>
                <w:sz w:val="16"/>
                <w:szCs w:val="16"/>
              </w:rPr>
              <w:t>No. of breaches</w:t>
            </w:r>
          </w:p>
        </w:tc>
      </w:tr>
      <w:tr w:rsidR="00AE399C" w:rsidRPr="00A75FA9" w14:paraId="0749EEAF" w14:textId="77777777" w:rsidTr="006F5BF5">
        <w:trPr>
          <w:trHeight w:val="300"/>
        </w:trPr>
        <w:tc>
          <w:tcPr>
            <w:tcW w:w="4503" w:type="dxa"/>
            <w:tcBorders>
              <w:top w:val="dotted" w:sz="4" w:space="0" w:color="auto"/>
              <w:bottom w:val="nil"/>
              <w:right w:val="nil"/>
            </w:tcBorders>
            <w:shd w:val="clear" w:color="auto" w:fill="auto"/>
            <w:noWrap/>
            <w:hideMark/>
          </w:tcPr>
          <w:p w14:paraId="4B1D365D" w14:textId="2809C727" w:rsidR="00AE399C" w:rsidRPr="00A75FA9" w:rsidRDefault="00AE399C" w:rsidP="00326819">
            <w:pPr>
              <w:spacing w:before="60" w:after="60" w:line="240" w:lineRule="auto"/>
              <w:jc w:val="left"/>
              <w:rPr>
                <w:rFonts w:ascii="Arial" w:hAnsi="Arial" w:cs="Arial"/>
                <w:bCs/>
                <w:sz w:val="16"/>
                <w:szCs w:val="16"/>
              </w:rPr>
            </w:pPr>
            <w:r w:rsidRPr="00A75FA9">
              <w:rPr>
                <w:rFonts w:ascii="Arial" w:hAnsi="Arial" w:cs="Arial"/>
                <w:bCs/>
                <w:sz w:val="16"/>
                <w:szCs w:val="16"/>
              </w:rPr>
              <w:t xml:space="preserve">Community </w:t>
            </w:r>
            <w:r w:rsidR="00326819">
              <w:rPr>
                <w:rFonts w:ascii="Arial" w:hAnsi="Arial" w:cs="Arial"/>
                <w:bCs/>
                <w:sz w:val="16"/>
                <w:szCs w:val="16"/>
              </w:rPr>
              <w:t>i</w:t>
            </w:r>
            <w:r w:rsidRPr="00A75FA9">
              <w:rPr>
                <w:rFonts w:ascii="Arial" w:hAnsi="Arial" w:cs="Arial"/>
                <w:bCs/>
                <w:sz w:val="16"/>
                <w:szCs w:val="16"/>
              </w:rPr>
              <w:t xml:space="preserve">nformation </w:t>
            </w:r>
          </w:p>
        </w:tc>
        <w:tc>
          <w:tcPr>
            <w:tcW w:w="2126" w:type="dxa"/>
            <w:tcBorders>
              <w:top w:val="dotted" w:sz="4" w:space="0" w:color="auto"/>
              <w:left w:val="nil"/>
            </w:tcBorders>
            <w:shd w:val="clear" w:color="auto" w:fill="auto"/>
            <w:noWrap/>
            <w:hideMark/>
          </w:tcPr>
          <w:p w14:paraId="3ABB78A2" w14:textId="125E4F33" w:rsidR="00AE399C" w:rsidRPr="00A75FA9" w:rsidRDefault="00AE399C" w:rsidP="000F7F92">
            <w:pPr>
              <w:spacing w:before="60" w:after="60" w:line="240" w:lineRule="auto"/>
              <w:jc w:val="right"/>
              <w:rPr>
                <w:rFonts w:ascii="Arial" w:hAnsi="Arial" w:cs="Arial"/>
                <w:bCs/>
                <w:sz w:val="16"/>
                <w:szCs w:val="16"/>
              </w:rPr>
            </w:pPr>
            <w:r w:rsidRPr="00A75FA9">
              <w:rPr>
                <w:rFonts w:ascii="Arial" w:hAnsi="Arial" w:cs="Arial"/>
                <w:bCs/>
                <w:sz w:val="16"/>
                <w:szCs w:val="16"/>
              </w:rPr>
              <w:t>1</w:t>
            </w:r>
            <w:r w:rsidR="00701119">
              <w:rPr>
                <w:rFonts w:ascii="Arial" w:hAnsi="Arial" w:cs="Arial"/>
                <w:bCs/>
                <w:sz w:val="16"/>
                <w:szCs w:val="16"/>
              </w:rPr>
              <w:t>,</w:t>
            </w:r>
            <w:r w:rsidRPr="00A75FA9">
              <w:rPr>
                <w:rFonts w:ascii="Arial" w:hAnsi="Arial" w:cs="Arial"/>
                <w:bCs/>
                <w:sz w:val="16"/>
                <w:szCs w:val="16"/>
              </w:rPr>
              <w:t>0</w:t>
            </w:r>
            <w:r w:rsidR="000F7F92">
              <w:rPr>
                <w:rFonts w:ascii="Arial" w:hAnsi="Arial" w:cs="Arial"/>
                <w:bCs/>
                <w:sz w:val="16"/>
                <w:szCs w:val="16"/>
              </w:rPr>
              <w:t>94</w:t>
            </w:r>
          </w:p>
        </w:tc>
        <w:tc>
          <w:tcPr>
            <w:tcW w:w="1248" w:type="dxa"/>
            <w:tcBorders>
              <w:top w:val="dotted" w:sz="4" w:space="0" w:color="auto"/>
            </w:tcBorders>
            <w:shd w:val="clear" w:color="auto" w:fill="auto"/>
            <w:noWrap/>
            <w:hideMark/>
          </w:tcPr>
          <w:p w14:paraId="450FB971" w14:textId="0BE8473A" w:rsidR="00AE399C" w:rsidRPr="00A75FA9" w:rsidRDefault="001A3655" w:rsidP="001A3655">
            <w:pPr>
              <w:spacing w:before="60" w:after="60" w:line="240" w:lineRule="auto"/>
              <w:jc w:val="right"/>
              <w:rPr>
                <w:rFonts w:ascii="Arial" w:hAnsi="Arial" w:cs="Arial"/>
                <w:bCs/>
                <w:sz w:val="16"/>
                <w:szCs w:val="16"/>
              </w:rPr>
            </w:pPr>
            <w:r>
              <w:rPr>
                <w:rFonts w:ascii="Arial" w:hAnsi="Arial" w:cs="Arial"/>
                <w:bCs/>
                <w:sz w:val="16"/>
                <w:szCs w:val="16"/>
              </w:rPr>
              <w:t>9</w:t>
            </w:r>
          </w:p>
        </w:tc>
      </w:tr>
      <w:tr w:rsidR="00AE399C" w:rsidRPr="00A75FA9" w14:paraId="25D889EF" w14:textId="77777777" w:rsidTr="006F5BF5">
        <w:trPr>
          <w:trHeight w:val="300"/>
        </w:trPr>
        <w:tc>
          <w:tcPr>
            <w:tcW w:w="4503" w:type="dxa"/>
            <w:tcBorders>
              <w:top w:val="nil"/>
              <w:bottom w:val="nil"/>
              <w:right w:val="nil"/>
            </w:tcBorders>
            <w:shd w:val="clear" w:color="auto" w:fill="auto"/>
            <w:noWrap/>
            <w:hideMark/>
          </w:tcPr>
          <w:p w14:paraId="3A565FC1" w14:textId="01C261CE" w:rsidR="00AE399C" w:rsidRPr="00A75FA9" w:rsidRDefault="00AE399C" w:rsidP="00326819">
            <w:pPr>
              <w:spacing w:before="60" w:after="60" w:line="240" w:lineRule="auto"/>
              <w:jc w:val="left"/>
              <w:rPr>
                <w:rFonts w:ascii="Arial" w:hAnsi="Arial" w:cs="Arial"/>
                <w:bCs/>
                <w:sz w:val="16"/>
                <w:szCs w:val="16"/>
              </w:rPr>
            </w:pPr>
            <w:proofErr w:type="spellStart"/>
            <w:r w:rsidRPr="00A75FA9">
              <w:rPr>
                <w:rFonts w:ascii="Arial" w:hAnsi="Arial" w:cs="Arial"/>
                <w:bCs/>
                <w:sz w:val="16"/>
                <w:szCs w:val="16"/>
              </w:rPr>
              <w:t xml:space="preserve">Self </w:t>
            </w:r>
            <w:r w:rsidR="00326819">
              <w:rPr>
                <w:rFonts w:ascii="Arial" w:hAnsi="Arial" w:cs="Arial"/>
                <w:bCs/>
                <w:sz w:val="16"/>
                <w:szCs w:val="16"/>
              </w:rPr>
              <w:t>d</w:t>
            </w:r>
            <w:r w:rsidRPr="00A75FA9">
              <w:rPr>
                <w:rFonts w:ascii="Arial" w:hAnsi="Arial" w:cs="Arial"/>
                <w:bCs/>
                <w:sz w:val="16"/>
                <w:szCs w:val="16"/>
              </w:rPr>
              <w:t>isclosure</w:t>
            </w:r>
            <w:proofErr w:type="spellEnd"/>
            <w:r w:rsidRPr="00A75FA9">
              <w:rPr>
                <w:rFonts w:ascii="Arial" w:hAnsi="Arial" w:cs="Arial"/>
                <w:bCs/>
                <w:sz w:val="16"/>
                <w:szCs w:val="16"/>
              </w:rPr>
              <w:t xml:space="preserve"> </w:t>
            </w:r>
          </w:p>
        </w:tc>
        <w:tc>
          <w:tcPr>
            <w:tcW w:w="2126" w:type="dxa"/>
            <w:tcBorders>
              <w:left w:val="nil"/>
            </w:tcBorders>
            <w:shd w:val="clear" w:color="auto" w:fill="auto"/>
            <w:noWrap/>
            <w:hideMark/>
          </w:tcPr>
          <w:p w14:paraId="1EA44116" w14:textId="354F61BB" w:rsidR="00AE399C" w:rsidRPr="00A75FA9" w:rsidRDefault="001A3655" w:rsidP="001A3655">
            <w:pPr>
              <w:spacing w:before="60" w:after="60" w:line="240" w:lineRule="auto"/>
              <w:jc w:val="right"/>
              <w:rPr>
                <w:rFonts w:ascii="Arial" w:hAnsi="Arial" w:cs="Arial"/>
                <w:bCs/>
                <w:sz w:val="16"/>
                <w:szCs w:val="16"/>
              </w:rPr>
            </w:pPr>
            <w:r>
              <w:rPr>
                <w:rFonts w:ascii="Arial" w:hAnsi="Arial" w:cs="Arial"/>
                <w:bCs/>
                <w:sz w:val="16"/>
                <w:szCs w:val="16"/>
              </w:rPr>
              <w:t>336</w:t>
            </w:r>
          </w:p>
        </w:tc>
        <w:tc>
          <w:tcPr>
            <w:tcW w:w="1248" w:type="dxa"/>
            <w:shd w:val="clear" w:color="auto" w:fill="auto"/>
            <w:noWrap/>
            <w:hideMark/>
          </w:tcPr>
          <w:p w14:paraId="1E61B7E5" w14:textId="77777777" w:rsidR="00AE399C" w:rsidRPr="00A75FA9" w:rsidRDefault="00AE399C" w:rsidP="00CC3A7A">
            <w:pPr>
              <w:spacing w:before="60" w:after="60" w:line="240" w:lineRule="auto"/>
              <w:jc w:val="right"/>
              <w:rPr>
                <w:rFonts w:ascii="Arial" w:hAnsi="Arial" w:cs="Arial"/>
                <w:bCs/>
                <w:sz w:val="16"/>
                <w:szCs w:val="16"/>
              </w:rPr>
            </w:pPr>
            <w:r w:rsidRPr="00A75FA9">
              <w:rPr>
                <w:rFonts w:ascii="Arial" w:hAnsi="Arial" w:cs="Arial"/>
                <w:bCs/>
                <w:sz w:val="16"/>
                <w:szCs w:val="16"/>
              </w:rPr>
              <w:t>222</w:t>
            </w:r>
          </w:p>
        </w:tc>
      </w:tr>
      <w:tr w:rsidR="00AE399C" w:rsidRPr="00A75FA9" w14:paraId="006597EF" w14:textId="77777777" w:rsidTr="006F5BF5">
        <w:trPr>
          <w:trHeight w:val="300"/>
        </w:trPr>
        <w:tc>
          <w:tcPr>
            <w:tcW w:w="4503" w:type="dxa"/>
            <w:tcBorders>
              <w:top w:val="nil"/>
              <w:bottom w:val="dotted" w:sz="4" w:space="0" w:color="auto"/>
              <w:right w:val="nil"/>
            </w:tcBorders>
            <w:shd w:val="clear" w:color="auto" w:fill="auto"/>
            <w:noWrap/>
            <w:hideMark/>
          </w:tcPr>
          <w:p w14:paraId="7F306312" w14:textId="77777777" w:rsidR="00AE399C" w:rsidRPr="00A75FA9" w:rsidRDefault="00AE399C" w:rsidP="00CC3A7A">
            <w:pPr>
              <w:spacing w:before="60" w:after="60" w:line="240" w:lineRule="auto"/>
              <w:jc w:val="left"/>
              <w:rPr>
                <w:rFonts w:ascii="Arial" w:hAnsi="Arial" w:cs="Arial"/>
                <w:bCs/>
                <w:sz w:val="16"/>
                <w:szCs w:val="16"/>
              </w:rPr>
            </w:pPr>
            <w:r w:rsidRPr="00A75FA9">
              <w:rPr>
                <w:rFonts w:ascii="Arial" w:hAnsi="Arial" w:cs="Arial"/>
                <w:bCs/>
                <w:sz w:val="16"/>
                <w:szCs w:val="16"/>
              </w:rPr>
              <w:t xml:space="preserve">Other referrals and </w:t>
            </w:r>
            <w:proofErr w:type="spellStart"/>
            <w:r w:rsidRPr="00A75FA9">
              <w:rPr>
                <w:rFonts w:ascii="Arial" w:hAnsi="Arial" w:cs="Arial"/>
                <w:bCs/>
                <w:sz w:val="16"/>
                <w:szCs w:val="16"/>
              </w:rPr>
              <w:t>datamatching</w:t>
            </w:r>
            <w:proofErr w:type="spellEnd"/>
          </w:p>
        </w:tc>
        <w:tc>
          <w:tcPr>
            <w:tcW w:w="2126" w:type="dxa"/>
            <w:tcBorders>
              <w:left w:val="nil"/>
              <w:bottom w:val="dotted" w:sz="4" w:space="0" w:color="auto"/>
            </w:tcBorders>
            <w:shd w:val="clear" w:color="auto" w:fill="auto"/>
            <w:noWrap/>
            <w:hideMark/>
          </w:tcPr>
          <w:p w14:paraId="7E55B427" w14:textId="272D7EA5" w:rsidR="00AE399C" w:rsidRPr="00A75FA9" w:rsidRDefault="001A3655" w:rsidP="001A3655">
            <w:pPr>
              <w:spacing w:before="60" w:after="60" w:line="240" w:lineRule="auto"/>
              <w:jc w:val="right"/>
              <w:rPr>
                <w:rFonts w:ascii="Arial" w:hAnsi="Arial" w:cs="Arial"/>
                <w:bCs/>
                <w:sz w:val="16"/>
                <w:szCs w:val="16"/>
              </w:rPr>
            </w:pPr>
            <w:r>
              <w:rPr>
                <w:rFonts w:ascii="Arial" w:hAnsi="Arial" w:cs="Arial"/>
                <w:bCs/>
                <w:sz w:val="16"/>
                <w:szCs w:val="16"/>
              </w:rPr>
              <w:t>206</w:t>
            </w:r>
          </w:p>
        </w:tc>
        <w:tc>
          <w:tcPr>
            <w:tcW w:w="1248" w:type="dxa"/>
            <w:tcBorders>
              <w:bottom w:val="dotted" w:sz="4" w:space="0" w:color="auto"/>
            </w:tcBorders>
            <w:shd w:val="clear" w:color="auto" w:fill="auto"/>
            <w:noWrap/>
            <w:hideMark/>
          </w:tcPr>
          <w:p w14:paraId="38ED3DB8" w14:textId="77777777" w:rsidR="00AE399C" w:rsidRPr="00A75FA9" w:rsidRDefault="00AE399C" w:rsidP="00CC3A7A">
            <w:pPr>
              <w:spacing w:before="60" w:after="60" w:line="240" w:lineRule="auto"/>
              <w:jc w:val="right"/>
              <w:rPr>
                <w:rFonts w:ascii="Arial" w:hAnsi="Arial" w:cs="Arial"/>
                <w:bCs/>
                <w:sz w:val="16"/>
                <w:szCs w:val="16"/>
              </w:rPr>
            </w:pPr>
            <w:r w:rsidRPr="00A75FA9">
              <w:rPr>
                <w:rFonts w:ascii="Arial" w:hAnsi="Arial" w:cs="Arial"/>
                <w:bCs/>
                <w:sz w:val="16"/>
                <w:szCs w:val="16"/>
              </w:rPr>
              <w:t>29</w:t>
            </w:r>
          </w:p>
        </w:tc>
      </w:tr>
      <w:tr w:rsidR="00AE399C" w:rsidRPr="00A75FA9" w14:paraId="10DE0FD0" w14:textId="77777777" w:rsidTr="006F5BF5">
        <w:trPr>
          <w:trHeight w:val="300"/>
        </w:trPr>
        <w:tc>
          <w:tcPr>
            <w:tcW w:w="4503" w:type="dxa"/>
            <w:tcBorders>
              <w:top w:val="dotted" w:sz="4" w:space="0" w:color="auto"/>
              <w:bottom w:val="dotted" w:sz="4" w:space="0" w:color="auto"/>
              <w:right w:val="nil"/>
            </w:tcBorders>
            <w:shd w:val="clear" w:color="auto" w:fill="auto"/>
            <w:noWrap/>
            <w:hideMark/>
          </w:tcPr>
          <w:p w14:paraId="5482685E" w14:textId="77777777" w:rsidR="00AE399C" w:rsidRPr="003C0E70" w:rsidRDefault="00AE399C" w:rsidP="00CC3A7A">
            <w:pPr>
              <w:spacing w:before="60" w:after="60" w:line="240" w:lineRule="auto"/>
              <w:jc w:val="left"/>
              <w:rPr>
                <w:rFonts w:ascii="Arial" w:hAnsi="Arial" w:cs="Arial"/>
                <w:bCs/>
                <w:sz w:val="16"/>
                <w:szCs w:val="16"/>
              </w:rPr>
            </w:pPr>
            <w:r w:rsidRPr="003C0E70">
              <w:rPr>
                <w:rFonts w:ascii="Arial" w:hAnsi="Arial" w:cs="Arial"/>
                <w:bCs/>
                <w:sz w:val="16"/>
                <w:szCs w:val="16"/>
              </w:rPr>
              <w:t xml:space="preserve">Total </w:t>
            </w:r>
          </w:p>
        </w:tc>
        <w:tc>
          <w:tcPr>
            <w:tcW w:w="2126" w:type="dxa"/>
            <w:tcBorders>
              <w:top w:val="dotted" w:sz="4" w:space="0" w:color="auto"/>
              <w:left w:val="nil"/>
              <w:bottom w:val="dotted" w:sz="4" w:space="0" w:color="auto"/>
            </w:tcBorders>
            <w:shd w:val="clear" w:color="auto" w:fill="auto"/>
            <w:noWrap/>
            <w:hideMark/>
          </w:tcPr>
          <w:p w14:paraId="29EAAF00" w14:textId="268C921D" w:rsidR="00AE399C" w:rsidRPr="003C0E70" w:rsidRDefault="00AE399C" w:rsidP="001A3655">
            <w:pPr>
              <w:spacing w:before="60" w:after="60" w:line="240" w:lineRule="auto"/>
              <w:jc w:val="right"/>
              <w:rPr>
                <w:rFonts w:ascii="Arial" w:hAnsi="Arial" w:cs="Arial"/>
                <w:bCs/>
                <w:sz w:val="16"/>
                <w:szCs w:val="16"/>
              </w:rPr>
            </w:pPr>
            <w:r w:rsidRPr="003C0E70">
              <w:rPr>
                <w:rFonts w:ascii="Arial" w:hAnsi="Arial" w:cs="Arial"/>
                <w:bCs/>
                <w:sz w:val="16"/>
                <w:szCs w:val="16"/>
              </w:rPr>
              <w:t>1</w:t>
            </w:r>
            <w:r w:rsidR="001A3655" w:rsidRPr="003C0E70">
              <w:rPr>
                <w:rFonts w:ascii="Arial" w:hAnsi="Arial" w:cs="Arial"/>
                <w:bCs/>
                <w:sz w:val="16"/>
                <w:szCs w:val="16"/>
              </w:rPr>
              <w:t>,636</w:t>
            </w:r>
          </w:p>
        </w:tc>
        <w:tc>
          <w:tcPr>
            <w:tcW w:w="1248" w:type="dxa"/>
            <w:tcBorders>
              <w:top w:val="dotted" w:sz="4" w:space="0" w:color="auto"/>
              <w:bottom w:val="dotted" w:sz="4" w:space="0" w:color="auto"/>
            </w:tcBorders>
            <w:shd w:val="clear" w:color="auto" w:fill="auto"/>
            <w:noWrap/>
            <w:hideMark/>
          </w:tcPr>
          <w:p w14:paraId="2B48547D" w14:textId="434720C0" w:rsidR="00AE399C" w:rsidRPr="003C0E70" w:rsidRDefault="00AE399C" w:rsidP="001A3655">
            <w:pPr>
              <w:spacing w:before="60" w:after="60" w:line="240" w:lineRule="auto"/>
              <w:jc w:val="right"/>
              <w:rPr>
                <w:rFonts w:ascii="Arial" w:hAnsi="Arial" w:cs="Arial"/>
                <w:bCs/>
                <w:sz w:val="16"/>
                <w:szCs w:val="16"/>
              </w:rPr>
            </w:pPr>
            <w:r w:rsidRPr="003C0E70">
              <w:rPr>
                <w:rFonts w:ascii="Arial" w:hAnsi="Arial" w:cs="Arial"/>
                <w:bCs/>
                <w:sz w:val="16"/>
                <w:szCs w:val="16"/>
              </w:rPr>
              <w:t>26</w:t>
            </w:r>
            <w:r w:rsidR="001A3655" w:rsidRPr="003C0E70">
              <w:rPr>
                <w:rFonts w:ascii="Arial" w:hAnsi="Arial" w:cs="Arial"/>
                <w:bCs/>
                <w:sz w:val="16"/>
                <w:szCs w:val="16"/>
              </w:rPr>
              <w:t>0</w:t>
            </w:r>
          </w:p>
        </w:tc>
      </w:tr>
    </w:tbl>
    <w:p w14:paraId="50984FD8" w14:textId="77777777" w:rsidR="0089568D" w:rsidRDefault="0089568D" w:rsidP="0089568D">
      <w:pPr>
        <w:pStyle w:val="SingleParagraph"/>
      </w:pPr>
    </w:p>
    <w:p w14:paraId="5F6307C5" w14:textId="2DDDB1A9" w:rsidR="004C402F" w:rsidRPr="002C61E5" w:rsidRDefault="00FB57DC" w:rsidP="002C61E5">
      <w:pPr>
        <w:pStyle w:val="Heading3"/>
        <w:spacing w:before="240"/>
        <w:rPr>
          <w:rFonts w:asciiTheme="minorHAnsi" w:hAnsiTheme="minorHAnsi"/>
          <w:smallCaps/>
        </w:rPr>
      </w:pPr>
      <w:r w:rsidRPr="002C61E5">
        <w:rPr>
          <w:rFonts w:asciiTheme="minorHAnsi" w:hAnsiTheme="minorHAnsi"/>
        </w:rPr>
        <w:t xml:space="preserve">Reduced penalty </w:t>
      </w:r>
      <w:r w:rsidR="004C402F" w:rsidRPr="002C61E5">
        <w:rPr>
          <w:rFonts w:asciiTheme="minorHAnsi" w:hAnsiTheme="minorHAnsi"/>
        </w:rPr>
        <w:t>period outcomes</w:t>
      </w:r>
    </w:p>
    <w:p w14:paraId="57443398" w14:textId="643459C4" w:rsidR="00192E7B" w:rsidRPr="002C61E5" w:rsidRDefault="003453DB" w:rsidP="002C61E5">
      <w:pPr>
        <w:rPr>
          <w:color w:val="auto"/>
        </w:rPr>
      </w:pPr>
      <w:r w:rsidRPr="002C61E5">
        <w:rPr>
          <w:color w:val="auto"/>
        </w:rPr>
        <w:t>A</w:t>
      </w:r>
      <w:r w:rsidR="00192E7B" w:rsidRPr="002C61E5">
        <w:rPr>
          <w:color w:val="auto"/>
        </w:rPr>
        <w:t xml:space="preserve"> reduced penalty period was in place from 2 May 2015 to 30 Nov</w:t>
      </w:r>
      <w:r w:rsidR="00FC248E" w:rsidRPr="002C61E5">
        <w:rPr>
          <w:color w:val="auto"/>
        </w:rPr>
        <w:t>ember</w:t>
      </w:r>
      <w:r w:rsidR="00192E7B" w:rsidRPr="002C61E5">
        <w:rPr>
          <w:color w:val="auto"/>
        </w:rPr>
        <w:t> 2015</w:t>
      </w:r>
      <w:r w:rsidR="00FC248E" w:rsidRPr="002C61E5">
        <w:rPr>
          <w:color w:val="auto"/>
        </w:rPr>
        <w:t>.</w:t>
      </w:r>
      <w:r w:rsidR="00192E7B" w:rsidRPr="002C61E5">
        <w:rPr>
          <w:color w:val="auto"/>
        </w:rPr>
        <w:t xml:space="preserve"> This period was to encourage investors to </w:t>
      </w:r>
      <w:r w:rsidR="00326819">
        <w:rPr>
          <w:color w:val="auto"/>
        </w:rPr>
        <w:t>declare</w:t>
      </w:r>
      <w:r w:rsidR="00192E7B" w:rsidRPr="002C61E5">
        <w:rPr>
          <w:color w:val="auto"/>
        </w:rPr>
        <w:t xml:space="preserve"> existing breaches of the foreign investment rules. </w:t>
      </w:r>
      <w:r w:rsidRPr="002C61E5">
        <w:rPr>
          <w:color w:val="auto"/>
        </w:rPr>
        <w:t xml:space="preserve">The reduced penalties </w:t>
      </w:r>
      <w:r w:rsidR="00C577EA">
        <w:rPr>
          <w:color w:val="auto"/>
        </w:rPr>
        <w:t>allow</w:t>
      </w:r>
      <w:r w:rsidR="00326819">
        <w:rPr>
          <w:color w:val="auto"/>
        </w:rPr>
        <w:t>ed</w:t>
      </w:r>
      <w:r w:rsidR="00C577EA">
        <w:rPr>
          <w:color w:val="auto"/>
        </w:rPr>
        <w:t xml:space="preserve"> investors</w:t>
      </w:r>
      <w:r w:rsidRPr="002C61E5">
        <w:rPr>
          <w:color w:val="auto"/>
        </w:rPr>
        <w:t xml:space="preserve"> 12 months to divest</w:t>
      </w:r>
      <w:r w:rsidR="00C577EA">
        <w:rPr>
          <w:color w:val="auto"/>
        </w:rPr>
        <w:t xml:space="preserve"> their illegally held</w:t>
      </w:r>
      <w:r w:rsidRPr="002C61E5">
        <w:rPr>
          <w:color w:val="auto"/>
        </w:rPr>
        <w:t xml:space="preserve"> properties</w:t>
      </w:r>
      <w:r w:rsidR="00326819">
        <w:rPr>
          <w:color w:val="auto"/>
        </w:rPr>
        <w:t>,</w:t>
      </w:r>
      <w:r w:rsidRPr="002C61E5">
        <w:rPr>
          <w:color w:val="auto"/>
        </w:rPr>
        <w:t xml:space="preserve"> instead of the usual 90 day formal divestment period.</w:t>
      </w:r>
    </w:p>
    <w:p w14:paraId="752DFDBC" w14:textId="4DBDC030" w:rsidR="004C402F" w:rsidRDefault="004C402F" w:rsidP="002C61E5">
      <w:pPr>
        <w:rPr>
          <w:color w:val="auto"/>
        </w:rPr>
      </w:pPr>
      <w:r w:rsidRPr="002C61E5">
        <w:rPr>
          <w:color w:val="auto"/>
        </w:rPr>
        <w:t>There were 302 foreign persons</w:t>
      </w:r>
      <w:r w:rsidR="00C577EA">
        <w:rPr>
          <w:color w:val="auto"/>
        </w:rPr>
        <w:t xml:space="preserve"> </w:t>
      </w:r>
      <w:r w:rsidRPr="002C61E5">
        <w:rPr>
          <w:color w:val="auto"/>
        </w:rPr>
        <w:t xml:space="preserve">who came forward during the </w:t>
      </w:r>
      <w:r w:rsidR="00FB57DC" w:rsidRPr="002C61E5">
        <w:rPr>
          <w:color w:val="auto"/>
        </w:rPr>
        <w:t xml:space="preserve">reduced penalty </w:t>
      </w:r>
      <w:r w:rsidRPr="002C61E5">
        <w:rPr>
          <w:color w:val="auto"/>
        </w:rPr>
        <w:t>period. The total value of properties disclosed was $438.5</w:t>
      </w:r>
      <w:r w:rsidR="00FC248E" w:rsidRPr="002C61E5">
        <w:rPr>
          <w:color w:val="auto"/>
        </w:rPr>
        <w:t xml:space="preserve"> </w:t>
      </w:r>
      <w:r w:rsidRPr="002C61E5">
        <w:rPr>
          <w:color w:val="auto"/>
        </w:rPr>
        <w:t>m</w:t>
      </w:r>
      <w:r w:rsidR="00FC248E" w:rsidRPr="002C61E5">
        <w:rPr>
          <w:color w:val="auto"/>
        </w:rPr>
        <w:t>illion</w:t>
      </w:r>
      <w:r w:rsidRPr="002C61E5">
        <w:rPr>
          <w:color w:val="auto"/>
        </w:rPr>
        <w:t xml:space="preserve">. </w:t>
      </w:r>
      <w:r w:rsidR="00956EC8">
        <w:rPr>
          <w:color w:val="auto"/>
        </w:rPr>
        <w:t>20</w:t>
      </w:r>
      <w:r w:rsidR="003B6F5B">
        <w:rPr>
          <w:color w:val="auto"/>
        </w:rPr>
        <w:t>6</w:t>
      </w:r>
      <w:r w:rsidR="002C61E5" w:rsidRPr="002C61E5">
        <w:rPr>
          <w:color w:val="auto"/>
        </w:rPr>
        <w:t xml:space="preserve"> people who came forward were found to be in breach</w:t>
      </w:r>
      <w:r w:rsidR="001A5E6F">
        <w:rPr>
          <w:color w:val="auto"/>
        </w:rPr>
        <w:t>,</w:t>
      </w:r>
      <w:r w:rsidR="002C61E5" w:rsidRPr="002C61E5">
        <w:rPr>
          <w:color w:val="auto"/>
        </w:rPr>
        <w:t xml:space="preserve"> involving 22</w:t>
      </w:r>
      <w:r w:rsidR="00C577EA">
        <w:rPr>
          <w:color w:val="auto"/>
        </w:rPr>
        <w:t>3</w:t>
      </w:r>
      <w:r w:rsidR="002C61E5" w:rsidRPr="002C61E5">
        <w:rPr>
          <w:color w:val="auto"/>
        </w:rPr>
        <w:t xml:space="preserve"> properties valued at $3</w:t>
      </w:r>
      <w:r w:rsidR="00C577EA">
        <w:rPr>
          <w:color w:val="auto"/>
        </w:rPr>
        <w:t>0</w:t>
      </w:r>
      <w:r w:rsidR="003B6F5B">
        <w:rPr>
          <w:color w:val="auto"/>
        </w:rPr>
        <w:t>4.8</w:t>
      </w:r>
      <w:r w:rsidR="001A5E6F">
        <w:rPr>
          <w:color w:val="auto"/>
        </w:rPr>
        <w:t> </w:t>
      </w:r>
      <w:r w:rsidR="002C61E5" w:rsidRPr="002C61E5">
        <w:rPr>
          <w:color w:val="auto"/>
        </w:rPr>
        <w:t>million</w:t>
      </w:r>
      <w:r w:rsidR="001A5E6F">
        <w:rPr>
          <w:color w:val="auto"/>
        </w:rPr>
        <w:t>.</w:t>
      </w:r>
      <w:r w:rsidR="001A5E6F" w:rsidRPr="001A5E6F">
        <w:rPr>
          <w:color w:val="auto"/>
        </w:rPr>
        <w:t xml:space="preserve"> </w:t>
      </w:r>
      <w:r w:rsidR="001A5E6F" w:rsidRPr="002C61E5">
        <w:rPr>
          <w:color w:val="auto"/>
        </w:rPr>
        <w:t xml:space="preserve">The other </w:t>
      </w:r>
      <w:r w:rsidR="003B6F5B">
        <w:rPr>
          <w:color w:val="auto"/>
        </w:rPr>
        <w:t>9</w:t>
      </w:r>
      <w:r w:rsidR="00F15346">
        <w:rPr>
          <w:color w:val="auto"/>
        </w:rPr>
        <w:t>6</w:t>
      </w:r>
      <w:r w:rsidR="001A5E6F">
        <w:rPr>
          <w:color w:val="auto"/>
        </w:rPr>
        <w:t xml:space="preserve"> who came forward were found not to be in breach of the Act</w:t>
      </w:r>
      <w:r w:rsidR="001A5E6F" w:rsidRPr="002C61E5">
        <w:rPr>
          <w:color w:val="auto"/>
        </w:rPr>
        <w:t>.</w:t>
      </w:r>
      <w:r w:rsidR="00025707" w:rsidRPr="002C61E5">
        <w:rPr>
          <w:color w:val="auto"/>
        </w:rPr>
        <w:t xml:space="preserve"> </w:t>
      </w:r>
      <w:r w:rsidR="004B7FDF" w:rsidRPr="002C61E5">
        <w:rPr>
          <w:color w:val="auto"/>
        </w:rPr>
        <w:t>Table</w:t>
      </w:r>
      <w:r w:rsidR="0089568D">
        <w:rPr>
          <w:color w:val="auto"/>
        </w:rPr>
        <w:t> </w:t>
      </w:r>
      <w:r w:rsidR="00FE329F">
        <w:rPr>
          <w:color w:val="auto"/>
        </w:rPr>
        <w:t>4.4</w:t>
      </w:r>
      <w:r w:rsidR="004B7FDF" w:rsidRPr="002C61E5">
        <w:rPr>
          <w:color w:val="auto"/>
        </w:rPr>
        <w:t xml:space="preserve"> shows the outcomes </w:t>
      </w:r>
      <w:r w:rsidR="002C61E5" w:rsidRPr="002C61E5">
        <w:rPr>
          <w:color w:val="auto"/>
        </w:rPr>
        <w:t>for the</w:t>
      </w:r>
      <w:r w:rsidR="004D30B0">
        <w:rPr>
          <w:color w:val="auto"/>
        </w:rPr>
        <w:t> </w:t>
      </w:r>
      <w:r w:rsidR="002C61E5" w:rsidRPr="002C61E5">
        <w:rPr>
          <w:color w:val="auto"/>
        </w:rPr>
        <w:t>22</w:t>
      </w:r>
      <w:r w:rsidR="00C577EA">
        <w:rPr>
          <w:color w:val="auto"/>
        </w:rPr>
        <w:t>3</w:t>
      </w:r>
      <w:r w:rsidR="002C61E5" w:rsidRPr="002C61E5">
        <w:rPr>
          <w:color w:val="auto"/>
        </w:rPr>
        <w:t xml:space="preserve"> properties held in breach</w:t>
      </w:r>
      <w:r w:rsidR="00956EC8">
        <w:rPr>
          <w:color w:val="auto"/>
        </w:rPr>
        <w:t>.</w:t>
      </w:r>
    </w:p>
    <w:p w14:paraId="6CA46282" w14:textId="77777777" w:rsidR="00971054" w:rsidRDefault="00971054" w:rsidP="00115593">
      <w:pPr>
        <w:pStyle w:val="TableHeading"/>
      </w:pPr>
    </w:p>
    <w:p w14:paraId="0CB9EF9D" w14:textId="77777777" w:rsidR="00971054" w:rsidRDefault="00971054" w:rsidP="00971054">
      <w:pPr>
        <w:pStyle w:val="TableGraphic"/>
        <w:rPr>
          <w:rFonts w:ascii="Calibri" w:hAnsi="Calibri"/>
          <w:sz w:val="22"/>
          <w:szCs w:val="22"/>
        </w:rPr>
      </w:pPr>
      <w:r>
        <w:br w:type="page"/>
      </w:r>
    </w:p>
    <w:p w14:paraId="4B7F1852" w14:textId="4C860A52" w:rsidR="004C402F" w:rsidRPr="004529C9" w:rsidRDefault="004B7FDF" w:rsidP="00115593">
      <w:pPr>
        <w:pStyle w:val="TableHeading"/>
      </w:pPr>
      <w:r w:rsidRPr="004529C9">
        <w:lastRenderedPageBreak/>
        <w:t xml:space="preserve">Table </w:t>
      </w:r>
      <w:r w:rsidR="00FE329F" w:rsidRPr="004529C9">
        <w:t>4.4</w:t>
      </w:r>
      <w:r w:rsidR="003A633A" w:rsidRPr="004529C9">
        <w:t>:</w:t>
      </w:r>
      <w:r w:rsidRPr="004529C9">
        <w:t xml:space="preserve"> Outcomes of </w:t>
      </w:r>
      <w:r w:rsidR="00025707" w:rsidRPr="004529C9">
        <w:t xml:space="preserve">completed </w:t>
      </w:r>
      <w:r w:rsidRPr="004529C9">
        <w:t>reduced penalty period investigations</w:t>
      </w:r>
    </w:p>
    <w:tbl>
      <w:tblPr>
        <w:tblW w:w="7927" w:type="dxa"/>
        <w:tblBorders>
          <w:top w:val="single" w:sz="12" w:space="0" w:color="000000"/>
          <w:bottom w:val="single" w:sz="12" w:space="0" w:color="000000"/>
        </w:tblBorders>
        <w:tblCellMar>
          <w:top w:w="28" w:type="dxa"/>
          <w:bottom w:w="28" w:type="dxa"/>
        </w:tblCellMar>
        <w:tblLook w:val="04A0" w:firstRow="1" w:lastRow="0" w:firstColumn="1" w:lastColumn="0" w:noHBand="0" w:noVBand="1"/>
      </w:tblPr>
      <w:tblGrid>
        <w:gridCol w:w="3794"/>
        <w:gridCol w:w="61"/>
        <w:gridCol w:w="2798"/>
        <w:gridCol w:w="1274"/>
      </w:tblGrid>
      <w:tr w:rsidR="004C402F" w:rsidRPr="00122AC6" w14:paraId="5A805C1D" w14:textId="77777777" w:rsidTr="00971054">
        <w:trPr>
          <w:trHeight w:val="300"/>
        </w:trPr>
        <w:tc>
          <w:tcPr>
            <w:tcW w:w="3794" w:type="dxa"/>
            <w:tcBorders>
              <w:top w:val="dotted" w:sz="4" w:space="0" w:color="auto"/>
              <w:bottom w:val="dotted" w:sz="4" w:space="0" w:color="auto"/>
              <w:right w:val="nil"/>
            </w:tcBorders>
            <w:shd w:val="clear" w:color="auto" w:fill="auto"/>
            <w:noWrap/>
            <w:hideMark/>
          </w:tcPr>
          <w:p w14:paraId="4A268025" w14:textId="77777777" w:rsidR="004C402F" w:rsidRPr="00122AC6" w:rsidRDefault="004C402F" w:rsidP="00971054">
            <w:pPr>
              <w:pStyle w:val="TableTextLeft"/>
            </w:pPr>
            <w:r w:rsidRPr="00122AC6">
              <w:t xml:space="preserve">Outcome </w:t>
            </w:r>
          </w:p>
        </w:tc>
        <w:tc>
          <w:tcPr>
            <w:tcW w:w="2859" w:type="dxa"/>
            <w:gridSpan w:val="2"/>
            <w:tcBorders>
              <w:top w:val="dotted" w:sz="4" w:space="0" w:color="auto"/>
              <w:left w:val="nil"/>
              <w:bottom w:val="dotted" w:sz="4" w:space="0" w:color="auto"/>
            </w:tcBorders>
            <w:shd w:val="clear" w:color="auto" w:fill="auto"/>
            <w:noWrap/>
            <w:hideMark/>
          </w:tcPr>
          <w:p w14:paraId="420EF072" w14:textId="763F5C6E" w:rsidR="004C402F" w:rsidRPr="00122AC6" w:rsidRDefault="00287BA5" w:rsidP="00971054">
            <w:pPr>
              <w:pStyle w:val="TableTextRight"/>
            </w:pPr>
            <w:r w:rsidRPr="00122AC6">
              <w:t>N</w:t>
            </w:r>
            <w:r w:rsidR="00603218" w:rsidRPr="00122AC6">
              <w:t>o.</w:t>
            </w:r>
            <w:r w:rsidR="00186BBD" w:rsidRPr="00122AC6">
              <w:t xml:space="preserve"> of </w:t>
            </w:r>
            <w:r w:rsidR="002C61E5" w:rsidRPr="00122AC6">
              <w:t>properties in breach</w:t>
            </w:r>
          </w:p>
        </w:tc>
        <w:tc>
          <w:tcPr>
            <w:tcW w:w="1274" w:type="dxa"/>
            <w:tcBorders>
              <w:top w:val="dotted" w:sz="4" w:space="0" w:color="auto"/>
              <w:bottom w:val="dotted" w:sz="4" w:space="0" w:color="auto"/>
            </w:tcBorders>
            <w:shd w:val="clear" w:color="auto" w:fill="auto"/>
            <w:noWrap/>
            <w:hideMark/>
          </w:tcPr>
          <w:p w14:paraId="522B198F" w14:textId="6C456684" w:rsidR="004C402F" w:rsidRPr="00122AC6" w:rsidRDefault="00C700C8" w:rsidP="00971054">
            <w:pPr>
              <w:pStyle w:val="TableTextRight"/>
            </w:pPr>
            <w:r w:rsidRPr="00122AC6">
              <w:t>Percentage</w:t>
            </w:r>
          </w:p>
        </w:tc>
      </w:tr>
      <w:tr w:rsidR="004C402F" w:rsidRPr="00A75FA9" w14:paraId="5B0DC35D" w14:textId="77777777" w:rsidTr="00971054">
        <w:trPr>
          <w:trHeight w:val="182"/>
        </w:trPr>
        <w:tc>
          <w:tcPr>
            <w:tcW w:w="3855" w:type="dxa"/>
            <w:gridSpan w:val="2"/>
            <w:tcBorders>
              <w:top w:val="dotted" w:sz="4" w:space="0" w:color="auto"/>
              <w:bottom w:val="nil"/>
              <w:right w:val="nil"/>
            </w:tcBorders>
            <w:shd w:val="clear" w:color="auto" w:fill="auto"/>
            <w:noWrap/>
            <w:hideMark/>
          </w:tcPr>
          <w:p w14:paraId="095AA439" w14:textId="2B47B795" w:rsidR="004C402F" w:rsidRPr="00A75FA9" w:rsidRDefault="004C402F" w:rsidP="00971054">
            <w:pPr>
              <w:pStyle w:val="TableTextLeft"/>
            </w:pPr>
            <w:r w:rsidRPr="00A75FA9">
              <w:t xml:space="preserve">Retrospective </w:t>
            </w:r>
            <w:r w:rsidR="00025707">
              <w:t>approval</w:t>
            </w:r>
          </w:p>
        </w:tc>
        <w:tc>
          <w:tcPr>
            <w:tcW w:w="2798" w:type="dxa"/>
            <w:tcBorders>
              <w:top w:val="dotted" w:sz="4" w:space="0" w:color="auto"/>
              <w:left w:val="nil"/>
            </w:tcBorders>
            <w:shd w:val="clear" w:color="auto" w:fill="auto"/>
            <w:noWrap/>
            <w:hideMark/>
          </w:tcPr>
          <w:p w14:paraId="755AD075" w14:textId="2966A630" w:rsidR="004C402F" w:rsidRPr="00A75FA9" w:rsidRDefault="004C402F" w:rsidP="00971054">
            <w:pPr>
              <w:pStyle w:val="TableTextRight"/>
            </w:pPr>
            <w:r w:rsidRPr="00A75FA9">
              <w:t>1</w:t>
            </w:r>
            <w:r w:rsidR="002C61E5">
              <w:t>1</w:t>
            </w:r>
            <w:r w:rsidR="00C577EA">
              <w:t>5</w:t>
            </w:r>
          </w:p>
        </w:tc>
        <w:tc>
          <w:tcPr>
            <w:tcW w:w="1274" w:type="dxa"/>
            <w:tcBorders>
              <w:top w:val="dotted" w:sz="4" w:space="0" w:color="auto"/>
            </w:tcBorders>
            <w:shd w:val="clear" w:color="auto" w:fill="auto"/>
            <w:noWrap/>
            <w:hideMark/>
          </w:tcPr>
          <w:p w14:paraId="37FC09B9" w14:textId="7994FA0E" w:rsidR="004C402F" w:rsidRPr="00A75FA9" w:rsidRDefault="002C61E5" w:rsidP="00971054">
            <w:pPr>
              <w:pStyle w:val="TableTextRight"/>
            </w:pPr>
            <w:r>
              <w:t>5</w:t>
            </w:r>
            <w:r w:rsidR="00C577EA">
              <w:t>2</w:t>
            </w:r>
          </w:p>
        </w:tc>
      </w:tr>
      <w:tr w:rsidR="004C402F" w:rsidRPr="00A75FA9" w14:paraId="0AA652A8" w14:textId="77777777" w:rsidTr="00A93A00">
        <w:trPr>
          <w:trHeight w:val="300"/>
        </w:trPr>
        <w:tc>
          <w:tcPr>
            <w:tcW w:w="3855" w:type="dxa"/>
            <w:gridSpan w:val="2"/>
            <w:tcBorders>
              <w:top w:val="nil"/>
              <w:bottom w:val="nil"/>
              <w:right w:val="nil"/>
            </w:tcBorders>
            <w:shd w:val="clear" w:color="auto" w:fill="auto"/>
            <w:noWrap/>
            <w:hideMark/>
          </w:tcPr>
          <w:p w14:paraId="3A0CB9BA" w14:textId="34FF4D3F" w:rsidR="004C402F" w:rsidRPr="00A75FA9" w:rsidRDefault="00C577EA" w:rsidP="00971054">
            <w:pPr>
              <w:pStyle w:val="TableTextLeft"/>
            </w:pPr>
            <w:r>
              <w:t>Variation of</w:t>
            </w:r>
            <w:r w:rsidR="004C402F" w:rsidRPr="00A75FA9">
              <w:t xml:space="preserve"> conditions</w:t>
            </w:r>
          </w:p>
        </w:tc>
        <w:tc>
          <w:tcPr>
            <w:tcW w:w="2798" w:type="dxa"/>
            <w:tcBorders>
              <w:left w:val="nil"/>
            </w:tcBorders>
            <w:shd w:val="clear" w:color="auto" w:fill="auto"/>
            <w:noWrap/>
            <w:hideMark/>
          </w:tcPr>
          <w:p w14:paraId="153DE07A" w14:textId="17A2A6AD" w:rsidR="004C402F" w:rsidRPr="00A75FA9" w:rsidRDefault="002C61E5" w:rsidP="00971054">
            <w:pPr>
              <w:pStyle w:val="TableTextRight"/>
            </w:pPr>
            <w:r>
              <w:t>56</w:t>
            </w:r>
          </w:p>
        </w:tc>
        <w:tc>
          <w:tcPr>
            <w:tcW w:w="1274" w:type="dxa"/>
            <w:shd w:val="clear" w:color="auto" w:fill="auto"/>
            <w:noWrap/>
            <w:hideMark/>
          </w:tcPr>
          <w:p w14:paraId="01D95BE0" w14:textId="27199E14" w:rsidR="004C402F" w:rsidRPr="00A75FA9" w:rsidRDefault="002C61E5" w:rsidP="00971054">
            <w:pPr>
              <w:pStyle w:val="TableTextRight"/>
            </w:pPr>
            <w:r>
              <w:t>25</w:t>
            </w:r>
          </w:p>
        </w:tc>
      </w:tr>
      <w:tr w:rsidR="004C402F" w:rsidRPr="00A75FA9" w14:paraId="5CB68EFD" w14:textId="77777777" w:rsidTr="00A93A00">
        <w:trPr>
          <w:trHeight w:val="300"/>
        </w:trPr>
        <w:tc>
          <w:tcPr>
            <w:tcW w:w="3855" w:type="dxa"/>
            <w:gridSpan w:val="2"/>
            <w:tcBorders>
              <w:top w:val="nil"/>
              <w:bottom w:val="nil"/>
              <w:right w:val="nil"/>
            </w:tcBorders>
            <w:shd w:val="clear" w:color="auto" w:fill="auto"/>
            <w:noWrap/>
            <w:hideMark/>
          </w:tcPr>
          <w:p w14:paraId="29BDA5F1" w14:textId="106818DA" w:rsidR="004C402F" w:rsidRPr="00A75FA9" w:rsidRDefault="004C402F" w:rsidP="00971054">
            <w:pPr>
              <w:pStyle w:val="TableTextLeft"/>
            </w:pPr>
            <w:r w:rsidRPr="00A75FA9">
              <w:t xml:space="preserve">Concessional </w:t>
            </w:r>
            <w:r w:rsidR="00894764">
              <w:t xml:space="preserve"> di</w:t>
            </w:r>
            <w:r w:rsidR="00F263A7">
              <w:t>vestment</w:t>
            </w:r>
          </w:p>
        </w:tc>
        <w:tc>
          <w:tcPr>
            <w:tcW w:w="2798" w:type="dxa"/>
            <w:tcBorders>
              <w:left w:val="nil"/>
            </w:tcBorders>
            <w:shd w:val="clear" w:color="auto" w:fill="auto"/>
            <w:noWrap/>
            <w:hideMark/>
          </w:tcPr>
          <w:p w14:paraId="6B93CDC7" w14:textId="0676559B" w:rsidR="004C402F" w:rsidRPr="00A75FA9" w:rsidRDefault="00C577EA" w:rsidP="00971054">
            <w:pPr>
              <w:pStyle w:val="TableTextRight"/>
            </w:pPr>
            <w:r>
              <w:t>41</w:t>
            </w:r>
          </w:p>
        </w:tc>
        <w:tc>
          <w:tcPr>
            <w:tcW w:w="1274" w:type="dxa"/>
            <w:shd w:val="clear" w:color="auto" w:fill="auto"/>
            <w:noWrap/>
            <w:hideMark/>
          </w:tcPr>
          <w:p w14:paraId="204A47F0" w14:textId="1937F58F" w:rsidR="004C402F" w:rsidRPr="00A75FA9" w:rsidRDefault="002C61E5" w:rsidP="00971054">
            <w:pPr>
              <w:pStyle w:val="TableTextRight"/>
            </w:pPr>
            <w:r>
              <w:t>1</w:t>
            </w:r>
            <w:r w:rsidR="00C577EA">
              <w:t>8</w:t>
            </w:r>
          </w:p>
        </w:tc>
      </w:tr>
      <w:tr w:rsidR="004C402F" w:rsidRPr="00A75FA9" w14:paraId="753E1F34" w14:textId="77777777" w:rsidTr="00122AC6">
        <w:trPr>
          <w:trHeight w:val="300"/>
        </w:trPr>
        <w:tc>
          <w:tcPr>
            <w:tcW w:w="3855" w:type="dxa"/>
            <w:gridSpan w:val="2"/>
            <w:tcBorders>
              <w:top w:val="nil"/>
              <w:bottom w:val="dotted" w:sz="4" w:space="0" w:color="auto"/>
              <w:right w:val="nil"/>
            </w:tcBorders>
            <w:shd w:val="clear" w:color="auto" w:fill="auto"/>
            <w:noWrap/>
            <w:hideMark/>
          </w:tcPr>
          <w:p w14:paraId="629860B7" w14:textId="7BA7B3F8" w:rsidR="004C402F" w:rsidRPr="00A75FA9" w:rsidRDefault="00956EC8" w:rsidP="00971054">
            <w:pPr>
              <w:pStyle w:val="TableTextLeft"/>
            </w:pPr>
            <w:r>
              <w:t>Self</w:t>
            </w:r>
            <w:r w:rsidR="008205A1">
              <w:noBreakHyphen/>
            </w:r>
            <w:r w:rsidR="00F263A7">
              <w:t>divestment</w:t>
            </w:r>
          </w:p>
        </w:tc>
        <w:tc>
          <w:tcPr>
            <w:tcW w:w="2798" w:type="dxa"/>
            <w:tcBorders>
              <w:left w:val="nil"/>
              <w:bottom w:val="dotted" w:sz="4" w:space="0" w:color="auto"/>
            </w:tcBorders>
            <w:shd w:val="clear" w:color="auto" w:fill="auto"/>
            <w:noWrap/>
            <w:hideMark/>
          </w:tcPr>
          <w:p w14:paraId="0AC34066" w14:textId="5CDB6EC7" w:rsidR="004C402F" w:rsidRPr="00A75FA9" w:rsidRDefault="00893AD2" w:rsidP="00971054">
            <w:pPr>
              <w:pStyle w:val="TableTextRight"/>
            </w:pPr>
            <w:r>
              <w:t>11</w:t>
            </w:r>
          </w:p>
        </w:tc>
        <w:tc>
          <w:tcPr>
            <w:tcW w:w="1274" w:type="dxa"/>
            <w:tcBorders>
              <w:bottom w:val="dotted" w:sz="4" w:space="0" w:color="auto"/>
            </w:tcBorders>
            <w:shd w:val="clear" w:color="auto" w:fill="auto"/>
            <w:noWrap/>
            <w:hideMark/>
          </w:tcPr>
          <w:p w14:paraId="7F8A3C74" w14:textId="0B857BED" w:rsidR="004C402F" w:rsidRPr="00A75FA9" w:rsidRDefault="002C61E5" w:rsidP="00971054">
            <w:pPr>
              <w:pStyle w:val="TableTextRight"/>
            </w:pPr>
            <w:r>
              <w:t>5</w:t>
            </w:r>
          </w:p>
        </w:tc>
      </w:tr>
      <w:tr w:rsidR="004C402F" w:rsidRPr="00A75FA9" w14:paraId="3B158697" w14:textId="77777777" w:rsidTr="00122AC6">
        <w:trPr>
          <w:trHeight w:val="300"/>
        </w:trPr>
        <w:tc>
          <w:tcPr>
            <w:tcW w:w="3855" w:type="dxa"/>
            <w:gridSpan w:val="2"/>
            <w:tcBorders>
              <w:top w:val="dotted" w:sz="4" w:space="0" w:color="auto"/>
              <w:bottom w:val="dotted" w:sz="4" w:space="0" w:color="auto"/>
              <w:right w:val="nil"/>
            </w:tcBorders>
            <w:shd w:val="clear" w:color="auto" w:fill="auto"/>
            <w:noWrap/>
            <w:hideMark/>
          </w:tcPr>
          <w:p w14:paraId="414842D6" w14:textId="77777777" w:rsidR="004C402F" w:rsidRPr="00122AC6" w:rsidRDefault="004C402F" w:rsidP="00971054">
            <w:pPr>
              <w:pStyle w:val="TableTextLeft"/>
            </w:pPr>
            <w:r w:rsidRPr="00122AC6">
              <w:t>Total</w:t>
            </w:r>
          </w:p>
        </w:tc>
        <w:tc>
          <w:tcPr>
            <w:tcW w:w="2798" w:type="dxa"/>
            <w:tcBorders>
              <w:top w:val="dotted" w:sz="4" w:space="0" w:color="auto"/>
              <w:left w:val="nil"/>
              <w:bottom w:val="dotted" w:sz="4" w:space="0" w:color="auto"/>
            </w:tcBorders>
            <w:shd w:val="clear" w:color="auto" w:fill="auto"/>
            <w:noWrap/>
            <w:hideMark/>
          </w:tcPr>
          <w:p w14:paraId="0C38DA1F" w14:textId="0B575E03" w:rsidR="004C402F" w:rsidRPr="00122AC6" w:rsidRDefault="004C402F" w:rsidP="00971054">
            <w:pPr>
              <w:pStyle w:val="TableTextRight"/>
            </w:pPr>
            <w:r w:rsidRPr="00122AC6">
              <w:t>2</w:t>
            </w:r>
            <w:r w:rsidR="002C61E5" w:rsidRPr="00122AC6">
              <w:t>2</w:t>
            </w:r>
            <w:r w:rsidR="00893AD2" w:rsidRPr="00122AC6">
              <w:t>3</w:t>
            </w:r>
          </w:p>
        </w:tc>
        <w:tc>
          <w:tcPr>
            <w:tcW w:w="1274" w:type="dxa"/>
            <w:tcBorders>
              <w:top w:val="dotted" w:sz="4" w:space="0" w:color="auto"/>
              <w:bottom w:val="dotted" w:sz="4" w:space="0" w:color="auto"/>
            </w:tcBorders>
            <w:shd w:val="clear" w:color="auto" w:fill="auto"/>
            <w:noWrap/>
            <w:hideMark/>
          </w:tcPr>
          <w:p w14:paraId="7C148A96" w14:textId="2D4ABE3D" w:rsidR="004C402F" w:rsidRPr="00122AC6" w:rsidRDefault="00D21D4E" w:rsidP="00971054">
            <w:pPr>
              <w:pStyle w:val="TableTextRight"/>
            </w:pPr>
            <w:r>
              <w:t>100</w:t>
            </w:r>
          </w:p>
        </w:tc>
      </w:tr>
    </w:tbl>
    <w:p w14:paraId="683DA404" w14:textId="489CC4A9" w:rsidR="004C402F" w:rsidRPr="002C61E5" w:rsidRDefault="00E30512" w:rsidP="00115593">
      <w:pPr>
        <w:pStyle w:val="Heading2"/>
      </w:pPr>
      <w:bookmarkStart w:id="55" w:name="_Toc476737082"/>
      <w:r>
        <w:t>P</w:t>
      </w:r>
      <w:r w:rsidR="004C402F" w:rsidRPr="002C61E5">
        <w:t>enalties</w:t>
      </w:r>
      <w:bookmarkEnd w:id="55"/>
    </w:p>
    <w:p w14:paraId="346CCDF4" w14:textId="363D1EE1" w:rsidR="001C67ED" w:rsidRPr="002C61E5" w:rsidRDefault="001C67ED" w:rsidP="002C61E5">
      <w:pPr>
        <w:rPr>
          <w:color w:val="auto"/>
        </w:rPr>
      </w:pPr>
      <w:r w:rsidRPr="002C61E5">
        <w:rPr>
          <w:color w:val="auto"/>
        </w:rPr>
        <w:t>A</w:t>
      </w:r>
      <w:r w:rsidR="002D05BB">
        <w:rPr>
          <w:color w:val="auto"/>
        </w:rPr>
        <w:t>s a</w:t>
      </w:r>
      <w:r w:rsidRPr="002C61E5">
        <w:rPr>
          <w:color w:val="auto"/>
        </w:rPr>
        <w:t xml:space="preserve"> part of the 2015 reforms </w:t>
      </w:r>
      <w:r w:rsidR="002D05BB">
        <w:rPr>
          <w:color w:val="auto"/>
        </w:rPr>
        <w:t>the penalty regime was expanded</w:t>
      </w:r>
      <w:r w:rsidRPr="002C61E5">
        <w:rPr>
          <w:color w:val="auto"/>
        </w:rPr>
        <w:t xml:space="preserve"> to include civil penalties and infringement notices in addition to criminal penalties for breaches of the </w:t>
      </w:r>
      <w:r w:rsidR="002D05BB">
        <w:rPr>
          <w:color w:val="auto"/>
        </w:rPr>
        <w:t>Act</w:t>
      </w:r>
      <w:r w:rsidRPr="002C61E5">
        <w:rPr>
          <w:color w:val="auto"/>
        </w:rPr>
        <w:t>.</w:t>
      </w:r>
    </w:p>
    <w:p w14:paraId="72A46157" w14:textId="60157127" w:rsidR="002E354B" w:rsidRPr="002C61E5" w:rsidRDefault="008E74DC" w:rsidP="002C61E5">
      <w:pPr>
        <w:rPr>
          <w:color w:val="auto"/>
        </w:rPr>
      </w:pPr>
      <w:r w:rsidRPr="002C61E5">
        <w:rPr>
          <w:color w:val="auto"/>
        </w:rPr>
        <w:t>In 2015</w:t>
      </w:r>
      <w:r w:rsidR="008205A1">
        <w:rPr>
          <w:color w:val="auto"/>
        </w:rPr>
        <w:noBreakHyphen/>
      </w:r>
      <w:r w:rsidRPr="002C61E5">
        <w:rPr>
          <w:color w:val="auto"/>
        </w:rPr>
        <w:t>16, no cases involving criminal prosecution or civil penalties were completed.</w:t>
      </w:r>
      <w:r>
        <w:rPr>
          <w:color w:val="auto"/>
        </w:rPr>
        <w:t xml:space="preserve"> </w:t>
      </w:r>
      <w:r w:rsidR="002E354B" w:rsidRPr="002C61E5">
        <w:rPr>
          <w:color w:val="auto"/>
        </w:rPr>
        <w:t xml:space="preserve">Criminal prosecution and civil penalties </w:t>
      </w:r>
      <w:r w:rsidR="00D1103C" w:rsidRPr="002C61E5">
        <w:rPr>
          <w:color w:val="auto"/>
        </w:rPr>
        <w:t xml:space="preserve">are </w:t>
      </w:r>
      <w:r w:rsidR="00893AD2">
        <w:rPr>
          <w:color w:val="auto"/>
        </w:rPr>
        <w:t xml:space="preserve">considered </w:t>
      </w:r>
      <w:r w:rsidR="002E354B" w:rsidRPr="002C61E5">
        <w:rPr>
          <w:color w:val="auto"/>
        </w:rPr>
        <w:t>where the breach of the foreign investment regime is more se</w:t>
      </w:r>
      <w:r w:rsidR="00893AD2">
        <w:rPr>
          <w:color w:val="auto"/>
        </w:rPr>
        <w:t>rious</w:t>
      </w:r>
      <w:r w:rsidR="002E354B" w:rsidRPr="002C61E5">
        <w:rPr>
          <w:color w:val="auto"/>
        </w:rPr>
        <w:t xml:space="preserve">. </w:t>
      </w:r>
      <w:r w:rsidR="002C61E5" w:rsidRPr="002C61E5">
        <w:rPr>
          <w:color w:val="auto"/>
        </w:rPr>
        <w:t>This could occur where conditional approval was obtained but evidence exists to demonstrate the conditions were disregarded from the o</w:t>
      </w:r>
      <w:r w:rsidR="003E3542">
        <w:rPr>
          <w:color w:val="auto"/>
        </w:rPr>
        <w:t>ut</w:t>
      </w:r>
      <w:r w:rsidR="002C61E5" w:rsidRPr="002C61E5">
        <w:rPr>
          <w:color w:val="auto"/>
        </w:rPr>
        <w:t xml:space="preserve">set. For example, </w:t>
      </w:r>
      <w:r w:rsidR="00DD6634">
        <w:rPr>
          <w:color w:val="auto"/>
        </w:rPr>
        <w:t xml:space="preserve">approval was received to purchase an established dwelling on condition that the foreign person occupies the house </w:t>
      </w:r>
      <w:r w:rsidR="00956EC8">
        <w:rPr>
          <w:color w:val="auto"/>
        </w:rPr>
        <w:t>and it is not rented</w:t>
      </w:r>
      <w:r w:rsidR="00DD6634">
        <w:rPr>
          <w:color w:val="auto"/>
        </w:rPr>
        <w:t>,</w:t>
      </w:r>
      <w:r w:rsidR="00302633">
        <w:rPr>
          <w:color w:val="auto"/>
        </w:rPr>
        <w:t xml:space="preserve"> but i</w:t>
      </w:r>
      <w:r w:rsidR="00956EC8">
        <w:rPr>
          <w:color w:val="auto"/>
        </w:rPr>
        <w:t>mmediately following the acquisition, the foreign person rents out the property and does not occupy it</w:t>
      </w:r>
      <w:r w:rsidR="002C61E5" w:rsidRPr="002C61E5">
        <w:rPr>
          <w:color w:val="auto"/>
        </w:rPr>
        <w:t>.</w:t>
      </w:r>
      <w:r w:rsidR="00956EC8">
        <w:rPr>
          <w:color w:val="auto"/>
        </w:rPr>
        <w:t xml:space="preserve"> Another example would be</w:t>
      </w:r>
      <w:r w:rsidR="002C61E5" w:rsidRPr="002C61E5">
        <w:rPr>
          <w:color w:val="auto"/>
        </w:rPr>
        <w:t xml:space="preserve"> deliberately purchasing an established property using a company structure with Australian shareholders, then transferring the shares to a foreign person in an attempt to avoid detection</w:t>
      </w:r>
      <w:r w:rsidR="00854C21" w:rsidRPr="002C61E5">
        <w:rPr>
          <w:color w:val="auto"/>
        </w:rPr>
        <w:t xml:space="preserve">. </w:t>
      </w:r>
      <w:r w:rsidR="00956EC8">
        <w:rPr>
          <w:color w:val="auto"/>
        </w:rPr>
        <w:t>Criminal and civil</w:t>
      </w:r>
      <w:r w:rsidR="002E354B" w:rsidRPr="002C61E5">
        <w:rPr>
          <w:color w:val="auto"/>
        </w:rPr>
        <w:t xml:space="preserve"> penalties must be issued by a relevant</w:t>
      </w:r>
      <w:r w:rsidR="003E3542">
        <w:rPr>
          <w:color w:val="auto"/>
        </w:rPr>
        <w:t xml:space="preserve"> court.</w:t>
      </w:r>
    </w:p>
    <w:p w14:paraId="784E0CD6" w14:textId="4D806AA3" w:rsidR="00D1103C" w:rsidRPr="00B20C3D" w:rsidRDefault="00FC248E" w:rsidP="00B20C3D">
      <w:pPr>
        <w:rPr>
          <w:color w:val="auto"/>
        </w:rPr>
      </w:pPr>
      <w:r w:rsidRPr="00B20C3D">
        <w:rPr>
          <w:color w:val="auto"/>
        </w:rPr>
        <w:t xml:space="preserve">Infringement notices are issued </w:t>
      </w:r>
      <w:r w:rsidR="00326819">
        <w:rPr>
          <w:color w:val="auto"/>
        </w:rPr>
        <w:t>for</w:t>
      </w:r>
      <w:r w:rsidRPr="00B20C3D">
        <w:rPr>
          <w:color w:val="auto"/>
        </w:rPr>
        <w:t xml:space="preserve"> less serious breaches of the foreign investment regime where a civil penalty could otherwise be applied. For </w:t>
      </w:r>
      <w:r w:rsidR="00854C21" w:rsidRPr="00B20C3D">
        <w:rPr>
          <w:color w:val="auto"/>
        </w:rPr>
        <w:t>example, acquiring</w:t>
      </w:r>
      <w:r w:rsidR="00B20C3D" w:rsidRPr="00B20C3D">
        <w:rPr>
          <w:color w:val="auto"/>
        </w:rPr>
        <w:t xml:space="preserve"> a property prior to lodging an application for foreign investment approval</w:t>
      </w:r>
      <w:r w:rsidR="00326819">
        <w:rPr>
          <w:color w:val="auto"/>
        </w:rPr>
        <w:t xml:space="preserve"> provided foreign investment approval would have been given </w:t>
      </w:r>
      <w:r w:rsidR="00B20C3D" w:rsidRPr="00B20C3D">
        <w:rPr>
          <w:color w:val="auto"/>
        </w:rPr>
        <w:t>and the</w:t>
      </w:r>
      <w:r w:rsidR="00326819">
        <w:rPr>
          <w:color w:val="auto"/>
        </w:rPr>
        <w:t xml:space="preserve"> applicant does not have a poor compliance history</w:t>
      </w:r>
      <w:r w:rsidR="00B20C3D" w:rsidRPr="00B20C3D">
        <w:rPr>
          <w:color w:val="auto"/>
        </w:rPr>
        <w:t>.</w:t>
      </w:r>
      <w:r w:rsidRPr="00B20C3D">
        <w:rPr>
          <w:color w:val="auto"/>
        </w:rPr>
        <w:t xml:space="preserve"> </w:t>
      </w:r>
      <w:r w:rsidR="001C67ED" w:rsidRPr="00B20C3D">
        <w:rPr>
          <w:color w:val="auto"/>
        </w:rPr>
        <w:t>In 2015</w:t>
      </w:r>
      <w:r w:rsidR="008205A1">
        <w:rPr>
          <w:color w:val="auto"/>
        </w:rPr>
        <w:noBreakHyphen/>
      </w:r>
      <w:r w:rsidR="001C67ED" w:rsidRPr="00B20C3D">
        <w:rPr>
          <w:color w:val="auto"/>
        </w:rPr>
        <w:t>16</w:t>
      </w:r>
      <w:r w:rsidR="00B20C3D">
        <w:rPr>
          <w:color w:val="auto"/>
        </w:rPr>
        <w:t>, 114 </w:t>
      </w:r>
      <w:r w:rsidR="00CB6DB4" w:rsidRPr="00B20C3D">
        <w:rPr>
          <w:color w:val="auto"/>
        </w:rPr>
        <w:t xml:space="preserve">infringement notices were </w:t>
      </w:r>
      <w:r w:rsidR="00854C21" w:rsidRPr="00B20C3D">
        <w:rPr>
          <w:color w:val="auto"/>
        </w:rPr>
        <w:t xml:space="preserve">issued </w:t>
      </w:r>
      <w:r w:rsidR="00893AD2">
        <w:rPr>
          <w:color w:val="auto"/>
        </w:rPr>
        <w:t>totalling</w:t>
      </w:r>
      <w:r w:rsidR="00FE329F">
        <w:rPr>
          <w:color w:val="auto"/>
        </w:rPr>
        <w:t xml:space="preserve"> $514,020</w:t>
      </w:r>
      <w:r w:rsidR="00893AD2">
        <w:rPr>
          <w:color w:val="auto"/>
        </w:rPr>
        <w:t xml:space="preserve"> in penalties</w:t>
      </w:r>
      <w:r w:rsidR="00FE329F">
        <w:rPr>
          <w:color w:val="auto"/>
        </w:rPr>
        <w:t>.</w:t>
      </w:r>
    </w:p>
    <w:p w14:paraId="4C0B21CD" w14:textId="7141DE93" w:rsidR="00CB6DB4" w:rsidRPr="00B20C3D" w:rsidRDefault="00956EC8" w:rsidP="00B20C3D">
      <w:pPr>
        <w:rPr>
          <w:color w:val="auto"/>
        </w:rPr>
      </w:pPr>
      <w:r>
        <w:rPr>
          <w:color w:val="auto"/>
        </w:rPr>
        <w:t>There are two levels of infringement notices which impose different financial penalties. A Tier 1 infringement notice will be issue</w:t>
      </w:r>
      <w:r w:rsidR="003E3542">
        <w:rPr>
          <w:color w:val="auto"/>
        </w:rPr>
        <w:t>d</w:t>
      </w:r>
      <w:r>
        <w:rPr>
          <w:color w:val="auto"/>
        </w:rPr>
        <w:t xml:space="preserve"> where the breach is self</w:t>
      </w:r>
      <w:r w:rsidR="008205A1">
        <w:rPr>
          <w:color w:val="auto"/>
        </w:rPr>
        <w:noBreakHyphen/>
      </w:r>
      <w:r>
        <w:rPr>
          <w:color w:val="auto"/>
        </w:rPr>
        <w:t>reported.</w:t>
      </w:r>
      <w:r w:rsidR="00CB6DB4" w:rsidRPr="00B20C3D">
        <w:rPr>
          <w:color w:val="auto"/>
        </w:rPr>
        <w:t xml:space="preserve"> </w:t>
      </w:r>
      <w:r>
        <w:rPr>
          <w:color w:val="auto"/>
        </w:rPr>
        <w:t>A Tier 2 infringement notice will be issued w</w:t>
      </w:r>
      <w:r w:rsidR="00CB6DB4" w:rsidRPr="00B20C3D">
        <w:rPr>
          <w:color w:val="auto"/>
        </w:rPr>
        <w:t xml:space="preserve">here the breach is </w:t>
      </w:r>
      <w:r w:rsidR="00854C21" w:rsidRPr="00B20C3D">
        <w:rPr>
          <w:color w:val="auto"/>
        </w:rPr>
        <w:t>identified</w:t>
      </w:r>
      <w:r w:rsidR="00CB6DB4" w:rsidRPr="00B20C3D">
        <w:rPr>
          <w:color w:val="auto"/>
        </w:rPr>
        <w:t xml:space="preserve"> as a result of </w:t>
      </w:r>
      <w:r w:rsidR="0058501D">
        <w:rPr>
          <w:color w:val="auto"/>
        </w:rPr>
        <w:t xml:space="preserve">the </w:t>
      </w:r>
      <w:proofErr w:type="spellStart"/>
      <w:r w:rsidR="0058501D">
        <w:rPr>
          <w:color w:val="auto"/>
        </w:rPr>
        <w:t>ATO</w:t>
      </w:r>
      <w:r w:rsidR="008205A1">
        <w:rPr>
          <w:color w:val="auto"/>
        </w:rPr>
        <w:t>’</w:t>
      </w:r>
      <w:r w:rsidR="0058501D">
        <w:rPr>
          <w:color w:val="auto"/>
        </w:rPr>
        <w:t>s</w:t>
      </w:r>
      <w:proofErr w:type="spellEnd"/>
      <w:r w:rsidR="0058501D">
        <w:rPr>
          <w:color w:val="auto"/>
        </w:rPr>
        <w:t xml:space="preserve"> </w:t>
      </w:r>
      <w:r w:rsidR="00CB6DB4" w:rsidRPr="00B20C3D">
        <w:rPr>
          <w:color w:val="auto"/>
        </w:rPr>
        <w:t>compliance activity</w:t>
      </w:r>
      <w:r>
        <w:rPr>
          <w:color w:val="auto"/>
        </w:rPr>
        <w:t>.</w:t>
      </w:r>
      <w:r w:rsidR="00CB6DB4" w:rsidRPr="00B20C3D">
        <w:rPr>
          <w:color w:val="auto"/>
        </w:rPr>
        <w:t xml:space="preserve"> Table </w:t>
      </w:r>
      <w:r w:rsidR="00FE329F">
        <w:rPr>
          <w:color w:val="auto"/>
        </w:rPr>
        <w:t>4.5</w:t>
      </w:r>
      <w:r w:rsidR="00CB6DB4" w:rsidRPr="00B20C3D">
        <w:rPr>
          <w:color w:val="auto"/>
        </w:rPr>
        <w:t xml:space="preserve"> </w:t>
      </w:r>
      <w:r w:rsidR="002D05BB">
        <w:rPr>
          <w:color w:val="auto"/>
        </w:rPr>
        <w:t xml:space="preserve">shows the infringement notices issued by tier </w:t>
      </w:r>
      <w:r w:rsidR="00CB6DB4" w:rsidRPr="00B20C3D">
        <w:rPr>
          <w:color w:val="auto"/>
        </w:rPr>
        <w:t>in 2015</w:t>
      </w:r>
      <w:r w:rsidR="008205A1">
        <w:rPr>
          <w:color w:val="auto"/>
        </w:rPr>
        <w:noBreakHyphen/>
      </w:r>
      <w:r w:rsidR="00CB6DB4" w:rsidRPr="00B20C3D">
        <w:rPr>
          <w:color w:val="auto"/>
        </w:rPr>
        <w:t>16.</w:t>
      </w:r>
    </w:p>
    <w:p w14:paraId="5E459D26" w14:textId="1302591D" w:rsidR="004C402F" w:rsidRPr="004529C9" w:rsidRDefault="004C402F" w:rsidP="00115593">
      <w:pPr>
        <w:pStyle w:val="TableHeading"/>
      </w:pPr>
      <w:r w:rsidRPr="004529C9">
        <w:t xml:space="preserve">Table </w:t>
      </w:r>
      <w:r w:rsidR="00FE329F" w:rsidRPr="004529C9">
        <w:t>4.5</w:t>
      </w:r>
      <w:r w:rsidR="001C67ED" w:rsidRPr="004529C9">
        <w:t xml:space="preserve">: </w:t>
      </w:r>
      <w:r w:rsidRPr="004529C9">
        <w:t xml:space="preserve">Infringement </w:t>
      </w:r>
      <w:r w:rsidR="001C67ED" w:rsidRPr="004529C9">
        <w:t>notices issued in 2015</w:t>
      </w:r>
      <w:r w:rsidR="008205A1">
        <w:noBreakHyphen/>
      </w:r>
      <w:r w:rsidR="001C67ED" w:rsidRPr="004529C9">
        <w:t>16</w:t>
      </w:r>
    </w:p>
    <w:tbl>
      <w:tblPr>
        <w:tblW w:w="7763" w:type="dxa"/>
        <w:tblBorders>
          <w:top w:val="single" w:sz="12" w:space="0" w:color="000000"/>
          <w:bottom w:val="single" w:sz="12" w:space="0" w:color="000000"/>
        </w:tblBorders>
        <w:tblCellMar>
          <w:top w:w="28" w:type="dxa"/>
          <w:bottom w:w="28" w:type="dxa"/>
        </w:tblCellMar>
        <w:tblLook w:val="04A0" w:firstRow="1" w:lastRow="0" w:firstColumn="1" w:lastColumn="0" w:noHBand="0" w:noVBand="1"/>
      </w:tblPr>
      <w:tblGrid>
        <w:gridCol w:w="5495"/>
        <w:gridCol w:w="992"/>
        <w:gridCol w:w="1276"/>
      </w:tblGrid>
      <w:tr w:rsidR="004C402F" w14:paraId="3AD0921B" w14:textId="77777777" w:rsidTr="00122AC6">
        <w:trPr>
          <w:trHeight w:val="255"/>
        </w:trPr>
        <w:tc>
          <w:tcPr>
            <w:tcW w:w="5495" w:type="dxa"/>
            <w:tcBorders>
              <w:top w:val="dotted" w:sz="4" w:space="0" w:color="auto"/>
              <w:bottom w:val="dotted" w:sz="4" w:space="0" w:color="auto"/>
              <w:right w:val="nil"/>
            </w:tcBorders>
            <w:shd w:val="clear" w:color="auto" w:fill="auto"/>
            <w:noWrap/>
            <w:hideMark/>
          </w:tcPr>
          <w:p w14:paraId="2FAA916C" w14:textId="77777777" w:rsidR="004C402F" w:rsidRPr="00122AC6" w:rsidRDefault="004C402F" w:rsidP="00971054">
            <w:pPr>
              <w:pStyle w:val="TableTextLeft"/>
            </w:pPr>
            <w:r w:rsidRPr="00122AC6">
              <w:t xml:space="preserve">Tier </w:t>
            </w:r>
          </w:p>
        </w:tc>
        <w:tc>
          <w:tcPr>
            <w:tcW w:w="992" w:type="dxa"/>
            <w:tcBorders>
              <w:top w:val="dotted" w:sz="4" w:space="0" w:color="auto"/>
              <w:left w:val="nil"/>
              <w:bottom w:val="dotted" w:sz="4" w:space="0" w:color="auto"/>
            </w:tcBorders>
            <w:shd w:val="clear" w:color="auto" w:fill="auto"/>
            <w:noWrap/>
            <w:hideMark/>
          </w:tcPr>
          <w:p w14:paraId="3D99B52D" w14:textId="58348146" w:rsidR="004C402F" w:rsidRPr="00122AC6" w:rsidRDefault="001C67ED" w:rsidP="00971054">
            <w:pPr>
              <w:pStyle w:val="TableTextRight"/>
            </w:pPr>
            <w:r w:rsidRPr="00122AC6">
              <w:t>No.</w:t>
            </w:r>
            <w:r w:rsidR="004C402F" w:rsidRPr="00122AC6">
              <w:t xml:space="preserve"> </w:t>
            </w:r>
          </w:p>
        </w:tc>
        <w:tc>
          <w:tcPr>
            <w:tcW w:w="1276" w:type="dxa"/>
            <w:tcBorders>
              <w:top w:val="dotted" w:sz="4" w:space="0" w:color="auto"/>
              <w:bottom w:val="dotted" w:sz="4" w:space="0" w:color="auto"/>
            </w:tcBorders>
            <w:shd w:val="clear" w:color="auto" w:fill="auto"/>
            <w:noWrap/>
            <w:hideMark/>
          </w:tcPr>
          <w:p w14:paraId="4CC84A20" w14:textId="77777777" w:rsidR="004C402F" w:rsidRPr="00122AC6" w:rsidRDefault="004C402F" w:rsidP="00971054">
            <w:pPr>
              <w:pStyle w:val="TableTextRight"/>
            </w:pPr>
            <w:r w:rsidRPr="00122AC6">
              <w:t>Value $</w:t>
            </w:r>
          </w:p>
        </w:tc>
      </w:tr>
      <w:tr w:rsidR="004C402F" w14:paraId="0AAE1E1F" w14:textId="77777777" w:rsidTr="00122AC6">
        <w:trPr>
          <w:trHeight w:val="78"/>
        </w:trPr>
        <w:tc>
          <w:tcPr>
            <w:tcW w:w="5495" w:type="dxa"/>
            <w:tcBorders>
              <w:top w:val="dotted" w:sz="4" w:space="0" w:color="auto"/>
              <w:bottom w:val="nil"/>
              <w:right w:val="nil"/>
            </w:tcBorders>
            <w:shd w:val="clear" w:color="auto" w:fill="auto"/>
            <w:noWrap/>
            <w:hideMark/>
          </w:tcPr>
          <w:p w14:paraId="6E81DF89" w14:textId="77777777" w:rsidR="004C402F" w:rsidRPr="00A75FA9" w:rsidRDefault="004C402F" w:rsidP="00971054">
            <w:pPr>
              <w:pStyle w:val="TableTextLeft"/>
            </w:pPr>
            <w:r w:rsidRPr="00A75FA9">
              <w:t>Tier 1</w:t>
            </w:r>
          </w:p>
        </w:tc>
        <w:tc>
          <w:tcPr>
            <w:tcW w:w="992" w:type="dxa"/>
            <w:tcBorders>
              <w:top w:val="dotted" w:sz="4" w:space="0" w:color="auto"/>
              <w:left w:val="nil"/>
            </w:tcBorders>
            <w:shd w:val="clear" w:color="auto" w:fill="auto"/>
            <w:noWrap/>
            <w:hideMark/>
          </w:tcPr>
          <w:p w14:paraId="076980C9" w14:textId="77777777" w:rsidR="004C402F" w:rsidRPr="00A75FA9" w:rsidRDefault="004C402F" w:rsidP="00971054">
            <w:pPr>
              <w:pStyle w:val="TableTextRight"/>
            </w:pPr>
            <w:r w:rsidRPr="00A75FA9">
              <w:t>84</w:t>
            </w:r>
          </w:p>
        </w:tc>
        <w:tc>
          <w:tcPr>
            <w:tcW w:w="1276" w:type="dxa"/>
            <w:tcBorders>
              <w:top w:val="dotted" w:sz="4" w:space="0" w:color="auto"/>
            </w:tcBorders>
            <w:shd w:val="clear" w:color="auto" w:fill="auto"/>
            <w:noWrap/>
            <w:hideMark/>
          </w:tcPr>
          <w:p w14:paraId="757E55CA" w14:textId="77777777" w:rsidR="004C402F" w:rsidRPr="00A75FA9" w:rsidRDefault="004C402F" w:rsidP="00971054">
            <w:pPr>
              <w:pStyle w:val="TableTextRight"/>
            </w:pPr>
            <w:r w:rsidRPr="00A75FA9">
              <w:t>190,020</w:t>
            </w:r>
          </w:p>
        </w:tc>
      </w:tr>
      <w:tr w:rsidR="004C402F" w14:paraId="2AC91877" w14:textId="77777777" w:rsidTr="00122AC6">
        <w:trPr>
          <w:trHeight w:val="42"/>
        </w:trPr>
        <w:tc>
          <w:tcPr>
            <w:tcW w:w="5495" w:type="dxa"/>
            <w:tcBorders>
              <w:top w:val="nil"/>
              <w:bottom w:val="dotted" w:sz="4" w:space="0" w:color="auto"/>
              <w:right w:val="nil"/>
            </w:tcBorders>
            <w:shd w:val="clear" w:color="auto" w:fill="auto"/>
            <w:noWrap/>
            <w:hideMark/>
          </w:tcPr>
          <w:p w14:paraId="54C648C7" w14:textId="77777777" w:rsidR="004C402F" w:rsidRPr="00A75FA9" w:rsidRDefault="004C402F" w:rsidP="00971054">
            <w:pPr>
              <w:pStyle w:val="TableTextLeft"/>
            </w:pPr>
            <w:r w:rsidRPr="00A75FA9">
              <w:t>Tier 2</w:t>
            </w:r>
          </w:p>
        </w:tc>
        <w:tc>
          <w:tcPr>
            <w:tcW w:w="992" w:type="dxa"/>
            <w:tcBorders>
              <w:left w:val="nil"/>
              <w:bottom w:val="dotted" w:sz="4" w:space="0" w:color="auto"/>
            </w:tcBorders>
            <w:shd w:val="clear" w:color="auto" w:fill="auto"/>
            <w:noWrap/>
            <w:hideMark/>
          </w:tcPr>
          <w:p w14:paraId="55E2D900" w14:textId="77777777" w:rsidR="004C402F" w:rsidRPr="00A75FA9" w:rsidRDefault="004C402F" w:rsidP="00971054">
            <w:pPr>
              <w:pStyle w:val="TableTextRight"/>
            </w:pPr>
            <w:r w:rsidRPr="00A75FA9">
              <w:t>30</w:t>
            </w:r>
          </w:p>
        </w:tc>
        <w:tc>
          <w:tcPr>
            <w:tcW w:w="1276" w:type="dxa"/>
            <w:tcBorders>
              <w:bottom w:val="dotted" w:sz="4" w:space="0" w:color="auto"/>
            </w:tcBorders>
            <w:shd w:val="clear" w:color="auto" w:fill="auto"/>
            <w:noWrap/>
            <w:hideMark/>
          </w:tcPr>
          <w:p w14:paraId="7AABC59D" w14:textId="77777777" w:rsidR="004C402F" w:rsidRPr="00A75FA9" w:rsidRDefault="004C402F" w:rsidP="00971054">
            <w:pPr>
              <w:pStyle w:val="TableTextRight"/>
            </w:pPr>
            <w:r w:rsidRPr="00A75FA9">
              <w:t>324,000</w:t>
            </w:r>
          </w:p>
        </w:tc>
      </w:tr>
      <w:tr w:rsidR="004C402F" w14:paraId="694429AE" w14:textId="77777777" w:rsidTr="00122AC6">
        <w:trPr>
          <w:trHeight w:val="42"/>
        </w:trPr>
        <w:tc>
          <w:tcPr>
            <w:tcW w:w="5495" w:type="dxa"/>
            <w:tcBorders>
              <w:top w:val="dotted" w:sz="4" w:space="0" w:color="auto"/>
              <w:bottom w:val="dotted" w:sz="4" w:space="0" w:color="auto"/>
              <w:right w:val="nil"/>
            </w:tcBorders>
            <w:shd w:val="clear" w:color="auto" w:fill="auto"/>
            <w:noWrap/>
            <w:hideMark/>
          </w:tcPr>
          <w:p w14:paraId="7FBC4D71" w14:textId="77777777" w:rsidR="004C402F" w:rsidRPr="00122AC6" w:rsidRDefault="004C402F" w:rsidP="00971054">
            <w:pPr>
              <w:pStyle w:val="TableTextLeft"/>
            </w:pPr>
            <w:r w:rsidRPr="00122AC6">
              <w:t xml:space="preserve">Total </w:t>
            </w:r>
          </w:p>
        </w:tc>
        <w:tc>
          <w:tcPr>
            <w:tcW w:w="992" w:type="dxa"/>
            <w:tcBorders>
              <w:top w:val="dotted" w:sz="4" w:space="0" w:color="auto"/>
              <w:left w:val="nil"/>
              <w:bottom w:val="dotted" w:sz="4" w:space="0" w:color="auto"/>
            </w:tcBorders>
            <w:shd w:val="clear" w:color="auto" w:fill="auto"/>
            <w:noWrap/>
            <w:hideMark/>
          </w:tcPr>
          <w:p w14:paraId="75F3DB70" w14:textId="77777777" w:rsidR="004C402F" w:rsidRPr="00122AC6" w:rsidRDefault="004C402F" w:rsidP="00971054">
            <w:pPr>
              <w:pStyle w:val="TableTextRight"/>
            </w:pPr>
            <w:r w:rsidRPr="00122AC6">
              <w:t>114</w:t>
            </w:r>
          </w:p>
        </w:tc>
        <w:tc>
          <w:tcPr>
            <w:tcW w:w="1276" w:type="dxa"/>
            <w:tcBorders>
              <w:top w:val="dotted" w:sz="4" w:space="0" w:color="auto"/>
              <w:bottom w:val="dotted" w:sz="4" w:space="0" w:color="auto"/>
            </w:tcBorders>
            <w:shd w:val="clear" w:color="auto" w:fill="auto"/>
            <w:noWrap/>
            <w:hideMark/>
          </w:tcPr>
          <w:p w14:paraId="27364D67" w14:textId="77777777" w:rsidR="004C402F" w:rsidRPr="00122AC6" w:rsidRDefault="004C402F" w:rsidP="00971054">
            <w:pPr>
              <w:pStyle w:val="TableTextRight"/>
            </w:pPr>
            <w:r w:rsidRPr="00122AC6">
              <w:t>514,020</w:t>
            </w:r>
          </w:p>
        </w:tc>
      </w:tr>
    </w:tbl>
    <w:p w14:paraId="5BFB946E" w14:textId="3B3EFD2D" w:rsidR="000B584F" w:rsidRDefault="000B584F" w:rsidP="004C402F">
      <w:pPr>
        <w:spacing w:line="240" w:lineRule="auto"/>
        <w:rPr>
          <w:color w:val="auto"/>
        </w:rPr>
      </w:pPr>
    </w:p>
    <w:p w14:paraId="4B0C98D0" w14:textId="77777777" w:rsidR="00971054" w:rsidRDefault="00971054" w:rsidP="004C402F">
      <w:pPr>
        <w:spacing w:line="240" w:lineRule="auto"/>
        <w:rPr>
          <w:color w:val="auto"/>
        </w:rPr>
        <w:sectPr w:rsidR="00971054" w:rsidSect="0020758A">
          <w:headerReference w:type="even" r:id="rId100"/>
          <w:headerReference w:type="default" r:id="rId101"/>
          <w:headerReference w:type="first" r:id="rId102"/>
          <w:footerReference w:type="first" r:id="rId103"/>
          <w:type w:val="oddPage"/>
          <w:pgSz w:w="11907" w:h="16840" w:code="9"/>
          <w:pgMar w:top="2466" w:right="2098" w:bottom="2466" w:left="2098" w:header="1899" w:footer="1899" w:gutter="0"/>
          <w:cols w:space="708"/>
          <w:titlePg/>
          <w:docGrid w:linePitch="360"/>
        </w:sectPr>
      </w:pPr>
    </w:p>
    <w:p w14:paraId="7382B072" w14:textId="32593B4B" w:rsidR="00FE4F85" w:rsidRPr="004C1836" w:rsidRDefault="00E30512" w:rsidP="00FE4F85">
      <w:pPr>
        <w:pStyle w:val="Heading1"/>
      </w:pPr>
      <w:bookmarkStart w:id="56" w:name="_Toc476737083"/>
      <w:r>
        <w:rPr>
          <w:noProof/>
        </w:rPr>
        <w:lastRenderedPageBreak/>
        <w:drawing>
          <wp:anchor distT="0" distB="0" distL="114300" distR="114300" simplePos="0" relativeHeight="251658256" behindDoc="0" locked="0" layoutInCell="1" allowOverlap="1" wp14:anchorId="3EB6D20B" wp14:editId="7A5A4579">
            <wp:simplePos x="0" y="0"/>
            <wp:positionH relativeFrom="column">
              <wp:posOffset>-22225</wp:posOffset>
            </wp:positionH>
            <wp:positionV relativeFrom="paragraph">
              <wp:posOffset>-8255</wp:posOffset>
            </wp:positionV>
            <wp:extent cx="4896485" cy="28657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896485" cy="2865755"/>
                    </a:xfrm>
                    <a:prstGeom prst="rect">
                      <a:avLst/>
                    </a:prstGeom>
                  </pic:spPr>
                </pic:pic>
              </a:graphicData>
            </a:graphic>
            <wp14:sizeRelH relativeFrom="page">
              <wp14:pctWidth>0</wp14:pctWidth>
            </wp14:sizeRelH>
            <wp14:sizeRelV relativeFrom="page">
              <wp14:pctHeight>0</wp14:pctHeight>
            </wp14:sizeRelV>
          </wp:anchor>
        </w:drawing>
      </w:r>
      <w:r w:rsidR="00FE4F85">
        <w:t>Appendix A Methodological and Data Caveats</w:t>
      </w:r>
      <w:bookmarkEnd w:id="56"/>
    </w:p>
    <w:p w14:paraId="22B211AA" w14:textId="30A83186" w:rsidR="00971054" w:rsidRDefault="00971054" w:rsidP="00FE4F85"/>
    <w:p w14:paraId="3078FC6E" w14:textId="143E3A8F" w:rsidR="000B584F" w:rsidRDefault="000B584F" w:rsidP="00FE4F85"/>
    <w:p w14:paraId="2C78D789" w14:textId="77777777" w:rsidR="000B584F" w:rsidRDefault="000B584F" w:rsidP="00FE4F85"/>
    <w:p w14:paraId="32F178DD" w14:textId="12C7758A" w:rsidR="000B584F" w:rsidRDefault="000B584F" w:rsidP="00FE4F85"/>
    <w:p w14:paraId="74B684CF" w14:textId="5A78A3F6" w:rsidR="000B584F" w:rsidRDefault="000B584F" w:rsidP="00FE4F85"/>
    <w:p w14:paraId="1911E0D4" w14:textId="77777777" w:rsidR="000B584F" w:rsidRDefault="000B584F" w:rsidP="00FE4F85"/>
    <w:p w14:paraId="5DEAE095" w14:textId="77777777" w:rsidR="000B584F" w:rsidRDefault="000B584F" w:rsidP="00FE4F85"/>
    <w:p w14:paraId="16B69D7B" w14:textId="77777777" w:rsidR="000B584F" w:rsidRDefault="000B584F" w:rsidP="00FE4F85"/>
    <w:p w14:paraId="76C439FE" w14:textId="77777777" w:rsidR="000B584F" w:rsidRDefault="000B584F" w:rsidP="00FE4F85"/>
    <w:p w14:paraId="3F4FD792" w14:textId="77777777" w:rsidR="004C402F" w:rsidRPr="00E9641C" w:rsidRDefault="004C402F" w:rsidP="00FE4F85"/>
    <w:p w14:paraId="7FFF2DDF" w14:textId="77777777" w:rsidR="009F0269" w:rsidRDefault="009F0269" w:rsidP="00FE4F85"/>
    <w:p w14:paraId="42C9E0C6" w14:textId="62F6B35F" w:rsidR="00E9641C" w:rsidRPr="00E9641C" w:rsidRDefault="00E9641C" w:rsidP="00D94169">
      <w:pPr>
        <w:rPr>
          <w:sz w:val="24"/>
        </w:rPr>
      </w:pPr>
      <w:r w:rsidRPr="00D94169">
        <w:rPr>
          <w:color w:val="auto"/>
        </w:rPr>
        <w:t xml:space="preserve">This appendix provides an overview of the main methodological and data caveats that apply to </w:t>
      </w:r>
      <w:r w:rsidR="008A1E11" w:rsidRPr="00D94169">
        <w:rPr>
          <w:color w:val="auto"/>
        </w:rPr>
        <w:t xml:space="preserve">proposal data in </w:t>
      </w:r>
      <w:r w:rsidRPr="00D94169">
        <w:rPr>
          <w:color w:val="auto"/>
        </w:rPr>
        <w:t>th</w:t>
      </w:r>
      <w:r w:rsidR="0064640E" w:rsidRPr="00D94169">
        <w:rPr>
          <w:color w:val="auto"/>
        </w:rPr>
        <w:t>is</w:t>
      </w:r>
      <w:r w:rsidRPr="00D94169">
        <w:rPr>
          <w:color w:val="auto"/>
        </w:rPr>
        <w:t xml:space="preserve"> Annual </w:t>
      </w:r>
      <w:r w:rsidRPr="00D94169">
        <w:rPr>
          <w:color w:val="auto"/>
          <w:szCs w:val="24"/>
        </w:rPr>
        <w:t>Report.</w:t>
      </w:r>
      <w:r w:rsidRPr="00D94169">
        <w:rPr>
          <w:color w:val="auto"/>
        </w:rPr>
        <w:t xml:space="preserve"> While a useful source of data on proposed foreign direct investment in Australia, the Board urges caution in the use of these statistics, </w:t>
      </w:r>
      <w:r w:rsidR="0091637D">
        <w:rPr>
          <w:color w:val="auto"/>
        </w:rPr>
        <w:t>particularly</w:t>
      </w:r>
      <w:r w:rsidRPr="00D94169">
        <w:rPr>
          <w:color w:val="auto"/>
        </w:rPr>
        <w:t xml:space="preserve"> when making comparisons with earlier years</w:t>
      </w:r>
      <w:r w:rsidR="0091637D">
        <w:rPr>
          <w:color w:val="auto"/>
        </w:rPr>
        <w:t xml:space="preserve"> or alternate data sources on foreign investment</w:t>
      </w:r>
      <w:r w:rsidRPr="00D94169">
        <w:rPr>
          <w:color w:val="auto"/>
        </w:rPr>
        <w:t>.</w:t>
      </w:r>
    </w:p>
    <w:p w14:paraId="55C0EA0A" w14:textId="77777777" w:rsidR="00E9641C" w:rsidRPr="00E9641C" w:rsidRDefault="00E9641C" w:rsidP="00C72611">
      <w:pPr>
        <w:pStyle w:val="Heading2noTOC"/>
        <w:rPr>
          <w:rFonts w:eastAsiaTheme="majorEastAsia" w:cstheme="majorBidi"/>
          <w:smallCaps/>
          <w:color w:val="4F81BD" w:themeColor="accent1"/>
          <w:sz w:val="24"/>
        </w:rPr>
      </w:pPr>
      <w:r w:rsidRPr="00D94169">
        <w:rPr>
          <w:rFonts w:eastAsiaTheme="majorEastAsia"/>
        </w:rPr>
        <w:t>Methodological and data caveats</w:t>
      </w:r>
    </w:p>
    <w:p w14:paraId="64DF60DD" w14:textId="39076ABB" w:rsidR="00E9641C" w:rsidRPr="00D94169" w:rsidRDefault="00E9641C" w:rsidP="00D94169">
      <w:pPr>
        <w:pStyle w:val="Bullet"/>
        <w:spacing w:before="60" w:after="60"/>
        <w:rPr>
          <w:rFonts w:ascii="Calibri" w:hAnsi="Calibri"/>
        </w:rPr>
      </w:pPr>
      <w:r w:rsidRPr="00D94169">
        <w:rPr>
          <w:rFonts w:ascii="Calibri" w:hAnsi="Calibri"/>
        </w:rPr>
        <w:t xml:space="preserve">The statistics contained in this </w:t>
      </w:r>
      <w:r w:rsidR="00DA4A92" w:rsidRPr="00D94169">
        <w:rPr>
          <w:rFonts w:ascii="Calibri" w:hAnsi="Calibri"/>
        </w:rPr>
        <w:t xml:space="preserve">Annual </w:t>
      </w:r>
      <w:r w:rsidRPr="00D94169">
        <w:rPr>
          <w:rFonts w:ascii="Calibri" w:hAnsi="Calibri"/>
        </w:rPr>
        <w:t>Report do not measure total foreign investment made in any year, nor do they measure changes in net foreign ownership levels in Australia. They reflect investor intentions (not actual purchases) to acquire Australian assets. They can be skewed by very large investment proposals and multiple proposals for the same target.</w:t>
      </w:r>
    </w:p>
    <w:p w14:paraId="68A14CEB" w14:textId="09F7C638" w:rsidR="00E9641C" w:rsidRPr="00D94169" w:rsidRDefault="00E9641C" w:rsidP="00D94169">
      <w:pPr>
        <w:pStyle w:val="Bullet"/>
        <w:spacing w:before="60" w:after="60"/>
        <w:rPr>
          <w:rFonts w:ascii="Calibri" w:hAnsi="Calibri"/>
        </w:rPr>
      </w:pPr>
      <w:r w:rsidRPr="00D94169">
        <w:rPr>
          <w:rFonts w:ascii="Calibri" w:hAnsi="Calibri"/>
        </w:rPr>
        <w:t>There are substantial differences between these statistics on proposed investments and actual investment flows. The latter are more reliably captured by the Australian Bureau of Statistics, which seeks to reflect more comprehensively investment transactions between residents of Australia and non</w:t>
      </w:r>
      <w:r w:rsidR="008205A1">
        <w:rPr>
          <w:rFonts w:ascii="Calibri" w:hAnsi="Calibri"/>
        </w:rPr>
        <w:noBreakHyphen/>
      </w:r>
      <w:r w:rsidRPr="00D94169">
        <w:rPr>
          <w:rFonts w:ascii="Calibri" w:hAnsi="Calibri"/>
        </w:rPr>
        <w:t>residents.</w:t>
      </w:r>
    </w:p>
    <w:p w14:paraId="552AE1C3" w14:textId="47708BD2" w:rsidR="00E9641C" w:rsidRPr="00D94169" w:rsidRDefault="00E9641C" w:rsidP="00D94169">
      <w:pPr>
        <w:pStyle w:val="Bullet"/>
        <w:spacing w:before="60" w:after="60"/>
        <w:rPr>
          <w:rFonts w:ascii="Calibri" w:hAnsi="Calibri"/>
        </w:rPr>
      </w:pPr>
      <w:r w:rsidRPr="00D94169">
        <w:rPr>
          <w:rFonts w:ascii="Calibri" w:hAnsi="Calibri"/>
        </w:rPr>
        <w:t>Data capture, systems and reporting methodologies change over time</w:t>
      </w:r>
      <w:r w:rsidR="0064640E" w:rsidRPr="00D94169">
        <w:rPr>
          <w:rFonts w:ascii="Calibri" w:hAnsi="Calibri"/>
        </w:rPr>
        <w:t xml:space="preserve"> and from this Annual Report onwards </w:t>
      </w:r>
      <w:r w:rsidR="00CB1D53" w:rsidRPr="00D94169">
        <w:rPr>
          <w:rFonts w:ascii="Calibri" w:hAnsi="Calibri"/>
        </w:rPr>
        <w:t xml:space="preserve">much of the data </w:t>
      </w:r>
      <w:r w:rsidR="0064640E" w:rsidRPr="00D94169">
        <w:rPr>
          <w:rFonts w:ascii="Calibri" w:hAnsi="Calibri"/>
        </w:rPr>
        <w:t xml:space="preserve">is an aggregation of </w:t>
      </w:r>
      <w:r w:rsidR="00CB1D53" w:rsidRPr="00D94169">
        <w:rPr>
          <w:rFonts w:ascii="Calibri" w:hAnsi="Calibri"/>
        </w:rPr>
        <w:t xml:space="preserve">separate data captured by </w:t>
      </w:r>
      <w:r w:rsidR="0064640E" w:rsidRPr="00D94169">
        <w:rPr>
          <w:rFonts w:ascii="Calibri" w:hAnsi="Calibri"/>
        </w:rPr>
        <w:t xml:space="preserve">Treasury and </w:t>
      </w:r>
      <w:r w:rsidR="00CB1D53" w:rsidRPr="00D94169">
        <w:rPr>
          <w:rFonts w:ascii="Calibri" w:hAnsi="Calibri"/>
        </w:rPr>
        <w:t xml:space="preserve">the </w:t>
      </w:r>
      <w:proofErr w:type="spellStart"/>
      <w:r w:rsidR="0064640E" w:rsidRPr="00D94169">
        <w:rPr>
          <w:rFonts w:ascii="Calibri" w:hAnsi="Calibri"/>
        </w:rPr>
        <w:t>ATO</w:t>
      </w:r>
      <w:proofErr w:type="spellEnd"/>
      <w:r w:rsidDel="0064640E">
        <w:rPr>
          <w:rFonts w:ascii="Calibri" w:hAnsi="Calibri"/>
        </w:rPr>
        <w:t>.</w:t>
      </w:r>
    </w:p>
    <w:p w14:paraId="4026076C" w14:textId="0E9633DA" w:rsidR="00E9641C" w:rsidRPr="00D94169" w:rsidRDefault="00E9641C" w:rsidP="00D94169">
      <w:pPr>
        <w:pStyle w:val="Bullet"/>
        <w:spacing w:before="60" w:after="60"/>
        <w:rPr>
          <w:rFonts w:ascii="Calibri" w:hAnsi="Calibri"/>
        </w:rPr>
      </w:pPr>
      <w:r w:rsidRPr="00D94169">
        <w:rPr>
          <w:rFonts w:ascii="Calibri" w:hAnsi="Calibri"/>
        </w:rPr>
        <w:t>Data presented for earlier years may also have been revised since last published. This Annual Report includes two material revisions to 2014</w:t>
      </w:r>
      <w:r w:rsidR="008205A1">
        <w:rPr>
          <w:rFonts w:ascii="Calibri" w:hAnsi="Calibri"/>
        </w:rPr>
        <w:noBreakHyphen/>
      </w:r>
      <w:r w:rsidRPr="00D94169">
        <w:rPr>
          <w:rFonts w:ascii="Calibri" w:hAnsi="Calibri"/>
        </w:rPr>
        <w:t>15 data:</w:t>
      </w:r>
    </w:p>
    <w:p w14:paraId="4B987C29" w14:textId="00C3D59D" w:rsidR="00E9641C" w:rsidRPr="00D94169" w:rsidRDefault="00D94169" w:rsidP="00D94169">
      <w:pPr>
        <w:pStyle w:val="Dash"/>
        <w:spacing w:before="60" w:after="60"/>
        <w:ind w:left="942" w:hanging="471"/>
      </w:pPr>
      <w:proofErr w:type="gramStart"/>
      <w:r>
        <w:lastRenderedPageBreak/>
        <w:t>t</w:t>
      </w:r>
      <w:r w:rsidR="00E9641C" w:rsidRPr="00D94169">
        <w:t>he</w:t>
      </w:r>
      <w:proofErr w:type="gramEnd"/>
      <w:r w:rsidR="00E9641C" w:rsidRPr="00D94169">
        <w:t xml:space="preserve"> total value of applications </w:t>
      </w:r>
      <w:r w:rsidR="00C94FD2" w:rsidRPr="00D94169">
        <w:t xml:space="preserve">has been revised down by </w:t>
      </w:r>
      <w:r w:rsidR="0064640E" w:rsidRPr="00D94169">
        <w:t>$2.75</w:t>
      </w:r>
      <w:r w:rsidRPr="00D94169">
        <w:t> </w:t>
      </w:r>
      <w:r w:rsidR="0064640E" w:rsidRPr="00D94169">
        <w:t xml:space="preserve">billion </w:t>
      </w:r>
      <w:r w:rsidR="00C94FD2" w:rsidRPr="00D94169">
        <w:t xml:space="preserve">due to a </w:t>
      </w:r>
      <w:r w:rsidR="00E9641C" w:rsidRPr="00D94169">
        <w:t xml:space="preserve">data revision </w:t>
      </w:r>
      <w:r w:rsidR="0064640E" w:rsidRPr="00D94169">
        <w:t xml:space="preserve">for approvals </w:t>
      </w:r>
      <w:r w:rsidR="00D73834">
        <w:t>in the a</w:t>
      </w:r>
      <w:r w:rsidR="00E9641C" w:rsidRPr="00D94169">
        <w:t>griculture sector. This also flows through to approvals by country</w:t>
      </w:r>
      <w:r w:rsidR="00C94FD2" w:rsidRPr="00D94169">
        <w:t>, with this revision being split 65:20:15 between China, Singapore and the United States</w:t>
      </w:r>
      <w:r w:rsidR="00796100">
        <w:t xml:space="preserve"> (US)</w:t>
      </w:r>
      <w:r w:rsidR="00E9641C" w:rsidRPr="00D94169">
        <w:t>; and</w:t>
      </w:r>
    </w:p>
    <w:p w14:paraId="39583E0D" w14:textId="49D90ADB" w:rsidR="00E9641C" w:rsidRPr="00D94169" w:rsidRDefault="00D94169" w:rsidP="00D94169">
      <w:pPr>
        <w:pStyle w:val="Dash"/>
        <w:spacing w:before="60" w:after="60"/>
        <w:ind w:left="942" w:hanging="471"/>
      </w:pPr>
      <w:proofErr w:type="gramStart"/>
      <w:r>
        <w:t>t</w:t>
      </w:r>
      <w:r w:rsidR="00E9641C" w:rsidRPr="00D94169">
        <w:t>he</w:t>
      </w:r>
      <w:proofErr w:type="gramEnd"/>
      <w:r w:rsidR="00E9641C" w:rsidRPr="00D94169">
        <w:t xml:space="preserve"> split between conditional and unconditional approval</w:t>
      </w:r>
      <w:r w:rsidR="00C94FD2" w:rsidRPr="00D94169">
        <w:t>s by both number and value</w:t>
      </w:r>
      <w:r w:rsidRPr="00D94169">
        <w:t xml:space="preserve"> has been revised</w:t>
      </w:r>
      <w:r w:rsidR="00C94FD2" w:rsidRPr="00D94169">
        <w:t xml:space="preserve"> to </w:t>
      </w:r>
      <w:r w:rsidR="00323053" w:rsidRPr="00D94169">
        <w:t>allocate</w:t>
      </w:r>
      <w:r w:rsidR="00C94FD2" w:rsidRPr="00D94169">
        <w:t xml:space="preserve"> more cases to approved with conditions. The impact by value is far more significant than the impact by number</w:t>
      </w:r>
      <w:r w:rsidR="00E9641C" w:rsidRPr="00D94169">
        <w:t>.</w:t>
      </w:r>
    </w:p>
    <w:p w14:paraId="0951514B" w14:textId="65EB0627" w:rsidR="00E9641C" w:rsidRPr="00D94169" w:rsidRDefault="00E9641C" w:rsidP="00D94169">
      <w:pPr>
        <w:pStyle w:val="Bullet"/>
        <w:spacing w:before="60" w:after="60"/>
        <w:rPr>
          <w:rFonts w:ascii="Calibri" w:hAnsi="Calibri"/>
        </w:rPr>
      </w:pPr>
      <w:r w:rsidRPr="00D94169">
        <w:rPr>
          <w:rFonts w:ascii="Calibri" w:hAnsi="Calibri"/>
        </w:rPr>
        <w:t xml:space="preserve">The figures are based on the assumption that investment funds will be sourced from overseas. The extent to which approved investment proposals will actually be funded from outside of Australia and result in foreign capital inflows depends not only upon whether they are implemented, but also upon the proportion that is financed from foreign sources. </w:t>
      </w:r>
      <w:r w:rsidR="00796100">
        <w:rPr>
          <w:rFonts w:ascii="Calibri" w:hAnsi="Calibri"/>
        </w:rPr>
        <w:t>T</w:t>
      </w:r>
      <w:r w:rsidRPr="00D94169">
        <w:rPr>
          <w:rFonts w:ascii="Calibri" w:hAnsi="Calibri"/>
        </w:rPr>
        <w:t>he proposed funds to be invested may be contributed by Australians, for example, where they are in partnership with foreign interests, or where the investment is financed from existing Australian operations.</w:t>
      </w:r>
    </w:p>
    <w:p w14:paraId="0FA85230" w14:textId="32A73EA5" w:rsidR="00E9641C" w:rsidRPr="00D94169" w:rsidRDefault="0091637D" w:rsidP="00D94169">
      <w:pPr>
        <w:pStyle w:val="Bullet"/>
        <w:spacing w:before="60" w:after="60"/>
        <w:rPr>
          <w:rFonts w:ascii="Calibri" w:hAnsi="Calibri"/>
        </w:rPr>
      </w:pPr>
      <w:r>
        <w:rPr>
          <w:rFonts w:ascii="Calibri" w:hAnsi="Calibri"/>
        </w:rPr>
        <w:t xml:space="preserve">The source of proposed investment identified in the Board statistics does not </w:t>
      </w:r>
      <w:r w:rsidR="00156E8D">
        <w:rPr>
          <w:rFonts w:ascii="Calibri" w:hAnsi="Calibri"/>
        </w:rPr>
        <w:t>necessarily</w:t>
      </w:r>
      <w:r>
        <w:rPr>
          <w:rFonts w:ascii="Calibri" w:hAnsi="Calibri"/>
        </w:rPr>
        <w:t xml:space="preserve"> reflect the range of shareholders.</w:t>
      </w:r>
      <w:r w:rsidR="00E9641C" w:rsidRPr="00D94169">
        <w:rPr>
          <w:rFonts w:ascii="Calibri" w:hAnsi="Calibri"/>
        </w:rPr>
        <w:t xml:space="preserve"> For example, the source may be attributed to a company</w:t>
      </w:r>
      <w:r w:rsidR="008205A1">
        <w:rPr>
          <w:rFonts w:ascii="Calibri" w:hAnsi="Calibri"/>
        </w:rPr>
        <w:t>’</w:t>
      </w:r>
      <w:r w:rsidR="00E9641C" w:rsidRPr="00D94169">
        <w:rPr>
          <w:rFonts w:ascii="Calibri" w:hAnsi="Calibri"/>
        </w:rPr>
        <w:t>s single substantial shareholder, or if a company</w:t>
      </w:r>
      <w:r w:rsidR="008205A1">
        <w:rPr>
          <w:rFonts w:ascii="Calibri" w:hAnsi="Calibri"/>
        </w:rPr>
        <w:t>’</w:t>
      </w:r>
      <w:r w:rsidR="00E9641C" w:rsidRPr="00D94169">
        <w:rPr>
          <w:rFonts w:ascii="Calibri" w:hAnsi="Calibri"/>
        </w:rPr>
        <w:t>s shares are widely held, the country of domicile or incorporation may be recorded.</w:t>
      </w:r>
    </w:p>
    <w:p w14:paraId="21E304F8" w14:textId="77777777" w:rsidR="00E9641C" w:rsidRPr="00D94169" w:rsidRDefault="00E9641C" w:rsidP="00D94169">
      <w:pPr>
        <w:pStyle w:val="Bullet"/>
        <w:spacing w:before="60" w:after="60"/>
        <w:rPr>
          <w:rFonts w:ascii="Calibri" w:hAnsi="Calibri"/>
        </w:rPr>
      </w:pPr>
      <w:r w:rsidRPr="00D94169">
        <w:rPr>
          <w:rFonts w:ascii="Calibri" w:hAnsi="Calibri"/>
        </w:rPr>
        <w:t xml:space="preserve">The data do not necessarily reflect a change in foreign ownership as, in some </w:t>
      </w:r>
      <w:proofErr w:type="gramStart"/>
      <w:r w:rsidRPr="00D94169">
        <w:rPr>
          <w:rFonts w:ascii="Calibri" w:hAnsi="Calibri"/>
        </w:rPr>
        <w:t>cases,</w:t>
      </w:r>
      <w:proofErr w:type="gramEnd"/>
      <w:r w:rsidRPr="00D94169">
        <w:rPr>
          <w:rFonts w:ascii="Calibri" w:hAnsi="Calibri"/>
        </w:rPr>
        <w:t xml:space="preserve"> both the target and the purchaser are foreign persons.</w:t>
      </w:r>
    </w:p>
    <w:p w14:paraId="1D4258FD" w14:textId="6736C5FF" w:rsidR="00E9641C" w:rsidRPr="00D94169" w:rsidRDefault="00E9641C" w:rsidP="00D94169">
      <w:pPr>
        <w:pStyle w:val="Bullet"/>
        <w:spacing w:before="60" w:after="60"/>
        <w:rPr>
          <w:rFonts w:ascii="Calibri" w:hAnsi="Calibri"/>
        </w:rPr>
      </w:pPr>
      <w:r w:rsidRPr="00D94169">
        <w:rPr>
          <w:rFonts w:ascii="Calibri" w:hAnsi="Calibri"/>
        </w:rPr>
        <w:t>The proposed investment of an approved proposal is the amount advised by the applicant or the best estimate based on the available information. It represents an estimate of the expected proposed investment in the 12 months from the approval unless the approval is granted for a longer period (if the proposal is implemented).</w:t>
      </w:r>
    </w:p>
    <w:p w14:paraId="155CB2E9" w14:textId="5047F7DE" w:rsidR="00E9641C" w:rsidRPr="00D94169" w:rsidRDefault="00E9641C" w:rsidP="00D94169">
      <w:pPr>
        <w:pStyle w:val="Dash"/>
        <w:spacing w:before="60" w:after="60"/>
        <w:ind w:left="942" w:hanging="471"/>
      </w:pPr>
      <w:r w:rsidRPr="00D94169">
        <w:t>Where an approved acquisition is a part of an offshore acquisition, the proposed investment figure is calculated based on the share attributable to the approved acquisition</w:t>
      </w:r>
      <w:r w:rsidR="00796100">
        <w:t xml:space="preserve"> in Australia</w:t>
      </w:r>
      <w:r w:rsidRPr="00D94169">
        <w:t>.</w:t>
      </w:r>
    </w:p>
    <w:p w14:paraId="204855AF" w14:textId="77777777" w:rsidR="00E9641C" w:rsidRPr="00D94169" w:rsidRDefault="00E9641C" w:rsidP="00D94169">
      <w:pPr>
        <w:pStyle w:val="Dash"/>
        <w:spacing w:before="60" w:after="60"/>
        <w:ind w:left="942" w:hanging="471"/>
      </w:pPr>
      <w:r w:rsidRPr="00D94169">
        <w:t>Where amounts are in a foreign currency, this is converted to Australian dollars based on the exchange rate at the time of the decision.</w:t>
      </w:r>
    </w:p>
    <w:p w14:paraId="120BE787" w14:textId="6E31855D" w:rsidR="00E9641C" w:rsidRPr="00D94169" w:rsidRDefault="00E9641C" w:rsidP="00D94169">
      <w:pPr>
        <w:pStyle w:val="Dash"/>
        <w:spacing w:before="60" w:after="60"/>
        <w:ind w:left="942" w:hanging="471"/>
      </w:pPr>
      <w:r w:rsidRPr="00D94169">
        <w:t>There are some approved proposals for which pr</w:t>
      </w:r>
      <w:r>
        <w:t>oposed investment is treated as</w:t>
      </w:r>
      <w:r w:rsidR="00D94169">
        <w:t> </w:t>
      </w:r>
      <w:r w:rsidRPr="00D94169">
        <w:t xml:space="preserve">nil. Examples of this include </w:t>
      </w:r>
      <w:r w:rsidR="00796100">
        <w:t xml:space="preserve">internal </w:t>
      </w:r>
      <w:r w:rsidRPr="00D94169">
        <w:t>corporate reorganisations, financing arrangements and where foreign government investor lenders take security interests, but do not have approval to retain ownership after any enforcement of such security interests.</w:t>
      </w:r>
    </w:p>
    <w:p w14:paraId="6DBDEE6C" w14:textId="77777777" w:rsidR="00E9641C" w:rsidRPr="00D94169" w:rsidRDefault="00E9641C" w:rsidP="00D94169">
      <w:pPr>
        <w:pStyle w:val="Bullet"/>
        <w:spacing w:before="60" w:after="0"/>
        <w:rPr>
          <w:rFonts w:ascii="Calibri" w:hAnsi="Calibri"/>
        </w:rPr>
      </w:pPr>
      <w:r w:rsidRPr="00D94169">
        <w:rPr>
          <w:rFonts w:ascii="Calibri" w:hAnsi="Calibri"/>
        </w:rPr>
        <w:t>The statistics may include some transactions that do not actually proceed. They include:</w:t>
      </w:r>
    </w:p>
    <w:p w14:paraId="2A7090E8" w14:textId="4FC5CC0A" w:rsidR="00E9641C" w:rsidRPr="00D94169" w:rsidRDefault="00D94169" w:rsidP="00D94169">
      <w:pPr>
        <w:pStyle w:val="Dash"/>
        <w:spacing w:before="60" w:after="60"/>
        <w:ind w:left="942" w:hanging="471"/>
      </w:pPr>
      <w:r>
        <w:t>p</w:t>
      </w:r>
      <w:r w:rsidR="00E9641C" w:rsidRPr="00D94169">
        <w:t>roposals that are approved in a given year but which are not actually implemented in that year or at all;</w:t>
      </w:r>
    </w:p>
    <w:p w14:paraId="3B73EEDF" w14:textId="004CB447" w:rsidR="00E9641C" w:rsidRPr="00D94169" w:rsidRDefault="00D94169" w:rsidP="00D94169">
      <w:pPr>
        <w:pStyle w:val="Dash"/>
        <w:spacing w:before="60" w:after="60"/>
        <w:ind w:left="942" w:hanging="471"/>
      </w:pPr>
      <w:r>
        <w:t>a</w:t>
      </w:r>
      <w:r w:rsidR="00E9641C" w:rsidRPr="00D94169">
        <w:t>pprovals for multiple potential acquirers of the same target (including for potential consortium participants that are yet to determine their final maximum percentage interest); and</w:t>
      </w:r>
    </w:p>
    <w:p w14:paraId="699FABA3" w14:textId="6D72040D" w:rsidR="00E9641C" w:rsidRPr="00D94169" w:rsidRDefault="00D94169" w:rsidP="00D94169">
      <w:pPr>
        <w:pStyle w:val="Dash"/>
        <w:spacing w:before="60" w:after="60"/>
        <w:ind w:left="942" w:hanging="471"/>
      </w:pPr>
      <w:proofErr w:type="gramStart"/>
      <w:r>
        <w:t>a</w:t>
      </w:r>
      <w:r w:rsidR="00E9641C" w:rsidRPr="00D94169">
        <w:t>pprovals</w:t>
      </w:r>
      <w:proofErr w:type="gramEnd"/>
      <w:r w:rsidR="00E9641C" w:rsidRPr="00D94169">
        <w:t xml:space="preserve"> for shares or units where only a portion of the intended shares or units may be acquired.</w:t>
      </w:r>
    </w:p>
    <w:p w14:paraId="6A013C3B" w14:textId="77777777" w:rsidR="00E9641C" w:rsidRPr="00D94169" w:rsidRDefault="00E9641C" w:rsidP="00D94169">
      <w:pPr>
        <w:pStyle w:val="Bullet"/>
        <w:spacing w:before="60" w:after="0"/>
        <w:rPr>
          <w:rFonts w:ascii="Calibri" w:hAnsi="Calibri"/>
        </w:rPr>
      </w:pPr>
      <w:r w:rsidRPr="00D94169">
        <w:rPr>
          <w:rFonts w:ascii="Calibri" w:hAnsi="Calibri"/>
        </w:rPr>
        <w:lastRenderedPageBreak/>
        <w:t>Acquisitions of diversified company groups are classified into a single industry sector according to the major activity of the group, such as in a diversified mining company with interests in various minerals. Acquisitions of real estate to be used for purposes incidental to the main business activity of the purchaser are classified according to that activity.</w:t>
      </w:r>
      <w:r w:rsidRPr="00D94169">
        <w:rPr>
          <w:rFonts w:ascii="Calibri" w:hAnsi="Calibri"/>
          <w:vertAlign w:val="superscript"/>
        </w:rPr>
        <w:footnoteReference w:id="5"/>
      </w:r>
    </w:p>
    <w:p w14:paraId="4C7098B2" w14:textId="77777777" w:rsidR="00E9641C" w:rsidRPr="00E9641C" w:rsidRDefault="00E9641C" w:rsidP="00115593">
      <w:pPr>
        <w:pStyle w:val="Heading3"/>
        <w:rPr>
          <w:b w:val="0"/>
          <w:bCs w:val="0"/>
          <w:iCs/>
          <w:smallCaps/>
        </w:rPr>
      </w:pPr>
      <w:r w:rsidRPr="00D638EF">
        <w:t xml:space="preserve">Policy scope </w:t>
      </w:r>
      <w:r w:rsidRPr="00115593">
        <w:t>and</w:t>
      </w:r>
      <w:r w:rsidRPr="00D638EF">
        <w:t xml:space="preserve"> changes</w:t>
      </w:r>
    </w:p>
    <w:p w14:paraId="169EC8C5" w14:textId="087464F7" w:rsidR="00E9641C" w:rsidRPr="00D638EF" w:rsidRDefault="00E9641C" w:rsidP="00D638EF">
      <w:pPr>
        <w:rPr>
          <w:color w:val="auto"/>
        </w:rPr>
      </w:pPr>
      <w:r w:rsidRPr="00D638EF">
        <w:rPr>
          <w:color w:val="auto"/>
        </w:rPr>
        <w:t>The breadth of the data reflects the requirements of Governme</w:t>
      </w:r>
      <w:r>
        <w:rPr>
          <w:color w:val="auto"/>
        </w:rPr>
        <w:t>nt policy at the time. The</w:t>
      </w:r>
      <w:r w:rsidR="00D638EF">
        <w:rPr>
          <w:color w:val="auto"/>
          <w:szCs w:val="24"/>
        </w:rPr>
        <w:t> </w:t>
      </w:r>
      <w:r w:rsidRPr="00D638EF">
        <w:rPr>
          <w:color w:val="auto"/>
        </w:rPr>
        <w:t xml:space="preserve">data do not cover foreign investments below the various </w:t>
      </w:r>
      <w:r w:rsidR="00D5560B">
        <w:rPr>
          <w:color w:val="auto"/>
        </w:rPr>
        <w:t>screening</w:t>
      </w:r>
      <w:r w:rsidRPr="00D638EF">
        <w:rPr>
          <w:color w:val="auto"/>
        </w:rPr>
        <w:t xml:space="preserve"> thresholds that apply under the Act. Nor does the data cover follow</w:t>
      </w:r>
      <w:r w:rsidR="008205A1">
        <w:rPr>
          <w:color w:val="auto"/>
        </w:rPr>
        <w:noBreakHyphen/>
      </w:r>
      <w:r w:rsidRPr="00D638EF">
        <w:rPr>
          <w:color w:val="auto"/>
        </w:rPr>
        <w:t>on investments to expand the capital stock of existing foreign</w:t>
      </w:r>
      <w:r w:rsidR="008205A1">
        <w:rPr>
          <w:color w:val="auto"/>
        </w:rPr>
        <w:noBreakHyphen/>
      </w:r>
      <w:r w:rsidRPr="00D638EF">
        <w:rPr>
          <w:color w:val="auto"/>
        </w:rPr>
        <w:t>owned businesses (both in existing areas and into related areas). See the Board</w:t>
      </w:r>
      <w:r w:rsidR="008205A1">
        <w:rPr>
          <w:color w:val="auto"/>
        </w:rPr>
        <w:t>’</w:t>
      </w:r>
      <w:r w:rsidRPr="00D638EF">
        <w:rPr>
          <w:color w:val="auto"/>
        </w:rPr>
        <w:t>s website (</w:t>
      </w:r>
      <w:hyperlink r:id="rId105" w:history="1">
        <w:r w:rsidRPr="00D638EF">
          <w:rPr>
            <w:color w:val="auto"/>
          </w:rPr>
          <w:t>www.firb.gov.au</w:t>
        </w:r>
      </w:hyperlink>
      <w:r w:rsidRPr="00D638EF">
        <w:rPr>
          <w:color w:val="auto"/>
        </w:rPr>
        <w:t>) for the current thresholds.</w:t>
      </w:r>
    </w:p>
    <w:p w14:paraId="6488FAD1" w14:textId="63B64F9B" w:rsidR="00E9641C" w:rsidRPr="00D638EF" w:rsidRDefault="00E9641C" w:rsidP="00D638EF">
      <w:pPr>
        <w:spacing w:after="0"/>
        <w:rPr>
          <w:color w:val="auto"/>
        </w:rPr>
      </w:pPr>
      <w:r w:rsidRPr="00D638EF">
        <w:rPr>
          <w:color w:val="auto"/>
        </w:rPr>
        <w:t>Furthermore, policy and legislative change can have a considerable impact on the continuity of data. For instance, changes in the Policy that have occurred since the mid</w:t>
      </w:r>
      <w:r w:rsidR="008205A1">
        <w:rPr>
          <w:color w:val="auto"/>
        </w:rPr>
        <w:noBreakHyphen/>
      </w:r>
      <w:r w:rsidRPr="00D638EF">
        <w:rPr>
          <w:color w:val="auto"/>
        </w:rPr>
        <w:t>1980s have affected the number of some types of proposals, limiting comparability over time. The</w:t>
      </w:r>
      <w:r>
        <w:rPr>
          <w:color w:val="auto"/>
        </w:rPr>
        <w:t>se changes include:</w:t>
      </w:r>
    </w:p>
    <w:p w14:paraId="760B082D" w14:textId="10FA5F00" w:rsidR="00E9641C" w:rsidRPr="00D638EF" w:rsidRDefault="00E9641C" w:rsidP="00D638EF">
      <w:pPr>
        <w:pStyle w:val="Bullet"/>
        <w:spacing w:before="60" w:after="60"/>
        <w:rPr>
          <w:rFonts w:ascii="Calibri" w:hAnsi="Calibri"/>
        </w:rPr>
      </w:pPr>
      <w:r w:rsidRPr="00D638EF">
        <w:rPr>
          <w:rFonts w:ascii="Calibri" w:hAnsi="Calibri"/>
        </w:rPr>
        <w:t>the increase in the general asset threshold in 1999 from $5 million to $50 million and again in December 2006 fr</w:t>
      </w:r>
      <w:r>
        <w:rPr>
          <w:rFonts w:ascii="Calibri" w:hAnsi="Calibri"/>
        </w:rPr>
        <w:t>om $50 million to $100 million;</w:t>
      </w:r>
    </w:p>
    <w:p w14:paraId="2045A7E7" w14:textId="1B13F7DB" w:rsidR="00E9641C" w:rsidRPr="00D638EF" w:rsidRDefault="00E9641C" w:rsidP="00D638EF">
      <w:pPr>
        <w:pStyle w:val="Bullet"/>
        <w:spacing w:before="60" w:after="60"/>
        <w:rPr>
          <w:rFonts w:ascii="Calibri" w:hAnsi="Calibri"/>
        </w:rPr>
      </w:pPr>
      <w:r w:rsidRPr="00D638EF">
        <w:rPr>
          <w:rFonts w:ascii="Calibri" w:hAnsi="Calibri"/>
        </w:rPr>
        <w:t>the increase in the offshore takeovers threshold in December 2006 from the general asset threshold (</w:t>
      </w:r>
      <w:r>
        <w:rPr>
          <w:rFonts w:ascii="Calibri" w:hAnsi="Calibri"/>
        </w:rPr>
        <w:t>$50 million</w:t>
      </w:r>
      <w:r w:rsidR="00796100">
        <w:rPr>
          <w:rFonts w:ascii="Calibri" w:hAnsi="Calibri"/>
        </w:rPr>
        <w:t xml:space="preserve"> at the time</w:t>
      </w:r>
      <w:r>
        <w:rPr>
          <w:rFonts w:ascii="Calibri" w:hAnsi="Calibri"/>
        </w:rPr>
        <w:t>) to $200 million;</w:t>
      </w:r>
    </w:p>
    <w:p w14:paraId="2B46FEA5" w14:textId="099678C3" w:rsidR="00E9641C" w:rsidRPr="00D638EF" w:rsidRDefault="00E9641C" w:rsidP="00D638EF">
      <w:pPr>
        <w:pStyle w:val="Bullet"/>
        <w:spacing w:before="60" w:after="60"/>
        <w:rPr>
          <w:rFonts w:ascii="Calibri" w:hAnsi="Calibri"/>
        </w:rPr>
      </w:pPr>
      <w:r w:rsidRPr="00D638EF">
        <w:rPr>
          <w:rFonts w:ascii="Calibri" w:hAnsi="Calibri"/>
        </w:rPr>
        <w:t xml:space="preserve">the introduction of the higher $800 million threshold (indexed on 1 January each year) for </w:t>
      </w:r>
      <w:r w:rsidR="00D638EF">
        <w:rPr>
          <w:rFonts w:ascii="Calibri" w:hAnsi="Calibri"/>
        </w:rPr>
        <w:t>US</w:t>
      </w:r>
      <w:r w:rsidRPr="00D638EF">
        <w:rPr>
          <w:rFonts w:ascii="Calibri" w:hAnsi="Calibri"/>
        </w:rPr>
        <w:t xml:space="preserve"> investors from 1 January 2005;</w:t>
      </w:r>
    </w:p>
    <w:p w14:paraId="5DA3BC7B" w14:textId="77777777" w:rsidR="00E9641C" w:rsidRPr="00D638EF" w:rsidRDefault="00E9641C" w:rsidP="00D638EF">
      <w:pPr>
        <w:pStyle w:val="Bullet"/>
        <w:spacing w:before="60" w:after="60"/>
        <w:rPr>
          <w:rFonts w:ascii="Calibri" w:hAnsi="Calibri"/>
        </w:rPr>
      </w:pPr>
      <w:r w:rsidRPr="00D638EF">
        <w:rPr>
          <w:rFonts w:ascii="Calibri" w:hAnsi="Calibri"/>
        </w:rPr>
        <w:t>the harmonisation in 2009 of the four lowest thresholds for private business investment to a single threshold of $219 million (indexed on 1 January each year);</w:t>
      </w:r>
    </w:p>
    <w:p w14:paraId="6D82B1E4" w14:textId="0BA560AD" w:rsidR="00E9641C" w:rsidRPr="00D638EF" w:rsidRDefault="00E9641C" w:rsidP="00D638EF">
      <w:pPr>
        <w:pStyle w:val="Bullet"/>
        <w:spacing w:before="60" w:after="60"/>
        <w:rPr>
          <w:rFonts w:ascii="Calibri" w:hAnsi="Calibri"/>
        </w:rPr>
      </w:pPr>
      <w:r w:rsidRPr="00D638EF">
        <w:rPr>
          <w:rFonts w:ascii="Calibri" w:hAnsi="Calibri"/>
        </w:rPr>
        <w:t>the abolition in 2009 of the requirement for private investors to notify when establishing a new bus</w:t>
      </w:r>
      <w:r>
        <w:rPr>
          <w:rFonts w:ascii="Calibri" w:hAnsi="Calibri"/>
        </w:rPr>
        <w:t>iness valued above $10 million;</w:t>
      </w:r>
    </w:p>
    <w:p w14:paraId="49EF77A8" w14:textId="2A2BD9F9" w:rsidR="00E9641C" w:rsidRPr="00D638EF" w:rsidRDefault="00E9641C" w:rsidP="00D638EF">
      <w:pPr>
        <w:pStyle w:val="Bullet"/>
        <w:spacing w:before="60" w:after="60"/>
        <w:rPr>
          <w:rFonts w:ascii="Calibri" w:hAnsi="Calibri"/>
        </w:rPr>
      </w:pPr>
      <w:r w:rsidRPr="00D638EF">
        <w:rPr>
          <w:rFonts w:ascii="Calibri" w:hAnsi="Calibri"/>
        </w:rPr>
        <w:t>the introduction of indexation in 2012 for the general monetary threshold for commercial developed real estate that is not heritage</w:t>
      </w:r>
      <w:r w:rsidR="008205A1">
        <w:rPr>
          <w:rFonts w:ascii="Calibri" w:hAnsi="Calibri"/>
        </w:rPr>
        <w:noBreakHyphen/>
      </w:r>
      <w:r w:rsidRPr="00D638EF">
        <w:rPr>
          <w:rFonts w:ascii="Calibri" w:hAnsi="Calibri"/>
        </w:rPr>
        <w:t>listed;</w:t>
      </w:r>
    </w:p>
    <w:p w14:paraId="02CE3D3B" w14:textId="2625EE41" w:rsidR="00E9641C" w:rsidRPr="00D638EF" w:rsidRDefault="00E9641C" w:rsidP="00D638EF">
      <w:pPr>
        <w:pStyle w:val="Bullet"/>
        <w:spacing w:before="60" w:after="60"/>
        <w:rPr>
          <w:rFonts w:ascii="Calibri" w:hAnsi="Calibri"/>
        </w:rPr>
      </w:pPr>
      <w:r w:rsidRPr="00D638EF">
        <w:rPr>
          <w:rFonts w:ascii="Calibri" w:hAnsi="Calibri"/>
        </w:rPr>
        <w:t>the extension of the higher monetary thresholds available to US</w:t>
      </w:r>
      <w:r>
        <w:rPr>
          <w:rFonts w:ascii="Calibri" w:hAnsi="Calibri"/>
        </w:rPr>
        <w:t xml:space="preserve"> investors to New</w:t>
      </w:r>
      <w:r w:rsidR="00D638EF">
        <w:rPr>
          <w:rFonts w:ascii="Calibri" w:hAnsi="Calibri"/>
        </w:rPr>
        <w:t> </w:t>
      </w:r>
      <w:r>
        <w:rPr>
          <w:rFonts w:ascii="Calibri" w:hAnsi="Calibri"/>
        </w:rPr>
        <w:t>Zealand</w:t>
      </w:r>
      <w:r w:rsidR="00D638EF">
        <w:rPr>
          <w:rFonts w:ascii="Calibri" w:hAnsi="Calibri"/>
        </w:rPr>
        <w:t> </w:t>
      </w:r>
      <w:r w:rsidRPr="00D638EF">
        <w:rPr>
          <w:rFonts w:ascii="Calibri" w:hAnsi="Calibri"/>
        </w:rPr>
        <w:t>(NZ) investors as of 1 March 2013;</w:t>
      </w:r>
    </w:p>
    <w:p w14:paraId="3D0FA1B4" w14:textId="77777777" w:rsidR="00E9641C" w:rsidRPr="00D638EF" w:rsidRDefault="00E9641C" w:rsidP="00D638EF">
      <w:pPr>
        <w:pStyle w:val="Bullet"/>
        <w:spacing w:before="60" w:after="60"/>
        <w:rPr>
          <w:rFonts w:ascii="Calibri" w:hAnsi="Calibri"/>
        </w:rPr>
      </w:pPr>
      <w:r w:rsidRPr="00D638EF">
        <w:rPr>
          <w:rFonts w:ascii="Calibri" w:hAnsi="Calibri"/>
        </w:rPr>
        <w:t>the revised definition of foreign government investor introduced in March 2013;</w:t>
      </w:r>
    </w:p>
    <w:p w14:paraId="1BBB42BF" w14:textId="77777777" w:rsidR="00E9641C" w:rsidRPr="00D638EF" w:rsidRDefault="00E9641C" w:rsidP="00D638EF">
      <w:pPr>
        <w:pStyle w:val="Bullet"/>
        <w:spacing w:before="60" w:after="60"/>
        <w:rPr>
          <w:rFonts w:ascii="Calibri" w:hAnsi="Calibri"/>
        </w:rPr>
      </w:pPr>
      <w:r w:rsidRPr="00D638EF">
        <w:rPr>
          <w:rFonts w:ascii="Calibri" w:hAnsi="Calibri"/>
        </w:rPr>
        <w:t>the introduction of changes in 2009 and 2010 to the screening arrangements for temporary residents purchasing residential real estate;</w:t>
      </w:r>
    </w:p>
    <w:p w14:paraId="79FC6762" w14:textId="7F1A9543" w:rsidR="00E9641C" w:rsidRPr="00D638EF" w:rsidRDefault="00E9641C" w:rsidP="00D638EF">
      <w:pPr>
        <w:pStyle w:val="Bullet"/>
        <w:spacing w:before="60" w:after="60"/>
        <w:rPr>
          <w:rFonts w:ascii="Calibri" w:hAnsi="Calibri"/>
        </w:rPr>
      </w:pPr>
      <w:r w:rsidRPr="00D638EF">
        <w:rPr>
          <w:rFonts w:ascii="Calibri" w:hAnsi="Calibri"/>
        </w:rPr>
        <w:lastRenderedPageBreak/>
        <w:t>the reclassification in 2009 of accommodation facilities from residential real estate to commercial developed real estate;</w:t>
      </w:r>
    </w:p>
    <w:p w14:paraId="63171E2C" w14:textId="4D9801AA" w:rsidR="00E9641C" w:rsidRPr="00D638EF" w:rsidRDefault="00E9641C" w:rsidP="00D638EF">
      <w:pPr>
        <w:pStyle w:val="Bullet"/>
        <w:spacing w:before="60" w:after="60"/>
        <w:rPr>
          <w:rFonts w:ascii="Calibri" w:hAnsi="Calibri"/>
        </w:rPr>
      </w:pPr>
      <w:r w:rsidRPr="00D638EF">
        <w:rPr>
          <w:rFonts w:ascii="Calibri" w:hAnsi="Calibri"/>
        </w:rPr>
        <w:t>changes in immigration policies that control the number of temporary resident visa holders, which largely determines the level of foreign investment in established (second</w:t>
      </w:r>
      <w:r w:rsidR="008205A1">
        <w:rPr>
          <w:rFonts w:ascii="Calibri" w:hAnsi="Calibri"/>
        </w:rPr>
        <w:noBreakHyphen/>
      </w:r>
      <w:r w:rsidRPr="00D638EF">
        <w:rPr>
          <w:rFonts w:ascii="Calibri" w:hAnsi="Calibri"/>
        </w:rPr>
        <w:t xml:space="preserve">hand) residential dwellings; </w:t>
      </w:r>
    </w:p>
    <w:p w14:paraId="08ED7CB1" w14:textId="5B1EDCF3" w:rsidR="00E9641C" w:rsidRPr="00D638EF" w:rsidRDefault="00E9641C" w:rsidP="00D638EF">
      <w:pPr>
        <w:pStyle w:val="Bullet"/>
        <w:spacing w:before="60" w:after="60"/>
        <w:rPr>
          <w:rFonts w:ascii="Calibri" w:hAnsi="Calibri"/>
        </w:rPr>
      </w:pPr>
      <w:r w:rsidRPr="00D638EF">
        <w:rPr>
          <w:rFonts w:ascii="Calibri" w:hAnsi="Calibri"/>
        </w:rPr>
        <w:t xml:space="preserve">the higher monetary thresholds </w:t>
      </w:r>
      <w:r w:rsidR="00787104">
        <w:rPr>
          <w:rFonts w:ascii="Calibri" w:hAnsi="Calibri"/>
        </w:rPr>
        <w:t xml:space="preserve">already </w:t>
      </w:r>
      <w:r w:rsidRPr="00D638EF">
        <w:rPr>
          <w:rFonts w:ascii="Calibri" w:hAnsi="Calibri"/>
        </w:rPr>
        <w:t xml:space="preserve">available </w:t>
      </w:r>
      <w:r>
        <w:rPr>
          <w:rFonts w:ascii="Calibri" w:hAnsi="Calibri"/>
        </w:rPr>
        <w:t>to US and NZ investors</w:t>
      </w:r>
      <w:r w:rsidR="00787104">
        <w:rPr>
          <w:rFonts w:ascii="Calibri" w:hAnsi="Calibri"/>
        </w:rPr>
        <w:t xml:space="preserve">, were extended </w:t>
      </w:r>
      <w:r>
        <w:rPr>
          <w:rFonts w:ascii="Calibri" w:hAnsi="Calibri"/>
        </w:rPr>
        <w:t xml:space="preserve"> to </w:t>
      </w:r>
      <w:r w:rsidR="00787104">
        <w:rPr>
          <w:rFonts w:ascii="Calibri" w:hAnsi="Calibri"/>
        </w:rPr>
        <w:t xml:space="preserve">investors from </w:t>
      </w:r>
      <w:r>
        <w:rPr>
          <w:rFonts w:ascii="Calibri" w:hAnsi="Calibri"/>
        </w:rPr>
        <w:t>Korea</w:t>
      </w:r>
      <w:r w:rsidR="00D638EF">
        <w:rPr>
          <w:rFonts w:ascii="Calibri" w:hAnsi="Calibri"/>
        </w:rPr>
        <w:t> </w:t>
      </w:r>
      <w:r w:rsidRPr="00D638EF">
        <w:rPr>
          <w:rFonts w:ascii="Calibri" w:hAnsi="Calibri"/>
        </w:rPr>
        <w:t xml:space="preserve">(from 12 December 2014), Chile </w:t>
      </w:r>
      <w:r w:rsidR="00D21D4E">
        <w:rPr>
          <w:rFonts w:ascii="Calibri" w:hAnsi="Calibri"/>
        </w:rPr>
        <w:t xml:space="preserve">(from 1 January </w:t>
      </w:r>
      <w:r>
        <w:rPr>
          <w:rFonts w:ascii="Calibri" w:hAnsi="Calibri"/>
        </w:rPr>
        <w:t>2015) and Japan</w:t>
      </w:r>
      <w:r w:rsidR="00D638EF">
        <w:rPr>
          <w:rFonts w:ascii="Calibri" w:hAnsi="Calibri"/>
        </w:rPr>
        <w:t> </w:t>
      </w:r>
      <w:r w:rsidR="00D5560B">
        <w:rPr>
          <w:rFonts w:ascii="Calibri" w:hAnsi="Calibri"/>
        </w:rPr>
        <w:t>(from 15 January 2015);</w:t>
      </w:r>
    </w:p>
    <w:p w14:paraId="19D54BB3" w14:textId="6AC1E834" w:rsidR="00E9641C" w:rsidRPr="00D638EF" w:rsidRDefault="00E9641C" w:rsidP="00D638EF">
      <w:pPr>
        <w:pStyle w:val="Bullet"/>
        <w:spacing w:before="60" w:after="60"/>
        <w:rPr>
          <w:rFonts w:ascii="Calibri" w:hAnsi="Calibri"/>
        </w:rPr>
      </w:pPr>
      <w:r w:rsidRPr="00D638EF">
        <w:rPr>
          <w:rFonts w:ascii="Calibri" w:hAnsi="Calibri"/>
        </w:rPr>
        <w:t>the lowering of the general agricultural land screening threshold from $252 million to $15 million (cumulative) from 1 March 2015</w:t>
      </w:r>
      <w:r w:rsidR="00D638EF">
        <w:rPr>
          <w:rFonts w:ascii="Calibri" w:hAnsi="Calibri"/>
        </w:rPr>
        <w:t>; and</w:t>
      </w:r>
    </w:p>
    <w:p w14:paraId="358BB021" w14:textId="060DAAE7" w:rsidR="00CB1D53" w:rsidRPr="00D638EF" w:rsidRDefault="00796100" w:rsidP="00D638EF">
      <w:pPr>
        <w:pStyle w:val="Bullet"/>
        <w:spacing w:before="60" w:after="60"/>
        <w:rPr>
          <w:rFonts w:ascii="Calibri" w:hAnsi="Calibri"/>
        </w:rPr>
      </w:pPr>
      <w:r>
        <w:rPr>
          <w:rFonts w:ascii="Calibri" w:hAnsi="Calibri"/>
        </w:rPr>
        <w:t>t</w:t>
      </w:r>
      <w:r w:rsidR="0064640E" w:rsidRPr="00D638EF">
        <w:rPr>
          <w:rFonts w:ascii="Calibri" w:hAnsi="Calibri"/>
        </w:rPr>
        <w:t xml:space="preserve">he </w:t>
      </w:r>
      <w:r w:rsidR="00CB1D53" w:rsidRPr="00D638EF">
        <w:rPr>
          <w:rFonts w:ascii="Calibri" w:hAnsi="Calibri"/>
        </w:rPr>
        <w:t xml:space="preserve">significant </w:t>
      </w:r>
      <w:r w:rsidR="0064640E" w:rsidRPr="00D638EF">
        <w:rPr>
          <w:rFonts w:ascii="Calibri" w:hAnsi="Calibri"/>
        </w:rPr>
        <w:t xml:space="preserve">1 December 2015 reforms which </w:t>
      </w:r>
      <w:r w:rsidR="00CB1D53" w:rsidRPr="00D638EF">
        <w:rPr>
          <w:rFonts w:ascii="Calibri" w:hAnsi="Calibri"/>
        </w:rPr>
        <w:t>included:</w:t>
      </w:r>
    </w:p>
    <w:p w14:paraId="1E0722FF" w14:textId="73E6A4A6" w:rsidR="0064640E" w:rsidRPr="00D638EF" w:rsidRDefault="00CB1D53" w:rsidP="00D638EF">
      <w:pPr>
        <w:pStyle w:val="Dash"/>
        <w:spacing w:before="60" w:after="60"/>
        <w:ind w:left="942" w:hanging="471"/>
      </w:pPr>
      <w:r w:rsidRPr="00D638EF">
        <w:t>the introduction of fees for foreign investment applications;</w:t>
      </w:r>
    </w:p>
    <w:p w14:paraId="4A270749" w14:textId="20D7FE6C" w:rsidR="00CB1D53" w:rsidRPr="00D638EF" w:rsidRDefault="00CB1D53" w:rsidP="00D638EF">
      <w:pPr>
        <w:pStyle w:val="Dash"/>
        <w:spacing w:before="60" w:after="60"/>
        <w:ind w:left="942" w:hanging="471"/>
      </w:pPr>
      <w:r w:rsidRPr="00D638EF">
        <w:t xml:space="preserve">the introduction of a $55 million threshold for </w:t>
      </w:r>
      <w:r w:rsidR="004A7A7D" w:rsidRPr="00D638EF">
        <w:t xml:space="preserve">direct investments </w:t>
      </w:r>
      <w:r w:rsidRPr="00D638EF">
        <w:t xml:space="preserve">in agribusiness; </w:t>
      </w:r>
    </w:p>
    <w:p w14:paraId="19482F15" w14:textId="033CCE78" w:rsidR="004A7A7D" w:rsidRPr="00D638EF" w:rsidRDefault="00CB1D53" w:rsidP="00D638EF">
      <w:pPr>
        <w:pStyle w:val="Dash"/>
        <w:spacing w:before="60" w:after="60"/>
        <w:ind w:left="942" w:hanging="471"/>
      </w:pPr>
      <w:r w:rsidRPr="00D638EF">
        <w:t xml:space="preserve">the shift of many </w:t>
      </w:r>
      <w:r w:rsidR="004A7A7D" w:rsidRPr="00D638EF">
        <w:t xml:space="preserve">requirements </w:t>
      </w:r>
      <w:r w:rsidRPr="00D638EF">
        <w:t xml:space="preserve">from Policy into legislation; </w:t>
      </w:r>
    </w:p>
    <w:p w14:paraId="51947F70" w14:textId="7F270E1B" w:rsidR="004A7A7D" w:rsidRPr="00D638EF" w:rsidRDefault="004A7A7D" w:rsidP="00D638EF">
      <w:pPr>
        <w:pStyle w:val="Dash"/>
        <w:spacing w:before="60" w:after="60"/>
        <w:ind w:left="942" w:hanging="471"/>
      </w:pPr>
      <w:r w:rsidRPr="00D638EF">
        <w:t>modernisation of the foreign investment legislation including changes to exemptions and the substantial interest threshold;</w:t>
      </w:r>
    </w:p>
    <w:p w14:paraId="705375D5" w14:textId="4EC971BD" w:rsidR="00CB1D53" w:rsidRPr="00D638EF" w:rsidRDefault="004A7A7D" w:rsidP="00D638EF">
      <w:pPr>
        <w:pStyle w:val="Dash"/>
        <w:spacing w:before="60" w:after="60"/>
        <w:ind w:left="942" w:hanging="471"/>
      </w:pPr>
      <w:r w:rsidRPr="00D638EF">
        <w:t xml:space="preserve">changes to Exemption Certificates; </w:t>
      </w:r>
      <w:r w:rsidR="00CB1D53" w:rsidRPr="00D638EF">
        <w:t>and</w:t>
      </w:r>
    </w:p>
    <w:p w14:paraId="5EAF2882" w14:textId="717094D5" w:rsidR="00CB1D53" w:rsidRPr="00D638EF" w:rsidRDefault="00D5560B" w:rsidP="00D638EF">
      <w:pPr>
        <w:pStyle w:val="Dash"/>
        <w:spacing w:before="60" w:after="60"/>
        <w:ind w:left="942" w:hanging="471"/>
      </w:pPr>
      <w:proofErr w:type="gramStart"/>
      <w:r>
        <w:t>the</w:t>
      </w:r>
      <w:proofErr w:type="gramEnd"/>
      <w:r>
        <w:t xml:space="preserve"> increase in the monetary threshold for commercial developed land that is not sensitive from $55 million to $252 million.</w:t>
      </w:r>
    </w:p>
    <w:p w14:paraId="26C5CAC0" w14:textId="77777777" w:rsidR="00E9641C" w:rsidRPr="00E9641C" w:rsidRDefault="00E9641C" w:rsidP="00115593">
      <w:pPr>
        <w:pStyle w:val="Heading3"/>
        <w:rPr>
          <w:b w:val="0"/>
          <w:bCs w:val="0"/>
          <w:iCs/>
          <w:smallCaps/>
        </w:rPr>
      </w:pPr>
      <w:r w:rsidRPr="00D638EF">
        <w:t>Administrative practices</w:t>
      </w:r>
    </w:p>
    <w:p w14:paraId="0CFFEE7C" w14:textId="69497C4D" w:rsidR="00E9641C" w:rsidRPr="00D638EF" w:rsidRDefault="00E9641C" w:rsidP="00D638EF">
      <w:pPr>
        <w:spacing w:after="0"/>
        <w:rPr>
          <w:color w:val="auto"/>
        </w:rPr>
      </w:pPr>
      <w:r w:rsidRPr="00D638EF">
        <w:rPr>
          <w:color w:val="auto"/>
        </w:rPr>
        <w:t>Changes in administrative practice (for example, data collection and record</w:t>
      </w:r>
      <w:r w:rsidR="00796100">
        <w:rPr>
          <w:color w:val="auto"/>
        </w:rPr>
        <w:t xml:space="preserve"> keeping</w:t>
      </w:r>
      <w:r w:rsidRPr="00D638EF">
        <w:rPr>
          <w:color w:val="auto"/>
        </w:rPr>
        <w:t>) and foreign investment application requirements have also impacted on year</w:t>
      </w:r>
      <w:r w:rsidR="008205A1">
        <w:rPr>
          <w:color w:val="auto"/>
        </w:rPr>
        <w:noBreakHyphen/>
      </w:r>
      <w:r w:rsidRPr="00D638EF">
        <w:rPr>
          <w:color w:val="auto"/>
        </w:rPr>
        <w:t>to</w:t>
      </w:r>
      <w:r w:rsidR="008205A1">
        <w:rPr>
          <w:color w:val="auto"/>
        </w:rPr>
        <w:noBreakHyphen/>
      </w:r>
      <w:r w:rsidRPr="00D638EF">
        <w:rPr>
          <w:color w:val="auto"/>
        </w:rPr>
        <w:t>year data comparability. Examples of this include the following:</w:t>
      </w:r>
    </w:p>
    <w:p w14:paraId="5687CD50" w14:textId="253584A8" w:rsidR="00E9641C" w:rsidRPr="00D638EF" w:rsidRDefault="00E9641C" w:rsidP="00D638EF">
      <w:pPr>
        <w:pStyle w:val="Bullet"/>
        <w:spacing w:before="60" w:after="60"/>
        <w:rPr>
          <w:rFonts w:ascii="Calibri" w:hAnsi="Calibri"/>
        </w:rPr>
      </w:pPr>
      <w:r w:rsidRPr="00D638EF">
        <w:rPr>
          <w:rFonts w:ascii="Calibri" w:hAnsi="Calibri"/>
        </w:rPr>
        <w:t>The implementation of a new case management system and a user</w:t>
      </w:r>
      <w:r w:rsidR="008205A1">
        <w:rPr>
          <w:rFonts w:ascii="Calibri" w:hAnsi="Calibri"/>
        </w:rPr>
        <w:noBreakHyphen/>
      </w:r>
      <w:r w:rsidRPr="00D638EF">
        <w:rPr>
          <w:rFonts w:ascii="Calibri" w:hAnsi="Calibri"/>
        </w:rPr>
        <w:t>based web portal for lodging foreign investment applications in November 2013 significantly improved data collection capabilities and processing efficiency for proposa</w:t>
      </w:r>
      <w:r>
        <w:rPr>
          <w:rFonts w:ascii="Calibri" w:hAnsi="Calibri"/>
        </w:rPr>
        <w:t xml:space="preserve">ls in residential real estate. </w:t>
      </w:r>
      <w:r w:rsidR="00D638EF" w:rsidRPr="00D638EF">
        <w:rPr>
          <w:rFonts w:ascii="Calibri" w:hAnsi="Calibri"/>
        </w:rPr>
        <w:t>D</w:t>
      </w:r>
      <w:r w:rsidRPr="00D638EF">
        <w:rPr>
          <w:rFonts w:ascii="Calibri" w:hAnsi="Calibri"/>
        </w:rPr>
        <w:t>ata capture and reporting procedures for non</w:t>
      </w:r>
      <w:r w:rsidR="008205A1">
        <w:rPr>
          <w:rFonts w:ascii="Calibri" w:hAnsi="Calibri"/>
        </w:rPr>
        <w:noBreakHyphen/>
      </w:r>
      <w:r w:rsidRPr="00D638EF">
        <w:rPr>
          <w:rFonts w:ascii="Calibri" w:hAnsi="Calibri"/>
        </w:rPr>
        <w:t>residential real estate proposals transitioned to the new case management system from 1 July 2014</w:t>
      </w:r>
      <w:r w:rsidR="00796100">
        <w:rPr>
          <w:rFonts w:ascii="Calibri" w:hAnsi="Calibri"/>
        </w:rPr>
        <w:t>.</w:t>
      </w:r>
      <w:r w:rsidRPr="00D638EF">
        <w:rPr>
          <w:rFonts w:ascii="Calibri" w:hAnsi="Calibri"/>
        </w:rPr>
        <w:t xml:space="preserve"> </w:t>
      </w:r>
    </w:p>
    <w:p w14:paraId="1D3DB0C9" w14:textId="4EC8F7CF" w:rsidR="008E4B45" w:rsidRDefault="00796100" w:rsidP="00D638EF">
      <w:pPr>
        <w:pStyle w:val="Bullet"/>
        <w:spacing w:before="60" w:after="60"/>
        <w:rPr>
          <w:rFonts w:ascii="Calibri" w:hAnsi="Calibri"/>
        </w:rPr>
      </w:pPr>
      <w:r>
        <w:rPr>
          <w:rFonts w:ascii="Calibri" w:hAnsi="Calibri"/>
        </w:rPr>
        <w:t>T</w:t>
      </w:r>
      <w:r w:rsidR="00E9641C" w:rsidRPr="00D638EF">
        <w:rPr>
          <w:rFonts w:ascii="Calibri" w:hAnsi="Calibri"/>
        </w:rPr>
        <w:t>he most recent Australian and New Zealand Standard In</w:t>
      </w:r>
      <w:r w:rsidR="00E9641C">
        <w:rPr>
          <w:rFonts w:ascii="Calibri" w:hAnsi="Calibri"/>
        </w:rPr>
        <w:t>dustrial Classification (</w:t>
      </w:r>
      <w:proofErr w:type="spellStart"/>
      <w:r w:rsidR="00E9641C">
        <w:rPr>
          <w:rFonts w:ascii="Calibri" w:hAnsi="Calibri"/>
        </w:rPr>
        <w:t>ANZSIC</w:t>
      </w:r>
      <w:proofErr w:type="spellEnd"/>
      <w:r w:rsidR="00D638EF">
        <w:rPr>
          <w:rFonts w:ascii="Calibri" w:hAnsi="Calibri"/>
        </w:rPr>
        <w:t> </w:t>
      </w:r>
      <w:r w:rsidR="00E9641C" w:rsidRPr="00D638EF">
        <w:rPr>
          <w:rFonts w:ascii="Calibri" w:hAnsi="Calibri"/>
        </w:rPr>
        <w:t>2006) was adopted for data recording and reporting purposes as part of the new case management system. Year to year comparability of pre 2014</w:t>
      </w:r>
      <w:r w:rsidR="008205A1">
        <w:rPr>
          <w:rFonts w:ascii="Calibri" w:hAnsi="Calibri"/>
        </w:rPr>
        <w:noBreakHyphen/>
      </w:r>
      <w:r w:rsidR="00E9641C" w:rsidRPr="00D638EF">
        <w:rPr>
          <w:rFonts w:ascii="Calibri" w:hAnsi="Calibri"/>
        </w:rPr>
        <w:t>15 data may be limited</w:t>
      </w:r>
      <w:r>
        <w:rPr>
          <w:rFonts w:ascii="Calibri" w:hAnsi="Calibri"/>
        </w:rPr>
        <w:t>.</w:t>
      </w:r>
    </w:p>
    <w:p w14:paraId="32DC57D8" w14:textId="5DE6F680" w:rsidR="00E9641C" w:rsidRPr="00D5560B" w:rsidRDefault="00796100" w:rsidP="00D638EF">
      <w:pPr>
        <w:pStyle w:val="Bullet"/>
        <w:spacing w:before="60" w:after="60"/>
        <w:rPr>
          <w:rFonts w:ascii="Calibri" w:hAnsi="Calibri"/>
        </w:rPr>
      </w:pPr>
      <w:r>
        <w:rPr>
          <w:rFonts w:ascii="Calibri" w:hAnsi="Calibri"/>
        </w:rPr>
        <w:t>T</w:t>
      </w:r>
      <w:r w:rsidR="008E4B45" w:rsidRPr="00D5560B">
        <w:rPr>
          <w:rFonts w:ascii="Calibri" w:hAnsi="Calibri"/>
        </w:rPr>
        <w:t xml:space="preserve">he shift of residential real estate cases to the </w:t>
      </w:r>
      <w:proofErr w:type="spellStart"/>
      <w:r w:rsidR="008E4B45" w:rsidRPr="00D5560B">
        <w:rPr>
          <w:rFonts w:ascii="Calibri" w:hAnsi="Calibri"/>
        </w:rPr>
        <w:t>ATO</w:t>
      </w:r>
      <w:proofErr w:type="spellEnd"/>
      <w:r w:rsidR="008E4B45" w:rsidRPr="00D5560B">
        <w:rPr>
          <w:rFonts w:ascii="Calibri" w:hAnsi="Calibri"/>
        </w:rPr>
        <w:t xml:space="preserve"> from 1 December 2015</w:t>
      </w:r>
      <w:r w:rsidR="00E9641C" w:rsidRPr="00D5560B">
        <w:rPr>
          <w:rFonts w:ascii="Calibri" w:hAnsi="Calibri"/>
        </w:rPr>
        <w:t>.</w:t>
      </w:r>
    </w:p>
    <w:p w14:paraId="166510A0" w14:textId="77777777" w:rsidR="00204E29" w:rsidRDefault="00204E29">
      <w:pPr>
        <w:spacing w:after="200" w:line="276" w:lineRule="auto"/>
        <w:jc w:val="left"/>
        <w:sectPr w:rsidR="00204E29" w:rsidSect="0020758A">
          <w:headerReference w:type="default" r:id="rId106"/>
          <w:type w:val="oddPage"/>
          <w:pgSz w:w="11907" w:h="16840" w:code="9"/>
          <w:pgMar w:top="2466" w:right="2098" w:bottom="2466" w:left="2098" w:header="1899" w:footer="1899" w:gutter="0"/>
          <w:cols w:space="708"/>
          <w:titlePg/>
          <w:docGrid w:linePitch="360"/>
        </w:sectPr>
      </w:pPr>
    </w:p>
    <w:p w14:paraId="430A3841" w14:textId="1D2BE95A" w:rsidR="00FE4F85" w:rsidRPr="004C1836" w:rsidRDefault="00FE4F85" w:rsidP="00FE4F85">
      <w:pPr>
        <w:pStyle w:val="Heading1"/>
      </w:pPr>
      <w:bookmarkStart w:id="57" w:name="_Toc476737084"/>
      <w:r>
        <w:rPr>
          <w:noProof/>
        </w:rPr>
        <w:lastRenderedPageBreak/>
        <w:drawing>
          <wp:anchor distT="0" distB="0" distL="114300" distR="114300" simplePos="0" relativeHeight="251658252" behindDoc="0" locked="0" layoutInCell="1" allowOverlap="1" wp14:anchorId="1AEBB051" wp14:editId="20C15788">
            <wp:simplePos x="0" y="0"/>
            <wp:positionH relativeFrom="column">
              <wp:posOffset>6350</wp:posOffset>
            </wp:positionH>
            <wp:positionV relativeFrom="paragraph">
              <wp:posOffset>12065</wp:posOffset>
            </wp:positionV>
            <wp:extent cx="4896485" cy="28657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896485" cy="2865755"/>
                    </a:xfrm>
                    <a:prstGeom prst="rect">
                      <a:avLst/>
                    </a:prstGeom>
                  </pic:spPr>
                </pic:pic>
              </a:graphicData>
            </a:graphic>
            <wp14:sizeRelH relativeFrom="page">
              <wp14:pctWidth>0</wp14:pctWidth>
            </wp14:sizeRelH>
            <wp14:sizeRelV relativeFrom="page">
              <wp14:pctHeight>0</wp14:pctHeight>
            </wp14:sizeRelV>
          </wp:anchor>
        </w:drawing>
      </w:r>
      <w:r>
        <w:t>Appendix B Examination and approval process</w:t>
      </w:r>
      <w:bookmarkEnd w:id="57"/>
    </w:p>
    <w:p w14:paraId="2E30F9C4" w14:textId="602213F9" w:rsidR="00D86830" w:rsidRDefault="00D86830" w:rsidP="00FE4F85"/>
    <w:p w14:paraId="563E1E81" w14:textId="4BD74982" w:rsidR="00015D93" w:rsidRDefault="00015D93" w:rsidP="00FE4F85"/>
    <w:p w14:paraId="56311DBF" w14:textId="77777777" w:rsidR="00805A13" w:rsidRDefault="00805A13" w:rsidP="00FE4F85"/>
    <w:p w14:paraId="1D05CBB9" w14:textId="77777777" w:rsidR="00805A13" w:rsidRDefault="00805A13" w:rsidP="00FE4F85"/>
    <w:p w14:paraId="09FFC1BB" w14:textId="77777777" w:rsidR="00805A13" w:rsidRDefault="00805A13" w:rsidP="00FE4F85"/>
    <w:p w14:paraId="16D34448" w14:textId="77777777" w:rsidR="00805A13" w:rsidRDefault="00805A13" w:rsidP="00FE4F85"/>
    <w:p w14:paraId="0F62873F" w14:textId="362F0DBA" w:rsidR="00805A13" w:rsidRDefault="00805A13" w:rsidP="00FE4F85"/>
    <w:p w14:paraId="45C8A96B" w14:textId="77777777" w:rsidR="00805A13" w:rsidRDefault="00805A13" w:rsidP="00FE4F85"/>
    <w:p w14:paraId="105BFD64" w14:textId="77777777" w:rsidR="00805A13" w:rsidRDefault="00805A13" w:rsidP="00FE4F85"/>
    <w:p w14:paraId="19B78EA0" w14:textId="77777777" w:rsidR="00805A13" w:rsidRDefault="00805A13" w:rsidP="00FE4F85"/>
    <w:p w14:paraId="11CA27BE" w14:textId="77777777" w:rsidR="00805A13" w:rsidRDefault="00805A13" w:rsidP="00FE4F85"/>
    <w:p w14:paraId="0458B433" w14:textId="0BF1D181" w:rsidR="00BC7A5F" w:rsidRPr="00B93925" w:rsidRDefault="00BC7A5F" w:rsidP="00B93925">
      <w:pPr>
        <w:rPr>
          <w:color w:val="auto"/>
        </w:rPr>
      </w:pPr>
      <w:r w:rsidRPr="00B93925">
        <w:rPr>
          <w:color w:val="auto"/>
        </w:rPr>
        <w:t>The examination of foreign investment proposals is rigorous. The assessment process seeks to ensure that particular proposals are not contrary to Australia</w:t>
      </w:r>
      <w:r w:rsidR="008205A1">
        <w:rPr>
          <w:color w:val="auto"/>
        </w:rPr>
        <w:t>’</w:t>
      </w:r>
      <w:r w:rsidRPr="00B93925">
        <w:rPr>
          <w:color w:val="auto"/>
        </w:rPr>
        <w:t xml:space="preserve">s national interest. In fulfilling this objective, proposals are examined with a view to identifying any </w:t>
      </w:r>
      <w:r w:rsidR="00854C21" w:rsidRPr="00B93925">
        <w:rPr>
          <w:color w:val="auto"/>
        </w:rPr>
        <w:t>sensitivity</w:t>
      </w:r>
      <w:r w:rsidRPr="00B93925">
        <w:rPr>
          <w:color w:val="auto"/>
        </w:rPr>
        <w:t xml:space="preserve"> regarding the national interest and determining whether these sensitivities can be mitigated or managed.</w:t>
      </w:r>
    </w:p>
    <w:p w14:paraId="5A05BB1A" w14:textId="77777777" w:rsidR="00BC7A5F" w:rsidRPr="00646BCF" w:rsidRDefault="00BC7A5F" w:rsidP="00115593">
      <w:pPr>
        <w:pStyle w:val="Heading3"/>
        <w:rPr>
          <w:b w:val="0"/>
          <w:bCs w:val="0"/>
          <w:iCs/>
          <w:smallCaps/>
        </w:rPr>
      </w:pPr>
      <w:r w:rsidRPr="00B93925">
        <w:t xml:space="preserve">Board </w:t>
      </w:r>
      <w:r w:rsidRPr="00115593">
        <w:t>involvement</w:t>
      </w:r>
    </w:p>
    <w:p w14:paraId="28E7C597" w14:textId="315B014D" w:rsidR="00BC7A5F" w:rsidRPr="00B93925" w:rsidRDefault="00BC7A5F" w:rsidP="00B93925">
      <w:pPr>
        <w:rPr>
          <w:color w:val="auto"/>
        </w:rPr>
      </w:pPr>
      <w:r w:rsidRPr="00B93925">
        <w:rPr>
          <w:color w:val="auto"/>
        </w:rPr>
        <w:t xml:space="preserve">The Board provides advice on the application of the foreign investment framework across the range of proposals received and on foreign investment policy issues. It provides specific advice on the more significant applications received and also reviews the general handling of other applications. The Board performs this role with the benefit of weekly </w:t>
      </w:r>
      <w:r w:rsidR="00854C21" w:rsidRPr="00B93925">
        <w:rPr>
          <w:color w:val="auto"/>
        </w:rPr>
        <w:t>reports on</w:t>
      </w:r>
      <w:r w:rsidRPr="00B93925">
        <w:rPr>
          <w:color w:val="auto"/>
        </w:rPr>
        <w:t xml:space="preserve"> proposals received and through regular meetings and discussions with the Executive Member and </w:t>
      </w:r>
      <w:r w:rsidR="00CE4B2E" w:rsidRPr="00B93925">
        <w:rPr>
          <w:color w:val="auto"/>
        </w:rPr>
        <w:t>Secretariat</w:t>
      </w:r>
      <w:r w:rsidRPr="00B93925">
        <w:rPr>
          <w:color w:val="auto"/>
        </w:rPr>
        <w:t xml:space="preserve"> officers. Formal Board meetings are generally held monthly, with telephone discussions taking place in the intervening weeks. The Board members draw on their considerable collective and individual professional and commercial experience in discharging their advisory role.</w:t>
      </w:r>
    </w:p>
    <w:p w14:paraId="5E93EFF8" w14:textId="77777777" w:rsidR="00BC7A5F" w:rsidRPr="00D4499A" w:rsidRDefault="00BC7A5F" w:rsidP="00115593">
      <w:pPr>
        <w:pStyle w:val="Heading3"/>
        <w:rPr>
          <w:b w:val="0"/>
          <w:bCs w:val="0"/>
          <w:iCs/>
          <w:smallCaps/>
        </w:rPr>
      </w:pPr>
      <w:r w:rsidRPr="00B93925">
        <w:t>Handling of commercially sensitive and personal information</w:t>
      </w:r>
    </w:p>
    <w:p w14:paraId="6C69ED2F" w14:textId="0A733B6B" w:rsidR="00BC7A5F" w:rsidRPr="00B93925" w:rsidRDefault="00BC7A5F" w:rsidP="00B93925">
      <w:pPr>
        <w:rPr>
          <w:color w:val="auto"/>
        </w:rPr>
      </w:pPr>
      <w:r w:rsidRPr="00B93925">
        <w:rPr>
          <w:color w:val="auto"/>
        </w:rPr>
        <w:t>The Board recognises that much of the information required to assess a proposal will be commercially sensitive or of a private or confidential nature. Consequently, appropriate measures are in place to ensure tha</w:t>
      </w:r>
      <w:r>
        <w:rPr>
          <w:color w:val="auto"/>
        </w:rPr>
        <w:t>t confidentiality is protected.</w:t>
      </w:r>
    </w:p>
    <w:p w14:paraId="36BD1A16" w14:textId="77777777" w:rsidR="00BC7A5F" w:rsidRPr="00B93925" w:rsidRDefault="00BC7A5F" w:rsidP="00B93925">
      <w:pPr>
        <w:rPr>
          <w:color w:val="auto"/>
        </w:rPr>
      </w:pPr>
      <w:r w:rsidRPr="00B93925">
        <w:rPr>
          <w:color w:val="auto"/>
        </w:rPr>
        <w:lastRenderedPageBreak/>
        <w:t>In the event that access to confidential information is sought for purposes other than the assessment of an application, the Act contains explicit provisions on the circumstances in which information may be used or disclosed. This can include the administration of specified Commonwealth statutes, information disclosed to certain law enforcement bodies and information provided with written consent. Unauthorised disclosure of protected information under the Act is an offence subject to a maximum of two years imprisonment, a $21,600 fine, or both.</w:t>
      </w:r>
    </w:p>
    <w:p w14:paraId="09E8E5CA" w14:textId="77777777" w:rsidR="00CE4B2E" w:rsidRPr="00B93925" w:rsidRDefault="00CE4B2E" w:rsidP="00C72611">
      <w:pPr>
        <w:pStyle w:val="Heading2noTOC"/>
      </w:pPr>
      <w:r w:rsidRPr="00B93925">
        <w:t>Application Screening Process</w:t>
      </w:r>
    </w:p>
    <w:p w14:paraId="46C42656" w14:textId="25A9B724" w:rsidR="00CE4B2E" w:rsidRPr="00B93925" w:rsidRDefault="00CE4B2E" w:rsidP="00B93925">
      <w:pPr>
        <w:rPr>
          <w:color w:val="auto"/>
        </w:rPr>
      </w:pPr>
      <w:r w:rsidRPr="00B93925">
        <w:rPr>
          <w:color w:val="auto"/>
        </w:rPr>
        <w:t>Key elements of the application screening process are outlined below.</w:t>
      </w:r>
    </w:p>
    <w:p w14:paraId="6DFF94AB" w14:textId="77777777" w:rsidR="00CE4B2E" w:rsidRPr="00AB3C2B" w:rsidRDefault="00CE4B2E" w:rsidP="00115593">
      <w:pPr>
        <w:pStyle w:val="Heading3"/>
        <w:rPr>
          <w:b w:val="0"/>
          <w:bCs w:val="0"/>
          <w:iCs/>
          <w:smallCaps/>
        </w:rPr>
      </w:pPr>
      <w:r w:rsidRPr="00B93925">
        <w:t>Initial examination</w:t>
      </w:r>
    </w:p>
    <w:p w14:paraId="00F765C0" w14:textId="77777777" w:rsidR="00CE4B2E" w:rsidRPr="00B93925" w:rsidRDefault="00CE4B2E" w:rsidP="00B93925">
      <w:pPr>
        <w:rPr>
          <w:color w:val="auto"/>
        </w:rPr>
      </w:pPr>
      <w:r w:rsidRPr="00B93925">
        <w:rPr>
          <w:color w:val="auto"/>
        </w:rPr>
        <w:t xml:space="preserve">The initial examination seeks to determine whether an application meets the notification requirements for a proposal in so far as the Act applies, whether the application contains sufficient detail and that the correct application fee has been paid. Timing is also considered, including deadlines that are commercially important to the applicant. The Board has direct and early involvement in significant or sensitive applications. </w:t>
      </w:r>
    </w:p>
    <w:p w14:paraId="2E07335E" w14:textId="77777777" w:rsidR="00CE4B2E" w:rsidRPr="00AB3C2B" w:rsidRDefault="00CE4B2E" w:rsidP="00B93925">
      <w:pPr>
        <w:pStyle w:val="Heading3"/>
        <w:spacing w:before="240"/>
        <w:rPr>
          <w:rFonts w:asciiTheme="minorHAnsi" w:hAnsiTheme="minorHAnsi"/>
          <w:b w:val="0"/>
          <w:bCs w:val="0"/>
          <w:iCs/>
          <w:smallCaps/>
        </w:rPr>
      </w:pPr>
      <w:r w:rsidRPr="00B93925">
        <w:rPr>
          <w:rFonts w:asciiTheme="minorHAnsi" w:hAnsiTheme="minorHAnsi"/>
        </w:rPr>
        <w:t>Consultation arrangements</w:t>
      </w:r>
    </w:p>
    <w:p w14:paraId="30A9FAD4" w14:textId="120849BE" w:rsidR="00BC7A5F" w:rsidRPr="00B93925" w:rsidRDefault="00CE4B2E" w:rsidP="00B93925">
      <w:pPr>
        <w:rPr>
          <w:color w:val="auto"/>
        </w:rPr>
      </w:pPr>
      <w:r w:rsidRPr="00B93925">
        <w:rPr>
          <w:color w:val="auto"/>
        </w:rPr>
        <w:t>For significant proposals, consultations are undertaken with Australian</w:t>
      </w:r>
      <w:r w:rsidR="00FC003E" w:rsidRPr="00B93925">
        <w:rPr>
          <w:color w:val="auto"/>
        </w:rPr>
        <w:t xml:space="preserve"> federal government departments</w:t>
      </w:r>
      <w:r w:rsidRPr="00B93925">
        <w:rPr>
          <w:color w:val="auto"/>
        </w:rPr>
        <w:t>, state and territory government departments, national security agencies and authorities with responsibilities relevant to the proposals. Advice and comments provided by such agencies are important in assessing the implications of proposals and in particular, in determining whether they raise any national interest issues. The Board may also receive unsolicited submissions from third</w:t>
      </w:r>
      <w:r>
        <w:rPr>
          <w:color w:val="auto"/>
        </w:rPr>
        <w:t> parties.</w:t>
      </w:r>
    </w:p>
    <w:p w14:paraId="75631499" w14:textId="77777777" w:rsidR="00BC7A5F" w:rsidRPr="00AB3C2B" w:rsidRDefault="00BC7A5F" w:rsidP="00B93925">
      <w:pPr>
        <w:pStyle w:val="Heading3"/>
        <w:spacing w:before="240"/>
        <w:rPr>
          <w:rFonts w:asciiTheme="minorHAnsi" w:hAnsiTheme="minorHAnsi"/>
          <w:b w:val="0"/>
          <w:bCs w:val="0"/>
          <w:iCs/>
          <w:smallCaps/>
        </w:rPr>
      </w:pPr>
      <w:r w:rsidRPr="00B93925">
        <w:rPr>
          <w:rFonts w:asciiTheme="minorHAnsi" w:hAnsiTheme="minorHAnsi"/>
        </w:rPr>
        <w:t>National interest factors</w:t>
      </w:r>
    </w:p>
    <w:p w14:paraId="751A17EE" w14:textId="10168543" w:rsidR="00BC7A5F" w:rsidRPr="00B93925" w:rsidRDefault="00BC7A5F" w:rsidP="00B93925">
      <w:pPr>
        <w:rPr>
          <w:color w:val="auto"/>
        </w:rPr>
      </w:pPr>
      <w:r w:rsidRPr="00B93925">
        <w:rPr>
          <w:color w:val="auto"/>
        </w:rPr>
        <w:t>The Act empowers the Treasurer to prohibit an investment if satisfied it would be contrary to the national interest. However, the general presumption is that foreign investment is beneficial, given the important role it plays in Australia</w:t>
      </w:r>
      <w:r w:rsidR="008205A1">
        <w:rPr>
          <w:color w:val="auto"/>
        </w:rPr>
        <w:t>’</w:t>
      </w:r>
      <w:r w:rsidRPr="00B93925">
        <w:rPr>
          <w:color w:val="auto"/>
        </w:rPr>
        <w:t>s economy.</w:t>
      </w:r>
    </w:p>
    <w:p w14:paraId="05150A50" w14:textId="2539BED3" w:rsidR="00BC7A5F" w:rsidRPr="00B93925" w:rsidRDefault="00BC7A5F" w:rsidP="00B93925">
      <w:pPr>
        <w:spacing w:after="0"/>
        <w:rPr>
          <w:color w:val="auto"/>
        </w:rPr>
      </w:pPr>
      <w:r w:rsidRPr="00B93925">
        <w:rPr>
          <w:color w:val="auto"/>
        </w:rPr>
        <w:t xml:space="preserve">The national interest, and what would be contrary to it, is not defined in the Act. Instead, the Treasurer can decide in each case whether the investment would be contrary to the national interest. </w:t>
      </w:r>
      <w:r w:rsidR="00FC003E" w:rsidRPr="00B93925">
        <w:rPr>
          <w:color w:val="auto"/>
        </w:rPr>
        <w:t>Across all proposals</w:t>
      </w:r>
      <w:r w:rsidRPr="00B93925">
        <w:rPr>
          <w:color w:val="auto"/>
        </w:rPr>
        <w:t xml:space="preserve"> the Government typically considers the following factors:</w:t>
      </w:r>
    </w:p>
    <w:p w14:paraId="1339547D" w14:textId="77777777" w:rsidR="00BC7A5F" w:rsidRPr="00B93925" w:rsidRDefault="00BC7A5F" w:rsidP="00B93925">
      <w:pPr>
        <w:pStyle w:val="Bullet"/>
        <w:spacing w:before="60" w:after="60"/>
        <w:rPr>
          <w:rFonts w:ascii="Calibri" w:hAnsi="Calibri"/>
        </w:rPr>
      </w:pPr>
      <w:r w:rsidRPr="00B93925">
        <w:rPr>
          <w:rFonts w:ascii="Calibri" w:hAnsi="Calibri"/>
        </w:rPr>
        <w:t>national security;</w:t>
      </w:r>
    </w:p>
    <w:p w14:paraId="196B0672" w14:textId="77777777" w:rsidR="00BC7A5F" w:rsidRPr="00B93925" w:rsidRDefault="00BC7A5F" w:rsidP="00B93925">
      <w:pPr>
        <w:pStyle w:val="Bullet"/>
        <w:spacing w:before="60" w:after="60"/>
        <w:rPr>
          <w:rFonts w:ascii="Calibri" w:hAnsi="Calibri"/>
        </w:rPr>
      </w:pPr>
      <w:r w:rsidRPr="00B93925">
        <w:rPr>
          <w:rFonts w:ascii="Calibri" w:hAnsi="Calibri"/>
        </w:rPr>
        <w:t>competition;</w:t>
      </w:r>
    </w:p>
    <w:p w14:paraId="39E2FE62" w14:textId="0674D8D1" w:rsidR="00BC7A5F" w:rsidRPr="00B93925" w:rsidRDefault="00BC7A5F" w:rsidP="00B93925">
      <w:pPr>
        <w:pStyle w:val="Bullet"/>
        <w:spacing w:before="60" w:after="60"/>
        <w:rPr>
          <w:rFonts w:ascii="Calibri" w:hAnsi="Calibri"/>
        </w:rPr>
      </w:pPr>
      <w:r w:rsidRPr="00B93925">
        <w:rPr>
          <w:rFonts w:ascii="Calibri" w:hAnsi="Calibri"/>
        </w:rPr>
        <w:t>other Government policies (including taxation);</w:t>
      </w:r>
    </w:p>
    <w:p w14:paraId="5445CD91" w14:textId="77777777" w:rsidR="00BC7A5F" w:rsidRPr="00B93925" w:rsidRDefault="00BC7A5F" w:rsidP="00B93925">
      <w:pPr>
        <w:pStyle w:val="Bullet"/>
        <w:spacing w:before="60" w:after="60"/>
        <w:rPr>
          <w:rFonts w:ascii="Calibri" w:hAnsi="Calibri"/>
        </w:rPr>
      </w:pPr>
      <w:r w:rsidRPr="00B93925">
        <w:rPr>
          <w:rFonts w:ascii="Calibri" w:hAnsi="Calibri"/>
        </w:rPr>
        <w:t>impact on the economy and the community; and</w:t>
      </w:r>
    </w:p>
    <w:p w14:paraId="14EC16F5" w14:textId="77777777" w:rsidR="00BC7A5F" w:rsidRPr="00B93925" w:rsidRDefault="00BC7A5F" w:rsidP="00B93925">
      <w:pPr>
        <w:pStyle w:val="Bullet"/>
        <w:spacing w:before="60"/>
        <w:rPr>
          <w:rFonts w:ascii="Calibri" w:hAnsi="Calibri"/>
        </w:rPr>
      </w:pPr>
      <w:proofErr w:type="gramStart"/>
      <w:r w:rsidRPr="00B93925">
        <w:rPr>
          <w:rFonts w:ascii="Calibri" w:hAnsi="Calibri"/>
        </w:rPr>
        <w:t>the</w:t>
      </w:r>
      <w:proofErr w:type="gramEnd"/>
      <w:r w:rsidRPr="00B93925">
        <w:rPr>
          <w:rFonts w:ascii="Calibri" w:hAnsi="Calibri"/>
        </w:rPr>
        <w:t xml:space="preserve"> character of the investor.</w:t>
      </w:r>
    </w:p>
    <w:p w14:paraId="07CAFFB8" w14:textId="4E98C264" w:rsidR="00FC003E" w:rsidRPr="00B93925" w:rsidRDefault="00FC003E" w:rsidP="00B93925">
      <w:pPr>
        <w:rPr>
          <w:color w:val="auto"/>
        </w:rPr>
      </w:pPr>
      <w:r w:rsidRPr="00B93925">
        <w:rPr>
          <w:color w:val="auto"/>
        </w:rPr>
        <w:t xml:space="preserve">Recognising their significance, additional factors are considered as part of the national interest test for proposed investments in the agricultural sector and for residential land as well as for </w:t>
      </w:r>
      <w:r w:rsidRPr="00B93925">
        <w:rPr>
          <w:color w:val="auto"/>
        </w:rPr>
        <w:lastRenderedPageBreak/>
        <w:t>applications made by foreign government investors.</w:t>
      </w:r>
      <w:r w:rsidR="002C07EA" w:rsidRPr="00B93925">
        <w:rPr>
          <w:color w:val="auto"/>
        </w:rPr>
        <w:t xml:space="preserve"> General guidance on the national interest factors is published in Australia</w:t>
      </w:r>
      <w:r w:rsidR="008205A1">
        <w:rPr>
          <w:color w:val="auto"/>
        </w:rPr>
        <w:t>’</w:t>
      </w:r>
      <w:r w:rsidR="002C07EA" w:rsidRPr="00B93925">
        <w:rPr>
          <w:color w:val="auto"/>
        </w:rPr>
        <w:t>s Foreign Investment Policy.</w:t>
      </w:r>
    </w:p>
    <w:p w14:paraId="40398255" w14:textId="77777777" w:rsidR="00BC7A5F" w:rsidRPr="00AB3C2B" w:rsidRDefault="00BC7A5F" w:rsidP="00B93925">
      <w:pPr>
        <w:pStyle w:val="Heading3"/>
        <w:spacing w:before="240"/>
        <w:rPr>
          <w:rFonts w:asciiTheme="minorHAnsi" w:hAnsiTheme="minorHAnsi"/>
          <w:b w:val="0"/>
          <w:bCs w:val="0"/>
          <w:iCs/>
          <w:smallCaps/>
        </w:rPr>
      </w:pPr>
      <w:r w:rsidRPr="00B93925">
        <w:rPr>
          <w:rFonts w:asciiTheme="minorHAnsi" w:hAnsiTheme="minorHAnsi"/>
        </w:rPr>
        <w:t>Extending the statutory timeframe</w:t>
      </w:r>
    </w:p>
    <w:p w14:paraId="7949BBBC" w14:textId="5007C24A" w:rsidR="00BC7A5F" w:rsidRPr="00B93925" w:rsidRDefault="00BC7A5F" w:rsidP="00B93925">
      <w:pPr>
        <w:rPr>
          <w:color w:val="auto"/>
        </w:rPr>
      </w:pPr>
      <w:r w:rsidRPr="00B93925">
        <w:rPr>
          <w:color w:val="auto"/>
        </w:rPr>
        <w:t xml:space="preserve">The Act requires a decision </w:t>
      </w:r>
      <w:r w:rsidR="00D21D4E">
        <w:rPr>
          <w:color w:val="auto"/>
        </w:rPr>
        <w:t xml:space="preserve">to </w:t>
      </w:r>
      <w:r w:rsidRPr="00B93925">
        <w:rPr>
          <w:color w:val="auto"/>
        </w:rPr>
        <w:t xml:space="preserve">be made within 30 calendar days of </w:t>
      </w:r>
      <w:r w:rsidR="00D21D4E">
        <w:rPr>
          <w:color w:val="auto"/>
        </w:rPr>
        <w:t xml:space="preserve">the correct fee being paid </w:t>
      </w:r>
      <w:r w:rsidRPr="00B93925">
        <w:rPr>
          <w:color w:val="auto"/>
        </w:rPr>
        <w:t xml:space="preserve">and provides a further 10 calendar days for the applicant to be notified of the decision. If a decision is not made within this time or the applicant has not been advised, the application is deemed to be </w:t>
      </w:r>
      <w:r w:rsidR="008205A1">
        <w:rPr>
          <w:color w:val="auto"/>
        </w:rPr>
        <w:t>‘</w:t>
      </w:r>
      <w:r w:rsidRPr="00B93925">
        <w:rPr>
          <w:color w:val="auto"/>
        </w:rPr>
        <w:t>approved</w:t>
      </w:r>
      <w:r w:rsidR="008205A1">
        <w:rPr>
          <w:color w:val="auto"/>
        </w:rPr>
        <w:t>’</w:t>
      </w:r>
      <w:r w:rsidRPr="00B93925">
        <w:rPr>
          <w:color w:val="auto"/>
        </w:rPr>
        <w:t xml:space="preserve"> since </w:t>
      </w:r>
      <w:r w:rsidR="008205A1">
        <w:rPr>
          <w:color w:val="auto"/>
        </w:rPr>
        <w:t>‘</w:t>
      </w:r>
      <w:r w:rsidRPr="00B93925">
        <w:rPr>
          <w:color w:val="auto"/>
        </w:rPr>
        <w:t>no objection</w:t>
      </w:r>
      <w:r w:rsidR="008205A1">
        <w:rPr>
          <w:color w:val="auto"/>
        </w:rPr>
        <w:t>’</w:t>
      </w:r>
      <w:r w:rsidRPr="00B93925">
        <w:rPr>
          <w:color w:val="auto"/>
        </w:rPr>
        <w:t xml:space="preserve"> to the proposal has been made.</w:t>
      </w:r>
    </w:p>
    <w:p w14:paraId="1CB418BB" w14:textId="77777777" w:rsidR="00BC7A5F" w:rsidRPr="00B93925" w:rsidRDefault="00BC7A5F" w:rsidP="00B93925">
      <w:pPr>
        <w:rPr>
          <w:color w:val="auto"/>
        </w:rPr>
      </w:pPr>
      <w:r w:rsidRPr="00B93925">
        <w:rPr>
          <w:color w:val="auto"/>
        </w:rPr>
        <w:t>If a proposal cannot be decided within 30 days, because the proposal is complex or further information is needed to properly assess it, the Treasurer can issue an Interim Order extending the timeframe up to a further 90 days. Alternatively, the applicant can voluntarily extend the decision period where it is clear that more time will be required.</w:t>
      </w:r>
    </w:p>
    <w:p w14:paraId="442573F5" w14:textId="77777777" w:rsidR="00BC7A5F" w:rsidRPr="00AB3C2B" w:rsidRDefault="00BC7A5F" w:rsidP="00B93925">
      <w:pPr>
        <w:pStyle w:val="Heading3"/>
        <w:spacing w:before="240"/>
        <w:rPr>
          <w:rFonts w:asciiTheme="minorHAnsi" w:hAnsiTheme="minorHAnsi"/>
          <w:b w:val="0"/>
          <w:bCs w:val="0"/>
          <w:iCs/>
          <w:smallCaps/>
        </w:rPr>
      </w:pPr>
      <w:r w:rsidRPr="00B93925">
        <w:rPr>
          <w:rFonts w:asciiTheme="minorHAnsi" w:hAnsiTheme="minorHAnsi"/>
        </w:rPr>
        <w:t>Approvals and Conditions</w:t>
      </w:r>
    </w:p>
    <w:p w14:paraId="6BDE566B" w14:textId="4F30A85A" w:rsidR="00BC7A5F" w:rsidRPr="00E02B7E" w:rsidRDefault="00BC7A5F" w:rsidP="00E02B7E">
      <w:pPr>
        <w:rPr>
          <w:color w:val="auto"/>
        </w:rPr>
      </w:pPr>
      <w:r w:rsidRPr="00E02B7E">
        <w:rPr>
          <w:color w:val="auto"/>
        </w:rPr>
        <w:t>When assessing more significant proposals, the Board</w:t>
      </w:r>
      <w:r w:rsidR="008205A1">
        <w:rPr>
          <w:color w:val="auto"/>
        </w:rPr>
        <w:t>’</w:t>
      </w:r>
      <w:r w:rsidRPr="00E02B7E">
        <w:rPr>
          <w:color w:val="auto"/>
        </w:rPr>
        <w:t>s approach is to work closely with applicants. If a foreign investment proposal raises potential national interest concerns, these concerns are discussed with the applicant and the applicant is provided an opportunity to comment. If the applicant proposes mitigating actions, these will also be taken into account.</w:t>
      </w:r>
    </w:p>
    <w:p w14:paraId="0643FBBD" w14:textId="2C2D9C3B" w:rsidR="00805A13" w:rsidRPr="00E02B7E" w:rsidRDefault="00BC7A5F" w:rsidP="00E02B7E">
      <w:pPr>
        <w:rPr>
          <w:color w:val="auto"/>
        </w:rPr>
      </w:pPr>
      <w:r w:rsidRPr="00E02B7E">
        <w:rPr>
          <w:color w:val="auto"/>
        </w:rPr>
        <w:t>Where the Treasurer considers that an application raises no national interest concerns or that any concerns are adequately addressed by conditions, the applicant is notified in writing of no objection or no objection subject to conditions. Once an applicant receives a no objection or no objection subject to condition notification, the applicant may proceed with the proposal. If national interest concerns remain and may not be able to be addressed, the proposal may be blocked by the Treasurer.</w:t>
      </w:r>
    </w:p>
    <w:p w14:paraId="1FFEB3FD" w14:textId="16BDD5CA" w:rsidR="003A03ED" w:rsidRDefault="001E5968">
      <w:pPr>
        <w:spacing w:after="200" w:line="276" w:lineRule="auto"/>
        <w:jc w:val="left"/>
      </w:pPr>
      <w:r>
        <w:rPr>
          <w:noProof/>
        </w:rPr>
        <w:lastRenderedPageBreak/>
        <w:drawing>
          <wp:inline distT="0" distB="0" distL="0" distR="0" wp14:anchorId="5D3F87D8" wp14:editId="3F566D7A">
            <wp:extent cx="4889810" cy="5538545"/>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889810" cy="5538545"/>
                    </a:xfrm>
                    <a:prstGeom prst="rect">
                      <a:avLst/>
                    </a:prstGeom>
                  </pic:spPr>
                </pic:pic>
              </a:graphicData>
            </a:graphic>
          </wp:inline>
        </w:drawing>
      </w:r>
    </w:p>
    <w:p w14:paraId="61E18388" w14:textId="77777777" w:rsidR="003A03ED" w:rsidRDefault="003A03ED">
      <w:pPr>
        <w:spacing w:after="200" w:line="276" w:lineRule="auto"/>
        <w:jc w:val="left"/>
      </w:pPr>
    </w:p>
    <w:p w14:paraId="0F03F856" w14:textId="77777777" w:rsidR="00204E29" w:rsidRDefault="00204E29">
      <w:pPr>
        <w:spacing w:after="200" w:line="276" w:lineRule="auto"/>
        <w:jc w:val="left"/>
        <w:sectPr w:rsidR="00204E29" w:rsidSect="0020758A">
          <w:headerReference w:type="default" r:id="rId109"/>
          <w:type w:val="oddPage"/>
          <w:pgSz w:w="11907" w:h="16840" w:code="9"/>
          <w:pgMar w:top="2466" w:right="2098" w:bottom="2466" w:left="2098" w:header="1899" w:footer="1899" w:gutter="0"/>
          <w:cols w:space="708"/>
          <w:titlePg/>
          <w:docGrid w:linePitch="360"/>
        </w:sectPr>
      </w:pPr>
    </w:p>
    <w:p w14:paraId="41C80E02" w14:textId="6BCEC237" w:rsidR="00FE4F85" w:rsidRPr="004C1836" w:rsidRDefault="00FE4F85" w:rsidP="00FE4F85">
      <w:pPr>
        <w:pStyle w:val="Heading1"/>
      </w:pPr>
      <w:bookmarkStart w:id="58" w:name="_Toc476737085"/>
      <w:r>
        <w:rPr>
          <w:noProof/>
        </w:rPr>
        <w:lastRenderedPageBreak/>
        <w:drawing>
          <wp:anchor distT="0" distB="0" distL="114300" distR="114300" simplePos="0" relativeHeight="251658257" behindDoc="0" locked="0" layoutInCell="1" allowOverlap="1" wp14:anchorId="06E84CCB" wp14:editId="7CFD8B2B">
            <wp:simplePos x="0" y="0"/>
            <wp:positionH relativeFrom="column">
              <wp:posOffset>-4445</wp:posOffset>
            </wp:positionH>
            <wp:positionV relativeFrom="paragraph">
              <wp:posOffset>1270</wp:posOffset>
            </wp:positionV>
            <wp:extent cx="4896485" cy="28657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896485" cy="2865755"/>
                    </a:xfrm>
                    <a:prstGeom prst="rect">
                      <a:avLst/>
                    </a:prstGeom>
                  </pic:spPr>
                </pic:pic>
              </a:graphicData>
            </a:graphic>
            <wp14:sizeRelH relativeFrom="page">
              <wp14:pctWidth>0</wp14:pctWidth>
            </wp14:sizeRelH>
            <wp14:sizeRelV relativeFrom="page">
              <wp14:pctHeight>0</wp14:pctHeight>
            </wp14:sizeRelV>
          </wp:anchor>
        </w:drawing>
      </w:r>
      <w:r>
        <w:t>Appendix C Glossary</w:t>
      </w:r>
      <w:bookmarkEnd w:id="58"/>
    </w:p>
    <w:p w14:paraId="58E5C54B" w14:textId="3280B747" w:rsidR="004C402F" w:rsidRDefault="004C402F" w:rsidP="00FE4F85"/>
    <w:p w14:paraId="65DD38AC" w14:textId="48D69995" w:rsidR="00015D93" w:rsidRDefault="00015D93" w:rsidP="00FE4F85"/>
    <w:p w14:paraId="3148D9A1" w14:textId="77777777" w:rsidR="000B584F" w:rsidRDefault="000B584F" w:rsidP="00FE4F85"/>
    <w:p w14:paraId="540E9544" w14:textId="77777777" w:rsidR="000B584F" w:rsidRDefault="000B584F" w:rsidP="00FE4F85"/>
    <w:p w14:paraId="2D8D883B" w14:textId="77777777" w:rsidR="000B584F" w:rsidRDefault="000B584F" w:rsidP="00FE4F85"/>
    <w:p w14:paraId="3998D2E0" w14:textId="23274F13" w:rsidR="000B584F" w:rsidRDefault="000B584F" w:rsidP="00FE4F85"/>
    <w:p w14:paraId="119DA340" w14:textId="77777777" w:rsidR="000B584F" w:rsidRDefault="000B584F" w:rsidP="00FE4F85"/>
    <w:p w14:paraId="4A939CCE" w14:textId="77777777" w:rsidR="000B584F" w:rsidRDefault="000B584F" w:rsidP="00FE4F85"/>
    <w:p w14:paraId="3217A31F" w14:textId="77777777" w:rsidR="000B584F" w:rsidRDefault="000B584F" w:rsidP="00FE4F85"/>
    <w:p w14:paraId="6A1DA342" w14:textId="77777777" w:rsidR="000B584F" w:rsidRDefault="000B584F" w:rsidP="00FE4F85"/>
    <w:p w14:paraId="7FE4A6DA" w14:textId="77777777" w:rsidR="000B584F" w:rsidRDefault="000B584F" w:rsidP="00FE4F8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551"/>
      </w:tblGrid>
      <w:tr w:rsidR="00031D28" w14:paraId="79F762BD" w14:textId="77777777" w:rsidTr="00D157CD">
        <w:tc>
          <w:tcPr>
            <w:tcW w:w="2268" w:type="dxa"/>
          </w:tcPr>
          <w:p w14:paraId="6A563D41" w14:textId="6E20EBA6" w:rsidR="00031D28" w:rsidRPr="009F6803" w:rsidRDefault="00031D28" w:rsidP="009F6803">
            <w:pPr>
              <w:jc w:val="left"/>
              <w:rPr>
                <w:rFonts w:asciiTheme="minorHAnsi" w:hAnsiTheme="minorHAnsi"/>
                <w:color w:val="auto"/>
              </w:rPr>
            </w:pPr>
            <w:r w:rsidRPr="009F6803">
              <w:rPr>
                <w:rFonts w:asciiTheme="minorHAnsi" w:hAnsiTheme="minorHAnsi"/>
                <w:color w:val="auto"/>
              </w:rPr>
              <w:t>Act</w:t>
            </w:r>
          </w:p>
        </w:tc>
        <w:tc>
          <w:tcPr>
            <w:tcW w:w="5551" w:type="dxa"/>
          </w:tcPr>
          <w:p w14:paraId="0978CA59" w14:textId="0117B97B" w:rsidR="00031D28" w:rsidRPr="00D157CD" w:rsidRDefault="00031D28" w:rsidP="00D06C6C">
            <w:pPr>
              <w:rPr>
                <w:rFonts w:asciiTheme="minorHAnsi" w:hAnsiTheme="minorHAnsi"/>
                <w:sz w:val="24"/>
                <w:szCs w:val="24"/>
              </w:rPr>
            </w:pPr>
            <w:r w:rsidRPr="009F6803">
              <w:rPr>
                <w:rFonts w:asciiTheme="minorHAnsi" w:hAnsiTheme="minorHAnsi"/>
                <w:color w:val="auto"/>
              </w:rPr>
              <w:t xml:space="preserve">The </w:t>
            </w:r>
            <w:r w:rsidRPr="009F6803">
              <w:rPr>
                <w:rFonts w:asciiTheme="minorHAnsi" w:hAnsiTheme="minorHAnsi"/>
                <w:i/>
                <w:color w:val="auto"/>
              </w:rPr>
              <w:t>Foreign Acquisitions and Takeovers Act 1975</w:t>
            </w:r>
            <w:r w:rsidRPr="009F6803">
              <w:rPr>
                <w:rFonts w:asciiTheme="minorHAnsi" w:hAnsiTheme="minorHAnsi"/>
                <w:color w:val="auto"/>
              </w:rPr>
              <w:t xml:space="preserve"> (as in force during 2015</w:t>
            </w:r>
            <w:r w:rsidR="008205A1">
              <w:rPr>
                <w:rFonts w:asciiTheme="minorHAnsi" w:hAnsiTheme="minorHAnsi"/>
                <w:color w:val="auto"/>
              </w:rPr>
              <w:noBreakHyphen/>
            </w:r>
            <w:r w:rsidRPr="009F6803">
              <w:rPr>
                <w:rFonts w:asciiTheme="minorHAnsi" w:hAnsiTheme="minorHAnsi"/>
                <w:color w:val="auto"/>
              </w:rPr>
              <w:t>16)</w:t>
            </w:r>
          </w:p>
        </w:tc>
      </w:tr>
      <w:tr w:rsidR="00031D28" w14:paraId="6CF1C423" w14:textId="77777777" w:rsidTr="00D157CD">
        <w:tc>
          <w:tcPr>
            <w:tcW w:w="2268" w:type="dxa"/>
          </w:tcPr>
          <w:p w14:paraId="555439EF" w14:textId="7D3EE0C1" w:rsidR="00031D28" w:rsidRPr="00D157CD" w:rsidRDefault="00031D28" w:rsidP="00D06C6C">
            <w:pPr>
              <w:rPr>
                <w:rFonts w:asciiTheme="minorHAnsi" w:hAnsiTheme="minorHAnsi"/>
                <w:sz w:val="24"/>
                <w:szCs w:val="24"/>
              </w:rPr>
            </w:pPr>
            <w:r w:rsidRPr="009F6803">
              <w:rPr>
                <w:rFonts w:asciiTheme="minorHAnsi" w:hAnsiTheme="minorHAnsi"/>
                <w:color w:val="auto"/>
              </w:rPr>
              <w:t>Agricultural land</w:t>
            </w:r>
          </w:p>
        </w:tc>
        <w:tc>
          <w:tcPr>
            <w:tcW w:w="5551" w:type="dxa"/>
          </w:tcPr>
          <w:p w14:paraId="1B3F782B" w14:textId="564F2E42" w:rsidR="00031D28" w:rsidRPr="00D157CD" w:rsidRDefault="00656F0B" w:rsidP="00D06C6C">
            <w:pPr>
              <w:rPr>
                <w:rFonts w:asciiTheme="minorHAnsi" w:hAnsiTheme="minorHAnsi"/>
                <w:sz w:val="24"/>
                <w:szCs w:val="24"/>
              </w:rPr>
            </w:pPr>
            <w:r>
              <w:rPr>
                <w:rFonts w:asciiTheme="minorHAnsi" w:hAnsiTheme="minorHAnsi"/>
                <w:color w:val="auto"/>
              </w:rPr>
              <w:t>L</w:t>
            </w:r>
            <w:r w:rsidR="00031D28" w:rsidRPr="009F6803">
              <w:rPr>
                <w:rFonts w:asciiTheme="minorHAnsi" w:hAnsiTheme="minorHAnsi"/>
                <w:color w:val="auto"/>
              </w:rPr>
              <w:t>and in Australia that is used, or that could reasonably be used, for a primary production business. The regulations may provide that land of a specified kind is not agricultural land.</w:t>
            </w:r>
          </w:p>
        </w:tc>
      </w:tr>
      <w:tr w:rsidR="00031D28" w14:paraId="1041E827" w14:textId="77777777" w:rsidTr="00D157CD">
        <w:tc>
          <w:tcPr>
            <w:tcW w:w="2268" w:type="dxa"/>
          </w:tcPr>
          <w:p w14:paraId="11FE6D9A" w14:textId="10231025" w:rsidR="00031D28" w:rsidRPr="00D157CD" w:rsidRDefault="00031D28" w:rsidP="00D06C6C">
            <w:pPr>
              <w:rPr>
                <w:rFonts w:asciiTheme="minorHAnsi" w:hAnsiTheme="minorHAnsi"/>
                <w:sz w:val="24"/>
                <w:szCs w:val="24"/>
              </w:rPr>
            </w:pPr>
            <w:r w:rsidRPr="009F6803">
              <w:rPr>
                <w:rFonts w:asciiTheme="minorHAnsi" w:hAnsiTheme="minorHAnsi"/>
                <w:color w:val="auto"/>
              </w:rPr>
              <w:t>Commercial land</w:t>
            </w:r>
          </w:p>
        </w:tc>
        <w:tc>
          <w:tcPr>
            <w:tcW w:w="5551" w:type="dxa"/>
          </w:tcPr>
          <w:p w14:paraId="0CB553A4" w14:textId="526ED0DB" w:rsidR="00031D28" w:rsidRPr="009F6803" w:rsidRDefault="00656F0B" w:rsidP="00D157CD">
            <w:pPr>
              <w:spacing w:after="0"/>
              <w:rPr>
                <w:rFonts w:asciiTheme="minorHAnsi" w:hAnsiTheme="minorHAnsi"/>
                <w:color w:val="auto"/>
              </w:rPr>
            </w:pPr>
            <w:r>
              <w:rPr>
                <w:rFonts w:asciiTheme="minorHAnsi" w:hAnsiTheme="minorHAnsi"/>
                <w:color w:val="auto"/>
              </w:rPr>
              <w:t>L</w:t>
            </w:r>
            <w:r w:rsidR="00031D28" w:rsidRPr="009F6803">
              <w:rPr>
                <w:rFonts w:asciiTheme="minorHAnsi" w:hAnsiTheme="minorHAnsi"/>
                <w:color w:val="auto"/>
              </w:rPr>
              <w:t>and in Australia or the seabed of the offshore area, other than land:</w:t>
            </w:r>
          </w:p>
          <w:p w14:paraId="23567B2B" w14:textId="1DDB38C1" w:rsidR="00031D28" w:rsidRPr="009F6803" w:rsidRDefault="00031D28" w:rsidP="009F6803">
            <w:pPr>
              <w:pStyle w:val="Bullet"/>
              <w:spacing w:before="60" w:after="60"/>
              <w:rPr>
                <w:rFonts w:ascii="Calibri" w:hAnsi="Calibri"/>
              </w:rPr>
            </w:pPr>
            <w:r w:rsidRPr="009F6803">
              <w:rPr>
                <w:rFonts w:ascii="Calibri" w:hAnsi="Calibri"/>
              </w:rPr>
              <w:t>used wholly and exclusively for a primary pro</w:t>
            </w:r>
            <w:r>
              <w:rPr>
                <w:rFonts w:ascii="Calibri" w:hAnsi="Calibri"/>
              </w:rPr>
              <w:t>duction business</w:t>
            </w:r>
            <w:r w:rsidRPr="009F6803">
              <w:rPr>
                <w:rFonts w:ascii="Calibri" w:hAnsi="Calibri"/>
              </w:rPr>
              <w:t>; or</w:t>
            </w:r>
          </w:p>
          <w:p w14:paraId="47BFEA20" w14:textId="77777777" w:rsidR="00031D28" w:rsidRPr="009F6803" w:rsidRDefault="00031D28" w:rsidP="009F6803">
            <w:pPr>
              <w:pStyle w:val="Bullet"/>
              <w:spacing w:before="60" w:after="60"/>
              <w:rPr>
                <w:rFonts w:ascii="Calibri" w:hAnsi="Calibri"/>
              </w:rPr>
            </w:pPr>
            <w:r w:rsidRPr="009F6803">
              <w:rPr>
                <w:rFonts w:ascii="Calibri" w:hAnsi="Calibri"/>
              </w:rPr>
              <w:t>on which there is at least one dwelling (except commercial residential premises); or</w:t>
            </w:r>
          </w:p>
          <w:p w14:paraId="68BF5C39" w14:textId="79A0DD34" w:rsidR="00031D28" w:rsidRPr="00D157CD" w:rsidRDefault="00031D28" w:rsidP="009F6803">
            <w:pPr>
              <w:pStyle w:val="Bullet"/>
              <w:spacing w:before="60" w:after="60"/>
              <w:rPr>
                <w:rFonts w:asciiTheme="minorHAnsi" w:hAnsiTheme="minorHAnsi"/>
                <w:sz w:val="24"/>
                <w:szCs w:val="24"/>
              </w:rPr>
            </w:pPr>
            <w:proofErr w:type="gramStart"/>
            <w:r w:rsidRPr="009F6803">
              <w:rPr>
                <w:rFonts w:ascii="Calibri" w:hAnsi="Calibri"/>
              </w:rPr>
              <w:t>on</w:t>
            </w:r>
            <w:proofErr w:type="gramEnd"/>
            <w:r w:rsidRPr="009F6803">
              <w:rPr>
                <w:rFonts w:ascii="Calibri" w:hAnsi="Calibri"/>
              </w:rPr>
              <w:t xml:space="preserve"> which the number of dwellings (except commercial residential premises) that could reasonably be built is less than the number prescribed by the regulations (10, during 2015</w:t>
            </w:r>
            <w:r w:rsidR="008205A1">
              <w:rPr>
                <w:rFonts w:ascii="Calibri" w:hAnsi="Calibri"/>
              </w:rPr>
              <w:noBreakHyphen/>
            </w:r>
            <w:r w:rsidRPr="009F6803">
              <w:rPr>
                <w:rFonts w:ascii="Calibri" w:hAnsi="Calibri"/>
              </w:rPr>
              <w:t>16).</w:t>
            </w:r>
          </w:p>
        </w:tc>
      </w:tr>
      <w:tr w:rsidR="00031D28" w14:paraId="115C4DCD" w14:textId="77777777" w:rsidTr="00D157CD">
        <w:tc>
          <w:tcPr>
            <w:tcW w:w="2268" w:type="dxa"/>
          </w:tcPr>
          <w:p w14:paraId="0CFB520F" w14:textId="3D85BDC3" w:rsidR="00031D28" w:rsidRPr="009F6803" w:rsidRDefault="00031D28" w:rsidP="00D06C6C">
            <w:pPr>
              <w:rPr>
                <w:rFonts w:asciiTheme="minorHAnsi" w:hAnsiTheme="minorHAnsi"/>
                <w:color w:val="auto"/>
              </w:rPr>
            </w:pPr>
            <w:r w:rsidRPr="009F6803">
              <w:rPr>
                <w:rFonts w:asciiTheme="minorHAnsi" w:hAnsiTheme="minorHAnsi"/>
                <w:color w:val="auto"/>
              </w:rPr>
              <w:t>Established dwelling</w:t>
            </w:r>
          </w:p>
        </w:tc>
        <w:tc>
          <w:tcPr>
            <w:tcW w:w="5551" w:type="dxa"/>
          </w:tcPr>
          <w:p w14:paraId="2087B5F5" w14:textId="566C0F0B" w:rsidR="00031D28" w:rsidRPr="009F6803" w:rsidRDefault="00656F0B" w:rsidP="00FE4F85">
            <w:pPr>
              <w:spacing w:after="480"/>
              <w:rPr>
                <w:rFonts w:asciiTheme="minorHAnsi" w:hAnsiTheme="minorHAnsi"/>
                <w:color w:val="auto"/>
              </w:rPr>
            </w:pPr>
            <w:r>
              <w:rPr>
                <w:rFonts w:asciiTheme="minorHAnsi" w:hAnsiTheme="minorHAnsi"/>
                <w:color w:val="auto"/>
              </w:rPr>
              <w:t>A</w:t>
            </w:r>
            <w:r w:rsidR="00031D28" w:rsidRPr="009F6803">
              <w:rPr>
                <w:rFonts w:asciiTheme="minorHAnsi" w:hAnsiTheme="minorHAnsi"/>
                <w:color w:val="auto"/>
              </w:rPr>
              <w:t xml:space="preserve"> dwelling (except commercial residential premises) on residential land that is not a new dwelling.</w:t>
            </w:r>
          </w:p>
        </w:tc>
      </w:tr>
      <w:tr w:rsidR="00031D28" w14:paraId="2FDAA9DF" w14:textId="77777777" w:rsidTr="00D157CD">
        <w:tc>
          <w:tcPr>
            <w:tcW w:w="2268" w:type="dxa"/>
          </w:tcPr>
          <w:p w14:paraId="1D216420" w14:textId="0EDCC089" w:rsidR="00031D28" w:rsidRPr="009F6803" w:rsidRDefault="00031D28" w:rsidP="00D157CD">
            <w:pPr>
              <w:jc w:val="left"/>
              <w:rPr>
                <w:rFonts w:asciiTheme="minorHAnsi" w:hAnsiTheme="minorHAnsi"/>
                <w:color w:val="auto"/>
              </w:rPr>
            </w:pPr>
            <w:r w:rsidRPr="009F6803">
              <w:rPr>
                <w:rFonts w:asciiTheme="minorHAnsi" w:hAnsiTheme="minorHAnsi"/>
                <w:color w:val="auto"/>
              </w:rPr>
              <w:lastRenderedPageBreak/>
              <w:t xml:space="preserve">Exemption </w:t>
            </w:r>
            <w:r w:rsidR="00910298" w:rsidRPr="009F6803">
              <w:rPr>
                <w:rFonts w:asciiTheme="minorHAnsi" w:hAnsiTheme="minorHAnsi"/>
                <w:color w:val="auto"/>
              </w:rPr>
              <w:t>c</w:t>
            </w:r>
            <w:r w:rsidRPr="009F6803">
              <w:rPr>
                <w:rFonts w:asciiTheme="minorHAnsi" w:hAnsiTheme="minorHAnsi"/>
                <w:color w:val="auto"/>
              </w:rPr>
              <w:t>ertificates for foreign person</w:t>
            </w:r>
          </w:p>
        </w:tc>
        <w:tc>
          <w:tcPr>
            <w:tcW w:w="5551" w:type="dxa"/>
          </w:tcPr>
          <w:p w14:paraId="250AF160" w14:textId="36411EC8" w:rsidR="00031D28" w:rsidRPr="009F6803" w:rsidRDefault="00031D28" w:rsidP="00D06C6C">
            <w:pPr>
              <w:rPr>
                <w:rFonts w:asciiTheme="minorHAnsi" w:hAnsiTheme="minorHAnsi"/>
                <w:color w:val="auto"/>
              </w:rPr>
            </w:pPr>
            <w:r w:rsidRPr="009F6803">
              <w:rPr>
                <w:rFonts w:asciiTheme="minorHAnsi" w:hAnsiTheme="minorHAnsi"/>
                <w:color w:val="auto"/>
              </w:rPr>
              <w:t xml:space="preserve">An exemption certificate which allows foreign persons to acquire real estate assets up to a specified monetary limit within a defined region. Generally includes conditions requiring the foreign person to report actual purchases and any other conditions that would normally be applied for the type of land to be purchased. Prior to 1 December 2015, the </w:t>
            </w:r>
            <w:proofErr w:type="gramStart"/>
            <w:r w:rsidRPr="009F6803">
              <w:rPr>
                <w:rFonts w:asciiTheme="minorHAnsi" w:hAnsiTheme="minorHAnsi"/>
                <w:color w:val="auto"/>
              </w:rPr>
              <w:t>equivalent to these exemption certificates were</w:t>
            </w:r>
            <w:proofErr w:type="gramEnd"/>
            <w:r w:rsidRPr="009F6803">
              <w:rPr>
                <w:rFonts w:asciiTheme="minorHAnsi" w:hAnsiTheme="minorHAnsi"/>
                <w:color w:val="auto"/>
              </w:rPr>
              <w:t xml:space="preserve"> known as annual programs.</w:t>
            </w:r>
          </w:p>
        </w:tc>
      </w:tr>
      <w:tr w:rsidR="00031D28" w14:paraId="54FBD35D" w14:textId="77777777" w:rsidTr="00D157CD">
        <w:tc>
          <w:tcPr>
            <w:tcW w:w="2268" w:type="dxa"/>
          </w:tcPr>
          <w:p w14:paraId="72761259" w14:textId="56E0CEFA" w:rsidR="00031D28" w:rsidRPr="00D157CD" w:rsidRDefault="00031D28" w:rsidP="009F6803">
            <w:pPr>
              <w:jc w:val="left"/>
              <w:rPr>
                <w:rFonts w:asciiTheme="minorHAnsi" w:hAnsiTheme="minorHAnsi"/>
                <w:sz w:val="24"/>
                <w:szCs w:val="24"/>
              </w:rPr>
            </w:pPr>
            <w:r w:rsidRPr="009F6803">
              <w:rPr>
                <w:rFonts w:asciiTheme="minorHAnsi" w:hAnsiTheme="minorHAnsi"/>
                <w:color w:val="auto"/>
              </w:rPr>
              <w:t>Foreign government investor</w:t>
            </w:r>
          </w:p>
        </w:tc>
        <w:tc>
          <w:tcPr>
            <w:tcW w:w="5551" w:type="dxa"/>
          </w:tcPr>
          <w:p w14:paraId="336772F8" w14:textId="77777777" w:rsidR="00031D28" w:rsidRPr="009F6803" w:rsidRDefault="00031D28" w:rsidP="00031D28">
            <w:pPr>
              <w:spacing w:after="0"/>
              <w:rPr>
                <w:rFonts w:asciiTheme="minorHAnsi" w:hAnsiTheme="minorHAnsi"/>
                <w:color w:val="auto"/>
              </w:rPr>
            </w:pPr>
            <w:r w:rsidRPr="009F6803">
              <w:rPr>
                <w:rFonts w:asciiTheme="minorHAnsi" w:hAnsiTheme="minorHAnsi"/>
                <w:color w:val="auto"/>
              </w:rPr>
              <w:t>A foreign government investor includes:</w:t>
            </w:r>
          </w:p>
          <w:p w14:paraId="22B250B6" w14:textId="77777777" w:rsidR="00031D28" w:rsidRPr="009F6803" w:rsidRDefault="00031D28" w:rsidP="009F6803">
            <w:pPr>
              <w:pStyle w:val="Bullet"/>
              <w:spacing w:before="60" w:after="60"/>
              <w:rPr>
                <w:rFonts w:ascii="Calibri" w:hAnsi="Calibri"/>
              </w:rPr>
            </w:pPr>
            <w:r w:rsidRPr="009F6803">
              <w:rPr>
                <w:rFonts w:ascii="Calibri" w:hAnsi="Calibri"/>
              </w:rPr>
              <w:t>a foreign government or separate government entity;</w:t>
            </w:r>
          </w:p>
          <w:p w14:paraId="2DCF2DEF" w14:textId="77777777" w:rsidR="00031D28" w:rsidRPr="009F6803" w:rsidRDefault="00031D28" w:rsidP="009F6803">
            <w:pPr>
              <w:pStyle w:val="Bullet"/>
              <w:spacing w:before="60" w:after="60"/>
              <w:rPr>
                <w:rFonts w:ascii="Calibri" w:hAnsi="Calibri"/>
              </w:rPr>
            </w:pPr>
            <w:r w:rsidRPr="009F6803">
              <w:rPr>
                <w:rFonts w:ascii="Calibri" w:hAnsi="Calibri"/>
              </w:rPr>
              <w:t>a corporation or trustee of a trust in which:</w:t>
            </w:r>
          </w:p>
          <w:p w14:paraId="0021FF2C" w14:textId="233CCFC1" w:rsidR="00031D28" w:rsidRPr="009F6803" w:rsidRDefault="00031D28" w:rsidP="009F6803">
            <w:pPr>
              <w:pStyle w:val="Dash"/>
              <w:spacing w:before="60" w:after="60"/>
              <w:ind w:left="942" w:hanging="471"/>
              <w:rPr>
                <w:rFonts w:asciiTheme="minorHAnsi" w:hAnsiTheme="minorHAnsi"/>
              </w:rPr>
            </w:pPr>
            <w:r w:rsidRPr="009F6803">
              <w:rPr>
                <w:rFonts w:asciiTheme="minorHAnsi" w:hAnsiTheme="minorHAnsi"/>
              </w:rPr>
              <w:t>a foreign government or separate government entity, alone or together with one or more associates, holds a substantial interest (that</w:t>
            </w:r>
            <w:r>
              <w:rPr>
                <w:rFonts w:asciiTheme="minorHAnsi" w:hAnsiTheme="minorHAnsi"/>
              </w:rPr>
              <w:t xml:space="preserve"> is, an interest of at least 20</w:t>
            </w:r>
            <w:r w:rsidR="009F6803">
              <w:rPr>
                <w:rFonts w:asciiTheme="minorHAnsi" w:hAnsiTheme="minorHAnsi"/>
              </w:rPr>
              <w:t> </w:t>
            </w:r>
            <w:r w:rsidRPr="009F6803">
              <w:rPr>
                <w:rFonts w:asciiTheme="minorHAnsi" w:hAnsiTheme="minorHAnsi"/>
              </w:rPr>
              <w:t>per cent); or</w:t>
            </w:r>
          </w:p>
          <w:p w14:paraId="3346EA31" w14:textId="77777777" w:rsidR="00031D28" w:rsidRPr="009F6803" w:rsidRDefault="00031D28" w:rsidP="009F6803">
            <w:pPr>
              <w:pStyle w:val="Dash"/>
              <w:spacing w:before="60" w:after="60"/>
              <w:ind w:left="942" w:hanging="471"/>
              <w:rPr>
                <w:rFonts w:asciiTheme="minorHAnsi" w:hAnsiTheme="minorHAnsi"/>
              </w:rPr>
            </w:pPr>
            <w:r w:rsidRPr="009F6803">
              <w:rPr>
                <w:rFonts w:asciiTheme="minorHAnsi" w:hAnsiTheme="minorHAnsi"/>
              </w:rPr>
              <w:t>foreign governments or separate government entities of more than one foreign country (or parts of more than one foreign country), together with any one or more associates, hold an aggregate substantial interest (that is, an interest of at least 40 per cent);</w:t>
            </w:r>
          </w:p>
          <w:p w14:paraId="42931DEA" w14:textId="77777777" w:rsidR="00031D28" w:rsidRPr="009F6803" w:rsidRDefault="00031D28" w:rsidP="009F6803">
            <w:pPr>
              <w:pStyle w:val="Bullet"/>
              <w:spacing w:before="60" w:after="60"/>
              <w:rPr>
                <w:rFonts w:ascii="Calibri" w:hAnsi="Calibri"/>
              </w:rPr>
            </w:pPr>
            <w:r w:rsidRPr="009F6803">
              <w:rPr>
                <w:rFonts w:ascii="Calibri" w:hAnsi="Calibri"/>
              </w:rPr>
              <w:t xml:space="preserve">a general partner of a limited partnership in which: </w:t>
            </w:r>
          </w:p>
          <w:p w14:paraId="20EF6025" w14:textId="77777777" w:rsidR="00031D28" w:rsidRPr="009F6803" w:rsidRDefault="00031D28" w:rsidP="009F6803">
            <w:pPr>
              <w:pStyle w:val="Dash"/>
              <w:spacing w:before="60" w:after="60"/>
              <w:ind w:left="942" w:hanging="471"/>
              <w:rPr>
                <w:rFonts w:asciiTheme="minorHAnsi" w:hAnsiTheme="minorHAnsi"/>
              </w:rPr>
            </w:pPr>
            <w:r w:rsidRPr="009F6803">
              <w:rPr>
                <w:rFonts w:asciiTheme="minorHAnsi" w:hAnsiTheme="minorHAnsi"/>
              </w:rPr>
              <w:t>a foreign government or separate government entity, alone or together with one or more associates, holds an interest of at least 20 per cent; or</w:t>
            </w:r>
          </w:p>
          <w:p w14:paraId="7B178D94" w14:textId="77777777" w:rsidR="008151F7" w:rsidRDefault="00031D28" w:rsidP="008151F7">
            <w:pPr>
              <w:pStyle w:val="Dash"/>
              <w:spacing w:before="60" w:after="60"/>
              <w:ind w:left="942" w:hanging="471"/>
              <w:rPr>
                <w:rFonts w:asciiTheme="minorHAnsi" w:hAnsiTheme="minorHAnsi"/>
              </w:rPr>
            </w:pPr>
            <w:r w:rsidRPr="009F6803">
              <w:rPr>
                <w:rFonts w:asciiTheme="minorHAnsi" w:hAnsiTheme="minorHAnsi"/>
              </w:rPr>
              <w:t>foreign governments or separate government entities of more than one foreign country (or parts of more than one foreign country), together with any one or more associates, hold an aggregate interest of 40 per cent or more;</w:t>
            </w:r>
          </w:p>
          <w:p w14:paraId="36AAE40F" w14:textId="519F5CDA" w:rsidR="00031D28" w:rsidRPr="008151F7" w:rsidRDefault="00031D28" w:rsidP="008151F7">
            <w:pPr>
              <w:pStyle w:val="Bullet"/>
              <w:spacing w:after="60"/>
              <w:rPr>
                <w:rFonts w:asciiTheme="minorHAnsi" w:hAnsiTheme="minorHAnsi"/>
              </w:rPr>
            </w:pPr>
            <w:r w:rsidRPr="008151F7">
              <w:rPr>
                <w:rFonts w:asciiTheme="minorHAnsi" w:hAnsiTheme="minorHAnsi"/>
              </w:rPr>
              <w:t>a corporation, trustee or general partner of a kind described in the two dot points above, assuming the references to foreign government (or foreign governments) in those dot points include references to a foreign government investor (or foreign government investors) within the meaning of those dot points.</w:t>
            </w:r>
          </w:p>
        </w:tc>
      </w:tr>
      <w:tr w:rsidR="00031D28" w14:paraId="675447E3" w14:textId="77777777" w:rsidTr="00D157CD">
        <w:tc>
          <w:tcPr>
            <w:tcW w:w="2268" w:type="dxa"/>
          </w:tcPr>
          <w:p w14:paraId="5BE86E4D" w14:textId="4FDDF597" w:rsidR="00031D28" w:rsidRPr="00D157CD" w:rsidRDefault="00031D28" w:rsidP="00D06C6C">
            <w:pPr>
              <w:rPr>
                <w:rFonts w:asciiTheme="minorHAnsi" w:hAnsiTheme="minorHAnsi"/>
                <w:sz w:val="24"/>
                <w:szCs w:val="24"/>
              </w:rPr>
            </w:pPr>
            <w:r w:rsidRPr="009F6803">
              <w:rPr>
                <w:rFonts w:asciiTheme="minorHAnsi" w:hAnsiTheme="minorHAnsi"/>
                <w:color w:val="auto"/>
              </w:rPr>
              <w:t>Foreign person</w:t>
            </w:r>
          </w:p>
        </w:tc>
        <w:tc>
          <w:tcPr>
            <w:tcW w:w="5551" w:type="dxa"/>
          </w:tcPr>
          <w:p w14:paraId="00BD80DD" w14:textId="77777777" w:rsidR="00031D28" w:rsidRPr="003372A4" w:rsidRDefault="00031D28" w:rsidP="003372A4">
            <w:pPr>
              <w:spacing w:after="0"/>
              <w:rPr>
                <w:rFonts w:asciiTheme="minorHAnsi" w:hAnsiTheme="minorHAnsi"/>
                <w:color w:val="auto"/>
              </w:rPr>
            </w:pPr>
            <w:r w:rsidRPr="003372A4">
              <w:rPr>
                <w:rFonts w:asciiTheme="minorHAnsi" w:hAnsiTheme="minorHAnsi"/>
                <w:color w:val="auto"/>
              </w:rPr>
              <w:t>Foreign person means:</w:t>
            </w:r>
          </w:p>
          <w:p w14:paraId="01055164" w14:textId="77777777" w:rsidR="00031D28" w:rsidRPr="009F6803" w:rsidRDefault="00031D28" w:rsidP="009F6803">
            <w:pPr>
              <w:pStyle w:val="Bullet"/>
              <w:spacing w:before="60" w:after="60"/>
              <w:rPr>
                <w:rFonts w:ascii="Calibri" w:hAnsi="Calibri"/>
              </w:rPr>
            </w:pPr>
            <w:r w:rsidRPr="009F6803">
              <w:rPr>
                <w:rFonts w:ascii="Calibri" w:hAnsi="Calibri"/>
              </w:rPr>
              <w:t>an individual not ordinarily resident in Australia; or</w:t>
            </w:r>
          </w:p>
          <w:p w14:paraId="44101829" w14:textId="77777777" w:rsidR="00031D28" w:rsidRPr="009F6803" w:rsidRDefault="00031D28" w:rsidP="009F6803">
            <w:pPr>
              <w:pStyle w:val="Bullet"/>
              <w:spacing w:before="60" w:after="60"/>
              <w:rPr>
                <w:rFonts w:ascii="Calibri" w:hAnsi="Calibri"/>
              </w:rPr>
            </w:pPr>
            <w:r w:rsidRPr="009F6803">
              <w:rPr>
                <w:rFonts w:ascii="Calibri" w:hAnsi="Calibri"/>
              </w:rPr>
              <w:t>a corporation in which an individual not ordinarily resident in Australia, a foreign corporation or a foreign government holds a substantial interest ; or</w:t>
            </w:r>
          </w:p>
          <w:p w14:paraId="387BB007" w14:textId="77777777" w:rsidR="00031D28" w:rsidRPr="009F6803" w:rsidRDefault="00031D28" w:rsidP="009F6803">
            <w:pPr>
              <w:pStyle w:val="Bullet"/>
              <w:spacing w:before="60" w:after="60"/>
              <w:rPr>
                <w:rFonts w:ascii="Calibri" w:hAnsi="Calibri"/>
              </w:rPr>
            </w:pPr>
            <w:r w:rsidRPr="009F6803">
              <w:rPr>
                <w:rFonts w:ascii="Calibri" w:hAnsi="Calibri"/>
              </w:rPr>
              <w:t xml:space="preserve">a corporation in which two or more persons, each of whom is an individual not ordinarily resident in Australia, a foreign corporation or a foreign government, hold an aggregate </w:t>
            </w:r>
            <w:r w:rsidRPr="009F6803">
              <w:rPr>
                <w:rFonts w:ascii="Calibri" w:hAnsi="Calibri"/>
              </w:rPr>
              <w:lastRenderedPageBreak/>
              <w:t>substantial interest ; or</w:t>
            </w:r>
          </w:p>
          <w:p w14:paraId="7C1CC093" w14:textId="77777777" w:rsidR="00031D28" w:rsidRPr="009F6803" w:rsidRDefault="00031D28" w:rsidP="009F6803">
            <w:pPr>
              <w:pStyle w:val="Bullet"/>
              <w:spacing w:before="60" w:after="60"/>
              <w:rPr>
                <w:rFonts w:ascii="Calibri" w:hAnsi="Calibri"/>
              </w:rPr>
            </w:pPr>
            <w:r w:rsidRPr="009F6803">
              <w:rPr>
                <w:rFonts w:ascii="Calibri" w:hAnsi="Calibri"/>
              </w:rPr>
              <w:t>the trustee of a trust in which an individual not ordinarily resident in Australia, a foreign corporation or a foreign government holds a substantial interest ; or</w:t>
            </w:r>
          </w:p>
          <w:p w14:paraId="7614C4E7" w14:textId="77777777" w:rsidR="00031D28" w:rsidRPr="009F6803" w:rsidRDefault="00031D28" w:rsidP="009F6803">
            <w:pPr>
              <w:pStyle w:val="Bullet"/>
              <w:spacing w:before="60" w:after="60"/>
              <w:rPr>
                <w:rFonts w:ascii="Calibri" w:hAnsi="Calibri"/>
              </w:rPr>
            </w:pPr>
            <w:r w:rsidRPr="009F6803">
              <w:rPr>
                <w:rFonts w:ascii="Calibri" w:hAnsi="Calibri"/>
              </w:rPr>
              <w:t>the trustee of a trust in which two or more persons, each of whom is an individual not ordinarily resident in Australia, a foreign corporation or a foreign government, hold an aggregate substantial interest; or</w:t>
            </w:r>
          </w:p>
          <w:p w14:paraId="4B704166" w14:textId="77777777" w:rsidR="008151F7" w:rsidRDefault="00031D28" w:rsidP="008151F7">
            <w:pPr>
              <w:pStyle w:val="Bullet"/>
              <w:spacing w:before="60" w:after="60"/>
              <w:rPr>
                <w:rFonts w:ascii="Calibri" w:hAnsi="Calibri"/>
              </w:rPr>
            </w:pPr>
            <w:r w:rsidRPr="009F6803">
              <w:rPr>
                <w:rFonts w:ascii="Calibri" w:hAnsi="Calibri"/>
              </w:rPr>
              <w:t>a foreign government; or</w:t>
            </w:r>
          </w:p>
          <w:p w14:paraId="7EDC5FCD" w14:textId="2C89B149" w:rsidR="00031D28" w:rsidRPr="008151F7" w:rsidRDefault="00031D28" w:rsidP="008151F7">
            <w:pPr>
              <w:pStyle w:val="Bullet"/>
              <w:spacing w:before="60" w:after="60"/>
              <w:rPr>
                <w:rFonts w:ascii="Calibri" w:hAnsi="Calibri"/>
              </w:rPr>
            </w:pPr>
            <w:proofErr w:type="gramStart"/>
            <w:r w:rsidRPr="008151F7">
              <w:rPr>
                <w:rFonts w:ascii="Calibri" w:hAnsi="Calibri"/>
              </w:rPr>
              <w:t>any</w:t>
            </w:r>
            <w:proofErr w:type="gramEnd"/>
            <w:r w:rsidRPr="008151F7">
              <w:rPr>
                <w:rFonts w:ascii="Calibri" w:hAnsi="Calibri"/>
              </w:rPr>
              <w:t xml:space="preserve"> other person, or any other person that meets the conditions, prescribed by the regulations.</w:t>
            </w:r>
          </w:p>
        </w:tc>
      </w:tr>
      <w:tr w:rsidR="002B5048" w14:paraId="099B3F28" w14:textId="77777777" w:rsidTr="00D157CD">
        <w:tc>
          <w:tcPr>
            <w:tcW w:w="2268" w:type="dxa"/>
          </w:tcPr>
          <w:p w14:paraId="65B27393" w14:textId="2D7FC763" w:rsidR="002B5048" w:rsidRPr="00D157CD" w:rsidRDefault="002B5048" w:rsidP="00D06C6C">
            <w:pPr>
              <w:rPr>
                <w:rFonts w:asciiTheme="minorHAnsi" w:hAnsiTheme="minorHAnsi"/>
                <w:sz w:val="24"/>
                <w:szCs w:val="24"/>
              </w:rPr>
            </w:pPr>
            <w:r w:rsidRPr="009F6803">
              <w:rPr>
                <w:rFonts w:asciiTheme="minorHAnsi" w:hAnsiTheme="minorHAnsi"/>
                <w:color w:val="auto"/>
              </w:rPr>
              <w:lastRenderedPageBreak/>
              <w:t>New dwelling</w:t>
            </w:r>
          </w:p>
        </w:tc>
        <w:tc>
          <w:tcPr>
            <w:tcW w:w="5551" w:type="dxa"/>
          </w:tcPr>
          <w:p w14:paraId="4D4B0BF2" w14:textId="45E57A17" w:rsidR="002B5048" w:rsidRPr="009F6803" w:rsidRDefault="00656F0B" w:rsidP="003372A4">
            <w:pPr>
              <w:spacing w:after="0"/>
              <w:rPr>
                <w:rFonts w:asciiTheme="minorHAnsi" w:hAnsiTheme="minorHAnsi"/>
                <w:color w:val="auto"/>
              </w:rPr>
            </w:pPr>
            <w:r>
              <w:rPr>
                <w:rFonts w:asciiTheme="minorHAnsi" w:hAnsiTheme="minorHAnsi"/>
                <w:color w:val="auto"/>
              </w:rPr>
              <w:t>A</w:t>
            </w:r>
            <w:r w:rsidR="002B5048" w:rsidRPr="009F6803">
              <w:rPr>
                <w:rFonts w:asciiTheme="minorHAnsi" w:hAnsiTheme="minorHAnsi"/>
                <w:color w:val="auto"/>
              </w:rPr>
              <w:t xml:space="preserve"> dwelling (except commercial residential premises) that will be, is being or has been built on residential land and that:</w:t>
            </w:r>
          </w:p>
          <w:p w14:paraId="1EBE46B2" w14:textId="77777777" w:rsidR="008151F7" w:rsidRDefault="002B5048" w:rsidP="008151F7">
            <w:pPr>
              <w:pStyle w:val="Bullet"/>
              <w:spacing w:before="60" w:after="60"/>
              <w:rPr>
                <w:rFonts w:ascii="Calibri" w:hAnsi="Calibri"/>
              </w:rPr>
            </w:pPr>
            <w:r w:rsidRPr="003372A4">
              <w:rPr>
                <w:rFonts w:ascii="Calibri" w:hAnsi="Calibri"/>
              </w:rPr>
              <w:t>has not been previously sold as a dwelling; and</w:t>
            </w:r>
          </w:p>
          <w:p w14:paraId="0A08AB2B" w14:textId="221BADC5" w:rsidR="002B5048" w:rsidRPr="008151F7" w:rsidRDefault="002B5048" w:rsidP="008151F7">
            <w:pPr>
              <w:pStyle w:val="Bullet"/>
              <w:spacing w:before="60" w:after="60"/>
              <w:rPr>
                <w:rFonts w:ascii="Calibri" w:hAnsi="Calibri"/>
              </w:rPr>
            </w:pPr>
            <w:proofErr w:type="gramStart"/>
            <w:r w:rsidRPr="008151F7">
              <w:rPr>
                <w:rFonts w:ascii="Calibri" w:hAnsi="Calibri"/>
              </w:rPr>
              <w:t>either</w:t>
            </w:r>
            <w:proofErr w:type="gramEnd"/>
            <w:r w:rsidRPr="008151F7">
              <w:rPr>
                <w:rFonts w:ascii="Calibri" w:hAnsi="Calibri"/>
              </w:rPr>
              <w:t xml:space="preserve"> has not been previously occupied; or if the dwelling is contained in a development and the dwelling was sold by the developer of the development</w:t>
            </w:r>
            <w:r w:rsidR="008205A1">
              <w:rPr>
                <w:rFonts w:ascii="Calibri" w:hAnsi="Calibri"/>
              </w:rPr>
              <w:t xml:space="preserve"> — </w:t>
            </w:r>
            <w:r w:rsidRPr="008151F7">
              <w:rPr>
                <w:rFonts w:ascii="Calibri" w:hAnsi="Calibri"/>
              </w:rPr>
              <w:t>has not been previously occupied for more than 12 months total.</w:t>
            </w:r>
            <w:r w:rsidRPr="008151F7">
              <w:rPr>
                <w:rFonts w:asciiTheme="minorHAnsi" w:hAnsiTheme="minorHAnsi"/>
                <w:sz w:val="24"/>
                <w:szCs w:val="24"/>
              </w:rPr>
              <w:t xml:space="preserve"> </w:t>
            </w:r>
          </w:p>
        </w:tc>
      </w:tr>
      <w:tr w:rsidR="002B5048" w14:paraId="46576AB5" w14:textId="77777777" w:rsidTr="00D157CD">
        <w:tc>
          <w:tcPr>
            <w:tcW w:w="2268" w:type="dxa"/>
          </w:tcPr>
          <w:p w14:paraId="23D28D4B" w14:textId="00870DFD" w:rsidR="002B5048" w:rsidRPr="00D157CD" w:rsidRDefault="002B5048" w:rsidP="00D06C6C">
            <w:pPr>
              <w:rPr>
                <w:rFonts w:asciiTheme="minorHAnsi" w:hAnsiTheme="minorHAnsi"/>
                <w:sz w:val="24"/>
                <w:szCs w:val="24"/>
              </w:rPr>
            </w:pPr>
            <w:r w:rsidRPr="009F6803">
              <w:rPr>
                <w:rFonts w:asciiTheme="minorHAnsi" w:hAnsiTheme="minorHAnsi"/>
                <w:color w:val="auto"/>
              </w:rPr>
              <w:t>Ordinarily resident</w:t>
            </w:r>
          </w:p>
        </w:tc>
        <w:tc>
          <w:tcPr>
            <w:tcW w:w="5551" w:type="dxa"/>
          </w:tcPr>
          <w:p w14:paraId="17A48059" w14:textId="37D827F9" w:rsidR="002B5048" w:rsidRPr="003372A4" w:rsidRDefault="002B5048" w:rsidP="008151F7">
            <w:pPr>
              <w:pStyle w:val="Bullet"/>
              <w:numPr>
                <w:ilvl w:val="0"/>
                <w:numId w:val="0"/>
              </w:numPr>
              <w:spacing w:before="60" w:after="60"/>
              <w:ind w:left="-108"/>
              <w:rPr>
                <w:rFonts w:asciiTheme="minorHAnsi" w:hAnsiTheme="minorHAnsi"/>
              </w:rPr>
            </w:pPr>
            <w:r w:rsidRPr="003372A4">
              <w:rPr>
                <w:rFonts w:asciiTheme="minorHAnsi" w:hAnsiTheme="minorHAnsi"/>
              </w:rPr>
              <w:t>1.</w:t>
            </w:r>
            <w:r w:rsidRPr="003372A4">
              <w:rPr>
                <w:rFonts w:asciiTheme="minorHAnsi" w:hAnsiTheme="minorHAnsi"/>
              </w:rPr>
              <w:tab/>
              <w:t xml:space="preserve">An individual who is not an Australian citizen is ordinarily resident in Australia at a particular time if and only if: </w:t>
            </w:r>
          </w:p>
          <w:p w14:paraId="1CDCA7DB" w14:textId="222A1344" w:rsidR="002B5048" w:rsidRPr="003372A4" w:rsidRDefault="002B5048" w:rsidP="003372A4">
            <w:pPr>
              <w:pStyle w:val="Bullet"/>
              <w:numPr>
                <w:ilvl w:val="0"/>
                <w:numId w:val="0"/>
              </w:numPr>
              <w:tabs>
                <w:tab w:val="left" w:pos="743"/>
                <w:tab w:val="left" w:pos="1168"/>
              </w:tabs>
              <w:spacing w:before="60" w:after="60"/>
              <w:ind w:left="459" w:hanging="459"/>
              <w:rPr>
                <w:rFonts w:asciiTheme="minorHAnsi" w:hAnsiTheme="minorHAnsi"/>
              </w:rPr>
            </w:pPr>
            <w:r w:rsidRPr="003372A4">
              <w:rPr>
                <w:rFonts w:asciiTheme="minorHAnsi" w:hAnsiTheme="minorHAnsi"/>
              </w:rPr>
              <w:t xml:space="preserve">  a</w:t>
            </w:r>
            <w:r w:rsidR="008205A1">
              <w:rPr>
                <w:rFonts w:asciiTheme="minorHAnsi" w:hAnsiTheme="minorHAnsi"/>
              </w:rPr>
              <w:t xml:space="preserve">. </w:t>
            </w:r>
            <w:r w:rsidRPr="003372A4">
              <w:rPr>
                <w:rFonts w:asciiTheme="minorHAnsi" w:hAnsiTheme="minorHAnsi"/>
              </w:rPr>
              <w:t>the individual has actually been in Australia during 200 or more days in the period of 12 months immediately preceding that time; and</w:t>
            </w:r>
          </w:p>
          <w:p w14:paraId="58204803" w14:textId="6C2F08A2" w:rsidR="002B5048" w:rsidRPr="003372A4" w:rsidRDefault="002B5048" w:rsidP="003372A4">
            <w:pPr>
              <w:pStyle w:val="Bullet"/>
              <w:numPr>
                <w:ilvl w:val="0"/>
                <w:numId w:val="0"/>
              </w:numPr>
              <w:spacing w:before="60" w:after="60"/>
              <w:ind w:left="472" w:hanging="472"/>
              <w:rPr>
                <w:rFonts w:asciiTheme="minorHAnsi" w:hAnsiTheme="minorHAnsi"/>
              </w:rPr>
            </w:pPr>
            <w:r w:rsidRPr="003372A4">
              <w:rPr>
                <w:rFonts w:asciiTheme="minorHAnsi" w:hAnsiTheme="minorHAnsi"/>
              </w:rPr>
              <w:t xml:space="preserve">  b</w:t>
            </w:r>
            <w:r w:rsidR="008205A1">
              <w:rPr>
                <w:rFonts w:asciiTheme="minorHAnsi" w:hAnsiTheme="minorHAnsi"/>
              </w:rPr>
              <w:t xml:space="preserve">. </w:t>
            </w:r>
            <w:r w:rsidRPr="003372A4">
              <w:rPr>
                <w:rFonts w:asciiTheme="minorHAnsi" w:hAnsiTheme="minorHAnsi"/>
              </w:rPr>
              <w:t xml:space="preserve">at that time: </w:t>
            </w:r>
          </w:p>
          <w:p w14:paraId="6977718E" w14:textId="4F02D04F" w:rsidR="002B5048" w:rsidRPr="003372A4" w:rsidRDefault="002B5048" w:rsidP="003372A4">
            <w:pPr>
              <w:pStyle w:val="Bullet"/>
              <w:numPr>
                <w:ilvl w:val="0"/>
                <w:numId w:val="0"/>
              </w:numPr>
              <w:spacing w:before="60" w:after="60"/>
              <w:ind w:left="459"/>
              <w:rPr>
                <w:rFonts w:asciiTheme="minorHAnsi" w:hAnsiTheme="minorHAnsi"/>
              </w:rPr>
            </w:pPr>
            <w:proofErr w:type="spellStart"/>
            <w:r w:rsidRPr="003372A4">
              <w:rPr>
                <w:rFonts w:asciiTheme="minorHAnsi" w:hAnsiTheme="minorHAnsi"/>
              </w:rPr>
              <w:t>i</w:t>
            </w:r>
            <w:proofErr w:type="spellEnd"/>
            <w:r w:rsidR="008205A1">
              <w:rPr>
                <w:rFonts w:asciiTheme="minorHAnsi" w:hAnsiTheme="minorHAnsi"/>
              </w:rPr>
              <w:t xml:space="preserve">. </w:t>
            </w:r>
            <w:r w:rsidRPr="003372A4">
              <w:rPr>
                <w:rFonts w:asciiTheme="minorHAnsi" w:hAnsiTheme="minorHAnsi"/>
              </w:rPr>
              <w:t>the individual is in Australia and the individual</w:t>
            </w:r>
            <w:r w:rsidR="008205A1">
              <w:rPr>
                <w:rFonts w:asciiTheme="minorHAnsi" w:hAnsiTheme="minorHAnsi"/>
              </w:rPr>
              <w:t>’</w:t>
            </w:r>
            <w:r w:rsidRPr="003372A4">
              <w:rPr>
                <w:rFonts w:asciiTheme="minorHAnsi" w:hAnsiTheme="minorHAnsi"/>
              </w:rPr>
              <w:t>s continued presence in Australia is not subject to any limitation as to time imposed by law; or</w:t>
            </w:r>
          </w:p>
          <w:p w14:paraId="264C45F4" w14:textId="0965A9E5" w:rsidR="002B5048" w:rsidRPr="003372A4" w:rsidRDefault="002B5048" w:rsidP="003372A4">
            <w:pPr>
              <w:pStyle w:val="Bullet"/>
              <w:numPr>
                <w:ilvl w:val="0"/>
                <w:numId w:val="0"/>
              </w:numPr>
              <w:spacing w:before="60" w:after="60"/>
              <w:ind w:left="459"/>
              <w:rPr>
                <w:rFonts w:asciiTheme="minorHAnsi" w:hAnsiTheme="minorHAnsi"/>
              </w:rPr>
            </w:pPr>
            <w:r w:rsidRPr="003372A4">
              <w:rPr>
                <w:rFonts w:asciiTheme="minorHAnsi" w:hAnsiTheme="minorHAnsi"/>
              </w:rPr>
              <w:t xml:space="preserve">ii. </w:t>
            </w:r>
            <w:proofErr w:type="gramStart"/>
            <w:r w:rsidRPr="003372A4">
              <w:rPr>
                <w:rFonts w:asciiTheme="minorHAnsi" w:hAnsiTheme="minorHAnsi"/>
              </w:rPr>
              <w:t>the</w:t>
            </w:r>
            <w:proofErr w:type="gramEnd"/>
            <w:r w:rsidRPr="003372A4">
              <w:rPr>
                <w:rFonts w:asciiTheme="minorHAnsi" w:hAnsiTheme="minorHAnsi"/>
              </w:rPr>
              <w:t xml:space="preserve"> individual is not in Australia but, immediately before the individual</w:t>
            </w:r>
            <w:r w:rsidR="008205A1">
              <w:rPr>
                <w:rFonts w:asciiTheme="minorHAnsi" w:hAnsiTheme="minorHAnsi"/>
              </w:rPr>
              <w:t>’</w:t>
            </w:r>
            <w:r w:rsidRPr="003372A4">
              <w:rPr>
                <w:rFonts w:asciiTheme="minorHAnsi" w:hAnsiTheme="minorHAnsi"/>
              </w:rPr>
              <w:t>s most recent departure from Australia, the individual</w:t>
            </w:r>
            <w:r w:rsidR="008205A1">
              <w:rPr>
                <w:rFonts w:asciiTheme="minorHAnsi" w:hAnsiTheme="minorHAnsi"/>
              </w:rPr>
              <w:t>’</w:t>
            </w:r>
            <w:r w:rsidRPr="003372A4">
              <w:rPr>
                <w:rFonts w:asciiTheme="minorHAnsi" w:hAnsiTheme="minorHAnsi"/>
              </w:rPr>
              <w:t>s continued presence in Australia was not subject to any limitation as to time imposed by law.</w:t>
            </w:r>
          </w:p>
          <w:p w14:paraId="5F832CB8" w14:textId="7AD13DA5" w:rsidR="002B5048" w:rsidRPr="00D157CD" w:rsidRDefault="002B5048" w:rsidP="008151F7">
            <w:pPr>
              <w:pStyle w:val="Bullet"/>
              <w:numPr>
                <w:ilvl w:val="0"/>
                <w:numId w:val="0"/>
              </w:numPr>
              <w:spacing w:before="60" w:after="60"/>
              <w:ind w:left="-108"/>
              <w:rPr>
                <w:rFonts w:asciiTheme="minorHAnsi" w:hAnsiTheme="minorHAnsi"/>
                <w:sz w:val="24"/>
                <w:szCs w:val="24"/>
              </w:rPr>
            </w:pPr>
            <w:r w:rsidRPr="003372A4">
              <w:rPr>
                <w:rFonts w:asciiTheme="minorHAnsi" w:hAnsiTheme="minorHAnsi"/>
              </w:rPr>
              <w:t>2.</w:t>
            </w:r>
            <w:r w:rsidRPr="003372A4">
              <w:rPr>
                <w:rFonts w:asciiTheme="minorHAnsi" w:hAnsiTheme="minorHAnsi"/>
              </w:rPr>
              <w:tab/>
              <w:t>Without limiting paragraph (1</w:t>
            </w:r>
            <w:proofErr w:type="gramStart"/>
            <w:r w:rsidRPr="003372A4">
              <w:rPr>
                <w:rFonts w:asciiTheme="minorHAnsi" w:hAnsiTheme="minorHAnsi"/>
              </w:rPr>
              <w:t>)(</w:t>
            </w:r>
            <w:proofErr w:type="gramEnd"/>
            <w:r w:rsidRPr="003372A4">
              <w:rPr>
                <w:rFonts w:asciiTheme="minorHAnsi" w:hAnsiTheme="minorHAnsi"/>
              </w:rPr>
              <w:t>b), an individual</w:t>
            </w:r>
            <w:r w:rsidR="008205A1">
              <w:rPr>
                <w:rFonts w:asciiTheme="minorHAnsi" w:hAnsiTheme="minorHAnsi"/>
              </w:rPr>
              <w:t>’</w:t>
            </w:r>
            <w:r w:rsidRPr="003372A4">
              <w:rPr>
                <w:rFonts w:asciiTheme="minorHAnsi" w:hAnsiTheme="minorHAnsi"/>
              </w:rPr>
              <w:t>s continued presence in Australia is subject to a limitation as to time imposed by law if the individual is an unlawful non</w:t>
            </w:r>
            <w:r w:rsidR="008205A1">
              <w:rPr>
                <w:rFonts w:asciiTheme="minorHAnsi" w:hAnsiTheme="minorHAnsi"/>
              </w:rPr>
              <w:noBreakHyphen/>
            </w:r>
            <w:r w:rsidRPr="003372A4">
              <w:rPr>
                <w:rFonts w:asciiTheme="minorHAnsi" w:hAnsiTheme="minorHAnsi"/>
              </w:rPr>
              <w:t xml:space="preserve">citizen within the meaning of the </w:t>
            </w:r>
            <w:r w:rsidRPr="00085BFD">
              <w:rPr>
                <w:rFonts w:asciiTheme="minorHAnsi" w:hAnsiTheme="minorHAnsi"/>
                <w:i/>
              </w:rPr>
              <w:t>Migration Act 1958.</w:t>
            </w:r>
          </w:p>
        </w:tc>
      </w:tr>
      <w:tr w:rsidR="002B5048" w14:paraId="54F4747E" w14:textId="77777777" w:rsidTr="00D157CD">
        <w:tc>
          <w:tcPr>
            <w:tcW w:w="2268" w:type="dxa"/>
          </w:tcPr>
          <w:p w14:paraId="22A56FC2" w14:textId="67EE0A3A" w:rsidR="002B5048" w:rsidRPr="00D157CD" w:rsidRDefault="002B5048" w:rsidP="00D06C6C">
            <w:pPr>
              <w:rPr>
                <w:rFonts w:asciiTheme="minorHAnsi" w:hAnsiTheme="minorHAnsi"/>
                <w:sz w:val="24"/>
                <w:szCs w:val="24"/>
              </w:rPr>
            </w:pPr>
            <w:r w:rsidRPr="009F6803">
              <w:rPr>
                <w:rFonts w:asciiTheme="minorHAnsi" w:hAnsiTheme="minorHAnsi"/>
                <w:color w:val="auto"/>
              </w:rPr>
              <w:t>Residential land</w:t>
            </w:r>
          </w:p>
        </w:tc>
        <w:tc>
          <w:tcPr>
            <w:tcW w:w="5551" w:type="dxa"/>
          </w:tcPr>
          <w:p w14:paraId="3C368883" w14:textId="0CADFD7D" w:rsidR="002B5048" w:rsidRPr="009F6803" w:rsidRDefault="00656F0B" w:rsidP="003372A4">
            <w:pPr>
              <w:spacing w:after="0"/>
              <w:rPr>
                <w:rFonts w:asciiTheme="minorHAnsi" w:hAnsiTheme="minorHAnsi"/>
                <w:color w:val="auto"/>
              </w:rPr>
            </w:pPr>
            <w:r>
              <w:rPr>
                <w:rFonts w:asciiTheme="minorHAnsi" w:hAnsiTheme="minorHAnsi"/>
                <w:color w:val="auto"/>
              </w:rPr>
              <w:t>L</w:t>
            </w:r>
            <w:r w:rsidR="002B5048" w:rsidRPr="009F6803">
              <w:rPr>
                <w:rFonts w:asciiTheme="minorHAnsi" w:hAnsiTheme="minorHAnsi"/>
                <w:color w:val="auto"/>
              </w:rPr>
              <w:t xml:space="preserve">and in Australia if: </w:t>
            </w:r>
          </w:p>
          <w:p w14:paraId="131FDCB0" w14:textId="77777777" w:rsidR="002B5048" w:rsidRPr="003372A4" w:rsidRDefault="002B5048" w:rsidP="003372A4">
            <w:pPr>
              <w:pStyle w:val="Bullet"/>
              <w:spacing w:before="60" w:after="60"/>
              <w:rPr>
                <w:rFonts w:ascii="Calibri" w:hAnsi="Calibri"/>
              </w:rPr>
            </w:pPr>
            <w:r w:rsidRPr="003372A4">
              <w:rPr>
                <w:rFonts w:ascii="Calibri" w:hAnsi="Calibri"/>
              </w:rPr>
              <w:t>there is at least one dwelling on the land; or</w:t>
            </w:r>
          </w:p>
          <w:p w14:paraId="48621046" w14:textId="04EF1E91" w:rsidR="002B5048" w:rsidRPr="003372A4" w:rsidRDefault="002B5048" w:rsidP="003372A4">
            <w:pPr>
              <w:pStyle w:val="Bullet"/>
              <w:spacing w:before="60" w:after="60"/>
              <w:rPr>
                <w:rFonts w:ascii="Calibri" w:hAnsi="Calibri"/>
              </w:rPr>
            </w:pPr>
            <w:r w:rsidRPr="003372A4">
              <w:rPr>
                <w:rFonts w:ascii="Calibri" w:hAnsi="Calibri"/>
              </w:rPr>
              <w:t>the number of dwellings that could reasonably be built on the land is less than the number pr</w:t>
            </w:r>
            <w:r>
              <w:rPr>
                <w:rFonts w:ascii="Calibri" w:hAnsi="Calibri"/>
              </w:rPr>
              <w:t>escribed by the regulations (10</w:t>
            </w:r>
            <w:r w:rsidR="003372A4">
              <w:rPr>
                <w:rFonts w:ascii="Calibri" w:hAnsi="Calibri"/>
              </w:rPr>
              <w:t> </w:t>
            </w:r>
            <w:r w:rsidRPr="003372A4">
              <w:rPr>
                <w:rFonts w:ascii="Calibri" w:hAnsi="Calibri"/>
              </w:rPr>
              <w:t>in 2015</w:t>
            </w:r>
            <w:r w:rsidR="008205A1">
              <w:rPr>
                <w:rFonts w:ascii="Calibri" w:hAnsi="Calibri"/>
              </w:rPr>
              <w:noBreakHyphen/>
            </w:r>
            <w:r w:rsidRPr="003372A4">
              <w:rPr>
                <w:rFonts w:ascii="Calibri" w:hAnsi="Calibri"/>
              </w:rPr>
              <w:t>16); and</w:t>
            </w:r>
          </w:p>
          <w:p w14:paraId="75171A14" w14:textId="77777777" w:rsidR="002B5048" w:rsidRPr="003372A4" w:rsidRDefault="002B5048" w:rsidP="003372A4">
            <w:pPr>
              <w:pStyle w:val="Bullet"/>
              <w:spacing w:before="60" w:after="60"/>
              <w:rPr>
                <w:rFonts w:ascii="Calibri" w:hAnsi="Calibri"/>
              </w:rPr>
            </w:pPr>
            <w:r w:rsidRPr="003372A4">
              <w:rPr>
                <w:rFonts w:ascii="Calibri" w:hAnsi="Calibri"/>
              </w:rPr>
              <w:t xml:space="preserve">does not include land: </w:t>
            </w:r>
          </w:p>
          <w:p w14:paraId="12506A81" w14:textId="77777777" w:rsidR="002B5048" w:rsidRPr="003372A4" w:rsidRDefault="002B5048" w:rsidP="008151F7">
            <w:pPr>
              <w:pStyle w:val="Bullet"/>
              <w:numPr>
                <w:ilvl w:val="0"/>
                <w:numId w:val="0"/>
              </w:numPr>
              <w:spacing w:before="60" w:after="60"/>
              <w:ind w:left="284"/>
              <w:rPr>
                <w:rFonts w:ascii="Calibri" w:hAnsi="Calibri"/>
              </w:rPr>
            </w:pPr>
            <w:r w:rsidRPr="003372A4">
              <w:rPr>
                <w:rFonts w:ascii="Calibri" w:hAnsi="Calibri"/>
              </w:rPr>
              <w:lastRenderedPageBreak/>
              <w:t>used wholly and exclusively for a primary production business; or</w:t>
            </w:r>
          </w:p>
          <w:p w14:paraId="3FBD1C53" w14:textId="725F12F4" w:rsidR="002B5048" w:rsidRPr="00D157CD" w:rsidRDefault="002B5048" w:rsidP="008151F7">
            <w:pPr>
              <w:pStyle w:val="Bullet"/>
              <w:numPr>
                <w:ilvl w:val="0"/>
                <w:numId w:val="0"/>
              </w:numPr>
              <w:spacing w:before="60" w:after="60"/>
              <w:ind w:left="284"/>
              <w:rPr>
                <w:rFonts w:asciiTheme="minorHAnsi" w:hAnsiTheme="minorHAnsi"/>
                <w:sz w:val="24"/>
                <w:szCs w:val="24"/>
              </w:rPr>
            </w:pPr>
            <w:proofErr w:type="gramStart"/>
            <w:r w:rsidRPr="003372A4">
              <w:rPr>
                <w:rFonts w:ascii="Calibri" w:hAnsi="Calibri"/>
              </w:rPr>
              <w:t>on</w:t>
            </w:r>
            <w:proofErr w:type="gramEnd"/>
            <w:r w:rsidRPr="003372A4">
              <w:rPr>
                <w:rFonts w:ascii="Calibri" w:hAnsi="Calibri"/>
              </w:rPr>
              <w:t xml:space="preserve"> which the only dwellings are commercial residential premises.</w:t>
            </w:r>
          </w:p>
        </w:tc>
      </w:tr>
      <w:tr w:rsidR="002B5048" w14:paraId="20C8C831" w14:textId="77777777" w:rsidTr="00D157CD">
        <w:tc>
          <w:tcPr>
            <w:tcW w:w="2268" w:type="dxa"/>
          </w:tcPr>
          <w:p w14:paraId="122DBAC8" w14:textId="68A75FE0" w:rsidR="002B5048" w:rsidRPr="00D157CD" w:rsidRDefault="002B5048" w:rsidP="00D06C6C">
            <w:pPr>
              <w:rPr>
                <w:rFonts w:asciiTheme="minorHAnsi" w:hAnsiTheme="minorHAnsi"/>
                <w:sz w:val="24"/>
                <w:szCs w:val="24"/>
              </w:rPr>
            </w:pPr>
            <w:r w:rsidRPr="009F6803">
              <w:rPr>
                <w:rFonts w:asciiTheme="minorHAnsi" w:hAnsiTheme="minorHAnsi"/>
                <w:color w:val="auto"/>
              </w:rPr>
              <w:lastRenderedPageBreak/>
              <w:t>Substantial interest</w:t>
            </w:r>
          </w:p>
        </w:tc>
        <w:tc>
          <w:tcPr>
            <w:tcW w:w="5551" w:type="dxa"/>
          </w:tcPr>
          <w:p w14:paraId="7D49786A" w14:textId="53678932" w:rsidR="002B5048" w:rsidRPr="009F6803" w:rsidRDefault="002B5048" w:rsidP="003372A4">
            <w:pPr>
              <w:spacing w:after="0"/>
              <w:rPr>
                <w:rFonts w:asciiTheme="minorHAnsi" w:hAnsiTheme="minorHAnsi"/>
                <w:color w:val="auto"/>
              </w:rPr>
            </w:pPr>
            <w:r w:rsidRPr="009F6803">
              <w:rPr>
                <w:rFonts w:asciiTheme="minorHAnsi" w:hAnsiTheme="minorHAnsi"/>
                <w:color w:val="auto"/>
              </w:rPr>
              <w:t>A person holds a substantial interest in an entity or trust if:</w:t>
            </w:r>
          </w:p>
          <w:p w14:paraId="3D2D3B3A" w14:textId="77777777" w:rsidR="008151F7" w:rsidRDefault="002B5048" w:rsidP="008151F7">
            <w:pPr>
              <w:pStyle w:val="Bullet"/>
              <w:spacing w:before="60" w:after="60"/>
              <w:rPr>
                <w:rFonts w:ascii="Calibri" w:hAnsi="Calibri"/>
              </w:rPr>
            </w:pPr>
            <w:r w:rsidRPr="003372A4">
              <w:rPr>
                <w:rFonts w:ascii="Calibri" w:hAnsi="Calibri"/>
              </w:rPr>
              <w:t>for an entity—the person h</w:t>
            </w:r>
            <w:r w:rsidR="00085BFD">
              <w:rPr>
                <w:rFonts w:ascii="Calibri" w:hAnsi="Calibri"/>
              </w:rPr>
              <w:t>olds an interest of at least 20 per cent</w:t>
            </w:r>
            <w:r w:rsidRPr="003372A4">
              <w:rPr>
                <w:rFonts w:ascii="Calibri" w:hAnsi="Calibri"/>
              </w:rPr>
              <w:t xml:space="preserve"> in the entity; or</w:t>
            </w:r>
          </w:p>
          <w:p w14:paraId="7F635535" w14:textId="0B45E7DB" w:rsidR="002B5048" w:rsidRPr="008151F7" w:rsidRDefault="002B5048" w:rsidP="008151F7">
            <w:pPr>
              <w:pStyle w:val="Bullet"/>
              <w:spacing w:before="60" w:after="60"/>
              <w:rPr>
                <w:rFonts w:ascii="Calibri" w:hAnsi="Calibri"/>
              </w:rPr>
            </w:pPr>
            <w:proofErr w:type="gramStart"/>
            <w:r w:rsidRPr="008151F7">
              <w:rPr>
                <w:rFonts w:ascii="Calibri" w:hAnsi="Calibri"/>
              </w:rPr>
              <w:t>for</w:t>
            </w:r>
            <w:proofErr w:type="gramEnd"/>
            <w:r w:rsidRPr="008151F7">
              <w:rPr>
                <w:rFonts w:ascii="Calibri" w:hAnsi="Calibri"/>
              </w:rPr>
              <w:t xml:space="preserve"> a trust (including a unit trust)—the person, together with any one or more associates, holds a ben</w:t>
            </w:r>
            <w:r w:rsidR="00085BFD" w:rsidRPr="008151F7">
              <w:rPr>
                <w:rFonts w:ascii="Calibri" w:hAnsi="Calibri"/>
              </w:rPr>
              <w:t>eficial interest in at least 20 per cent</w:t>
            </w:r>
            <w:r w:rsidRPr="008151F7">
              <w:rPr>
                <w:rFonts w:ascii="Calibri" w:hAnsi="Calibri"/>
              </w:rPr>
              <w:t xml:space="preserve"> of the income or property of the trust.</w:t>
            </w:r>
          </w:p>
        </w:tc>
      </w:tr>
      <w:tr w:rsidR="002B5048" w14:paraId="0D1CD41C" w14:textId="77777777" w:rsidTr="00D157CD">
        <w:tc>
          <w:tcPr>
            <w:tcW w:w="2268" w:type="dxa"/>
          </w:tcPr>
          <w:p w14:paraId="51B4D5E5" w14:textId="3EAA09F9" w:rsidR="002B5048" w:rsidRPr="00D157CD" w:rsidRDefault="002B5048" w:rsidP="00E136A1">
            <w:pPr>
              <w:jc w:val="left"/>
              <w:rPr>
                <w:rFonts w:asciiTheme="minorHAnsi" w:hAnsiTheme="minorHAnsi"/>
                <w:sz w:val="24"/>
                <w:szCs w:val="24"/>
              </w:rPr>
            </w:pPr>
            <w:r w:rsidRPr="009F6803">
              <w:rPr>
                <w:rFonts w:asciiTheme="minorHAnsi" w:hAnsiTheme="minorHAnsi"/>
                <w:color w:val="auto"/>
              </w:rPr>
              <w:t>Temporary</w:t>
            </w:r>
            <w:r w:rsidR="00E136A1">
              <w:rPr>
                <w:rFonts w:asciiTheme="minorHAnsi" w:hAnsiTheme="minorHAnsi"/>
                <w:color w:val="auto"/>
              </w:rPr>
              <w:t xml:space="preserve"> </w:t>
            </w:r>
            <w:r w:rsidRPr="009F6803">
              <w:rPr>
                <w:rFonts w:asciiTheme="minorHAnsi" w:hAnsiTheme="minorHAnsi"/>
                <w:color w:val="auto"/>
              </w:rPr>
              <w:t>resident</w:t>
            </w:r>
            <w:r w:rsidRPr="00D157CD">
              <w:rPr>
                <w:rFonts w:asciiTheme="minorHAnsi" w:hAnsiTheme="minorHAnsi"/>
                <w:sz w:val="24"/>
                <w:szCs w:val="24"/>
              </w:rPr>
              <w:tab/>
            </w:r>
          </w:p>
        </w:tc>
        <w:tc>
          <w:tcPr>
            <w:tcW w:w="5551" w:type="dxa"/>
          </w:tcPr>
          <w:p w14:paraId="28C1AA8B" w14:textId="43DC289B" w:rsidR="002B5048" w:rsidRPr="009F6803" w:rsidRDefault="00656F0B" w:rsidP="003372A4">
            <w:pPr>
              <w:spacing w:after="0"/>
              <w:rPr>
                <w:rFonts w:asciiTheme="minorHAnsi" w:hAnsiTheme="minorHAnsi"/>
                <w:color w:val="auto"/>
              </w:rPr>
            </w:pPr>
            <w:r>
              <w:rPr>
                <w:rFonts w:asciiTheme="minorHAnsi" w:hAnsiTheme="minorHAnsi"/>
                <w:color w:val="auto"/>
              </w:rPr>
              <w:t>A</w:t>
            </w:r>
            <w:r w:rsidR="002B5048" w:rsidRPr="009F6803">
              <w:rPr>
                <w:rFonts w:asciiTheme="minorHAnsi" w:hAnsiTheme="minorHAnsi"/>
                <w:color w:val="auto"/>
              </w:rPr>
              <w:t>n individual who:</w:t>
            </w:r>
          </w:p>
          <w:p w14:paraId="28B84DCC" w14:textId="336BAE1C" w:rsidR="002B5048" w:rsidRPr="003372A4" w:rsidRDefault="002B5048" w:rsidP="003372A4">
            <w:pPr>
              <w:pStyle w:val="Bullet"/>
              <w:numPr>
                <w:ilvl w:val="0"/>
                <w:numId w:val="0"/>
              </w:numPr>
              <w:spacing w:before="60" w:after="60"/>
              <w:rPr>
                <w:rFonts w:asciiTheme="minorHAnsi" w:hAnsiTheme="minorHAnsi"/>
              </w:rPr>
            </w:pPr>
            <w:r w:rsidRPr="003372A4">
              <w:rPr>
                <w:rFonts w:asciiTheme="minorHAnsi" w:hAnsiTheme="minorHAnsi"/>
              </w:rPr>
              <w:t>1</w:t>
            </w:r>
            <w:r w:rsidR="008205A1">
              <w:rPr>
                <w:rFonts w:asciiTheme="minorHAnsi" w:hAnsiTheme="minorHAnsi"/>
              </w:rPr>
              <w:t xml:space="preserve">. </w:t>
            </w:r>
            <w:r w:rsidRPr="003372A4">
              <w:rPr>
                <w:rFonts w:asciiTheme="minorHAnsi" w:hAnsiTheme="minorHAnsi"/>
              </w:rPr>
              <w:t xml:space="preserve">holds a temporary visa under the </w:t>
            </w:r>
            <w:r w:rsidRPr="00085BFD">
              <w:rPr>
                <w:rFonts w:asciiTheme="minorHAnsi" w:hAnsiTheme="minorHAnsi"/>
                <w:i/>
              </w:rPr>
              <w:t>Migration Act 1958</w:t>
            </w:r>
            <w:r w:rsidRPr="003372A4">
              <w:rPr>
                <w:rFonts w:asciiTheme="minorHAnsi" w:hAnsiTheme="minorHAnsi"/>
              </w:rPr>
              <w:t xml:space="preserve"> that allows the individual to remain in Australia for a continuous period of more than 12 months (disregarding the amount of that period remaining); or</w:t>
            </w:r>
          </w:p>
          <w:p w14:paraId="418D4089" w14:textId="298998F2" w:rsidR="002B5048" w:rsidRPr="003372A4" w:rsidRDefault="002B5048" w:rsidP="003372A4">
            <w:pPr>
              <w:pStyle w:val="Bullet"/>
              <w:numPr>
                <w:ilvl w:val="0"/>
                <w:numId w:val="0"/>
              </w:numPr>
              <w:spacing w:before="60" w:after="60"/>
              <w:rPr>
                <w:rFonts w:asciiTheme="minorHAnsi" w:hAnsiTheme="minorHAnsi"/>
              </w:rPr>
            </w:pPr>
            <w:r w:rsidRPr="003372A4">
              <w:rPr>
                <w:rFonts w:asciiTheme="minorHAnsi" w:hAnsiTheme="minorHAnsi"/>
              </w:rPr>
              <w:t>2</w:t>
            </w:r>
            <w:r w:rsidR="008205A1">
              <w:rPr>
                <w:rFonts w:asciiTheme="minorHAnsi" w:hAnsiTheme="minorHAnsi"/>
              </w:rPr>
              <w:t xml:space="preserve">. </w:t>
            </w:r>
            <w:r w:rsidRPr="003372A4">
              <w:rPr>
                <w:rFonts w:asciiTheme="minorHAnsi" w:hAnsiTheme="minorHAnsi"/>
              </w:rPr>
              <w:t xml:space="preserve">meets the following conditions: </w:t>
            </w:r>
          </w:p>
          <w:p w14:paraId="62F18ECD" w14:textId="55B1C500" w:rsidR="002B5048" w:rsidRPr="003372A4" w:rsidRDefault="002B5048" w:rsidP="003372A4">
            <w:pPr>
              <w:pStyle w:val="Bullet"/>
              <w:numPr>
                <w:ilvl w:val="0"/>
                <w:numId w:val="0"/>
              </w:numPr>
              <w:spacing w:before="60" w:after="60"/>
              <w:ind w:left="743" w:hanging="472"/>
              <w:rPr>
                <w:rFonts w:asciiTheme="minorHAnsi" w:hAnsiTheme="minorHAnsi"/>
              </w:rPr>
            </w:pPr>
            <w:r w:rsidRPr="003372A4">
              <w:rPr>
                <w:rFonts w:asciiTheme="minorHAnsi" w:hAnsiTheme="minorHAnsi"/>
              </w:rPr>
              <w:t xml:space="preserve"> </w:t>
            </w:r>
            <w:proofErr w:type="spellStart"/>
            <w:r w:rsidRPr="003372A4">
              <w:rPr>
                <w:rFonts w:asciiTheme="minorHAnsi" w:hAnsiTheme="minorHAnsi"/>
              </w:rPr>
              <w:t>i</w:t>
            </w:r>
            <w:proofErr w:type="spellEnd"/>
            <w:r w:rsidRPr="003372A4">
              <w:rPr>
                <w:rFonts w:asciiTheme="minorHAnsi" w:hAnsiTheme="minorHAnsi"/>
              </w:rPr>
              <w:t>. the individual is residing in Australia;</w:t>
            </w:r>
          </w:p>
          <w:p w14:paraId="68002FCD" w14:textId="50CCCB7F" w:rsidR="002B5048" w:rsidRPr="003372A4" w:rsidRDefault="002B5048" w:rsidP="003372A4">
            <w:pPr>
              <w:pStyle w:val="Bullet"/>
              <w:numPr>
                <w:ilvl w:val="0"/>
                <w:numId w:val="0"/>
              </w:numPr>
              <w:tabs>
                <w:tab w:val="left" w:pos="176"/>
              </w:tabs>
              <w:spacing w:before="60" w:after="60"/>
              <w:ind w:left="318"/>
              <w:rPr>
                <w:rFonts w:asciiTheme="minorHAnsi" w:hAnsiTheme="minorHAnsi"/>
              </w:rPr>
            </w:pPr>
            <w:r w:rsidRPr="003372A4">
              <w:rPr>
                <w:rFonts w:asciiTheme="minorHAnsi" w:hAnsiTheme="minorHAnsi"/>
              </w:rPr>
              <w:t xml:space="preserve">ii. the individual has applied for a permanent visa under the </w:t>
            </w:r>
            <w:r w:rsidRPr="003372A4">
              <w:rPr>
                <w:rFonts w:asciiTheme="minorHAnsi" w:hAnsiTheme="minorHAnsi"/>
                <w:i/>
              </w:rPr>
              <w:t>Migration Act 1958</w:t>
            </w:r>
            <w:r w:rsidRPr="003372A4">
              <w:rPr>
                <w:rFonts w:asciiTheme="minorHAnsi" w:hAnsiTheme="minorHAnsi"/>
              </w:rPr>
              <w:t>;</w:t>
            </w:r>
          </w:p>
          <w:p w14:paraId="6A36C9CD" w14:textId="43932521" w:rsidR="002B5048" w:rsidRPr="003372A4" w:rsidRDefault="002B5048" w:rsidP="003372A4">
            <w:pPr>
              <w:pStyle w:val="Bullet"/>
              <w:numPr>
                <w:ilvl w:val="0"/>
                <w:numId w:val="0"/>
              </w:numPr>
              <w:spacing w:before="60" w:after="60"/>
              <w:ind w:left="318"/>
              <w:rPr>
                <w:rFonts w:asciiTheme="minorHAnsi" w:hAnsiTheme="minorHAnsi"/>
              </w:rPr>
            </w:pPr>
            <w:r w:rsidRPr="003372A4">
              <w:rPr>
                <w:rFonts w:asciiTheme="minorHAnsi" w:hAnsiTheme="minorHAnsi"/>
              </w:rPr>
              <w:t>iii. the individual holds a bridging visa under that Act that allows the individual to remain in Australia until the application has been finally determined; or</w:t>
            </w:r>
          </w:p>
          <w:p w14:paraId="217E80B8" w14:textId="2AA6A514" w:rsidR="002B5048" w:rsidRPr="00D157CD" w:rsidRDefault="002B5048" w:rsidP="003372A4">
            <w:pPr>
              <w:pStyle w:val="Bullet"/>
              <w:numPr>
                <w:ilvl w:val="0"/>
                <w:numId w:val="0"/>
              </w:numPr>
              <w:spacing w:before="60" w:after="60"/>
              <w:ind w:left="2835" w:hanging="2835"/>
              <w:rPr>
                <w:rFonts w:asciiTheme="minorHAnsi" w:hAnsiTheme="minorHAnsi"/>
                <w:sz w:val="24"/>
                <w:szCs w:val="24"/>
              </w:rPr>
            </w:pPr>
            <w:r w:rsidRPr="003372A4">
              <w:rPr>
                <w:rFonts w:asciiTheme="minorHAnsi" w:hAnsiTheme="minorHAnsi"/>
              </w:rPr>
              <w:t xml:space="preserve">3. </w:t>
            </w:r>
            <w:proofErr w:type="gramStart"/>
            <w:r w:rsidRPr="003372A4">
              <w:rPr>
                <w:rFonts w:asciiTheme="minorHAnsi" w:hAnsiTheme="minorHAnsi"/>
              </w:rPr>
              <w:t>meets</w:t>
            </w:r>
            <w:proofErr w:type="gramEnd"/>
            <w:r w:rsidRPr="003372A4">
              <w:rPr>
                <w:rFonts w:asciiTheme="minorHAnsi" w:hAnsiTheme="minorHAnsi"/>
              </w:rPr>
              <w:t xml:space="preserve"> the conditions prescribed by the regulations.</w:t>
            </w:r>
          </w:p>
        </w:tc>
      </w:tr>
      <w:tr w:rsidR="002B5048" w14:paraId="2C4922AD" w14:textId="77777777" w:rsidTr="00D157CD">
        <w:tc>
          <w:tcPr>
            <w:tcW w:w="2268" w:type="dxa"/>
          </w:tcPr>
          <w:p w14:paraId="4F78018A" w14:textId="78FD4485" w:rsidR="002B5048" w:rsidRPr="00D157CD" w:rsidRDefault="002B5048" w:rsidP="00D06C6C">
            <w:pPr>
              <w:rPr>
                <w:rFonts w:asciiTheme="minorHAnsi" w:hAnsiTheme="minorHAnsi"/>
                <w:sz w:val="24"/>
                <w:szCs w:val="24"/>
              </w:rPr>
            </w:pPr>
            <w:r w:rsidRPr="009F6803">
              <w:rPr>
                <w:rFonts w:asciiTheme="minorHAnsi" w:hAnsiTheme="minorHAnsi"/>
                <w:color w:val="auto"/>
              </w:rPr>
              <w:t>Vacant</w:t>
            </w:r>
            <w:r w:rsidR="00D91FA9">
              <w:rPr>
                <w:rFonts w:asciiTheme="minorHAnsi" w:hAnsiTheme="minorHAnsi"/>
                <w:color w:val="auto"/>
              </w:rPr>
              <w:t xml:space="preserve"> land</w:t>
            </w:r>
          </w:p>
        </w:tc>
        <w:tc>
          <w:tcPr>
            <w:tcW w:w="5551" w:type="dxa"/>
          </w:tcPr>
          <w:p w14:paraId="49DFDDB4" w14:textId="3FC00FC1" w:rsidR="002B5048" w:rsidRPr="00D157CD" w:rsidRDefault="002B5048" w:rsidP="00D06C6C">
            <w:pPr>
              <w:rPr>
                <w:rFonts w:asciiTheme="minorHAnsi" w:hAnsiTheme="minorHAnsi"/>
                <w:sz w:val="24"/>
                <w:szCs w:val="24"/>
              </w:rPr>
            </w:pPr>
            <w:r w:rsidRPr="009F6803">
              <w:rPr>
                <w:rFonts w:asciiTheme="minorHAnsi" w:hAnsiTheme="minorHAnsi"/>
                <w:color w:val="auto"/>
              </w:rPr>
              <w:t>Land is vacant if there is no substantive permanent building on the land that can be lawfully occupied by persons, goods or livestock.</w:t>
            </w:r>
          </w:p>
        </w:tc>
      </w:tr>
    </w:tbl>
    <w:p w14:paraId="1A444CE4" w14:textId="1591542F" w:rsidR="00D06C6C" w:rsidRDefault="00D06C6C" w:rsidP="00D157CD">
      <w:pPr>
        <w:spacing w:after="0"/>
        <w:ind w:left="2880" w:hanging="2880"/>
        <w:rPr>
          <w:sz w:val="24"/>
          <w:szCs w:val="24"/>
        </w:rPr>
      </w:pPr>
    </w:p>
    <w:p w14:paraId="0D0705E1" w14:textId="6688439E" w:rsidR="00B875E2" w:rsidRDefault="00B875E2" w:rsidP="004A3AC9">
      <w:pPr>
        <w:spacing w:after="200" w:line="276" w:lineRule="auto"/>
        <w:jc w:val="left"/>
      </w:pPr>
    </w:p>
    <w:p w14:paraId="7CC76A59" w14:textId="77777777" w:rsidR="00A06890" w:rsidRDefault="00A06890" w:rsidP="00A06890"/>
    <w:sectPr w:rsidR="00A06890" w:rsidSect="0020758A">
      <w:headerReference w:type="default" r:id="rId111"/>
      <w:type w:val="oddPage"/>
      <w:pgSz w:w="11907" w:h="16840"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E9E5A" w14:textId="77777777" w:rsidR="00C263DE" w:rsidRDefault="00C263DE" w:rsidP="008B6006">
      <w:pPr>
        <w:spacing w:after="0" w:line="240" w:lineRule="auto"/>
      </w:pPr>
      <w:r>
        <w:separator/>
      </w:r>
    </w:p>
  </w:endnote>
  <w:endnote w:type="continuationSeparator" w:id="0">
    <w:p w14:paraId="42404E5D" w14:textId="77777777" w:rsidR="00C263DE" w:rsidRDefault="00C263DE" w:rsidP="008B6006">
      <w:pPr>
        <w:spacing w:after="0" w:line="240" w:lineRule="auto"/>
      </w:pPr>
      <w:r>
        <w:continuationSeparator/>
      </w:r>
    </w:p>
  </w:endnote>
  <w:endnote w:type="continuationNotice" w:id="1">
    <w:p w14:paraId="20193428" w14:textId="77777777" w:rsidR="00C263DE" w:rsidRDefault="00C26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wiss 721 BT">
    <w:altName w:val="Swiss 721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2766" w14:textId="77777777" w:rsidR="00C263DE" w:rsidRDefault="00C263DE">
    <w:pPr>
      <w:pStyle w:val="FooterEven"/>
    </w:pPr>
    <w:r>
      <w:fldChar w:fldCharType="begin"/>
    </w:r>
    <w:r>
      <w:instrText xml:space="preserve"> PAGE  \* MERGEFORMAT </w:instrText>
    </w:r>
    <w:r>
      <w:fldChar w:fldCharType="separate"/>
    </w:r>
    <w:r>
      <w:rPr>
        <w:noProof/>
      </w:rPr>
      <w:t>ix</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B05D5" w14:textId="77777777" w:rsidR="00C263DE" w:rsidRPr="00D657CE" w:rsidRDefault="00C263DE" w:rsidP="00BE0FAD">
    <w:pPr>
      <w:pStyle w:val="Footer"/>
    </w:pPr>
    <w:r>
      <w:fldChar w:fldCharType="begin"/>
    </w:r>
    <w:r>
      <w:instrText xml:space="preserve"> PAGE   \* MERGEFORMAT </w:instrText>
    </w:r>
    <w:r>
      <w:fldChar w:fldCharType="separate"/>
    </w:r>
    <w:r w:rsidR="00545525">
      <w:rPr>
        <w:noProof/>
      </w:rPr>
      <w:t>38</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5D1FD" w14:textId="77777777" w:rsidR="00C263DE" w:rsidRPr="00D657CE" w:rsidRDefault="00C263DE" w:rsidP="009F6F13">
    <w:pPr>
      <w:pStyle w:val="Footer"/>
      <w:jc w:val="right"/>
    </w:pPr>
    <w:r>
      <w:fldChar w:fldCharType="begin"/>
    </w:r>
    <w:r>
      <w:instrText xml:space="preserve"> PAGE   \* MERGEFORMAT </w:instrText>
    </w:r>
    <w:r>
      <w:fldChar w:fldCharType="separate"/>
    </w:r>
    <w:r w:rsidR="00545525">
      <w:rPr>
        <w:noProof/>
      </w:rPr>
      <w:t>55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49ACF" w14:textId="78752352" w:rsidR="00C263DE" w:rsidRDefault="00C263DE">
    <w:pPr>
      <w:pStyle w:val="Footer"/>
      <w:jc w:val="right"/>
    </w:pPr>
  </w:p>
  <w:p w14:paraId="0F3889D6" w14:textId="53878D08" w:rsidR="00C263DE" w:rsidRDefault="00C263DE">
    <w:pPr>
      <w:pStyle w:val="FooterOd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C3A78" w14:textId="7569F4A8" w:rsidR="00C263DE" w:rsidRDefault="00C263DE">
    <w:pPr>
      <w:pStyle w:val="FooterEven"/>
    </w:pPr>
    <w:r>
      <w:fldChar w:fldCharType="begin"/>
    </w:r>
    <w:r>
      <w:instrText xml:space="preserve"> PAGE   \* MERGEFORMAT </w:instrText>
    </w:r>
    <w:r>
      <w:fldChar w:fldCharType="separate"/>
    </w:r>
    <w:r w:rsidR="00545525">
      <w:rPr>
        <w:noProof/>
      </w:rPr>
      <w:t>58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454458"/>
      <w:docPartObj>
        <w:docPartGallery w:val="Page Numbers (Bottom of Page)"/>
        <w:docPartUnique/>
      </w:docPartObj>
    </w:sdtPr>
    <w:sdtEndPr>
      <w:rPr>
        <w:noProof/>
      </w:rPr>
    </w:sdtEndPr>
    <w:sdtContent>
      <w:p w14:paraId="55D1F9BB" w14:textId="38B4F742" w:rsidR="00C263DE" w:rsidRDefault="00C263DE">
        <w:pPr>
          <w:pStyle w:val="Footer"/>
          <w:jc w:val="right"/>
        </w:pPr>
        <w:r>
          <w:fldChar w:fldCharType="begin"/>
        </w:r>
        <w:r>
          <w:instrText xml:space="preserve"> PAGE   \* MERGEFORMAT </w:instrText>
        </w:r>
        <w:r>
          <w:fldChar w:fldCharType="separate"/>
        </w:r>
        <w:r w:rsidR="00545525">
          <w:rPr>
            <w:noProof/>
          </w:rPr>
          <w:t>57</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B2C53" w14:textId="16408048" w:rsidR="00C263DE" w:rsidRPr="003711D9" w:rsidRDefault="00C263DE" w:rsidP="003711D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B07DF" w14:textId="097673EF" w:rsidR="00C263DE" w:rsidRPr="003711D9" w:rsidRDefault="00C263DE" w:rsidP="00074C52">
    <w:pPr>
      <w:pStyle w:val="Footer"/>
      <w:jc w:val="right"/>
    </w:pPr>
    <w:r>
      <w:fldChar w:fldCharType="begin"/>
    </w:r>
    <w:r>
      <w:instrText xml:space="preserve"> PAGE   \* MERGEFORMAT </w:instrText>
    </w:r>
    <w:r>
      <w:fldChar w:fldCharType="separate"/>
    </w:r>
    <w:r w:rsidR="00545525">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ACE13" w14:textId="77777777" w:rsidR="00C263DE" w:rsidRDefault="00C263DE" w:rsidP="002E7755">
    <w:pPr>
      <w:pStyle w:val="FooterOdd"/>
    </w:pPr>
    <w:r>
      <w:fldChar w:fldCharType="begin"/>
    </w:r>
    <w:r>
      <w:instrText xml:space="preserve"> PAGE   \* MERGEFORMAT </w:instrText>
    </w:r>
    <w:r>
      <w:fldChar w:fldCharType="separate"/>
    </w:r>
    <w:r w:rsidR="00545525">
      <w:rPr>
        <w:noProof/>
      </w:rPr>
      <w:t>v</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3832B" w14:textId="77777777" w:rsidR="00C263DE" w:rsidRDefault="00C263DE" w:rsidP="002E7755">
    <w:pPr>
      <w:pStyle w:val="FooterOdd"/>
    </w:pPr>
    <w:r>
      <w:fldChar w:fldCharType="begin"/>
    </w:r>
    <w:r>
      <w:instrText xml:space="preserve"> PAGE   \* MERGEFORMAT </w:instrText>
    </w:r>
    <w:r>
      <w:fldChar w:fldCharType="separate"/>
    </w:r>
    <w:r w:rsidR="00545525">
      <w:rPr>
        <w:noProof/>
      </w:rPr>
      <w:t>15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40032" w14:textId="77777777" w:rsidR="00C263DE" w:rsidRPr="009A4518" w:rsidRDefault="00C263DE" w:rsidP="00BE0FAD">
    <w:pPr>
      <w:pStyle w:val="Footer"/>
      <w:framePr w:h="346" w:hRule="exact" w:wrap="around" w:vAnchor="page" w:hAnchor="page" w:x="1981" w:y="9601" w:anchorLock="1"/>
      <w:jc w:val="both"/>
      <w:textDirection w:val="tbRl"/>
      <w:rPr>
        <w:rStyle w:val="FramedFooter"/>
        <w:rFonts w:cs="Arial"/>
      </w:rPr>
    </w:pPr>
    <w:r w:rsidRPr="009A4518">
      <w:rPr>
        <w:rStyle w:val="FramedFooter"/>
        <w:rFonts w:cs="Arial"/>
      </w:rPr>
      <w:fldChar w:fldCharType="begin"/>
    </w:r>
    <w:r w:rsidRPr="009A4518">
      <w:rPr>
        <w:rStyle w:val="FramedFooter"/>
        <w:rFonts w:cs="Arial"/>
      </w:rPr>
      <w:instrText xml:space="preserve"> PAGE  \* MERGEFORMAT </w:instrText>
    </w:r>
    <w:r w:rsidRPr="009A4518">
      <w:rPr>
        <w:rStyle w:val="FramedFooter"/>
        <w:rFonts w:cs="Arial"/>
      </w:rPr>
      <w:fldChar w:fldCharType="separate"/>
    </w:r>
    <w:r w:rsidR="00545525">
      <w:rPr>
        <w:rStyle w:val="FramedFooter"/>
        <w:rFonts w:cs="Arial"/>
        <w:noProof/>
      </w:rPr>
      <w:t>37</w:t>
    </w:r>
    <w:r w:rsidRPr="009A4518">
      <w:rPr>
        <w:rStyle w:val="FramedFooter"/>
        <w:rFonts w:cs="Arial"/>
      </w:rPr>
      <w:fldChar w:fldCharType="end"/>
    </w:r>
  </w:p>
  <w:p w14:paraId="63A846B1" w14:textId="77777777" w:rsidR="00C263DE" w:rsidRPr="00FD2033" w:rsidRDefault="00C263DE" w:rsidP="00B74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D32DF" w14:textId="77777777" w:rsidR="00C263DE" w:rsidRDefault="00C263DE" w:rsidP="008B6006">
      <w:pPr>
        <w:spacing w:after="0" w:line="240" w:lineRule="auto"/>
      </w:pPr>
      <w:r>
        <w:separator/>
      </w:r>
    </w:p>
  </w:footnote>
  <w:footnote w:type="continuationSeparator" w:id="0">
    <w:p w14:paraId="35FCD65C" w14:textId="77777777" w:rsidR="00C263DE" w:rsidRDefault="00C263DE" w:rsidP="008B6006">
      <w:pPr>
        <w:spacing w:after="0" w:line="240" w:lineRule="auto"/>
      </w:pPr>
      <w:r>
        <w:continuationSeparator/>
      </w:r>
    </w:p>
  </w:footnote>
  <w:footnote w:type="continuationNotice" w:id="1">
    <w:p w14:paraId="1ED44063" w14:textId="77777777" w:rsidR="00C263DE" w:rsidRDefault="00C263DE">
      <w:pPr>
        <w:spacing w:after="0" w:line="240" w:lineRule="auto"/>
      </w:pPr>
    </w:p>
  </w:footnote>
  <w:footnote w:id="2">
    <w:p w14:paraId="5380ED2F" w14:textId="5BD578BB" w:rsidR="00C263DE" w:rsidRPr="00F91E30" w:rsidRDefault="00C263DE" w:rsidP="00A7701C">
      <w:pPr>
        <w:pStyle w:val="FootnoteText"/>
      </w:pPr>
      <w:r w:rsidRPr="008F3B80">
        <w:rPr>
          <w:rStyle w:val="FootnoteReference"/>
          <w:vertAlign w:val="baseline"/>
        </w:rPr>
        <w:footnoteRef/>
      </w:r>
      <w:r w:rsidRPr="008F3B80">
        <w:t xml:space="preserve"> </w:t>
      </w:r>
      <w:r>
        <w:tab/>
      </w:r>
      <w:r w:rsidRPr="00F91E30">
        <w:t>The value of approvals in agricultural land included in the 2014</w:t>
      </w:r>
      <w:r>
        <w:noBreakHyphen/>
      </w:r>
      <w:r w:rsidRPr="00F91E30">
        <w:t>15 Foreign Investment Review Board Annual Report has been revised. In 2014</w:t>
      </w:r>
      <w:r>
        <w:noBreakHyphen/>
      </w:r>
      <w:r w:rsidRPr="00F91E30">
        <w:t xml:space="preserve">15, the value of approvals </w:t>
      </w:r>
      <w:r>
        <w:t xml:space="preserve">for agricultural investments </w:t>
      </w:r>
      <w:r w:rsidRPr="00F91E30">
        <w:t>for investors from China was $</w:t>
      </w:r>
      <w:r w:rsidRPr="009D6EE3">
        <w:t>710 million</w:t>
      </w:r>
      <w:r w:rsidRPr="00F91E30">
        <w:t xml:space="preserve">, not </w:t>
      </w:r>
      <w:r w:rsidRPr="009D6EE3">
        <w:t>$2,494 million</w:t>
      </w:r>
      <w:r w:rsidRPr="00F91E30">
        <w:t xml:space="preserve"> as originally published in the annual report. For investors from the US, the value of approvals was </w:t>
      </w:r>
      <w:r w:rsidRPr="009D6EE3">
        <w:t>$593 million</w:t>
      </w:r>
      <w:r w:rsidRPr="00F91E30">
        <w:t xml:space="preserve">, not </w:t>
      </w:r>
      <w:r w:rsidRPr="009D6EE3">
        <w:t>$1,005 million</w:t>
      </w:r>
      <w:r w:rsidRPr="00F91E30">
        <w:t xml:space="preserve"> as originally published in the annual report. For investors from Singapore, the value of approvals was </w:t>
      </w:r>
      <w:r w:rsidRPr="009D6EE3">
        <w:t>$70</w:t>
      </w:r>
      <w:r w:rsidRPr="00F91E30">
        <w:t xml:space="preserve"> million, not </w:t>
      </w:r>
      <w:r w:rsidRPr="009D6EE3">
        <w:t>$619</w:t>
      </w:r>
      <w:r w:rsidRPr="00F91E30">
        <w:t xml:space="preserve"> million as originally published in the annual report.</w:t>
      </w:r>
    </w:p>
    <w:p w14:paraId="7E776EE3" w14:textId="7D757ED2" w:rsidR="00C263DE" w:rsidRDefault="00C263DE" w:rsidP="008F3B80">
      <w:pPr>
        <w:pStyle w:val="FootnoteText"/>
        <w:ind w:left="0" w:firstLine="0"/>
      </w:pPr>
    </w:p>
  </w:footnote>
  <w:footnote w:id="3">
    <w:p w14:paraId="37BE2651" w14:textId="1265BD9B" w:rsidR="00C263DE" w:rsidRPr="00F91E30" w:rsidRDefault="00C263DE" w:rsidP="0089568D">
      <w:pPr>
        <w:pStyle w:val="FootnoteText"/>
      </w:pPr>
      <w:r w:rsidRPr="0089568D">
        <w:rPr>
          <w:rStyle w:val="FootnoteReference"/>
          <w:vertAlign w:val="baseline"/>
        </w:rPr>
        <w:footnoteRef/>
      </w:r>
      <w:r>
        <w:t xml:space="preserve"> </w:t>
      </w:r>
      <w:r>
        <w:tab/>
      </w:r>
      <w:r w:rsidRPr="00F91E30">
        <w:t>The value of approvals in agricultural land included in the 2014</w:t>
      </w:r>
      <w:r>
        <w:noBreakHyphen/>
      </w:r>
      <w:r w:rsidRPr="00F91E30">
        <w:t>15 Foreign Investment Review Board Annual Report has been revised. In 2014</w:t>
      </w:r>
      <w:r>
        <w:noBreakHyphen/>
      </w:r>
      <w:r w:rsidRPr="00F91E30">
        <w:t>15, the value of approvals for investors from China was $</w:t>
      </w:r>
      <w:r w:rsidRPr="009D6EE3">
        <w:t>710 million</w:t>
      </w:r>
      <w:r w:rsidRPr="00F91E30">
        <w:t xml:space="preserve">, not </w:t>
      </w:r>
      <w:r w:rsidRPr="009D6EE3">
        <w:t>$2,494 million</w:t>
      </w:r>
      <w:r w:rsidRPr="00F91E30">
        <w:t xml:space="preserve"> as originally published in the annual report. For investors from the US, the value of approvals was </w:t>
      </w:r>
      <w:r w:rsidRPr="009D6EE3">
        <w:t>$593 million</w:t>
      </w:r>
      <w:r w:rsidRPr="00F91E30">
        <w:t xml:space="preserve">, not </w:t>
      </w:r>
      <w:r w:rsidRPr="009D6EE3">
        <w:t>$1,005 million</w:t>
      </w:r>
      <w:r w:rsidRPr="00F91E30">
        <w:t xml:space="preserve"> as originally published in the annual report. For investors from Singapore, the value of approvals was </w:t>
      </w:r>
      <w:r w:rsidRPr="009D6EE3">
        <w:t>$70</w:t>
      </w:r>
      <w:r w:rsidRPr="00F91E30">
        <w:t xml:space="preserve"> million, not </w:t>
      </w:r>
      <w:r w:rsidRPr="009D6EE3">
        <w:t>$619</w:t>
      </w:r>
      <w:r w:rsidRPr="00F91E30">
        <w:t xml:space="preserve"> million as originally published in the annual report.</w:t>
      </w:r>
    </w:p>
  </w:footnote>
  <w:footnote w:id="4">
    <w:p w14:paraId="673455F8" w14:textId="23033F3C" w:rsidR="00C263DE" w:rsidRDefault="00C263DE" w:rsidP="00D25936">
      <w:pPr>
        <w:pStyle w:val="FootnoteText"/>
      </w:pPr>
      <w:r w:rsidRPr="00715C4E">
        <w:rPr>
          <w:rStyle w:val="FootnoteReference"/>
          <w:vertAlign w:val="baseline"/>
        </w:rPr>
        <w:footnoteRef/>
      </w:r>
      <w:r>
        <w:t xml:space="preserve"> </w:t>
      </w:r>
      <w:r>
        <w:tab/>
      </w:r>
      <w:r w:rsidRPr="000F7F92">
        <w:t>The value of properties is based on the value at the time the foreign person acquired the property.</w:t>
      </w:r>
    </w:p>
  </w:footnote>
  <w:footnote w:id="5">
    <w:p w14:paraId="4A22D4E2" w14:textId="0798A693" w:rsidR="00C263DE" w:rsidRPr="00DA3104" w:rsidRDefault="00C263DE" w:rsidP="00E9641C">
      <w:pPr>
        <w:pStyle w:val="FootnoteText"/>
      </w:pPr>
      <w:r>
        <w:rPr>
          <w:rStyle w:val="FootnoteReference"/>
          <w:vertAlign w:val="baseline"/>
        </w:rPr>
        <w:t>4</w:t>
      </w:r>
      <w:r w:rsidRPr="00DA3104">
        <w:t xml:space="preserve"> </w:t>
      </w:r>
      <w:r w:rsidRPr="00DA3104">
        <w:tab/>
        <w:t>Data to end of 2013</w:t>
      </w:r>
      <w:r>
        <w:noBreakHyphen/>
      </w:r>
      <w:r w:rsidRPr="00DA3104">
        <w:t xml:space="preserve">14 has been compiled by reference to the </w:t>
      </w:r>
      <w:r w:rsidRPr="00DA3104">
        <w:rPr>
          <w:i/>
        </w:rPr>
        <w:t>Australian and New Zealand Standard Industrial Classification</w:t>
      </w:r>
      <w:r w:rsidRPr="00DA3104">
        <w:t xml:space="preserve"> (</w:t>
      </w:r>
      <w:proofErr w:type="spellStart"/>
      <w:r w:rsidRPr="00DA3104">
        <w:t>ANZSIC</w:t>
      </w:r>
      <w:proofErr w:type="spellEnd"/>
      <w:r w:rsidRPr="00DA3104">
        <w:t xml:space="preserve"> 1993), except: newspaper printing and publishing are allocated to the services industry sector (</w:t>
      </w:r>
      <w:proofErr w:type="spellStart"/>
      <w:r w:rsidRPr="00DA3104">
        <w:t>ANZSIC</w:t>
      </w:r>
      <w:proofErr w:type="spellEnd"/>
      <w:r w:rsidRPr="00DA3104">
        <w:t xml:space="preserve"> 1993 classifies these under manufacturing); some manufacturing activities have been grouped together as the resource processing sector (</w:t>
      </w:r>
      <w:r>
        <w:t>r</w:t>
      </w:r>
      <w:r w:rsidRPr="00DA3104">
        <w:t>esource processing included activities that, through processing, value add to natural resources. For example, cotton ginning, flour and sugar milling, smelting and refining of mineral resources, abattoirs and wood chipping); and tourism is recorded as a separate industry sector rather than being included with the other service industries. Data</w:t>
      </w:r>
      <w:r>
        <w:t> </w:t>
      </w:r>
      <w:r w:rsidRPr="00DA3104">
        <w:t>from 2014</w:t>
      </w:r>
      <w:r>
        <w:noBreakHyphen/>
      </w:r>
      <w:r w:rsidRPr="00DA3104">
        <w:t xml:space="preserve">15 </w:t>
      </w:r>
      <w:r>
        <w:t>is</w:t>
      </w:r>
      <w:r w:rsidRPr="00DA3104">
        <w:t xml:space="preserve"> compiled by reference to the </w:t>
      </w:r>
      <w:r w:rsidRPr="00DA3104">
        <w:rPr>
          <w:i/>
        </w:rPr>
        <w:t>Australian and New</w:t>
      </w:r>
      <w:r>
        <w:rPr>
          <w:i/>
        </w:rPr>
        <w:t> </w:t>
      </w:r>
      <w:r w:rsidRPr="00DA3104">
        <w:rPr>
          <w:i/>
        </w:rPr>
        <w:t>Zealand Standard Industrial Classification</w:t>
      </w:r>
      <w:r w:rsidRPr="00DA3104">
        <w:t xml:space="preserve"> (</w:t>
      </w:r>
      <w:proofErr w:type="spellStart"/>
      <w:r w:rsidRPr="00DA3104">
        <w:t>ANZSIC</w:t>
      </w:r>
      <w:proofErr w:type="spellEnd"/>
      <w:r w:rsidRPr="00DA3104">
        <w:t xml:space="preserve"> 2006) and the Board will no longer be reporting on resource processing.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63A89" w14:textId="77777777" w:rsidR="00C263DE" w:rsidRDefault="00C263DE">
    <w:pPr>
      <w:pStyle w:val="Header"/>
    </w:pP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749B" w14:textId="5453FFC8" w:rsidR="00C263DE" w:rsidRDefault="00C263DE" w:rsidP="00294A97">
    <w:pPr>
      <w:pStyle w:val="Header"/>
      <w:jc w:val="right"/>
    </w:pPr>
    <w:r>
      <w:t>Chapter 2: Foreign Investment Trends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08784" w14:textId="3E0BF2C3" w:rsidR="00C263DE" w:rsidRPr="00204E29" w:rsidRDefault="00C263DE" w:rsidP="00971054">
    <w:pPr>
      <w:pStyle w:val="HeaderOdd"/>
    </w:pPr>
    <w:r>
      <w:t>Chapter 3: Foreign Investment Proposals Data</w:t>
    </w:r>
  </w:p>
  <w:p w14:paraId="2D2BB9C2" w14:textId="77777777" w:rsidR="00C263DE" w:rsidRDefault="00C263D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D78A" w14:textId="77777777" w:rsidR="00C263DE" w:rsidRPr="00204E29" w:rsidRDefault="00C263DE" w:rsidP="003711D9">
    <w:pPr>
      <w:pStyle w:val="HeaderOd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4302" w14:textId="77777777" w:rsidR="00C263DE" w:rsidRPr="00204E29" w:rsidRDefault="00C263DE" w:rsidP="00294A97">
    <w:pPr>
      <w:pStyle w:val="HeaderOdd"/>
      <w:framePr w:w="477" w:h="7711" w:hRule="exact" w:wrap="around" w:hAnchor="page" w:x="14460" w:yAlign="top" w:anchorLock="1"/>
      <w:textDirection w:val="tbRl"/>
    </w:pPr>
    <w:r>
      <w:t>Chapter 3: Foreign Investment Proposals Data</w:t>
    </w:r>
  </w:p>
  <w:p w14:paraId="2F58A50E" w14:textId="77777777" w:rsidR="00C263DE" w:rsidRDefault="00C263DE" w:rsidP="00294A97">
    <w:pPr>
      <w:pStyle w:val="Header"/>
      <w:framePr w:w="477" w:h="7711" w:hRule="exact" w:wrap="around" w:hAnchor="page" w:x="14460" w:yAlign="top" w:anchorLock="1"/>
      <w:textDirection w:val="tbRl"/>
    </w:pPr>
  </w:p>
  <w:p w14:paraId="7EF929B8" w14:textId="77777777" w:rsidR="00C263DE" w:rsidRPr="00053957" w:rsidRDefault="00C263DE" w:rsidP="00B74A83">
    <w:pPr>
      <w:pStyle w:val="HeaderEven"/>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FD5EB" w14:textId="37E04436" w:rsidR="00C263DE" w:rsidRPr="00C94797" w:rsidRDefault="00C263DE" w:rsidP="00B74A83">
    <w:pPr>
      <w:pStyle w:val="Header"/>
    </w:pPr>
    <w:r>
      <w:t>Foreign Investment Review Board Annual Report 2014</w:t>
    </w:r>
    <w:r>
      <w:noBreakHyphen/>
      <w:t>15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099C1" w14:textId="5EF7138C" w:rsidR="00C263DE" w:rsidRPr="00294A97" w:rsidRDefault="00C263DE" w:rsidP="00294A97">
    <w:pPr>
      <w:pStyle w:val="Header"/>
    </w:pPr>
    <w:r>
      <w:t>Foreign Investment Review Board Annual Report 2015</w:t>
    </w:r>
    <w:r>
      <w:noBreakHyphen/>
      <w:t>16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F1244" w14:textId="435ECDA4" w:rsidR="00C263DE" w:rsidRPr="00C94797" w:rsidRDefault="00C263DE" w:rsidP="00B74A83">
    <w:pPr>
      <w:pStyle w:val="Header"/>
    </w:pPr>
    <w:r>
      <w:t>Foreign Investment Review Board Annual Report 2015</w:t>
    </w:r>
    <w:r>
      <w:noBreakHyphen/>
      <w:t>16</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2F140" w14:textId="366549B1" w:rsidR="00C263DE" w:rsidRPr="00204E29" w:rsidRDefault="00C263DE" w:rsidP="00971054">
    <w:pPr>
      <w:pStyle w:val="HeaderOdd"/>
    </w:pPr>
    <w:r>
      <w:t>Chapter 4: Foreign Investment Compliance</w:t>
    </w:r>
  </w:p>
  <w:p w14:paraId="3C0DF3AD" w14:textId="77777777" w:rsidR="00C263DE" w:rsidRDefault="00C263D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2EB50" w14:textId="68CA4DCD" w:rsidR="00C263DE" w:rsidRPr="00F05628" w:rsidRDefault="00C263DE" w:rsidP="00F0562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08E35" w14:textId="1D01889B" w:rsidR="00C263DE" w:rsidRPr="00C263DE" w:rsidRDefault="00C263DE" w:rsidP="00971054">
    <w:pPr>
      <w:pStyle w:val="HeaderOdd"/>
    </w:pPr>
    <w:r w:rsidRPr="00C263DE">
      <w:t>Appendix A: Methodological and Data Caveats</w:t>
    </w:r>
  </w:p>
  <w:p w14:paraId="00CC5D80" w14:textId="77777777" w:rsidR="00C263DE" w:rsidRDefault="00C263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0654A" w14:textId="3B0B6834" w:rsidR="00C263DE" w:rsidRPr="00204E29" w:rsidRDefault="00C263DE" w:rsidP="00971054">
    <w:pPr>
      <w:pStyle w:val="HeaderOdd"/>
    </w:pPr>
    <w:r>
      <w:t>Foreign Investment Review Board Annual Report 2015</w:t>
    </w:r>
    <w:r>
      <w:noBreakHyphen/>
      <w:t>16</w:t>
    </w:r>
  </w:p>
  <w:p w14:paraId="6EF081D0" w14:textId="77777777" w:rsidR="00C263DE" w:rsidRDefault="00C263D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703FD" w14:textId="46F5CD84" w:rsidR="00C263DE" w:rsidRPr="00204E29" w:rsidRDefault="00C263DE" w:rsidP="00971054">
    <w:pPr>
      <w:pStyle w:val="HeaderOdd"/>
    </w:pPr>
    <w:r>
      <w:t>Appendix B: Examination and Approval process</w:t>
    </w:r>
  </w:p>
  <w:p w14:paraId="1990FA39" w14:textId="77777777" w:rsidR="00C263DE" w:rsidRDefault="00C263D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8A5C4" w14:textId="6470E64A" w:rsidR="00C263DE" w:rsidRPr="00204E29" w:rsidRDefault="00C263DE" w:rsidP="00971054">
    <w:pPr>
      <w:pStyle w:val="HeaderOdd"/>
    </w:pPr>
    <w:r>
      <w:t>Appendix C: Glossary</w:t>
    </w:r>
  </w:p>
  <w:p w14:paraId="0E7C4924" w14:textId="77777777" w:rsidR="00C263DE" w:rsidRDefault="00C263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DA253" w14:textId="12814BDD" w:rsidR="00C263DE" w:rsidRDefault="00C263DE" w:rsidP="00971054">
    <w:pPr>
      <w:pStyle w:val="Header"/>
    </w:pPr>
    <w:r>
      <w:t>Foreign Investment Review Board Annual Report 2015</w:t>
    </w:r>
    <w:r>
      <w:noBreakHyphen/>
      <w:t>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52401" w14:textId="77777777" w:rsidR="00C263DE" w:rsidRDefault="00C263D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4F3F1" w14:textId="7D8B76C8" w:rsidR="00C263DE" w:rsidRPr="00D74D35" w:rsidRDefault="00C263DE" w:rsidP="00D74D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45111" w14:textId="7E96E2E5" w:rsidR="00C263DE" w:rsidRPr="00204E29" w:rsidRDefault="00C263DE" w:rsidP="00204E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52527" w14:textId="1647D462" w:rsidR="00C263DE" w:rsidRPr="00F05628" w:rsidRDefault="00C263DE" w:rsidP="00F0562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7226B" w14:textId="6F1005C9" w:rsidR="00C263DE" w:rsidRDefault="00C263DE" w:rsidP="00294A97">
    <w:pPr>
      <w:pStyle w:val="Header"/>
      <w:jc w:val="right"/>
    </w:pPr>
    <w:r>
      <w:t>Chapter 1: The Foreign Investment Review Board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589C" w14:textId="77777777" w:rsidR="00C263DE" w:rsidRPr="00204E29" w:rsidRDefault="00C263DE" w:rsidP="003711D9">
    <w:pPr>
      <w:pStyle w:val="HeaderOd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9CCA76"/>
    <w:lvl w:ilvl="0">
      <w:start w:val="1"/>
      <w:numFmt w:val="decimal"/>
      <w:lvlText w:val="%1."/>
      <w:lvlJc w:val="left"/>
      <w:pPr>
        <w:tabs>
          <w:tab w:val="num" w:pos="1492"/>
        </w:tabs>
        <w:ind w:left="1492" w:hanging="360"/>
      </w:pPr>
    </w:lvl>
  </w:abstractNum>
  <w:abstractNum w:abstractNumId="1">
    <w:nsid w:val="FFFFFF7D"/>
    <w:multiLevelType w:val="singleLevel"/>
    <w:tmpl w:val="D662F660"/>
    <w:lvl w:ilvl="0">
      <w:start w:val="1"/>
      <w:numFmt w:val="decimal"/>
      <w:lvlText w:val="%1."/>
      <w:lvlJc w:val="left"/>
      <w:pPr>
        <w:tabs>
          <w:tab w:val="num" w:pos="1209"/>
        </w:tabs>
        <w:ind w:left="1209" w:hanging="360"/>
      </w:pPr>
    </w:lvl>
  </w:abstractNum>
  <w:abstractNum w:abstractNumId="2">
    <w:nsid w:val="FFFFFF7E"/>
    <w:multiLevelType w:val="singleLevel"/>
    <w:tmpl w:val="97E6E104"/>
    <w:lvl w:ilvl="0">
      <w:start w:val="1"/>
      <w:numFmt w:val="decimal"/>
      <w:lvlText w:val="%1."/>
      <w:lvlJc w:val="left"/>
      <w:pPr>
        <w:tabs>
          <w:tab w:val="num" w:pos="926"/>
        </w:tabs>
        <w:ind w:left="926" w:hanging="360"/>
      </w:pPr>
    </w:lvl>
  </w:abstractNum>
  <w:abstractNum w:abstractNumId="3">
    <w:nsid w:val="FFFFFF7F"/>
    <w:multiLevelType w:val="singleLevel"/>
    <w:tmpl w:val="AABC6A4E"/>
    <w:lvl w:ilvl="0">
      <w:start w:val="1"/>
      <w:numFmt w:val="decimal"/>
      <w:lvlText w:val="%1."/>
      <w:lvlJc w:val="left"/>
      <w:pPr>
        <w:tabs>
          <w:tab w:val="num" w:pos="643"/>
        </w:tabs>
        <w:ind w:left="643" w:hanging="360"/>
      </w:pPr>
    </w:lvl>
  </w:abstractNum>
  <w:abstractNum w:abstractNumId="4">
    <w:nsid w:val="FFFFFF80"/>
    <w:multiLevelType w:val="singleLevel"/>
    <w:tmpl w:val="F89E5E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4B22F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E585B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3C53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BBC24AE"/>
    <w:lvl w:ilvl="0">
      <w:start w:val="1"/>
      <w:numFmt w:val="decimal"/>
      <w:lvlText w:val="%1."/>
      <w:lvlJc w:val="left"/>
      <w:pPr>
        <w:tabs>
          <w:tab w:val="num" w:pos="360"/>
        </w:tabs>
        <w:ind w:left="360" w:hanging="360"/>
      </w:pPr>
    </w:lvl>
  </w:abstractNum>
  <w:abstractNum w:abstractNumId="9">
    <w:nsid w:val="FFFFFF89"/>
    <w:multiLevelType w:val="singleLevel"/>
    <w:tmpl w:val="F3F6BD2A"/>
    <w:lvl w:ilvl="0">
      <w:start w:val="1"/>
      <w:numFmt w:val="bullet"/>
      <w:lvlText w:val=""/>
      <w:lvlJc w:val="left"/>
      <w:pPr>
        <w:tabs>
          <w:tab w:val="num" w:pos="360"/>
        </w:tabs>
        <w:ind w:left="360" w:hanging="360"/>
      </w:pPr>
      <w:rPr>
        <w:rFonts w:ascii="Symbol" w:hAnsi="Symbol" w:hint="default"/>
      </w:rPr>
    </w:lvl>
  </w:abstractNum>
  <w:abstractNum w:abstractNumId="10">
    <w:nsid w:val="09B92AF1"/>
    <w:multiLevelType w:val="hybridMultilevel"/>
    <w:tmpl w:val="1E285314"/>
    <w:name w:val="AlphaChartTableFootnoteList222"/>
    <w:lvl w:ilvl="0" w:tplc="E0EA1E8E">
      <w:start w:val="1"/>
      <w:numFmt w:val="lowerLetter"/>
      <w:lvlRestart w:val="0"/>
      <w:lvlText w:val="(%1)"/>
      <w:lvlJc w:val="left"/>
      <w:pPr>
        <w:tabs>
          <w:tab w:val="num" w:pos="283"/>
        </w:tabs>
        <w:ind w:left="283" w:hanging="283"/>
      </w:pPr>
      <w:rPr>
        <w:rFonts w:ascii="Arial" w:hAnsi="Arial" w:cs="Arial" w:hint="default"/>
        <w:b w:val="0"/>
        <w:bCs w:val="0"/>
        <w:i w:val="0"/>
        <w:iCs w:val="0"/>
        <w:sz w:val="16"/>
        <w:szCs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2CF3A7B"/>
    <w:multiLevelType w:val="hybridMultilevel"/>
    <w:tmpl w:val="A96E4CE8"/>
    <w:lvl w:ilvl="0" w:tplc="E036221E">
      <w:start w:val="1"/>
      <w:numFmt w:val="bullet"/>
      <w:pStyle w:val="Box-Pull-Bullet"/>
      <w:lvlText w:val="•"/>
      <w:lvlJc w:val="left"/>
      <w:pPr>
        <w:ind w:left="720" w:hanging="360"/>
      </w:pPr>
      <w:rPr>
        <w:rFonts w:ascii="Times New Roman" w:hAnsi="Times New Roman" w:cs="Times New Roman" w:hint="default"/>
        <w:color w:val="231E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64578CA"/>
    <w:multiLevelType w:val="hybridMultilevel"/>
    <w:tmpl w:val="5F721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C960FD"/>
    <w:multiLevelType w:val="multilevel"/>
    <w:tmpl w:val="9E2A2866"/>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4">
    <w:nsid w:val="20B16FCB"/>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2D33F1C"/>
    <w:multiLevelType w:val="multilevel"/>
    <w:tmpl w:val="EB4E983C"/>
    <w:lvl w:ilvl="0">
      <w:start w:val="1"/>
      <w:numFmt w:val="decimal"/>
      <w:lvlRestart w:val="0"/>
      <w:lvlText w:val="%1."/>
      <w:lvlJc w:val="left"/>
      <w:pPr>
        <w:tabs>
          <w:tab w:val="num" w:pos="567"/>
        </w:tabs>
        <w:ind w:left="567" w:hanging="567"/>
      </w:pPr>
      <w:rPr>
        <w:rFonts w:ascii="Arial" w:hAnsi="Arial" w:cs="Arial"/>
        <w:b/>
        <w:i w:val="0"/>
        <w:color w:val="F8981D"/>
        <w:sz w:val="24"/>
      </w:rPr>
    </w:lvl>
    <w:lvl w:ilvl="1">
      <w:start w:val="1"/>
      <w:numFmt w:val="upperLetter"/>
      <w:lvlText w:val="%2"/>
      <w:lvlJc w:val="left"/>
      <w:pPr>
        <w:tabs>
          <w:tab w:val="num" w:pos="567"/>
        </w:tabs>
        <w:ind w:left="567" w:hanging="567"/>
      </w:pPr>
      <w:rPr>
        <w:rFonts w:ascii="Arial" w:hAnsi="Arial" w:cs="Arial"/>
        <w:b/>
        <w:i w:val="0"/>
        <w:color w:val="F8981D"/>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
    <w:nsid w:val="236A5BB3"/>
    <w:multiLevelType w:val="multilevel"/>
    <w:tmpl w:val="FA9E4CAC"/>
    <w:lvl w:ilvl="0">
      <w:start w:val="1"/>
      <w:numFmt w:val="decimal"/>
      <w:lvlRestart w:val="0"/>
      <w:lvlText w:val="%1."/>
      <w:lvlJc w:val="left"/>
      <w:pPr>
        <w:tabs>
          <w:tab w:val="num" w:pos="567"/>
        </w:tabs>
        <w:ind w:left="567" w:hanging="567"/>
      </w:pPr>
      <w:rPr>
        <w:b w:val="0"/>
        <w:i w:val="0"/>
      </w:rPr>
    </w:lvl>
    <w:lvl w:ilvl="1">
      <w:start w:val="1"/>
      <w:numFmt w:val="decimal"/>
      <w:lvlText w:val="%1.%2."/>
      <w:lvlJc w:val="left"/>
      <w:pPr>
        <w:tabs>
          <w:tab w:val="num" w:pos="1134"/>
        </w:tabs>
        <w:ind w:left="1134" w:hanging="567"/>
      </w:pPr>
      <w:rPr>
        <w:b w:val="0"/>
        <w:i w:val="0"/>
      </w:rPr>
    </w:lvl>
    <w:lvl w:ilvl="2">
      <w:start w:val="1"/>
      <w:numFmt w:val="decimal"/>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nsid w:val="244237C5"/>
    <w:multiLevelType w:val="multilevel"/>
    <w:tmpl w:val="F0BE3518"/>
    <w:name w:val="StandardNumberedList"/>
    <w:lvl w:ilvl="0">
      <w:start w:val="1"/>
      <w:numFmt w:val="decimal"/>
      <w:lvlRestart w:val="0"/>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nsid w:val="27440C8B"/>
    <w:multiLevelType w:val="multilevel"/>
    <w:tmpl w:val="9560F99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9">
    <w:nsid w:val="2BEA786A"/>
    <w:multiLevelType w:val="multilevel"/>
    <w:tmpl w:val="C2664A28"/>
    <w:name w:val="AppendixAHeadingsNoItalics"/>
    <w:lvl w:ilvl="0">
      <w:start w:val="1"/>
      <w:numFmt w:val="decimal"/>
      <w:lvlRestart w:val="0"/>
      <w:pStyle w:val="AppendixAHeading3NotItalic"/>
      <w:lvlText w:val="%1."/>
      <w:lvlJc w:val="left"/>
      <w:pPr>
        <w:tabs>
          <w:tab w:val="num" w:pos="567"/>
        </w:tabs>
        <w:ind w:left="567" w:hanging="567"/>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AppendixAHeading4"/>
      <w:lvlText w:val="%2"/>
      <w:lvlJc w:val="left"/>
      <w:pPr>
        <w:tabs>
          <w:tab w:val="num" w:pos="567"/>
        </w:tabs>
        <w:ind w:left="0" w:firstLine="0"/>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nsid w:val="2C723F30"/>
    <w:multiLevelType w:val="singleLevel"/>
    <w:tmpl w:val="1430D9F2"/>
    <w:name w:val="StandardNumberedParagraphList"/>
    <w:lvl w:ilvl="0">
      <w:start w:val="2"/>
      <w:numFmt w:val="decimal"/>
      <w:pStyle w:val="NumberedParagraph"/>
      <w:lvlText w:val="%1."/>
      <w:lvlJc w:val="left"/>
      <w:pPr>
        <w:tabs>
          <w:tab w:val="num" w:pos="567"/>
        </w:tabs>
        <w:ind w:left="0" w:firstLine="0"/>
      </w:pPr>
    </w:lvl>
  </w:abstractNum>
  <w:abstractNum w:abstractNumId="21">
    <w:nsid w:val="2D665DFA"/>
    <w:multiLevelType w:val="singleLevel"/>
    <w:tmpl w:val="106079EE"/>
    <w:lvl w:ilvl="0">
      <w:start w:val="1"/>
      <w:numFmt w:val="lowerLetter"/>
      <w:lvlRestart w:val="0"/>
      <w:pStyle w:val="AlphaParagraph"/>
      <w:lvlText w:val="(%1)"/>
      <w:lvlJc w:val="left"/>
      <w:pPr>
        <w:tabs>
          <w:tab w:val="num" w:pos="1134"/>
        </w:tabs>
        <w:ind w:left="1134" w:hanging="567"/>
      </w:pPr>
      <w:rPr>
        <w:rFonts w:ascii="Book Antiqua" w:hAnsi="Book Antiqua"/>
        <w:b w:val="0"/>
        <w:i w:val="0"/>
        <w:sz w:val="20"/>
      </w:rPr>
    </w:lvl>
  </w:abstractNum>
  <w:abstractNum w:abstractNumId="22">
    <w:nsid w:val="2EBB668F"/>
    <w:multiLevelType w:val="hybridMultilevel"/>
    <w:tmpl w:val="88464E74"/>
    <w:lvl w:ilvl="0" w:tplc="ED824DDC">
      <w:start w:val="1"/>
      <w:numFmt w:val="bullet"/>
      <w:pStyle w:val="FootnoteText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12C1B26"/>
    <w:multiLevelType w:val="multilevel"/>
    <w:tmpl w:val="C25AB2AE"/>
    <w:name w:val="AppendixAHeading3"/>
    <w:lvl w:ilvl="0">
      <w:start w:val="1"/>
      <w:numFmt w:val="decimal"/>
      <w:lvlRestart w:val="0"/>
      <w:pStyle w:val="AppendixAHeading3"/>
      <w:lvlText w:val="%1."/>
      <w:lvlJc w:val="left"/>
      <w:pPr>
        <w:tabs>
          <w:tab w:val="num" w:pos="567"/>
        </w:tabs>
        <w:ind w:left="567" w:hanging="567"/>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4">
    <w:nsid w:val="349D1A70"/>
    <w:multiLevelType w:val="singleLevel"/>
    <w:tmpl w:val="90D2452A"/>
    <w:lvl w:ilvl="0">
      <w:start w:val="1"/>
      <w:numFmt w:val="upperRoman"/>
      <w:lvlRestart w:val="0"/>
      <w:lvlText w:val="%1."/>
      <w:lvlJc w:val="left"/>
      <w:pPr>
        <w:tabs>
          <w:tab w:val="num" w:pos="283"/>
        </w:tabs>
        <w:ind w:left="283" w:hanging="283"/>
      </w:pPr>
      <w:rPr>
        <w:rFonts w:ascii="Arial Bold" w:hAnsi="Arial Bold" w:cs="Arial" w:hint="default"/>
        <w:b/>
        <w:i w:val="0"/>
        <w:color w:val="22529E"/>
        <w:sz w:val="22"/>
        <w:szCs w:val="22"/>
      </w:rPr>
    </w:lvl>
  </w:abstractNum>
  <w:abstractNum w:abstractNumId="25">
    <w:nsid w:val="3C554A3D"/>
    <w:multiLevelType w:val="multilevel"/>
    <w:tmpl w:val="B79A3C48"/>
    <w:name w:val="StandardBulletedList"/>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C857931"/>
    <w:multiLevelType w:val="singleLevel"/>
    <w:tmpl w:val="64462D2E"/>
    <w:lvl w:ilvl="0">
      <w:start w:val="1"/>
      <w:numFmt w:val="upperRoman"/>
      <w:lvlRestart w:val="0"/>
      <w:pStyle w:val="AppendixGHeading3"/>
      <w:lvlText w:val="%1."/>
      <w:lvlJc w:val="left"/>
      <w:pPr>
        <w:tabs>
          <w:tab w:val="num" w:pos="567"/>
        </w:tabs>
        <w:ind w:left="567" w:hanging="567"/>
      </w:pPr>
      <w:rPr>
        <w:rFonts w:ascii="Arial" w:hAnsi="Arial" w:cs="Arial"/>
        <w:b/>
        <w:i w:val="0"/>
        <w:sz w:val="22"/>
      </w:rPr>
    </w:lvl>
  </w:abstractNum>
  <w:abstractNum w:abstractNumId="27">
    <w:nsid w:val="4BEE3F5E"/>
    <w:multiLevelType w:val="multilevel"/>
    <w:tmpl w:val="DA00C22E"/>
    <w:lvl w:ilvl="0">
      <w:start w:val="1"/>
      <w:numFmt w:val="decimal"/>
      <w:lvlRestart w:val="0"/>
      <w:lvlText w:val="%1."/>
      <w:lvlJc w:val="left"/>
      <w:pPr>
        <w:tabs>
          <w:tab w:val="num" w:pos="567"/>
        </w:tabs>
        <w:ind w:left="567" w:hanging="567"/>
      </w:pPr>
      <w:rPr>
        <w:rFonts w:ascii="Arial" w:hAnsi="Arial" w:cs="Arial"/>
        <w:b/>
        <w:i/>
        <w:color w:val="F8981D"/>
        <w:sz w:val="24"/>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8">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9">
    <w:nsid w:val="50B6175A"/>
    <w:multiLevelType w:val="hybridMultilevel"/>
    <w:tmpl w:val="069865EC"/>
    <w:name w:val="ChartTableFootnoteAlpha"/>
    <w:lvl w:ilvl="0" w:tplc="FFFFFFFF">
      <w:start w:val="1"/>
      <w:numFmt w:val="lowerLetter"/>
      <w:lvlRestart w:val="0"/>
      <w:lvlText w:val="(%1)"/>
      <w:lvlJc w:val="left"/>
      <w:pPr>
        <w:tabs>
          <w:tab w:val="num" w:pos="283"/>
        </w:tabs>
        <w:ind w:left="283" w:hanging="283"/>
      </w:pPr>
      <w:rPr>
        <w:rFonts w:ascii="Arial" w:hAnsi="Arial" w:cs="Arial" w:hint="default"/>
        <w:b w:val="0"/>
        <w:bCs w:val="0"/>
        <w:i w:val="0"/>
        <w:iCs w:val="0"/>
        <w:sz w:val="16"/>
        <w:szCs w:val="1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0FD4C91"/>
    <w:multiLevelType w:val="multilevel"/>
    <w:tmpl w:val="0BC024B4"/>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1FC68E7"/>
    <w:multiLevelType w:val="multilevel"/>
    <w:tmpl w:val="0220E126"/>
    <w:lvl w:ilvl="0">
      <w:start w:val="1"/>
      <w:numFmt w:val="upperLetter"/>
      <w:lvlRestart w:val="0"/>
      <w:suff w:val="nothing"/>
      <w:lvlText w:val=""/>
      <w:lvlJc w:val="left"/>
      <w:pPr>
        <w:ind w:left="0" w:firstLine="0"/>
      </w:pPr>
      <w:rPr>
        <w:rFonts w:ascii="Arial" w:hAnsi="Arial" w:cs="Arial" w:hint="default"/>
        <w:b/>
        <w:i w:val="0"/>
        <w:color w:val="000080"/>
        <w:sz w:val="20"/>
      </w:rPr>
    </w:lvl>
    <w:lvl w:ilvl="1">
      <w:start w:val="1"/>
      <w:numFmt w:val="upperLetter"/>
      <w:lvlText w:val="%2%1."/>
      <w:lvlJc w:val="left"/>
      <w:pPr>
        <w:tabs>
          <w:tab w:val="num" w:pos="283"/>
        </w:tabs>
        <w:ind w:left="283" w:hanging="283"/>
      </w:pPr>
      <w:rPr>
        <w:rFonts w:ascii="Helvetica" w:hAnsi="Helvetica" w:cs="Arial" w:hint="default"/>
        <w:b w:val="0"/>
        <w:i w:val="0"/>
        <w:color w:val="8BAF2E"/>
        <w:sz w:val="20"/>
        <w:szCs w:val="2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ascii="Helvetica" w:hAnsi="Helvetica" w:hint="default"/>
        <w:b w:val="0"/>
        <w:i w:val="0"/>
        <w:color w:val="F8981D"/>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2">
    <w:nsid w:val="58101827"/>
    <w:multiLevelType w:val="multilevel"/>
    <w:tmpl w:val="072C6E52"/>
    <w:name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3">
    <w:nsid w:val="581A16E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9C110A5"/>
    <w:multiLevelType w:val="multilevel"/>
    <w:tmpl w:val="18A6FE30"/>
    <w:lvl w:ilvl="0">
      <w:start w:val="1"/>
      <w:numFmt w:val="decimal"/>
      <w:lvlText w:val="%1."/>
      <w:lvlJc w:val="left"/>
      <w:pPr>
        <w:ind w:left="720" w:hanging="360"/>
      </w:pPr>
      <w:rPr>
        <w:rFonts w:hint="default"/>
        <w:color w:val="95B3D7" w:themeColor="accent1" w:themeTint="99"/>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6">
    <w:nsid w:val="636E437E"/>
    <w:multiLevelType w:val="multilevel"/>
    <w:tmpl w:val="93F232DE"/>
    <w:name w:val="RecommendationBulletedList"/>
    <w:lvl w:ilvl="0">
      <w:start w:val="1"/>
      <w:numFmt w:val="lowerLetter"/>
      <w:lvlRestart w:val="0"/>
      <w:lvlText w:val="(%1)"/>
      <w:lvlJc w:val="left"/>
      <w:pPr>
        <w:tabs>
          <w:tab w:val="num" w:pos="283"/>
        </w:tabs>
        <w:ind w:left="283" w:hanging="283"/>
      </w:pPr>
      <w:rPr>
        <w:rFonts w:ascii="Arial" w:hAnsi="Arial" w:cs="Arial" w:hint="default"/>
        <w:b w:val="0"/>
        <w:bCs w:val="0"/>
        <w:i w:val="0"/>
        <w:iCs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BC663E4"/>
    <w:multiLevelType w:val="multilevel"/>
    <w:tmpl w:val="E196B898"/>
    <w:name w:val="AlphaChartTableFootnoteList"/>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186C1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7"/>
  </w:num>
  <w:num w:numId="3">
    <w:abstractNumId w:val="11"/>
  </w:num>
  <w:num w:numId="4">
    <w:abstractNumId w:val="21"/>
  </w:num>
  <w:num w:numId="5">
    <w:abstractNumId w:val="28"/>
  </w:num>
  <w:num w:numId="6">
    <w:abstractNumId w:val="32"/>
  </w:num>
  <w:num w:numId="7">
    <w:abstractNumId w:val="13"/>
  </w:num>
  <w:num w:numId="8">
    <w:abstractNumId w:val="35"/>
  </w:num>
  <w:num w:numId="9">
    <w:abstractNumId w:val="20"/>
  </w:num>
  <w:num w:numId="10">
    <w:abstractNumId w:val="26"/>
  </w:num>
  <w:num w:numId="11">
    <w:abstractNumId w:val="23"/>
  </w:num>
  <w:num w:numId="12">
    <w:abstractNumId w:val="19"/>
  </w:num>
  <w:num w:numId="13">
    <w:abstractNumId w:val="28"/>
    <w:lvlOverride w:ilvl="0">
      <w:startOverride w:val="1"/>
    </w:lvlOverride>
  </w:num>
  <w:num w:numId="14">
    <w:abstractNumId w:val="28"/>
    <w:lvlOverride w:ilvl="0">
      <w:startOverride w:val="1"/>
    </w:lvlOverride>
  </w:num>
  <w:num w:numId="15">
    <w:abstractNumId w:val="28"/>
    <w:lvlOverride w:ilvl="0">
      <w:startOverride w:val="1"/>
    </w:lvlOverride>
  </w:num>
  <w:num w:numId="16">
    <w:abstractNumId w:val="28"/>
    <w:lvlOverride w:ilvl="0">
      <w:startOverride w:val="1"/>
    </w:lvlOverride>
  </w:num>
  <w:num w:numId="17">
    <w:abstractNumId w:val="28"/>
    <w:lvlOverride w:ilvl="0">
      <w:startOverride w:val="1"/>
    </w:lvlOverride>
  </w:num>
  <w:num w:numId="18">
    <w:abstractNumId w:val="28"/>
    <w:lvlOverride w:ilvl="0">
      <w:startOverride w:val="1"/>
    </w:lvlOverride>
  </w:num>
  <w:num w:numId="19">
    <w:abstractNumId w:val="22"/>
  </w:num>
  <w:num w:numId="20">
    <w:abstractNumId w:val="12"/>
  </w:num>
  <w:num w:numId="21">
    <w:abstractNumId w:val="25"/>
  </w:num>
  <w:num w:numId="22">
    <w:abstractNumId w:val="25"/>
  </w:num>
  <w:num w:numId="23">
    <w:abstractNumId w:val="25"/>
  </w:num>
  <w:num w:numId="24">
    <w:abstractNumId w:val="25"/>
  </w:num>
  <w:num w:numId="25">
    <w:abstractNumId w:val="25"/>
  </w:num>
  <w:num w:numId="26">
    <w:abstractNumId w:val="25"/>
  </w:num>
  <w:num w:numId="27">
    <w:abstractNumId w:val="16"/>
  </w:num>
  <w:num w:numId="28">
    <w:abstractNumId w:val="39"/>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1"/>
  </w:num>
  <w:num w:numId="40">
    <w:abstractNumId w:val="24"/>
  </w:num>
  <w:num w:numId="41">
    <w:abstractNumId w:val="38"/>
  </w:num>
  <w:num w:numId="42">
    <w:abstractNumId w:val="33"/>
  </w:num>
  <w:num w:numId="43">
    <w:abstractNumId w:val="14"/>
  </w:num>
  <w:num w:numId="44">
    <w:abstractNumId w:val="27"/>
  </w:num>
  <w:num w:numId="45">
    <w:abstractNumId w:val="15"/>
  </w:num>
  <w:num w:numId="46">
    <w:abstractNumId w:val="34"/>
  </w:num>
  <w:num w:numId="47">
    <w:abstractNumId w:val="10"/>
  </w:num>
  <w:num w:numId="48">
    <w:abstractNumId w:val="28"/>
    <w:lvlOverride w:ilvl="0">
      <w:startOverride w:val="1"/>
    </w:lvlOverride>
  </w:num>
  <w:num w:numId="49">
    <w:abstractNumId w:val="28"/>
    <w:lvlOverride w:ilvl="0">
      <w:startOverride w:val="1"/>
    </w:lvlOverride>
  </w:num>
  <w:num w:numId="50">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attachedTemplate r:id="rId1"/>
  <w:linkStyles/>
  <w:defaultTabStop w:val="720"/>
  <w:evenAndOddHeaders/>
  <w:characterSpacingControl w:val="doNotCompress"/>
  <w:hdrShapeDefaults>
    <o:shapedefaults v:ext="edit" spidmax="1822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006"/>
    <w:rsid w:val="0000341B"/>
    <w:rsid w:val="000042D6"/>
    <w:rsid w:val="0000493E"/>
    <w:rsid w:val="000050E2"/>
    <w:rsid w:val="00005F7B"/>
    <w:rsid w:val="000062E0"/>
    <w:rsid w:val="00006C11"/>
    <w:rsid w:val="000074DF"/>
    <w:rsid w:val="0000799C"/>
    <w:rsid w:val="00010B9A"/>
    <w:rsid w:val="00010E9D"/>
    <w:rsid w:val="00010FC9"/>
    <w:rsid w:val="0001109F"/>
    <w:rsid w:val="000120FA"/>
    <w:rsid w:val="0001246D"/>
    <w:rsid w:val="000131C4"/>
    <w:rsid w:val="00014CD1"/>
    <w:rsid w:val="000159A3"/>
    <w:rsid w:val="00015D93"/>
    <w:rsid w:val="00017C70"/>
    <w:rsid w:val="00020238"/>
    <w:rsid w:val="00021232"/>
    <w:rsid w:val="0002222F"/>
    <w:rsid w:val="00022C48"/>
    <w:rsid w:val="00024647"/>
    <w:rsid w:val="00025707"/>
    <w:rsid w:val="00026B74"/>
    <w:rsid w:val="00026CC8"/>
    <w:rsid w:val="00027CF1"/>
    <w:rsid w:val="00031D28"/>
    <w:rsid w:val="00032265"/>
    <w:rsid w:val="000345E5"/>
    <w:rsid w:val="00034CE1"/>
    <w:rsid w:val="00035FD0"/>
    <w:rsid w:val="00037F8C"/>
    <w:rsid w:val="00043677"/>
    <w:rsid w:val="00043CE7"/>
    <w:rsid w:val="00044857"/>
    <w:rsid w:val="00044B94"/>
    <w:rsid w:val="00044BDD"/>
    <w:rsid w:val="000454E3"/>
    <w:rsid w:val="00046016"/>
    <w:rsid w:val="00050C77"/>
    <w:rsid w:val="00051EE9"/>
    <w:rsid w:val="00052400"/>
    <w:rsid w:val="000525E3"/>
    <w:rsid w:val="00053F27"/>
    <w:rsid w:val="00054BC4"/>
    <w:rsid w:val="00056254"/>
    <w:rsid w:val="00056259"/>
    <w:rsid w:val="00057116"/>
    <w:rsid w:val="0006353D"/>
    <w:rsid w:val="00064711"/>
    <w:rsid w:val="0006499D"/>
    <w:rsid w:val="00066529"/>
    <w:rsid w:val="00070534"/>
    <w:rsid w:val="00071874"/>
    <w:rsid w:val="00071DCF"/>
    <w:rsid w:val="00072FCB"/>
    <w:rsid w:val="000737B1"/>
    <w:rsid w:val="0007396E"/>
    <w:rsid w:val="00074C52"/>
    <w:rsid w:val="00075F42"/>
    <w:rsid w:val="0007688F"/>
    <w:rsid w:val="00077044"/>
    <w:rsid w:val="00077708"/>
    <w:rsid w:val="00080D9C"/>
    <w:rsid w:val="00082C13"/>
    <w:rsid w:val="000830E4"/>
    <w:rsid w:val="00084B35"/>
    <w:rsid w:val="00085246"/>
    <w:rsid w:val="00085BFD"/>
    <w:rsid w:val="000864F7"/>
    <w:rsid w:val="000877C8"/>
    <w:rsid w:val="00090396"/>
    <w:rsid w:val="000903BB"/>
    <w:rsid w:val="00090989"/>
    <w:rsid w:val="000909CF"/>
    <w:rsid w:val="000914DB"/>
    <w:rsid w:val="000936C4"/>
    <w:rsid w:val="00093F7E"/>
    <w:rsid w:val="0009446A"/>
    <w:rsid w:val="000945D0"/>
    <w:rsid w:val="00094FF0"/>
    <w:rsid w:val="000A0C9A"/>
    <w:rsid w:val="000A1555"/>
    <w:rsid w:val="000A1653"/>
    <w:rsid w:val="000A2CF4"/>
    <w:rsid w:val="000A457D"/>
    <w:rsid w:val="000A497E"/>
    <w:rsid w:val="000A6CB2"/>
    <w:rsid w:val="000A77FF"/>
    <w:rsid w:val="000B01F9"/>
    <w:rsid w:val="000B045A"/>
    <w:rsid w:val="000B584F"/>
    <w:rsid w:val="000B5985"/>
    <w:rsid w:val="000B5C71"/>
    <w:rsid w:val="000B67C6"/>
    <w:rsid w:val="000C124A"/>
    <w:rsid w:val="000C47DB"/>
    <w:rsid w:val="000C6404"/>
    <w:rsid w:val="000C7CD8"/>
    <w:rsid w:val="000C7E75"/>
    <w:rsid w:val="000C7E9A"/>
    <w:rsid w:val="000D037F"/>
    <w:rsid w:val="000D206D"/>
    <w:rsid w:val="000D2E72"/>
    <w:rsid w:val="000D3E53"/>
    <w:rsid w:val="000D5CFF"/>
    <w:rsid w:val="000D637E"/>
    <w:rsid w:val="000D68A0"/>
    <w:rsid w:val="000E141A"/>
    <w:rsid w:val="000E142E"/>
    <w:rsid w:val="000E1685"/>
    <w:rsid w:val="000E2038"/>
    <w:rsid w:val="000E5DF4"/>
    <w:rsid w:val="000E5F78"/>
    <w:rsid w:val="000E644A"/>
    <w:rsid w:val="000E6CD7"/>
    <w:rsid w:val="000E7D46"/>
    <w:rsid w:val="000F045E"/>
    <w:rsid w:val="000F0621"/>
    <w:rsid w:val="000F0C1E"/>
    <w:rsid w:val="000F16E5"/>
    <w:rsid w:val="000F29D4"/>
    <w:rsid w:val="000F35A4"/>
    <w:rsid w:val="000F4133"/>
    <w:rsid w:val="000F6557"/>
    <w:rsid w:val="000F7D3E"/>
    <w:rsid w:val="000F7F92"/>
    <w:rsid w:val="00100227"/>
    <w:rsid w:val="001008AA"/>
    <w:rsid w:val="00100F11"/>
    <w:rsid w:val="00106821"/>
    <w:rsid w:val="00106A78"/>
    <w:rsid w:val="00106BD7"/>
    <w:rsid w:val="001145D8"/>
    <w:rsid w:val="00114C4B"/>
    <w:rsid w:val="00115057"/>
    <w:rsid w:val="00115593"/>
    <w:rsid w:val="001164FF"/>
    <w:rsid w:val="00120B1C"/>
    <w:rsid w:val="00121470"/>
    <w:rsid w:val="00122AC6"/>
    <w:rsid w:val="00123BFF"/>
    <w:rsid w:val="00123F9E"/>
    <w:rsid w:val="00125DEB"/>
    <w:rsid w:val="00125F2F"/>
    <w:rsid w:val="00126A94"/>
    <w:rsid w:val="00127638"/>
    <w:rsid w:val="001277D1"/>
    <w:rsid w:val="00127A09"/>
    <w:rsid w:val="00127D2F"/>
    <w:rsid w:val="00130F39"/>
    <w:rsid w:val="00131AD7"/>
    <w:rsid w:val="00133B4F"/>
    <w:rsid w:val="001350BA"/>
    <w:rsid w:val="0013675E"/>
    <w:rsid w:val="00140646"/>
    <w:rsid w:val="00141BAD"/>
    <w:rsid w:val="00141E58"/>
    <w:rsid w:val="001426A3"/>
    <w:rsid w:val="001439E5"/>
    <w:rsid w:val="00143EBC"/>
    <w:rsid w:val="001446E0"/>
    <w:rsid w:val="0014490B"/>
    <w:rsid w:val="00145891"/>
    <w:rsid w:val="001459E8"/>
    <w:rsid w:val="00150338"/>
    <w:rsid w:val="00150494"/>
    <w:rsid w:val="0015352B"/>
    <w:rsid w:val="00153AAE"/>
    <w:rsid w:val="001547E2"/>
    <w:rsid w:val="00156CD8"/>
    <w:rsid w:val="00156D83"/>
    <w:rsid w:val="00156E8D"/>
    <w:rsid w:val="00157ECB"/>
    <w:rsid w:val="00157FCB"/>
    <w:rsid w:val="0016053D"/>
    <w:rsid w:val="00160AEC"/>
    <w:rsid w:val="00161BCF"/>
    <w:rsid w:val="001628FF"/>
    <w:rsid w:val="00162DE6"/>
    <w:rsid w:val="00163626"/>
    <w:rsid w:val="00163A97"/>
    <w:rsid w:val="001663F7"/>
    <w:rsid w:val="00166AF1"/>
    <w:rsid w:val="00167DA7"/>
    <w:rsid w:val="001714F5"/>
    <w:rsid w:val="0017169A"/>
    <w:rsid w:val="00171911"/>
    <w:rsid w:val="00172835"/>
    <w:rsid w:val="00172ADA"/>
    <w:rsid w:val="00172ADC"/>
    <w:rsid w:val="00176495"/>
    <w:rsid w:val="00176B72"/>
    <w:rsid w:val="00180785"/>
    <w:rsid w:val="00180FBB"/>
    <w:rsid w:val="00181F11"/>
    <w:rsid w:val="001827B7"/>
    <w:rsid w:val="00182C1D"/>
    <w:rsid w:val="00184276"/>
    <w:rsid w:val="00185162"/>
    <w:rsid w:val="00185968"/>
    <w:rsid w:val="00185B30"/>
    <w:rsid w:val="00185DC4"/>
    <w:rsid w:val="00185E53"/>
    <w:rsid w:val="0018636D"/>
    <w:rsid w:val="00186BBD"/>
    <w:rsid w:val="001905AF"/>
    <w:rsid w:val="00191B05"/>
    <w:rsid w:val="001923A4"/>
    <w:rsid w:val="00192E7B"/>
    <w:rsid w:val="00193876"/>
    <w:rsid w:val="00193ABC"/>
    <w:rsid w:val="001A0FE4"/>
    <w:rsid w:val="001A3655"/>
    <w:rsid w:val="001A5E6F"/>
    <w:rsid w:val="001A7E25"/>
    <w:rsid w:val="001B0DC2"/>
    <w:rsid w:val="001B0EDF"/>
    <w:rsid w:val="001B3ED1"/>
    <w:rsid w:val="001B5898"/>
    <w:rsid w:val="001B5B94"/>
    <w:rsid w:val="001B7BC7"/>
    <w:rsid w:val="001C0B8E"/>
    <w:rsid w:val="001C11D6"/>
    <w:rsid w:val="001C381E"/>
    <w:rsid w:val="001C53B7"/>
    <w:rsid w:val="001C55A9"/>
    <w:rsid w:val="001C64EE"/>
    <w:rsid w:val="001C6558"/>
    <w:rsid w:val="001C67ED"/>
    <w:rsid w:val="001D0E4D"/>
    <w:rsid w:val="001D1C3C"/>
    <w:rsid w:val="001D27CF"/>
    <w:rsid w:val="001D35CF"/>
    <w:rsid w:val="001D44A0"/>
    <w:rsid w:val="001D464F"/>
    <w:rsid w:val="001D5E26"/>
    <w:rsid w:val="001D790E"/>
    <w:rsid w:val="001E0F5F"/>
    <w:rsid w:val="001E1739"/>
    <w:rsid w:val="001E1B53"/>
    <w:rsid w:val="001E36FB"/>
    <w:rsid w:val="001E43FF"/>
    <w:rsid w:val="001E4C55"/>
    <w:rsid w:val="001E4F84"/>
    <w:rsid w:val="001E5968"/>
    <w:rsid w:val="001E756B"/>
    <w:rsid w:val="001F064B"/>
    <w:rsid w:val="001F09DA"/>
    <w:rsid w:val="001F10F4"/>
    <w:rsid w:val="001F150B"/>
    <w:rsid w:val="001F59F1"/>
    <w:rsid w:val="001F5F6D"/>
    <w:rsid w:val="001F6F15"/>
    <w:rsid w:val="002006A3"/>
    <w:rsid w:val="00200B7C"/>
    <w:rsid w:val="00201D0C"/>
    <w:rsid w:val="0020228E"/>
    <w:rsid w:val="0020367F"/>
    <w:rsid w:val="00204E29"/>
    <w:rsid w:val="00204F23"/>
    <w:rsid w:val="00204F81"/>
    <w:rsid w:val="00205824"/>
    <w:rsid w:val="0020691B"/>
    <w:rsid w:val="0020758A"/>
    <w:rsid w:val="00210539"/>
    <w:rsid w:val="002106B8"/>
    <w:rsid w:val="00211E8D"/>
    <w:rsid w:val="002122FA"/>
    <w:rsid w:val="002127B0"/>
    <w:rsid w:val="00213604"/>
    <w:rsid w:val="00214566"/>
    <w:rsid w:val="00217ACA"/>
    <w:rsid w:val="00217CDB"/>
    <w:rsid w:val="00217EA7"/>
    <w:rsid w:val="00220109"/>
    <w:rsid w:val="00221D2C"/>
    <w:rsid w:val="00222102"/>
    <w:rsid w:val="00224230"/>
    <w:rsid w:val="002249F3"/>
    <w:rsid w:val="00224B71"/>
    <w:rsid w:val="0022522E"/>
    <w:rsid w:val="0022598B"/>
    <w:rsid w:val="00225EB5"/>
    <w:rsid w:val="00226DD2"/>
    <w:rsid w:val="002272DE"/>
    <w:rsid w:val="002278F8"/>
    <w:rsid w:val="00227B90"/>
    <w:rsid w:val="00230D20"/>
    <w:rsid w:val="00231A67"/>
    <w:rsid w:val="00233B08"/>
    <w:rsid w:val="00234FD0"/>
    <w:rsid w:val="00235DDA"/>
    <w:rsid w:val="0023604D"/>
    <w:rsid w:val="0023639A"/>
    <w:rsid w:val="002367C5"/>
    <w:rsid w:val="0023752B"/>
    <w:rsid w:val="0024175C"/>
    <w:rsid w:val="00241D16"/>
    <w:rsid w:val="00241E4A"/>
    <w:rsid w:val="00242481"/>
    <w:rsid w:val="00242B7C"/>
    <w:rsid w:val="00245928"/>
    <w:rsid w:val="00245F47"/>
    <w:rsid w:val="00247CAA"/>
    <w:rsid w:val="002509C9"/>
    <w:rsid w:val="00251B39"/>
    <w:rsid w:val="00251C36"/>
    <w:rsid w:val="00254DF4"/>
    <w:rsid w:val="00255596"/>
    <w:rsid w:val="0025623B"/>
    <w:rsid w:val="0025709F"/>
    <w:rsid w:val="0025778B"/>
    <w:rsid w:val="00257FC6"/>
    <w:rsid w:val="00261286"/>
    <w:rsid w:val="00261998"/>
    <w:rsid w:val="00262F3C"/>
    <w:rsid w:val="002639CA"/>
    <w:rsid w:val="0026436A"/>
    <w:rsid w:val="00264D2B"/>
    <w:rsid w:val="00265979"/>
    <w:rsid w:val="002669F1"/>
    <w:rsid w:val="002719A0"/>
    <w:rsid w:val="00273FBF"/>
    <w:rsid w:val="002770B8"/>
    <w:rsid w:val="002803FC"/>
    <w:rsid w:val="002808A0"/>
    <w:rsid w:val="00281A43"/>
    <w:rsid w:val="00281B17"/>
    <w:rsid w:val="00284FA7"/>
    <w:rsid w:val="00285E79"/>
    <w:rsid w:val="0028669E"/>
    <w:rsid w:val="002871C4"/>
    <w:rsid w:val="00287BA5"/>
    <w:rsid w:val="00291FAB"/>
    <w:rsid w:val="002943AA"/>
    <w:rsid w:val="00294A97"/>
    <w:rsid w:val="002976CA"/>
    <w:rsid w:val="00297DEF"/>
    <w:rsid w:val="002A0F29"/>
    <w:rsid w:val="002A6D2A"/>
    <w:rsid w:val="002B02FD"/>
    <w:rsid w:val="002B076D"/>
    <w:rsid w:val="002B1342"/>
    <w:rsid w:val="002B48E3"/>
    <w:rsid w:val="002B5042"/>
    <w:rsid w:val="002B5048"/>
    <w:rsid w:val="002B63FC"/>
    <w:rsid w:val="002B6B79"/>
    <w:rsid w:val="002C07A1"/>
    <w:rsid w:val="002C07EA"/>
    <w:rsid w:val="002C0EDD"/>
    <w:rsid w:val="002C1BF9"/>
    <w:rsid w:val="002C1D36"/>
    <w:rsid w:val="002C3FAF"/>
    <w:rsid w:val="002C417D"/>
    <w:rsid w:val="002C4298"/>
    <w:rsid w:val="002C530B"/>
    <w:rsid w:val="002C5D65"/>
    <w:rsid w:val="002C612F"/>
    <w:rsid w:val="002C61E5"/>
    <w:rsid w:val="002C65B4"/>
    <w:rsid w:val="002C73DC"/>
    <w:rsid w:val="002D01E3"/>
    <w:rsid w:val="002D05BB"/>
    <w:rsid w:val="002D0FB9"/>
    <w:rsid w:val="002D1E98"/>
    <w:rsid w:val="002D35CB"/>
    <w:rsid w:val="002D535A"/>
    <w:rsid w:val="002D6331"/>
    <w:rsid w:val="002D747B"/>
    <w:rsid w:val="002D7E1D"/>
    <w:rsid w:val="002E295C"/>
    <w:rsid w:val="002E354B"/>
    <w:rsid w:val="002E3D88"/>
    <w:rsid w:val="002E494E"/>
    <w:rsid w:val="002E7755"/>
    <w:rsid w:val="002F07E1"/>
    <w:rsid w:val="002F211B"/>
    <w:rsid w:val="002F256C"/>
    <w:rsid w:val="002F25BE"/>
    <w:rsid w:val="002F2B10"/>
    <w:rsid w:val="002F3299"/>
    <w:rsid w:val="002F409C"/>
    <w:rsid w:val="002F4332"/>
    <w:rsid w:val="002F5789"/>
    <w:rsid w:val="002F5ED9"/>
    <w:rsid w:val="002F7DB4"/>
    <w:rsid w:val="003014D6"/>
    <w:rsid w:val="00301D4C"/>
    <w:rsid w:val="00302633"/>
    <w:rsid w:val="003033C8"/>
    <w:rsid w:val="00303ADC"/>
    <w:rsid w:val="003042DA"/>
    <w:rsid w:val="0030604A"/>
    <w:rsid w:val="0031133C"/>
    <w:rsid w:val="003119D8"/>
    <w:rsid w:val="00311A53"/>
    <w:rsid w:val="00312E96"/>
    <w:rsid w:val="00313132"/>
    <w:rsid w:val="003174E9"/>
    <w:rsid w:val="00322651"/>
    <w:rsid w:val="00323053"/>
    <w:rsid w:val="00325381"/>
    <w:rsid w:val="003265D0"/>
    <w:rsid w:val="00326819"/>
    <w:rsid w:val="00326F65"/>
    <w:rsid w:val="003272DA"/>
    <w:rsid w:val="00332E72"/>
    <w:rsid w:val="00333E5A"/>
    <w:rsid w:val="00334516"/>
    <w:rsid w:val="00334E89"/>
    <w:rsid w:val="00335F67"/>
    <w:rsid w:val="003362DB"/>
    <w:rsid w:val="003372A4"/>
    <w:rsid w:val="0034030F"/>
    <w:rsid w:val="003407BB"/>
    <w:rsid w:val="00342666"/>
    <w:rsid w:val="003432CB"/>
    <w:rsid w:val="00343A76"/>
    <w:rsid w:val="00344893"/>
    <w:rsid w:val="00344A13"/>
    <w:rsid w:val="003453DB"/>
    <w:rsid w:val="003466CE"/>
    <w:rsid w:val="00346EEC"/>
    <w:rsid w:val="0035114C"/>
    <w:rsid w:val="00352506"/>
    <w:rsid w:val="003529B3"/>
    <w:rsid w:val="00352A64"/>
    <w:rsid w:val="00355508"/>
    <w:rsid w:val="0035579E"/>
    <w:rsid w:val="003559F4"/>
    <w:rsid w:val="00356A81"/>
    <w:rsid w:val="00357D24"/>
    <w:rsid w:val="00360617"/>
    <w:rsid w:val="003607AE"/>
    <w:rsid w:val="0036080A"/>
    <w:rsid w:val="00360887"/>
    <w:rsid w:val="00361849"/>
    <w:rsid w:val="003627E8"/>
    <w:rsid w:val="00362854"/>
    <w:rsid w:val="00362888"/>
    <w:rsid w:val="003637FC"/>
    <w:rsid w:val="00363B79"/>
    <w:rsid w:val="0036426F"/>
    <w:rsid w:val="00364D7C"/>
    <w:rsid w:val="003651E8"/>
    <w:rsid w:val="00366E32"/>
    <w:rsid w:val="003711D9"/>
    <w:rsid w:val="00373163"/>
    <w:rsid w:val="003739F9"/>
    <w:rsid w:val="00373FEC"/>
    <w:rsid w:val="003751CB"/>
    <w:rsid w:val="00375851"/>
    <w:rsid w:val="00376115"/>
    <w:rsid w:val="00376EC2"/>
    <w:rsid w:val="00380D3F"/>
    <w:rsid w:val="00380FDC"/>
    <w:rsid w:val="003811E2"/>
    <w:rsid w:val="00383916"/>
    <w:rsid w:val="00383948"/>
    <w:rsid w:val="00384201"/>
    <w:rsid w:val="00384DE7"/>
    <w:rsid w:val="00385731"/>
    <w:rsid w:val="00386283"/>
    <w:rsid w:val="00387501"/>
    <w:rsid w:val="00387E57"/>
    <w:rsid w:val="0039092D"/>
    <w:rsid w:val="00391753"/>
    <w:rsid w:val="003934BE"/>
    <w:rsid w:val="0039353C"/>
    <w:rsid w:val="00393731"/>
    <w:rsid w:val="003952CA"/>
    <w:rsid w:val="003956D4"/>
    <w:rsid w:val="0039624A"/>
    <w:rsid w:val="003967B9"/>
    <w:rsid w:val="00396A96"/>
    <w:rsid w:val="00396FE8"/>
    <w:rsid w:val="00397FC5"/>
    <w:rsid w:val="003A03ED"/>
    <w:rsid w:val="003A0ED6"/>
    <w:rsid w:val="003A30E5"/>
    <w:rsid w:val="003A3704"/>
    <w:rsid w:val="003A3D50"/>
    <w:rsid w:val="003A4279"/>
    <w:rsid w:val="003A4A88"/>
    <w:rsid w:val="003A633A"/>
    <w:rsid w:val="003A6C76"/>
    <w:rsid w:val="003B2250"/>
    <w:rsid w:val="003B29D3"/>
    <w:rsid w:val="003B444F"/>
    <w:rsid w:val="003B47CE"/>
    <w:rsid w:val="003B659C"/>
    <w:rsid w:val="003B6F5B"/>
    <w:rsid w:val="003B7C03"/>
    <w:rsid w:val="003B7D01"/>
    <w:rsid w:val="003C0E70"/>
    <w:rsid w:val="003C2AAD"/>
    <w:rsid w:val="003C2D08"/>
    <w:rsid w:val="003C53CC"/>
    <w:rsid w:val="003C56F2"/>
    <w:rsid w:val="003C6271"/>
    <w:rsid w:val="003C7FA4"/>
    <w:rsid w:val="003D18A2"/>
    <w:rsid w:val="003D1988"/>
    <w:rsid w:val="003D48A2"/>
    <w:rsid w:val="003D4EDC"/>
    <w:rsid w:val="003D5BDC"/>
    <w:rsid w:val="003E1C8B"/>
    <w:rsid w:val="003E1CBC"/>
    <w:rsid w:val="003E2072"/>
    <w:rsid w:val="003E2811"/>
    <w:rsid w:val="003E2C99"/>
    <w:rsid w:val="003E3542"/>
    <w:rsid w:val="003E402E"/>
    <w:rsid w:val="003E4D7E"/>
    <w:rsid w:val="003E4E51"/>
    <w:rsid w:val="003E5D7C"/>
    <w:rsid w:val="003E638F"/>
    <w:rsid w:val="003E6736"/>
    <w:rsid w:val="003E6905"/>
    <w:rsid w:val="003E7592"/>
    <w:rsid w:val="003F0AD5"/>
    <w:rsid w:val="003F0E2A"/>
    <w:rsid w:val="003F1A7B"/>
    <w:rsid w:val="003F4EC3"/>
    <w:rsid w:val="003F6AA7"/>
    <w:rsid w:val="003F7D08"/>
    <w:rsid w:val="00402392"/>
    <w:rsid w:val="00402633"/>
    <w:rsid w:val="004033AF"/>
    <w:rsid w:val="00406845"/>
    <w:rsid w:val="00410256"/>
    <w:rsid w:val="00410EE2"/>
    <w:rsid w:val="004116D9"/>
    <w:rsid w:val="004119B2"/>
    <w:rsid w:val="00412284"/>
    <w:rsid w:val="00412F56"/>
    <w:rsid w:val="00414D22"/>
    <w:rsid w:val="004156D0"/>
    <w:rsid w:val="0041619F"/>
    <w:rsid w:val="00416739"/>
    <w:rsid w:val="00416964"/>
    <w:rsid w:val="00421C49"/>
    <w:rsid w:val="00422E6D"/>
    <w:rsid w:val="00425F8D"/>
    <w:rsid w:val="0042600C"/>
    <w:rsid w:val="004264F2"/>
    <w:rsid w:val="00426D00"/>
    <w:rsid w:val="0042705E"/>
    <w:rsid w:val="00430120"/>
    <w:rsid w:val="00430134"/>
    <w:rsid w:val="00433C05"/>
    <w:rsid w:val="00433CBC"/>
    <w:rsid w:val="00434D40"/>
    <w:rsid w:val="0043513E"/>
    <w:rsid w:val="00435737"/>
    <w:rsid w:val="00437693"/>
    <w:rsid w:val="00442FE1"/>
    <w:rsid w:val="00443C44"/>
    <w:rsid w:val="004448A1"/>
    <w:rsid w:val="00445502"/>
    <w:rsid w:val="00445575"/>
    <w:rsid w:val="00445F0E"/>
    <w:rsid w:val="00446215"/>
    <w:rsid w:val="00446647"/>
    <w:rsid w:val="00451533"/>
    <w:rsid w:val="004516A7"/>
    <w:rsid w:val="004520DE"/>
    <w:rsid w:val="00452351"/>
    <w:rsid w:val="004529C9"/>
    <w:rsid w:val="00454382"/>
    <w:rsid w:val="00455806"/>
    <w:rsid w:val="004608F7"/>
    <w:rsid w:val="00460B61"/>
    <w:rsid w:val="0046165E"/>
    <w:rsid w:val="00461C2E"/>
    <w:rsid w:val="00461D8C"/>
    <w:rsid w:val="004621FD"/>
    <w:rsid w:val="0046408E"/>
    <w:rsid w:val="00464547"/>
    <w:rsid w:val="0046479B"/>
    <w:rsid w:val="00465D47"/>
    <w:rsid w:val="0046712E"/>
    <w:rsid w:val="00467FE9"/>
    <w:rsid w:val="00471B19"/>
    <w:rsid w:val="004777C7"/>
    <w:rsid w:val="00477D7D"/>
    <w:rsid w:val="004847FA"/>
    <w:rsid w:val="00485FBC"/>
    <w:rsid w:val="0048603D"/>
    <w:rsid w:val="00486104"/>
    <w:rsid w:val="004928BF"/>
    <w:rsid w:val="00494475"/>
    <w:rsid w:val="00494E53"/>
    <w:rsid w:val="00494FE5"/>
    <w:rsid w:val="00495F6E"/>
    <w:rsid w:val="0049641B"/>
    <w:rsid w:val="0049662B"/>
    <w:rsid w:val="004A1961"/>
    <w:rsid w:val="004A1980"/>
    <w:rsid w:val="004A298E"/>
    <w:rsid w:val="004A3AC9"/>
    <w:rsid w:val="004A5EAF"/>
    <w:rsid w:val="004A61F9"/>
    <w:rsid w:val="004A640A"/>
    <w:rsid w:val="004A6CC7"/>
    <w:rsid w:val="004A763C"/>
    <w:rsid w:val="004A7A7D"/>
    <w:rsid w:val="004A7E91"/>
    <w:rsid w:val="004A7F97"/>
    <w:rsid w:val="004B0651"/>
    <w:rsid w:val="004B120B"/>
    <w:rsid w:val="004B226D"/>
    <w:rsid w:val="004B297C"/>
    <w:rsid w:val="004B2DEC"/>
    <w:rsid w:val="004B3644"/>
    <w:rsid w:val="004B3BDE"/>
    <w:rsid w:val="004B4A2C"/>
    <w:rsid w:val="004B555D"/>
    <w:rsid w:val="004B7653"/>
    <w:rsid w:val="004B7FDF"/>
    <w:rsid w:val="004C036F"/>
    <w:rsid w:val="004C0905"/>
    <w:rsid w:val="004C0F64"/>
    <w:rsid w:val="004C0FAE"/>
    <w:rsid w:val="004C1239"/>
    <w:rsid w:val="004C150D"/>
    <w:rsid w:val="004C1836"/>
    <w:rsid w:val="004C18AA"/>
    <w:rsid w:val="004C402F"/>
    <w:rsid w:val="004C403F"/>
    <w:rsid w:val="004C41C1"/>
    <w:rsid w:val="004C4BD7"/>
    <w:rsid w:val="004C6011"/>
    <w:rsid w:val="004C606C"/>
    <w:rsid w:val="004C612F"/>
    <w:rsid w:val="004D2983"/>
    <w:rsid w:val="004D30B0"/>
    <w:rsid w:val="004D5A4C"/>
    <w:rsid w:val="004D5E44"/>
    <w:rsid w:val="004D7300"/>
    <w:rsid w:val="004D756F"/>
    <w:rsid w:val="004D775A"/>
    <w:rsid w:val="004D79A9"/>
    <w:rsid w:val="004E0B73"/>
    <w:rsid w:val="004E28BE"/>
    <w:rsid w:val="004E2FCC"/>
    <w:rsid w:val="004E5A62"/>
    <w:rsid w:val="004E69D0"/>
    <w:rsid w:val="004E6B38"/>
    <w:rsid w:val="004F1F49"/>
    <w:rsid w:val="004F2CA3"/>
    <w:rsid w:val="004F36A1"/>
    <w:rsid w:val="004F38BC"/>
    <w:rsid w:val="004F3E4D"/>
    <w:rsid w:val="004F5A33"/>
    <w:rsid w:val="004F6AD8"/>
    <w:rsid w:val="00500115"/>
    <w:rsid w:val="00500D6D"/>
    <w:rsid w:val="00501538"/>
    <w:rsid w:val="005040D6"/>
    <w:rsid w:val="005054C2"/>
    <w:rsid w:val="00505F42"/>
    <w:rsid w:val="00506F95"/>
    <w:rsid w:val="005100F7"/>
    <w:rsid w:val="00511F4D"/>
    <w:rsid w:val="00512275"/>
    <w:rsid w:val="005142C7"/>
    <w:rsid w:val="0051459A"/>
    <w:rsid w:val="00516F7A"/>
    <w:rsid w:val="00520232"/>
    <w:rsid w:val="00520950"/>
    <w:rsid w:val="00522601"/>
    <w:rsid w:val="0052415C"/>
    <w:rsid w:val="00524331"/>
    <w:rsid w:val="00524786"/>
    <w:rsid w:val="00524839"/>
    <w:rsid w:val="00524F55"/>
    <w:rsid w:val="005276B6"/>
    <w:rsid w:val="00527C2A"/>
    <w:rsid w:val="00530734"/>
    <w:rsid w:val="00530744"/>
    <w:rsid w:val="00532F25"/>
    <w:rsid w:val="005330EC"/>
    <w:rsid w:val="00534292"/>
    <w:rsid w:val="00535FE2"/>
    <w:rsid w:val="005403CA"/>
    <w:rsid w:val="00542702"/>
    <w:rsid w:val="00544334"/>
    <w:rsid w:val="005452CD"/>
    <w:rsid w:val="00545525"/>
    <w:rsid w:val="00545993"/>
    <w:rsid w:val="00545CF7"/>
    <w:rsid w:val="00546801"/>
    <w:rsid w:val="00550DDF"/>
    <w:rsid w:val="00550FE3"/>
    <w:rsid w:val="0055170D"/>
    <w:rsid w:val="00551747"/>
    <w:rsid w:val="00552EC2"/>
    <w:rsid w:val="00553951"/>
    <w:rsid w:val="00553E71"/>
    <w:rsid w:val="005554CE"/>
    <w:rsid w:val="00555B17"/>
    <w:rsid w:val="00555B55"/>
    <w:rsid w:val="00562E03"/>
    <w:rsid w:val="00563165"/>
    <w:rsid w:val="00565D8D"/>
    <w:rsid w:val="00566995"/>
    <w:rsid w:val="00566B1A"/>
    <w:rsid w:val="0057134D"/>
    <w:rsid w:val="00571DC9"/>
    <w:rsid w:val="00572393"/>
    <w:rsid w:val="00572D07"/>
    <w:rsid w:val="00572E68"/>
    <w:rsid w:val="005737DF"/>
    <w:rsid w:val="0057387C"/>
    <w:rsid w:val="005738CA"/>
    <w:rsid w:val="0057395F"/>
    <w:rsid w:val="00574C12"/>
    <w:rsid w:val="00577F02"/>
    <w:rsid w:val="00580185"/>
    <w:rsid w:val="00582A1E"/>
    <w:rsid w:val="00583088"/>
    <w:rsid w:val="00584591"/>
    <w:rsid w:val="00584645"/>
    <w:rsid w:val="0058481D"/>
    <w:rsid w:val="00584C31"/>
    <w:rsid w:val="00584D00"/>
    <w:rsid w:val="0058501D"/>
    <w:rsid w:val="00585CBE"/>
    <w:rsid w:val="00585F14"/>
    <w:rsid w:val="0059142D"/>
    <w:rsid w:val="005925F3"/>
    <w:rsid w:val="0059359C"/>
    <w:rsid w:val="005937A7"/>
    <w:rsid w:val="00593C9C"/>
    <w:rsid w:val="005942D7"/>
    <w:rsid w:val="00595113"/>
    <w:rsid w:val="00595198"/>
    <w:rsid w:val="005965F1"/>
    <w:rsid w:val="0059662A"/>
    <w:rsid w:val="00596677"/>
    <w:rsid w:val="005971CC"/>
    <w:rsid w:val="00597B8F"/>
    <w:rsid w:val="00597EDA"/>
    <w:rsid w:val="005A2D14"/>
    <w:rsid w:val="005A32FA"/>
    <w:rsid w:val="005A38D6"/>
    <w:rsid w:val="005A401E"/>
    <w:rsid w:val="005A5EE6"/>
    <w:rsid w:val="005A6978"/>
    <w:rsid w:val="005A7E35"/>
    <w:rsid w:val="005B0984"/>
    <w:rsid w:val="005B1A69"/>
    <w:rsid w:val="005B1D53"/>
    <w:rsid w:val="005B353D"/>
    <w:rsid w:val="005B5707"/>
    <w:rsid w:val="005B714D"/>
    <w:rsid w:val="005B7474"/>
    <w:rsid w:val="005B7B74"/>
    <w:rsid w:val="005B7B9A"/>
    <w:rsid w:val="005C1D6E"/>
    <w:rsid w:val="005C1F6E"/>
    <w:rsid w:val="005C4036"/>
    <w:rsid w:val="005C45BB"/>
    <w:rsid w:val="005C541A"/>
    <w:rsid w:val="005C5D48"/>
    <w:rsid w:val="005C60E1"/>
    <w:rsid w:val="005C786A"/>
    <w:rsid w:val="005C796C"/>
    <w:rsid w:val="005D27FE"/>
    <w:rsid w:val="005D2BF8"/>
    <w:rsid w:val="005D43E6"/>
    <w:rsid w:val="005D478F"/>
    <w:rsid w:val="005D5701"/>
    <w:rsid w:val="005D6095"/>
    <w:rsid w:val="005D612A"/>
    <w:rsid w:val="005D6812"/>
    <w:rsid w:val="005E08CE"/>
    <w:rsid w:val="005E10E2"/>
    <w:rsid w:val="005E288E"/>
    <w:rsid w:val="005E46DA"/>
    <w:rsid w:val="005E4ACA"/>
    <w:rsid w:val="005E5079"/>
    <w:rsid w:val="005E5BCB"/>
    <w:rsid w:val="005E712D"/>
    <w:rsid w:val="005F07DE"/>
    <w:rsid w:val="005F07F8"/>
    <w:rsid w:val="005F0DFC"/>
    <w:rsid w:val="005F2554"/>
    <w:rsid w:val="005F2987"/>
    <w:rsid w:val="005F36E5"/>
    <w:rsid w:val="005F42D0"/>
    <w:rsid w:val="005F621B"/>
    <w:rsid w:val="005F76CA"/>
    <w:rsid w:val="005F7FDD"/>
    <w:rsid w:val="00600E8E"/>
    <w:rsid w:val="00601071"/>
    <w:rsid w:val="00601EE9"/>
    <w:rsid w:val="00602AF0"/>
    <w:rsid w:val="00602BA8"/>
    <w:rsid w:val="00603218"/>
    <w:rsid w:val="006032D1"/>
    <w:rsid w:val="00604C5C"/>
    <w:rsid w:val="00605D62"/>
    <w:rsid w:val="00606AD8"/>
    <w:rsid w:val="006077A1"/>
    <w:rsid w:val="006108C2"/>
    <w:rsid w:val="00610BD1"/>
    <w:rsid w:val="006113D9"/>
    <w:rsid w:val="00611537"/>
    <w:rsid w:val="00611EC6"/>
    <w:rsid w:val="00613279"/>
    <w:rsid w:val="00613A92"/>
    <w:rsid w:val="0061477C"/>
    <w:rsid w:val="006152D3"/>
    <w:rsid w:val="00620857"/>
    <w:rsid w:val="006208C3"/>
    <w:rsid w:val="00620A89"/>
    <w:rsid w:val="006211C7"/>
    <w:rsid w:val="0062134C"/>
    <w:rsid w:val="00623D90"/>
    <w:rsid w:val="00624AE7"/>
    <w:rsid w:val="00624C8D"/>
    <w:rsid w:val="0062564C"/>
    <w:rsid w:val="00625B5C"/>
    <w:rsid w:val="006304C7"/>
    <w:rsid w:val="006313AE"/>
    <w:rsid w:val="0063238F"/>
    <w:rsid w:val="00632CC4"/>
    <w:rsid w:val="00633582"/>
    <w:rsid w:val="0063389D"/>
    <w:rsid w:val="006355EF"/>
    <w:rsid w:val="0063601C"/>
    <w:rsid w:val="00637250"/>
    <w:rsid w:val="006400CC"/>
    <w:rsid w:val="006406C5"/>
    <w:rsid w:val="0064110D"/>
    <w:rsid w:val="00643CA1"/>
    <w:rsid w:val="00644BDA"/>
    <w:rsid w:val="0064640E"/>
    <w:rsid w:val="006466E4"/>
    <w:rsid w:val="00646BCF"/>
    <w:rsid w:val="006475D4"/>
    <w:rsid w:val="00647AA2"/>
    <w:rsid w:val="00647C19"/>
    <w:rsid w:val="0065147D"/>
    <w:rsid w:val="00652A04"/>
    <w:rsid w:val="006531FD"/>
    <w:rsid w:val="00653521"/>
    <w:rsid w:val="006561C4"/>
    <w:rsid w:val="00656F0B"/>
    <w:rsid w:val="0065797B"/>
    <w:rsid w:val="00663775"/>
    <w:rsid w:val="006637F3"/>
    <w:rsid w:val="00663C63"/>
    <w:rsid w:val="00664995"/>
    <w:rsid w:val="0066512C"/>
    <w:rsid w:val="006659B9"/>
    <w:rsid w:val="006667EC"/>
    <w:rsid w:val="00666F06"/>
    <w:rsid w:val="006670A4"/>
    <w:rsid w:val="00667F19"/>
    <w:rsid w:val="006700E2"/>
    <w:rsid w:val="00671D24"/>
    <w:rsid w:val="00672029"/>
    <w:rsid w:val="00672040"/>
    <w:rsid w:val="00672B0B"/>
    <w:rsid w:val="00675EE6"/>
    <w:rsid w:val="006766BB"/>
    <w:rsid w:val="0067727A"/>
    <w:rsid w:val="00677D3D"/>
    <w:rsid w:val="00680587"/>
    <w:rsid w:val="00682678"/>
    <w:rsid w:val="006827FB"/>
    <w:rsid w:val="00682AAE"/>
    <w:rsid w:val="00683631"/>
    <w:rsid w:val="00683B60"/>
    <w:rsid w:val="00683D35"/>
    <w:rsid w:val="0068480B"/>
    <w:rsid w:val="00685176"/>
    <w:rsid w:val="00685578"/>
    <w:rsid w:val="00685A9B"/>
    <w:rsid w:val="0068703B"/>
    <w:rsid w:val="00687281"/>
    <w:rsid w:val="00691786"/>
    <w:rsid w:val="006917DF"/>
    <w:rsid w:val="00691FD8"/>
    <w:rsid w:val="00692E50"/>
    <w:rsid w:val="00694C1A"/>
    <w:rsid w:val="00695826"/>
    <w:rsid w:val="006A096C"/>
    <w:rsid w:val="006A1229"/>
    <w:rsid w:val="006A5671"/>
    <w:rsid w:val="006A6363"/>
    <w:rsid w:val="006A6448"/>
    <w:rsid w:val="006A6DE9"/>
    <w:rsid w:val="006B0B26"/>
    <w:rsid w:val="006B132A"/>
    <w:rsid w:val="006B1349"/>
    <w:rsid w:val="006B19AD"/>
    <w:rsid w:val="006B1DCF"/>
    <w:rsid w:val="006B2481"/>
    <w:rsid w:val="006B2700"/>
    <w:rsid w:val="006B7DD8"/>
    <w:rsid w:val="006C004B"/>
    <w:rsid w:val="006C0954"/>
    <w:rsid w:val="006C18B9"/>
    <w:rsid w:val="006C1962"/>
    <w:rsid w:val="006C2CA4"/>
    <w:rsid w:val="006C4C7E"/>
    <w:rsid w:val="006C5E85"/>
    <w:rsid w:val="006C65FA"/>
    <w:rsid w:val="006C6C70"/>
    <w:rsid w:val="006C704E"/>
    <w:rsid w:val="006C7693"/>
    <w:rsid w:val="006D1D58"/>
    <w:rsid w:val="006D3A54"/>
    <w:rsid w:val="006D4092"/>
    <w:rsid w:val="006D4399"/>
    <w:rsid w:val="006D4893"/>
    <w:rsid w:val="006D7128"/>
    <w:rsid w:val="006D7368"/>
    <w:rsid w:val="006D76D4"/>
    <w:rsid w:val="006E2FD6"/>
    <w:rsid w:val="006E32F5"/>
    <w:rsid w:val="006E3EC6"/>
    <w:rsid w:val="006E3F30"/>
    <w:rsid w:val="006E4CF4"/>
    <w:rsid w:val="006E5165"/>
    <w:rsid w:val="006E585C"/>
    <w:rsid w:val="006E67CB"/>
    <w:rsid w:val="006E6972"/>
    <w:rsid w:val="006F0384"/>
    <w:rsid w:val="006F1ED7"/>
    <w:rsid w:val="006F5915"/>
    <w:rsid w:val="006F5BF5"/>
    <w:rsid w:val="006F64A0"/>
    <w:rsid w:val="006F6B8F"/>
    <w:rsid w:val="00701119"/>
    <w:rsid w:val="00701402"/>
    <w:rsid w:val="00701A3B"/>
    <w:rsid w:val="0070259B"/>
    <w:rsid w:val="007035F9"/>
    <w:rsid w:val="00703C89"/>
    <w:rsid w:val="007056ED"/>
    <w:rsid w:val="00706C3D"/>
    <w:rsid w:val="00710BB7"/>
    <w:rsid w:val="00710DEF"/>
    <w:rsid w:val="0071176C"/>
    <w:rsid w:val="00711C46"/>
    <w:rsid w:val="0071286C"/>
    <w:rsid w:val="007135E2"/>
    <w:rsid w:val="007139E7"/>
    <w:rsid w:val="00713B31"/>
    <w:rsid w:val="0071461C"/>
    <w:rsid w:val="00714C30"/>
    <w:rsid w:val="00715976"/>
    <w:rsid w:val="00715C4E"/>
    <w:rsid w:val="00716665"/>
    <w:rsid w:val="007168A7"/>
    <w:rsid w:val="0071729A"/>
    <w:rsid w:val="0072220D"/>
    <w:rsid w:val="007235CE"/>
    <w:rsid w:val="00723618"/>
    <w:rsid w:val="0072489F"/>
    <w:rsid w:val="00724FB4"/>
    <w:rsid w:val="007263DD"/>
    <w:rsid w:val="00727085"/>
    <w:rsid w:val="00730C79"/>
    <w:rsid w:val="00731DB3"/>
    <w:rsid w:val="00733CD4"/>
    <w:rsid w:val="007344EA"/>
    <w:rsid w:val="00735B88"/>
    <w:rsid w:val="00736DB5"/>
    <w:rsid w:val="00736E46"/>
    <w:rsid w:val="00737902"/>
    <w:rsid w:val="0074062C"/>
    <w:rsid w:val="0074155A"/>
    <w:rsid w:val="0074194A"/>
    <w:rsid w:val="00743473"/>
    <w:rsid w:val="00746193"/>
    <w:rsid w:val="00747191"/>
    <w:rsid w:val="007505D7"/>
    <w:rsid w:val="007507D5"/>
    <w:rsid w:val="00751558"/>
    <w:rsid w:val="00751690"/>
    <w:rsid w:val="0075263A"/>
    <w:rsid w:val="00755677"/>
    <w:rsid w:val="0075685F"/>
    <w:rsid w:val="007627C2"/>
    <w:rsid w:val="0076394B"/>
    <w:rsid w:val="00763D44"/>
    <w:rsid w:val="007640C4"/>
    <w:rsid w:val="007649B4"/>
    <w:rsid w:val="00765106"/>
    <w:rsid w:val="00766AE5"/>
    <w:rsid w:val="00767FA8"/>
    <w:rsid w:val="00770AAC"/>
    <w:rsid w:val="00770E60"/>
    <w:rsid w:val="00771258"/>
    <w:rsid w:val="007714F4"/>
    <w:rsid w:val="0077725D"/>
    <w:rsid w:val="0077779E"/>
    <w:rsid w:val="00781D22"/>
    <w:rsid w:val="0078365B"/>
    <w:rsid w:val="007837BC"/>
    <w:rsid w:val="00783AFE"/>
    <w:rsid w:val="007842CD"/>
    <w:rsid w:val="007842DA"/>
    <w:rsid w:val="00785163"/>
    <w:rsid w:val="00786B11"/>
    <w:rsid w:val="00786D77"/>
    <w:rsid w:val="00786FD3"/>
    <w:rsid w:val="00787104"/>
    <w:rsid w:val="0078726A"/>
    <w:rsid w:val="00787EEC"/>
    <w:rsid w:val="00790954"/>
    <w:rsid w:val="00792509"/>
    <w:rsid w:val="00792670"/>
    <w:rsid w:val="00793352"/>
    <w:rsid w:val="00794E03"/>
    <w:rsid w:val="00795083"/>
    <w:rsid w:val="007954C8"/>
    <w:rsid w:val="007960E9"/>
    <w:rsid w:val="00796100"/>
    <w:rsid w:val="00797295"/>
    <w:rsid w:val="007972DE"/>
    <w:rsid w:val="0079752E"/>
    <w:rsid w:val="007A0044"/>
    <w:rsid w:val="007A2152"/>
    <w:rsid w:val="007A3731"/>
    <w:rsid w:val="007A43D5"/>
    <w:rsid w:val="007A5AE4"/>
    <w:rsid w:val="007A5B9A"/>
    <w:rsid w:val="007A61BD"/>
    <w:rsid w:val="007A622D"/>
    <w:rsid w:val="007A6391"/>
    <w:rsid w:val="007A7403"/>
    <w:rsid w:val="007A7776"/>
    <w:rsid w:val="007A789E"/>
    <w:rsid w:val="007A7E16"/>
    <w:rsid w:val="007B0F37"/>
    <w:rsid w:val="007B46EF"/>
    <w:rsid w:val="007B5AAF"/>
    <w:rsid w:val="007B663B"/>
    <w:rsid w:val="007B72C7"/>
    <w:rsid w:val="007C390E"/>
    <w:rsid w:val="007C3A13"/>
    <w:rsid w:val="007C4667"/>
    <w:rsid w:val="007C5BE2"/>
    <w:rsid w:val="007C75BB"/>
    <w:rsid w:val="007D0097"/>
    <w:rsid w:val="007D044E"/>
    <w:rsid w:val="007D0B38"/>
    <w:rsid w:val="007D1E7A"/>
    <w:rsid w:val="007D315F"/>
    <w:rsid w:val="007D43D4"/>
    <w:rsid w:val="007D448B"/>
    <w:rsid w:val="007D57A9"/>
    <w:rsid w:val="007D71AB"/>
    <w:rsid w:val="007E005A"/>
    <w:rsid w:val="007E0653"/>
    <w:rsid w:val="007E08CF"/>
    <w:rsid w:val="007E2C86"/>
    <w:rsid w:val="007E2EF8"/>
    <w:rsid w:val="007E31CB"/>
    <w:rsid w:val="007E79D7"/>
    <w:rsid w:val="007F0125"/>
    <w:rsid w:val="007F065E"/>
    <w:rsid w:val="007F07AE"/>
    <w:rsid w:val="007F09D8"/>
    <w:rsid w:val="007F0B08"/>
    <w:rsid w:val="007F2B9A"/>
    <w:rsid w:val="007F7B48"/>
    <w:rsid w:val="00801082"/>
    <w:rsid w:val="00801438"/>
    <w:rsid w:val="00801466"/>
    <w:rsid w:val="0080151A"/>
    <w:rsid w:val="008029D6"/>
    <w:rsid w:val="00805A13"/>
    <w:rsid w:val="00806C63"/>
    <w:rsid w:val="0080785F"/>
    <w:rsid w:val="0081048E"/>
    <w:rsid w:val="00811C17"/>
    <w:rsid w:val="00812474"/>
    <w:rsid w:val="0081257A"/>
    <w:rsid w:val="00812BAE"/>
    <w:rsid w:val="00814595"/>
    <w:rsid w:val="00814BDD"/>
    <w:rsid w:val="008151F7"/>
    <w:rsid w:val="00816E32"/>
    <w:rsid w:val="00816EB4"/>
    <w:rsid w:val="008171DD"/>
    <w:rsid w:val="00817344"/>
    <w:rsid w:val="00817427"/>
    <w:rsid w:val="008205A1"/>
    <w:rsid w:val="00820F54"/>
    <w:rsid w:val="00823611"/>
    <w:rsid w:val="00823BC4"/>
    <w:rsid w:val="008246C5"/>
    <w:rsid w:val="00825755"/>
    <w:rsid w:val="00825AE9"/>
    <w:rsid w:val="00825E73"/>
    <w:rsid w:val="008275CC"/>
    <w:rsid w:val="008278A5"/>
    <w:rsid w:val="00831265"/>
    <w:rsid w:val="00832239"/>
    <w:rsid w:val="008323A4"/>
    <w:rsid w:val="00833995"/>
    <w:rsid w:val="00834479"/>
    <w:rsid w:val="00834FAC"/>
    <w:rsid w:val="008356E2"/>
    <w:rsid w:val="00836326"/>
    <w:rsid w:val="0083634C"/>
    <w:rsid w:val="00837B21"/>
    <w:rsid w:val="0084062E"/>
    <w:rsid w:val="00840FDA"/>
    <w:rsid w:val="008412F4"/>
    <w:rsid w:val="00841976"/>
    <w:rsid w:val="00841A34"/>
    <w:rsid w:val="008437D6"/>
    <w:rsid w:val="00843C9A"/>
    <w:rsid w:val="00844DA0"/>
    <w:rsid w:val="008467DC"/>
    <w:rsid w:val="008501B8"/>
    <w:rsid w:val="00850ADB"/>
    <w:rsid w:val="00854C21"/>
    <w:rsid w:val="00855677"/>
    <w:rsid w:val="00855C2B"/>
    <w:rsid w:val="008575CE"/>
    <w:rsid w:val="00861248"/>
    <w:rsid w:val="008613E7"/>
    <w:rsid w:val="00864C51"/>
    <w:rsid w:val="00864E41"/>
    <w:rsid w:val="008672A0"/>
    <w:rsid w:val="00867F8E"/>
    <w:rsid w:val="00871672"/>
    <w:rsid w:val="008737DE"/>
    <w:rsid w:val="00873806"/>
    <w:rsid w:val="00873878"/>
    <w:rsid w:val="0087389E"/>
    <w:rsid w:val="008739E4"/>
    <w:rsid w:val="00874622"/>
    <w:rsid w:val="0088131E"/>
    <w:rsid w:val="00881749"/>
    <w:rsid w:val="00882A90"/>
    <w:rsid w:val="008857EE"/>
    <w:rsid w:val="00886006"/>
    <w:rsid w:val="008870D6"/>
    <w:rsid w:val="008874EE"/>
    <w:rsid w:val="00887B5F"/>
    <w:rsid w:val="00890C0F"/>
    <w:rsid w:val="00891223"/>
    <w:rsid w:val="00891FA5"/>
    <w:rsid w:val="00892439"/>
    <w:rsid w:val="00893AD2"/>
    <w:rsid w:val="0089423A"/>
    <w:rsid w:val="00894764"/>
    <w:rsid w:val="0089568D"/>
    <w:rsid w:val="008973E9"/>
    <w:rsid w:val="008A13DD"/>
    <w:rsid w:val="008A1E11"/>
    <w:rsid w:val="008A2B1E"/>
    <w:rsid w:val="008A2E71"/>
    <w:rsid w:val="008A358E"/>
    <w:rsid w:val="008A3A6B"/>
    <w:rsid w:val="008A40A1"/>
    <w:rsid w:val="008A594A"/>
    <w:rsid w:val="008B0425"/>
    <w:rsid w:val="008B0B03"/>
    <w:rsid w:val="008B1C77"/>
    <w:rsid w:val="008B2992"/>
    <w:rsid w:val="008B3EC3"/>
    <w:rsid w:val="008B5AB3"/>
    <w:rsid w:val="008B6006"/>
    <w:rsid w:val="008B64A6"/>
    <w:rsid w:val="008B6888"/>
    <w:rsid w:val="008C048C"/>
    <w:rsid w:val="008C1DA6"/>
    <w:rsid w:val="008C296C"/>
    <w:rsid w:val="008C4BF6"/>
    <w:rsid w:val="008C60BB"/>
    <w:rsid w:val="008C617D"/>
    <w:rsid w:val="008C6BCA"/>
    <w:rsid w:val="008D1B20"/>
    <w:rsid w:val="008D200A"/>
    <w:rsid w:val="008D2D9D"/>
    <w:rsid w:val="008D3335"/>
    <w:rsid w:val="008D3C47"/>
    <w:rsid w:val="008D3C83"/>
    <w:rsid w:val="008D3DD8"/>
    <w:rsid w:val="008D4073"/>
    <w:rsid w:val="008D5D74"/>
    <w:rsid w:val="008D6251"/>
    <w:rsid w:val="008D651A"/>
    <w:rsid w:val="008D661C"/>
    <w:rsid w:val="008D6AA1"/>
    <w:rsid w:val="008E047A"/>
    <w:rsid w:val="008E0883"/>
    <w:rsid w:val="008E11DC"/>
    <w:rsid w:val="008E1FF0"/>
    <w:rsid w:val="008E2216"/>
    <w:rsid w:val="008E2335"/>
    <w:rsid w:val="008E2D0D"/>
    <w:rsid w:val="008E358C"/>
    <w:rsid w:val="008E44B4"/>
    <w:rsid w:val="008E4A26"/>
    <w:rsid w:val="008E4B45"/>
    <w:rsid w:val="008E6819"/>
    <w:rsid w:val="008E6B3D"/>
    <w:rsid w:val="008E74DC"/>
    <w:rsid w:val="008E77CB"/>
    <w:rsid w:val="008E7B85"/>
    <w:rsid w:val="008F04A5"/>
    <w:rsid w:val="008F21C7"/>
    <w:rsid w:val="008F367A"/>
    <w:rsid w:val="008F3B80"/>
    <w:rsid w:val="008F4BF0"/>
    <w:rsid w:val="008F4C34"/>
    <w:rsid w:val="008F51D1"/>
    <w:rsid w:val="008F6EA0"/>
    <w:rsid w:val="008F7340"/>
    <w:rsid w:val="008F7BFC"/>
    <w:rsid w:val="00900347"/>
    <w:rsid w:val="00900A30"/>
    <w:rsid w:val="00905793"/>
    <w:rsid w:val="00906DAE"/>
    <w:rsid w:val="00907C17"/>
    <w:rsid w:val="00910298"/>
    <w:rsid w:val="0091054F"/>
    <w:rsid w:val="00912287"/>
    <w:rsid w:val="0091379B"/>
    <w:rsid w:val="00913B24"/>
    <w:rsid w:val="00915895"/>
    <w:rsid w:val="009158A8"/>
    <w:rsid w:val="0091637D"/>
    <w:rsid w:val="009176B6"/>
    <w:rsid w:val="0092083D"/>
    <w:rsid w:val="00921458"/>
    <w:rsid w:val="00921C0F"/>
    <w:rsid w:val="00921D08"/>
    <w:rsid w:val="00922E01"/>
    <w:rsid w:val="0092309F"/>
    <w:rsid w:val="00923ED2"/>
    <w:rsid w:val="0092486B"/>
    <w:rsid w:val="0092538C"/>
    <w:rsid w:val="0092592E"/>
    <w:rsid w:val="00926E88"/>
    <w:rsid w:val="0092796A"/>
    <w:rsid w:val="009279B8"/>
    <w:rsid w:val="0093004D"/>
    <w:rsid w:val="0093151C"/>
    <w:rsid w:val="0093159B"/>
    <w:rsid w:val="009324C0"/>
    <w:rsid w:val="009336EF"/>
    <w:rsid w:val="009345F3"/>
    <w:rsid w:val="00934C7B"/>
    <w:rsid w:val="009353AD"/>
    <w:rsid w:val="00935C57"/>
    <w:rsid w:val="00937B20"/>
    <w:rsid w:val="00937EBD"/>
    <w:rsid w:val="009401CC"/>
    <w:rsid w:val="00940824"/>
    <w:rsid w:val="00941040"/>
    <w:rsid w:val="00941E7E"/>
    <w:rsid w:val="00942A01"/>
    <w:rsid w:val="00942C1F"/>
    <w:rsid w:val="009434ED"/>
    <w:rsid w:val="00944DA9"/>
    <w:rsid w:val="009457EB"/>
    <w:rsid w:val="0094750D"/>
    <w:rsid w:val="0094750E"/>
    <w:rsid w:val="00947E87"/>
    <w:rsid w:val="00947EAC"/>
    <w:rsid w:val="00950545"/>
    <w:rsid w:val="009511D7"/>
    <w:rsid w:val="00952A9D"/>
    <w:rsid w:val="009567D2"/>
    <w:rsid w:val="00956EC8"/>
    <w:rsid w:val="00956FB4"/>
    <w:rsid w:val="0096058A"/>
    <w:rsid w:val="009615CF"/>
    <w:rsid w:val="00961E7A"/>
    <w:rsid w:val="00962D64"/>
    <w:rsid w:val="00962DFB"/>
    <w:rsid w:val="009632EA"/>
    <w:rsid w:val="00965145"/>
    <w:rsid w:val="00965DE1"/>
    <w:rsid w:val="00966327"/>
    <w:rsid w:val="00966D1B"/>
    <w:rsid w:val="00967813"/>
    <w:rsid w:val="00967975"/>
    <w:rsid w:val="00970101"/>
    <w:rsid w:val="00970702"/>
    <w:rsid w:val="00971054"/>
    <w:rsid w:val="00971B0A"/>
    <w:rsid w:val="0097300F"/>
    <w:rsid w:val="0097474C"/>
    <w:rsid w:val="0097491D"/>
    <w:rsid w:val="00975138"/>
    <w:rsid w:val="009759BA"/>
    <w:rsid w:val="00976C1D"/>
    <w:rsid w:val="009804AB"/>
    <w:rsid w:val="0098061D"/>
    <w:rsid w:val="0098095B"/>
    <w:rsid w:val="00981540"/>
    <w:rsid w:val="00981B89"/>
    <w:rsid w:val="00981C25"/>
    <w:rsid w:val="00981C9A"/>
    <w:rsid w:val="009825C8"/>
    <w:rsid w:val="00982A5B"/>
    <w:rsid w:val="00983BD8"/>
    <w:rsid w:val="00986128"/>
    <w:rsid w:val="00986892"/>
    <w:rsid w:val="00987016"/>
    <w:rsid w:val="00987963"/>
    <w:rsid w:val="00994279"/>
    <w:rsid w:val="00994E17"/>
    <w:rsid w:val="00997242"/>
    <w:rsid w:val="009976CE"/>
    <w:rsid w:val="009A0973"/>
    <w:rsid w:val="009A0F08"/>
    <w:rsid w:val="009A15C8"/>
    <w:rsid w:val="009A1826"/>
    <w:rsid w:val="009A35DE"/>
    <w:rsid w:val="009A3901"/>
    <w:rsid w:val="009A3FD4"/>
    <w:rsid w:val="009A5276"/>
    <w:rsid w:val="009A5E45"/>
    <w:rsid w:val="009A622D"/>
    <w:rsid w:val="009A62A1"/>
    <w:rsid w:val="009B09D1"/>
    <w:rsid w:val="009B0FE4"/>
    <w:rsid w:val="009B17DA"/>
    <w:rsid w:val="009B2236"/>
    <w:rsid w:val="009B2B52"/>
    <w:rsid w:val="009B3992"/>
    <w:rsid w:val="009B49EE"/>
    <w:rsid w:val="009B5A85"/>
    <w:rsid w:val="009C2694"/>
    <w:rsid w:val="009C35FB"/>
    <w:rsid w:val="009C59B7"/>
    <w:rsid w:val="009C7326"/>
    <w:rsid w:val="009D02A5"/>
    <w:rsid w:val="009D0EBC"/>
    <w:rsid w:val="009D317D"/>
    <w:rsid w:val="009D3722"/>
    <w:rsid w:val="009D44B1"/>
    <w:rsid w:val="009D530F"/>
    <w:rsid w:val="009D6EE3"/>
    <w:rsid w:val="009E1011"/>
    <w:rsid w:val="009E1B77"/>
    <w:rsid w:val="009E1E5D"/>
    <w:rsid w:val="009E1FA5"/>
    <w:rsid w:val="009E36DA"/>
    <w:rsid w:val="009E3BCF"/>
    <w:rsid w:val="009E3D6C"/>
    <w:rsid w:val="009E604D"/>
    <w:rsid w:val="009F0269"/>
    <w:rsid w:val="009F0BCF"/>
    <w:rsid w:val="009F1EC4"/>
    <w:rsid w:val="009F39FD"/>
    <w:rsid w:val="009F4B32"/>
    <w:rsid w:val="009F6803"/>
    <w:rsid w:val="009F6F13"/>
    <w:rsid w:val="009F7408"/>
    <w:rsid w:val="00A00C52"/>
    <w:rsid w:val="00A032FA"/>
    <w:rsid w:val="00A041E0"/>
    <w:rsid w:val="00A0516F"/>
    <w:rsid w:val="00A06890"/>
    <w:rsid w:val="00A06E7E"/>
    <w:rsid w:val="00A10950"/>
    <w:rsid w:val="00A10AA6"/>
    <w:rsid w:val="00A11FAB"/>
    <w:rsid w:val="00A1279C"/>
    <w:rsid w:val="00A12E3D"/>
    <w:rsid w:val="00A13909"/>
    <w:rsid w:val="00A1510E"/>
    <w:rsid w:val="00A16370"/>
    <w:rsid w:val="00A1691E"/>
    <w:rsid w:val="00A172E4"/>
    <w:rsid w:val="00A17539"/>
    <w:rsid w:val="00A17F2F"/>
    <w:rsid w:val="00A21DE8"/>
    <w:rsid w:val="00A22B1E"/>
    <w:rsid w:val="00A22C6F"/>
    <w:rsid w:val="00A25703"/>
    <w:rsid w:val="00A25E96"/>
    <w:rsid w:val="00A27513"/>
    <w:rsid w:val="00A32225"/>
    <w:rsid w:val="00A326E4"/>
    <w:rsid w:val="00A32E68"/>
    <w:rsid w:val="00A345BE"/>
    <w:rsid w:val="00A3498E"/>
    <w:rsid w:val="00A35A70"/>
    <w:rsid w:val="00A35D99"/>
    <w:rsid w:val="00A37CEC"/>
    <w:rsid w:val="00A417FD"/>
    <w:rsid w:val="00A41C6A"/>
    <w:rsid w:val="00A41DA6"/>
    <w:rsid w:val="00A45247"/>
    <w:rsid w:val="00A45443"/>
    <w:rsid w:val="00A457B0"/>
    <w:rsid w:val="00A467A9"/>
    <w:rsid w:val="00A46B61"/>
    <w:rsid w:val="00A506F2"/>
    <w:rsid w:val="00A523B7"/>
    <w:rsid w:val="00A529F7"/>
    <w:rsid w:val="00A53DEF"/>
    <w:rsid w:val="00A5493F"/>
    <w:rsid w:val="00A60252"/>
    <w:rsid w:val="00A62296"/>
    <w:rsid w:val="00A62B9A"/>
    <w:rsid w:val="00A637E0"/>
    <w:rsid w:val="00A6562F"/>
    <w:rsid w:val="00A65A2B"/>
    <w:rsid w:val="00A663E7"/>
    <w:rsid w:val="00A6683D"/>
    <w:rsid w:val="00A67753"/>
    <w:rsid w:val="00A700E6"/>
    <w:rsid w:val="00A70F1A"/>
    <w:rsid w:val="00A72AF6"/>
    <w:rsid w:val="00A73529"/>
    <w:rsid w:val="00A74F62"/>
    <w:rsid w:val="00A75855"/>
    <w:rsid w:val="00A76931"/>
    <w:rsid w:val="00A7701C"/>
    <w:rsid w:val="00A80523"/>
    <w:rsid w:val="00A817A2"/>
    <w:rsid w:val="00A8239F"/>
    <w:rsid w:val="00A842B6"/>
    <w:rsid w:val="00A84FF8"/>
    <w:rsid w:val="00A858C6"/>
    <w:rsid w:val="00A87CB4"/>
    <w:rsid w:val="00A9244A"/>
    <w:rsid w:val="00A93A00"/>
    <w:rsid w:val="00A95078"/>
    <w:rsid w:val="00A95732"/>
    <w:rsid w:val="00AA12AE"/>
    <w:rsid w:val="00AA1CD1"/>
    <w:rsid w:val="00AA3255"/>
    <w:rsid w:val="00AA398C"/>
    <w:rsid w:val="00AA4146"/>
    <w:rsid w:val="00AA4C91"/>
    <w:rsid w:val="00AA6A83"/>
    <w:rsid w:val="00AB01A2"/>
    <w:rsid w:val="00AB1A84"/>
    <w:rsid w:val="00AB239B"/>
    <w:rsid w:val="00AB370D"/>
    <w:rsid w:val="00AB3C2B"/>
    <w:rsid w:val="00AB48A7"/>
    <w:rsid w:val="00AB5354"/>
    <w:rsid w:val="00AB7717"/>
    <w:rsid w:val="00AC0355"/>
    <w:rsid w:val="00AC119E"/>
    <w:rsid w:val="00AC2248"/>
    <w:rsid w:val="00AC3D60"/>
    <w:rsid w:val="00AC3DCE"/>
    <w:rsid w:val="00AC5132"/>
    <w:rsid w:val="00AC51BD"/>
    <w:rsid w:val="00AC539A"/>
    <w:rsid w:val="00AC558D"/>
    <w:rsid w:val="00AC5C81"/>
    <w:rsid w:val="00AC7003"/>
    <w:rsid w:val="00AC7C88"/>
    <w:rsid w:val="00AD00EB"/>
    <w:rsid w:val="00AD0B63"/>
    <w:rsid w:val="00AD0F89"/>
    <w:rsid w:val="00AD1992"/>
    <w:rsid w:val="00AD21A8"/>
    <w:rsid w:val="00AD3E00"/>
    <w:rsid w:val="00AD7404"/>
    <w:rsid w:val="00AD752B"/>
    <w:rsid w:val="00AD75AE"/>
    <w:rsid w:val="00AD789A"/>
    <w:rsid w:val="00AE2237"/>
    <w:rsid w:val="00AE399C"/>
    <w:rsid w:val="00AE4B69"/>
    <w:rsid w:val="00AE4DB8"/>
    <w:rsid w:val="00AE61E6"/>
    <w:rsid w:val="00AE63D1"/>
    <w:rsid w:val="00AE6F6A"/>
    <w:rsid w:val="00AE7ACF"/>
    <w:rsid w:val="00AF1097"/>
    <w:rsid w:val="00AF2D88"/>
    <w:rsid w:val="00AF3842"/>
    <w:rsid w:val="00AF3F8C"/>
    <w:rsid w:val="00AF4003"/>
    <w:rsid w:val="00AF4C01"/>
    <w:rsid w:val="00AF4F25"/>
    <w:rsid w:val="00AF5496"/>
    <w:rsid w:val="00AF5FA7"/>
    <w:rsid w:val="00AF7118"/>
    <w:rsid w:val="00AF7596"/>
    <w:rsid w:val="00AF7673"/>
    <w:rsid w:val="00AF7FCF"/>
    <w:rsid w:val="00B02B3F"/>
    <w:rsid w:val="00B02C9E"/>
    <w:rsid w:val="00B02FD6"/>
    <w:rsid w:val="00B0393F"/>
    <w:rsid w:val="00B0483F"/>
    <w:rsid w:val="00B04C09"/>
    <w:rsid w:val="00B0520E"/>
    <w:rsid w:val="00B05943"/>
    <w:rsid w:val="00B06B7F"/>
    <w:rsid w:val="00B07810"/>
    <w:rsid w:val="00B10123"/>
    <w:rsid w:val="00B104BB"/>
    <w:rsid w:val="00B10DD0"/>
    <w:rsid w:val="00B119BF"/>
    <w:rsid w:val="00B11A42"/>
    <w:rsid w:val="00B13437"/>
    <w:rsid w:val="00B1368D"/>
    <w:rsid w:val="00B13BB9"/>
    <w:rsid w:val="00B14A42"/>
    <w:rsid w:val="00B14EFF"/>
    <w:rsid w:val="00B15E78"/>
    <w:rsid w:val="00B16B70"/>
    <w:rsid w:val="00B17124"/>
    <w:rsid w:val="00B175E8"/>
    <w:rsid w:val="00B20C3D"/>
    <w:rsid w:val="00B21415"/>
    <w:rsid w:val="00B21480"/>
    <w:rsid w:val="00B21AC9"/>
    <w:rsid w:val="00B22641"/>
    <w:rsid w:val="00B2325B"/>
    <w:rsid w:val="00B23EA3"/>
    <w:rsid w:val="00B2464F"/>
    <w:rsid w:val="00B25A92"/>
    <w:rsid w:val="00B2652E"/>
    <w:rsid w:val="00B267CF"/>
    <w:rsid w:val="00B30030"/>
    <w:rsid w:val="00B32CB6"/>
    <w:rsid w:val="00B33348"/>
    <w:rsid w:val="00B3617B"/>
    <w:rsid w:val="00B37F10"/>
    <w:rsid w:val="00B4102F"/>
    <w:rsid w:val="00B413D5"/>
    <w:rsid w:val="00B41470"/>
    <w:rsid w:val="00B42A84"/>
    <w:rsid w:val="00B42EE7"/>
    <w:rsid w:val="00B434D4"/>
    <w:rsid w:val="00B4389D"/>
    <w:rsid w:val="00B4638F"/>
    <w:rsid w:val="00B47412"/>
    <w:rsid w:val="00B503AE"/>
    <w:rsid w:val="00B504CF"/>
    <w:rsid w:val="00B50C7B"/>
    <w:rsid w:val="00B51735"/>
    <w:rsid w:val="00B51A21"/>
    <w:rsid w:val="00B520FF"/>
    <w:rsid w:val="00B54DEE"/>
    <w:rsid w:val="00B578D1"/>
    <w:rsid w:val="00B579B9"/>
    <w:rsid w:val="00B61485"/>
    <w:rsid w:val="00B61FEC"/>
    <w:rsid w:val="00B6303C"/>
    <w:rsid w:val="00B637DB"/>
    <w:rsid w:val="00B64A1B"/>
    <w:rsid w:val="00B64EE3"/>
    <w:rsid w:val="00B65FAC"/>
    <w:rsid w:val="00B667FA"/>
    <w:rsid w:val="00B67E59"/>
    <w:rsid w:val="00B70B8F"/>
    <w:rsid w:val="00B71843"/>
    <w:rsid w:val="00B71AFA"/>
    <w:rsid w:val="00B7393B"/>
    <w:rsid w:val="00B73AB4"/>
    <w:rsid w:val="00B74A83"/>
    <w:rsid w:val="00B75450"/>
    <w:rsid w:val="00B76322"/>
    <w:rsid w:val="00B76EDD"/>
    <w:rsid w:val="00B76FDB"/>
    <w:rsid w:val="00B77B87"/>
    <w:rsid w:val="00B82136"/>
    <w:rsid w:val="00B82774"/>
    <w:rsid w:val="00B82FBC"/>
    <w:rsid w:val="00B83400"/>
    <w:rsid w:val="00B837CD"/>
    <w:rsid w:val="00B8388D"/>
    <w:rsid w:val="00B8425B"/>
    <w:rsid w:val="00B846E4"/>
    <w:rsid w:val="00B86122"/>
    <w:rsid w:val="00B87380"/>
    <w:rsid w:val="00B875E2"/>
    <w:rsid w:val="00B90094"/>
    <w:rsid w:val="00B9140D"/>
    <w:rsid w:val="00B91918"/>
    <w:rsid w:val="00B91CFF"/>
    <w:rsid w:val="00B9210B"/>
    <w:rsid w:val="00B93925"/>
    <w:rsid w:val="00B95292"/>
    <w:rsid w:val="00B952B7"/>
    <w:rsid w:val="00B96322"/>
    <w:rsid w:val="00B96582"/>
    <w:rsid w:val="00B96B51"/>
    <w:rsid w:val="00B96B5E"/>
    <w:rsid w:val="00B971E3"/>
    <w:rsid w:val="00B97895"/>
    <w:rsid w:val="00BA0DEE"/>
    <w:rsid w:val="00BA1935"/>
    <w:rsid w:val="00BA313A"/>
    <w:rsid w:val="00BA59C1"/>
    <w:rsid w:val="00BA5B9E"/>
    <w:rsid w:val="00BA5CC9"/>
    <w:rsid w:val="00BA6233"/>
    <w:rsid w:val="00BA672D"/>
    <w:rsid w:val="00BA6F9E"/>
    <w:rsid w:val="00BA7CFB"/>
    <w:rsid w:val="00BA7D5C"/>
    <w:rsid w:val="00BB0AD5"/>
    <w:rsid w:val="00BB0B98"/>
    <w:rsid w:val="00BB0DC1"/>
    <w:rsid w:val="00BB1620"/>
    <w:rsid w:val="00BB2B13"/>
    <w:rsid w:val="00BB2FE1"/>
    <w:rsid w:val="00BB40A1"/>
    <w:rsid w:val="00BB437B"/>
    <w:rsid w:val="00BB4480"/>
    <w:rsid w:val="00BB5582"/>
    <w:rsid w:val="00BB6196"/>
    <w:rsid w:val="00BC3212"/>
    <w:rsid w:val="00BC3344"/>
    <w:rsid w:val="00BC52FF"/>
    <w:rsid w:val="00BC59FA"/>
    <w:rsid w:val="00BC5B42"/>
    <w:rsid w:val="00BC5D0E"/>
    <w:rsid w:val="00BC6163"/>
    <w:rsid w:val="00BC7A5F"/>
    <w:rsid w:val="00BD0094"/>
    <w:rsid w:val="00BD072F"/>
    <w:rsid w:val="00BD11E3"/>
    <w:rsid w:val="00BD14E4"/>
    <w:rsid w:val="00BD164B"/>
    <w:rsid w:val="00BD2DE1"/>
    <w:rsid w:val="00BD309B"/>
    <w:rsid w:val="00BD3A88"/>
    <w:rsid w:val="00BD52DC"/>
    <w:rsid w:val="00BD54E7"/>
    <w:rsid w:val="00BD552F"/>
    <w:rsid w:val="00BD598D"/>
    <w:rsid w:val="00BE020E"/>
    <w:rsid w:val="00BE0FAD"/>
    <w:rsid w:val="00BE1F69"/>
    <w:rsid w:val="00BE2499"/>
    <w:rsid w:val="00BE2653"/>
    <w:rsid w:val="00BE3D53"/>
    <w:rsid w:val="00BE3ECB"/>
    <w:rsid w:val="00BE4A75"/>
    <w:rsid w:val="00BE766C"/>
    <w:rsid w:val="00BF0C32"/>
    <w:rsid w:val="00BF21C5"/>
    <w:rsid w:val="00BF2CA8"/>
    <w:rsid w:val="00BF5CA7"/>
    <w:rsid w:val="00BF6671"/>
    <w:rsid w:val="00BF6746"/>
    <w:rsid w:val="00BF7163"/>
    <w:rsid w:val="00C003F8"/>
    <w:rsid w:val="00C0296B"/>
    <w:rsid w:val="00C03378"/>
    <w:rsid w:val="00C041EF"/>
    <w:rsid w:val="00C04434"/>
    <w:rsid w:val="00C05CB0"/>
    <w:rsid w:val="00C05D95"/>
    <w:rsid w:val="00C065DA"/>
    <w:rsid w:val="00C06DF7"/>
    <w:rsid w:val="00C0748D"/>
    <w:rsid w:val="00C077A1"/>
    <w:rsid w:val="00C07DC3"/>
    <w:rsid w:val="00C1160B"/>
    <w:rsid w:val="00C1250B"/>
    <w:rsid w:val="00C13734"/>
    <w:rsid w:val="00C17137"/>
    <w:rsid w:val="00C17A60"/>
    <w:rsid w:val="00C204CC"/>
    <w:rsid w:val="00C21474"/>
    <w:rsid w:val="00C2211F"/>
    <w:rsid w:val="00C22579"/>
    <w:rsid w:val="00C233C0"/>
    <w:rsid w:val="00C24BA5"/>
    <w:rsid w:val="00C25D33"/>
    <w:rsid w:val="00C263DE"/>
    <w:rsid w:val="00C32AC1"/>
    <w:rsid w:val="00C331A0"/>
    <w:rsid w:val="00C332EF"/>
    <w:rsid w:val="00C33B78"/>
    <w:rsid w:val="00C33D0C"/>
    <w:rsid w:val="00C34350"/>
    <w:rsid w:val="00C34D5E"/>
    <w:rsid w:val="00C353CD"/>
    <w:rsid w:val="00C3546D"/>
    <w:rsid w:val="00C354A2"/>
    <w:rsid w:val="00C36907"/>
    <w:rsid w:val="00C37163"/>
    <w:rsid w:val="00C411C4"/>
    <w:rsid w:val="00C41292"/>
    <w:rsid w:val="00C412FC"/>
    <w:rsid w:val="00C42BB0"/>
    <w:rsid w:val="00C4531E"/>
    <w:rsid w:val="00C45A17"/>
    <w:rsid w:val="00C45FCB"/>
    <w:rsid w:val="00C466A7"/>
    <w:rsid w:val="00C474BC"/>
    <w:rsid w:val="00C521DF"/>
    <w:rsid w:val="00C52688"/>
    <w:rsid w:val="00C52B56"/>
    <w:rsid w:val="00C53312"/>
    <w:rsid w:val="00C5397D"/>
    <w:rsid w:val="00C53BAD"/>
    <w:rsid w:val="00C54228"/>
    <w:rsid w:val="00C56EA8"/>
    <w:rsid w:val="00C5733A"/>
    <w:rsid w:val="00C577EA"/>
    <w:rsid w:val="00C60A93"/>
    <w:rsid w:val="00C610E1"/>
    <w:rsid w:val="00C61528"/>
    <w:rsid w:val="00C61AF3"/>
    <w:rsid w:val="00C6216A"/>
    <w:rsid w:val="00C62F8D"/>
    <w:rsid w:val="00C63CDA"/>
    <w:rsid w:val="00C66CFF"/>
    <w:rsid w:val="00C67024"/>
    <w:rsid w:val="00C6785E"/>
    <w:rsid w:val="00C67898"/>
    <w:rsid w:val="00C700C8"/>
    <w:rsid w:val="00C706D9"/>
    <w:rsid w:val="00C70B43"/>
    <w:rsid w:val="00C71F11"/>
    <w:rsid w:val="00C72611"/>
    <w:rsid w:val="00C7367C"/>
    <w:rsid w:val="00C752AA"/>
    <w:rsid w:val="00C763DE"/>
    <w:rsid w:val="00C807B0"/>
    <w:rsid w:val="00C81668"/>
    <w:rsid w:val="00C85975"/>
    <w:rsid w:val="00C90751"/>
    <w:rsid w:val="00C9133F"/>
    <w:rsid w:val="00C9220E"/>
    <w:rsid w:val="00C92BAB"/>
    <w:rsid w:val="00C9397C"/>
    <w:rsid w:val="00C93CF1"/>
    <w:rsid w:val="00C94FD2"/>
    <w:rsid w:val="00C955BA"/>
    <w:rsid w:val="00C95F83"/>
    <w:rsid w:val="00C964F4"/>
    <w:rsid w:val="00C9673F"/>
    <w:rsid w:val="00C969E1"/>
    <w:rsid w:val="00CA3ABC"/>
    <w:rsid w:val="00CA410F"/>
    <w:rsid w:val="00CA5B4E"/>
    <w:rsid w:val="00CA5B92"/>
    <w:rsid w:val="00CA7407"/>
    <w:rsid w:val="00CA7F92"/>
    <w:rsid w:val="00CB1D53"/>
    <w:rsid w:val="00CB2708"/>
    <w:rsid w:val="00CB2D02"/>
    <w:rsid w:val="00CB3684"/>
    <w:rsid w:val="00CB3A5F"/>
    <w:rsid w:val="00CB46AB"/>
    <w:rsid w:val="00CB491C"/>
    <w:rsid w:val="00CB4E02"/>
    <w:rsid w:val="00CB571B"/>
    <w:rsid w:val="00CB647D"/>
    <w:rsid w:val="00CB6B28"/>
    <w:rsid w:val="00CB6DB4"/>
    <w:rsid w:val="00CB7A0C"/>
    <w:rsid w:val="00CC053D"/>
    <w:rsid w:val="00CC096F"/>
    <w:rsid w:val="00CC3255"/>
    <w:rsid w:val="00CC3A7A"/>
    <w:rsid w:val="00CC3B8D"/>
    <w:rsid w:val="00CC3D8E"/>
    <w:rsid w:val="00CC3E63"/>
    <w:rsid w:val="00CC41FD"/>
    <w:rsid w:val="00CC47A3"/>
    <w:rsid w:val="00CC489D"/>
    <w:rsid w:val="00CC56FB"/>
    <w:rsid w:val="00CC58DA"/>
    <w:rsid w:val="00CC6218"/>
    <w:rsid w:val="00CC747A"/>
    <w:rsid w:val="00CC7553"/>
    <w:rsid w:val="00CC7B03"/>
    <w:rsid w:val="00CD026B"/>
    <w:rsid w:val="00CD06D7"/>
    <w:rsid w:val="00CD16E5"/>
    <w:rsid w:val="00CD3852"/>
    <w:rsid w:val="00CD501E"/>
    <w:rsid w:val="00CD52D9"/>
    <w:rsid w:val="00CD5461"/>
    <w:rsid w:val="00CD5B98"/>
    <w:rsid w:val="00CD6777"/>
    <w:rsid w:val="00CD762D"/>
    <w:rsid w:val="00CD7F42"/>
    <w:rsid w:val="00CE0038"/>
    <w:rsid w:val="00CE0108"/>
    <w:rsid w:val="00CE134B"/>
    <w:rsid w:val="00CE22B1"/>
    <w:rsid w:val="00CE366D"/>
    <w:rsid w:val="00CE4B2E"/>
    <w:rsid w:val="00CE4C9C"/>
    <w:rsid w:val="00CE50A1"/>
    <w:rsid w:val="00CF0705"/>
    <w:rsid w:val="00CF2D11"/>
    <w:rsid w:val="00CF30FC"/>
    <w:rsid w:val="00CF3ED3"/>
    <w:rsid w:val="00CF401F"/>
    <w:rsid w:val="00CF692E"/>
    <w:rsid w:val="00CF7624"/>
    <w:rsid w:val="00CF796A"/>
    <w:rsid w:val="00D00D3B"/>
    <w:rsid w:val="00D00F58"/>
    <w:rsid w:val="00D0121F"/>
    <w:rsid w:val="00D01B1B"/>
    <w:rsid w:val="00D02CB8"/>
    <w:rsid w:val="00D034E0"/>
    <w:rsid w:val="00D0431A"/>
    <w:rsid w:val="00D054E9"/>
    <w:rsid w:val="00D06C6C"/>
    <w:rsid w:val="00D07BD4"/>
    <w:rsid w:val="00D07FCB"/>
    <w:rsid w:val="00D1103C"/>
    <w:rsid w:val="00D12918"/>
    <w:rsid w:val="00D13394"/>
    <w:rsid w:val="00D13FE2"/>
    <w:rsid w:val="00D157CD"/>
    <w:rsid w:val="00D1591C"/>
    <w:rsid w:val="00D15D44"/>
    <w:rsid w:val="00D162B1"/>
    <w:rsid w:val="00D162DF"/>
    <w:rsid w:val="00D170C7"/>
    <w:rsid w:val="00D17C38"/>
    <w:rsid w:val="00D208F7"/>
    <w:rsid w:val="00D20C91"/>
    <w:rsid w:val="00D21D4E"/>
    <w:rsid w:val="00D21D90"/>
    <w:rsid w:val="00D21DE4"/>
    <w:rsid w:val="00D2508E"/>
    <w:rsid w:val="00D25936"/>
    <w:rsid w:val="00D269D7"/>
    <w:rsid w:val="00D26B3D"/>
    <w:rsid w:val="00D27CF2"/>
    <w:rsid w:val="00D27E29"/>
    <w:rsid w:val="00D31E11"/>
    <w:rsid w:val="00D32E3F"/>
    <w:rsid w:val="00D35341"/>
    <w:rsid w:val="00D36653"/>
    <w:rsid w:val="00D4021A"/>
    <w:rsid w:val="00D407C0"/>
    <w:rsid w:val="00D4499A"/>
    <w:rsid w:val="00D45713"/>
    <w:rsid w:val="00D50290"/>
    <w:rsid w:val="00D5292D"/>
    <w:rsid w:val="00D52D6F"/>
    <w:rsid w:val="00D54200"/>
    <w:rsid w:val="00D55219"/>
    <w:rsid w:val="00D5560B"/>
    <w:rsid w:val="00D56C6C"/>
    <w:rsid w:val="00D60511"/>
    <w:rsid w:val="00D61525"/>
    <w:rsid w:val="00D62800"/>
    <w:rsid w:val="00D637EB"/>
    <w:rsid w:val="00D638EF"/>
    <w:rsid w:val="00D6399A"/>
    <w:rsid w:val="00D63A0B"/>
    <w:rsid w:val="00D64160"/>
    <w:rsid w:val="00D647C6"/>
    <w:rsid w:val="00D64A15"/>
    <w:rsid w:val="00D67F13"/>
    <w:rsid w:val="00D70C3D"/>
    <w:rsid w:val="00D71441"/>
    <w:rsid w:val="00D722D8"/>
    <w:rsid w:val="00D72934"/>
    <w:rsid w:val="00D72C6E"/>
    <w:rsid w:val="00D72E22"/>
    <w:rsid w:val="00D73834"/>
    <w:rsid w:val="00D74B99"/>
    <w:rsid w:val="00D74D35"/>
    <w:rsid w:val="00D76C82"/>
    <w:rsid w:val="00D8025F"/>
    <w:rsid w:val="00D80389"/>
    <w:rsid w:val="00D807FE"/>
    <w:rsid w:val="00D80C71"/>
    <w:rsid w:val="00D813AA"/>
    <w:rsid w:val="00D82EF8"/>
    <w:rsid w:val="00D8391B"/>
    <w:rsid w:val="00D844AE"/>
    <w:rsid w:val="00D8470D"/>
    <w:rsid w:val="00D85111"/>
    <w:rsid w:val="00D86443"/>
    <w:rsid w:val="00D86830"/>
    <w:rsid w:val="00D87509"/>
    <w:rsid w:val="00D91033"/>
    <w:rsid w:val="00D91F93"/>
    <w:rsid w:val="00D91FA9"/>
    <w:rsid w:val="00D9248C"/>
    <w:rsid w:val="00D92E16"/>
    <w:rsid w:val="00D93685"/>
    <w:rsid w:val="00D93A17"/>
    <w:rsid w:val="00D94169"/>
    <w:rsid w:val="00D941E1"/>
    <w:rsid w:val="00D9463F"/>
    <w:rsid w:val="00D967CC"/>
    <w:rsid w:val="00D97F24"/>
    <w:rsid w:val="00DA23D8"/>
    <w:rsid w:val="00DA34A8"/>
    <w:rsid w:val="00DA48AF"/>
    <w:rsid w:val="00DA4A92"/>
    <w:rsid w:val="00DA5137"/>
    <w:rsid w:val="00DA513E"/>
    <w:rsid w:val="00DA5F1D"/>
    <w:rsid w:val="00DA629F"/>
    <w:rsid w:val="00DA62D0"/>
    <w:rsid w:val="00DA7860"/>
    <w:rsid w:val="00DA7E8B"/>
    <w:rsid w:val="00DB05D1"/>
    <w:rsid w:val="00DB219A"/>
    <w:rsid w:val="00DB29C6"/>
    <w:rsid w:val="00DB2AE4"/>
    <w:rsid w:val="00DB2DAC"/>
    <w:rsid w:val="00DB5616"/>
    <w:rsid w:val="00DB6DA7"/>
    <w:rsid w:val="00DC0A40"/>
    <w:rsid w:val="00DC1E1D"/>
    <w:rsid w:val="00DC285F"/>
    <w:rsid w:val="00DC3069"/>
    <w:rsid w:val="00DC3600"/>
    <w:rsid w:val="00DC3F2A"/>
    <w:rsid w:val="00DC66C9"/>
    <w:rsid w:val="00DC686E"/>
    <w:rsid w:val="00DC6CE4"/>
    <w:rsid w:val="00DD1233"/>
    <w:rsid w:val="00DD513D"/>
    <w:rsid w:val="00DD6634"/>
    <w:rsid w:val="00DD6A16"/>
    <w:rsid w:val="00DD7BA3"/>
    <w:rsid w:val="00DE0B5D"/>
    <w:rsid w:val="00DE321D"/>
    <w:rsid w:val="00DE4C88"/>
    <w:rsid w:val="00DE5527"/>
    <w:rsid w:val="00DE6875"/>
    <w:rsid w:val="00DE6A04"/>
    <w:rsid w:val="00DE7516"/>
    <w:rsid w:val="00DE7BBE"/>
    <w:rsid w:val="00DF1859"/>
    <w:rsid w:val="00DF35FE"/>
    <w:rsid w:val="00DF3BCB"/>
    <w:rsid w:val="00DF4BCD"/>
    <w:rsid w:val="00E00922"/>
    <w:rsid w:val="00E00BF7"/>
    <w:rsid w:val="00E01196"/>
    <w:rsid w:val="00E011A0"/>
    <w:rsid w:val="00E02B7E"/>
    <w:rsid w:val="00E0441A"/>
    <w:rsid w:val="00E04A23"/>
    <w:rsid w:val="00E0582F"/>
    <w:rsid w:val="00E066BC"/>
    <w:rsid w:val="00E07A9E"/>
    <w:rsid w:val="00E07EA1"/>
    <w:rsid w:val="00E11EAD"/>
    <w:rsid w:val="00E136A1"/>
    <w:rsid w:val="00E14211"/>
    <w:rsid w:val="00E14A1A"/>
    <w:rsid w:val="00E14BE0"/>
    <w:rsid w:val="00E16374"/>
    <w:rsid w:val="00E16E2D"/>
    <w:rsid w:val="00E17B80"/>
    <w:rsid w:val="00E20E32"/>
    <w:rsid w:val="00E21331"/>
    <w:rsid w:val="00E2474E"/>
    <w:rsid w:val="00E25A8F"/>
    <w:rsid w:val="00E27ED9"/>
    <w:rsid w:val="00E30512"/>
    <w:rsid w:val="00E30A8A"/>
    <w:rsid w:val="00E3106B"/>
    <w:rsid w:val="00E31CC4"/>
    <w:rsid w:val="00E31F05"/>
    <w:rsid w:val="00E32ADD"/>
    <w:rsid w:val="00E32E07"/>
    <w:rsid w:val="00E333FC"/>
    <w:rsid w:val="00E33927"/>
    <w:rsid w:val="00E340A0"/>
    <w:rsid w:val="00E36195"/>
    <w:rsid w:val="00E40631"/>
    <w:rsid w:val="00E4224F"/>
    <w:rsid w:val="00E430B6"/>
    <w:rsid w:val="00E50C49"/>
    <w:rsid w:val="00E50D75"/>
    <w:rsid w:val="00E51742"/>
    <w:rsid w:val="00E527A5"/>
    <w:rsid w:val="00E548AE"/>
    <w:rsid w:val="00E54E44"/>
    <w:rsid w:val="00E55898"/>
    <w:rsid w:val="00E560F4"/>
    <w:rsid w:val="00E5695B"/>
    <w:rsid w:val="00E57CC7"/>
    <w:rsid w:val="00E57F65"/>
    <w:rsid w:val="00E606D7"/>
    <w:rsid w:val="00E62D60"/>
    <w:rsid w:val="00E63374"/>
    <w:rsid w:val="00E64055"/>
    <w:rsid w:val="00E64ECB"/>
    <w:rsid w:val="00E65F39"/>
    <w:rsid w:val="00E665AA"/>
    <w:rsid w:val="00E6777F"/>
    <w:rsid w:val="00E678FD"/>
    <w:rsid w:val="00E71482"/>
    <w:rsid w:val="00E744FF"/>
    <w:rsid w:val="00E74807"/>
    <w:rsid w:val="00E75267"/>
    <w:rsid w:val="00E764B0"/>
    <w:rsid w:val="00E76B2D"/>
    <w:rsid w:val="00E772B4"/>
    <w:rsid w:val="00E77ED5"/>
    <w:rsid w:val="00E816CD"/>
    <w:rsid w:val="00E81D8B"/>
    <w:rsid w:val="00E82863"/>
    <w:rsid w:val="00E853BA"/>
    <w:rsid w:val="00E9155D"/>
    <w:rsid w:val="00E919E1"/>
    <w:rsid w:val="00E9328F"/>
    <w:rsid w:val="00E94FD5"/>
    <w:rsid w:val="00E95B64"/>
    <w:rsid w:val="00E9641C"/>
    <w:rsid w:val="00E96DD9"/>
    <w:rsid w:val="00E97931"/>
    <w:rsid w:val="00E97B48"/>
    <w:rsid w:val="00EA1509"/>
    <w:rsid w:val="00EA1624"/>
    <w:rsid w:val="00EA1A5F"/>
    <w:rsid w:val="00EA2FDE"/>
    <w:rsid w:val="00EA3D33"/>
    <w:rsid w:val="00EA4BB4"/>
    <w:rsid w:val="00EA5265"/>
    <w:rsid w:val="00EA564D"/>
    <w:rsid w:val="00EA574E"/>
    <w:rsid w:val="00EA768F"/>
    <w:rsid w:val="00EA789B"/>
    <w:rsid w:val="00EA7C0E"/>
    <w:rsid w:val="00EB212C"/>
    <w:rsid w:val="00EB2C5C"/>
    <w:rsid w:val="00EB3345"/>
    <w:rsid w:val="00EB37DD"/>
    <w:rsid w:val="00EB57B1"/>
    <w:rsid w:val="00EB6203"/>
    <w:rsid w:val="00EB62FB"/>
    <w:rsid w:val="00EB6B9E"/>
    <w:rsid w:val="00EB7037"/>
    <w:rsid w:val="00EC040A"/>
    <w:rsid w:val="00EC2695"/>
    <w:rsid w:val="00EC2DCC"/>
    <w:rsid w:val="00EC3276"/>
    <w:rsid w:val="00ED277C"/>
    <w:rsid w:val="00ED392D"/>
    <w:rsid w:val="00ED404A"/>
    <w:rsid w:val="00ED6AFA"/>
    <w:rsid w:val="00EE0CF9"/>
    <w:rsid w:val="00EE197B"/>
    <w:rsid w:val="00EE273D"/>
    <w:rsid w:val="00EE40FE"/>
    <w:rsid w:val="00EE5BC9"/>
    <w:rsid w:val="00EE6DBE"/>
    <w:rsid w:val="00EF00DB"/>
    <w:rsid w:val="00EF0896"/>
    <w:rsid w:val="00EF17AA"/>
    <w:rsid w:val="00EF22F6"/>
    <w:rsid w:val="00EF36EA"/>
    <w:rsid w:val="00EF37F5"/>
    <w:rsid w:val="00EF43F4"/>
    <w:rsid w:val="00EF47DC"/>
    <w:rsid w:val="00EF5365"/>
    <w:rsid w:val="00EF5C62"/>
    <w:rsid w:val="00EF756B"/>
    <w:rsid w:val="00F000C0"/>
    <w:rsid w:val="00F009E1"/>
    <w:rsid w:val="00F00AFC"/>
    <w:rsid w:val="00F00CE5"/>
    <w:rsid w:val="00F00EF6"/>
    <w:rsid w:val="00F01A2D"/>
    <w:rsid w:val="00F0281E"/>
    <w:rsid w:val="00F028E8"/>
    <w:rsid w:val="00F02B96"/>
    <w:rsid w:val="00F05628"/>
    <w:rsid w:val="00F0623E"/>
    <w:rsid w:val="00F06F21"/>
    <w:rsid w:val="00F1391A"/>
    <w:rsid w:val="00F15346"/>
    <w:rsid w:val="00F15376"/>
    <w:rsid w:val="00F16605"/>
    <w:rsid w:val="00F17353"/>
    <w:rsid w:val="00F17CFC"/>
    <w:rsid w:val="00F17ED1"/>
    <w:rsid w:val="00F2008D"/>
    <w:rsid w:val="00F20689"/>
    <w:rsid w:val="00F22582"/>
    <w:rsid w:val="00F23D2A"/>
    <w:rsid w:val="00F2406F"/>
    <w:rsid w:val="00F2428A"/>
    <w:rsid w:val="00F25676"/>
    <w:rsid w:val="00F2614A"/>
    <w:rsid w:val="00F263A7"/>
    <w:rsid w:val="00F26E0B"/>
    <w:rsid w:val="00F30527"/>
    <w:rsid w:val="00F31724"/>
    <w:rsid w:val="00F3198B"/>
    <w:rsid w:val="00F33BF1"/>
    <w:rsid w:val="00F36A49"/>
    <w:rsid w:val="00F37484"/>
    <w:rsid w:val="00F37815"/>
    <w:rsid w:val="00F401C4"/>
    <w:rsid w:val="00F40942"/>
    <w:rsid w:val="00F41AAF"/>
    <w:rsid w:val="00F41E10"/>
    <w:rsid w:val="00F421A6"/>
    <w:rsid w:val="00F42630"/>
    <w:rsid w:val="00F42EBD"/>
    <w:rsid w:val="00F445B1"/>
    <w:rsid w:val="00F44759"/>
    <w:rsid w:val="00F44B1D"/>
    <w:rsid w:val="00F45899"/>
    <w:rsid w:val="00F46FC1"/>
    <w:rsid w:val="00F503AD"/>
    <w:rsid w:val="00F5162D"/>
    <w:rsid w:val="00F522FB"/>
    <w:rsid w:val="00F5474D"/>
    <w:rsid w:val="00F55FA4"/>
    <w:rsid w:val="00F56248"/>
    <w:rsid w:val="00F57D83"/>
    <w:rsid w:val="00F57FC6"/>
    <w:rsid w:val="00F602DC"/>
    <w:rsid w:val="00F6085A"/>
    <w:rsid w:val="00F61865"/>
    <w:rsid w:val="00F627B2"/>
    <w:rsid w:val="00F64386"/>
    <w:rsid w:val="00F647D4"/>
    <w:rsid w:val="00F70762"/>
    <w:rsid w:val="00F717BB"/>
    <w:rsid w:val="00F71C44"/>
    <w:rsid w:val="00F721B6"/>
    <w:rsid w:val="00F72505"/>
    <w:rsid w:val="00F73C79"/>
    <w:rsid w:val="00F747D5"/>
    <w:rsid w:val="00F7556D"/>
    <w:rsid w:val="00F762B3"/>
    <w:rsid w:val="00F77EFA"/>
    <w:rsid w:val="00F80663"/>
    <w:rsid w:val="00F834A9"/>
    <w:rsid w:val="00F84E1E"/>
    <w:rsid w:val="00F87532"/>
    <w:rsid w:val="00F87BE2"/>
    <w:rsid w:val="00F87EDA"/>
    <w:rsid w:val="00F90323"/>
    <w:rsid w:val="00F916ED"/>
    <w:rsid w:val="00F91E30"/>
    <w:rsid w:val="00F91E7C"/>
    <w:rsid w:val="00F91E93"/>
    <w:rsid w:val="00F96133"/>
    <w:rsid w:val="00F96F4C"/>
    <w:rsid w:val="00F976CF"/>
    <w:rsid w:val="00F97CBB"/>
    <w:rsid w:val="00FA037F"/>
    <w:rsid w:val="00FA1292"/>
    <w:rsid w:val="00FA13F2"/>
    <w:rsid w:val="00FA3E24"/>
    <w:rsid w:val="00FA4CD5"/>
    <w:rsid w:val="00FA51C8"/>
    <w:rsid w:val="00FA5413"/>
    <w:rsid w:val="00FA7E3B"/>
    <w:rsid w:val="00FB08CA"/>
    <w:rsid w:val="00FB19BC"/>
    <w:rsid w:val="00FB3938"/>
    <w:rsid w:val="00FB39CB"/>
    <w:rsid w:val="00FB422C"/>
    <w:rsid w:val="00FB4612"/>
    <w:rsid w:val="00FB4EEE"/>
    <w:rsid w:val="00FB51DD"/>
    <w:rsid w:val="00FB57DC"/>
    <w:rsid w:val="00FB60C8"/>
    <w:rsid w:val="00FB6AC2"/>
    <w:rsid w:val="00FC003E"/>
    <w:rsid w:val="00FC19AB"/>
    <w:rsid w:val="00FC1FAD"/>
    <w:rsid w:val="00FC248E"/>
    <w:rsid w:val="00FC2A89"/>
    <w:rsid w:val="00FC3E02"/>
    <w:rsid w:val="00FC5FF2"/>
    <w:rsid w:val="00FD0282"/>
    <w:rsid w:val="00FD029B"/>
    <w:rsid w:val="00FD0738"/>
    <w:rsid w:val="00FD1A3E"/>
    <w:rsid w:val="00FD35A7"/>
    <w:rsid w:val="00FD3B20"/>
    <w:rsid w:val="00FD41AA"/>
    <w:rsid w:val="00FD46DD"/>
    <w:rsid w:val="00FD519B"/>
    <w:rsid w:val="00FD6407"/>
    <w:rsid w:val="00FD7222"/>
    <w:rsid w:val="00FD7637"/>
    <w:rsid w:val="00FE329F"/>
    <w:rsid w:val="00FE4498"/>
    <w:rsid w:val="00FE4963"/>
    <w:rsid w:val="00FE4F85"/>
    <w:rsid w:val="00FE527C"/>
    <w:rsid w:val="00FE5542"/>
    <w:rsid w:val="00FE60E3"/>
    <w:rsid w:val="00FE68D6"/>
    <w:rsid w:val="00FE6FC3"/>
    <w:rsid w:val="00FF150B"/>
    <w:rsid w:val="00FF1814"/>
    <w:rsid w:val="00FF454A"/>
    <w:rsid w:val="00FF46B0"/>
    <w:rsid w:val="00FF4C8D"/>
    <w:rsid w:val="00FF6523"/>
    <w:rsid w:val="00FF6B47"/>
    <w:rsid w:val="00FF7002"/>
    <w:rsid w:val="00FF70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362C3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Note Heading" w:uiPriority="0"/>
    <w:lsdException w:name="Body Tex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C0"/>
    <w:pPr>
      <w:spacing w:after="240" w:line="260" w:lineRule="exact"/>
      <w:jc w:val="both"/>
    </w:pPr>
    <w:rPr>
      <w:rFonts w:eastAsia="Times New Roman" w:cs="Times New Roman"/>
      <w:color w:val="000000"/>
      <w:sz w:val="20"/>
      <w:szCs w:val="20"/>
      <w:lang w:eastAsia="en-AU"/>
    </w:rPr>
  </w:style>
  <w:style w:type="paragraph" w:styleId="Heading1">
    <w:name w:val="heading 1"/>
    <w:basedOn w:val="HeadingBase"/>
    <w:next w:val="Normal"/>
    <w:link w:val="Heading1Char"/>
    <w:qFormat/>
    <w:rsid w:val="00D407C0"/>
    <w:pPr>
      <w:keepNext/>
      <w:spacing w:before="284" w:after="113"/>
      <w:outlineLvl w:val="0"/>
    </w:pPr>
    <w:rPr>
      <w:rFonts w:cs="Arial"/>
      <w:b/>
      <w:bCs/>
      <w:color w:val="FFFFFF" w:themeColor="background1"/>
      <w:kern w:val="32"/>
      <w:sz w:val="36"/>
      <w:szCs w:val="48"/>
    </w:rPr>
  </w:style>
  <w:style w:type="paragraph" w:styleId="Heading2">
    <w:name w:val="heading 2"/>
    <w:basedOn w:val="HeadingBase"/>
    <w:next w:val="Normal"/>
    <w:link w:val="Heading2Char"/>
    <w:qFormat/>
    <w:rsid w:val="00D407C0"/>
    <w:pPr>
      <w:keepNext/>
      <w:spacing w:before="120" w:after="240" w:line="260" w:lineRule="exact"/>
      <w:outlineLvl w:val="1"/>
    </w:pPr>
    <w:rPr>
      <w:rFonts w:cs="Arial"/>
      <w:b/>
      <w:bCs/>
      <w:iCs/>
      <w:sz w:val="28"/>
      <w:szCs w:val="28"/>
    </w:rPr>
  </w:style>
  <w:style w:type="paragraph" w:styleId="Heading3">
    <w:name w:val="heading 3"/>
    <w:basedOn w:val="HeadingBase"/>
    <w:next w:val="Normal"/>
    <w:link w:val="Heading3Char"/>
    <w:qFormat/>
    <w:rsid w:val="00D407C0"/>
    <w:pPr>
      <w:keepNext/>
      <w:spacing w:before="120" w:after="60" w:line="260" w:lineRule="exact"/>
      <w:outlineLvl w:val="2"/>
    </w:pPr>
    <w:rPr>
      <w:rFonts w:cs="Arial"/>
      <w:b/>
      <w:bCs/>
      <w:color w:val="4F81BD"/>
      <w:sz w:val="22"/>
      <w:szCs w:val="26"/>
    </w:rPr>
  </w:style>
  <w:style w:type="paragraph" w:styleId="Heading4">
    <w:name w:val="heading 4"/>
    <w:basedOn w:val="HeadingBase"/>
    <w:next w:val="Normal"/>
    <w:link w:val="Heading4Char"/>
    <w:qFormat/>
    <w:rsid w:val="00D407C0"/>
    <w:pPr>
      <w:keepNext/>
      <w:spacing w:before="57" w:after="57" w:line="280" w:lineRule="exact"/>
      <w:outlineLvl w:val="3"/>
    </w:pPr>
    <w:rPr>
      <w:b/>
      <w:bCs/>
      <w:szCs w:val="22"/>
    </w:rPr>
  </w:style>
  <w:style w:type="paragraph" w:styleId="Heading5">
    <w:name w:val="heading 5"/>
    <w:basedOn w:val="HeadingBase"/>
    <w:next w:val="Normal"/>
    <w:link w:val="Heading5Char"/>
    <w:qFormat/>
    <w:rsid w:val="00D407C0"/>
    <w:pPr>
      <w:keepNext/>
      <w:spacing w:before="57" w:after="57" w:line="280" w:lineRule="exact"/>
      <w:outlineLvl w:val="4"/>
    </w:pPr>
    <w:rPr>
      <w:bCs/>
      <w:iCs/>
    </w:rPr>
  </w:style>
  <w:style w:type="paragraph" w:styleId="Heading6">
    <w:name w:val="heading 6"/>
    <w:basedOn w:val="HeadingBase"/>
    <w:next w:val="Normal"/>
    <w:link w:val="Heading6Char"/>
    <w:qFormat/>
    <w:rsid w:val="00D407C0"/>
    <w:pPr>
      <w:keepNext/>
      <w:spacing w:after="120"/>
      <w:outlineLvl w:val="5"/>
    </w:pPr>
    <w:rPr>
      <w:bCs/>
      <w:szCs w:val="22"/>
    </w:rPr>
  </w:style>
  <w:style w:type="paragraph" w:styleId="Heading7">
    <w:name w:val="heading 7"/>
    <w:basedOn w:val="Heading2"/>
    <w:next w:val="Normal"/>
    <w:link w:val="Heading7Char"/>
    <w:qFormat/>
    <w:rsid w:val="00D407C0"/>
    <w:pPr>
      <w:jc w:val="right"/>
      <w:outlineLvl w:val="6"/>
    </w:pPr>
  </w:style>
  <w:style w:type="paragraph" w:styleId="Heading8">
    <w:name w:val="heading 8"/>
    <w:basedOn w:val="HeadingBase"/>
    <w:next w:val="Normal"/>
    <w:link w:val="Heading8Char"/>
    <w:qFormat/>
    <w:rsid w:val="00D407C0"/>
    <w:pPr>
      <w:keepNext/>
      <w:spacing w:before="284" w:after="360"/>
      <w:jc w:val="right"/>
      <w:outlineLvl w:val="7"/>
    </w:pPr>
    <w:rPr>
      <w:iCs/>
      <w:sz w:val="48"/>
      <w:szCs w:val="24"/>
    </w:rPr>
  </w:style>
  <w:style w:type="paragraph" w:styleId="Heading9">
    <w:name w:val="heading 9"/>
    <w:basedOn w:val="HeadingBase"/>
    <w:next w:val="Normal"/>
    <w:link w:val="Heading9Char"/>
    <w:qFormat/>
    <w:rsid w:val="00D407C0"/>
    <w:pPr>
      <w:keepNext/>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rsid w:val="00D407C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07C0"/>
  </w:style>
  <w:style w:type="paragraph" w:customStyle="1" w:styleId="SingleParagraph">
    <w:name w:val="Single Paragraph"/>
    <w:basedOn w:val="Normal"/>
    <w:link w:val="SingleParagraphChar"/>
    <w:rsid w:val="00D407C0"/>
    <w:pPr>
      <w:spacing w:after="0"/>
    </w:pPr>
  </w:style>
  <w:style w:type="character" w:styleId="Hyperlink">
    <w:name w:val="Hyperlink"/>
    <w:basedOn w:val="DefaultParagraphFont"/>
    <w:rsid w:val="00D407C0"/>
    <w:rPr>
      <w:color w:val="000000"/>
      <w:u w:val="none"/>
    </w:rPr>
  </w:style>
  <w:style w:type="paragraph" w:customStyle="1" w:styleId="ChartGraphic">
    <w:name w:val="Chart Graphic"/>
    <w:basedOn w:val="HeadingBase"/>
    <w:rsid w:val="00D407C0"/>
    <w:pPr>
      <w:jc w:val="center"/>
    </w:pPr>
  </w:style>
  <w:style w:type="paragraph" w:styleId="Footer">
    <w:name w:val="footer"/>
    <w:basedOn w:val="HeadingBase"/>
    <w:link w:val="FooterChar"/>
    <w:rsid w:val="00D407C0"/>
    <w:rPr>
      <w:sz w:val="18"/>
    </w:rPr>
  </w:style>
  <w:style w:type="character" w:customStyle="1" w:styleId="FooterChar">
    <w:name w:val="Footer Char"/>
    <w:basedOn w:val="DefaultParagraphFont"/>
    <w:link w:val="Footer"/>
    <w:rsid w:val="008B6006"/>
    <w:rPr>
      <w:rFonts w:ascii="Calibri" w:eastAsia="Times New Roman" w:hAnsi="Calibri" w:cs="Times New Roman"/>
      <w:color w:val="003E74"/>
      <w:sz w:val="18"/>
      <w:szCs w:val="20"/>
      <w:lang w:eastAsia="en-AU"/>
    </w:rPr>
  </w:style>
  <w:style w:type="paragraph" w:customStyle="1" w:styleId="ContentsHeading">
    <w:name w:val="Contents Heading"/>
    <w:basedOn w:val="HeadingBase"/>
    <w:next w:val="Normal"/>
    <w:rsid w:val="00D407C0"/>
    <w:pPr>
      <w:spacing w:after="360"/>
    </w:pPr>
    <w:rPr>
      <w:smallCaps/>
      <w:sz w:val="36"/>
      <w:szCs w:val="36"/>
    </w:rPr>
  </w:style>
  <w:style w:type="paragraph" w:customStyle="1" w:styleId="CoverTitleMain">
    <w:name w:val="Cover Title Main"/>
    <w:basedOn w:val="HeadingBase"/>
    <w:next w:val="Normal"/>
    <w:rsid w:val="00D407C0"/>
    <w:pPr>
      <w:spacing w:after="360"/>
      <w:jc w:val="right"/>
    </w:pPr>
    <w:rPr>
      <w:b/>
      <w:sz w:val="44"/>
    </w:rPr>
  </w:style>
  <w:style w:type="paragraph" w:customStyle="1" w:styleId="FooterEven">
    <w:name w:val="Footer Even"/>
    <w:basedOn w:val="Footer"/>
    <w:rsid w:val="00D407C0"/>
  </w:style>
  <w:style w:type="paragraph" w:customStyle="1" w:styleId="FooterOdd">
    <w:name w:val="Footer Odd"/>
    <w:basedOn w:val="Footer"/>
    <w:rsid w:val="00D407C0"/>
    <w:pPr>
      <w:jc w:val="right"/>
    </w:pPr>
  </w:style>
  <w:style w:type="paragraph" w:styleId="Header">
    <w:name w:val="header"/>
    <w:basedOn w:val="HeadingBase"/>
    <w:link w:val="HeaderChar"/>
    <w:rsid w:val="00D407C0"/>
    <w:rPr>
      <w:sz w:val="18"/>
    </w:rPr>
  </w:style>
  <w:style w:type="character" w:customStyle="1" w:styleId="HeaderChar">
    <w:name w:val="Header Char"/>
    <w:basedOn w:val="DefaultParagraphFont"/>
    <w:link w:val="Header"/>
    <w:rsid w:val="008B6006"/>
    <w:rPr>
      <w:rFonts w:ascii="Calibri" w:eastAsia="Times New Roman" w:hAnsi="Calibri" w:cs="Times New Roman"/>
      <w:color w:val="003E74"/>
      <w:sz w:val="18"/>
      <w:szCs w:val="20"/>
      <w:lang w:eastAsia="en-AU"/>
    </w:rPr>
  </w:style>
  <w:style w:type="paragraph" w:customStyle="1" w:styleId="HeaderOdd">
    <w:name w:val="Header Odd"/>
    <w:basedOn w:val="Header"/>
    <w:rsid w:val="00D407C0"/>
    <w:pPr>
      <w:jc w:val="right"/>
    </w:pPr>
  </w:style>
  <w:style w:type="paragraph" w:styleId="TOC1">
    <w:name w:val="toc 1"/>
    <w:basedOn w:val="HeadingBase"/>
    <w:next w:val="Normal"/>
    <w:rsid w:val="00D407C0"/>
    <w:pPr>
      <w:tabs>
        <w:tab w:val="right" w:leader="dot" w:pos="7700"/>
      </w:tabs>
      <w:spacing w:before="180"/>
      <w:ind w:right="851"/>
    </w:pPr>
    <w:rPr>
      <w:b/>
      <w:smallCaps/>
      <w:noProof/>
      <w:sz w:val="22"/>
      <w:szCs w:val="22"/>
    </w:rPr>
  </w:style>
  <w:style w:type="paragraph" w:styleId="TOC2">
    <w:name w:val="toc 2"/>
    <w:basedOn w:val="Normal"/>
    <w:next w:val="Normal"/>
    <w:rsid w:val="00D407C0"/>
    <w:pPr>
      <w:tabs>
        <w:tab w:val="right" w:leader="dot" w:pos="7700"/>
      </w:tabs>
      <w:spacing w:after="0"/>
      <w:ind w:right="851"/>
      <w:jc w:val="left"/>
    </w:pPr>
    <w:rPr>
      <w:rFonts w:ascii="Calibri" w:hAnsi="Calibri"/>
      <w:noProof/>
    </w:rPr>
  </w:style>
  <w:style w:type="paragraph" w:styleId="TOC3">
    <w:name w:val="toc 3"/>
    <w:basedOn w:val="Normal"/>
    <w:next w:val="Normal"/>
    <w:rsid w:val="00D407C0"/>
    <w:pPr>
      <w:tabs>
        <w:tab w:val="right" w:leader="dot" w:pos="7700"/>
      </w:tabs>
      <w:spacing w:after="0" w:line="240" w:lineRule="auto"/>
      <w:ind w:left="284" w:right="851"/>
      <w:jc w:val="left"/>
    </w:pPr>
    <w:rPr>
      <w:rFonts w:ascii="Calibri" w:hAnsi="Calibri"/>
      <w:noProof/>
    </w:rPr>
  </w:style>
  <w:style w:type="paragraph" w:styleId="TOC4">
    <w:name w:val="toc 4"/>
    <w:basedOn w:val="Normal"/>
    <w:next w:val="Normal"/>
    <w:rsid w:val="00D407C0"/>
    <w:pPr>
      <w:tabs>
        <w:tab w:val="right" w:leader="dot" w:pos="7700"/>
      </w:tabs>
      <w:spacing w:after="0" w:line="240" w:lineRule="auto"/>
      <w:ind w:left="284" w:right="851" w:hanging="284"/>
      <w:jc w:val="left"/>
    </w:pPr>
    <w:rPr>
      <w:rFonts w:ascii="Calibri" w:hAnsi="Calibri"/>
      <w:noProof/>
    </w:rPr>
  </w:style>
  <w:style w:type="paragraph" w:customStyle="1" w:styleId="SinglePara">
    <w:name w:val="Single Para"/>
    <w:basedOn w:val="Normal"/>
    <w:rsid w:val="008B6006"/>
    <w:pPr>
      <w:spacing w:after="0" w:line="240" w:lineRule="auto"/>
      <w:jc w:val="left"/>
    </w:pPr>
    <w:rPr>
      <w:rFonts w:ascii="Times New Roman" w:hAnsi="Times New Roman"/>
      <w:color w:val="auto"/>
      <w:sz w:val="24"/>
    </w:rPr>
  </w:style>
  <w:style w:type="character" w:customStyle="1" w:styleId="SingleParagraphChar">
    <w:name w:val="Single Paragraph Char"/>
    <w:link w:val="SingleParagraph"/>
    <w:rsid w:val="008B6006"/>
    <w:rPr>
      <w:rFonts w:eastAsia="Times New Roman" w:cs="Times New Roman"/>
      <w:color w:val="000000"/>
      <w:sz w:val="20"/>
      <w:szCs w:val="20"/>
      <w:lang w:eastAsia="en-AU"/>
    </w:rPr>
  </w:style>
  <w:style w:type="paragraph" w:customStyle="1" w:styleId="ChairmanLetter">
    <w:name w:val="Chairman Letter"/>
    <w:basedOn w:val="Normal"/>
    <w:qFormat/>
    <w:rsid w:val="008B6006"/>
    <w:pPr>
      <w:jc w:val="left"/>
    </w:pPr>
    <w:rPr>
      <w:rFonts w:ascii="Times New Roman" w:hAnsi="Times New Roman"/>
      <w:sz w:val="22"/>
      <w:szCs w:val="22"/>
    </w:rPr>
  </w:style>
  <w:style w:type="paragraph" w:styleId="BalloonText">
    <w:name w:val="Balloon Text"/>
    <w:basedOn w:val="Normal"/>
    <w:link w:val="BalloonTextChar"/>
    <w:rsid w:val="00D407C0"/>
    <w:rPr>
      <w:rFonts w:ascii="Tahoma" w:hAnsi="Tahoma" w:cs="Tahoma"/>
      <w:sz w:val="16"/>
      <w:szCs w:val="16"/>
    </w:rPr>
  </w:style>
  <w:style w:type="character" w:customStyle="1" w:styleId="BalloonTextChar">
    <w:name w:val="Balloon Text Char"/>
    <w:basedOn w:val="DefaultParagraphFont"/>
    <w:link w:val="BalloonText"/>
    <w:rsid w:val="008B6006"/>
    <w:rPr>
      <w:rFonts w:ascii="Tahoma" w:eastAsia="Times New Roman" w:hAnsi="Tahoma" w:cs="Tahoma"/>
      <w:color w:val="000000"/>
      <w:sz w:val="16"/>
      <w:szCs w:val="16"/>
      <w:lang w:eastAsia="en-AU"/>
    </w:rPr>
  </w:style>
  <w:style w:type="character" w:customStyle="1" w:styleId="Heading1Char">
    <w:name w:val="Heading 1 Char"/>
    <w:basedOn w:val="DefaultParagraphFont"/>
    <w:link w:val="Heading1"/>
    <w:rsid w:val="008B6006"/>
    <w:rPr>
      <w:rFonts w:ascii="Calibri" w:eastAsia="Times New Roman" w:hAnsi="Calibri" w:cs="Arial"/>
      <w:b/>
      <w:bCs/>
      <w:color w:val="FFFFFF" w:themeColor="background1"/>
      <w:kern w:val="32"/>
      <w:sz w:val="36"/>
      <w:szCs w:val="48"/>
      <w:lang w:eastAsia="en-AU"/>
    </w:rPr>
  </w:style>
  <w:style w:type="paragraph" w:styleId="FootnoteText">
    <w:name w:val="footnote text"/>
    <w:basedOn w:val="Normal"/>
    <w:link w:val="FootnoteTextChar"/>
    <w:rsid w:val="00D407C0"/>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8B6006"/>
    <w:rPr>
      <w:rFonts w:eastAsia="Times New Roman" w:cs="Times New Roman"/>
      <w:color w:val="000000"/>
      <w:sz w:val="18"/>
      <w:szCs w:val="20"/>
      <w:lang w:eastAsia="en-AU"/>
    </w:rPr>
  </w:style>
  <w:style w:type="character" w:styleId="FootnoteReference">
    <w:name w:val="footnote reference"/>
    <w:basedOn w:val="DefaultParagraphFont"/>
    <w:rsid w:val="00D407C0"/>
    <w:rPr>
      <w:vertAlign w:val="superscript"/>
    </w:rPr>
  </w:style>
  <w:style w:type="character" w:styleId="PageNumber">
    <w:name w:val="page number"/>
    <w:basedOn w:val="DefaultParagraphFont"/>
    <w:rsid w:val="00D407C0"/>
    <w:rPr>
      <w:rFonts w:asciiTheme="minorHAnsi" w:hAnsiTheme="minorHAnsi"/>
      <w:color w:val="003E74"/>
      <w:sz w:val="18"/>
      <w:szCs w:val="18"/>
    </w:rPr>
  </w:style>
  <w:style w:type="paragraph" w:customStyle="1" w:styleId="Bullet">
    <w:name w:val="Bullet"/>
    <w:aliases w:val="b,b1,b + line,Body,level 1,Bullet + line"/>
    <w:basedOn w:val="Normal"/>
    <w:link w:val="BulletChar"/>
    <w:rsid w:val="00D407C0"/>
    <w:pPr>
      <w:numPr>
        <w:numId w:val="1"/>
      </w:numPr>
      <w:ind w:left="284" w:hanging="284"/>
    </w:pPr>
  </w:style>
  <w:style w:type="paragraph" w:customStyle="1" w:styleId="Dash">
    <w:name w:val="Dash"/>
    <w:basedOn w:val="Normal"/>
    <w:link w:val="DashChar"/>
    <w:rsid w:val="00D407C0"/>
    <w:pPr>
      <w:numPr>
        <w:ilvl w:val="1"/>
        <w:numId w:val="1"/>
      </w:numPr>
      <w:tabs>
        <w:tab w:val="clear" w:pos="567"/>
        <w:tab w:val="num" w:pos="360"/>
      </w:tabs>
      <w:ind w:left="568" w:firstLine="0"/>
    </w:pPr>
  </w:style>
  <w:style w:type="character" w:customStyle="1" w:styleId="Heading2Char">
    <w:name w:val="Heading 2 Char"/>
    <w:basedOn w:val="DefaultParagraphFont"/>
    <w:link w:val="Heading2"/>
    <w:rsid w:val="008B6006"/>
    <w:rPr>
      <w:rFonts w:ascii="Calibri" w:eastAsia="Times New Roman" w:hAnsi="Calibri" w:cs="Arial"/>
      <w:b/>
      <w:bCs/>
      <w:iCs/>
      <w:color w:val="003E74"/>
      <w:sz w:val="28"/>
      <w:szCs w:val="28"/>
      <w:lang w:eastAsia="en-AU"/>
    </w:rPr>
  </w:style>
  <w:style w:type="character" w:customStyle="1" w:styleId="Heading3Char">
    <w:name w:val="Heading 3 Char"/>
    <w:basedOn w:val="DefaultParagraphFont"/>
    <w:link w:val="Heading3"/>
    <w:rsid w:val="00115593"/>
    <w:rPr>
      <w:rFonts w:ascii="Calibri" w:eastAsia="Times New Roman" w:hAnsi="Calibri" w:cs="Arial"/>
      <w:b/>
      <w:bCs/>
      <w:color w:val="4F81BD"/>
      <w:szCs w:val="26"/>
      <w:lang w:eastAsia="en-AU"/>
    </w:rPr>
  </w:style>
  <w:style w:type="character" w:customStyle="1" w:styleId="Heading4Char">
    <w:name w:val="Heading 4 Char"/>
    <w:basedOn w:val="DefaultParagraphFont"/>
    <w:link w:val="Heading4"/>
    <w:rsid w:val="008B6006"/>
    <w:rPr>
      <w:rFonts w:ascii="Calibri" w:eastAsia="Times New Roman" w:hAnsi="Calibri" w:cs="Times New Roman"/>
      <w:b/>
      <w:bCs/>
      <w:color w:val="003E74"/>
      <w:sz w:val="20"/>
      <w:lang w:eastAsia="en-AU"/>
    </w:rPr>
  </w:style>
  <w:style w:type="paragraph" w:customStyle="1" w:styleId="DoubleDot">
    <w:name w:val="Double Dot"/>
    <w:basedOn w:val="Normal"/>
    <w:link w:val="DoubleDotChar"/>
    <w:rsid w:val="00D407C0"/>
    <w:pPr>
      <w:numPr>
        <w:ilvl w:val="2"/>
        <w:numId w:val="1"/>
      </w:numPr>
      <w:tabs>
        <w:tab w:val="clear" w:pos="850"/>
        <w:tab w:val="num" w:pos="360"/>
      </w:tabs>
      <w:ind w:left="0" w:firstLine="0"/>
    </w:pPr>
  </w:style>
  <w:style w:type="paragraph" w:customStyle="1" w:styleId="OutlineNumbered1">
    <w:name w:val="Outline Numbered 1"/>
    <w:basedOn w:val="Normal"/>
    <w:rsid w:val="00D407C0"/>
    <w:pPr>
      <w:numPr>
        <w:numId w:val="2"/>
      </w:numPr>
      <w:tabs>
        <w:tab w:val="clear" w:pos="567"/>
        <w:tab w:val="num" w:pos="360"/>
      </w:tabs>
      <w:ind w:left="0" w:firstLine="0"/>
    </w:pPr>
  </w:style>
  <w:style w:type="paragraph" w:customStyle="1" w:styleId="OutlineNumbered2">
    <w:name w:val="Outline Numbered 2"/>
    <w:basedOn w:val="Normal"/>
    <w:rsid w:val="00D407C0"/>
    <w:pPr>
      <w:numPr>
        <w:ilvl w:val="1"/>
        <w:numId w:val="2"/>
      </w:numPr>
      <w:tabs>
        <w:tab w:val="clear" w:pos="1134"/>
        <w:tab w:val="num" w:pos="360"/>
      </w:tabs>
      <w:ind w:left="0" w:firstLine="0"/>
    </w:pPr>
  </w:style>
  <w:style w:type="paragraph" w:customStyle="1" w:styleId="OutlineNumbered3">
    <w:name w:val="Outline Numbered 3"/>
    <w:basedOn w:val="Normal"/>
    <w:rsid w:val="00D407C0"/>
    <w:pPr>
      <w:numPr>
        <w:ilvl w:val="2"/>
        <w:numId w:val="2"/>
      </w:numPr>
      <w:tabs>
        <w:tab w:val="clear" w:pos="1701"/>
        <w:tab w:val="num" w:pos="360"/>
      </w:tabs>
      <w:ind w:left="0" w:firstLine="0"/>
    </w:pPr>
  </w:style>
  <w:style w:type="paragraph" w:customStyle="1" w:styleId="CoverTitleSub">
    <w:name w:val="Cover Title Sub"/>
    <w:basedOn w:val="HeadingBase"/>
    <w:rsid w:val="00D407C0"/>
    <w:pPr>
      <w:spacing w:after="360"/>
      <w:jc w:val="center"/>
    </w:pPr>
    <w:rPr>
      <w:sz w:val="36"/>
    </w:rPr>
  </w:style>
  <w:style w:type="character" w:customStyle="1" w:styleId="FramedHeader">
    <w:name w:val="Framed Header"/>
    <w:basedOn w:val="DefaultParagraphFont"/>
    <w:rsid w:val="00D407C0"/>
    <w:rPr>
      <w:rFonts w:ascii="Calibri" w:hAnsi="Calibri"/>
      <w:dstrike w:val="0"/>
      <w:color w:val="003E74"/>
      <w:sz w:val="18"/>
      <w:szCs w:val="18"/>
      <w:vertAlign w:val="baseline"/>
    </w:rPr>
  </w:style>
  <w:style w:type="paragraph" w:customStyle="1" w:styleId="HeaderEven">
    <w:name w:val="Header Even"/>
    <w:basedOn w:val="Header"/>
    <w:rsid w:val="00D407C0"/>
  </w:style>
  <w:style w:type="character" w:customStyle="1" w:styleId="Normalitalics">
    <w:name w:val="Normal italics"/>
    <w:rsid w:val="008B6006"/>
    <w:rPr>
      <w:i/>
    </w:rPr>
  </w:style>
  <w:style w:type="character" w:styleId="Strong">
    <w:name w:val="Strong"/>
    <w:qFormat/>
    <w:rsid w:val="008B6006"/>
    <w:rPr>
      <w:b/>
      <w:bCs/>
    </w:rPr>
  </w:style>
  <w:style w:type="paragraph" w:customStyle="1" w:styleId="Heading1noTOC">
    <w:name w:val="Heading 1 no TOC"/>
    <w:basedOn w:val="Heading1"/>
    <w:next w:val="Normal"/>
    <w:rsid w:val="00D407C0"/>
  </w:style>
  <w:style w:type="character" w:customStyle="1" w:styleId="BulletChar">
    <w:name w:val="Bullet Char"/>
    <w:aliases w:val="b Char,b + line Char Char,b Char Char"/>
    <w:link w:val="Bullet"/>
    <w:rsid w:val="008B6006"/>
    <w:rPr>
      <w:rFonts w:eastAsia="Times New Roman" w:cs="Times New Roman"/>
      <w:color w:val="000000"/>
      <w:sz w:val="20"/>
      <w:szCs w:val="20"/>
      <w:lang w:eastAsia="en-AU"/>
    </w:rPr>
  </w:style>
  <w:style w:type="paragraph" w:customStyle="1" w:styleId="Box-Pull-Text">
    <w:name w:val="Box - Pull - Text"/>
    <w:basedOn w:val="Normal"/>
    <w:link w:val="Box-Pull-TextChar"/>
    <w:qFormat/>
    <w:rsid w:val="008B6006"/>
    <w:pPr>
      <w:spacing w:before="120" w:after="120"/>
    </w:pPr>
  </w:style>
  <w:style w:type="paragraph" w:customStyle="1" w:styleId="Box-Pull-Bullet">
    <w:name w:val="Box - Pull - Bullet"/>
    <w:basedOn w:val="Box-Pull-Text"/>
    <w:rsid w:val="008B6006"/>
    <w:pPr>
      <w:numPr>
        <w:numId w:val="3"/>
      </w:numPr>
      <w:tabs>
        <w:tab w:val="left" w:pos="284"/>
        <w:tab w:val="num" w:pos="360"/>
      </w:tabs>
      <w:spacing w:before="60" w:after="60"/>
      <w:ind w:left="284" w:hanging="284"/>
    </w:pPr>
  </w:style>
  <w:style w:type="paragraph" w:customStyle="1" w:styleId="Normal-Bio">
    <w:name w:val="Normal - Bio"/>
    <w:basedOn w:val="Normal"/>
    <w:rsid w:val="008B6006"/>
    <w:rPr>
      <w:noProof/>
    </w:rPr>
  </w:style>
  <w:style w:type="paragraph" w:customStyle="1" w:styleId="Box-Pull-HeadingInternal">
    <w:name w:val="Box - Pull - Heading (Internal)"/>
    <w:basedOn w:val="Box-Pull-Text"/>
    <w:rsid w:val="008B6006"/>
    <w:pPr>
      <w:spacing w:after="60"/>
    </w:pPr>
    <w:rPr>
      <w:rFonts w:ascii="Arial" w:hAnsi="Arial"/>
      <w:b/>
      <w:bCs/>
      <w:color w:val="003E74"/>
      <w:szCs w:val="22"/>
    </w:rPr>
  </w:style>
  <w:style w:type="character" w:customStyle="1" w:styleId="Box-Pull-TextChar">
    <w:name w:val="Box - Pull - Text Char"/>
    <w:link w:val="Box-Pull-Text"/>
    <w:rsid w:val="008B6006"/>
    <w:rPr>
      <w:rFonts w:ascii="Book Antiqua" w:eastAsia="Times New Roman" w:hAnsi="Book Antiqua" w:cs="Times New Roman"/>
      <w:color w:val="000000"/>
      <w:sz w:val="20"/>
      <w:szCs w:val="20"/>
      <w:lang w:eastAsia="en-AU"/>
    </w:rPr>
  </w:style>
  <w:style w:type="character" w:customStyle="1" w:styleId="Heading5Char">
    <w:name w:val="Heading 5 Char"/>
    <w:basedOn w:val="DefaultParagraphFont"/>
    <w:link w:val="Heading5"/>
    <w:rsid w:val="008B6006"/>
    <w:rPr>
      <w:rFonts w:ascii="Calibri" w:eastAsia="Times New Roman" w:hAnsi="Calibri" w:cs="Times New Roman"/>
      <w:bCs/>
      <w:iCs/>
      <w:color w:val="003E74"/>
      <w:sz w:val="20"/>
      <w:szCs w:val="20"/>
      <w:lang w:eastAsia="en-AU"/>
    </w:rPr>
  </w:style>
  <w:style w:type="character" w:customStyle="1" w:styleId="Heading6Char">
    <w:name w:val="Heading 6 Char"/>
    <w:basedOn w:val="DefaultParagraphFont"/>
    <w:link w:val="Heading6"/>
    <w:rsid w:val="008B6006"/>
    <w:rPr>
      <w:rFonts w:ascii="Calibri" w:eastAsia="Times New Roman" w:hAnsi="Calibri" w:cs="Times New Roman"/>
      <w:bCs/>
      <w:color w:val="003E74"/>
      <w:sz w:val="20"/>
      <w:lang w:eastAsia="en-AU"/>
    </w:rPr>
  </w:style>
  <w:style w:type="character" w:customStyle="1" w:styleId="Heading7Char">
    <w:name w:val="Heading 7 Char"/>
    <w:basedOn w:val="DefaultParagraphFont"/>
    <w:link w:val="Heading7"/>
    <w:rsid w:val="008B6006"/>
    <w:rPr>
      <w:rFonts w:ascii="Calibri" w:eastAsia="Times New Roman" w:hAnsi="Calibri" w:cs="Arial"/>
      <w:b/>
      <w:bCs/>
      <w:iCs/>
      <w:color w:val="003E74"/>
      <w:sz w:val="28"/>
      <w:szCs w:val="28"/>
      <w:lang w:eastAsia="en-AU"/>
    </w:rPr>
  </w:style>
  <w:style w:type="character" w:customStyle="1" w:styleId="Heading8Char">
    <w:name w:val="Heading 8 Char"/>
    <w:basedOn w:val="DefaultParagraphFont"/>
    <w:link w:val="Heading8"/>
    <w:rsid w:val="008B6006"/>
    <w:rPr>
      <w:rFonts w:ascii="Calibri" w:eastAsia="Times New Roman" w:hAnsi="Calibri" w:cs="Times New Roman"/>
      <w:iCs/>
      <w:color w:val="003E74"/>
      <w:sz w:val="48"/>
      <w:szCs w:val="24"/>
      <w:lang w:eastAsia="en-AU"/>
    </w:rPr>
  </w:style>
  <w:style w:type="character" w:customStyle="1" w:styleId="Heading9Char">
    <w:name w:val="Heading 9 Char"/>
    <w:basedOn w:val="DefaultParagraphFont"/>
    <w:link w:val="Heading9"/>
    <w:rsid w:val="008B6006"/>
    <w:rPr>
      <w:rFonts w:ascii="Calibri" w:eastAsia="Times New Roman" w:hAnsi="Calibri" w:cs="Arial"/>
      <w:b/>
      <w:color w:val="003E74"/>
      <w:sz w:val="28"/>
      <w:lang w:eastAsia="en-AU"/>
    </w:rPr>
  </w:style>
  <w:style w:type="paragraph" w:customStyle="1" w:styleId="HeadingBase">
    <w:name w:val="Heading Base"/>
    <w:next w:val="Normal"/>
    <w:link w:val="HeadingBaseChar"/>
    <w:rsid w:val="00D407C0"/>
    <w:pPr>
      <w:spacing w:after="0" w:line="240" w:lineRule="auto"/>
    </w:pPr>
    <w:rPr>
      <w:rFonts w:ascii="Calibri" w:eastAsia="Times New Roman" w:hAnsi="Calibri" w:cs="Times New Roman"/>
      <w:color w:val="003E74"/>
      <w:sz w:val="20"/>
      <w:szCs w:val="20"/>
      <w:lang w:eastAsia="en-AU"/>
    </w:rPr>
  </w:style>
  <w:style w:type="paragraph" w:customStyle="1" w:styleId="ChartandTableFootnote">
    <w:name w:val="Chart and Table Footnote"/>
    <w:basedOn w:val="HeadingBase"/>
    <w:next w:val="Normal"/>
    <w:rsid w:val="008B6006"/>
    <w:rPr>
      <w:color w:val="000000"/>
      <w:sz w:val="16"/>
      <w:szCs w:val="16"/>
    </w:rPr>
  </w:style>
  <w:style w:type="paragraph" w:customStyle="1" w:styleId="ChartandTableFootnoteAlpha">
    <w:name w:val="Chart and Table Footnote Alpha"/>
    <w:rsid w:val="00D407C0"/>
    <w:pPr>
      <w:numPr>
        <w:numId w:val="5"/>
      </w:numPr>
      <w:spacing w:after="0" w:line="240" w:lineRule="auto"/>
      <w:jc w:val="both"/>
    </w:pPr>
    <w:rPr>
      <w:rFonts w:ascii="Arial" w:eastAsia="Times New Roman" w:hAnsi="Arial" w:cs="Times New Roman"/>
      <w:color w:val="000000"/>
      <w:sz w:val="16"/>
      <w:szCs w:val="16"/>
      <w:lang w:eastAsia="en-AU"/>
    </w:rPr>
  </w:style>
  <w:style w:type="paragraph" w:customStyle="1" w:styleId="ChartHeading">
    <w:name w:val="Chart Heading"/>
    <w:basedOn w:val="HeadingBase"/>
    <w:next w:val="ChartGraphic"/>
    <w:rsid w:val="008B6006"/>
    <w:pPr>
      <w:keepNext/>
      <w:spacing w:before="170" w:after="113" w:line="240" w:lineRule="exact"/>
      <w:jc w:val="center"/>
    </w:pPr>
    <w:rPr>
      <w:b/>
      <w:bCs/>
      <w:sz w:val="22"/>
      <w:szCs w:val="22"/>
    </w:rPr>
  </w:style>
  <w:style w:type="paragraph" w:customStyle="1" w:styleId="ChartSecondHeading">
    <w:name w:val="Chart Second Heading"/>
    <w:basedOn w:val="HeadingBase"/>
    <w:next w:val="ChartGraphic"/>
    <w:rsid w:val="00D407C0"/>
    <w:pPr>
      <w:keepNext/>
      <w:spacing w:after="20"/>
    </w:pPr>
  </w:style>
  <w:style w:type="paragraph" w:styleId="Subtitle">
    <w:name w:val="Subtitle"/>
    <w:basedOn w:val="Normal"/>
    <w:next w:val="Normal"/>
    <w:link w:val="SubtitleChar"/>
    <w:qFormat/>
    <w:rsid w:val="00D407C0"/>
    <w:pPr>
      <w:numPr>
        <w:ilvl w:val="1"/>
      </w:numPr>
    </w:pPr>
    <w:rPr>
      <w:rFonts w:asciiTheme="majorHAnsi" w:eastAsiaTheme="majorEastAsia" w:hAnsiTheme="majorHAnsi" w:cstheme="majorBidi"/>
      <w:i/>
      <w:iCs/>
      <w:color w:val="003E74"/>
      <w:spacing w:val="15"/>
      <w:sz w:val="24"/>
      <w:szCs w:val="24"/>
    </w:rPr>
  </w:style>
  <w:style w:type="character" w:customStyle="1" w:styleId="SubtitleChar">
    <w:name w:val="Subtitle Char"/>
    <w:basedOn w:val="DefaultParagraphFont"/>
    <w:link w:val="Subtitle"/>
    <w:rsid w:val="00D407C0"/>
    <w:rPr>
      <w:rFonts w:asciiTheme="majorHAnsi" w:eastAsiaTheme="majorEastAsia" w:hAnsiTheme="majorHAnsi" w:cstheme="majorBidi"/>
      <w:i/>
      <w:iCs/>
      <w:color w:val="003E74"/>
      <w:spacing w:val="15"/>
      <w:sz w:val="24"/>
      <w:szCs w:val="24"/>
      <w:lang w:eastAsia="en-AU"/>
    </w:rPr>
  </w:style>
  <w:style w:type="paragraph" w:styleId="BlockText">
    <w:name w:val="Block Text"/>
    <w:basedOn w:val="Normal"/>
    <w:rsid w:val="00D407C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
      <w:iCs/>
      <w:color w:val="003E74"/>
    </w:rPr>
  </w:style>
  <w:style w:type="paragraph" w:customStyle="1" w:styleId="FileProperties">
    <w:name w:val="File Properties"/>
    <w:basedOn w:val="Normal"/>
    <w:rsid w:val="008B6006"/>
    <w:rPr>
      <w:i/>
      <w:iCs/>
    </w:rPr>
  </w:style>
  <w:style w:type="paragraph" w:customStyle="1" w:styleId="FooterBase">
    <w:name w:val="Footer Base"/>
    <w:rsid w:val="008B6006"/>
    <w:pPr>
      <w:spacing w:after="0" w:line="240" w:lineRule="auto"/>
    </w:pPr>
    <w:rPr>
      <w:rFonts w:ascii="Arial" w:eastAsia="Times New Roman" w:hAnsi="Arial" w:cs="Arial"/>
      <w:color w:val="333192"/>
      <w:kern w:val="28"/>
      <w:sz w:val="18"/>
      <w:szCs w:val="18"/>
      <w:lang w:eastAsia="en-AU"/>
    </w:rPr>
  </w:style>
  <w:style w:type="paragraph" w:customStyle="1" w:styleId="HeaderBase">
    <w:name w:val="Header Base"/>
    <w:rsid w:val="008B6006"/>
    <w:pPr>
      <w:spacing w:after="0" w:line="240" w:lineRule="auto"/>
    </w:pPr>
    <w:rPr>
      <w:rFonts w:ascii="Arial" w:eastAsia="Times New Roman" w:hAnsi="Arial" w:cs="Arial"/>
      <w:color w:val="333192"/>
      <w:kern w:val="28"/>
      <w:sz w:val="18"/>
      <w:szCs w:val="18"/>
      <w:lang w:eastAsia="en-AU"/>
    </w:rPr>
  </w:style>
  <w:style w:type="paragraph" w:customStyle="1" w:styleId="NumberedParagraph">
    <w:name w:val="Numbered Paragraph"/>
    <w:basedOn w:val="Normal"/>
    <w:rsid w:val="00D407C0"/>
    <w:pPr>
      <w:numPr>
        <w:numId w:val="9"/>
      </w:numPr>
    </w:pPr>
  </w:style>
  <w:style w:type="paragraph" w:customStyle="1" w:styleId="TableTextRight">
    <w:name w:val="Table Text Right"/>
    <w:basedOn w:val="TableTextBase"/>
    <w:rsid w:val="00D407C0"/>
    <w:pPr>
      <w:jc w:val="right"/>
    </w:pPr>
  </w:style>
  <w:style w:type="paragraph" w:customStyle="1" w:styleId="TableTextBase">
    <w:name w:val="Table Text Base"/>
    <w:rsid w:val="00D407C0"/>
    <w:pPr>
      <w:spacing w:before="40" w:after="40" w:line="240" w:lineRule="auto"/>
    </w:pPr>
    <w:rPr>
      <w:rFonts w:ascii="Calibri" w:eastAsia="Times New Roman" w:hAnsi="Calibri" w:cs="Times New Roman"/>
      <w:color w:val="000000"/>
      <w:sz w:val="16"/>
      <w:szCs w:val="20"/>
      <w:lang w:eastAsia="en-AU"/>
    </w:rPr>
  </w:style>
  <w:style w:type="paragraph" w:customStyle="1" w:styleId="TableGraphic">
    <w:name w:val="Table Graphic"/>
    <w:basedOn w:val="HeadingBase"/>
    <w:next w:val="Normal"/>
    <w:rsid w:val="00D407C0"/>
    <w:pPr>
      <w:spacing w:after="20"/>
      <w:ind w:right="-113"/>
    </w:pPr>
    <w:rPr>
      <w:rFonts w:ascii="Helvetica" w:hAnsi="Helvetica"/>
    </w:rPr>
  </w:style>
  <w:style w:type="paragraph" w:customStyle="1" w:styleId="TableHeading">
    <w:name w:val="Table Heading"/>
    <w:basedOn w:val="HeadingBase"/>
    <w:next w:val="TableGraphic"/>
    <w:rsid w:val="008B6006"/>
    <w:pPr>
      <w:keepNext/>
      <w:spacing w:before="170" w:after="113" w:line="240" w:lineRule="exact"/>
    </w:pPr>
    <w:rPr>
      <w:b/>
      <w:bCs/>
      <w:sz w:val="22"/>
      <w:szCs w:val="22"/>
    </w:rPr>
  </w:style>
  <w:style w:type="paragraph" w:customStyle="1" w:styleId="TableHeadingcontinued">
    <w:name w:val="Table Heading continued"/>
    <w:basedOn w:val="HeadingBase"/>
    <w:next w:val="TableGraphic"/>
    <w:rsid w:val="008B6006"/>
    <w:pPr>
      <w:keepNext/>
      <w:spacing w:before="170" w:after="113" w:line="240" w:lineRule="exact"/>
    </w:pPr>
    <w:rPr>
      <w:b/>
      <w:bCs/>
      <w:sz w:val="22"/>
      <w:szCs w:val="22"/>
    </w:rPr>
  </w:style>
  <w:style w:type="paragraph" w:styleId="Index1">
    <w:name w:val="index 1"/>
    <w:basedOn w:val="Normal"/>
    <w:next w:val="Normal"/>
    <w:autoRedefine/>
    <w:rsid w:val="00D407C0"/>
    <w:pPr>
      <w:ind w:left="200" w:hanging="200"/>
    </w:pPr>
  </w:style>
  <w:style w:type="paragraph" w:styleId="Index2">
    <w:name w:val="index 2"/>
    <w:basedOn w:val="Normal"/>
    <w:next w:val="Normal"/>
    <w:autoRedefine/>
    <w:rsid w:val="00D407C0"/>
    <w:pPr>
      <w:ind w:left="400" w:hanging="200"/>
    </w:pPr>
  </w:style>
  <w:style w:type="paragraph" w:styleId="Index3">
    <w:name w:val="index 3"/>
    <w:basedOn w:val="Normal"/>
    <w:next w:val="Normal"/>
    <w:autoRedefine/>
    <w:rsid w:val="00D407C0"/>
    <w:pPr>
      <w:ind w:left="600" w:hanging="200"/>
    </w:pPr>
  </w:style>
  <w:style w:type="paragraph" w:styleId="IndexHeading">
    <w:name w:val="index heading"/>
    <w:basedOn w:val="Normal"/>
    <w:next w:val="Index1"/>
    <w:rsid w:val="00D407C0"/>
    <w:rPr>
      <w:rFonts w:ascii="Calibri" w:hAnsi="Calibri" w:cs="Arial"/>
      <w:b/>
      <w:bCs/>
      <w:color w:val="003E74"/>
    </w:rPr>
  </w:style>
  <w:style w:type="paragraph" w:customStyle="1" w:styleId="TableTextLeft">
    <w:name w:val="Table Text Left"/>
    <w:basedOn w:val="TableTextBase"/>
    <w:rsid w:val="00D407C0"/>
  </w:style>
  <w:style w:type="paragraph" w:styleId="TOC5">
    <w:name w:val="toc 5"/>
    <w:basedOn w:val="TOC2"/>
    <w:next w:val="Normal"/>
    <w:autoRedefine/>
    <w:rsid w:val="00D407C0"/>
    <w:pPr>
      <w:ind w:left="1260" w:hanging="1260"/>
    </w:pPr>
  </w:style>
  <w:style w:type="paragraph" w:styleId="TOC6">
    <w:name w:val="toc 6"/>
    <w:basedOn w:val="TOC5"/>
    <w:next w:val="Normal"/>
    <w:rsid w:val="00D407C0"/>
    <w:pPr>
      <w:tabs>
        <w:tab w:val="left" w:pos="1080"/>
        <w:tab w:val="left" w:pos="1134"/>
      </w:tabs>
      <w:ind w:left="1080" w:hanging="1080"/>
    </w:pPr>
  </w:style>
  <w:style w:type="paragraph" w:styleId="TOC7">
    <w:name w:val="toc 7"/>
    <w:basedOn w:val="Normal"/>
    <w:next w:val="Normal"/>
    <w:autoRedefine/>
    <w:rsid w:val="00D407C0"/>
    <w:pPr>
      <w:ind w:left="1200"/>
    </w:pPr>
    <w:rPr>
      <w:rFonts w:ascii="Calibri" w:hAnsi="Calibri"/>
    </w:rPr>
  </w:style>
  <w:style w:type="paragraph" w:styleId="TOC8">
    <w:name w:val="toc 8"/>
    <w:basedOn w:val="Normal"/>
    <w:next w:val="Normal"/>
    <w:autoRedefine/>
    <w:rsid w:val="00D407C0"/>
    <w:pPr>
      <w:ind w:left="1400"/>
    </w:pPr>
    <w:rPr>
      <w:rFonts w:ascii="Calibri" w:hAnsi="Calibri"/>
    </w:rPr>
  </w:style>
  <w:style w:type="paragraph" w:styleId="TOC9">
    <w:name w:val="toc 9"/>
    <w:basedOn w:val="Normal"/>
    <w:next w:val="Normal"/>
    <w:autoRedefine/>
    <w:rsid w:val="00D407C0"/>
    <w:pPr>
      <w:ind w:left="1600"/>
    </w:pPr>
    <w:rPr>
      <w:rFonts w:ascii="Calibri" w:hAnsi="Calibri"/>
    </w:rPr>
  </w:style>
  <w:style w:type="paragraph" w:customStyle="1" w:styleId="TableTextColumnHeadingLeft">
    <w:name w:val="Table Text Column Heading Left"/>
    <w:basedOn w:val="TableTextBase"/>
    <w:rsid w:val="008B6006"/>
  </w:style>
  <w:style w:type="paragraph" w:customStyle="1" w:styleId="ChartandTableFootnoteSmall">
    <w:name w:val="Chart and Table Footnote Small"/>
    <w:basedOn w:val="ChartandTableFootnote"/>
    <w:rsid w:val="008B6006"/>
    <w:rPr>
      <w:sz w:val="15"/>
      <w:szCs w:val="15"/>
    </w:rPr>
  </w:style>
  <w:style w:type="paragraph" w:customStyle="1" w:styleId="ChartandTableFootnoteAlphaSmall">
    <w:name w:val="Chart and Table Footnote Alpha Small"/>
    <w:basedOn w:val="ChartandTableFootnoteAlpha"/>
    <w:rsid w:val="008B6006"/>
    <w:pPr>
      <w:numPr>
        <w:numId w:val="0"/>
      </w:numPr>
      <w:tabs>
        <w:tab w:val="num" w:pos="283"/>
      </w:tabs>
      <w:ind w:left="284" w:hanging="284"/>
    </w:pPr>
    <w:rPr>
      <w:sz w:val="15"/>
      <w:szCs w:val="15"/>
    </w:rPr>
  </w:style>
  <w:style w:type="character" w:customStyle="1" w:styleId="FramedFooter">
    <w:name w:val="Framed Footer"/>
    <w:rsid w:val="00D407C0"/>
    <w:rPr>
      <w:rFonts w:ascii="Calibri" w:hAnsi="Calibri"/>
      <w:color w:val="003E74"/>
      <w:sz w:val="18"/>
      <w:szCs w:val="18"/>
    </w:rPr>
  </w:style>
  <w:style w:type="paragraph" w:customStyle="1" w:styleId="Source">
    <w:name w:val="Source"/>
    <w:basedOn w:val="HeadingBase"/>
    <w:next w:val="Normal"/>
    <w:rsid w:val="008B6006"/>
    <w:rPr>
      <w:color w:val="000000"/>
      <w:sz w:val="16"/>
      <w:szCs w:val="16"/>
    </w:rPr>
  </w:style>
  <w:style w:type="paragraph" w:customStyle="1" w:styleId="TableTextColumnHeadingRight">
    <w:name w:val="Table Text Column Heading Right"/>
    <w:basedOn w:val="TableTextBase"/>
    <w:rsid w:val="008B6006"/>
  </w:style>
  <w:style w:type="paragraph" w:customStyle="1" w:styleId="Title2">
    <w:name w:val="Title 2"/>
    <w:basedOn w:val="HeadingBase"/>
    <w:rsid w:val="008B6006"/>
    <w:pPr>
      <w:spacing w:after="360"/>
      <w:jc w:val="center"/>
    </w:pPr>
    <w:rPr>
      <w:sz w:val="36"/>
      <w:szCs w:val="36"/>
    </w:rPr>
  </w:style>
  <w:style w:type="paragraph" w:styleId="NormalIndent">
    <w:name w:val="Normal Indent"/>
    <w:basedOn w:val="Normal"/>
    <w:rsid w:val="00D407C0"/>
    <w:pPr>
      <w:ind w:left="567"/>
    </w:pPr>
  </w:style>
  <w:style w:type="paragraph" w:styleId="ListNumber">
    <w:name w:val="List Number"/>
    <w:basedOn w:val="Normal"/>
    <w:rsid w:val="008B6006"/>
    <w:pPr>
      <w:tabs>
        <w:tab w:val="num" w:pos="1492"/>
      </w:tabs>
      <w:ind w:left="360" w:hanging="360"/>
    </w:pPr>
  </w:style>
  <w:style w:type="paragraph" w:customStyle="1" w:styleId="TableTextIndent">
    <w:name w:val="Table Text Indent"/>
    <w:basedOn w:val="TableTextBase"/>
    <w:rsid w:val="008B6006"/>
  </w:style>
  <w:style w:type="paragraph" w:styleId="Title">
    <w:name w:val="Title"/>
    <w:basedOn w:val="HeadingBase"/>
    <w:link w:val="TitleChar"/>
    <w:qFormat/>
    <w:rsid w:val="008B6006"/>
    <w:pPr>
      <w:spacing w:after="480"/>
      <w:jc w:val="center"/>
    </w:pPr>
    <w:rPr>
      <w:b/>
      <w:bCs/>
      <w:sz w:val="48"/>
      <w:szCs w:val="48"/>
    </w:rPr>
  </w:style>
  <w:style w:type="character" w:customStyle="1" w:styleId="TitleChar">
    <w:name w:val="Title Char"/>
    <w:basedOn w:val="DefaultParagraphFont"/>
    <w:link w:val="Title"/>
    <w:rsid w:val="008B6006"/>
    <w:rPr>
      <w:rFonts w:ascii="Arial" w:eastAsia="Times New Roman" w:hAnsi="Arial" w:cs="Times New Roman"/>
      <w:b/>
      <w:bCs/>
      <w:color w:val="003E74"/>
      <w:sz w:val="48"/>
      <w:szCs w:val="48"/>
      <w:lang w:eastAsia="en-AU"/>
    </w:rPr>
  </w:style>
  <w:style w:type="paragraph" w:styleId="MacroText">
    <w:name w:val="macro"/>
    <w:link w:val="MacroTextChar"/>
    <w:rsid w:val="00D407C0"/>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rsid w:val="008B6006"/>
    <w:rPr>
      <w:rFonts w:ascii="Courier New" w:eastAsia="Times New Roman" w:hAnsi="Courier New" w:cs="Courier New"/>
      <w:color w:val="000000"/>
      <w:sz w:val="20"/>
      <w:szCs w:val="20"/>
      <w:lang w:eastAsia="en-AU"/>
    </w:rPr>
  </w:style>
  <w:style w:type="paragraph" w:customStyle="1" w:styleId="Classification">
    <w:name w:val="Classification"/>
    <w:basedOn w:val="HeadingBase"/>
    <w:next w:val="Footer"/>
    <w:rsid w:val="00D407C0"/>
    <w:pPr>
      <w:spacing w:after="120"/>
      <w:jc w:val="center"/>
    </w:pPr>
    <w:rPr>
      <w:b/>
      <w:smallCaps/>
    </w:rPr>
  </w:style>
  <w:style w:type="paragraph" w:customStyle="1" w:styleId="TableTextColumnHeadingCentre">
    <w:name w:val="Table Text Column Heading Centre"/>
    <w:basedOn w:val="TableTextBase"/>
    <w:rsid w:val="008B6006"/>
  </w:style>
  <w:style w:type="paragraph" w:customStyle="1" w:styleId="Normalbold">
    <w:name w:val="Normal bold"/>
    <w:basedOn w:val="Normal"/>
    <w:rsid w:val="008B6006"/>
    <w:pPr>
      <w:jc w:val="left"/>
    </w:pPr>
    <w:rPr>
      <w:b/>
      <w:bCs/>
    </w:rPr>
  </w:style>
  <w:style w:type="paragraph" w:styleId="NoteHeading">
    <w:name w:val="Note Heading"/>
    <w:basedOn w:val="HeadingBase"/>
    <w:next w:val="Normal"/>
    <w:link w:val="NoteHeadingChar"/>
    <w:rsid w:val="008B6006"/>
    <w:rPr>
      <w:color w:val="000000"/>
      <w:sz w:val="16"/>
      <w:szCs w:val="16"/>
    </w:rPr>
  </w:style>
  <w:style w:type="character" w:customStyle="1" w:styleId="NoteHeadingChar">
    <w:name w:val="Note Heading Char"/>
    <w:basedOn w:val="DefaultParagraphFont"/>
    <w:link w:val="NoteHeading"/>
    <w:rsid w:val="008B6006"/>
    <w:rPr>
      <w:rFonts w:ascii="Arial" w:eastAsia="Times New Roman" w:hAnsi="Arial" w:cs="Times New Roman"/>
      <w:color w:val="000000"/>
      <w:sz w:val="16"/>
      <w:szCs w:val="16"/>
      <w:lang w:eastAsia="en-AU"/>
    </w:rPr>
  </w:style>
  <w:style w:type="paragraph" w:customStyle="1" w:styleId="ChapterHeaderTitle">
    <w:name w:val="Chapter Header Title"/>
    <w:basedOn w:val="HeadingBase"/>
    <w:rsid w:val="008B6006"/>
    <w:pPr>
      <w:spacing w:before="284" w:after="113"/>
    </w:pPr>
    <w:rPr>
      <w:color w:val="FFFFFF"/>
      <w:sz w:val="48"/>
      <w:szCs w:val="48"/>
    </w:rPr>
  </w:style>
  <w:style w:type="paragraph" w:customStyle="1" w:styleId="ChapterHeaderNo">
    <w:name w:val="Chapter Header No"/>
    <w:basedOn w:val="Header"/>
    <w:rsid w:val="008B6006"/>
    <w:pPr>
      <w:jc w:val="center"/>
    </w:pPr>
    <w:rPr>
      <w:rFonts w:ascii="Arial Bold" w:hAnsi="Arial Bold" w:cs="Arial Bold"/>
      <w:b/>
      <w:bCs/>
      <w:sz w:val="32"/>
      <w:szCs w:val="32"/>
    </w:rPr>
  </w:style>
  <w:style w:type="paragraph" w:customStyle="1" w:styleId="Contents">
    <w:name w:val="Contents"/>
    <w:basedOn w:val="Normal"/>
    <w:next w:val="TOC1"/>
    <w:rsid w:val="008B6006"/>
    <w:pPr>
      <w:keepNext/>
      <w:spacing w:after="120" w:line="240" w:lineRule="auto"/>
    </w:pPr>
    <w:rPr>
      <w:rFonts w:ascii="Arial Bold" w:hAnsi="Arial Bold" w:cs="Arial Bold"/>
      <w:b/>
      <w:bCs/>
      <w:smallCaps/>
      <w:color w:val="333192"/>
      <w:sz w:val="36"/>
      <w:szCs w:val="36"/>
    </w:rPr>
  </w:style>
  <w:style w:type="paragraph" w:styleId="BodyText3">
    <w:name w:val="Body Text 3"/>
    <w:basedOn w:val="Normal"/>
    <w:link w:val="BodyText3Char"/>
    <w:rsid w:val="008B6006"/>
  </w:style>
  <w:style w:type="character" w:customStyle="1" w:styleId="BodyText3Char">
    <w:name w:val="Body Text 3 Char"/>
    <w:basedOn w:val="DefaultParagraphFont"/>
    <w:link w:val="BodyText3"/>
    <w:rsid w:val="008B6006"/>
    <w:rPr>
      <w:rFonts w:ascii="Book Antiqua" w:eastAsia="Times New Roman" w:hAnsi="Book Antiqua" w:cs="Times New Roman"/>
      <w:color w:val="000000"/>
      <w:sz w:val="20"/>
      <w:szCs w:val="20"/>
      <w:lang w:eastAsia="en-AU"/>
    </w:rPr>
  </w:style>
  <w:style w:type="paragraph" w:customStyle="1" w:styleId="ChapterNo">
    <w:name w:val="Chapter No"/>
    <w:basedOn w:val="HeadingBase"/>
    <w:next w:val="Heading1"/>
    <w:rsid w:val="008B6006"/>
    <w:pPr>
      <w:pBdr>
        <w:bottom w:val="single" w:sz="4" w:space="1" w:color="auto"/>
      </w:pBdr>
    </w:pPr>
    <w:rPr>
      <w:caps/>
      <w:color w:val="000000"/>
      <w:sz w:val="16"/>
      <w:szCs w:val="16"/>
    </w:rPr>
  </w:style>
  <w:style w:type="paragraph" w:styleId="DocumentMap">
    <w:name w:val="Document Map"/>
    <w:basedOn w:val="Normal"/>
    <w:link w:val="DocumentMapChar"/>
    <w:rsid w:val="00D407C0"/>
    <w:pPr>
      <w:shd w:val="clear" w:color="auto" w:fill="000080"/>
    </w:pPr>
    <w:rPr>
      <w:rFonts w:ascii="Tahoma" w:hAnsi="Tahoma" w:cs="Tahoma"/>
    </w:rPr>
  </w:style>
  <w:style w:type="character" w:customStyle="1" w:styleId="DocumentMapChar">
    <w:name w:val="Document Map Char"/>
    <w:basedOn w:val="DefaultParagraphFont"/>
    <w:link w:val="DocumentMap"/>
    <w:rsid w:val="008B6006"/>
    <w:rPr>
      <w:rFonts w:ascii="Tahoma" w:eastAsia="Times New Roman" w:hAnsi="Tahoma" w:cs="Tahoma"/>
      <w:color w:val="000000"/>
      <w:sz w:val="20"/>
      <w:szCs w:val="20"/>
      <w:shd w:val="clear" w:color="auto" w:fill="000080"/>
      <w:lang w:eastAsia="en-AU"/>
    </w:rPr>
  </w:style>
  <w:style w:type="paragraph" w:customStyle="1" w:styleId="AlphaParagraph">
    <w:name w:val="Alpha Paragraph"/>
    <w:basedOn w:val="Normal"/>
    <w:rsid w:val="00D407C0"/>
    <w:pPr>
      <w:numPr>
        <w:numId w:val="4"/>
      </w:numPr>
      <w:tabs>
        <w:tab w:val="clear" w:pos="1134"/>
        <w:tab w:val="num" w:pos="360"/>
      </w:tabs>
      <w:ind w:left="0" w:firstLine="0"/>
    </w:pPr>
  </w:style>
  <w:style w:type="paragraph" w:customStyle="1" w:styleId="AppendixHeading">
    <w:name w:val="Appendix Heading"/>
    <w:basedOn w:val="HeadingBase"/>
    <w:next w:val="Normal"/>
    <w:rsid w:val="00D407C0"/>
    <w:pPr>
      <w:spacing w:before="720" w:after="360"/>
    </w:pPr>
    <w:rPr>
      <w:b/>
      <w:smallCaps/>
      <w:sz w:val="36"/>
      <w:szCs w:val="36"/>
    </w:rPr>
  </w:style>
  <w:style w:type="character" w:customStyle="1" w:styleId="Bold">
    <w:name w:val="Bold"/>
    <w:basedOn w:val="DefaultParagraphFont"/>
    <w:rsid w:val="00D407C0"/>
    <w:rPr>
      <w:b/>
    </w:rPr>
  </w:style>
  <w:style w:type="paragraph" w:customStyle="1" w:styleId="BoxHeading">
    <w:name w:val="Box Heading"/>
    <w:basedOn w:val="HeadingBase"/>
    <w:next w:val="BoxText"/>
    <w:rsid w:val="00D407C0"/>
    <w:pPr>
      <w:spacing w:after="240"/>
    </w:pPr>
    <w:rPr>
      <w:b/>
      <w:color w:val="FFFFFF" w:themeColor="background1"/>
      <w:sz w:val="28"/>
    </w:rPr>
  </w:style>
  <w:style w:type="paragraph" w:customStyle="1" w:styleId="BoxTextBase">
    <w:name w:val="Box Text Base"/>
    <w:basedOn w:val="Normal"/>
    <w:rsid w:val="00D407C0"/>
    <w:pPr>
      <w:spacing w:line="240" w:lineRule="auto"/>
    </w:pPr>
    <w:rPr>
      <w:color w:val="FFFFFF" w:themeColor="background1"/>
    </w:rPr>
  </w:style>
  <w:style w:type="paragraph" w:customStyle="1" w:styleId="ChartMainHeading">
    <w:name w:val="Chart Main Heading"/>
    <w:basedOn w:val="HeadingBase"/>
    <w:next w:val="ChartGraphic"/>
    <w:rsid w:val="00D407C0"/>
    <w:pPr>
      <w:keepNext/>
      <w:spacing w:before="170" w:after="113"/>
    </w:pPr>
    <w:rPr>
      <w:b/>
      <w:sz w:val="22"/>
    </w:rPr>
  </w:style>
  <w:style w:type="paragraph" w:customStyle="1" w:styleId="ChartorTableNote">
    <w:name w:val="Chart or Table Note"/>
    <w:next w:val="Normal"/>
    <w:rsid w:val="00D407C0"/>
    <w:pPr>
      <w:spacing w:after="0" w:line="240" w:lineRule="auto"/>
      <w:jc w:val="both"/>
    </w:pPr>
    <w:rPr>
      <w:rFonts w:ascii="Arial" w:eastAsia="Times New Roman" w:hAnsi="Arial" w:cs="Times New Roman"/>
      <w:color w:val="000000"/>
      <w:sz w:val="16"/>
      <w:szCs w:val="20"/>
      <w:lang w:eastAsia="en-AU"/>
    </w:rPr>
  </w:style>
  <w:style w:type="paragraph" w:customStyle="1" w:styleId="FooterCentered">
    <w:name w:val="Footer Centered"/>
    <w:basedOn w:val="Footer"/>
    <w:rsid w:val="00D407C0"/>
    <w:pPr>
      <w:jc w:val="center"/>
    </w:pPr>
  </w:style>
  <w:style w:type="paragraph" w:customStyle="1" w:styleId="RecommendationHeading">
    <w:name w:val="Recommendation Heading"/>
    <w:basedOn w:val="HeadingBase"/>
    <w:next w:val="RecommendationText"/>
    <w:rsid w:val="00D407C0"/>
    <w:pPr>
      <w:spacing w:after="240"/>
    </w:pPr>
    <w:rPr>
      <w:b/>
      <w:sz w:val="22"/>
    </w:rPr>
  </w:style>
  <w:style w:type="paragraph" w:customStyle="1" w:styleId="RecommendationBaseText">
    <w:name w:val="Recommendation Base Text"/>
    <w:basedOn w:val="Normal"/>
    <w:rsid w:val="00D407C0"/>
    <w:rPr>
      <w:rFonts w:ascii="Calibri" w:hAnsi="Calibri"/>
    </w:rPr>
  </w:style>
  <w:style w:type="paragraph" w:customStyle="1" w:styleId="RecommendationText">
    <w:name w:val="Recommendation Text"/>
    <w:basedOn w:val="RecommendationBaseText"/>
    <w:rsid w:val="00D407C0"/>
    <w:rPr>
      <w:rFonts w:asciiTheme="minorHAnsi" w:hAnsiTheme="minorHAnsi"/>
    </w:rPr>
  </w:style>
  <w:style w:type="paragraph" w:customStyle="1" w:styleId="TableColumnHeadingCentred">
    <w:name w:val="Table Column Heading Centred"/>
    <w:basedOn w:val="TableTextBase"/>
    <w:rsid w:val="00D407C0"/>
    <w:pPr>
      <w:jc w:val="center"/>
    </w:pPr>
    <w:rPr>
      <w:b/>
    </w:rPr>
  </w:style>
  <w:style w:type="paragraph" w:customStyle="1" w:styleId="TableColumnHeadingLeft">
    <w:name w:val="Table Column Heading Left"/>
    <w:basedOn w:val="TableTextBase"/>
    <w:rsid w:val="00D407C0"/>
    <w:rPr>
      <w:b/>
    </w:rPr>
  </w:style>
  <w:style w:type="paragraph" w:customStyle="1" w:styleId="TableColumnHeadingRight">
    <w:name w:val="Table Column Heading Right"/>
    <w:basedOn w:val="TableTextBase"/>
    <w:rsid w:val="00D407C0"/>
    <w:pPr>
      <w:jc w:val="right"/>
    </w:pPr>
    <w:rPr>
      <w:b/>
    </w:rPr>
  </w:style>
  <w:style w:type="paragraph" w:customStyle="1" w:styleId="TableMainHeading">
    <w:name w:val="Table Main Heading"/>
    <w:basedOn w:val="HeadingBase"/>
    <w:next w:val="TableGraphic"/>
    <w:rsid w:val="00D407C0"/>
    <w:pPr>
      <w:keepNext/>
      <w:spacing w:before="170" w:after="113"/>
    </w:pPr>
    <w:rPr>
      <w:b/>
      <w:sz w:val="22"/>
    </w:rPr>
  </w:style>
  <w:style w:type="paragraph" w:customStyle="1" w:styleId="TableMainHeadingContd">
    <w:name w:val="Table Main Heading Contd"/>
    <w:basedOn w:val="HeadingBase"/>
    <w:next w:val="TableGraphic"/>
    <w:rsid w:val="00D407C0"/>
    <w:pPr>
      <w:keepNext/>
      <w:spacing w:after="20"/>
    </w:pPr>
    <w:rPr>
      <w:b/>
      <w:sz w:val="22"/>
    </w:rPr>
  </w:style>
  <w:style w:type="paragraph" w:customStyle="1" w:styleId="TableSecondHeading">
    <w:name w:val="Table Second Heading"/>
    <w:basedOn w:val="HeadingBase"/>
    <w:next w:val="TableGraphic"/>
    <w:rsid w:val="00D407C0"/>
    <w:pPr>
      <w:keepNext/>
      <w:spacing w:after="20"/>
    </w:pPr>
  </w:style>
  <w:style w:type="paragraph" w:customStyle="1" w:styleId="TableTextCentered">
    <w:name w:val="Table Text Centered"/>
    <w:basedOn w:val="TableTextBase"/>
    <w:rsid w:val="00D407C0"/>
    <w:pPr>
      <w:jc w:val="center"/>
    </w:pPr>
  </w:style>
  <w:style w:type="paragraph" w:customStyle="1" w:styleId="TableTextIndented">
    <w:name w:val="Table Text Indented"/>
    <w:basedOn w:val="TableTextBase"/>
    <w:rsid w:val="00D407C0"/>
    <w:pPr>
      <w:ind w:left="284"/>
    </w:pPr>
  </w:style>
  <w:style w:type="character" w:customStyle="1" w:styleId="Italic">
    <w:name w:val="Italic"/>
    <w:basedOn w:val="DefaultParagraphFont"/>
    <w:rsid w:val="00D407C0"/>
    <w:rPr>
      <w:i/>
    </w:rPr>
  </w:style>
  <w:style w:type="paragraph" w:customStyle="1" w:styleId="OneLevelNumberedParagraph">
    <w:name w:val="One Level Numbered Paragraph"/>
    <w:basedOn w:val="Normal"/>
    <w:rsid w:val="00D407C0"/>
    <w:pPr>
      <w:numPr>
        <w:numId w:val="7"/>
      </w:numPr>
    </w:pPr>
  </w:style>
  <w:style w:type="paragraph" w:customStyle="1" w:styleId="BoxText">
    <w:name w:val="Box Text"/>
    <w:basedOn w:val="BoxTextBase"/>
    <w:rsid w:val="00D407C0"/>
  </w:style>
  <w:style w:type="paragraph" w:customStyle="1" w:styleId="BoxBullet">
    <w:name w:val="Box Bullet"/>
    <w:basedOn w:val="BoxTextBase"/>
    <w:rsid w:val="00D407C0"/>
    <w:pPr>
      <w:numPr>
        <w:numId w:val="6"/>
      </w:numPr>
    </w:pPr>
  </w:style>
  <w:style w:type="paragraph" w:customStyle="1" w:styleId="BoxDash">
    <w:name w:val="Box Dash"/>
    <w:basedOn w:val="Normal"/>
    <w:rsid w:val="00D407C0"/>
    <w:pPr>
      <w:numPr>
        <w:ilvl w:val="1"/>
        <w:numId w:val="6"/>
      </w:numPr>
    </w:pPr>
    <w:rPr>
      <w:color w:val="FFFFFF" w:themeColor="background1"/>
    </w:rPr>
  </w:style>
  <w:style w:type="paragraph" w:customStyle="1" w:styleId="BoxDoubleDot">
    <w:name w:val="Box Double Dot"/>
    <w:basedOn w:val="BoxTextBase"/>
    <w:rsid w:val="00D407C0"/>
    <w:pPr>
      <w:numPr>
        <w:ilvl w:val="2"/>
        <w:numId w:val="6"/>
      </w:numPr>
    </w:pPr>
  </w:style>
  <w:style w:type="paragraph" w:customStyle="1" w:styleId="RecommendationBullet">
    <w:name w:val="Recommendation Bullet"/>
    <w:basedOn w:val="RecommendationBaseText"/>
    <w:rsid w:val="00D407C0"/>
    <w:pPr>
      <w:numPr>
        <w:numId w:val="8"/>
      </w:numPr>
    </w:pPr>
  </w:style>
  <w:style w:type="paragraph" w:customStyle="1" w:styleId="RecommendationDash">
    <w:name w:val="Recommendation Dash"/>
    <w:basedOn w:val="RecommendationBaseText"/>
    <w:rsid w:val="00D407C0"/>
    <w:pPr>
      <w:numPr>
        <w:ilvl w:val="1"/>
        <w:numId w:val="8"/>
      </w:numPr>
    </w:pPr>
  </w:style>
  <w:style w:type="paragraph" w:customStyle="1" w:styleId="RecommendationDoubleDot">
    <w:name w:val="Recommendation Double Dot"/>
    <w:basedOn w:val="RecommendationBaseText"/>
    <w:rsid w:val="00D407C0"/>
    <w:pPr>
      <w:numPr>
        <w:ilvl w:val="2"/>
        <w:numId w:val="8"/>
      </w:numPr>
    </w:pPr>
  </w:style>
  <w:style w:type="character" w:customStyle="1" w:styleId="Boldanditalic">
    <w:name w:val="Bold and italic"/>
    <w:basedOn w:val="DefaultParagraphFont"/>
    <w:rsid w:val="00D407C0"/>
    <w:rPr>
      <w:b/>
      <w:i/>
    </w:rPr>
  </w:style>
  <w:style w:type="paragraph" w:styleId="Caption">
    <w:name w:val="caption"/>
    <w:basedOn w:val="Normal"/>
    <w:next w:val="Normal"/>
    <w:qFormat/>
    <w:rsid w:val="00D407C0"/>
    <w:pPr>
      <w:spacing w:before="120" w:after="120"/>
    </w:pPr>
    <w:rPr>
      <w:b/>
      <w:bCs/>
    </w:rPr>
  </w:style>
  <w:style w:type="character" w:styleId="CommentReference">
    <w:name w:val="annotation reference"/>
    <w:basedOn w:val="DefaultParagraphFont"/>
    <w:rsid w:val="00D407C0"/>
    <w:rPr>
      <w:sz w:val="16"/>
      <w:szCs w:val="16"/>
    </w:rPr>
  </w:style>
  <w:style w:type="paragraph" w:styleId="CommentText">
    <w:name w:val="annotation text"/>
    <w:basedOn w:val="Normal"/>
    <w:link w:val="CommentTextChar"/>
    <w:rsid w:val="00D407C0"/>
  </w:style>
  <w:style w:type="character" w:customStyle="1" w:styleId="CommentTextChar">
    <w:name w:val="Comment Text Char"/>
    <w:basedOn w:val="DefaultParagraphFont"/>
    <w:link w:val="CommentText"/>
    <w:rsid w:val="008B6006"/>
    <w:rPr>
      <w:rFonts w:eastAsia="Times New Roman" w:cs="Times New Roman"/>
      <w:color w:val="000000"/>
      <w:sz w:val="20"/>
      <w:szCs w:val="20"/>
      <w:lang w:eastAsia="en-AU"/>
    </w:rPr>
  </w:style>
  <w:style w:type="paragraph" w:styleId="CommentSubject">
    <w:name w:val="annotation subject"/>
    <w:basedOn w:val="CommentText"/>
    <w:next w:val="CommentText"/>
    <w:link w:val="CommentSubjectChar"/>
    <w:rsid w:val="00D407C0"/>
    <w:rPr>
      <w:b/>
      <w:bCs/>
    </w:rPr>
  </w:style>
  <w:style w:type="character" w:customStyle="1" w:styleId="CommentSubjectChar">
    <w:name w:val="Comment Subject Char"/>
    <w:basedOn w:val="CommentTextChar"/>
    <w:link w:val="CommentSubject"/>
    <w:rsid w:val="008B6006"/>
    <w:rPr>
      <w:rFonts w:eastAsia="Times New Roman" w:cs="Times New Roman"/>
      <w:b/>
      <w:bCs/>
      <w:color w:val="000000"/>
      <w:sz w:val="20"/>
      <w:szCs w:val="20"/>
      <w:lang w:eastAsia="en-AU"/>
    </w:rPr>
  </w:style>
  <w:style w:type="character" w:styleId="EndnoteReference">
    <w:name w:val="endnote reference"/>
    <w:basedOn w:val="DefaultParagraphFont"/>
    <w:rsid w:val="00D407C0"/>
    <w:rPr>
      <w:vertAlign w:val="superscript"/>
    </w:rPr>
  </w:style>
  <w:style w:type="paragraph" w:styleId="EndnoteText">
    <w:name w:val="endnote text"/>
    <w:basedOn w:val="Normal"/>
    <w:link w:val="EndnoteTextChar"/>
    <w:rsid w:val="00D407C0"/>
  </w:style>
  <w:style w:type="character" w:customStyle="1" w:styleId="EndnoteTextChar">
    <w:name w:val="Endnote Text Char"/>
    <w:basedOn w:val="DefaultParagraphFont"/>
    <w:link w:val="EndnoteText"/>
    <w:rsid w:val="008B6006"/>
    <w:rPr>
      <w:rFonts w:eastAsia="Times New Roman" w:cs="Times New Roman"/>
      <w:color w:val="000000"/>
      <w:sz w:val="20"/>
      <w:szCs w:val="20"/>
      <w:lang w:eastAsia="en-AU"/>
    </w:rPr>
  </w:style>
  <w:style w:type="paragraph" w:styleId="Index4">
    <w:name w:val="index 4"/>
    <w:basedOn w:val="Normal"/>
    <w:next w:val="Normal"/>
    <w:autoRedefine/>
    <w:rsid w:val="00D407C0"/>
    <w:pPr>
      <w:ind w:left="800" w:hanging="200"/>
    </w:pPr>
  </w:style>
  <w:style w:type="paragraph" w:styleId="Index5">
    <w:name w:val="index 5"/>
    <w:basedOn w:val="Normal"/>
    <w:next w:val="Normal"/>
    <w:autoRedefine/>
    <w:rsid w:val="00D407C0"/>
    <w:pPr>
      <w:ind w:left="1000" w:hanging="200"/>
    </w:pPr>
  </w:style>
  <w:style w:type="paragraph" w:styleId="Index6">
    <w:name w:val="index 6"/>
    <w:basedOn w:val="Normal"/>
    <w:next w:val="Normal"/>
    <w:autoRedefine/>
    <w:rsid w:val="00D407C0"/>
    <w:pPr>
      <w:ind w:left="1200" w:hanging="200"/>
    </w:pPr>
  </w:style>
  <w:style w:type="paragraph" w:styleId="Index7">
    <w:name w:val="index 7"/>
    <w:basedOn w:val="Normal"/>
    <w:next w:val="Normal"/>
    <w:autoRedefine/>
    <w:rsid w:val="00D407C0"/>
    <w:pPr>
      <w:ind w:left="1400" w:hanging="200"/>
    </w:pPr>
  </w:style>
  <w:style w:type="paragraph" w:styleId="Index8">
    <w:name w:val="index 8"/>
    <w:basedOn w:val="Normal"/>
    <w:next w:val="Normal"/>
    <w:autoRedefine/>
    <w:rsid w:val="00D407C0"/>
    <w:pPr>
      <w:ind w:left="1600" w:hanging="200"/>
    </w:pPr>
  </w:style>
  <w:style w:type="paragraph" w:styleId="Index9">
    <w:name w:val="index 9"/>
    <w:basedOn w:val="Normal"/>
    <w:next w:val="Normal"/>
    <w:autoRedefine/>
    <w:rsid w:val="00D407C0"/>
    <w:pPr>
      <w:ind w:left="1800" w:hanging="200"/>
    </w:pPr>
  </w:style>
  <w:style w:type="paragraph" w:styleId="TableofAuthorities">
    <w:name w:val="table of authorities"/>
    <w:basedOn w:val="Normal"/>
    <w:next w:val="Normal"/>
    <w:rsid w:val="00D407C0"/>
    <w:pPr>
      <w:ind w:left="200" w:hanging="200"/>
    </w:pPr>
  </w:style>
  <w:style w:type="paragraph" w:styleId="TableofFigures">
    <w:name w:val="table of figures"/>
    <w:basedOn w:val="Normal"/>
    <w:next w:val="Normal"/>
    <w:rsid w:val="00D407C0"/>
    <w:pPr>
      <w:ind w:left="400" w:hanging="400"/>
    </w:pPr>
  </w:style>
  <w:style w:type="paragraph" w:styleId="TOAHeading">
    <w:name w:val="toa heading"/>
    <w:basedOn w:val="Normal"/>
    <w:next w:val="Normal"/>
    <w:rsid w:val="00D407C0"/>
    <w:pPr>
      <w:spacing w:before="120"/>
    </w:pPr>
    <w:rPr>
      <w:rFonts w:ascii="Calibri" w:hAnsi="Calibri" w:cs="Arial"/>
      <w:b/>
      <w:bCs/>
      <w:sz w:val="24"/>
      <w:szCs w:val="24"/>
    </w:rPr>
  </w:style>
  <w:style w:type="paragraph" w:customStyle="1" w:styleId="AppendixAHeading3">
    <w:name w:val="AppendixAHeading3"/>
    <w:basedOn w:val="Heading3"/>
    <w:next w:val="AppendixAHeading4"/>
    <w:rsid w:val="00D407C0"/>
    <w:pPr>
      <w:numPr>
        <w:numId w:val="11"/>
      </w:numPr>
    </w:pPr>
    <w:rPr>
      <w:i/>
    </w:rPr>
  </w:style>
  <w:style w:type="paragraph" w:customStyle="1" w:styleId="AppendixAHeading4">
    <w:name w:val="AppendixAHeading4"/>
    <w:basedOn w:val="Heading4"/>
    <w:next w:val="Bullet"/>
    <w:rsid w:val="00D407C0"/>
    <w:pPr>
      <w:numPr>
        <w:ilvl w:val="1"/>
        <w:numId w:val="12"/>
      </w:numPr>
    </w:pPr>
  </w:style>
  <w:style w:type="paragraph" w:customStyle="1" w:styleId="AppendixGHeading3">
    <w:name w:val="AppendixGHeading3"/>
    <w:basedOn w:val="Heading3"/>
    <w:rsid w:val="00D407C0"/>
    <w:pPr>
      <w:numPr>
        <w:numId w:val="10"/>
      </w:numPr>
    </w:pPr>
  </w:style>
  <w:style w:type="paragraph" w:customStyle="1" w:styleId="Heading3TOC">
    <w:name w:val="Heading 3 TOC"/>
    <w:basedOn w:val="Heading3"/>
    <w:rsid w:val="008B6006"/>
  </w:style>
  <w:style w:type="character" w:customStyle="1" w:styleId="HeadingBaseChar">
    <w:name w:val="Heading Base Char"/>
    <w:link w:val="HeadingBase"/>
    <w:locked/>
    <w:rsid w:val="008B6006"/>
    <w:rPr>
      <w:rFonts w:ascii="Calibri" w:eastAsia="Times New Roman" w:hAnsi="Calibri" w:cs="Times New Roman"/>
      <w:color w:val="003E74"/>
      <w:sz w:val="20"/>
      <w:szCs w:val="20"/>
      <w:lang w:eastAsia="en-AU"/>
    </w:rPr>
  </w:style>
  <w:style w:type="paragraph" w:customStyle="1" w:styleId="CharCharCharCharCharChar">
    <w:name w:val="Char Char Char Char Char Char"/>
    <w:basedOn w:val="Normal"/>
    <w:rsid w:val="008B6006"/>
    <w:pPr>
      <w:spacing w:after="160" w:line="240" w:lineRule="exact"/>
      <w:jc w:val="left"/>
    </w:pPr>
    <w:rPr>
      <w:rFonts w:ascii="Verdana" w:hAnsi="Verdana"/>
      <w:color w:val="auto"/>
      <w:szCs w:val="24"/>
      <w:lang w:val="en-US" w:eastAsia="en-US"/>
    </w:rPr>
  </w:style>
  <w:style w:type="table" w:styleId="TableGrid">
    <w:name w:val="Table Grid"/>
    <w:basedOn w:val="TableNormal"/>
    <w:rsid w:val="008B6006"/>
    <w:pPr>
      <w:spacing w:after="240" w:line="260" w:lineRule="exact"/>
      <w:jc w:val="both"/>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noTOC">
    <w:name w:val="Heading 3 no TOC"/>
    <w:basedOn w:val="Heading3"/>
    <w:rsid w:val="00D407C0"/>
    <w:pPr>
      <w:outlineLvl w:val="9"/>
    </w:pPr>
  </w:style>
  <w:style w:type="character" w:styleId="FollowedHyperlink">
    <w:name w:val="FollowedHyperlink"/>
    <w:basedOn w:val="DefaultParagraphFont"/>
    <w:rsid w:val="00D407C0"/>
    <w:rPr>
      <w:color w:val="000000"/>
      <w:u w:val="none"/>
    </w:rPr>
  </w:style>
  <w:style w:type="paragraph" w:customStyle="1" w:styleId="Style1">
    <w:name w:val="Style1"/>
    <w:basedOn w:val="AppendixAHeading3"/>
    <w:next w:val="AppendixAHeading4"/>
    <w:rsid w:val="00D407C0"/>
    <w:pPr>
      <w:numPr>
        <w:numId w:val="0"/>
      </w:numPr>
    </w:pPr>
  </w:style>
  <w:style w:type="paragraph" w:customStyle="1" w:styleId="AppendixAHeading3NotItalic">
    <w:name w:val="AppendixAHeading3NotItalic"/>
    <w:basedOn w:val="HeadingBase"/>
    <w:next w:val="AppendixAHeading4"/>
    <w:rsid w:val="00D407C0"/>
    <w:pPr>
      <w:numPr>
        <w:numId w:val="12"/>
      </w:numPr>
      <w:spacing w:before="57" w:after="57" w:line="280" w:lineRule="exact"/>
    </w:pPr>
    <w:rPr>
      <w:b/>
      <w:sz w:val="24"/>
    </w:rPr>
  </w:style>
  <w:style w:type="paragraph" w:customStyle="1" w:styleId="CharChar1Char">
    <w:name w:val="Char Char1 Char"/>
    <w:basedOn w:val="Normal"/>
    <w:rsid w:val="008B6006"/>
    <w:pPr>
      <w:spacing w:after="160" w:line="240" w:lineRule="exact"/>
      <w:jc w:val="left"/>
    </w:pPr>
    <w:rPr>
      <w:rFonts w:ascii="Arial" w:hAnsi="Arial"/>
      <w:color w:val="auto"/>
      <w:sz w:val="22"/>
      <w:lang w:val="en-GB" w:eastAsia="en-US"/>
    </w:rPr>
  </w:style>
  <w:style w:type="paragraph" w:customStyle="1" w:styleId="Heading2noTOC">
    <w:name w:val="Heading 2 no TOC"/>
    <w:basedOn w:val="Heading2"/>
    <w:next w:val="Normal"/>
    <w:rsid w:val="00D407C0"/>
    <w:pPr>
      <w:outlineLvl w:val="9"/>
    </w:pPr>
  </w:style>
  <w:style w:type="paragraph" w:customStyle="1" w:styleId="Heading9noTOC">
    <w:name w:val="Heading 9 no TOC"/>
    <w:basedOn w:val="Heading9"/>
    <w:rsid w:val="00D407C0"/>
    <w:pPr>
      <w:outlineLvl w:val="9"/>
    </w:pPr>
  </w:style>
  <w:style w:type="paragraph" w:styleId="NormalWeb">
    <w:name w:val="Normal (Web)"/>
    <w:basedOn w:val="Normal"/>
    <w:rsid w:val="00D407C0"/>
    <w:rPr>
      <w:rFonts w:ascii="Times New Roman" w:hAnsi="Times New Roman"/>
      <w:sz w:val="24"/>
      <w:szCs w:val="24"/>
    </w:rPr>
  </w:style>
  <w:style w:type="character" w:styleId="IntenseEmphasis">
    <w:name w:val="Intense Emphasis"/>
    <w:basedOn w:val="DefaultParagraphFont"/>
    <w:uiPriority w:val="21"/>
    <w:qFormat/>
    <w:rsid w:val="00D407C0"/>
    <w:rPr>
      <w:b/>
      <w:bCs/>
      <w:i/>
      <w:iCs/>
      <w:color w:val="003E74"/>
    </w:rPr>
  </w:style>
  <w:style w:type="paragraph" w:styleId="IntenseQuote">
    <w:name w:val="Intense Quote"/>
    <w:basedOn w:val="Normal"/>
    <w:next w:val="Normal"/>
    <w:link w:val="IntenseQuoteChar"/>
    <w:uiPriority w:val="30"/>
    <w:qFormat/>
    <w:rsid w:val="00D407C0"/>
    <w:pPr>
      <w:pBdr>
        <w:bottom w:val="single" w:sz="4" w:space="4" w:color="4F81BD" w:themeColor="accent1"/>
      </w:pBdr>
      <w:spacing w:before="200" w:after="280"/>
      <w:ind w:left="936" w:right="936"/>
    </w:pPr>
    <w:rPr>
      <w:b/>
      <w:bCs/>
      <w:i/>
      <w:iCs/>
      <w:color w:val="003E74"/>
    </w:rPr>
  </w:style>
  <w:style w:type="character" w:customStyle="1" w:styleId="IntenseQuoteChar">
    <w:name w:val="Intense Quote Char"/>
    <w:basedOn w:val="DefaultParagraphFont"/>
    <w:link w:val="IntenseQuote"/>
    <w:uiPriority w:val="30"/>
    <w:rsid w:val="00D407C0"/>
    <w:rPr>
      <w:rFonts w:eastAsia="Times New Roman" w:cs="Times New Roman"/>
      <w:b/>
      <w:bCs/>
      <w:i/>
      <w:iCs/>
      <w:color w:val="003E74"/>
      <w:sz w:val="20"/>
      <w:szCs w:val="20"/>
      <w:lang w:eastAsia="en-AU"/>
    </w:rPr>
  </w:style>
  <w:style w:type="paragraph" w:styleId="TOCHeading">
    <w:name w:val="TOC Heading"/>
    <w:basedOn w:val="Heading1"/>
    <w:next w:val="Normal"/>
    <w:uiPriority w:val="39"/>
    <w:unhideWhenUsed/>
    <w:qFormat/>
    <w:rsid w:val="00D407C0"/>
    <w:pPr>
      <w:keepLines/>
      <w:spacing w:before="480" w:after="0" w:line="260" w:lineRule="exact"/>
      <w:jc w:val="both"/>
      <w:outlineLvl w:val="9"/>
    </w:pPr>
    <w:rPr>
      <w:rFonts w:asciiTheme="majorHAnsi" w:eastAsiaTheme="majorEastAsia" w:hAnsiTheme="majorHAnsi" w:cstheme="majorBidi"/>
      <w:kern w:val="0"/>
      <w:sz w:val="28"/>
      <w:szCs w:val="28"/>
    </w:rPr>
  </w:style>
  <w:style w:type="paragraph" w:styleId="Revision">
    <w:name w:val="Revision"/>
    <w:hidden/>
    <w:uiPriority w:val="99"/>
    <w:semiHidden/>
    <w:rsid w:val="008B6006"/>
    <w:pPr>
      <w:spacing w:after="0" w:line="240" w:lineRule="auto"/>
    </w:pPr>
    <w:rPr>
      <w:rFonts w:ascii="Book Antiqua" w:eastAsia="Times New Roman" w:hAnsi="Book Antiqua" w:cs="Times New Roman"/>
      <w:color w:val="000000"/>
      <w:sz w:val="20"/>
      <w:szCs w:val="20"/>
      <w:lang w:eastAsia="en-AU"/>
    </w:rPr>
  </w:style>
  <w:style w:type="character" w:customStyle="1" w:styleId="Italics">
    <w:name w:val="Italics"/>
    <w:basedOn w:val="DefaultParagraphFont"/>
    <w:rsid w:val="00D407C0"/>
    <w:rPr>
      <w:i/>
    </w:rPr>
  </w:style>
  <w:style w:type="character" w:customStyle="1" w:styleId="A5">
    <w:name w:val="A5"/>
    <w:uiPriority w:val="99"/>
    <w:rsid w:val="00D407C0"/>
    <w:rPr>
      <w:rFonts w:cs="Swiss 721 BT"/>
      <w:color w:val="000000"/>
      <w:sz w:val="20"/>
      <w:szCs w:val="20"/>
    </w:rPr>
  </w:style>
  <w:style w:type="character" w:styleId="Emphasis">
    <w:name w:val="Emphasis"/>
    <w:uiPriority w:val="20"/>
    <w:qFormat/>
    <w:rsid w:val="008B6006"/>
    <w:rPr>
      <w:i/>
      <w:iCs/>
    </w:rPr>
  </w:style>
  <w:style w:type="paragraph" w:customStyle="1" w:styleId="Table">
    <w:name w:val="Table"/>
    <w:basedOn w:val="Normal"/>
    <w:rsid w:val="00D407C0"/>
  </w:style>
  <w:style w:type="paragraph" w:customStyle="1" w:styleId="StyleChartorTableNoteLeft0cmHanging1cm">
    <w:name w:val="Style Chart or Table Note + Left:  0 cm Hanging:  1 cm"/>
    <w:basedOn w:val="ChartorTableNote"/>
    <w:rsid w:val="008B6006"/>
    <w:pPr>
      <w:tabs>
        <w:tab w:val="left" w:pos="567"/>
      </w:tabs>
      <w:ind w:left="567" w:hanging="567"/>
    </w:pPr>
  </w:style>
  <w:style w:type="paragraph" w:customStyle="1" w:styleId="FootnoteTextBullet">
    <w:name w:val="Footnote Text Bullet"/>
    <w:basedOn w:val="FootnoteText"/>
    <w:rsid w:val="008B6006"/>
    <w:pPr>
      <w:numPr>
        <w:numId w:val="19"/>
      </w:numPr>
      <w:tabs>
        <w:tab w:val="clear" w:pos="284"/>
        <w:tab w:val="left" w:pos="567"/>
      </w:tabs>
      <w:ind w:left="568" w:hanging="284"/>
    </w:pPr>
  </w:style>
  <w:style w:type="paragraph" w:styleId="ListParagraph">
    <w:name w:val="List Paragraph"/>
    <w:basedOn w:val="Normal"/>
    <w:uiPriority w:val="34"/>
    <w:qFormat/>
    <w:rsid w:val="00402633"/>
    <w:pPr>
      <w:ind w:left="720"/>
      <w:contextualSpacing/>
    </w:pPr>
  </w:style>
  <w:style w:type="paragraph" w:customStyle="1" w:styleId="Default">
    <w:name w:val="Default"/>
    <w:rsid w:val="004C402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DashChar">
    <w:name w:val="Dash Char"/>
    <w:basedOn w:val="DefaultParagraphFont"/>
    <w:link w:val="Dash"/>
    <w:rsid w:val="00786B11"/>
    <w:rPr>
      <w:rFonts w:eastAsia="Times New Roman" w:cs="Times New Roman"/>
      <w:color w:val="000000"/>
      <w:sz w:val="20"/>
      <w:szCs w:val="20"/>
      <w:lang w:eastAsia="en-AU"/>
    </w:rPr>
  </w:style>
  <w:style w:type="character" w:customStyle="1" w:styleId="DoubleDotChar">
    <w:name w:val="Double Dot Char"/>
    <w:basedOn w:val="DefaultParagraphFont"/>
    <w:link w:val="DoubleDot"/>
    <w:rsid w:val="00786B11"/>
    <w:rPr>
      <w:rFonts w:eastAsia="Times New Roman" w:cs="Times New Roman"/>
      <w:color w:val="000000"/>
      <w:sz w:val="20"/>
      <w:szCs w:val="20"/>
      <w:lang w:eastAsia="en-AU"/>
    </w:rPr>
  </w:style>
  <w:style w:type="character" w:customStyle="1" w:styleId="apple-converted-space">
    <w:name w:val="apple-converted-space"/>
    <w:basedOn w:val="DefaultParagraphFont"/>
    <w:rsid w:val="00FE4498"/>
  </w:style>
  <w:style w:type="paragraph" w:customStyle="1" w:styleId="Circletext">
    <w:name w:val="Circle text"/>
    <w:basedOn w:val="BoxText"/>
    <w:qFormat/>
    <w:rsid w:val="00D407C0"/>
    <w:rPr>
      <w:b/>
      <w:sz w:val="24"/>
    </w:rPr>
  </w:style>
  <w:style w:type="paragraph" w:styleId="PlainText">
    <w:name w:val="Plain Text"/>
    <w:basedOn w:val="Normal"/>
    <w:link w:val="PlainTextChar"/>
    <w:uiPriority w:val="99"/>
    <w:semiHidden/>
    <w:unhideWhenUsed/>
    <w:rsid w:val="00C07DC3"/>
    <w:pPr>
      <w:spacing w:after="0" w:line="240" w:lineRule="auto"/>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C07DC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Title" w:semiHidden="0" w:uiPriority="0" w:unhideWhenUsed="0" w:qFormat="1"/>
    <w:lsdException w:name="Default Paragraph Font" w:uiPriority="1"/>
    <w:lsdException w:name="Subtitle" w:semiHidden="0" w:uiPriority="0" w:unhideWhenUsed="0" w:qFormat="1"/>
    <w:lsdException w:name="Note Heading" w:uiPriority="0"/>
    <w:lsdException w:name="Body Tex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C0"/>
    <w:pPr>
      <w:spacing w:after="240" w:line="260" w:lineRule="exact"/>
      <w:jc w:val="both"/>
    </w:pPr>
    <w:rPr>
      <w:rFonts w:eastAsia="Times New Roman" w:cs="Times New Roman"/>
      <w:color w:val="000000"/>
      <w:sz w:val="20"/>
      <w:szCs w:val="20"/>
      <w:lang w:eastAsia="en-AU"/>
    </w:rPr>
  </w:style>
  <w:style w:type="paragraph" w:styleId="Heading1">
    <w:name w:val="heading 1"/>
    <w:basedOn w:val="HeadingBase"/>
    <w:next w:val="Normal"/>
    <w:link w:val="Heading1Char"/>
    <w:qFormat/>
    <w:rsid w:val="00D407C0"/>
    <w:pPr>
      <w:keepNext/>
      <w:spacing w:before="284" w:after="113"/>
      <w:outlineLvl w:val="0"/>
    </w:pPr>
    <w:rPr>
      <w:rFonts w:cs="Arial"/>
      <w:b/>
      <w:bCs/>
      <w:color w:val="FFFFFF" w:themeColor="background1"/>
      <w:kern w:val="32"/>
      <w:sz w:val="36"/>
      <w:szCs w:val="48"/>
    </w:rPr>
  </w:style>
  <w:style w:type="paragraph" w:styleId="Heading2">
    <w:name w:val="heading 2"/>
    <w:basedOn w:val="HeadingBase"/>
    <w:next w:val="Normal"/>
    <w:link w:val="Heading2Char"/>
    <w:qFormat/>
    <w:rsid w:val="00D407C0"/>
    <w:pPr>
      <w:keepNext/>
      <w:spacing w:before="120" w:after="240" w:line="260" w:lineRule="exact"/>
      <w:outlineLvl w:val="1"/>
    </w:pPr>
    <w:rPr>
      <w:rFonts w:cs="Arial"/>
      <w:b/>
      <w:bCs/>
      <w:iCs/>
      <w:sz w:val="28"/>
      <w:szCs w:val="28"/>
    </w:rPr>
  </w:style>
  <w:style w:type="paragraph" w:styleId="Heading3">
    <w:name w:val="heading 3"/>
    <w:basedOn w:val="HeadingBase"/>
    <w:next w:val="Normal"/>
    <w:link w:val="Heading3Char"/>
    <w:qFormat/>
    <w:rsid w:val="00D407C0"/>
    <w:pPr>
      <w:keepNext/>
      <w:spacing w:before="120" w:after="60" w:line="260" w:lineRule="exact"/>
      <w:outlineLvl w:val="2"/>
    </w:pPr>
    <w:rPr>
      <w:rFonts w:cs="Arial"/>
      <w:b/>
      <w:bCs/>
      <w:color w:val="4F81BD"/>
      <w:sz w:val="22"/>
      <w:szCs w:val="26"/>
    </w:rPr>
  </w:style>
  <w:style w:type="paragraph" w:styleId="Heading4">
    <w:name w:val="heading 4"/>
    <w:basedOn w:val="HeadingBase"/>
    <w:next w:val="Normal"/>
    <w:link w:val="Heading4Char"/>
    <w:qFormat/>
    <w:rsid w:val="00D407C0"/>
    <w:pPr>
      <w:keepNext/>
      <w:spacing w:before="57" w:after="57" w:line="280" w:lineRule="exact"/>
      <w:outlineLvl w:val="3"/>
    </w:pPr>
    <w:rPr>
      <w:b/>
      <w:bCs/>
      <w:szCs w:val="22"/>
    </w:rPr>
  </w:style>
  <w:style w:type="paragraph" w:styleId="Heading5">
    <w:name w:val="heading 5"/>
    <w:basedOn w:val="HeadingBase"/>
    <w:next w:val="Normal"/>
    <w:link w:val="Heading5Char"/>
    <w:qFormat/>
    <w:rsid w:val="00D407C0"/>
    <w:pPr>
      <w:keepNext/>
      <w:spacing w:before="57" w:after="57" w:line="280" w:lineRule="exact"/>
      <w:outlineLvl w:val="4"/>
    </w:pPr>
    <w:rPr>
      <w:bCs/>
      <w:iCs/>
    </w:rPr>
  </w:style>
  <w:style w:type="paragraph" w:styleId="Heading6">
    <w:name w:val="heading 6"/>
    <w:basedOn w:val="HeadingBase"/>
    <w:next w:val="Normal"/>
    <w:link w:val="Heading6Char"/>
    <w:qFormat/>
    <w:rsid w:val="00D407C0"/>
    <w:pPr>
      <w:keepNext/>
      <w:spacing w:after="120"/>
      <w:outlineLvl w:val="5"/>
    </w:pPr>
    <w:rPr>
      <w:bCs/>
      <w:szCs w:val="22"/>
    </w:rPr>
  </w:style>
  <w:style w:type="paragraph" w:styleId="Heading7">
    <w:name w:val="heading 7"/>
    <w:basedOn w:val="Heading2"/>
    <w:next w:val="Normal"/>
    <w:link w:val="Heading7Char"/>
    <w:qFormat/>
    <w:rsid w:val="00D407C0"/>
    <w:pPr>
      <w:jc w:val="right"/>
      <w:outlineLvl w:val="6"/>
    </w:pPr>
  </w:style>
  <w:style w:type="paragraph" w:styleId="Heading8">
    <w:name w:val="heading 8"/>
    <w:basedOn w:val="HeadingBase"/>
    <w:next w:val="Normal"/>
    <w:link w:val="Heading8Char"/>
    <w:qFormat/>
    <w:rsid w:val="00D407C0"/>
    <w:pPr>
      <w:keepNext/>
      <w:spacing w:before="284" w:after="360"/>
      <w:jc w:val="right"/>
      <w:outlineLvl w:val="7"/>
    </w:pPr>
    <w:rPr>
      <w:iCs/>
      <w:sz w:val="48"/>
      <w:szCs w:val="24"/>
    </w:rPr>
  </w:style>
  <w:style w:type="paragraph" w:styleId="Heading9">
    <w:name w:val="heading 9"/>
    <w:basedOn w:val="HeadingBase"/>
    <w:next w:val="Normal"/>
    <w:link w:val="Heading9Char"/>
    <w:qFormat/>
    <w:rsid w:val="00D407C0"/>
    <w:pPr>
      <w:keepNext/>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rsid w:val="00D407C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07C0"/>
  </w:style>
  <w:style w:type="paragraph" w:customStyle="1" w:styleId="SingleParagraph">
    <w:name w:val="Single Paragraph"/>
    <w:basedOn w:val="Normal"/>
    <w:link w:val="SingleParagraphChar"/>
    <w:rsid w:val="00D407C0"/>
    <w:pPr>
      <w:spacing w:after="0"/>
    </w:pPr>
  </w:style>
  <w:style w:type="character" w:styleId="Hyperlink">
    <w:name w:val="Hyperlink"/>
    <w:basedOn w:val="DefaultParagraphFont"/>
    <w:rsid w:val="00D407C0"/>
    <w:rPr>
      <w:color w:val="000000"/>
      <w:u w:val="none"/>
    </w:rPr>
  </w:style>
  <w:style w:type="paragraph" w:customStyle="1" w:styleId="ChartGraphic">
    <w:name w:val="Chart Graphic"/>
    <w:basedOn w:val="HeadingBase"/>
    <w:rsid w:val="00D407C0"/>
    <w:pPr>
      <w:jc w:val="center"/>
    </w:pPr>
  </w:style>
  <w:style w:type="paragraph" w:styleId="Footer">
    <w:name w:val="footer"/>
    <w:basedOn w:val="HeadingBase"/>
    <w:link w:val="FooterChar"/>
    <w:rsid w:val="00D407C0"/>
    <w:rPr>
      <w:sz w:val="18"/>
    </w:rPr>
  </w:style>
  <w:style w:type="character" w:customStyle="1" w:styleId="FooterChar">
    <w:name w:val="Footer Char"/>
    <w:basedOn w:val="DefaultParagraphFont"/>
    <w:link w:val="Footer"/>
    <w:rsid w:val="008B6006"/>
    <w:rPr>
      <w:rFonts w:ascii="Calibri" w:eastAsia="Times New Roman" w:hAnsi="Calibri" w:cs="Times New Roman"/>
      <w:color w:val="003E74"/>
      <w:sz w:val="18"/>
      <w:szCs w:val="20"/>
      <w:lang w:eastAsia="en-AU"/>
    </w:rPr>
  </w:style>
  <w:style w:type="paragraph" w:customStyle="1" w:styleId="ContentsHeading">
    <w:name w:val="Contents Heading"/>
    <w:basedOn w:val="HeadingBase"/>
    <w:next w:val="Normal"/>
    <w:rsid w:val="00D407C0"/>
    <w:pPr>
      <w:spacing w:after="360"/>
    </w:pPr>
    <w:rPr>
      <w:smallCaps/>
      <w:sz w:val="36"/>
      <w:szCs w:val="36"/>
    </w:rPr>
  </w:style>
  <w:style w:type="paragraph" w:customStyle="1" w:styleId="CoverTitleMain">
    <w:name w:val="Cover Title Main"/>
    <w:basedOn w:val="HeadingBase"/>
    <w:next w:val="Normal"/>
    <w:rsid w:val="00D407C0"/>
    <w:pPr>
      <w:spacing w:after="360"/>
      <w:jc w:val="right"/>
    </w:pPr>
    <w:rPr>
      <w:b/>
      <w:sz w:val="44"/>
    </w:rPr>
  </w:style>
  <w:style w:type="paragraph" w:customStyle="1" w:styleId="FooterEven">
    <w:name w:val="Footer Even"/>
    <w:basedOn w:val="Footer"/>
    <w:rsid w:val="00D407C0"/>
  </w:style>
  <w:style w:type="paragraph" w:customStyle="1" w:styleId="FooterOdd">
    <w:name w:val="Footer Odd"/>
    <w:basedOn w:val="Footer"/>
    <w:rsid w:val="00D407C0"/>
    <w:pPr>
      <w:jc w:val="right"/>
    </w:pPr>
  </w:style>
  <w:style w:type="paragraph" w:styleId="Header">
    <w:name w:val="header"/>
    <w:basedOn w:val="HeadingBase"/>
    <w:link w:val="HeaderChar"/>
    <w:rsid w:val="00D407C0"/>
    <w:rPr>
      <w:sz w:val="18"/>
    </w:rPr>
  </w:style>
  <w:style w:type="character" w:customStyle="1" w:styleId="HeaderChar">
    <w:name w:val="Header Char"/>
    <w:basedOn w:val="DefaultParagraphFont"/>
    <w:link w:val="Header"/>
    <w:rsid w:val="008B6006"/>
    <w:rPr>
      <w:rFonts w:ascii="Calibri" w:eastAsia="Times New Roman" w:hAnsi="Calibri" w:cs="Times New Roman"/>
      <w:color w:val="003E74"/>
      <w:sz w:val="18"/>
      <w:szCs w:val="20"/>
      <w:lang w:eastAsia="en-AU"/>
    </w:rPr>
  </w:style>
  <w:style w:type="paragraph" w:customStyle="1" w:styleId="HeaderOdd">
    <w:name w:val="Header Odd"/>
    <w:basedOn w:val="Header"/>
    <w:rsid w:val="00D407C0"/>
    <w:pPr>
      <w:jc w:val="right"/>
    </w:pPr>
  </w:style>
  <w:style w:type="paragraph" w:styleId="TOC1">
    <w:name w:val="toc 1"/>
    <w:basedOn w:val="HeadingBase"/>
    <w:next w:val="Normal"/>
    <w:rsid w:val="00D407C0"/>
    <w:pPr>
      <w:tabs>
        <w:tab w:val="right" w:leader="dot" w:pos="7700"/>
      </w:tabs>
      <w:spacing w:before="180"/>
      <w:ind w:right="851"/>
    </w:pPr>
    <w:rPr>
      <w:b/>
      <w:smallCaps/>
      <w:noProof/>
      <w:sz w:val="22"/>
      <w:szCs w:val="22"/>
    </w:rPr>
  </w:style>
  <w:style w:type="paragraph" w:styleId="TOC2">
    <w:name w:val="toc 2"/>
    <w:basedOn w:val="Normal"/>
    <w:next w:val="Normal"/>
    <w:rsid w:val="00D407C0"/>
    <w:pPr>
      <w:tabs>
        <w:tab w:val="right" w:leader="dot" w:pos="7700"/>
      </w:tabs>
      <w:spacing w:after="0"/>
      <w:ind w:right="851"/>
      <w:jc w:val="left"/>
    </w:pPr>
    <w:rPr>
      <w:rFonts w:ascii="Calibri" w:hAnsi="Calibri"/>
      <w:noProof/>
    </w:rPr>
  </w:style>
  <w:style w:type="paragraph" w:styleId="TOC3">
    <w:name w:val="toc 3"/>
    <w:basedOn w:val="Normal"/>
    <w:next w:val="Normal"/>
    <w:rsid w:val="00D407C0"/>
    <w:pPr>
      <w:tabs>
        <w:tab w:val="right" w:leader="dot" w:pos="7700"/>
      </w:tabs>
      <w:spacing w:after="0" w:line="240" w:lineRule="auto"/>
      <w:ind w:left="284" w:right="851"/>
      <w:jc w:val="left"/>
    </w:pPr>
    <w:rPr>
      <w:rFonts w:ascii="Calibri" w:hAnsi="Calibri"/>
      <w:noProof/>
    </w:rPr>
  </w:style>
  <w:style w:type="paragraph" w:styleId="TOC4">
    <w:name w:val="toc 4"/>
    <w:basedOn w:val="Normal"/>
    <w:next w:val="Normal"/>
    <w:rsid w:val="00D407C0"/>
    <w:pPr>
      <w:tabs>
        <w:tab w:val="right" w:leader="dot" w:pos="7700"/>
      </w:tabs>
      <w:spacing w:after="0" w:line="240" w:lineRule="auto"/>
      <w:ind w:left="284" w:right="851" w:hanging="284"/>
      <w:jc w:val="left"/>
    </w:pPr>
    <w:rPr>
      <w:rFonts w:ascii="Calibri" w:hAnsi="Calibri"/>
      <w:noProof/>
    </w:rPr>
  </w:style>
  <w:style w:type="paragraph" w:customStyle="1" w:styleId="SinglePara">
    <w:name w:val="Single Para"/>
    <w:basedOn w:val="Normal"/>
    <w:rsid w:val="008B6006"/>
    <w:pPr>
      <w:spacing w:after="0" w:line="240" w:lineRule="auto"/>
      <w:jc w:val="left"/>
    </w:pPr>
    <w:rPr>
      <w:rFonts w:ascii="Times New Roman" w:hAnsi="Times New Roman"/>
      <w:color w:val="auto"/>
      <w:sz w:val="24"/>
    </w:rPr>
  </w:style>
  <w:style w:type="character" w:customStyle="1" w:styleId="SingleParagraphChar">
    <w:name w:val="Single Paragraph Char"/>
    <w:link w:val="SingleParagraph"/>
    <w:rsid w:val="008B6006"/>
    <w:rPr>
      <w:rFonts w:eastAsia="Times New Roman" w:cs="Times New Roman"/>
      <w:color w:val="000000"/>
      <w:sz w:val="20"/>
      <w:szCs w:val="20"/>
      <w:lang w:eastAsia="en-AU"/>
    </w:rPr>
  </w:style>
  <w:style w:type="paragraph" w:customStyle="1" w:styleId="ChairmanLetter">
    <w:name w:val="Chairman Letter"/>
    <w:basedOn w:val="Normal"/>
    <w:qFormat/>
    <w:rsid w:val="008B6006"/>
    <w:pPr>
      <w:jc w:val="left"/>
    </w:pPr>
    <w:rPr>
      <w:rFonts w:ascii="Times New Roman" w:hAnsi="Times New Roman"/>
      <w:sz w:val="22"/>
      <w:szCs w:val="22"/>
    </w:rPr>
  </w:style>
  <w:style w:type="paragraph" w:styleId="BalloonText">
    <w:name w:val="Balloon Text"/>
    <w:basedOn w:val="Normal"/>
    <w:link w:val="BalloonTextChar"/>
    <w:rsid w:val="00D407C0"/>
    <w:rPr>
      <w:rFonts w:ascii="Tahoma" w:hAnsi="Tahoma" w:cs="Tahoma"/>
      <w:sz w:val="16"/>
      <w:szCs w:val="16"/>
    </w:rPr>
  </w:style>
  <w:style w:type="character" w:customStyle="1" w:styleId="BalloonTextChar">
    <w:name w:val="Balloon Text Char"/>
    <w:basedOn w:val="DefaultParagraphFont"/>
    <w:link w:val="BalloonText"/>
    <w:rsid w:val="008B6006"/>
    <w:rPr>
      <w:rFonts w:ascii="Tahoma" w:eastAsia="Times New Roman" w:hAnsi="Tahoma" w:cs="Tahoma"/>
      <w:color w:val="000000"/>
      <w:sz w:val="16"/>
      <w:szCs w:val="16"/>
      <w:lang w:eastAsia="en-AU"/>
    </w:rPr>
  </w:style>
  <w:style w:type="character" w:customStyle="1" w:styleId="Heading1Char">
    <w:name w:val="Heading 1 Char"/>
    <w:basedOn w:val="DefaultParagraphFont"/>
    <w:link w:val="Heading1"/>
    <w:rsid w:val="008B6006"/>
    <w:rPr>
      <w:rFonts w:ascii="Calibri" w:eastAsia="Times New Roman" w:hAnsi="Calibri" w:cs="Arial"/>
      <w:b/>
      <w:bCs/>
      <w:color w:val="FFFFFF" w:themeColor="background1"/>
      <w:kern w:val="32"/>
      <w:sz w:val="36"/>
      <w:szCs w:val="48"/>
      <w:lang w:eastAsia="en-AU"/>
    </w:rPr>
  </w:style>
  <w:style w:type="paragraph" w:styleId="FootnoteText">
    <w:name w:val="footnote text"/>
    <w:basedOn w:val="Normal"/>
    <w:link w:val="FootnoteTextChar"/>
    <w:rsid w:val="00D407C0"/>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8B6006"/>
    <w:rPr>
      <w:rFonts w:eastAsia="Times New Roman" w:cs="Times New Roman"/>
      <w:color w:val="000000"/>
      <w:sz w:val="18"/>
      <w:szCs w:val="20"/>
      <w:lang w:eastAsia="en-AU"/>
    </w:rPr>
  </w:style>
  <w:style w:type="character" w:styleId="FootnoteReference">
    <w:name w:val="footnote reference"/>
    <w:basedOn w:val="DefaultParagraphFont"/>
    <w:rsid w:val="00D407C0"/>
    <w:rPr>
      <w:vertAlign w:val="superscript"/>
    </w:rPr>
  </w:style>
  <w:style w:type="character" w:styleId="PageNumber">
    <w:name w:val="page number"/>
    <w:basedOn w:val="DefaultParagraphFont"/>
    <w:rsid w:val="00D407C0"/>
    <w:rPr>
      <w:rFonts w:asciiTheme="minorHAnsi" w:hAnsiTheme="minorHAnsi"/>
      <w:color w:val="003E74"/>
      <w:sz w:val="18"/>
      <w:szCs w:val="18"/>
    </w:rPr>
  </w:style>
  <w:style w:type="paragraph" w:customStyle="1" w:styleId="Bullet">
    <w:name w:val="Bullet"/>
    <w:aliases w:val="b,b1,b + line,Body,level 1,Bullet + line"/>
    <w:basedOn w:val="Normal"/>
    <w:link w:val="BulletChar"/>
    <w:rsid w:val="00D407C0"/>
    <w:pPr>
      <w:numPr>
        <w:numId w:val="1"/>
      </w:numPr>
      <w:ind w:left="284" w:hanging="284"/>
    </w:pPr>
  </w:style>
  <w:style w:type="paragraph" w:customStyle="1" w:styleId="Dash">
    <w:name w:val="Dash"/>
    <w:basedOn w:val="Normal"/>
    <w:link w:val="DashChar"/>
    <w:rsid w:val="00D407C0"/>
    <w:pPr>
      <w:numPr>
        <w:ilvl w:val="1"/>
        <w:numId w:val="1"/>
      </w:numPr>
      <w:tabs>
        <w:tab w:val="clear" w:pos="567"/>
        <w:tab w:val="num" w:pos="360"/>
      </w:tabs>
      <w:ind w:left="568" w:firstLine="0"/>
    </w:pPr>
  </w:style>
  <w:style w:type="character" w:customStyle="1" w:styleId="Heading2Char">
    <w:name w:val="Heading 2 Char"/>
    <w:basedOn w:val="DefaultParagraphFont"/>
    <w:link w:val="Heading2"/>
    <w:rsid w:val="008B6006"/>
    <w:rPr>
      <w:rFonts w:ascii="Calibri" w:eastAsia="Times New Roman" w:hAnsi="Calibri" w:cs="Arial"/>
      <w:b/>
      <w:bCs/>
      <w:iCs/>
      <w:color w:val="003E74"/>
      <w:sz w:val="28"/>
      <w:szCs w:val="28"/>
      <w:lang w:eastAsia="en-AU"/>
    </w:rPr>
  </w:style>
  <w:style w:type="character" w:customStyle="1" w:styleId="Heading3Char">
    <w:name w:val="Heading 3 Char"/>
    <w:basedOn w:val="DefaultParagraphFont"/>
    <w:link w:val="Heading3"/>
    <w:rsid w:val="00115593"/>
    <w:rPr>
      <w:rFonts w:ascii="Calibri" w:eastAsia="Times New Roman" w:hAnsi="Calibri" w:cs="Arial"/>
      <w:b/>
      <w:bCs/>
      <w:color w:val="4F81BD"/>
      <w:szCs w:val="26"/>
      <w:lang w:eastAsia="en-AU"/>
    </w:rPr>
  </w:style>
  <w:style w:type="character" w:customStyle="1" w:styleId="Heading4Char">
    <w:name w:val="Heading 4 Char"/>
    <w:basedOn w:val="DefaultParagraphFont"/>
    <w:link w:val="Heading4"/>
    <w:rsid w:val="008B6006"/>
    <w:rPr>
      <w:rFonts w:ascii="Calibri" w:eastAsia="Times New Roman" w:hAnsi="Calibri" w:cs="Times New Roman"/>
      <w:b/>
      <w:bCs/>
      <w:color w:val="003E74"/>
      <w:sz w:val="20"/>
      <w:lang w:eastAsia="en-AU"/>
    </w:rPr>
  </w:style>
  <w:style w:type="paragraph" w:customStyle="1" w:styleId="DoubleDot">
    <w:name w:val="Double Dot"/>
    <w:basedOn w:val="Normal"/>
    <w:link w:val="DoubleDotChar"/>
    <w:rsid w:val="00D407C0"/>
    <w:pPr>
      <w:numPr>
        <w:ilvl w:val="2"/>
        <w:numId w:val="1"/>
      </w:numPr>
      <w:tabs>
        <w:tab w:val="clear" w:pos="850"/>
        <w:tab w:val="num" w:pos="360"/>
      </w:tabs>
      <w:ind w:left="0" w:firstLine="0"/>
    </w:pPr>
  </w:style>
  <w:style w:type="paragraph" w:customStyle="1" w:styleId="OutlineNumbered1">
    <w:name w:val="Outline Numbered 1"/>
    <w:basedOn w:val="Normal"/>
    <w:rsid w:val="00D407C0"/>
    <w:pPr>
      <w:numPr>
        <w:numId w:val="2"/>
      </w:numPr>
      <w:tabs>
        <w:tab w:val="clear" w:pos="567"/>
        <w:tab w:val="num" w:pos="360"/>
      </w:tabs>
      <w:ind w:left="0" w:firstLine="0"/>
    </w:pPr>
  </w:style>
  <w:style w:type="paragraph" w:customStyle="1" w:styleId="OutlineNumbered2">
    <w:name w:val="Outline Numbered 2"/>
    <w:basedOn w:val="Normal"/>
    <w:rsid w:val="00D407C0"/>
    <w:pPr>
      <w:numPr>
        <w:ilvl w:val="1"/>
        <w:numId w:val="2"/>
      </w:numPr>
      <w:tabs>
        <w:tab w:val="clear" w:pos="1134"/>
        <w:tab w:val="num" w:pos="360"/>
      </w:tabs>
      <w:ind w:left="0" w:firstLine="0"/>
    </w:pPr>
  </w:style>
  <w:style w:type="paragraph" w:customStyle="1" w:styleId="OutlineNumbered3">
    <w:name w:val="Outline Numbered 3"/>
    <w:basedOn w:val="Normal"/>
    <w:rsid w:val="00D407C0"/>
    <w:pPr>
      <w:numPr>
        <w:ilvl w:val="2"/>
        <w:numId w:val="2"/>
      </w:numPr>
      <w:tabs>
        <w:tab w:val="clear" w:pos="1701"/>
        <w:tab w:val="num" w:pos="360"/>
      </w:tabs>
      <w:ind w:left="0" w:firstLine="0"/>
    </w:pPr>
  </w:style>
  <w:style w:type="paragraph" w:customStyle="1" w:styleId="CoverTitleSub">
    <w:name w:val="Cover Title Sub"/>
    <w:basedOn w:val="HeadingBase"/>
    <w:rsid w:val="00D407C0"/>
    <w:pPr>
      <w:spacing w:after="360"/>
      <w:jc w:val="center"/>
    </w:pPr>
    <w:rPr>
      <w:sz w:val="36"/>
    </w:rPr>
  </w:style>
  <w:style w:type="character" w:customStyle="1" w:styleId="FramedHeader">
    <w:name w:val="Framed Header"/>
    <w:basedOn w:val="DefaultParagraphFont"/>
    <w:rsid w:val="00D407C0"/>
    <w:rPr>
      <w:rFonts w:ascii="Calibri" w:hAnsi="Calibri"/>
      <w:dstrike w:val="0"/>
      <w:color w:val="003E74"/>
      <w:sz w:val="18"/>
      <w:szCs w:val="18"/>
      <w:vertAlign w:val="baseline"/>
    </w:rPr>
  </w:style>
  <w:style w:type="paragraph" w:customStyle="1" w:styleId="HeaderEven">
    <w:name w:val="Header Even"/>
    <w:basedOn w:val="Header"/>
    <w:rsid w:val="00D407C0"/>
  </w:style>
  <w:style w:type="character" w:customStyle="1" w:styleId="Normalitalics">
    <w:name w:val="Normal italics"/>
    <w:rsid w:val="008B6006"/>
    <w:rPr>
      <w:i/>
    </w:rPr>
  </w:style>
  <w:style w:type="character" w:styleId="Strong">
    <w:name w:val="Strong"/>
    <w:qFormat/>
    <w:rsid w:val="008B6006"/>
    <w:rPr>
      <w:b/>
      <w:bCs/>
    </w:rPr>
  </w:style>
  <w:style w:type="paragraph" w:customStyle="1" w:styleId="Heading1noTOC">
    <w:name w:val="Heading 1 no TOC"/>
    <w:basedOn w:val="Heading1"/>
    <w:next w:val="Normal"/>
    <w:rsid w:val="00D407C0"/>
  </w:style>
  <w:style w:type="character" w:customStyle="1" w:styleId="BulletChar">
    <w:name w:val="Bullet Char"/>
    <w:aliases w:val="b Char,b + line Char Char,b Char Char"/>
    <w:link w:val="Bullet"/>
    <w:rsid w:val="008B6006"/>
    <w:rPr>
      <w:rFonts w:eastAsia="Times New Roman" w:cs="Times New Roman"/>
      <w:color w:val="000000"/>
      <w:sz w:val="20"/>
      <w:szCs w:val="20"/>
      <w:lang w:eastAsia="en-AU"/>
    </w:rPr>
  </w:style>
  <w:style w:type="paragraph" w:customStyle="1" w:styleId="Box-Pull-Text">
    <w:name w:val="Box - Pull - Text"/>
    <w:basedOn w:val="Normal"/>
    <w:link w:val="Box-Pull-TextChar"/>
    <w:qFormat/>
    <w:rsid w:val="008B6006"/>
    <w:pPr>
      <w:spacing w:before="120" w:after="120"/>
    </w:pPr>
  </w:style>
  <w:style w:type="paragraph" w:customStyle="1" w:styleId="Box-Pull-Bullet">
    <w:name w:val="Box - Pull - Bullet"/>
    <w:basedOn w:val="Box-Pull-Text"/>
    <w:rsid w:val="008B6006"/>
    <w:pPr>
      <w:numPr>
        <w:numId w:val="3"/>
      </w:numPr>
      <w:tabs>
        <w:tab w:val="left" w:pos="284"/>
        <w:tab w:val="num" w:pos="360"/>
      </w:tabs>
      <w:spacing w:before="60" w:after="60"/>
      <w:ind w:left="284" w:hanging="284"/>
    </w:pPr>
  </w:style>
  <w:style w:type="paragraph" w:customStyle="1" w:styleId="Normal-Bio">
    <w:name w:val="Normal - Bio"/>
    <w:basedOn w:val="Normal"/>
    <w:rsid w:val="008B6006"/>
    <w:rPr>
      <w:noProof/>
    </w:rPr>
  </w:style>
  <w:style w:type="paragraph" w:customStyle="1" w:styleId="Box-Pull-HeadingInternal">
    <w:name w:val="Box - Pull - Heading (Internal)"/>
    <w:basedOn w:val="Box-Pull-Text"/>
    <w:rsid w:val="008B6006"/>
    <w:pPr>
      <w:spacing w:after="60"/>
    </w:pPr>
    <w:rPr>
      <w:rFonts w:ascii="Arial" w:hAnsi="Arial"/>
      <w:b/>
      <w:bCs/>
      <w:color w:val="003E74"/>
      <w:szCs w:val="22"/>
    </w:rPr>
  </w:style>
  <w:style w:type="character" w:customStyle="1" w:styleId="Box-Pull-TextChar">
    <w:name w:val="Box - Pull - Text Char"/>
    <w:link w:val="Box-Pull-Text"/>
    <w:rsid w:val="008B6006"/>
    <w:rPr>
      <w:rFonts w:ascii="Book Antiqua" w:eastAsia="Times New Roman" w:hAnsi="Book Antiqua" w:cs="Times New Roman"/>
      <w:color w:val="000000"/>
      <w:sz w:val="20"/>
      <w:szCs w:val="20"/>
      <w:lang w:eastAsia="en-AU"/>
    </w:rPr>
  </w:style>
  <w:style w:type="character" w:customStyle="1" w:styleId="Heading5Char">
    <w:name w:val="Heading 5 Char"/>
    <w:basedOn w:val="DefaultParagraphFont"/>
    <w:link w:val="Heading5"/>
    <w:rsid w:val="008B6006"/>
    <w:rPr>
      <w:rFonts w:ascii="Calibri" w:eastAsia="Times New Roman" w:hAnsi="Calibri" w:cs="Times New Roman"/>
      <w:bCs/>
      <w:iCs/>
      <w:color w:val="003E74"/>
      <w:sz w:val="20"/>
      <w:szCs w:val="20"/>
      <w:lang w:eastAsia="en-AU"/>
    </w:rPr>
  </w:style>
  <w:style w:type="character" w:customStyle="1" w:styleId="Heading6Char">
    <w:name w:val="Heading 6 Char"/>
    <w:basedOn w:val="DefaultParagraphFont"/>
    <w:link w:val="Heading6"/>
    <w:rsid w:val="008B6006"/>
    <w:rPr>
      <w:rFonts w:ascii="Calibri" w:eastAsia="Times New Roman" w:hAnsi="Calibri" w:cs="Times New Roman"/>
      <w:bCs/>
      <w:color w:val="003E74"/>
      <w:sz w:val="20"/>
      <w:lang w:eastAsia="en-AU"/>
    </w:rPr>
  </w:style>
  <w:style w:type="character" w:customStyle="1" w:styleId="Heading7Char">
    <w:name w:val="Heading 7 Char"/>
    <w:basedOn w:val="DefaultParagraphFont"/>
    <w:link w:val="Heading7"/>
    <w:rsid w:val="008B6006"/>
    <w:rPr>
      <w:rFonts w:ascii="Calibri" w:eastAsia="Times New Roman" w:hAnsi="Calibri" w:cs="Arial"/>
      <w:b/>
      <w:bCs/>
      <w:iCs/>
      <w:color w:val="003E74"/>
      <w:sz w:val="28"/>
      <w:szCs w:val="28"/>
      <w:lang w:eastAsia="en-AU"/>
    </w:rPr>
  </w:style>
  <w:style w:type="character" w:customStyle="1" w:styleId="Heading8Char">
    <w:name w:val="Heading 8 Char"/>
    <w:basedOn w:val="DefaultParagraphFont"/>
    <w:link w:val="Heading8"/>
    <w:rsid w:val="008B6006"/>
    <w:rPr>
      <w:rFonts w:ascii="Calibri" w:eastAsia="Times New Roman" w:hAnsi="Calibri" w:cs="Times New Roman"/>
      <w:iCs/>
      <w:color w:val="003E74"/>
      <w:sz w:val="48"/>
      <w:szCs w:val="24"/>
      <w:lang w:eastAsia="en-AU"/>
    </w:rPr>
  </w:style>
  <w:style w:type="character" w:customStyle="1" w:styleId="Heading9Char">
    <w:name w:val="Heading 9 Char"/>
    <w:basedOn w:val="DefaultParagraphFont"/>
    <w:link w:val="Heading9"/>
    <w:rsid w:val="008B6006"/>
    <w:rPr>
      <w:rFonts w:ascii="Calibri" w:eastAsia="Times New Roman" w:hAnsi="Calibri" w:cs="Arial"/>
      <w:b/>
      <w:color w:val="003E74"/>
      <w:sz w:val="28"/>
      <w:lang w:eastAsia="en-AU"/>
    </w:rPr>
  </w:style>
  <w:style w:type="paragraph" w:customStyle="1" w:styleId="HeadingBase">
    <w:name w:val="Heading Base"/>
    <w:next w:val="Normal"/>
    <w:link w:val="HeadingBaseChar"/>
    <w:rsid w:val="00D407C0"/>
    <w:pPr>
      <w:spacing w:after="0" w:line="240" w:lineRule="auto"/>
    </w:pPr>
    <w:rPr>
      <w:rFonts w:ascii="Calibri" w:eastAsia="Times New Roman" w:hAnsi="Calibri" w:cs="Times New Roman"/>
      <w:color w:val="003E74"/>
      <w:sz w:val="20"/>
      <w:szCs w:val="20"/>
      <w:lang w:eastAsia="en-AU"/>
    </w:rPr>
  </w:style>
  <w:style w:type="paragraph" w:customStyle="1" w:styleId="ChartandTableFootnote">
    <w:name w:val="Chart and Table Footnote"/>
    <w:basedOn w:val="HeadingBase"/>
    <w:next w:val="Normal"/>
    <w:rsid w:val="008B6006"/>
    <w:rPr>
      <w:color w:val="000000"/>
      <w:sz w:val="16"/>
      <w:szCs w:val="16"/>
    </w:rPr>
  </w:style>
  <w:style w:type="paragraph" w:customStyle="1" w:styleId="ChartandTableFootnoteAlpha">
    <w:name w:val="Chart and Table Footnote Alpha"/>
    <w:rsid w:val="00D407C0"/>
    <w:pPr>
      <w:numPr>
        <w:numId w:val="5"/>
      </w:numPr>
      <w:spacing w:after="0" w:line="240" w:lineRule="auto"/>
      <w:jc w:val="both"/>
    </w:pPr>
    <w:rPr>
      <w:rFonts w:ascii="Arial" w:eastAsia="Times New Roman" w:hAnsi="Arial" w:cs="Times New Roman"/>
      <w:color w:val="000000"/>
      <w:sz w:val="16"/>
      <w:szCs w:val="16"/>
      <w:lang w:eastAsia="en-AU"/>
    </w:rPr>
  </w:style>
  <w:style w:type="paragraph" w:customStyle="1" w:styleId="ChartHeading">
    <w:name w:val="Chart Heading"/>
    <w:basedOn w:val="HeadingBase"/>
    <w:next w:val="ChartGraphic"/>
    <w:rsid w:val="008B6006"/>
    <w:pPr>
      <w:keepNext/>
      <w:spacing w:before="170" w:after="113" w:line="240" w:lineRule="exact"/>
      <w:jc w:val="center"/>
    </w:pPr>
    <w:rPr>
      <w:b/>
      <w:bCs/>
      <w:sz w:val="22"/>
      <w:szCs w:val="22"/>
    </w:rPr>
  </w:style>
  <w:style w:type="paragraph" w:customStyle="1" w:styleId="ChartSecondHeading">
    <w:name w:val="Chart Second Heading"/>
    <w:basedOn w:val="HeadingBase"/>
    <w:next w:val="ChartGraphic"/>
    <w:rsid w:val="00D407C0"/>
    <w:pPr>
      <w:keepNext/>
      <w:spacing w:after="20"/>
    </w:pPr>
  </w:style>
  <w:style w:type="paragraph" w:styleId="Subtitle">
    <w:name w:val="Subtitle"/>
    <w:basedOn w:val="Normal"/>
    <w:next w:val="Normal"/>
    <w:link w:val="SubtitleChar"/>
    <w:qFormat/>
    <w:rsid w:val="00D407C0"/>
    <w:pPr>
      <w:numPr>
        <w:ilvl w:val="1"/>
      </w:numPr>
    </w:pPr>
    <w:rPr>
      <w:rFonts w:asciiTheme="majorHAnsi" w:eastAsiaTheme="majorEastAsia" w:hAnsiTheme="majorHAnsi" w:cstheme="majorBidi"/>
      <w:i/>
      <w:iCs/>
      <w:color w:val="003E74"/>
      <w:spacing w:val="15"/>
      <w:sz w:val="24"/>
      <w:szCs w:val="24"/>
    </w:rPr>
  </w:style>
  <w:style w:type="character" w:customStyle="1" w:styleId="SubtitleChar">
    <w:name w:val="Subtitle Char"/>
    <w:basedOn w:val="DefaultParagraphFont"/>
    <w:link w:val="Subtitle"/>
    <w:rsid w:val="00D407C0"/>
    <w:rPr>
      <w:rFonts w:asciiTheme="majorHAnsi" w:eastAsiaTheme="majorEastAsia" w:hAnsiTheme="majorHAnsi" w:cstheme="majorBidi"/>
      <w:i/>
      <w:iCs/>
      <w:color w:val="003E74"/>
      <w:spacing w:val="15"/>
      <w:sz w:val="24"/>
      <w:szCs w:val="24"/>
      <w:lang w:eastAsia="en-AU"/>
    </w:rPr>
  </w:style>
  <w:style w:type="paragraph" w:styleId="BlockText">
    <w:name w:val="Block Text"/>
    <w:basedOn w:val="Normal"/>
    <w:rsid w:val="00D407C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
      <w:iCs/>
      <w:color w:val="003E74"/>
    </w:rPr>
  </w:style>
  <w:style w:type="paragraph" w:customStyle="1" w:styleId="FileProperties">
    <w:name w:val="File Properties"/>
    <w:basedOn w:val="Normal"/>
    <w:rsid w:val="008B6006"/>
    <w:rPr>
      <w:i/>
      <w:iCs/>
    </w:rPr>
  </w:style>
  <w:style w:type="paragraph" w:customStyle="1" w:styleId="FooterBase">
    <w:name w:val="Footer Base"/>
    <w:rsid w:val="008B6006"/>
    <w:pPr>
      <w:spacing w:after="0" w:line="240" w:lineRule="auto"/>
    </w:pPr>
    <w:rPr>
      <w:rFonts w:ascii="Arial" w:eastAsia="Times New Roman" w:hAnsi="Arial" w:cs="Arial"/>
      <w:color w:val="333192"/>
      <w:kern w:val="28"/>
      <w:sz w:val="18"/>
      <w:szCs w:val="18"/>
      <w:lang w:eastAsia="en-AU"/>
    </w:rPr>
  </w:style>
  <w:style w:type="paragraph" w:customStyle="1" w:styleId="HeaderBase">
    <w:name w:val="Header Base"/>
    <w:rsid w:val="008B6006"/>
    <w:pPr>
      <w:spacing w:after="0" w:line="240" w:lineRule="auto"/>
    </w:pPr>
    <w:rPr>
      <w:rFonts w:ascii="Arial" w:eastAsia="Times New Roman" w:hAnsi="Arial" w:cs="Arial"/>
      <w:color w:val="333192"/>
      <w:kern w:val="28"/>
      <w:sz w:val="18"/>
      <w:szCs w:val="18"/>
      <w:lang w:eastAsia="en-AU"/>
    </w:rPr>
  </w:style>
  <w:style w:type="paragraph" w:customStyle="1" w:styleId="NumberedParagraph">
    <w:name w:val="Numbered Paragraph"/>
    <w:basedOn w:val="Normal"/>
    <w:rsid w:val="00D407C0"/>
    <w:pPr>
      <w:numPr>
        <w:numId w:val="9"/>
      </w:numPr>
    </w:pPr>
  </w:style>
  <w:style w:type="paragraph" w:customStyle="1" w:styleId="TableTextRight">
    <w:name w:val="Table Text Right"/>
    <w:basedOn w:val="TableTextBase"/>
    <w:rsid w:val="00D407C0"/>
    <w:pPr>
      <w:jc w:val="right"/>
    </w:pPr>
  </w:style>
  <w:style w:type="paragraph" w:customStyle="1" w:styleId="TableTextBase">
    <w:name w:val="Table Text Base"/>
    <w:rsid w:val="00D407C0"/>
    <w:pPr>
      <w:spacing w:before="40" w:after="40" w:line="240" w:lineRule="auto"/>
    </w:pPr>
    <w:rPr>
      <w:rFonts w:ascii="Calibri" w:eastAsia="Times New Roman" w:hAnsi="Calibri" w:cs="Times New Roman"/>
      <w:color w:val="000000"/>
      <w:sz w:val="16"/>
      <w:szCs w:val="20"/>
      <w:lang w:eastAsia="en-AU"/>
    </w:rPr>
  </w:style>
  <w:style w:type="paragraph" w:customStyle="1" w:styleId="TableGraphic">
    <w:name w:val="Table Graphic"/>
    <w:basedOn w:val="HeadingBase"/>
    <w:next w:val="Normal"/>
    <w:rsid w:val="00D407C0"/>
    <w:pPr>
      <w:spacing w:after="20"/>
      <w:ind w:right="-113"/>
    </w:pPr>
    <w:rPr>
      <w:rFonts w:ascii="Helvetica" w:hAnsi="Helvetica"/>
    </w:rPr>
  </w:style>
  <w:style w:type="paragraph" w:customStyle="1" w:styleId="TableHeading">
    <w:name w:val="Table Heading"/>
    <w:basedOn w:val="HeadingBase"/>
    <w:next w:val="TableGraphic"/>
    <w:rsid w:val="008B6006"/>
    <w:pPr>
      <w:keepNext/>
      <w:spacing w:before="170" w:after="113" w:line="240" w:lineRule="exact"/>
    </w:pPr>
    <w:rPr>
      <w:b/>
      <w:bCs/>
      <w:sz w:val="22"/>
      <w:szCs w:val="22"/>
    </w:rPr>
  </w:style>
  <w:style w:type="paragraph" w:customStyle="1" w:styleId="TableHeadingcontinued">
    <w:name w:val="Table Heading continued"/>
    <w:basedOn w:val="HeadingBase"/>
    <w:next w:val="TableGraphic"/>
    <w:rsid w:val="008B6006"/>
    <w:pPr>
      <w:keepNext/>
      <w:spacing w:before="170" w:after="113" w:line="240" w:lineRule="exact"/>
    </w:pPr>
    <w:rPr>
      <w:b/>
      <w:bCs/>
      <w:sz w:val="22"/>
      <w:szCs w:val="22"/>
    </w:rPr>
  </w:style>
  <w:style w:type="paragraph" w:styleId="Index1">
    <w:name w:val="index 1"/>
    <w:basedOn w:val="Normal"/>
    <w:next w:val="Normal"/>
    <w:autoRedefine/>
    <w:rsid w:val="00D407C0"/>
    <w:pPr>
      <w:ind w:left="200" w:hanging="200"/>
    </w:pPr>
  </w:style>
  <w:style w:type="paragraph" w:styleId="Index2">
    <w:name w:val="index 2"/>
    <w:basedOn w:val="Normal"/>
    <w:next w:val="Normal"/>
    <w:autoRedefine/>
    <w:rsid w:val="00D407C0"/>
    <w:pPr>
      <w:ind w:left="400" w:hanging="200"/>
    </w:pPr>
  </w:style>
  <w:style w:type="paragraph" w:styleId="Index3">
    <w:name w:val="index 3"/>
    <w:basedOn w:val="Normal"/>
    <w:next w:val="Normal"/>
    <w:autoRedefine/>
    <w:rsid w:val="00D407C0"/>
    <w:pPr>
      <w:ind w:left="600" w:hanging="200"/>
    </w:pPr>
  </w:style>
  <w:style w:type="paragraph" w:styleId="IndexHeading">
    <w:name w:val="index heading"/>
    <w:basedOn w:val="Normal"/>
    <w:next w:val="Index1"/>
    <w:rsid w:val="00D407C0"/>
    <w:rPr>
      <w:rFonts w:ascii="Calibri" w:hAnsi="Calibri" w:cs="Arial"/>
      <w:b/>
      <w:bCs/>
      <w:color w:val="003E74"/>
    </w:rPr>
  </w:style>
  <w:style w:type="paragraph" w:customStyle="1" w:styleId="TableTextLeft">
    <w:name w:val="Table Text Left"/>
    <w:basedOn w:val="TableTextBase"/>
    <w:rsid w:val="00D407C0"/>
  </w:style>
  <w:style w:type="paragraph" w:styleId="TOC5">
    <w:name w:val="toc 5"/>
    <w:basedOn w:val="TOC2"/>
    <w:next w:val="Normal"/>
    <w:autoRedefine/>
    <w:rsid w:val="00D407C0"/>
    <w:pPr>
      <w:ind w:left="1260" w:hanging="1260"/>
    </w:pPr>
  </w:style>
  <w:style w:type="paragraph" w:styleId="TOC6">
    <w:name w:val="toc 6"/>
    <w:basedOn w:val="TOC5"/>
    <w:next w:val="Normal"/>
    <w:rsid w:val="00D407C0"/>
    <w:pPr>
      <w:tabs>
        <w:tab w:val="left" w:pos="1080"/>
        <w:tab w:val="left" w:pos="1134"/>
      </w:tabs>
      <w:ind w:left="1080" w:hanging="1080"/>
    </w:pPr>
  </w:style>
  <w:style w:type="paragraph" w:styleId="TOC7">
    <w:name w:val="toc 7"/>
    <w:basedOn w:val="Normal"/>
    <w:next w:val="Normal"/>
    <w:autoRedefine/>
    <w:rsid w:val="00D407C0"/>
    <w:pPr>
      <w:ind w:left="1200"/>
    </w:pPr>
    <w:rPr>
      <w:rFonts w:ascii="Calibri" w:hAnsi="Calibri"/>
    </w:rPr>
  </w:style>
  <w:style w:type="paragraph" w:styleId="TOC8">
    <w:name w:val="toc 8"/>
    <w:basedOn w:val="Normal"/>
    <w:next w:val="Normal"/>
    <w:autoRedefine/>
    <w:rsid w:val="00D407C0"/>
    <w:pPr>
      <w:ind w:left="1400"/>
    </w:pPr>
    <w:rPr>
      <w:rFonts w:ascii="Calibri" w:hAnsi="Calibri"/>
    </w:rPr>
  </w:style>
  <w:style w:type="paragraph" w:styleId="TOC9">
    <w:name w:val="toc 9"/>
    <w:basedOn w:val="Normal"/>
    <w:next w:val="Normal"/>
    <w:autoRedefine/>
    <w:rsid w:val="00D407C0"/>
    <w:pPr>
      <w:ind w:left="1600"/>
    </w:pPr>
    <w:rPr>
      <w:rFonts w:ascii="Calibri" w:hAnsi="Calibri"/>
    </w:rPr>
  </w:style>
  <w:style w:type="paragraph" w:customStyle="1" w:styleId="TableTextColumnHeadingLeft">
    <w:name w:val="Table Text Column Heading Left"/>
    <w:basedOn w:val="TableTextBase"/>
    <w:rsid w:val="008B6006"/>
  </w:style>
  <w:style w:type="paragraph" w:customStyle="1" w:styleId="ChartandTableFootnoteSmall">
    <w:name w:val="Chart and Table Footnote Small"/>
    <w:basedOn w:val="ChartandTableFootnote"/>
    <w:rsid w:val="008B6006"/>
    <w:rPr>
      <w:sz w:val="15"/>
      <w:szCs w:val="15"/>
    </w:rPr>
  </w:style>
  <w:style w:type="paragraph" w:customStyle="1" w:styleId="ChartandTableFootnoteAlphaSmall">
    <w:name w:val="Chart and Table Footnote Alpha Small"/>
    <w:basedOn w:val="ChartandTableFootnoteAlpha"/>
    <w:rsid w:val="008B6006"/>
    <w:pPr>
      <w:numPr>
        <w:numId w:val="0"/>
      </w:numPr>
      <w:tabs>
        <w:tab w:val="num" w:pos="283"/>
      </w:tabs>
      <w:ind w:left="284" w:hanging="284"/>
    </w:pPr>
    <w:rPr>
      <w:sz w:val="15"/>
      <w:szCs w:val="15"/>
    </w:rPr>
  </w:style>
  <w:style w:type="character" w:customStyle="1" w:styleId="FramedFooter">
    <w:name w:val="Framed Footer"/>
    <w:rsid w:val="00D407C0"/>
    <w:rPr>
      <w:rFonts w:ascii="Calibri" w:hAnsi="Calibri"/>
      <w:color w:val="003E74"/>
      <w:sz w:val="18"/>
      <w:szCs w:val="18"/>
    </w:rPr>
  </w:style>
  <w:style w:type="paragraph" w:customStyle="1" w:styleId="Source">
    <w:name w:val="Source"/>
    <w:basedOn w:val="HeadingBase"/>
    <w:next w:val="Normal"/>
    <w:rsid w:val="008B6006"/>
    <w:rPr>
      <w:color w:val="000000"/>
      <w:sz w:val="16"/>
      <w:szCs w:val="16"/>
    </w:rPr>
  </w:style>
  <w:style w:type="paragraph" w:customStyle="1" w:styleId="TableTextColumnHeadingRight">
    <w:name w:val="Table Text Column Heading Right"/>
    <w:basedOn w:val="TableTextBase"/>
    <w:rsid w:val="008B6006"/>
  </w:style>
  <w:style w:type="paragraph" w:customStyle="1" w:styleId="Title2">
    <w:name w:val="Title 2"/>
    <w:basedOn w:val="HeadingBase"/>
    <w:rsid w:val="008B6006"/>
    <w:pPr>
      <w:spacing w:after="360"/>
      <w:jc w:val="center"/>
    </w:pPr>
    <w:rPr>
      <w:sz w:val="36"/>
      <w:szCs w:val="36"/>
    </w:rPr>
  </w:style>
  <w:style w:type="paragraph" w:styleId="NormalIndent">
    <w:name w:val="Normal Indent"/>
    <w:basedOn w:val="Normal"/>
    <w:rsid w:val="00D407C0"/>
    <w:pPr>
      <w:ind w:left="567"/>
    </w:pPr>
  </w:style>
  <w:style w:type="paragraph" w:styleId="ListNumber">
    <w:name w:val="List Number"/>
    <w:basedOn w:val="Normal"/>
    <w:rsid w:val="008B6006"/>
    <w:pPr>
      <w:tabs>
        <w:tab w:val="num" w:pos="1492"/>
      </w:tabs>
      <w:ind w:left="360" w:hanging="360"/>
    </w:pPr>
  </w:style>
  <w:style w:type="paragraph" w:customStyle="1" w:styleId="TableTextIndent">
    <w:name w:val="Table Text Indent"/>
    <w:basedOn w:val="TableTextBase"/>
    <w:rsid w:val="008B6006"/>
  </w:style>
  <w:style w:type="paragraph" w:styleId="Title">
    <w:name w:val="Title"/>
    <w:basedOn w:val="HeadingBase"/>
    <w:link w:val="TitleChar"/>
    <w:qFormat/>
    <w:rsid w:val="008B6006"/>
    <w:pPr>
      <w:spacing w:after="480"/>
      <w:jc w:val="center"/>
    </w:pPr>
    <w:rPr>
      <w:b/>
      <w:bCs/>
      <w:sz w:val="48"/>
      <w:szCs w:val="48"/>
    </w:rPr>
  </w:style>
  <w:style w:type="character" w:customStyle="1" w:styleId="TitleChar">
    <w:name w:val="Title Char"/>
    <w:basedOn w:val="DefaultParagraphFont"/>
    <w:link w:val="Title"/>
    <w:rsid w:val="008B6006"/>
    <w:rPr>
      <w:rFonts w:ascii="Arial" w:eastAsia="Times New Roman" w:hAnsi="Arial" w:cs="Times New Roman"/>
      <w:b/>
      <w:bCs/>
      <w:color w:val="003E74"/>
      <w:sz w:val="48"/>
      <w:szCs w:val="48"/>
      <w:lang w:eastAsia="en-AU"/>
    </w:rPr>
  </w:style>
  <w:style w:type="paragraph" w:styleId="MacroText">
    <w:name w:val="macro"/>
    <w:link w:val="MacroTextChar"/>
    <w:rsid w:val="00D407C0"/>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rsid w:val="008B6006"/>
    <w:rPr>
      <w:rFonts w:ascii="Courier New" w:eastAsia="Times New Roman" w:hAnsi="Courier New" w:cs="Courier New"/>
      <w:color w:val="000000"/>
      <w:sz w:val="20"/>
      <w:szCs w:val="20"/>
      <w:lang w:eastAsia="en-AU"/>
    </w:rPr>
  </w:style>
  <w:style w:type="paragraph" w:customStyle="1" w:styleId="Classification">
    <w:name w:val="Classification"/>
    <w:basedOn w:val="HeadingBase"/>
    <w:next w:val="Footer"/>
    <w:rsid w:val="00D407C0"/>
    <w:pPr>
      <w:spacing w:after="120"/>
      <w:jc w:val="center"/>
    </w:pPr>
    <w:rPr>
      <w:b/>
      <w:smallCaps/>
    </w:rPr>
  </w:style>
  <w:style w:type="paragraph" w:customStyle="1" w:styleId="TableTextColumnHeadingCentre">
    <w:name w:val="Table Text Column Heading Centre"/>
    <w:basedOn w:val="TableTextBase"/>
    <w:rsid w:val="008B6006"/>
  </w:style>
  <w:style w:type="paragraph" w:customStyle="1" w:styleId="Normalbold">
    <w:name w:val="Normal bold"/>
    <w:basedOn w:val="Normal"/>
    <w:rsid w:val="008B6006"/>
    <w:pPr>
      <w:jc w:val="left"/>
    </w:pPr>
    <w:rPr>
      <w:b/>
      <w:bCs/>
    </w:rPr>
  </w:style>
  <w:style w:type="paragraph" w:styleId="NoteHeading">
    <w:name w:val="Note Heading"/>
    <w:basedOn w:val="HeadingBase"/>
    <w:next w:val="Normal"/>
    <w:link w:val="NoteHeadingChar"/>
    <w:rsid w:val="008B6006"/>
    <w:rPr>
      <w:color w:val="000000"/>
      <w:sz w:val="16"/>
      <w:szCs w:val="16"/>
    </w:rPr>
  </w:style>
  <w:style w:type="character" w:customStyle="1" w:styleId="NoteHeadingChar">
    <w:name w:val="Note Heading Char"/>
    <w:basedOn w:val="DefaultParagraphFont"/>
    <w:link w:val="NoteHeading"/>
    <w:rsid w:val="008B6006"/>
    <w:rPr>
      <w:rFonts w:ascii="Arial" w:eastAsia="Times New Roman" w:hAnsi="Arial" w:cs="Times New Roman"/>
      <w:color w:val="000000"/>
      <w:sz w:val="16"/>
      <w:szCs w:val="16"/>
      <w:lang w:eastAsia="en-AU"/>
    </w:rPr>
  </w:style>
  <w:style w:type="paragraph" w:customStyle="1" w:styleId="ChapterHeaderTitle">
    <w:name w:val="Chapter Header Title"/>
    <w:basedOn w:val="HeadingBase"/>
    <w:rsid w:val="008B6006"/>
    <w:pPr>
      <w:spacing w:before="284" w:after="113"/>
    </w:pPr>
    <w:rPr>
      <w:color w:val="FFFFFF"/>
      <w:sz w:val="48"/>
      <w:szCs w:val="48"/>
    </w:rPr>
  </w:style>
  <w:style w:type="paragraph" w:customStyle="1" w:styleId="ChapterHeaderNo">
    <w:name w:val="Chapter Header No"/>
    <w:basedOn w:val="Header"/>
    <w:rsid w:val="008B6006"/>
    <w:pPr>
      <w:jc w:val="center"/>
    </w:pPr>
    <w:rPr>
      <w:rFonts w:ascii="Arial Bold" w:hAnsi="Arial Bold" w:cs="Arial Bold"/>
      <w:b/>
      <w:bCs/>
      <w:sz w:val="32"/>
      <w:szCs w:val="32"/>
    </w:rPr>
  </w:style>
  <w:style w:type="paragraph" w:customStyle="1" w:styleId="Contents">
    <w:name w:val="Contents"/>
    <w:basedOn w:val="Normal"/>
    <w:next w:val="TOC1"/>
    <w:rsid w:val="008B6006"/>
    <w:pPr>
      <w:keepNext/>
      <w:spacing w:after="120" w:line="240" w:lineRule="auto"/>
    </w:pPr>
    <w:rPr>
      <w:rFonts w:ascii="Arial Bold" w:hAnsi="Arial Bold" w:cs="Arial Bold"/>
      <w:b/>
      <w:bCs/>
      <w:smallCaps/>
      <w:color w:val="333192"/>
      <w:sz w:val="36"/>
      <w:szCs w:val="36"/>
    </w:rPr>
  </w:style>
  <w:style w:type="paragraph" w:styleId="BodyText3">
    <w:name w:val="Body Text 3"/>
    <w:basedOn w:val="Normal"/>
    <w:link w:val="BodyText3Char"/>
    <w:rsid w:val="008B6006"/>
  </w:style>
  <w:style w:type="character" w:customStyle="1" w:styleId="BodyText3Char">
    <w:name w:val="Body Text 3 Char"/>
    <w:basedOn w:val="DefaultParagraphFont"/>
    <w:link w:val="BodyText3"/>
    <w:rsid w:val="008B6006"/>
    <w:rPr>
      <w:rFonts w:ascii="Book Antiqua" w:eastAsia="Times New Roman" w:hAnsi="Book Antiqua" w:cs="Times New Roman"/>
      <w:color w:val="000000"/>
      <w:sz w:val="20"/>
      <w:szCs w:val="20"/>
      <w:lang w:eastAsia="en-AU"/>
    </w:rPr>
  </w:style>
  <w:style w:type="paragraph" w:customStyle="1" w:styleId="ChapterNo">
    <w:name w:val="Chapter No"/>
    <w:basedOn w:val="HeadingBase"/>
    <w:next w:val="Heading1"/>
    <w:rsid w:val="008B6006"/>
    <w:pPr>
      <w:pBdr>
        <w:bottom w:val="single" w:sz="4" w:space="1" w:color="auto"/>
      </w:pBdr>
    </w:pPr>
    <w:rPr>
      <w:caps/>
      <w:color w:val="000000"/>
      <w:sz w:val="16"/>
      <w:szCs w:val="16"/>
    </w:rPr>
  </w:style>
  <w:style w:type="paragraph" w:styleId="DocumentMap">
    <w:name w:val="Document Map"/>
    <w:basedOn w:val="Normal"/>
    <w:link w:val="DocumentMapChar"/>
    <w:rsid w:val="00D407C0"/>
    <w:pPr>
      <w:shd w:val="clear" w:color="auto" w:fill="000080"/>
    </w:pPr>
    <w:rPr>
      <w:rFonts w:ascii="Tahoma" w:hAnsi="Tahoma" w:cs="Tahoma"/>
    </w:rPr>
  </w:style>
  <w:style w:type="character" w:customStyle="1" w:styleId="DocumentMapChar">
    <w:name w:val="Document Map Char"/>
    <w:basedOn w:val="DefaultParagraphFont"/>
    <w:link w:val="DocumentMap"/>
    <w:rsid w:val="008B6006"/>
    <w:rPr>
      <w:rFonts w:ascii="Tahoma" w:eastAsia="Times New Roman" w:hAnsi="Tahoma" w:cs="Tahoma"/>
      <w:color w:val="000000"/>
      <w:sz w:val="20"/>
      <w:szCs w:val="20"/>
      <w:shd w:val="clear" w:color="auto" w:fill="000080"/>
      <w:lang w:eastAsia="en-AU"/>
    </w:rPr>
  </w:style>
  <w:style w:type="paragraph" w:customStyle="1" w:styleId="AlphaParagraph">
    <w:name w:val="Alpha Paragraph"/>
    <w:basedOn w:val="Normal"/>
    <w:rsid w:val="00D407C0"/>
    <w:pPr>
      <w:numPr>
        <w:numId w:val="4"/>
      </w:numPr>
      <w:tabs>
        <w:tab w:val="clear" w:pos="1134"/>
        <w:tab w:val="num" w:pos="360"/>
      </w:tabs>
      <w:ind w:left="0" w:firstLine="0"/>
    </w:pPr>
  </w:style>
  <w:style w:type="paragraph" w:customStyle="1" w:styleId="AppendixHeading">
    <w:name w:val="Appendix Heading"/>
    <w:basedOn w:val="HeadingBase"/>
    <w:next w:val="Normal"/>
    <w:rsid w:val="00D407C0"/>
    <w:pPr>
      <w:spacing w:before="720" w:after="360"/>
    </w:pPr>
    <w:rPr>
      <w:b/>
      <w:smallCaps/>
      <w:sz w:val="36"/>
      <w:szCs w:val="36"/>
    </w:rPr>
  </w:style>
  <w:style w:type="character" w:customStyle="1" w:styleId="Bold">
    <w:name w:val="Bold"/>
    <w:basedOn w:val="DefaultParagraphFont"/>
    <w:rsid w:val="00D407C0"/>
    <w:rPr>
      <w:b/>
    </w:rPr>
  </w:style>
  <w:style w:type="paragraph" w:customStyle="1" w:styleId="BoxHeading">
    <w:name w:val="Box Heading"/>
    <w:basedOn w:val="HeadingBase"/>
    <w:next w:val="BoxText"/>
    <w:rsid w:val="00D407C0"/>
    <w:pPr>
      <w:spacing w:after="240"/>
    </w:pPr>
    <w:rPr>
      <w:b/>
      <w:color w:val="FFFFFF" w:themeColor="background1"/>
      <w:sz w:val="28"/>
    </w:rPr>
  </w:style>
  <w:style w:type="paragraph" w:customStyle="1" w:styleId="BoxTextBase">
    <w:name w:val="Box Text Base"/>
    <w:basedOn w:val="Normal"/>
    <w:rsid w:val="00D407C0"/>
    <w:pPr>
      <w:spacing w:line="240" w:lineRule="auto"/>
    </w:pPr>
    <w:rPr>
      <w:color w:val="FFFFFF" w:themeColor="background1"/>
    </w:rPr>
  </w:style>
  <w:style w:type="paragraph" w:customStyle="1" w:styleId="ChartMainHeading">
    <w:name w:val="Chart Main Heading"/>
    <w:basedOn w:val="HeadingBase"/>
    <w:next w:val="ChartGraphic"/>
    <w:rsid w:val="00D407C0"/>
    <w:pPr>
      <w:keepNext/>
      <w:spacing w:before="170" w:after="113"/>
    </w:pPr>
    <w:rPr>
      <w:b/>
      <w:sz w:val="22"/>
    </w:rPr>
  </w:style>
  <w:style w:type="paragraph" w:customStyle="1" w:styleId="ChartorTableNote">
    <w:name w:val="Chart or Table Note"/>
    <w:next w:val="Normal"/>
    <w:rsid w:val="00D407C0"/>
    <w:pPr>
      <w:spacing w:after="0" w:line="240" w:lineRule="auto"/>
      <w:jc w:val="both"/>
    </w:pPr>
    <w:rPr>
      <w:rFonts w:ascii="Arial" w:eastAsia="Times New Roman" w:hAnsi="Arial" w:cs="Times New Roman"/>
      <w:color w:val="000000"/>
      <w:sz w:val="16"/>
      <w:szCs w:val="20"/>
      <w:lang w:eastAsia="en-AU"/>
    </w:rPr>
  </w:style>
  <w:style w:type="paragraph" w:customStyle="1" w:styleId="FooterCentered">
    <w:name w:val="Footer Centered"/>
    <w:basedOn w:val="Footer"/>
    <w:rsid w:val="00D407C0"/>
    <w:pPr>
      <w:jc w:val="center"/>
    </w:pPr>
  </w:style>
  <w:style w:type="paragraph" w:customStyle="1" w:styleId="RecommendationHeading">
    <w:name w:val="Recommendation Heading"/>
    <w:basedOn w:val="HeadingBase"/>
    <w:next w:val="RecommendationText"/>
    <w:rsid w:val="00D407C0"/>
    <w:pPr>
      <w:spacing w:after="240"/>
    </w:pPr>
    <w:rPr>
      <w:b/>
      <w:sz w:val="22"/>
    </w:rPr>
  </w:style>
  <w:style w:type="paragraph" w:customStyle="1" w:styleId="RecommendationBaseText">
    <w:name w:val="Recommendation Base Text"/>
    <w:basedOn w:val="Normal"/>
    <w:rsid w:val="00D407C0"/>
    <w:rPr>
      <w:rFonts w:ascii="Calibri" w:hAnsi="Calibri"/>
    </w:rPr>
  </w:style>
  <w:style w:type="paragraph" w:customStyle="1" w:styleId="RecommendationText">
    <w:name w:val="Recommendation Text"/>
    <w:basedOn w:val="RecommendationBaseText"/>
    <w:rsid w:val="00D407C0"/>
    <w:rPr>
      <w:rFonts w:asciiTheme="minorHAnsi" w:hAnsiTheme="minorHAnsi"/>
    </w:rPr>
  </w:style>
  <w:style w:type="paragraph" w:customStyle="1" w:styleId="TableColumnHeadingCentred">
    <w:name w:val="Table Column Heading Centred"/>
    <w:basedOn w:val="TableTextBase"/>
    <w:rsid w:val="00D407C0"/>
    <w:pPr>
      <w:jc w:val="center"/>
    </w:pPr>
    <w:rPr>
      <w:b/>
    </w:rPr>
  </w:style>
  <w:style w:type="paragraph" w:customStyle="1" w:styleId="TableColumnHeadingLeft">
    <w:name w:val="Table Column Heading Left"/>
    <w:basedOn w:val="TableTextBase"/>
    <w:rsid w:val="00D407C0"/>
    <w:rPr>
      <w:b/>
    </w:rPr>
  </w:style>
  <w:style w:type="paragraph" w:customStyle="1" w:styleId="TableColumnHeadingRight">
    <w:name w:val="Table Column Heading Right"/>
    <w:basedOn w:val="TableTextBase"/>
    <w:rsid w:val="00D407C0"/>
    <w:pPr>
      <w:jc w:val="right"/>
    </w:pPr>
    <w:rPr>
      <w:b/>
    </w:rPr>
  </w:style>
  <w:style w:type="paragraph" w:customStyle="1" w:styleId="TableMainHeading">
    <w:name w:val="Table Main Heading"/>
    <w:basedOn w:val="HeadingBase"/>
    <w:next w:val="TableGraphic"/>
    <w:rsid w:val="00D407C0"/>
    <w:pPr>
      <w:keepNext/>
      <w:spacing w:before="170" w:after="113"/>
    </w:pPr>
    <w:rPr>
      <w:b/>
      <w:sz w:val="22"/>
    </w:rPr>
  </w:style>
  <w:style w:type="paragraph" w:customStyle="1" w:styleId="TableMainHeadingContd">
    <w:name w:val="Table Main Heading Contd"/>
    <w:basedOn w:val="HeadingBase"/>
    <w:next w:val="TableGraphic"/>
    <w:rsid w:val="00D407C0"/>
    <w:pPr>
      <w:keepNext/>
      <w:spacing w:after="20"/>
    </w:pPr>
    <w:rPr>
      <w:b/>
      <w:sz w:val="22"/>
    </w:rPr>
  </w:style>
  <w:style w:type="paragraph" w:customStyle="1" w:styleId="TableSecondHeading">
    <w:name w:val="Table Second Heading"/>
    <w:basedOn w:val="HeadingBase"/>
    <w:next w:val="TableGraphic"/>
    <w:rsid w:val="00D407C0"/>
    <w:pPr>
      <w:keepNext/>
      <w:spacing w:after="20"/>
    </w:pPr>
  </w:style>
  <w:style w:type="paragraph" w:customStyle="1" w:styleId="TableTextCentered">
    <w:name w:val="Table Text Centered"/>
    <w:basedOn w:val="TableTextBase"/>
    <w:rsid w:val="00D407C0"/>
    <w:pPr>
      <w:jc w:val="center"/>
    </w:pPr>
  </w:style>
  <w:style w:type="paragraph" w:customStyle="1" w:styleId="TableTextIndented">
    <w:name w:val="Table Text Indented"/>
    <w:basedOn w:val="TableTextBase"/>
    <w:rsid w:val="00D407C0"/>
    <w:pPr>
      <w:ind w:left="284"/>
    </w:pPr>
  </w:style>
  <w:style w:type="character" w:customStyle="1" w:styleId="Italic">
    <w:name w:val="Italic"/>
    <w:basedOn w:val="DefaultParagraphFont"/>
    <w:rsid w:val="00D407C0"/>
    <w:rPr>
      <w:i/>
    </w:rPr>
  </w:style>
  <w:style w:type="paragraph" w:customStyle="1" w:styleId="OneLevelNumberedParagraph">
    <w:name w:val="One Level Numbered Paragraph"/>
    <w:basedOn w:val="Normal"/>
    <w:rsid w:val="00D407C0"/>
    <w:pPr>
      <w:numPr>
        <w:numId w:val="7"/>
      </w:numPr>
    </w:pPr>
  </w:style>
  <w:style w:type="paragraph" w:customStyle="1" w:styleId="BoxText">
    <w:name w:val="Box Text"/>
    <w:basedOn w:val="BoxTextBase"/>
    <w:rsid w:val="00D407C0"/>
  </w:style>
  <w:style w:type="paragraph" w:customStyle="1" w:styleId="BoxBullet">
    <w:name w:val="Box Bullet"/>
    <w:basedOn w:val="BoxTextBase"/>
    <w:rsid w:val="00D407C0"/>
    <w:pPr>
      <w:numPr>
        <w:numId w:val="6"/>
      </w:numPr>
    </w:pPr>
  </w:style>
  <w:style w:type="paragraph" w:customStyle="1" w:styleId="BoxDash">
    <w:name w:val="Box Dash"/>
    <w:basedOn w:val="Normal"/>
    <w:rsid w:val="00D407C0"/>
    <w:pPr>
      <w:numPr>
        <w:ilvl w:val="1"/>
        <w:numId w:val="6"/>
      </w:numPr>
    </w:pPr>
    <w:rPr>
      <w:color w:val="FFFFFF" w:themeColor="background1"/>
    </w:rPr>
  </w:style>
  <w:style w:type="paragraph" w:customStyle="1" w:styleId="BoxDoubleDot">
    <w:name w:val="Box Double Dot"/>
    <w:basedOn w:val="BoxTextBase"/>
    <w:rsid w:val="00D407C0"/>
    <w:pPr>
      <w:numPr>
        <w:ilvl w:val="2"/>
        <w:numId w:val="6"/>
      </w:numPr>
    </w:pPr>
  </w:style>
  <w:style w:type="paragraph" w:customStyle="1" w:styleId="RecommendationBullet">
    <w:name w:val="Recommendation Bullet"/>
    <w:basedOn w:val="RecommendationBaseText"/>
    <w:rsid w:val="00D407C0"/>
    <w:pPr>
      <w:numPr>
        <w:numId w:val="8"/>
      </w:numPr>
    </w:pPr>
  </w:style>
  <w:style w:type="paragraph" w:customStyle="1" w:styleId="RecommendationDash">
    <w:name w:val="Recommendation Dash"/>
    <w:basedOn w:val="RecommendationBaseText"/>
    <w:rsid w:val="00D407C0"/>
    <w:pPr>
      <w:numPr>
        <w:ilvl w:val="1"/>
        <w:numId w:val="8"/>
      </w:numPr>
    </w:pPr>
  </w:style>
  <w:style w:type="paragraph" w:customStyle="1" w:styleId="RecommendationDoubleDot">
    <w:name w:val="Recommendation Double Dot"/>
    <w:basedOn w:val="RecommendationBaseText"/>
    <w:rsid w:val="00D407C0"/>
    <w:pPr>
      <w:numPr>
        <w:ilvl w:val="2"/>
        <w:numId w:val="8"/>
      </w:numPr>
    </w:pPr>
  </w:style>
  <w:style w:type="character" w:customStyle="1" w:styleId="Boldanditalic">
    <w:name w:val="Bold and italic"/>
    <w:basedOn w:val="DefaultParagraphFont"/>
    <w:rsid w:val="00D407C0"/>
    <w:rPr>
      <w:b/>
      <w:i/>
    </w:rPr>
  </w:style>
  <w:style w:type="paragraph" w:styleId="Caption">
    <w:name w:val="caption"/>
    <w:basedOn w:val="Normal"/>
    <w:next w:val="Normal"/>
    <w:qFormat/>
    <w:rsid w:val="00D407C0"/>
    <w:pPr>
      <w:spacing w:before="120" w:after="120"/>
    </w:pPr>
    <w:rPr>
      <w:b/>
      <w:bCs/>
    </w:rPr>
  </w:style>
  <w:style w:type="character" w:styleId="CommentReference">
    <w:name w:val="annotation reference"/>
    <w:basedOn w:val="DefaultParagraphFont"/>
    <w:rsid w:val="00D407C0"/>
    <w:rPr>
      <w:sz w:val="16"/>
      <w:szCs w:val="16"/>
    </w:rPr>
  </w:style>
  <w:style w:type="paragraph" w:styleId="CommentText">
    <w:name w:val="annotation text"/>
    <w:basedOn w:val="Normal"/>
    <w:link w:val="CommentTextChar"/>
    <w:rsid w:val="00D407C0"/>
  </w:style>
  <w:style w:type="character" w:customStyle="1" w:styleId="CommentTextChar">
    <w:name w:val="Comment Text Char"/>
    <w:basedOn w:val="DefaultParagraphFont"/>
    <w:link w:val="CommentText"/>
    <w:rsid w:val="008B6006"/>
    <w:rPr>
      <w:rFonts w:eastAsia="Times New Roman" w:cs="Times New Roman"/>
      <w:color w:val="000000"/>
      <w:sz w:val="20"/>
      <w:szCs w:val="20"/>
      <w:lang w:eastAsia="en-AU"/>
    </w:rPr>
  </w:style>
  <w:style w:type="paragraph" w:styleId="CommentSubject">
    <w:name w:val="annotation subject"/>
    <w:basedOn w:val="CommentText"/>
    <w:next w:val="CommentText"/>
    <w:link w:val="CommentSubjectChar"/>
    <w:rsid w:val="00D407C0"/>
    <w:rPr>
      <w:b/>
      <w:bCs/>
    </w:rPr>
  </w:style>
  <w:style w:type="character" w:customStyle="1" w:styleId="CommentSubjectChar">
    <w:name w:val="Comment Subject Char"/>
    <w:basedOn w:val="CommentTextChar"/>
    <w:link w:val="CommentSubject"/>
    <w:rsid w:val="008B6006"/>
    <w:rPr>
      <w:rFonts w:eastAsia="Times New Roman" w:cs="Times New Roman"/>
      <w:b/>
      <w:bCs/>
      <w:color w:val="000000"/>
      <w:sz w:val="20"/>
      <w:szCs w:val="20"/>
      <w:lang w:eastAsia="en-AU"/>
    </w:rPr>
  </w:style>
  <w:style w:type="character" w:styleId="EndnoteReference">
    <w:name w:val="endnote reference"/>
    <w:basedOn w:val="DefaultParagraphFont"/>
    <w:rsid w:val="00D407C0"/>
    <w:rPr>
      <w:vertAlign w:val="superscript"/>
    </w:rPr>
  </w:style>
  <w:style w:type="paragraph" w:styleId="EndnoteText">
    <w:name w:val="endnote text"/>
    <w:basedOn w:val="Normal"/>
    <w:link w:val="EndnoteTextChar"/>
    <w:rsid w:val="00D407C0"/>
  </w:style>
  <w:style w:type="character" w:customStyle="1" w:styleId="EndnoteTextChar">
    <w:name w:val="Endnote Text Char"/>
    <w:basedOn w:val="DefaultParagraphFont"/>
    <w:link w:val="EndnoteText"/>
    <w:rsid w:val="008B6006"/>
    <w:rPr>
      <w:rFonts w:eastAsia="Times New Roman" w:cs="Times New Roman"/>
      <w:color w:val="000000"/>
      <w:sz w:val="20"/>
      <w:szCs w:val="20"/>
      <w:lang w:eastAsia="en-AU"/>
    </w:rPr>
  </w:style>
  <w:style w:type="paragraph" w:styleId="Index4">
    <w:name w:val="index 4"/>
    <w:basedOn w:val="Normal"/>
    <w:next w:val="Normal"/>
    <w:autoRedefine/>
    <w:rsid w:val="00D407C0"/>
    <w:pPr>
      <w:ind w:left="800" w:hanging="200"/>
    </w:pPr>
  </w:style>
  <w:style w:type="paragraph" w:styleId="Index5">
    <w:name w:val="index 5"/>
    <w:basedOn w:val="Normal"/>
    <w:next w:val="Normal"/>
    <w:autoRedefine/>
    <w:rsid w:val="00D407C0"/>
    <w:pPr>
      <w:ind w:left="1000" w:hanging="200"/>
    </w:pPr>
  </w:style>
  <w:style w:type="paragraph" w:styleId="Index6">
    <w:name w:val="index 6"/>
    <w:basedOn w:val="Normal"/>
    <w:next w:val="Normal"/>
    <w:autoRedefine/>
    <w:rsid w:val="00D407C0"/>
    <w:pPr>
      <w:ind w:left="1200" w:hanging="200"/>
    </w:pPr>
  </w:style>
  <w:style w:type="paragraph" w:styleId="Index7">
    <w:name w:val="index 7"/>
    <w:basedOn w:val="Normal"/>
    <w:next w:val="Normal"/>
    <w:autoRedefine/>
    <w:rsid w:val="00D407C0"/>
    <w:pPr>
      <w:ind w:left="1400" w:hanging="200"/>
    </w:pPr>
  </w:style>
  <w:style w:type="paragraph" w:styleId="Index8">
    <w:name w:val="index 8"/>
    <w:basedOn w:val="Normal"/>
    <w:next w:val="Normal"/>
    <w:autoRedefine/>
    <w:rsid w:val="00D407C0"/>
    <w:pPr>
      <w:ind w:left="1600" w:hanging="200"/>
    </w:pPr>
  </w:style>
  <w:style w:type="paragraph" w:styleId="Index9">
    <w:name w:val="index 9"/>
    <w:basedOn w:val="Normal"/>
    <w:next w:val="Normal"/>
    <w:autoRedefine/>
    <w:rsid w:val="00D407C0"/>
    <w:pPr>
      <w:ind w:left="1800" w:hanging="200"/>
    </w:pPr>
  </w:style>
  <w:style w:type="paragraph" w:styleId="TableofAuthorities">
    <w:name w:val="table of authorities"/>
    <w:basedOn w:val="Normal"/>
    <w:next w:val="Normal"/>
    <w:rsid w:val="00D407C0"/>
    <w:pPr>
      <w:ind w:left="200" w:hanging="200"/>
    </w:pPr>
  </w:style>
  <w:style w:type="paragraph" w:styleId="TableofFigures">
    <w:name w:val="table of figures"/>
    <w:basedOn w:val="Normal"/>
    <w:next w:val="Normal"/>
    <w:rsid w:val="00D407C0"/>
    <w:pPr>
      <w:ind w:left="400" w:hanging="400"/>
    </w:pPr>
  </w:style>
  <w:style w:type="paragraph" w:styleId="TOAHeading">
    <w:name w:val="toa heading"/>
    <w:basedOn w:val="Normal"/>
    <w:next w:val="Normal"/>
    <w:rsid w:val="00D407C0"/>
    <w:pPr>
      <w:spacing w:before="120"/>
    </w:pPr>
    <w:rPr>
      <w:rFonts w:ascii="Calibri" w:hAnsi="Calibri" w:cs="Arial"/>
      <w:b/>
      <w:bCs/>
      <w:sz w:val="24"/>
      <w:szCs w:val="24"/>
    </w:rPr>
  </w:style>
  <w:style w:type="paragraph" w:customStyle="1" w:styleId="AppendixAHeading3">
    <w:name w:val="AppendixAHeading3"/>
    <w:basedOn w:val="Heading3"/>
    <w:next w:val="AppendixAHeading4"/>
    <w:rsid w:val="00D407C0"/>
    <w:pPr>
      <w:numPr>
        <w:numId w:val="11"/>
      </w:numPr>
    </w:pPr>
    <w:rPr>
      <w:i/>
    </w:rPr>
  </w:style>
  <w:style w:type="paragraph" w:customStyle="1" w:styleId="AppendixAHeading4">
    <w:name w:val="AppendixAHeading4"/>
    <w:basedOn w:val="Heading4"/>
    <w:next w:val="Bullet"/>
    <w:rsid w:val="00D407C0"/>
    <w:pPr>
      <w:numPr>
        <w:ilvl w:val="1"/>
        <w:numId w:val="12"/>
      </w:numPr>
    </w:pPr>
  </w:style>
  <w:style w:type="paragraph" w:customStyle="1" w:styleId="AppendixGHeading3">
    <w:name w:val="AppendixGHeading3"/>
    <w:basedOn w:val="Heading3"/>
    <w:rsid w:val="00D407C0"/>
    <w:pPr>
      <w:numPr>
        <w:numId w:val="10"/>
      </w:numPr>
    </w:pPr>
  </w:style>
  <w:style w:type="paragraph" w:customStyle="1" w:styleId="Heading3TOC">
    <w:name w:val="Heading 3 TOC"/>
    <w:basedOn w:val="Heading3"/>
    <w:rsid w:val="008B6006"/>
  </w:style>
  <w:style w:type="character" w:customStyle="1" w:styleId="HeadingBaseChar">
    <w:name w:val="Heading Base Char"/>
    <w:link w:val="HeadingBase"/>
    <w:locked/>
    <w:rsid w:val="008B6006"/>
    <w:rPr>
      <w:rFonts w:ascii="Calibri" w:eastAsia="Times New Roman" w:hAnsi="Calibri" w:cs="Times New Roman"/>
      <w:color w:val="003E74"/>
      <w:sz w:val="20"/>
      <w:szCs w:val="20"/>
      <w:lang w:eastAsia="en-AU"/>
    </w:rPr>
  </w:style>
  <w:style w:type="paragraph" w:customStyle="1" w:styleId="CharCharCharCharCharChar">
    <w:name w:val="Char Char Char Char Char Char"/>
    <w:basedOn w:val="Normal"/>
    <w:rsid w:val="008B6006"/>
    <w:pPr>
      <w:spacing w:after="160" w:line="240" w:lineRule="exact"/>
      <w:jc w:val="left"/>
    </w:pPr>
    <w:rPr>
      <w:rFonts w:ascii="Verdana" w:hAnsi="Verdana"/>
      <w:color w:val="auto"/>
      <w:szCs w:val="24"/>
      <w:lang w:val="en-US" w:eastAsia="en-US"/>
    </w:rPr>
  </w:style>
  <w:style w:type="table" w:styleId="TableGrid">
    <w:name w:val="Table Grid"/>
    <w:basedOn w:val="TableNormal"/>
    <w:rsid w:val="008B6006"/>
    <w:pPr>
      <w:spacing w:after="240" w:line="260" w:lineRule="exact"/>
      <w:jc w:val="both"/>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noTOC">
    <w:name w:val="Heading 3 no TOC"/>
    <w:basedOn w:val="Heading3"/>
    <w:rsid w:val="00D407C0"/>
    <w:pPr>
      <w:outlineLvl w:val="9"/>
    </w:pPr>
  </w:style>
  <w:style w:type="character" w:styleId="FollowedHyperlink">
    <w:name w:val="FollowedHyperlink"/>
    <w:basedOn w:val="DefaultParagraphFont"/>
    <w:rsid w:val="00D407C0"/>
    <w:rPr>
      <w:color w:val="000000"/>
      <w:u w:val="none"/>
    </w:rPr>
  </w:style>
  <w:style w:type="paragraph" w:customStyle="1" w:styleId="Style1">
    <w:name w:val="Style1"/>
    <w:basedOn w:val="AppendixAHeading3"/>
    <w:next w:val="AppendixAHeading4"/>
    <w:rsid w:val="00D407C0"/>
    <w:pPr>
      <w:numPr>
        <w:numId w:val="0"/>
      </w:numPr>
    </w:pPr>
  </w:style>
  <w:style w:type="paragraph" w:customStyle="1" w:styleId="AppendixAHeading3NotItalic">
    <w:name w:val="AppendixAHeading3NotItalic"/>
    <w:basedOn w:val="HeadingBase"/>
    <w:next w:val="AppendixAHeading4"/>
    <w:rsid w:val="00D407C0"/>
    <w:pPr>
      <w:numPr>
        <w:numId w:val="12"/>
      </w:numPr>
      <w:spacing w:before="57" w:after="57" w:line="280" w:lineRule="exact"/>
    </w:pPr>
    <w:rPr>
      <w:b/>
      <w:sz w:val="24"/>
    </w:rPr>
  </w:style>
  <w:style w:type="paragraph" w:customStyle="1" w:styleId="CharChar1Char">
    <w:name w:val="Char Char1 Char"/>
    <w:basedOn w:val="Normal"/>
    <w:rsid w:val="008B6006"/>
    <w:pPr>
      <w:spacing w:after="160" w:line="240" w:lineRule="exact"/>
      <w:jc w:val="left"/>
    </w:pPr>
    <w:rPr>
      <w:rFonts w:ascii="Arial" w:hAnsi="Arial"/>
      <w:color w:val="auto"/>
      <w:sz w:val="22"/>
      <w:lang w:val="en-GB" w:eastAsia="en-US"/>
    </w:rPr>
  </w:style>
  <w:style w:type="paragraph" w:customStyle="1" w:styleId="Heading2noTOC">
    <w:name w:val="Heading 2 no TOC"/>
    <w:basedOn w:val="Heading2"/>
    <w:next w:val="Normal"/>
    <w:rsid w:val="00D407C0"/>
    <w:pPr>
      <w:outlineLvl w:val="9"/>
    </w:pPr>
  </w:style>
  <w:style w:type="paragraph" w:customStyle="1" w:styleId="Heading9noTOC">
    <w:name w:val="Heading 9 no TOC"/>
    <w:basedOn w:val="Heading9"/>
    <w:rsid w:val="00D407C0"/>
    <w:pPr>
      <w:outlineLvl w:val="9"/>
    </w:pPr>
  </w:style>
  <w:style w:type="paragraph" w:styleId="NormalWeb">
    <w:name w:val="Normal (Web)"/>
    <w:basedOn w:val="Normal"/>
    <w:rsid w:val="00D407C0"/>
    <w:rPr>
      <w:rFonts w:ascii="Times New Roman" w:hAnsi="Times New Roman"/>
      <w:sz w:val="24"/>
      <w:szCs w:val="24"/>
    </w:rPr>
  </w:style>
  <w:style w:type="character" w:styleId="IntenseEmphasis">
    <w:name w:val="Intense Emphasis"/>
    <w:basedOn w:val="DefaultParagraphFont"/>
    <w:uiPriority w:val="21"/>
    <w:qFormat/>
    <w:rsid w:val="00D407C0"/>
    <w:rPr>
      <w:b/>
      <w:bCs/>
      <w:i/>
      <w:iCs/>
      <w:color w:val="003E74"/>
    </w:rPr>
  </w:style>
  <w:style w:type="paragraph" w:styleId="IntenseQuote">
    <w:name w:val="Intense Quote"/>
    <w:basedOn w:val="Normal"/>
    <w:next w:val="Normal"/>
    <w:link w:val="IntenseQuoteChar"/>
    <w:uiPriority w:val="30"/>
    <w:qFormat/>
    <w:rsid w:val="00D407C0"/>
    <w:pPr>
      <w:pBdr>
        <w:bottom w:val="single" w:sz="4" w:space="4" w:color="4F81BD" w:themeColor="accent1"/>
      </w:pBdr>
      <w:spacing w:before="200" w:after="280"/>
      <w:ind w:left="936" w:right="936"/>
    </w:pPr>
    <w:rPr>
      <w:b/>
      <w:bCs/>
      <w:i/>
      <w:iCs/>
      <w:color w:val="003E74"/>
    </w:rPr>
  </w:style>
  <w:style w:type="character" w:customStyle="1" w:styleId="IntenseQuoteChar">
    <w:name w:val="Intense Quote Char"/>
    <w:basedOn w:val="DefaultParagraphFont"/>
    <w:link w:val="IntenseQuote"/>
    <w:uiPriority w:val="30"/>
    <w:rsid w:val="00D407C0"/>
    <w:rPr>
      <w:rFonts w:eastAsia="Times New Roman" w:cs="Times New Roman"/>
      <w:b/>
      <w:bCs/>
      <w:i/>
      <w:iCs/>
      <w:color w:val="003E74"/>
      <w:sz w:val="20"/>
      <w:szCs w:val="20"/>
      <w:lang w:eastAsia="en-AU"/>
    </w:rPr>
  </w:style>
  <w:style w:type="paragraph" w:styleId="TOCHeading">
    <w:name w:val="TOC Heading"/>
    <w:basedOn w:val="Heading1"/>
    <w:next w:val="Normal"/>
    <w:uiPriority w:val="39"/>
    <w:unhideWhenUsed/>
    <w:qFormat/>
    <w:rsid w:val="00D407C0"/>
    <w:pPr>
      <w:keepLines/>
      <w:spacing w:before="480" w:after="0" w:line="260" w:lineRule="exact"/>
      <w:jc w:val="both"/>
      <w:outlineLvl w:val="9"/>
    </w:pPr>
    <w:rPr>
      <w:rFonts w:asciiTheme="majorHAnsi" w:eastAsiaTheme="majorEastAsia" w:hAnsiTheme="majorHAnsi" w:cstheme="majorBidi"/>
      <w:kern w:val="0"/>
      <w:sz w:val="28"/>
      <w:szCs w:val="28"/>
    </w:rPr>
  </w:style>
  <w:style w:type="paragraph" w:styleId="Revision">
    <w:name w:val="Revision"/>
    <w:hidden/>
    <w:uiPriority w:val="99"/>
    <w:semiHidden/>
    <w:rsid w:val="008B6006"/>
    <w:pPr>
      <w:spacing w:after="0" w:line="240" w:lineRule="auto"/>
    </w:pPr>
    <w:rPr>
      <w:rFonts w:ascii="Book Antiqua" w:eastAsia="Times New Roman" w:hAnsi="Book Antiqua" w:cs="Times New Roman"/>
      <w:color w:val="000000"/>
      <w:sz w:val="20"/>
      <w:szCs w:val="20"/>
      <w:lang w:eastAsia="en-AU"/>
    </w:rPr>
  </w:style>
  <w:style w:type="character" w:customStyle="1" w:styleId="Italics">
    <w:name w:val="Italics"/>
    <w:basedOn w:val="DefaultParagraphFont"/>
    <w:rsid w:val="00D407C0"/>
    <w:rPr>
      <w:i/>
    </w:rPr>
  </w:style>
  <w:style w:type="character" w:customStyle="1" w:styleId="A5">
    <w:name w:val="A5"/>
    <w:uiPriority w:val="99"/>
    <w:rsid w:val="00D407C0"/>
    <w:rPr>
      <w:rFonts w:cs="Swiss 721 BT"/>
      <w:color w:val="000000"/>
      <w:sz w:val="20"/>
      <w:szCs w:val="20"/>
    </w:rPr>
  </w:style>
  <w:style w:type="character" w:styleId="Emphasis">
    <w:name w:val="Emphasis"/>
    <w:uiPriority w:val="20"/>
    <w:qFormat/>
    <w:rsid w:val="008B6006"/>
    <w:rPr>
      <w:i/>
      <w:iCs/>
    </w:rPr>
  </w:style>
  <w:style w:type="paragraph" w:customStyle="1" w:styleId="Table">
    <w:name w:val="Table"/>
    <w:basedOn w:val="Normal"/>
    <w:rsid w:val="00D407C0"/>
  </w:style>
  <w:style w:type="paragraph" w:customStyle="1" w:styleId="StyleChartorTableNoteLeft0cmHanging1cm">
    <w:name w:val="Style Chart or Table Note + Left:  0 cm Hanging:  1 cm"/>
    <w:basedOn w:val="ChartorTableNote"/>
    <w:rsid w:val="008B6006"/>
    <w:pPr>
      <w:tabs>
        <w:tab w:val="left" w:pos="567"/>
      </w:tabs>
      <w:ind w:left="567" w:hanging="567"/>
    </w:pPr>
  </w:style>
  <w:style w:type="paragraph" w:customStyle="1" w:styleId="FootnoteTextBullet">
    <w:name w:val="Footnote Text Bullet"/>
    <w:basedOn w:val="FootnoteText"/>
    <w:rsid w:val="008B6006"/>
    <w:pPr>
      <w:numPr>
        <w:numId w:val="19"/>
      </w:numPr>
      <w:tabs>
        <w:tab w:val="clear" w:pos="284"/>
        <w:tab w:val="left" w:pos="567"/>
      </w:tabs>
      <w:ind w:left="568" w:hanging="284"/>
    </w:pPr>
  </w:style>
  <w:style w:type="paragraph" w:styleId="ListParagraph">
    <w:name w:val="List Paragraph"/>
    <w:basedOn w:val="Normal"/>
    <w:uiPriority w:val="34"/>
    <w:qFormat/>
    <w:rsid w:val="00402633"/>
    <w:pPr>
      <w:ind w:left="720"/>
      <w:contextualSpacing/>
    </w:pPr>
  </w:style>
  <w:style w:type="paragraph" w:customStyle="1" w:styleId="Default">
    <w:name w:val="Default"/>
    <w:rsid w:val="004C402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DashChar">
    <w:name w:val="Dash Char"/>
    <w:basedOn w:val="DefaultParagraphFont"/>
    <w:link w:val="Dash"/>
    <w:rsid w:val="00786B11"/>
    <w:rPr>
      <w:rFonts w:eastAsia="Times New Roman" w:cs="Times New Roman"/>
      <w:color w:val="000000"/>
      <w:sz w:val="20"/>
      <w:szCs w:val="20"/>
      <w:lang w:eastAsia="en-AU"/>
    </w:rPr>
  </w:style>
  <w:style w:type="character" w:customStyle="1" w:styleId="DoubleDotChar">
    <w:name w:val="Double Dot Char"/>
    <w:basedOn w:val="DefaultParagraphFont"/>
    <w:link w:val="DoubleDot"/>
    <w:rsid w:val="00786B11"/>
    <w:rPr>
      <w:rFonts w:eastAsia="Times New Roman" w:cs="Times New Roman"/>
      <w:color w:val="000000"/>
      <w:sz w:val="20"/>
      <w:szCs w:val="20"/>
      <w:lang w:eastAsia="en-AU"/>
    </w:rPr>
  </w:style>
  <w:style w:type="character" w:customStyle="1" w:styleId="apple-converted-space">
    <w:name w:val="apple-converted-space"/>
    <w:basedOn w:val="DefaultParagraphFont"/>
    <w:rsid w:val="00FE4498"/>
  </w:style>
  <w:style w:type="paragraph" w:customStyle="1" w:styleId="Circletext">
    <w:name w:val="Circle text"/>
    <w:basedOn w:val="BoxText"/>
    <w:qFormat/>
    <w:rsid w:val="00D407C0"/>
    <w:rPr>
      <w:b/>
      <w:sz w:val="24"/>
    </w:rPr>
  </w:style>
  <w:style w:type="paragraph" w:styleId="PlainText">
    <w:name w:val="Plain Text"/>
    <w:basedOn w:val="Normal"/>
    <w:link w:val="PlainTextChar"/>
    <w:uiPriority w:val="99"/>
    <w:semiHidden/>
    <w:unhideWhenUsed/>
    <w:rsid w:val="00C07DC3"/>
    <w:pPr>
      <w:spacing w:after="0" w:line="240" w:lineRule="auto"/>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C07DC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7732">
      <w:bodyDiv w:val="1"/>
      <w:marLeft w:val="0"/>
      <w:marRight w:val="0"/>
      <w:marTop w:val="0"/>
      <w:marBottom w:val="0"/>
      <w:divBdr>
        <w:top w:val="none" w:sz="0" w:space="0" w:color="auto"/>
        <w:left w:val="none" w:sz="0" w:space="0" w:color="auto"/>
        <w:bottom w:val="none" w:sz="0" w:space="0" w:color="auto"/>
        <w:right w:val="none" w:sz="0" w:space="0" w:color="auto"/>
      </w:divBdr>
    </w:div>
    <w:div w:id="109015594">
      <w:bodyDiv w:val="1"/>
      <w:marLeft w:val="0"/>
      <w:marRight w:val="0"/>
      <w:marTop w:val="0"/>
      <w:marBottom w:val="0"/>
      <w:divBdr>
        <w:top w:val="none" w:sz="0" w:space="0" w:color="auto"/>
        <w:left w:val="none" w:sz="0" w:space="0" w:color="auto"/>
        <w:bottom w:val="none" w:sz="0" w:space="0" w:color="auto"/>
        <w:right w:val="none" w:sz="0" w:space="0" w:color="auto"/>
      </w:divBdr>
    </w:div>
    <w:div w:id="128941003">
      <w:bodyDiv w:val="1"/>
      <w:marLeft w:val="0"/>
      <w:marRight w:val="0"/>
      <w:marTop w:val="0"/>
      <w:marBottom w:val="0"/>
      <w:divBdr>
        <w:top w:val="none" w:sz="0" w:space="0" w:color="auto"/>
        <w:left w:val="none" w:sz="0" w:space="0" w:color="auto"/>
        <w:bottom w:val="none" w:sz="0" w:space="0" w:color="auto"/>
        <w:right w:val="none" w:sz="0" w:space="0" w:color="auto"/>
      </w:divBdr>
    </w:div>
    <w:div w:id="153882454">
      <w:bodyDiv w:val="1"/>
      <w:marLeft w:val="0"/>
      <w:marRight w:val="0"/>
      <w:marTop w:val="0"/>
      <w:marBottom w:val="0"/>
      <w:divBdr>
        <w:top w:val="none" w:sz="0" w:space="0" w:color="auto"/>
        <w:left w:val="none" w:sz="0" w:space="0" w:color="auto"/>
        <w:bottom w:val="none" w:sz="0" w:space="0" w:color="auto"/>
        <w:right w:val="none" w:sz="0" w:space="0" w:color="auto"/>
      </w:divBdr>
      <w:divsChild>
        <w:div w:id="1573348219">
          <w:marLeft w:val="0"/>
          <w:marRight w:val="0"/>
          <w:marTop w:val="0"/>
          <w:marBottom w:val="0"/>
          <w:divBdr>
            <w:top w:val="none" w:sz="0" w:space="0" w:color="auto"/>
            <w:left w:val="none" w:sz="0" w:space="0" w:color="auto"/>
            <w:bottom w:val="none" w:sz="0" w:space="0" w:color="auto"/>
            <w:right w:val="none" w:sz="0" w:space="0" w:color="auto"/>
          </w:divBdr>
          <w:divsChild>
            <w:div w:id="853304052">
              <w:marLeft w:val="-225"/>
              <w:marRight w:val="-225"/>
              <w:marTop w:val="0"/>
              <w:marBottom w:val="0"/>
              <w:divBdr>
                <w:top w:val="none" w:sz="0" w:space="0" w:color="auto"/>
                <w:left w:val="none" w:sz="0" w:space="0" w:color="auto"/>
                <w:bottom w:val="none" w:sz="0" w:space="0" w:color="auto"/>
                <w:right w:val="none" w:sz="0" w:space="0" w:color="auto"/>
              </w:divBdr>
              <w:divsChild>
                <w:div w:id="16525599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29317498">
      <w:bodyDiv w:val="1"/>
      <w:marLeft w:val="0"/>
      <w:marRight w:val="0"/>
      <w:marTop w:val="0"/>
      <w:marBottom w:val="0"/>
      <w:divBdr>
        <w:top w:val="none" w:sz="0" w:space="0" w:color="auto"/>
        <w:left w:val="none" w:sz="0" w:space="0" w:color="auto"/>
        <w:bottom w:val="none" w:sz="0" w:space="0" w:color="auto"/>
        <w:right w:val="none" w:sz="0" w:space="0" w:color="auto"/>
      </w:divBdr>
      <w:divsChild>
        <w:div w:id="240481368">
          <w:marLeft w:val="0"/>
          <w:marRight w:val="0"/>
          <w:marTop w:val="0"/>
          <w:marBottom w:val="0"/>
          <w:divBdr>
            <w:top w:val="none" w:sz="0" w:space="0" w:color="auto"/>
            <w:left w:val="none" w:sz="0" w:space="0" w:color="auto"/>
            <w:bottom w:val="none" w:sz="0" w:space="0" w:color="auto"/>
            <w:right w:val="none" w:sz="0" w:space="0" w:color="auto"/>
          </w:divBdr>
          <w:divsChild>
            <w:div w:id="1880241907">
              <w:marLeft w:val="-225"/>
              <w:marRight w:val="-225"/>
              <w:marTop w:val="0"/>
              <w:marBottom w:val="0"/>
              <w:divBdr>
                <w:top w:val="none" w:sz="0" w:space="0" w:color="auto"/>
                <w:left w:val="none" w:sz="0" w:space="0" w:color="auto"/>
                <w:bottom w:val="none" w:sz="0" w:space="0" w:color="auto"/>
                <w:right w:val="none" w:sz="0" w:space="0" w:color="auto"/>
              </w:divBdr>
              <w:divsChild>
                <w:div w:id="192710570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39222170">
      <w:bodyDiv w:val="1"/>
      <w:marLeft w:val="0"/>
      <w:marRight w:val="0"/>
      <w:marTop w:val="0"/>
      <w:marBottom w:val="0"/>
      <w:divBdr>
        <w:top w:val="none" w:sz="0" w:space="0" w:color="auto"/>
        <w:left w:val="none" w:sz="0" w:space="0" w:color="auto"/>
        <w:bottom w:val="none" w:sz="0" w:space="0" w:color="auto"/>
        <w:right w:val="none" w:sz="0" w:space="0" w:color="auto"/>
      </w:divBdr>
    </w:div>
    <w:div w:id="274337614">
      <w:bodyDiv w:val="1"/>
      <w:marLeft w:val="0"/>
      <w:marRight w:val="0"/>
      <w:marTop w:val="0"/>
      <w:marBottom w:val="0"/>
      <w:divBdr>
        <w:top w:val="none" w:sz="0" w:space="0" w:color="auto"/>
        <w:left w:val="none" w:sz="0" w:space="0" w:color="auto"/>
        <w:bottom w:val="none" w:sz="0" w:space="0" w:color="auto"/>
        <w:right w:val="none" w:sz="0" w:space="0" w:color="auto"/>
      </w:divBdr>
      <w:divsChild>
        <w:div w:id="1707213938">
          <w:marLeft w:val="0"/>
          <w:marRight w:val="0"/>
          <w:marTop w:val="0"/>
          <w:marBottom w:val="0"/>
          <w:divBdr>
            <w:top w:val="none" w:sz="0" w:space="0" w:color="auto"/>
            <w:left w:val="none" w:sz="0" w:space="0" w:color="auto"/>
            <w:bottom w:val="none" w:sz="0" w:space="0" w:color="auto"/>
            <w:right w:val="none" w:sz="0" w:space="0" w:color="auto"/>
          </w:divBdr>
          <w:divsChild>
            <w:div w:id="70931875">
              <w:marLeft w:val="-225"/>
              <w:marRight w:val="-225"/>
              <w:marTop w:val="0"/>
              <w:marBottom w:val="0"/>
              <w:divBdr>
                <w:top w:val="none" w:sz="0" w:space="0" w:color="auto"/>
                <w:left w:val="none" w:sz="0" w:space="0" w:color="auto"/>
                <w:bottom w:val="none" w:sz="0" w:space="0" w:color="auto"/>
                <w:right w:val="none" w:sz="0" w:space="0" w:color="auto"/>
              </w:divBdr>
              <w:divsChild>
                <w:div w:id="30088455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385027963">
      <w:bodyDiv w:val="1"/>
      <w:marLeft w:val="0"/>
      <w:marRight w:val="0"/>
      <w:marTop w:val="0"/>
      <w:marBottom w:val="0"/>
      <w:divBdr>
        <w:top w:val="none" w:sz="0" w:space="0" w:color="auto"/>
        <w:left w:val="none" w:sz="0" w:space="0" w:color="auto"/>
        <w:bottom w:val="none" w:sz="0" w:space="0" w:color="auto"/>
        <w:right w:val="none" w:sz="0" w:space="0" w:color="auto"/>
      </w:divBdr>
    </w:div>
    <w:div w:id="391467456">
      <w:bodyDiv w:val="1"/>
      <w:marLeft w:val="0"/>
      <w:marRight w:val="0"/>
      <w:marTop w:val="0"/>
      <w:marBottom w:val="0"/>
      <w:divBdr>
        <w:top w:val="none" w:sz="0" w:space="0" w:color="auto"/>
        <w:left w:val="none" w:sz="0" w:space="0" w:color="auto"/>
        <w:bottom w:val="none" w:sz="0" w:space="0" w:color="auto"/>
        <w:right w:val="none" w:sz="0" w:space="0" w:color="auto"/>
      </w:divBdr>
    </w:div>
    <w:div w:id="640112963">
      <w:bodyDiv w:val="1"/>
      <w:marLeft w:val="0"/>
      <w:marRight w:val="0"/>
      <w:marTop w:val="0"/>
      <w:marBottom w:val="0"/>
      <w:divBdr>
        <w:top w:val="none" w:sz="0" w:space="0" w:color="auto"/>
        <w:left w:val="none" w:sz="0" w:space="0" w:color="auto"/>
        <w:bottom w:val="none" w:sz="0" w:space="0" w:color="auto"/>
        <w:right w:val="none" w:sz="0" w:space="0" w:color="auto"/>
      </w:divBdr>
      <w:divsChild>
        <w:div w:id="707603580">
          <w:marLeft w:val="0"/>
          <w:marRight w:val="0"/>
          <w:marTop w:val="0"/>
          <w:marBottom w:val="0"/>
          <w:divBdr>
            <w:top w:val="none" w:sz="0" w:space="0" w:color="auto"/>
            <w:left w:val="none" w:sz="0" w:space="0" w:color="auto"/>
            <w:bottom w:val="none" w:sz="0" w:space="0" w:color="auto"/>
            <w:right w:val="none" w:sz="0" w:space="0" w:color="auto"/>
          </w:divBdr>
          <w:divsChild>
            <w:div w:id="226843689">
              <w:marLeft w:val="-225"/>
              <w:marRight w:val="-225"/>
              <w:marTop w:val="0"/>
              <w:marBottom w:val="0"/>
              <w:divBdr>
                <w:top w:val="none" w:sz="0" w:space="0" w:color="auto"/>
                <w:left w:val="none" w:sz="0" w:space="0" w:color="auto"/>
                <w:bottom w:val="none" w:sz="0" w:space="0" w:color="auto"/>
                <w:right w:val="none" w:sz="0" w:space="0" w:color="auto"/>
              </w:divBdr>
              <w:divsChild>
                <w:div w:id="109755449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643703609">
      <w:bodyDiv w:val="1"/>
      <w:marLeft w:val="0"/>
      <w:marRight w:val="0"/>
      <w:marTop w:val="0"/>
      <w:marBottom w:val="0"/>
      <w:divBdr>
        <w:top w:val="none" w:sz="0" w:space="0" w:color="auto"/>
        <w:left w:val="none" w:sz="0" w:space="0" w:color="auto"/>
        <w:bottom w:val="none" w:sz="0" w:space="0" w:color="auto"/>
        <w:right w:val="none" w:sz="0" w:space="0" w:color="auto"/>
      </w:divBdr>
      <w:divsChild>
        <w:div w:id="406267828">
          <w:marLeft w:val="0"/>
          <w:marRight w:val="0"/>
          <w:marTop w:val="0"/>
          <w:marBottom w:val="0"/>
          <w:divBdr>
            <w:top w:val="none" w:sz="0" w:space="0" w:color="auto"/>
            <w:left w:val="none" w:sz="0" w:space="0" w:color="auto"/>
            <w:bottom w:val="none" w:sz="0" w:space="0" w:color="auto"/>
            <w:right w:val="none" w:sz="0" w:space="0" w:color="auto"/>
          </w:divBdr>
          <w:divsChild>
            <w:div w:id="713431783">
              <w:marLeft w:val="-225"/>
              <w:marRight w:val="-225"/>
              <w:marTop w:val="0"/>
              <w:marBottom w:val="0"/>
              <w:divBdr>
                <w:top w:val="none" w:sz="0" w:space="0" w:color="auto"/>
                <w:left w:val="none" w:sz="0" w:space="0" w:color="auto"/>
                <w:bottom w:val="none" w:sz="0" w:space="0" w:color="auto"/>
                <w:right w:val="none" w:sz="0" w:space="0" w:color="auto"/>
              </w:divBdr>
              <w:divsChild>
                <w:div w:id="208714040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59526966">
      <w:bodyDiv w:val="1"/>
      <w:marLeft w:val="0"/>
      <w:marRight w:val="0"/>
      <w:marTop w:val="0"/>
      <w:marBottom w:val="0"/>
      <w:divBdr>
        <w:top w:val="none" w:sz="0" w:space="0" w:color="auto"/>
        <w:left w:val="none" w:sz="0" w:space="0" w:color="auto"/>
        <w:bottom w:val="none" w:sz="0" w:space="0" w:color="auto"/>
        <w:right w:val="none" w:sz="0" w:space="0" w:color="auto"/>
      </w:divBdr>
    </w:div>
    <w:div w:id="897672939">
      <w:bodyDiv w:val="1"/>
      <w:marLeft w:val="0"/>
      <w:marRight w:val="0"/>
      <w:marTop w:val="0"/>
      <w:marBottom w:val="0"/>
      <w:divBdr>
        <w:top w:val="none" w:sz="0" w:space="0" w:color="auto"/>
        <w:left w:val="none" w:sz="0" w:space="0" w:color="auto"/>
        <w:bottom w:val="none" w:sz="0" w:space="0" w:color="auto"/>
        <w:right w:val="none" w:sz="0" w:space="0" w:color="auto"/>
      </w:divBdr>
      <w:divsChild>
        <w:div w:id="1001352881">
          <w:marLeft w:val="0"/>
          <w:marRight w:val="0"/>
          <w:marTop w:val="0"/>
          <w:marBottom w:val="0"/>
          <w:divBdr>
            <w:top w:val="none" w:sz="0" w:space="0" w:color="auto"/>
            <w:left w:val="none" w:sz="0" w:space="0" w:color="auto"/>
            <w:bottom w:val="none" w:sz="0" w:space="0" w:color="auto"/>
            <w:right w:val="none" w:sz="0" w:space="0" w:color="auto"/>
          </w:divBdr>
          <w:divsChild>
            <w:div w:id="862210838">
              <w:marLeft w:val="-225"/>
              <w:marRight w:val="-225"/>
              <w:marTop w:val="0"/>
              <w:marBottom w:val="0"/>
              <w:divBdr>
                <w:top w:val="none" w:sz="0" w:space="0" w:color="auto"/>
                <w:left w:val="none" w:sz="0" w:space="0" w:color="auto"/>
                <w:bottom w:val="none" w:sz="0" w:space="0" w:color="auto"/>
                <w:right w:val="none" w:sz="0" w:space="0" w:color="auto"/>
              </w:divBdr>
              <w:divsChild>
                <w:div w:id="149641045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99522398">
      <w:bodyDiv w:val="1"/>
      <w:marLeft w:val="30"/>
      <w:marRight w:val="30"/>
      <w:marTop w:val="0"/>
      <w:marBottom w:val="0"/>
      <w:divBdr>
        <w:top w:val="none" w:sz="0" w:space="0" w:color="auto"/>
        <w:left w:val="none" w:sz="0" w:space="0" w:color="auto"/>
        <w:bottom w:val="none" w:sz="0" w:space="0" w:color="auto"/>
        <w:right w:val="none" w:sz="0" w:space="0" w:color="auto"/>
      </w:divBdr>
      <w:divsChild>
        <w:div w:id="234779301">
          <w:marLeft w:val="0"/>
          <w:marRight w:val="0"/>
          <w:marTop w:val="0"/>
          <w:marBottom w:val="0"/>
          <w:divBdr>
            <w:top w:val="none" w:sz="0" w:space="0" w:color="auto"/>
            <w:left w:val="none" w:sz="0" w:space="0" w:color="auto"/>
            <w:bottom w:val="none" w:sz="0" w:space="0" w:color="auto"/>
            <w:right w:val="none" w:sz="0" w:space="0" w:color="auto"/>
          </w:divBdr>
          <w:divsChild>
            <w:div w:id="292249003">
              <w:marLeft w:val="0"/>
              <w:marRight w:val="0"/>
              <w:marTop w:val="0"/>
              <w:marBottom w:val="0"/>
              <w:divBdr>
                <w:top w:val="none" w:sz="0" w:space="0" w:color="auto"/>
                <w:left w:val="none" w:sz="0" w:space="0" w:color="auto"/>
                <w:bottom w:val="none" w:sz="0" w:space="0" w:color="auto"/>
                <w:right w:val="none" w:sz="0" w:space="0" w:color="auto"/>
              </w:divBdr>
              <w:divsChild>
                <w:div w:id="1722705581">
                  <w:marLeft w:val="180"/>
                  <w:marRight w:val="0"/>
                  <w:marTop w:val="0"/>
                  <w:marBottom w:val="0"/>
                  <w:divBdr>
                    <w:top w:val="none" w:sz="0" w:space="0" w:color="auto"/>
                    <w:left w:val="none" w:sz="0" w:space="0" w:color="auto"/>
                    <w:bottom w:val="none" w:sz="0" w:space="0" w:color="auto"/>
                    <w:right w:val="none" w:sz="0" w:space="0" w:color="auto"/>
                  </w:divBdr>
                  <w:divsChild>
                    <w:div w:id="14720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09971">
      <w:bodyDiv w:val="1"/>
      <w:marLeft w:val="0"/>
      <w:marRight w:val="0"/>
      <w:marTop w:val="0"/>
      <w:marBottom w:val="0"/>
      <w:divBdr>
        <w:top w:val="none" w:sz="0" w:space="0" w:color="auto"/>
        <w:left w:val="none" w:sz="0" w:space="0" w:color="auto"/>
        <w:bottom w:val="none" w:sz="0" w:space="0" w:color="auto"/>
        <w:right w:val="none" w:sz="0" w:space="0" w:color="auto"/>
      </w:divBdr>
    </w:div>
    <w:div w:id="1229998591">
      <w:bodyDiv w:val="1"/>
      <w:marLeft w:val="0"/>
      <w:marRight w:val="0"/>
      <w:marTop w:val="0"/>
      <w:marBottom w:val="0"/>
      <w:divBdr>
        <w:top w:val="none" w:sz="0" w:space="0" w:color="auto"/>
        <w:left w:val="none" w:sz="0" w:space="0" w:color="auto"/>
        <w:bottom w:val="none" w:sz="0" w:space="0" w:color="auto"/>
        <w:right w:val="none" w:sz="0" w:space="0" w:color="auto"/>
      </w:divBdr>
    </w:div>
    <w:div w:id="1233924699">
      <w:bodyDiv w:val="1"/>
      <w:marLeft w:val="0"/>
      <w:marRight w:val="0"/>
      <w:marTop w:val="0"/>
      <w:marBottom w:val="0"/>
      <w:divBdr>
        <w:top w:val="none" w:sz="0" w:space="0" w:color="auto"/>
        <w:left w:val="none" w:sz="0" w:space="0" w:color="auto"/>
        <w:bottom w:val="none" w:sz="0" w:space="0" w:color="auto"/>
        <w:right w:val="none" w:sz="0" w:space="0" w:color="auto"/>
      </w:divBdr>
      <w:divsChild>
        <w:div w:id="459765376">
          <w:marLeft w:val="0"/>
          <w:marRight w:val="0"/>
          <w:marTop w:val="0"/>
          <w:marBottom w:val="0"/>
          <w:divBdr>
            <w:top w:val="none" w:sz="0" w:space="0" w:color="auto"/>
            <w:left w:val="none" w:sz="0" w:space="0" w:color="auto"/>
            <w:bottom w:val="none" w:sz="0" w:space="0" w:color="auto"/>
            <w:right w:val="none" w:sz="0" w:space="0" w:color="auto"/>
          </w:divBdr>
          <w:divsChild>
            <w:div w:id="152066448">
              <w:marLeft w:val="-225"/>
              <w:marRight w:val="-225"/>
              <w:marTop w:val="0"/>
              <w:marBottom w:val="0"/>
              <w:divBdr>
                <w:top w:val="none" w:sz="0" w:space="0" w:color="auto"/>
                <w:left w:val="none" w:sz="0" w:space="0" w:color="auto"/>
                <w:bottom w:val="none" w:sz="0" w:space="0" w:color="auto"/>
                <w:right w:val="none" w:sz="0" w:space="0" w:color="auto"/>
              </w:divBdr>
              <w:divsChild>
                <w:div w:id="43039524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235629793">
      <w:bodyDiv w:val="1"/>
      <w:marLeft w:val="0"/>
      <w:marRight w:val="0"/>
      <w:marTop w:val="0"/>
      <w:marBottom w:val="0"/>
      <w:divBdr>
        <w:top w:val="none" w:sz="0" w:space="0" w:color="auto"/>
        <w:left w:val="none" w:sz="0" w:space="0" w:color="auto"/>
        <w:bottom w:val="none" w:sz="0" w:space="0" w:color="auto"/>
        <w:right w:val="none" w:sz="0" w:space="0" w:color="auto"/>
      </w:divBdr>
      <w:divsChild>
        <w:div w:id="736825193">
          <w:marLeft w:val="0"/>
          <w:marRight w:val="0"/>
          <w:marTop w:val="0"/>
          <w:marBottom w:val="0"/>
          <w:divBdr>
            <w:top w:val="none" w:sz="0" w:space="0" w:color="auto"/>
            <w:left w:val="none" w:sz="0" w:space="0" w:color="auto"/>
            <w:bottom w:val="none" w:sz="0" w:space="0" w:color="auto"/>
            <w:right w:val="none" w:sz="0" w:space="0" w:color="auto"/>
          </w:divBdr>
          <w:divsChild>
            <w:div w:id="261884880">
              <w:marLeft w:val="-225"/>
              <w:marRight w:val="-225"/>
              <w:marTop w:val="0"/>
              <w:marBottom w:val="0"/>
              <w:divBdr>
                <w:top w:val="none" w:sz="0" w:space="0" w:color="auto"/>
                <w:left w:val="none" w:sz="0" w:space="0" w:color="auto"/>
                <w:bottom w:val="none" w:sz="0" w:space="0" w:color="auto"/>
                <w:right w:val="none" w:sz="0" w:space="0" w:color="auto"/>
              </w:divBdr>
              <w:divsChild>
                <w:div w:id="134906614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276253500">
      <w:bodyDiv w:val="1"/>
      <w:marLeft w:val="30"/>
      <w:marRight w:val="30"/>
      <w:marTop w:val="0"/>
      <w:marBottom w:val="0"/>
      <w:divBdr>
        <w:top w:val="none" w:sz="0" w:space="0" w:color="auto"/>
        <w:left w:val="none" w:sz="0" w:space="0" w:color="auto"/>
        <w:bottom w:val="none" w:sz="0" w:space="0" w:color="auto"/>
        <w:right w:val="none" w:sz="0" w:space="0" w:color="auto"/>
      </w:divBdr>
      <w:divsChild>
        <w:div w:id="1953895074">
          <w:marLeft w:val="0"/>
          <w:marRight w:val="0"/>
          <w:marTop w:val="0"/>
          <w:marBottom w:val="0"/>
          <w:divBdr>
            <w:top w:val="none" w:sz="0" w:space="0" w:color="auto"/>
            <w:left w:val="none" w:sz="0" w:space="0" w:color="auto"/>
            <w:bottom w:val="none" w:sz="0" w:space="0" w:color="auto"/>
            <w:right w:val="none" w:sz="0" w:space="0" w:color="auto"/>
          </w:divBdr>
          <w:divsChild>
            <w:div w:id="20054686">
              <w:marLeft w:val="0"/>
              <w:marRight w:val="0"/>
              <w:marTop w:val="0"/>
              <w:marBottom w:val="0"/>
              <w:divBdr>
                <w:top w:val="none" w:sz="0" w:space="0" w:color="auto"/>
                <w:left w:val="none" w:sz="0" w:space="0" w:color="auto"/>
                <w:bottom w:val="none" w:sz="0" w:space="0" w:color="auto"/>
                <w:right w:val="none" w:sz="0" w:space="0" w:color="auto"/>
              </w:divBdr>
              <w:divsChild>
                <w:div w:id="118886074">
                  <w:marLeft w:val="180"/>
                  <w:marRight w:val="0"/>
                  <w:marTop w:val="0"/>
                  <w:marBottom w:val="0"/>
                  <w:divBdr>
                    <w:top w:val="none" w:sz="0" w:space="0" w:color="auto"/>
                    <w:left w:val="none" w:sz="0" w:space="0" w:color="auto"/>
                    <w:bottom w:val="none" w:sz="0" w:space="0" w:color="auto"/>
                    <w:right w:val="none" w:sz="0" w:space="0" w:color="auto"/>
                  </w:divBdr>
                  <w:divsChild>
                    <w:div w:id="11123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48944">
      <w:bodyDiv w:val="1"/>
      <w:marLeft w:val="0"/>
      <w:marRight w:val="0"/>
      <w:marTop w:val="0"/>
      <w:marBottom w:val="0"/>
      <w:divBdr>
        <w:top w:val="none" w:sz="0" w:space="0" w:color="auto"/>
        <w:left w:val="none" w:sz="0" w:space="0" w:color="auto"/>
        <w:bottom w:val="none" w:sz="0" w:space="0" w:color="auto"/>
        <w:right w:val="none" w:sz="0" w:space="0" w:color="auto"/>
      </w:divBdr>
    </w:div>
    <w:div w:id="1463185755">
      <w:bodyDiv w:val="1"/>
      <w:marLeft w:val="0"/>
      <w:marRight w:val="0"/>
      <w:marTop w:val="0"/>
      <w:marBottom w:val="0"/>
      <w:divBdr>
        <w:top w:val="none" w:sz="0" w:space="0" w:color="auto"/>
        <w:left w:val="none" w:sz="0" w:space="0" w:color="auto"/>
        <w:bottom w:val="none" w:sz="0" w:space="0" w:color="auto"/>
        <w:right w:val="none" w:sz="0" w:space="0" w:color="auto"/>
      </w:divBdr>
      <w:divsChild>
        <w:div w:id="1076511517">
          <w:marLeft w:val="0"/>
          <w:marRight w:val="0"/>
          <w:marTop w:val="0"/>
          <w:marBottom w:val="0"/>
          <w:divBdr>
            <w:top w:val="none" w:sz="0" w:space="0" w:color="auto"/>
            <w:left w:val="none" w:sz="0" w:space="0" w:color="auto"/>
            <w:bottom w:val="none" w:sz="0" w:space="0" w:color="auto"/>
            <w:right w:val="none" w:sz="0" w:space="0" w:color="auto"/>
          </w:divBdr>
          <w:divsChild>
            <w:div w:id="337317851">
              <w:marLeft w:val="-225"/>
              <w:marRight w:val="-225"/>
              <w:marTop w:val="0"/>
              <w:marBottom w:val="0"/>
              <w:divBdr>
                <w:top w:val="none" w:sz="0" w:space="0" w:color="auto"/>
                <w:left w:val="none" w:sz="0" w:space="0" w:color="auto"/>
                <w:bottom w:val="none" w:sz="0" w:space="0" w:color="auto"/>
                <w:right w:val="none" w:sz="0" w:space="0" w:color="auto"/>
              </w:divBdr>
              <w:divsChild>
                <w:div w:id="82477832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30754580">
      <w:bodyDiv w:val="1"/>
      <w:marLeft w:val="0"/>
      <w:marRight w:val="0"/>
      <w:marTop w:val="0"/>
      <w:marBottom w:val="0"/>
      <w:divBdr>
        <w:top w:val="none" w:sz="0" w:space="0" w:color="auto"/>
        <w:left w:val="none" w:sz="0" w:space="0" w:color="auto"/>
        <w:bottom w:val="none" w:sz="0" w:space="0" w:color="auto"/>
        <w:right w:val="none" w:sz="0" w:space="0" w:color="auto"/>
      </w:divBdr>
      <w:divsChild>
        <w:div w:id="809858832">
          <w:marLeft w:val="0"/>
          <w:marRight w:val="0"/>
          <w:marTop w:val="0"/>
          <w:marBottom w:val="0"/>
          <w:divBdr>
            <w:top w:val="single" w:sz="48" w:space="23" w:color="004A7F"/>
            <w:left w:val="none" w:sz="0" w:space="0" w:color="auto"/>
            <w:bottom w:val="single" w:sz="48" w:space="0" w:color="004A7F"/>
            <w:right w:val="none" w:sz="0" w:space="0" w:color="auto"/>
          </w:divBdr>
          <w:divsChild>
            <w:div w:id="168639030">
              <w:marLeft w:val="-225"/>
              <w:marRight w:val="-225"/>
              <w:marTop w:val="0"/>
              <w:marBottom w:val="0"/>
              <w:divBdr>
                <w:top w:val="none" w:sz="0" w:space="0" w:color="auto"/>
                <w:left w:val="none" w:sz="0" w:space="0" w:color="auto"/>
                <w:bottom w:val="none" w:sz="0" w:space="0" w:color="auto"/>
                <w:right w:val="none" w:sz="0" w:space="0" w:color="auto"/>
              </w:divBdr>
              <w:divsChild>
                <w:div w:id="326980671">
                  <w:marLeft w:val="0"/>
                  <w:marRight w:val="0"/>
                  <w:marTop w:val="0"/>
                  <w:marBottom w:val="0"/>
                  <w:divBdr>
                    <w:top w:val="none" w:sz="0" w:space="0" w:color="auto"/>
                    <w:left w:val="none" w:sz="0" w:space="0" w:color="auto"/>
                    <w:bottom w:val="none" w:sz="0" w:space="0" w:color="auto"/>
                    <w:right w:val="none" w:sz="0" w:space="0" w:color="auto"/>
                  </w:divBdr>
                  <w:divsChild>
                    <w:div w:id="5629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755274">
      <w:bodyDiv w:val="1"/>
      <w:marLeft w:val="0"/>
      <w:marRight w:val="0"/>
      <w:marTop w:val="0"/>
      <w:marBottom w:val="0"/>
      <w:divBdr>
        <w:top w:val="none" w:sz="0" w:space="0" w:color="auto"/>
        <w:left w:val="none" w:sz="0" w:space="0" w:color="auto"/>
        <w:bottom w:val="none" w:sz="0" w:space="0" w:color="auto"/>
        <w:right w:val="none" w:sz="0" w:space="0" w:color="auto"/>
      </w:divBdr>
      <w:divsChild>
        <w:div w:id="763114595">
          <w:marLeft w:val="0"/>
          <w:marRight w:val="0"/>
          <w:marTop w:val="0"/>
          <w:marBottom w:val="0"/>
          <w:divBdr>
            <w:top w:val="none" w:sz="0" w:space="0" w:color="auto"/>
            <w:left w:val="none" w:sz="0" w:space="0" w:color="auto"/>
            <w:bottom w:val="none" w:sz="0" w:space="0" w:color="auto"/>
            <w:right w:val="none" w:sz="0" w:space="0" w:color="auto"/>
          </w:divBdr>
          <w:divsChild>
            <w:div w:id="1143933940">
              <w:marLeft w:val="-225"/>
              <w:marRight w:val="-225"/>
              <w:marTop w:val="0"/>
              <w:marBottom w:val="0"/>
              <w:divBdr>
                <w:top w:val="none" w:sz="0" w:space="0" w:color="auto"/>
                <w:left w:val="none" w:sz="0" w:space="0" w:color="auto"/>
                <w:bottom w:val="none" w:sz="0" w:space="0" w:color="auto"/>
                <w:right w:val="none" w:sz="0" w:space="0" w:color="auto"/>
              </w:divBdr>
              <w:divsChild>
                <w:div w:id="2471946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690717265">
      <w:bodyDiv w:val="1"/>
      <w:marLeft w:val="0"/>
      <w:marRight w:val="0"/>
      <w:marTop w:val="0"/>
      <w:marBottom w:val="0"/>
      <w:divBdr>
        <w:top w:val="none" w:sz="0" w:space="0" w:color="auto"/>
        <w:left w:val="none" w:sz="0" w:space="0" w:color="auto"/>
        <w:bottom w:val="none" w:sz="0" w:space="0" w:color="auto"/>
        <w:right w:val="none" w:sz="0" w:space="0" w:color="auto"/>
      </w:divBdr>
    </w:div>
    <w:div w:id="1695231663">
      <w:bodyDiv w:val="1"/>
      <w:marLeft w:val="0"/>
      <w:marRight w:val="0"/>
      <w:marTop w:val="0"/>
      <w:marBottom w:val="0"/>
      <w:divBdr>
        <w:top w:val="none" w:sz="0" w:space="0" w:color="auto"/>
        <w:left w:val="none" w:sz="0" w:space="0" w:color="auto"/>
        <w:bottom w:val="none" w:sz="0" w:space="0" w:color="auto"/>
        <w:right w:val="none" w:sz="0" w:space="0" w:color="auto"/>
      </w:divBdr>
    </w:div>
    <w:div w:id="1732264510">
      <w:bodyDiv w:val="1"/>
      <w:marLeft w:val="0"/>
      <w:marRight w:val="0"/>
      <w:marTop w:val="0"/>
      <w:marBottom w:val="0"/>
      <w:divBdr>
        <w:top w:val="none" w:sz="0" w:space="0" w:color="auto"/>
        <w:left w:val="none" w:sz="0" w:space="0" w:color="auto"/>
        <w:bottom w:val="none" w:sz="0" w:space="0" w:color="auto"/>
        <w:right w:val="none" w:sz="0" w:space="0" w:color="auto"/>
      </w:divBdr>
    </w:div>
    <w:div w:id="1831166768">
      <w:bodyDiv w:val="1"/>
      <w:marLeft w:val="0"/>
      <w:marRight w:val="0"/>
      <w:marTop w:val="0"/>
      <w:marBottom w:val="0"/>
      <w:divBdr>
        <w:top w:val="none" w:sz="0" w:space="0" w:color="auto"/>
        <w:left w:val="none" w:sz="0" w:space="0" w:color="auto"/>
        <w:bottom w:val="none" w:sz="0" w:space="0" w:color="auto"/>
        <w:right w:val="none" w:sz="0" w:space="0" w:color="auto"/>
      </w:divBdr>
    </w:div>
    <w:div w:id="1865482330">
      <w:bodyDiv w:val="1"/>
      <w:marLeft w:val="30"/>
      <w:marRight w:val="30"/>
      <w:marTop w:val="0"/>
      <w:marBottom w:val="0"/>
      <w:divBdr>
        <w:top w:val="none" w:sz="0" w:space="0" w:color="auto"/>
        <w:left w:val="none" w:sz="0" w:space="0" w:color="auto"/>
        <w:bottom w:val="none" w:sz="0" w:space="0" w:color="auto"/>
        <w:right w:val="none" w:sz="0" w:space="0" w:color="auto"/>
      </w:divBdr>
      <w:divsChild>
        <w:div w:id="650404660">
          <w:marLeft w:val="0"/>
          <w:marRight w:val="0"/>
          <w:marTop w:val="0"/>
          <w:marBottom w:val="0"/>
          <w:divBdr>
            <w:top w:val="none" w:sz="0" w:space="0" w:color="auto"/>
            <w:left w:val="none" w:sz="0" w:space="0" w:color="auto"/>
            <w:bottom w:val="none" w:sz="0" w:space="0" w:color="auto"/>
            <w:right w:val="none" w:sz="0" w:space="0" w:color="auto"/>
          </w:divBdr>
          <w:divsChild>
            <w:div w:id="1802574807">
              <w:marLeft w:val="0"/>
              <w:marRight w:val="0"/>
              <w:marTop w:val="0"/>
              <w:marBottom w:val="0"/>
              <w:divBdr>
                <w:top w:val="none" w:sz="0" w:space="0" w:color="auto"/>
                <w:left w:val="none" w:sz="0" w:space="0" w:color="auto"/>
                <w:bottom w:val="none" w:sz="0" w:space="0" w:color="auto"/>
                <w:right w:val="none" w:sz="0" w:space="0" w:color="auto"/>
              </w:divBdr>
              <w:divsChild>
                <w:div w:id="250503951">
                  <w:marLeft w:val="180"/>
                  <w:marRight w:val="0"/>
                  <w:marTop w:val="0"/>
                  <w:marBottom w:val="0"/>
                  <w:divBdr>
                    <w:top w:val="none" w:sz="0" w:space="0" w:color="auto"/>
                    <w:left w:val="none" w:sz="0" w:space="0" w:color="auto"/>
                    <w:bottom w:val="none" w:sz="0" w:space="0" w:color="auto"/>
                    <w:right w:val="none" w:sz="0" w:space="0" w:color="auto"/>
                  </w:divBdr>
                  <w:divsChild>
                    <w:div w:id="524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10611">
      <w:bodyDiv w:val="1"/>
      <w:marLeft w:val="0"/>
      <w:marRight w:val="0"/>
      <w:marTop w:val="0"/>
      <w:marBottom w:val="0"/>
      <w:divBdr>
        <w:top w:val="none" w:sz="0" w:space="0" w:color="auto"/>
        <w:left w:val="none" w:sz="0" w:space="0" w:color="auto"/>
        <w:bottom w:val="none" w:sz="0" w:space="0" w:color="auto"/>
        <w:right w:val="none" w:sz="0" w:space="0" w:color="auto"/>
      </w:divBdr>
    </w:div>
    <w:div w:id="191701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creativecommons.org/licenses/by/3.0/au/deed.en" TargetMode="External"/><Relationship Id="rId42" Type="http://schemas.openxmlformats.org/officeDocument/2006/relationships/image" Target="media/image9.png"/><Relationship Id="rId47" Type="http://schemas.openxmlformats.org/officeDocument/2006/relationships/footer" Target="footer8.xml"/><Relationship Id="rId63" Type="http://schemas.openxmlformats.org/officeDocument/2006/relationships/image" Target="media/image21.emf"/><Relationship Id="rId68" Type="http://schemas.openxmlformats.org/officeDocument/2006/relationships/image" Target="media/image24.emf"/><Relationship Id="rId84" Type="http://schemas.openxmlformats.org/officeDocument/2006/relationships/oleObject" Target="http://tweb/sites/mg/fitpd/FIRB/Annual%20Report%20(written%20only)/2015-16/Tables%20and%20charts/Table%203.10%20-%20RRE%20by%20type%20and%20number.xlsx!Final%20Table!R3C1:R22C12" TargetMode="External"/><Relationship Id="rId89" Type="http://schemas.openxmlformats.org/officeDocument/2006/relationships/header" Target="header11.xm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07" Type="http://schemas.openxmlformats.org/officeDocument/2006/relationships/image" Target="media/image37.jpeg"/><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eader" Target="header8.xml"/><Relationship Id="rId53" Type="http://schemas.openxmlformats.org/officeDocument/2006/relationships/image" Target="media/image15.jpeg"/><Relationship Id="rId58" Type="http://schemas.openxmlformats.org/officeDocument/2006/relationships/oleObject" Target="http://tweb/sites/mg/fitpd/FIRB/Annual%20Report%20(written%20only)/2015-16/Tables%20and%20charts/Table%203.1%20-%20Applications%20considered%20.xlsx!Final%20Table!R2C1:R14C5" TargetMode="External"/><Relationship Id="rId66" Type="http://schemas.openxmlformats.org/officeDocument/2006/relationships/oleObject" Target="http://tweb/sites/mg/fitpd/FIRB/Annual%20Report%20(written%20only)/2015-16/Tables%20and%20charts/Table%203.4%20-%20Approvals%20by%20industry%20sector.xlsx!Final%20Table!R2C1:R13C13" TargetMode="External"/><Relationship Id="rId74" Type="http://schemas.openxmlformats.org/officeDocument/2006/relationships/image" Target="media/image27.emf"/><Relationship Id="rId79" Type="http://schemas.openxmlformats.org/officeDocument/2006/relationships/oleObject" Target="http://tweb/sites/mg/fitpd/FIRB/Annual%20Report%20(written%20only)/2015-16/Final%20version%20-%20Publications/Chart%203.2%20-%20State%20and%20Territory%20investment%20in%20RRE%20and%20CRE.xlsx!Final%20Table%20-%20RRE!%5bChart%203.2%20-%20State%20and%20Territory%20investment%20in%20RRE%20and%20CRE.xlsx%5dFinal%20Table%20-%20RRE%20Chart%201" TargetMode="External"/><Relationship Id="rId87" Type="http://schemas.openxmlformats.org/officeDocument/2006/relationships/image" Target="media/image33.emf"/><Relationship Id="rId102" Type="http://schemas.openxmlformats.org/officeDocument/2006/relationships/header" Target="header18.xml"/><Relationship Id="rId110" Type="http://schemas.openxmlformats.org/officeDocument/2006/relationships/image" Target="media/image39.jpeg"/><Relationship Id="rId5" Type="http://schemas.openxmlformats.org/officeDocument/2006/relationships/customXml" Target="../customXml/item5.xml"/><Relationship Id="rId61" Type="http://schemas.openxmlformats.org/officeDocument/2006/relationships/image" Target="media/image20.emf"/><Relationship Id="rId82" Type="http://schemas.openxmlformats.org/officeDocument/2006/relationships/oleObject" Target="http://tweb/sites/mg/fitpd/FIRB/Annual%20Report%20(written%20only)/2015-16/Tables%20and%20charts/Box_TWP%20residential%20real%20estate%20breakout%20box%20chart.xlsx!Time%20Series%20Charts!%5bBox_TWP%20residential%20real%20estate%20breakout%20box%20chart.xlsx%5dTime%20Series%20Charts%20Chart%204" TargetMode="External"/><Relationship Id="rId90" Type="http://schemas.openxmlformats.org/officeDocument/2006/relationships/header" Target="header12.xml"/><Relationship Id="rId95" Type="http://schemas.openxmlformats.org/officeDocument/2006/relationships/header" Target="header14.xml"/><Relationship Id="rId19" Type="http://schemas.openxmlformats.org/officeDocument/2006/relationships/hyperlink" Target="http://creativecommons.org/licenses/by/3.0/au/legalcode" TargetMode="External"/><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footer" Target="footer4.xml"/><Relationship Id="rId30" Type="http://schemas.openxmlformats.org/officeDocument/2006/relationships/hyperlink" Target="http://tweb/sites/mg/fitpd/FIRB/Annual%20Report%20(written%20only)/2015-16/Draft/www.firb.gov.au" TargetMode="External"/><Relationship Id="rId35" Type="http://schemas.openxmlformats.org/officeDocument/2006/relationships/header" Target="header7.xml"/><Relationship Id="rId43" Type="http://schemas.openxmlformats.org/officeDocument/2006/relationships/image" Target="http://firb.gov.au/files/2015/09/David_Peever.png" TargetMode="External"/><Relationship Id="rId48" Type="http://schemas.openxmlformats.org/officeDocument/2006/relationships/image" Target="media/image11.jpeg"/><Relationship Id="rId56" Type="http://schemas.openxmlformats.org/officeDocument/2006/relationships/image" Target="media/image17.jpg"/><Relationship Id="rId64" Type="http://schemas.openxmlformats.org/officeDocument/2006/relationships/oleObject" Target="http://tweb/sites/mg/fitpd/FIRB/Annual%20Report%20(written%20only)/2015-16/Tables%20and%20charts/Chart%203.1%20-%20approvals%20by%20sector.xlsx!Sheet1!%5bChart%203.1%20-%20approvals%20by%20sector.xlsx%5dSheet1%20Chart%201" TargetMode="External"/><Relationship Id="rId69" Type="http://schemas.openxmlformats.org/officeDocument/2006/relationships/oleObject" Target="http://tweb/sites/mg/fitpd/FIRB/Annual%20Report%20(written%20only)/2015-16/Tables%20and%20charts/Table%203.5%20-%20Manufacturing%20sector%20approvals.xlsx!Final%20Table!R2C1:R9C13" TargetMode="External"/><Relationship Id="rId77" Type="http://schemas.openxmlformats.org/officeDocument/2006/relationships/oleObject" Target="http://tweb/sites/mg/fitpd/FIRB/Annual%20Report%20(written%20only)/2015-16/Tables%20and%20charts/Table%203.9%20-%20State%20and%20Territory%20investment%20in%20CRE.xlsx!Final%20Table%20-%20CRE!R3C1:R14C7" TargetMode="External"/><Relationship Id="rId100" Type="http://schemas.openxmlformats.org/officeDocument/2006/relationships/header" Target="header16.xml"/><Relationship Id="rId105" Type="http://schemas.openxmlformats.org/officeDocument/2006/relationships/hyperlink" Target="http://tweb/sites/mg/fitpd/FIRB/Annual%20Report%20(written%20only)/2013-14/2013-14%2012%20Feb/www.firb.gov.au" TargetMode="External"/><Relationship Id="rId113"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http://tweb/sites/mg/fitpd/FIRB/Annual%20Report%20(written%20only)/2015-16/Tables%20and%20charts/Chart%201.3%20-%20Stock%20of%20FDI%20in%20Australia%20.xlsx!IIP%20-%20Inward%20FDI%20by%20Ctry!%5bChart%201.3%20-%20Stock%20of%20FDI%20in%20Australia%20.xlsx%5dIIP%20-%20Inward%20FDI%20by%20Ctry%20Chart%205" TargetMode="External"/><Relationship Id="rId72" Type="http://schemas.openxmlformats.org/officeDocument/2006/relationships/image" Target="media/image26.emf"/><Relationship Id="rId80" Type="http://schemas.openxmlformats.org/officeDocument/2006/relationships/image" Target="media/image30.emf"/><Relationship Id="rId85" Type="http://schemas.openxmlformats.org/officeDocument/2006/relationships/image" Target="media/image32.emf"/><Relationship Id="rId93" Type="http://schemas.openxmlformats.org/officeDocument/2006/relationships/header" Target="header13.xml"/><Relationship Id="rId98"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image" Target="media/image5.jpeg"/><Relationship Id="rId46" Type="http://schemas.openxmlformats.org/officeDocument/2006/relationships/header" Target="header9.xml"/><Relationship Id="rId59" Type="http://schemas.openxmlformats.org/officeDocument/2006/relationships/image" Target="media/image19.emf"/><Relationship Id="rId67" Type="http://schemas.openxmlformats.org/officeDocument/2006/relationships/image" Target="media/image23.png"/><Relationship Id="rId103" Type="http://schemas.openxmlformats.org/officeDocument/2006/relationships/footer" Target="footer11.xml"/><Relationship Id="rId108" Type="http://schemas.openxmlformats.org/officeDocument/2006/relationships/image" Target="media/image38.jpeg"/><Relationship Id="rId20" Type="http://schemas.openxmlformats.org/officeDocument/2006/relationships/image" Target="media/image1.png"/><Relationship Id="rId41" Type="http://schemas.openxmlformats.org/officeDocument/2006/relationships/image" Target="media/image8.jpeg"/><Relationship Id="rId54" Type="http://schemas.openxmlformats.org/officeDocument/2006/relationships/header" Target="header10.xml"/><Relationship Id="rId62" Type="http://schemas.openxmlformats.org/officeDocument/2006/relationships/oleObject" Target="http://tweb/sites/mg/fitpd/FIRB/Annual%20Report%20(written%20only)/2015-16/Tables%20and%20charts/Table%203.3%20-%20Approvals%20by%20value.xlsx!Final%20Table!R2C1:R11C13" TargetMode="External"/><Relationship Id="rId70" Type="http://schemas.openxmlformats.org/officeDocument/2006/relationships/image" Target="media/image25.emf"/><Relationship Id="rId75" Type="http://schemas.openxmlformats.org/officeDocument/2006/relationships/oleObject" Target="http://tweb/sites/mg/fitpd/FIRB/Annual%20Report%20(written%20only)/2015-16/Tables%20and%20charts/Table%203.8%20-%20CRE%20by%20type%20and%20number.xlsx!Final%20Table!R3C1:R14C12" TargetMode="External"/><Relationship Id="rId83" Type="http://schemas.openxmlformats.org/officeDocument/2006/relationships/image" Target="media/image31.emf"/><Relationship Id="rId88" Type="http://schemas.openxmlformats.org/officeDocument/2006/relationships/oleObject" Target="http://tweb/sites/mg/fitpd/FIRB/Annual%20Report%20(written%20only)/2015-16/Tables%20and%20charts/Table%203.12%20-%20State%20and%20Territory%20-%20RRE%20split%20by%20subtype.xlsx!Final%20Table!R5C1:R16C16" TargetMode="External"/><Relationship Id="rId91" Type="http://schemas.openxmlformats.org/officeDocument/2006/relationships/image" Target="media/image34.emf"/><Relationship Id="rId96" Type="http://schemas.openxmlformats.org/officeDocument/2006/relationships/header" Target="header15.xml"/><Relationship Id="rId11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mailto:medialiaison@treasury.gov.au" TargetMode="External"/><Relationship Id="rId28" Type="http://schemas.openxmlformats.org/officeDocument/2006/relationships/header" Target="header5.xml"/><Relationship Id="rId36" Type="http://schemas.openxmlformats.org/officeDocument/2006/relationships/image" Target="media/image3.jpeg"/><Relationship Id="rId49" Type="http://schemas.openxmlformats.org/officeDocument/2006/relationships/image" Target="media/image12.jpg"/><Relationship Id="rId57" Type="http://schemas.openxmlformats.org/officeDocument/2006/relationships/image" Target="media/image18.emf"/><Relationship Id="rId106" Type="http://schemas.openxmlformats.org/officeDocument/2006/relationships/header" Target="header19.xml"/><Relationship Id="rId10" Type="http://schemas.openxmlformats.org/officeDocument/2006/relationships/settings" Target="settings.xml"/><Relationship Id="rId31" Type="http://schemas.openxmlformats.org/officeDocument/2006/relationships/image" Target="media/image2.png"/><Relationship Id="rId44" Type="http://schemas.openxmlformats.org/officeDocument/2006/relationships/image" Target="media/image10.jpeg"/><Relationship Id="rId52" Type="http://schemas.openxmlformats.org/officeDocument/2006/relationships/image" Target="media/image14.jpeg"/><Relationship Id="rId60" Type="http://schemas.openxmlformats.org/officeDocument/2006/relationships/oleObject" Target="http://tweb/sites/mg/fitpd/FIRB/Annual%20Report%20(written%20only)/2015-16/Tables%20and%20charts/Table%203.2%20-%20Applications%20decided%20by%20value.xlsx!Final%20Table!R3C1:R9C5" TargetMode="External"/><Relationship Id="rId65" Type="http://schemas.openxmlformats.org/officeDocument/2006/relationships/image" Target="media/image22.emf"/><Relationship Id="rId73" Type="http://schemas.openxmlformats.org/officeDocument/2006/relationships/oleObject" Target="http://tweb/sites/mg/fitpd/FIRB/Annual%20Report%20(written%20only)/2015-16/Tables%20and%20charts/Table%203.7%20-%20Services.xlsx!Final%20Table!R3C1:R13C13" TargetMode="External"/><Relationship Id="rId78" Type="http://schemas.openxmlformats.org/officeDocument/2006/relationships/image" Target="media/image29.emf"/><Relationship Id="rId81" Type="http://schemas.openxmlformats.org/officeDocument/2006/relationships/oleObject" Target="http://tweb/sites/mg/fitpd/FIRB/Annual%20Report%20(written%20only)/2015-16/Tables%20and%20charts/Box_TWP%20residential%20real%20estate%20breakout%20box%20chart.xlsx!Time%20Series%20Charts!%5bBox_TWP%20residential%20real%20estate%20breakout%20box%20chart.xlsx%5dTime%20Series%20Charts%20Chart%204" TargetMode="External"/><Relationship Id="rId86" Type="http://schemas.openxmlformats.org/officeDocument/2006/relationships/oleObject" Target="http://tweb/sites/mg/fitpd/FIRB/Annual%20Report%20(written%20only)/2015-16/Tables%20and%20charts/Table%203.11%20-%20State%20and%20Territory%20investment%20in%20RRE.xlsx!Final%20Table%20-%20RRE!R3C1:R14C7" TargetMode="External"/><Relationship Id="rId94" Type="http://schemas.openxmlformats.org/officeDocument/2006/relationships/footer" Target="footer9.xml"/><Relationship Id="rId99" Type="http://schemas.openxmlformats.org/officeDocument/2006/relationships/chart" Target="charts/chart1.xml"/><Relationship Id="rId101" Type="http://schemas.openxmlformats.org/officeDocument/2006/relationships/header" Target="header17.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39" Type="http://schemas.openxmlformats.org/officeDocument/2006/relationships/image" Target="media/image6.jpeg"/><Relationship Id="rId109" Type="http://schemas.openxmlformats.org/officeDocument/2006/relationships/header" Target="header20.xml"/><Relationship Id="rId34" Type="http://schemas.openxmlformats.org/officeDocument/2006/relationships/footer" Target="footer7.xml"/><Relationship Id="rId50" Type="http://schemas.openxmlformats.org/officeDocument/2006/relationships/image" Target="media/image13.emf"/><Relationship Id="rId55" Type="http://schemas.openxmlformats.org/officeDocument/2006/relationships/image" Target="media/image16.jpeg"/><Relationship Id="rId76" Type="http://schemas.openxmlformats.org/officeDocument/2006/relationships/image" Target="media/image28.emf"/><Relationship Id="rId97" Type="http://schemas.openxmlformats.org/officeDocument/2006/relationships/footer" Target="footer10.xml"/><Relationship Id="rId104" Type="http://schemas.openxmlformats.org/officeDocument/2006/relationships/image" Target="media/image36.jpeg"/><Relationship Id="rId7" Type="http://schemas.openxmlformats.org/officeDocument/2006/relationships/numbering" Target="numbering.xml"/><Relationship Id="rId71" Type="http://schemas.openxmlformats.org/officeDocument/2006/relationships/oleObject" Target="http://tweb/sites/mg/fitpd/FIRB/Annual%20Report%20(written%20only)/2015-16/Tables%20and%20charts/Table%203.6%20-%20Mineral%20exploration%20and%20development.xlsx!Final%20Table!R3C1:R16C13" TargetMode="External"/><Relationship Id="rId92" Type="http://schemas.openxmlformats.org/officeDocument/2006/relationships/oleObject" Target="http://tweb/sites/mg/fitpd/FIRB/Annual%20Report%20(written%20only)/2015-16/Tables%20and%20charts/Table%203.13%20-%20Approvals%20by%20country%20of%20investor.xlsx!Final%20Table!R4C2:R28C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F%20I%20R%20B\FIRB%20Annual%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4994357890537"/>
          <c:y val="2.7921964299917054E-2"/>
          <c:w val="0.50998631908487657"/>
          <c:h val="0.92922983847123097"/>
        </c:manualLayout>
      </c:layout>
      <c:doughnutChart>
        <c:varyColors val="1"/>
        <c:ser>
          <c:idx val="0"/>
          <c:order val="0"/>
          <c:tx>
            <c:strRef>
              <c:f>Sheet1!$B$1</c:f>
              <c:strCache>
                <c:ptCount val="1"/>
                <c:pt idx="0">
                  <c:v>Column</c:v>
                </c:pt>
              </c:strCache>
            </c:strRef>
          </c:tx>
          <c:dPt>
            <c:idx val="0"/>
            <c:bubble3D val="0"/>
            <c:spPr>
              <a:solidFill>
                <a:srgbClr val="673472"/>
              </a:solidFill>
            </c:spPr>
          </c:dPt>
          <c:dPt>
            <c:idx val="1"/>
            <c:bubble3D val="0"/>
            <c:spPr>
              <a:solidFill>
                <a:srgbClr val="008689"/>
              </a:solidFill>
            </c:spPr>
          </c:dPt>
          <c:dPt>
            <c:idx val="2"/>
            <c:bubble3D val="0"/>
            <c:spPr>
              <a:solidFill>
                <a:srgbClr val="ADC9F1"/>
              </a:solidFill>
            </c:spPr>
          </c:dPt>
          <c:dPt>
            <c:idx val="3"/>
            <c:bubble3D val="0"/>
            <c:spPr>
              <a:solidFill>
                <a:srgbClr val="F4D4C4"/>
              </a:solidFill>
            </c:spPr>
          </c:dPt>
          <c:dPt>
            <c:idx val="4"/>
            <c:bubble3D val="0"/>
            <c:spPr>
              <a:solidFill>
                <a:srgbClr val="184B93"/>
              </a:solidFill>
            </c:spPr>
          </c:dPt>
          <c:dPt>
            <c:idx val="5"/>
            <c:bubble3D val="0"/>
            <c:spPr>
              <a:solidFill>
                <a:srgbClr val="BA81C5"/>
              </a:solidFill>
            </c:spPr>
          </c:dPt>
          <c:dPt>
            <c:idx val="6"/>
            <c:bubble3D val="0"/>
            <c:spPr>
              <a:solidFill>
                <a:srgbClr val="E2936A"/>
              </a:solidFill>
            </c:spPr>
          </c:dPt>
          <c:dLbls>
            <c:dLbl>
              <c:idx val="0"/>
              <c:layout>
                <c:manualLayout>
                  <c:x val="0.18368937849514655"/>
                  <c:y val="0.31765529308836393"/>
                </c:manualLayout>
              </c:layout>
              <c:showLegendKey val="1"/>
              <c:showVal val="0"/>
              <c:showCatName val="1"/>
              <c:showSerName val="0"/>
              <c:showPercent val="1"/>
              <c:showBubbleSize val="0"/>
              <c:separator> </c:separator>
            </c:dLbl>
            <c:dLbl>
              <c:idx val="1"/>
              <c:layout>
                <c:manualLayout>
                  <c:x val="-0.2522378289412161"/>
                  <c:y val="5.772005772005772E-2"/>
                </c:manualLayout>
              </c:layout>
              <c:showLegendKey val="1"/>
              <c:showVal val="0"/>
              <c:showCatName val="1"/>
              <c:showSerName val="0"/>
              <c:showPercent val="1"/>
              <c:showBubbleSize val="0"/>
              <c:separator> </c:separator>
            </c:dLbl>
            <c:dLbl>
              <c:idx val="2"/>
              <c:layout>
                <c:manualLayout>
                  <c:x val="-0.25413258022082158"/>
                  <c:y val="0.33477588028769129"/>
                </c:manualLayout>
              </c:layout>
              <c:showLegendKey val="1"/>
              <c:showVal val="0"/>
              <c:showCatName val="1"/>
              <c:showSerName val="0"/>
              <c:showPercent val="1"/>
              <c:showBubbleSize val="0"/>
              <c:separator> </c:separator>
            </c:dLbl>
            <c:dLbl>
              <c:idx val="3"/>
              <c:layout>
                <c:manualLayout>
                  <c:x val="-0.35257485925898219"/>
                  <c:y val="0.24242424242424243"/>
                </c:manualLayout>
              </c:layout>
              <c:showLegendKey val="1"/>
              <c:showVal val="0"/>
              <c:showCatName val="1"/>
              <c:showSerName val="0"/>
              <c:showPercent val="1"/>
              <c:showBubbleSize val="0"/>
              <c:separator> </c:separator>
            </c:dLbl>
            <c:dLbl>
              <c:idx val="4"/>
              <c:layout>
                <c:manualLayout>
                  <c:x val="-0.3927157561361837"/>
                  <c:y val="8.0808080808080815E-2"/>
                </c:manualLayout>
              </c:layout>
              <c:showLegendKey val="1"/>
              <c:showVal val="0"/>
              <c:showCatName val="1"/>
              <c:showSerName val="0"/>
              <c:showPercent val="1"/>
              <c:showBubbleSize val="0"/>
              <c:separator> </c:separator>
            </c:dLbl>
            <c:dLbl>
              <c:idx val="5"/>
              <c:layout>
                <c:manualLayout>
                  <c:x val="0.37828043466063177"/>
                  <c:y val="4.0404040404040407E-2"/>
                </c:manualLayout>
              </c:layout>
              <c:showLegendKey val="1"/>
              <c:showVal val="0"/>
              <c:showCatName val="1"/>
              <c:showSerName val="0"/>
              <c:showPercent val="1"/>
              <c:showBubbleSize val="0"/>
              <c:separator> </c:separator>
            </c:dLbl>
            <c:dLbl>
              <c:idx val="6"/>
              <c:layout>
                <c:manualLayout>
                  <c:x val="0.37688044338875692"/>
                  <c:y val="0.2366517821635932"/>
                </c:manualLayout>
              </c:layout>
              <c:showLegendKey val="1"/>
              <c:showVal val="0"/>
              <c:showCatName val="1"/>
              <c:showSerName val="0"/>
              <c:showPercent val="1"/>
              <c:showBubbleSize val="0"/>
              <c:separator> </c:separator>
            </c:dLbl>
            <c:dLbl>
              <c:idx val="7"/>
              <c:layout>
                <c:manualLayout>
                  <c:x val="0.36421219319081549"/>
                  <c:y val="0.43867243867243866"/>
                </c:manualLayout>
              </c:layout>
              <c:showLegendKey val="1"/>
              <c:showVal val="0"/>
              <c:showCatName val="1"/>
              <c:showSerName val="0"/>
              <c:showPercent val="1"/>
              <c:showBubbleSize val="0"/>
              <c:separator> </c:separator>
            </c:dLbl>
            <c:showLegendKey val="1"/>
            <c:showVal val="0"/>
            <c:showCatName val="1"/>
            <c:showSerName val="0"/>
            <c:showPercent val="1"/>
            <c:showBubbleSize val="0"/>
            <c:separator> </c:separator>
            <c:showLeaderLines val="1"/>
          </c:dLbls>
          <c:cat>
            <c:strRef>
              <c:f>Sheet1!$A$2:$A$9</c:f>
              <c:strCache>
                <c:ptCount val="8"/>
                <c:pt idx="0">
                  <c:v>VIC</c:v>
                </c:pt>
                <c:pt idx="1">
                  <c:v>NSW</c:v>
                </c:pt>
                <c:pt idx="2">
                  <c:v>QLD</c:v>
                </c:pt>
                <c:pt idx="3">
                  <c:v>WA</c:v>
                </c:pt>
                <c:pt idx="4">
                  <c:v>SA</c:v>
                </c:pt>
                <c:pt idx="5">
                  <c:v>TAS</c:v>
                </c:pt>
                <c:pt idx="6">
                  <c:v>ACT</c:v>
                </c:pt>
                <c:pt idx="7">
                  <c:v>NT</c:v>
                </c:pt>
              </c:strCache>
            </c:strRef>
          </c:cat>
          <c:val>
            <c:numRef>
              <c:f>Sheet1!$B$2:$B$9</c:f>
              <c:numCache>
                <c:formatCode>General</c:formatCode>
                <c:ptCount val="8"/>
                <c:pt idx="0">
                  <c:v>47.12</c:v>
                </c:pt>
                <c:pt idx="1">
                  <c:v>32.700000000000003</c:v>
                </c:pt>
                <c:pt idx="2">
                  <c:v>12.72</c:v>
                </c:pt>
                <c:pt idx="3">
                  <c:v>4.87</c:v>
                </c:pt>
                <c:pt idx="4">
                  <c:v>1.46</c:v>
                </c:pt>
                <c:pt idx="5">
                  <c:v>0.63</c:v>
                </c:pt>
                <c:pt idx="6">
                  <c:v>0.44</c:v>
                </c:pt>
                <c:pt idx="7">
                  <c:v>0.05</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d4dd4adf-ddb3-46a3-8d7c-fab3fb2a6bc7">
      <Value>11</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RA-9052 - Retain as national archives</TermName>
          <TermId xmlns="http://schemas.microsoft.com/office/infopath/2007/PartnerControls">ac55390f-b26f-4756-8634-9527e3d5cfe1</TermId>
        </TermInfo>
      </Terms>
    </lb508a4dc5e84436a0fe496b536466aa>
    <_dlc_DocId xmlns="d4dd4adf-ddb3-46a3-8d7c-fab3fb2a6bc7">2017MG-120-1969</_dlc_DocId>
    <_dlc_DocIdUrl xmlns="d4dd4adf-ddb3-46a3-8d7c-fab3fb2a6bc7">
      <Url>http://tweb/sites/mg/fitpd/_layouts/15/DocIdRedir.aspx?ID=2017MG-120-1969</Url>
      <Description>2017MG-120-1969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96A913177E0B634389777327CA17AC92" ma:contentTypeVersion="2333" ma:contentTypeDescription=" " ma:contentTypeScope="" ma:versionID="f7e945ef3bb7ca93566bf487e06a9bd4">
  <xsd:schema xmlns:xsd="http://www.w3.org/2001/XMLSchema" xmlns:xs="http://www.w3.org/2001/XMLSchema" xmlns:p="http://schemas.microsoft.com/office/2006/metadata/properties" xmlns:ns1="http://schemas.microsoft.com/sharepoint/v3" xmlns:ns2="d4dd4adf-ddb3-46a3-8d7c-fab3fb2a6bc7" xmlns:ns4="http://schemas.microsoft.com/sharepoint/v4" targetNamespace="http://schemas.microsoft.com/office/2006/metadata/properties" ma:root="true" ma:fieldsID="8efbfd7adccf631702f7a59d27c392fa" ns1:_="" ns2:_="" ns4:_="">
    <xsd:import namespace="http://schemas.microsoft.com/sharepoint/v3"/>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1:_dlc_Exempt" minOccurs="0"/>
                <xsd:element ref="ns2:lb508a4dc5e84436a0fe496b536466aa" minOccurs="0"/>
                <xsd:element ref="ns2:TaxCatchAll" minOccurs="0"/>
                <xsd:element ref="ns2: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lb508a4dc5e84436a0fe496b536466aa" ma:index="12" nillable="true" ma:taxonomy="true" ma:internalName="lb508a4dc5e84436a0fe496b536466aa" ma:taxonomyFieldName="TSYRecordClass" ma:displayName="Record Class" ma:readOnly="false" ma:default="11;#TSY RA-9052 - Retain as national archives|ac55390f-b26f-4756-8634-9527e3d5cfe1"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1757814118" UniqueId="a9d72903-fc04-4f75-b3ff-49d8bb0ce94d">
      <p:Name>Auditing</p:Name>
      <p:Description>Audits user actions on documents and list items to the Audit Log.</p:Description>
      <p:CustomData>
        <Audit>
          <Update/>
          <View/>
          <CheckInOut/>
          <MoveCopy/>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0B65F-96C1-4E84-AD20-CEC7209A74FA}">
  <ds:schemaRefs>
    <ds:schemaRef ds:uri="http://schemas.microsoft.com/office/2006/documentManagement/types"/>
    <ds:schemaRef ds:uri="http://schemas.microsoft.com/sharepoint/v3"/>
    <ds:schemaRef ds:uri="http://purl.org/dc/elements/1.1/"/>
    <ds:schemaRef ds:uri="http://schemas.microsoft.com/office/2006/metadata/properties"/>
    <ds:schemaRef ds:uri="http://purl.org/dc/terms/"/>
    <ds:schemaRef ds:uri="d4dd4adf-ddb3-46a3-8d7c-fab3fb2a6bc7"/>
    <ds:schemaRef ds:uri="http://schemas.microsoft.com/office/infopath/2007/PartnerControls"/>
    <ds:schemaRef ds:uri="http://purl.org/dc/dcmitype/"/>
    <ds:schemaRef ds:uri="http://schemas.openxmlformats.org/package/2006/metadata/core-properties"/>
    <ds:schemaRef ds:uri="http://schemas.microsoft.com/sharepoint/v4"/>
    <ds:schemaRef ds:uri="http://www.w3.org/XML/1998/namespace"/>
  </ds:schemaRefs>
</ds:datastoreItem>
</file>

<file path=customXml/itemProps2.xml><?xml version="1.0" encoding="utf-8"?>
<ds:datastoreItem xmlns:ds="http://schemas.openxmlformats.org/officeDocument/2006/customXml" ds:itemID="{03F4E19C-2A24-48EF-9610-62B409F3E785}"/>
</file>

<file path=customXml/itemProps3.xml><?xml version="1.0" encoding="utf-8"?>
<ds:datastoreItem xmlns:ds="http://schemas.openxmlformats.org/officeDocument/2006/customXml" ds:itemID="{92381304-AE75-428E-B892-37593F1FE052}">
  <ds:schemaRefs>
    <ds:schemaRef ds:uri="http://schemas.microsoft.com/sharepoint/events"/>
  </ds:schemaRefs>
</ds:datastoreItem>
</file>

<file path=customXml/itemProps4.xml><?xml version="1.0" encoding="utf-8"?>
<ds:datastoreItem xmlns:ds="http://schemas.openxmlformats.org/officeDocument/2006/customXml" ds:itemID="{E055EC31-65AB-4406-83E9-0423B1DE9156}">
  <ds:schemaRefs>
    <ds:schemaRef ds:uri="office.server.policy"/>
  </ds:schemaRefs>
</ds:datastoreItem>
</file>

<file path=customXml/itemProps5.xml><?xml version="1.0" encoding="utf-8"?>
<ds:datastoreItem xmlns:ds="http://schemas.openxmlformats.org/officeDocument/2006/customXml" ds:itemID="{3C39AEBF-7B18-4BC9-85FF-92DA4C677911}">
  <ds:schemaRefs>
    <ds:schemaRef ds:uri="http://schemas.microsoft.com/sharepoint/v3/contenttype/forms"/>
  </ds:schemaRefs>
</ds:datastoreItem>
</file>

<file path=customXml/itemProps6.xml><?xml version="1.0" encoding="utf-8"?>
<ds:datastoreItem xmlns:ds="http://schemas.openxmlformats.org/officeDocument/2006/customXml" ds:itemID="{A5B4BED5-83EF-46D9-9099-4335682E0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FIRB Annual Report.dotm</Template>
  <TotalTime>1824</TotalTime>
  <Pages>66</Pages>
  <Words>12952</Words>
  <Characters>73833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86612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Merrilees, Nicole</dc:creator>
  <cp:lastModifiedBy>Catanzariti, Lorraine</cp:lastModifiedBy>
  <cp:revision>36</cp:revision>
  <cp:lastPrinted>2017-04-05T23:45:00Z</cp:lastPrinted>
  <dcterms:created xsi:type="dcterms:W3CDTF">2017-03-08T00:51:00Z</dcterms:created>
  <dcterms:modified xsi:type="dcterms:W3CDTF">2017-04-05T23:45:00Z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0x010100E95D40E5DFEA714B90E88DB5CE07A6B50096A913177E0B634389777327CA17AC92</vt:lpwstr>
  </property>
  <property fmtid="{D5CDD505-2E9C-101B-9397-08002B2CF9AE}" pid="3" name="TSYRecordClass">
    <vt:lpwstr>11;#TSY RA-9052 - Retain as national archives|ac55390f-b26f-4756-8634-9527e3d5cfe1</vt:lpwstr>
  </property>
  <property fmtid="{D5CDD505-2E9C-101B-9397-08002B2CF9AE}" pid="4" name="RecordPoint_WorkflowType">
    <vt:lpwstr>ActiveSubmitStub</vt:lpwstr>
  </property>
  <property fmtid="{D5CDD505-2E9C-101B-9397-08002B2CF9AE}" pid="5" name="_dlc_DocIdItemGuid">
    <vt:lpwstr>d55bab22-a941-450b-97e9-7a5730c0b6ea</vt:lpwstr>
  </property>
  <property fmtid="{D5CDD505-2E9C-101B-9397-08002B2CF9AE}" pid="6" name="RecordPoint_SubmissionDate">
    <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ActiveItemUniqueId">
    <vt:lpwstr>{d55bab22-a941-450b-97e9-7a5730c0b6ea}</vt:lpwstr>
  </property>
  <property fmtid="{D5CDD505-2E9C-101B-9397-08002B2CF9AE}" pid="10" name="RecordPoint_ActiveItemSiteId">
    <vt:lpwstr>{08cedf7d-7ad2-4b81-a81f-47e3ec332c41}</vt:lpwstr>
  </property>
  <property fmtid="{D5CDD505-2E9C-101B-9397-08002B2CF9AE}" pid="11" name="RecordPoint_ActiveItemListId">
    <vt:lpwstr>{89dbc153-e2cc-48fb-872b-39358d3c2d57}</vt:lpwstr>
  </property>
  <property fmtid="{D5CDD505-2E9C-101B-9397-08002B2CF9AE}" pid="12" name="RecordPoint_ActiveItemWebId">
    <vt:lpwstr>{31eac4f3-160a-4a13-a9a0-2808d5b44bbf}</vt:lpwstr>
  </property>
  <property fmtid="{D5CDD505-2E9C-101B-9397-08002B2CF9AE}" pid="13" name="RecordPoint_RecordNumberSubmitted">
    <vt:lpwstr>R0001242712</vt:lpwstr>
  </property>
  <property fmtid="{D5CDD505-2E9C-101B-9397-08002B2CF9AE}" pid="14" name="_AdHocReviewCycleID">
    <vt:i4>-845023633</vt:i4>
  </property>
  <property fmtid="{D5CDD505-2E9C-101B-9397-08002B2CF9AE}" pid="15" name="_NewReviewCycle">
    <vt:lpwstr/>
  </property>
  <property fmtid="{D5CDD505-2E9C-101B-9397-08002B2CF9AE}" pid="16" name="_EmailSubject">
    <vt:lpwstr>Publishing FIRB Annual Report [SEC=UNCLASSIFIED]</vt:lpwstr>
  </property>
  <property fmtid="{D5CDD505-2E9C-101B-9397-08002B2CF9AE}" pid="17" name="_AuthorEmail">
    <vt:lpwstr>Anna.SchneiderRumble@treasury.gov.au</vt:lpwstr>
  </property>
  <property fmtid="{D5CDD505-2E9C-101B-9397-08002B2CF9AE}" pid="18" name="_AuthorEmailDisplayName">
    <vt:lpwstr>Schneider Rumble, Anna</vt:lpwstr>
  </property>
  <property fmtid="{D5CDD505-2E9C-101B-9397-08002B2CF9AE}" pid="20" name="RecordPoint_SubmissionCompleted">
    <vt:lpwstr>2017-04-21T16:38:51.5866691+10:00</vt:lpwstr>
  </property>
  <property fmtid="{D5CDD505-2E9C-101B-9397-08002B2CF9AE}" pid="21" name="_PreviousAdHocReviewCycleID">
    <vt:i4>-591663701</vt:i4>
  </property>
</Properties>
</file>