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D80" w:rsidRPr="00A74688" w:rsidRDefault="001F3D80" w:rsidP="000C5BBC">
      <w:pPr>
        <w:pStyle w:val="Heading8"/>
      </w:pPr>
      <w:bookmarkStart w:id="0" w:name="_GoBack"/>
      <w:bookmarkEnd w:id="0"/>
      <w:r w:rsidRPr="00A74688">
        <w:t>Chapter 3</w:t>
      </w:r>
    </w:p>
    <w:p w:rsidR="001F3D80" w:rsidRPr="00A74688" w:rsidRDefault="001F3D80" w:rsidP="000C5BBC">
      <w:pPr>
        <w:pStyle w:val="Heading9"/>
      </w:pPr>
      <w:r w:rsidRPr="00A74688">
        <w:t xml:space="preserve">Overview of the </w:t>
      </w:r>
      <w:r w:rsidRPr="00A74688">
        <w:rPr>
          <w:i/>
        </w:rPr>
        <w:t>Foreign Acquisitions</w:t>
      </w:r>
      <w:r w:rsidRPr="00A74688">
        <w:rPr>
          <w:i/>
        </w:rPr>
        <w:br/>
        <w:t>and Takeovers Act 1975</w:t>
      </w:r>
    </w:p>
    <w:p w:rsidR="002A36B8" w:rsidRPr="002A36B8" w:rsidRDefault="002A36B8" w:rsidP="002A36B8"/>
    <w:p w:rsidR="002B4B90" w:rsidRDefault="002B4B90" w:rsidP="000C5BBC">
      <w:pPr>
        <w:pStyle w:val="Heading1noTOC"/>
        <w:sectPr w:rsidR="002B4B90" w:rsidSect="00324FB6">
          <w:headerReference w:type="even" r:id="rId9"/>
          <w:headerReference w:type="default" r:id="rId10"/>
          <w:footerReference w:type="even" r:id="rId11"/>
          <w:footerReference w:type="default" r:id="rId12"/>
          <w:footnotePr>
            <w:numStart w:val="11"/>
          </w:footnotePr>
          <w:type w:val="continuous"/>
          <w:pgSz w:w="11907" w:h="16840" w:code="9"/>
          <w:pgMar w:top="2466" w:right="2098" w:bottom="2466" w:left="2098" w:header="1899" w:footer="1899" w:gutter="0"/>
          <w:pgNumType w:start="37"/>
          <w:cols w:space="720"/>
          <w:titlePg/>
          <w:docGrid w:linePitch="360"/>
        </w:sectPr>
      </w:pPr>
    </w:p>
    <w:p w:rsidR="001F3D80" w:rsidRPr="00A74688" w:rsidRDefault="001F3D80" w:rsidP="000C5BBC">
      <w:pPr>
        <w:pStyle w:val="Heading1noTOC"/>
      </w:pPr>
      <w:r w:rsidRPr="00A74688">
        <w:lastRenderedPageBreak/>
        <w:t xml:space="preserve">Overview of the </w:t>
      </w:r>
      <w:r w:rsidRPr="00A74688">
        <w:rPr>
          <w:i/>
        </w:rPr>
        <w:t>Foreign Acquisitions and Takeovers Act 1975</w:t>
      </w:r>
    </w:p>
    <w:p w:rsidR="001F3D80" w:rsidRPr="00A74688" w:rsidRDefault="001F3D80">
      <w:pPr>
        <w:pStyle w:val="Heading2"/>
      </w:pPr>
      <w:r w:rsidRPr="00A74688">
        <w:t>Introduction</w:t>
      </w:r>
    </w:p>
    <w:p w:rsidR="00F56552" w:rsidRDefault="00F56552">
      <w:r>
        <w:t xml:space="preserve">This </w:t>
      </w:r>
      <w:r w:rsidR="00D91DEC">
        <w:t>c</w:t>
      </w:r>
      <w:r>
        <w:t xml:space="preserve">hapter provides an overview of the main provisions of the </w:t>
      </w:r>
      <w:r>
        <w:rPr>
          <w:i/>
        </w:rPr>
        <w:t xml:space="preserve">Foreign Acquisitions </w:t>
      </w:r>
      <w:r w:rsidRPr="0099443D">
        <w:rPr>
          <w:i/>
        </w:rPr>
        <w:t>and Takeovers Act 1975</w:t>
      </w:r>
      <w:r w:rsidRPr="0099443D">
        <w:t xml:space="preserve"> (</w:t>
      </w:r>
      <w:r w:rsidR="00F31FD7">
        <w:t>the F</w:t>
      </w:r>
      <w:r w:rsidRPr="0099443D">
        <w:t>ATA</w:t>
      </w:r>
      <w:r w:rsidR="00F31FD7">
        <w:t>)</w:t>
      </w:r>
      <w:r w:rsidRPr="0099443D">
        <w:t xml:space="preserve"> as at </w:t>
      </w:r>
      <w:r w:rsidR="003202F3">
        <w:t xml:space="preserve">December </w:t>
      </w:r>
      <w:r w:rsidR="000D4AA8">
        <w:t>2010</w:t>
      </w:r>
      <w:r w:rsidRPr="0099443D">
        <w:t xml:space="preserve">. The </w:t>
      </w:r>
      <w:r w:rsidR="00F31FD7">
        <w:t>FATA</w:t>
      </w:r>
      <w:r w:rsidRPr="0099443D">
        <w:t xml:space="preserve"> and the </w:t>
      </w:r>
      <w:r w:rsidRPr="0099443D">
        <w:rPr>
          <w:i/>
        </w:rPr>
        <w:t>Foreign</w:t>
      </w:r>
      <w:r w:rsidRPr="00273202">
        <w:rPr>
          <w:i/>
        </w:rPr>
        <w:t xml:space="preserve"> Acquisitions and Takeovers </w:t>
      </w:r>
      <w:bookmarkStart w:id="1" w:name="OLE_LINK1"/>
      <w:bookmarkStart w:id="2" w:name="OLE_LINK2"/>
      <w:r w:rsidRPr="00273202">
        <w:rPr>
          <w:i/>
        </w:rPr>
        <w:t>Regulations</w:t>
      </w:r>
      <w:r w:rsidR="00BE22CB">
        <w:rPr>
          <w:i/>
        </w:rPr>
        <w:t xml:space="preserve"> </w:t>
      </w:r>
      <w:bookmarkEnd w:id="1"/>
      <w:bookmarkEnd w:id="2"/>
      <w:r w:rsidRPr="00273202">
        <w:rPr>
          <w:i/>
        </w:rPr>
        <w:t>1989</w:t>
      </w:r>
      <w:r>
        <w:t xml:space="preserve"> </w:t>
      </w:r>
      <w:r w:rsidRPr="00BA219B">
        <w:t>(the Regulations)</w:t>
      </w:r>
      <w:r>
        <w:t xml:space="preserve"> provide legislative support for the Government’s foreign investment policy. A copy of the </w:t>
      </w:r>
      <w:r w:rsidR="00F31FD7">
        <w:t>FATA</w:t>
      </w:r>
      <w:r>
        <w:t>, the Regulations</w:t>
      </w:r>
      <w:r w:rsidRPr="00BA219B">
        <w:t xml:space="preserve"> and a summary of the policy </w:t>
      </w:r>
      <w:r w:rsidR="00B17982">
        <w:t>are available on the FIRB website at www.firb.gov.au</w:t>
      </w:r>
      <w:r w:rsidRPr="00BA219B">
        <w:t>.</w:t>
      </w:r>
    </w:p>
    <w:p w:rsidR="001F3D80" w:rsidRDefault="001F3D80">
      <w:r>
        <w:t xml:space="preserve">The </w:t>
      </w:r>
      <w:r w:rsidR="00F31FD7">
        <w:t xml:space="preserve">FATA </w:t>
      </w:r>
      <w:r>
        <w:t>empowers the Treasurer</w:t>
      </w:r>
      <w:r w:rsidR="00D81D57">
        <w:t xml:space="preserve"> to examine proposals</w:t>
      </w:r>
      <w:r>
        <w:t xml:space="preserve"> by foreign persons to</w:t>
      </w:r>
      <w:r w:rsidR="00D81D57">
        <w:t>:</w:t>
      </w:r>
    </w:p>
    <w:p w:rsidR="001F3D80" w:rsidRDefault="00D81D57" w:rsidP="002A36B8">
      <w:pPr>
        <w:pStyle w:val="Bullet"/>
      </w:pPr>
      <w:r>
        <w:t xml:space="preserve">acquire, or </w:t>
      </w:r>
      <w:r w:rsidR="00F56552">
        <w:t xml:space="preserve">to </w:t>
      </w:r>
      <w:r>
        <w:t>increase,</w:t>
      </w:r>
      <w:r w:rsidR="001F3D80">
        <w:t xml:space="preserve"> a substantial </w:t>
      </w:r>
      <w:r w:rsidR="00AC4908">
        <w:t>interest</w:t>
      </w:r>
      <w:r w:rsidR="00CF7CD8">
        <w:rPr>
          <w:rStyle w:val="FootnoteReference"/>
        </w:rPr>
        <w:footnoteReference w:id="1"/>
      </w:r>
      <w:r w:rsidR="00B14BF6">
        <w:t xml:space="preserve"> in</w:t>
      </w:r>
      <w:r w:rsidR="001F3D80">
        <w:t xml:space="preserve">, or </w:t>
      </w:r>
      <w:r w:rsidR="00AE3ABE">
        <w:t xml:space="preserve">acquire </w:t>
      </w:r>
      <w:r w:rsidR="00B14BF6">
        <w:t xml:space="preserve">a controlling interest in the assets of, a prescribed </w:t>
      </w:r>
      <w:r w:rsidR="001F3D80">
        <w:t xml:space="preserve">Australian </w:t>
      </w:r>
      <w:r>
        <w:t>co</w:t>
      </w:r>
      <w:r w:rsidR="00B14BF6">
        <w:t>rporation</w:t>
      </w:r>
      <w:r>
        <w:t xml:space="preserve"> </w:t>
      </w:r>
      <w:r w:rsidR="001F3D80">
        <w:t xml:space="preserve">valued above the </w:t>
      </w:r>
      <w:r w:rsidR="0094169A">
        <w:t xml:space="preserve">relevant </w:t>
      </w:r>
      <w:r w:rsidR="001F3D80">
        <w:t>thresholds</w:t>
      </w:r>
      <w:r w:rsidR="002A36B8">
        <w:t>;</w:t>
      </w:r>
      <w:r w:rsidR="001F3D80" w:rsidRPr="00635228">
        <w:rPr>
          <w:rStyle w:val="FootnoteReference"/>
        </w:rPr>
        <w:footnoteReference w:id="2"/>
      </w:r>
      <w:r w:rsidR="00B61D58">
        <w:t xml:space="preserve"> </w:t>
      </w:r>
      <w:r w:rsidR="001F3D80">
        <w:t>or</w:t>
      </w:r>
    </w:p>
    <w:p w:rsidR="001F3D80" w:rsidRDefault="00D81D57">
      <w:pPr>
        <w:pStyle w:val="Bullet"/>
      </w:pPr>
      <w:proofErr w:type="gramStart"/>
      <w:r>
        <w:t>acquire</w:t>
      </w:r>
      <w:proofErr w:type="gramEnd"/>
      <w:r>
        <w:t xml:space="preserve"> </w:t>
      </w:r>
      <w:r w:rsidR="001F3D80">
        <w:t>an int</w:t>
      </w:r>
      <w:r w:rsidR="00132DF4">
        <w:t>erest in Australian urban land.</w:t>
      </w:r>
      <w:r w:rsidR="00B14CEB">
        <w:rPr>
          <w:rStyle w:val="FootnoteReference"/>
        </w:rPr>
        <w:footnoteReference w:id="3"/>
      </w:r>
    </w:p>
    <w:p w:rsidR="001F3D80" w:rsidRDefault="00394206">
      <w:r>
        <w:t xml:space="preserve">The </w:t>
      </w:r>
      <w:r w:rsidR="00F31FD7">
        <w:t xml:space="preserve">FATA </w:t>
      </w:r>
      <w:r>
        <w:t>does not provide the Treasurer with a power to ‘approve’ investment proposals. Rather, it</w:t>
      </w:r>
      <w:r w:rsidR="001F3D80">
        <w:t xml:space="preserve"> empowers the Treasurer to prohibit a proposal that he decides would be contrary to the national interest (sections</w:t>
      </w:r>
      <w:r w:rsidR="00F27D5C">
        <w:t xml:space="preserve"> </w:t>
      </w:r>
      <w:r w:rsidR="001F3D80">
        <w:t xml:space="preserve">18, 19, 20, 21 and 21A), or to </w:t>
      </w:r>
      <w:r w:rsidR="008A66DE">
        <w:t xml:space="preserve">raise no objections </w:t>
      </w:r>
      <w:r w:rsidR="001F3D80">
        <w:t xml:space="preserve">subject </w:t>
      </w:r>
      <w:r w:rsidR="00BC4756">
        <w:t>t</w:t>
      </w:r>
      <w:r w:rsidR="001F3D80">
        <w:t xml:space="preserve">o conditions </w:t>
      </w:r>
      <w:r>
        <w:t xml:space="preserve">considered necessary </w:t>
      </w:r>
      <w:r w:rsidR="001F3D80">
        <w:t xml:space="preserve">to </w:t>
      </w:r>
      <w:r w:rsidR="00C179EF">
        <w:t>remove</w:t>
      </w:r>
      <w:r w:rsidR="001F3D80">
        <w:t xml:space="preserve"> national interest concerns (section</w:t>
      </w:r>
      <w:r w:rsidR="00F27D5C">
        <w:t xml:space="preserve"> </w:t>
      </w:r>
      <w:r w:rsidR="001F3D80">
        <w:t>25). It also permits the Treasurer to make orders</w:t>
      </w:r>
      <w:r w:rsidR="00446218">
        <w:t xml:space="preserve"> for foreign persons</w:t>
      </w:r>
      <w:r w:rsidR="001F3D80">
        <w:t xml:space="preserve"> to divest shares, assets or interests in urban land where the acquisition is decided to be cont</w:t>
      </w:r>
      <w:r w:rsidR="00132DF4">
        <w:t>rary to the national interest</w:t>
      </w:r>
      <w:r w:rsidR="00E11AF4">
        <w:t xml:space="preserve">. </w:t>
      </w:r>
    </w:p>
    <w:p w:rsidR="001F3D80" w:rsidRDefault="001F3D80">
      <w:r>
        <w:lastRenderedPageBreak/>
        <w:t xml:space="preserve">The national interest, and hence what might be contrary to it, is not defined in the </w:t>
      </w:r>
      <w:r w:rsidR="00F31FD7">
        <w:t>FATA</w:t>
      </w:r>
      <w:r>
        <w:t xml:space="preserve">. </w:t>
      </w:r>
      <w:r w:rsidR="00C05403">
        <w:t>The FATA</w:t>
      </w:r>
      <w:r>
        <w:t xml:space="preserve"> confers upon the Treasurer the </w:t>
      </w:r>
      <w:r w:rsidR="00051387">
        <w:t>power to decide</w:t>
      </w:r>
      <w:r>
        <w:t xml:space="preserve"> in each case whether a particular proposal would be contrary to the national interest. The Government</w:t>
      </w:r>
      <w:r w:rsidR="00CC0135">
        <w:t>’</w:t>
      </w:r>
      <w:r>
        <w:t xml:space="preserve">s foreign investment policy statements set out guidelines on national interest matters in relation to </w:t>
      </w:r>
      <w:r w:rsidR="00282FEC">
        <w:t>foreign acquisitions</w:t>
      </w:r>
      <w:r>
        <w:t>. Ordinarily a proposal that does not meet the requirements set out in the policy would be regarded as being</w:t>
      </w:r>
      <w:r w:rsidR="00F54B3A">
        <w:t xml:space="preserve">, </w:t>
      </w:r>
      <w:r w:rsidR="00394206">
        <w:t xml:space="preserve"> prima facie, </w:t>
      </w:r>
      <w:r>
        <w:t xml:space="preserve"> contrary to the national int</w:t>
      </w:r>
      <w:r w:rsidR="00132DF4">
        <w:t xml:space="preserve">erest and </w:t>
      </w:r>
      <w:r w:rsidR="00394206">
        <w:t xml:space="preserve">hence </w:t>
      </w:r>
      <w:r w:rsidR="00132DF4">
        <w:t>subject to rejection.</w:t>
      </w:r>
    </w:p>
    <w:p w:rsidR="001F3D80" w:rsidRDefault="001F3D80">
      <w:r>
        <w:t xml:space="preserve">The </w:t>
      </w:r>
      <w:proofErr w:type="gramStart"/>
      <w:r w:rsidR="00F31FD7">
        <w:t xml:space="preserve">FATA </w:t>
      </w:r>
      <w:r>
        <w:t xml:space="preserve"> requires</w:t>
      </w:r>
      <w:proofErr w:type="gramEnd"/>
      <w:r>
        <w:t xml:space="preserve"> the prior notification of certain proposals, namely where a foreign person proposes to acquire a substantial shareholding in a prescribed Australian corporation (section</w:t>
      </w:r>
      <w:r w:rsidR="00F27D5C">
        <w:t xml:space="preserve"> </w:t>
      </w:r>
      <w:r>
        <w:t>26)</w:t>
      </w:r>
      <w:r w:rsidR="00AA2818">
        <w:t xml:space="preserve"> </w:t>
      </w:r>
      <w:r>
        <w:t xml:space="preserve">or </w:t>
      </w:r>
      <w:r w:rsidR="00F54B3A">
        <w:t>certain interests</w:t>
      </w:r>
      <w:r>
        <w:t xml:space="preserve"> in Austr</w:t>
      </w:r>
      <w:r w:rsidR="00132DF4">
        <w:t>alian urban land (section 26A)</w:t>
      </w:r>
      <w:r w:rsidR="00D24101">
        <w:t xml:space="preserve">. </w:t>
      </w:r>
    </w:p>
    <w:p w:rsidR="00513629" w:rsidRDefault="00513629" w:rsidP="00B001F6">
      <w:pPr>
        <w:pStyle w:val="Heading3"/>
      </w:pPr>
      <w:bookmarkStart w:id="3" w:name="OLE_LINK9"/>
      <w:bookmarkStart w:id="4" w:name="OLE_LINK10"/>
      <w:r>
        <w:t xml:space="preserve">2010 </w:t>
      </w:r>
      <w:r w:rsidR="00B47ECA">
        <w:t xml:space="preserve">legislative </w:t>
      </w:r>
      <w:r>
        <w:t>a</w:t>
      </w:r>
      <w:r w:rsidR="00B47ECA">
        <w:t xml:space="preserve">mendments </w:t>
      </w:r>
    </w:p>
    <w:bookmarkEnd w:id="3"/>
    <w:bookmarkEnd w:id="4"/>
    <w:p w:rsidR="00513629" w:rsidRDefault="00B001F6" w:rsidP="00B001F6">
      <w:r>
        <w:t xml:space="preserve">The </w:t>
      </w:r>
      <w:r w:rsidR="00513629">
        <w:t xml:space="preserve">FATA was amended in 2010 to ensure that the Treasurer has the capacity to examine </w:t>
      </w:r>
      <w:r w:rsidR="00A20AA3">
        <w:t xml:space="preserve">all </w:t>
      </w:r>
      <w:r w:rsidR="00513629">
        <w:t xml:space="preserve">substantial investment proposals that </w:t>
      </w:r>
      <w:r w:rsidR="00A20AA3">
        <w:t xml:space="preserve">involve complex financing arrangements that </w:t>
      </w:r>
      <w:r w:rsidR="00513629">
        <w:t xml:space="preserve">could potentially raise national interest concerns. The amendments </w:t>
      </w:r>
      <w:r>
        <w:t xml:space="preserve">received Royal Assent on 12 February 2010. </w:t>
      </w:r>
    </w:p>
    <w:p w:rsidR="00B001F6" w:rsidRDefault="00B001F6" w:rsidP="00B001F6">
      <w:r>
        <w:t xml:space="preserve">The use of innovative and increasingly complex financing arrangements has been a growing feature of investment activity over recent years. While these types of investment arrangements may have a solid commercial basis, they can have the effect of delivering influence or control over Australian companies through a variety of ways that were not envisaged when the </w:t>
      </w:r>
      <w:r w:rsidR="00513629">
        <w:t xml:space="preserve">FATA </w:t>
      </w:r>
      <w:r>
        <w:t xml:space="preserve">was </w:t>
      </w:r>
      <w:r w:rsidR="00017F87">
        <w:t>formulated</w:t>
      </w:r>
      <w:r>
        <w:t xml:space="preserve">. </w:t>
      </w:r>
    </w:p>
    <w:p w:rsidR="00B001F6" w:rsidRDefault="00B001F6" w:rsidP="00B001F6">
      <w:r>
        <w:t>The Amendment</w:t>
      </w:r>
      <w:r w:rsidR="00513629">
        <w:t xml:space="preserve">s clarify </w:t>
      </w:r>
      <w:r>
        <w:t xml:space="preserve">the operation of the </w:t>
      </w:r>
      <w:r w:rsidR="00513629">
        <w:t xml:space="preserve">FATA </w:t>
      </w:r>
      <w:r>
        <w:t xml:space="preserve">by requiring foreign investors </w:t>
      </w:r>
      <w:r w:rsidR="00017F87">
        <w:t xml:space="preserve">explicitly </w:t>
      </w:r>
      <w:r>
        <w:t>to notify the Treasurer where there is a possibility that the type of arrangement being used will deliver influence or control over an Australian company, either currently or at some time in the future. The Amendment</w:t>
      </w:r>
      <w:r w:rsidR="00513629">
        <w:t>s</w:t>
      </w:r>
      <w:r>
        <w:t xml:space="preserve"> clarif</w:t>
      </w:r>
      <w:r w:rsidR="00513629">
        <w:t xml:space="preserve">y </w:t>
      </w:r>
      <w:r>
        <w:t xml:space="preserve">the definition of substantial interest </w:t>
      </w:r>
      <w:r w:rsidRPr="00145F66">
        <w:t>by expanding the definition of voting power so that it covers the number of votes that could be cast if it is assumed that a future right is exercised, and by clarifying the section of the Act dealing with interests in shares</w:t>
      </w:r>
      <w:r>
        <w:t xml:space="preserve">. </w:t>
      </w:r>
    </w:p>
    <w:p w:rsidR="00B001F6" w:rsidRDefault="00B001F6" w:rsidP="00B001F6">
      <w:r>
        <w:t xml:space="preserve">The </w:t>
      </w:r>
      <w:r w:rsidRPr="00D62804">
        <w:t>Regulations</w:t>
      </w:r>
      <w:r>
        <w:t xml:space="preserve"> were </w:t>
      </w:r>
      <w:r w:rsidR="002F65FA">
        <w:t xml:space="preserve">also </w:t>
      </w:r>
      <w:r>
        <w:t xml:space="preserve">amended to coincide with the </w:t>
      </w:r>
      <w:r w:rsidR="002F65FA">
        <w:t>a</w:t>
      </w:r>
      <w:r>
        <w:t xml:space="preserve">mendments to the </w:t>
      </w:r>
      <w:r w:rsidR="00513629">
        <w:t>FATA</w:t>
      </w:r>
      <w:r>
        <w:t xml:space="preserve">. The Regulations ensure that Australian companies are not inadvertently treated as foreign companies under the </w:t>
      </w:r>
      <w:r w:rsidR="00513629">
        <w:t xml:space="preserve">FATA </w:t>
      </w:r>
      <w:r>
        <w:t xml:space="preserve">by virtue of the expanded definition of substantial interest. </w:t>
      </w:r>
    </w:p>
    <w:p w:rsidR="002F65FA" w:rsidRDefault="00B001F6" w:rsidP="002F65FA">
      <w:r>
        <w:t>The changes to the Act and the Regulations appl</w:t>
      </w:r>
      <w:r w:rsidR="00017F87">
        <w:t>ied</w:t>
      </w:r>
      <w:r>
        <w:t xml:space="preserve"> retrospectively from 12</w:t>
      </w:r>
      <w:r w:rsidR="002F65FA">
        <w:t> </w:t>
      </w:r>
      <w:r>
        <w:t>February</w:t>
      </w:r>
      <w:r w:rsidR="002F65FA">
        <w:t> </w:t>
      </w:r>
      <w:r>
        <w:t xml:space="preserve">2009. This is the date that the Treasurer announced the </w:t>
      </w:r>
      <w:r w:rsidR="00513629">
        <w:t>A</w:t>
      </w:r>
      <w:r>
        <w:t xml:space="preserve">mendments. </w:t>
      </w:r>
    </w:p>
    <w:p w:rsidR="001F3D80" w:rsidRPr="00A74688" w:rsidRDefault="001F3D80">
      <w:pPr>
        <w:pStyle w:val="Heading2"/>
      </w:pPr>
      <w:r w:rsidRPr="00A74688">
        <w:t>Notification</w:t>
      </w:r>
    </w:p>
    <w:p w:rsidR="001F3D80" w:rsidRPr="00BA219B" w:rsidRDefault="001F3D80">
      <w:r>
        <w:rPr>
          <w:b/>
        </w:rPr>
        <w:t xml:space="preserve">Section 26 </w:t>
      </w:r>
      <w:r>
        <w:t>makes it compulsory for a foreign person to notify</w:t>
      </w:r>
      <w:r w:rsidR="002034AE">
        <w:t xml:space="preserve"> the Treasurer of</w:t>
      </w:r>
      <w:r>
        <w:t xml:space="preserve"> a proposal to acquire or increase a substantial shareholding in a </w:t>
      </w:r>
      <w:r w:rsidR="0040298E">
        <w:t xml:space="preserve">prescribed </w:t>
      </w:r>
      <w:r>
        <w:t xml:space="preserve">Australian </w:t>
      </w:r>
      <w:r>
        <w:lastRenderedPageBreak/>
        <w:t>corporation wh</w:t>
      </w:r>
      <w:r w:rsidR="000F6990">
        <w:t>ere the</w:t>
      </w:r>
      <w:r w:rsidR="009D05E5">
        <w:t xml:space="preserve"> total assets exceed, or</w:t>
      </w:r>
      <w:r>
        <w:t xml:space="preserve"> the transaction values it above, the thresholds set under the </w:t>
      </w:r>
      <w:r w:rsidRPr="00BA219B">
        <w:t>Regulations</w:t>
      </w:r>
      <w:r w:rsidR="00132DF4" w:rsidRPr="00BA219B">
        <w:t>.</w:t>
      </w:r>
    </w:p>
    <w:p w:rsidR="001F3D80" w:rsidRDefault="001F3D80">
      <w:r>
        <w:rPr>
          <w:b/>
        </w:rPr>
        <w:t>Section 26A</w:t>
      </w:r>
      <w:r>
        <w:t xml:space="preserve"> makes it compulsory for a foreign person to notify</w:t>
      </w:r>
      <w:r w:rsidR="002034AE">
        <w:t xml:space="preserve"> the Treasurer of</w:t>
      </w:r>
      <w:r>
        <w:t xml:space="preserve"> a proposal to acquire </w:t>
      </w:r>
      <w:r w:rsidR="00674B2C">
        <w:t xml:space="preserve">or increase </w:t>
      </w:r>
      <w:r>
        <w:t>an interest in Australian urban land</w:t>
      </w:r>
      <w:r w:rsidR="0040298E">
        <w:t xml:space="preserve">, </w:t>
      </w:r>
      <w:r w:rsidR="002034AE">
        <w:t>unless the acquisition is exempt under the</w:t>
      </w:r>
      <w:r w:rsidR="0040298E">
        <w:t xml:space="preserve"> Regulations</w:t>
      </w:r>
      <w:r w:rsidR="00132DF4">
        <w:t>.</w:t>
      </w:r>
    </w:p>
    <w:p w:rsidR="001F3D80" w:rsidRDefault="002034AE">
      <w:r>
        <w:t>S</w:t>
      </w:r>
      <w:r w:rsidR="001F3D80">
        <w:t>ubstantial penalties apply for non</w:t>
      </w:r>
      <w:r w:rsidR="00D24101">
        <w:noBreakHyphen/>
      </w:r>
      <w:r w:rsidR="001F3D80">
        <w:t>compliance with the notification provisions of sections 26 and 26A</w:t>
      </w:r>
      <w:r>
        <w:t>. On conviction, a</w:t>
      </w:r>
      <w:r w:rsidR="001F3D80">
        <w:t xml:space="preserve"> natural person </w:t>
      </w:r>
      <w:r>
        <w:t xml:space="preserve">may be subject to </w:t>
      </w:r>
      <w:r w:rsidR="001F3D80">
        <w:t>a fine not exceeding 500</w:t>
      </w:r>
      <w:r w:rsidR="00F27D5C">
        <w:t xml:space="preserve"> </w:t>
      </w:r>
      <w:r w:rsidR="001F3D80">
        <w:t xml:space="preserve">penalty units </w:t>
      </w:r>
      <w:r w:rsidR="0076052E">
        <w:t xml:space="preserve">(currently $110 per unit) </w:t>
      </w:r>
      <w:r w:rsidR="001F3D80">
        <w:t xml:space="preserve">or imprisonment for a period not exceeding </w:t>
      </w:r>
      <w:r w:rsidR="00051387">
        <w:t>two</w:t>
      </w:r>
      <w:r w:rsidR="00F27D5C">
        <w:t xml:space="preserve"> </w:t>
      </w:r>
      <w:r w:rsidR="001F3D80">
        <w:t>years, or both</w:t>
      </w:r>
      <w:r>
        <w:t>.</w:t>
      </w:r>
      <w:r w:rsidR="001F3D80">
        <w:t xml:space="preserve"> </w:t>
      </w:r>
      <w:r>
        <w:t>A</w:t>
      </w:r>
      <w:r w:rsidR="001F3D80">
        <w:t xml:space="preserve"> corporation</w:t>
      </w:r>
      <w:r>
        <w:t xml:space="preserve"> may be subject to</w:t>
      </w:r>
      <w:r w:rsidR="001F3D80">
        <w:t xml:space="preserve"> a fine not exceeding 5</w:t>
      </w:r>
      <w:r w:rsidR="00132DF4">
        <w:t>00 penalty units.</w:t>
      </w:r>
      <w:r w:rsidR="00856DB3">
        <w:t xml:space="preserve"> </w:t>
      </w:r>
    </w:p>
    <w:p w:rsidR="001F3D80" w:rsidRDefault="001F3D80">
      <w:r>
        <w:rPr>
          <w:b/>
        </w:rPr>
        <w:t>Section 25</w:t>
      </w:r>
      <w:r>
        <w:t xml:space="preserve"> applies where the Treasurer has received a notice from a person, including those notices that are required under sections</w:t>
      </w:r>
      <w:r w:rsidR="00BE22CB">
        <w:t xml:space="preserve"> </w:t>
      </w:r>
      <w:r>
        <w:t xml:space="preserve">26 and 26A. It also provides an avenue for the notification of proposals falling within the scope of the </w:t>
      </w:r>
      <w:r w:rsidR="00F31FD7">
        <w:t xml:space="preserve">FATA </w:t>
      </w:r>
      <w:r w:rsidR="002F6BE7">
        <w:t xml:space="preserve">or </w:t>
      </w:r>
      <w:r>
        <w:t xml:space="preserve">the policy, but which are not subject to compulsory notification under the </w:t>
      </w:r>
      <w:r w:rsidR="00F31FD7">
        <w:t>FATA</w:t>
      </w:r>
      <w:r w:rsidR="00142967">
        <w:t>. These include</w:t>
      </w:r>
      <w:r>
        <w:t xml:space="preserve"> offshore </w:t>
      </w:r>
      <w:r w:rsidR="001859B3">
        <w:t>acquisition of interests</w:t>
      </w:r>
      <w:r>
        <w:t>, acquisitions of business assets</w:t>
      </w:r>
      <w:r w:rsidRPr="0040298E">
        <w:t xml:space="preserve">, acquisitions of shares in </w:t>
      </w:r>
      <w:r w:rsidR="0040298E">
        <w:t xml:space="preserve">prescribed </w:t>
      </w:r>
      <w:r w:rsidRPr="0040298E">
        <w:t>Australian co</w:t>
      </w:r>
      <w:r w:rsidR="0040298E">
        <w:t>rporations</w:t>
      </w:r>
      <w:r w:rsidRPr="0040298E">
        <w:t xml:space="preserve"> that are less than a substantial shareholding</w:t>
      </w:r>
      <w:r w:rsidR="002F6BE7">
        <w:t>,</w:t>
      </w:r>
      <w:r w:rsidR="00627FA8">
        <w:t xml:space="preserve"> </w:t>
      </w:r>
      <w:r w:rsidR="00142967">
        <w:t>and</w:t>
      </w:r>
      <w:r w:rsidR="00627FA8">
        <w:t xml:space="preserve"> investments </w:t>
      </w:r>
      <w:r w:rsidR="0076594E">
        <w:t xml:space="preserve">by a sovereign government or </w:t>
      </w:r>
      <w:r w:rsidR="00DE45BF">
        <w:t>a government</w:t>
      </w:r>
      <w:r w:rsidR="00D24101">
        <w:noBreakHyphen/>
      </w:r>
      <w:r w:rsidR="00DE45BF">
        <w:t>related entity</w:t>
      </w:r>
      <w:r w:rsidR="00132DF4">
        <w:t>.</w:t>
      </w:r>
    </w:p>
    <w:p w:rsidR="001F3D80" w:rsidRDefault="001F3D80">
      <w:r>
        <w:t xml:space="preserve">Formal notification of a proposal under sections 25, 26 or 26A </w:t>
      </w:r>
      <w:r w:rsidR="00D6694C">
        <w:t>must be made</w:t>
      </w:r>
      <w:r>
        <w:t xml:space="preserve"> in accordance with the forms prescribed in the </w:t>
      </w:r>
      <w:r w:rsidRPr="00273202">
        <w:rPr>
          <w:i/>
        </w:rPr>
        <w:t xml:space="preserve">Foreign </w:t>
      </w:r>
      <w:r w:rsidR="00273202">
        <w:rPr>
          <w:i/>
        </w:rPr>
        <w:t xml:space="preserve">Acquisitions and </w:t>
      </w:r>
      <w:r w:rsidRPr="00273202">
        <w:rPr>
          <w:i/>
        </w:rPr>
        <w:t xml:space="preserve">Takeovers (Notices) </w:t>
      </w:r>
      <w:r w:rsidRPr="00BA219B">
        <w:rPr>
          <w:i/>
        </w:rPr>
        <w:t>Regulations</w:t>
      </w:r>
      <w:r w:rsidR="0040298E" w:rsidRPr="00BA219B">
        <w:rPr>
          <w:i/>
        </w:rPr>
        <w:t> </w:t>
      </w:r>
      <w:r w:rsidR="00D6694C" w:rsidRPr="00BA219B">
        <w:rPr>
          <w:i/>
        </w:rPr>
        <w:t>1975</w:t>
      </w:r>
      <w:r w:rsidRPr="00BA219B">
        <w:t xml:space="preserve"> (</w:t>
      </w:r>
      <w:r w:rsidR="00674B2C">
        <w:t xml:space="preserve">forms available at </w:t>
      </w:r>
      <w:r w:rsidR="00674B2C" w:rsidRPr="00F27D5C">
        <w:t>www.firb.gov.au</w:t>
      </w:r>
      <w:r w:rsidRPr="00BA219B">
        <w:t>)</w:t>
      </w:r>
      <w:r w:rsidR="00D6694C" w:rsidRPr="00BA219B">
        <w:t>.</w:t>
      </w:r>
      <w:r w:rsidR="001B600C" w:rsidRPr="00BA219B">
        <w:t xml:space="preserve"> </w:t>
      </w:r>
      <w:r w:rsidR="00B53859" w:rsidRPr="00BA219B">
        <w:t xml:space="preserve">Receipt of a </w:t>
      </w:r>
      <w:r w:rsidR="001B600C" w:rsidRPr="00BA219B">
        <w:t>valid</w:t>
      </w:r>
      <w:r w:rsidRPr="00BA219B">
        <w:t xml:space="preserve"> </w:t>
      </w:r>
      <w:r w:rsidR="00D6694C" w:rsidRPr="00BA219B">
        <w:t>notice activates the</w:t>
      </w:r>
      <w:r w:rsidR="00D6694C">
        <w:t xml:space="preserve"> commencement of the 30</w:t>
      </w:r>
      <w:r w:rsidR="00D24101">
        <w:noBreakHyphen/>
      </w:r>
      <w:r w:rsidR="00D6694C">
        <w:t xml:space="preserve">day statutory </w:t>
      </w:r>
      <w:r w:rsidR="002F331C">
        <w:t xml:space="preserve">examination </w:t>
      </w:r>
      <w:r w:rsidR="00D6694C">
        <w:t xml:space="preserve">period. </w:t>
      </w:r>
      <w:r>
        <w:t>If the Treasurer does not take action (under sections</w:t>
      </w:r>
      <w:r w:rsidR="00F27D5C">
        <w:t xml:space="preserve"> </w:t>
      </w:r>
      <w:r>
        <w:t>18, 19, 20, 21A</w:t>
      </w:r>
      <w:r w:rsidR="00B53859">
        <w:t>, 22</w:t>
      </w:r>
      <w:r>
        <w:t xml:space="preserve"> or 25) within </w:t>
      </w:r>
      <w:r w:rsidR="0040298E">
        <w:t>this period</w:t>
      </w:r>
      <w:r w:rsidR="002F331C">
        <w:t>,</w:t>
      </w:r>
      <w:r>
        <w:t xml:space="preserve"> </w:t>
      </w:r>
      <w:r w:rsidR="0040298E">
        <w:t>the power to prohibit the proposal or to impose conditions expires. A further period of 10</w:t>
      </w:r>
      <w:r w:rsidR="00F27D5C">
        <w:t xml:space="preserve"> </w:t>
      </w:r>
      <w:r w:rsidR="0040298E">
        <w:t>days is available to</w:t>
      </w:r>
      <w:r w:rsidR="00D6694C">
        <w:t xml:space="preserve"> </w:t>
      </w:r>
      <w:r w:rsidR="002F331C">
        <w:t xml:space="preserve">publish any order in the </w:t>
      </w:r>
      <w:r w:rsidR="002F331C" w:rsidRPr="00DC1A0A">
        <w:t xml:space="preserve">Commonwealth of Australia </w:t>
      </w:r>
      <w:r w:rsidR="002F331C">
        <w:rPr>
          <w:i/>
        </w:rPr>
        <w:t>Gazette</w:t>
      </w:r>
      <w:r w:rsidR="002F331C">
        <w:t xml:space="preserve"> and to </w:t>
      </w:r>
      <w:r>
        <w:t>notify the parties. The 30</w:t>
      </w:r>
      <w:r w:rsidR="00D24101">
        <w:noBreakHyphen/>
      </w:r>
      <w:r>
        <w:t>day examination period may be extended by up to a further 90</w:t>
      </w:r>
      <w:r w:rsidR="00F27D5C">
        <w:t xml:space="preserve"> </w:t>
      </w:r>
      <w:r>
        <w:t xml:space="preserve">days by the </w:t>
      </w:r>
      <w:r w:rsidR="00082600">
        <w:t xml:space="preserve">issue </w:t>
      </w:r>
      <w:r>
        <w:t xml:space="preserve">of an </w:t>
      </w:r>
      <w:r w:rsidR="005D5392">
        <w:t>Interim Order</w:t>
      </w:r>
      <w:r>
        <w:t xml:space="preserve"> (section</w:t>
      </w:r>
      <w:r w:rsidR="00F27D5C">
        <w:t xml:space="preserve"> </w:t>
      </w:r>
      <w:r w:rsidR="00132DF4">
        <w:t xml:space="preserve">22 and </w:t>
      </w:r>
      <w:r w:rsidR="00B53859">
        <w:t>subsection </w:t>
      </w:r>
      <w:r w:rsidR="00132DF4">
        <w:t>25</w:t>
      </w:r>
      <w:r w:rsidR="00B53859">
        <w:t>(3)</w:t>
      </w:r>
      <w:r w:rsidR="00132DF4">
        <w:t>)</w:t>
      </w:r>
      <w:r w:rsidR="00230576">
        <w:t xml:space="preserve"> which prohibits the proposal for that period</w:t>
      </w:r>
      <w:r w:rsidR="00132DF4">
        <w:t>.</w:t>
      </w:r>
      <w:r w:rsidR="009E1F9F">
        <w:t xml:space="preserve"> </w:t>
      </w:r>
    </w:p>
    <w:p w:rsidR="001F3D80" w:rsidRPr="00A74688" w:rsidRDefault="00DA220B">
      <w:pPr>
        <w:pStyle w:val="Heading2"/>
      </w:pPr>
      <w:r w:rsidRPr="00A74688">
        <w:t>The Treasurer</w:t>
      </w:r>
      <w:r w:rsidRPr="00A74688">
        <w:rPr>
          <w:rFonts w:hint="eastAsia"/>
        </w:rPr>
        <w:t>’</w:t>
      </w:r>
      <w:r w:rsidRPr="00A74688">
        <w:t xml:space="preserve">s </w:t>
      </w:r>
      <w:r w:rsidR="00D91DEC" w:rsidRPr="00A74688">
        <w:t>p</w:t>
      </w:r>
      <w:r w:rsidRPr="00A74688">
        <w:t>owers</w:t>
      </w:r>
    </w:p>
    <w:p w:rsidR="001F3D80" w:rsidRDefault="001F3D80">
      <w:r>
        <w:t>The powers</w:t>
      </w:r>
      <w:r w:rsidR="00DA220B">
        <w:t xml:space="preserve"> available to the Treasurer under the FATA </w:t>
      </w:r>
      <w:r>
        <w:t xml:space="preserve">in relation to foreign investment proposals are </w:t>
      </w:r>
      <w:r w:rsidR="002F6BE7">
        <w:t xml:space="preserve">primarily </w:t>
      </w:r>
      <w:r>
        <w:t>contained in sections</w:t>
      </w:r>
      <w:r w:rsidR="00F27D5C">
        <w:t xml:space="preserve"> </w:t>
      </w:r>
      <w:r>
        <w:t>18, 19, 20, 21, 21A</w:t>
      </w:r>
      <w:r w:rsidR="00A5788E">
        <w:t xml:space="preserve"> and 25.</w:t>
      </w:r>
    </w:p>
    <w:p w:rsidR="001F3D80" w:rsidRDefault="001F3D80">
      <w:r>
        <w:rPr>
          <w:b/>
        </w:rPr>
        <w:t xml:space="preserve">Section 18 </w:t>
      </w:r>
      <w:r>
        <w:t>deals with proposals involving the acquisition</w:t>
      </w:r>
      <w:r w:rsidR="00273202">
        <w:t xml:space="preserve"> </w:t>
      </w:r>
      <w:r>
        <w:t xml:space="preserve">of shares in prescribed corporations which carry on an Australian business (unless </w:t>
      </w:r>
      <w:r w:rsidR="002F331C">
        <w:t xml:space="preserve">the transaction values </w:t>
      </w:r>
      <w:proofErr w:type="gramStart"/>
      <w:r w:rsidR="002F331C">
        <w:t>it,</w:t>
      </w:r>
      <w:proofErr w:type="gramEnd"/>
      <w:r w:rsidR="002F331C">
        <w:t xml:space="preserve"> or </w:t>
      </w:r>
      <w:r>
        <w:t>its total assets are</w:t>
      </w:r>
      <w:r w:rsidR="00D8629F">
        <w:t>,</w:t>
      </w:r>
      <w:r>
        <w:t xml:space="preserve"> below the thresholds</w:t>
      </w:r>
      <w:r w:rsidR="009C5394">
        <w:t>)</w:t>
      </w:r>
      <w:r>
        <w:t>. Where a</w:t>
      </w:r>
      <w:r w:rsidR="00A5788E">
        <w:t>n acquisition</w:t>
      </w:r>
      <w:r>
        <w:t xml:space="preserve"> would </w:t>
      </w:r>
      <w:r w:rsidR="001B600C">
        <w:t>result in a</w:t>
      </w:r>
      <w:r>
        <w:t xml:space="preserve"> foreign person</w:t>
      </w:r>
      <w:r w:rsidR="00273202">
        <w:t xml:space="preserve"> acquiring a controlling interest</w:t>
      </w:r>
      <w:r>
        <w:t xml:space="preserve">, and the Treasurer concludes that </w:t>
      </w:r>
      <w:r w:rsidR="002F331C">
        <w:t>this would</w:t>
      </w:r>
      <w:r w:rsidR="00A5788E">
        <w:t xml:space="preserve"> be</w:t>
      </w:r>
      <w:r>
        <w:t xml:space="preserve"> contrary to the national interest, </w:t>
      </w:r>
      <w:r w:rsidR="002F331C">
        <w:t>it</w:t>
      </w:r>
      <w:r w:rsidR="009C5394">
        <w:t xml:space="preserve"> may</w:t>
      </w:r>
      <w:r w:rsidR="001B600C">
        <w:t xml:space="preserve"> be</w:t>
      </w:r>
      <w:r>
        <w:t xml:space="preserve"> prohibited by the issue of an order</w:t>
      </w:r>
      <w:r w:rsidR="002F6BE7">
        <w:t xml:space="preserve"> (known as a </w:t>
      </w:r>
      <w:r w:rsidR="005D5392">
        <w:t>Final Order</w:t>
      </w:r>
      <w:r w:rsidR="002F6BE7">
        <w:t>)</w:t>
      </w:r>
      <w:r>
        <w:t>. The Treasurer</w:t>
      </w:r>
      <w:r w:rsidR="00CC0135">
        <w:t>’</w:t>
      </w:r>
      <w:r>
        <w:t xml:space="preserve">s powers under the section apply irrespective of whether </w:t>
      </w:r>
      <w:r w:rsidR="00273202">
        <w:t>the</w:t>
      </w:r>
      <w:r>
        <w:t xml:space="preserve"> controlling interest is being acquired by a foreign person</w:t>
      </w:r>
      <w:r w:rsidR="002F6BE7">
        <w:t>,</w:t>
      </w:r>
      <w:r>
        <w:t xml:space="preserve"> or by an additional or </w:t>
      </w:r>
      <w:r w:rsidR="002F331C">
        <w:t>different</w:t>
      </w:r>
      <w:r w:rsidR="002F6BE7">
        <w:t>,</w:t>
      </w:r>
      <w:r w:rsidR="002F331C">
        <w:t xml:space="preserve"> </w:t>
      </w:r>
      <w:r w:rsidR="00132DF4">
        <w:t>foreign person(s)</w:t>
      </w:r>
      <w:r w:rsidR="00E11AF4">
        <w:t xml:space="preserve">. </w:t>
      </w:r>
    </w:p>
    <w:p w:rsidR="001F3D80" w:rsidRDefault="001F3D80">
      <w:r>
        <w:rPr>
          <w:b/>
        </w:rPr>
        <w:lastRenderedPageBreak/>
        <w:t xml:space="preserve">Sections 19, 20 and 21 </w:t>
      </w:r>
      <w:r>
        <w:t xml:space="preserve">confer upon the Treasurer </w:t>
      </w:r>
      <w:proofErr w:type="gramStart"/>
      <w:r>
        <w:t>powers</w:t>
      </w:r>
      <w:proofErr w:type="gramEnd"/>
      <w:r>
        <w:t xml:space="preserve"> </w:t>
      </w:r>
      <w:r w:rsidR="001B600C">
        <w:t xml:space="preserve">similar </w:t>
      </w:r>
      <w:r>
        <w:t>to section</w:t>
      </w:r>
      <w:r w:rsidR="00F27D5C">
        <w:t xml:space="preserve"> </w:t>
      </w:r>
      <w:r>
        <w:t xml:space="preserve">18 but in respect of other </w:t>
      </w:r>
      <w:r w:rsidR="001B600C">
        <w:t xml:space="preserve">types </w:t>
      </w:r>
      <w:r>
        <w:t>of acquisitions and arrangements. Section</w:t>
      </w:r>
      <w:r w:rsidR="00F27D5C">
        <w:t xml:space="preserve"> </w:t>
      </w:r>
      <w:r>
        <w:t>19 deals with acquisiti</w:t>
      </w:r>
      <w:r w:rsidR="00647D92">
        <w:t>ons of business assets, section</w:t>
      </w:r>
      <w:r w:rsidR="00F27D5C">
        <w:t xml:space="preserve"> </w:t>
      </w:r>
      <w:r>
        <w:t>20 with arrangements relating to the corporation</w:t>
      </w:r>
      <w:r w:rsidR="00CC0135">
        <w:t>’</w:t>
      </w:r>
      <w:r>
        <w:t xml:space="preserve">s governance and operation such as board representation or alterations </w:t>
      </w:r>
      <w:r w:rsidR="009C5394">
        <w:t xml:space="preserve">to </w:t>
      </w:r>
      <w:r>
        <w:t>constituent documents such as the articles of association, and section</w:t>
      </w:r>
      <w:r w:rsidR="00F27D5C">
        <w:t xml:space="preserve"> </w:t>
      </w:r>
      <w:r>
        <w:t>21 with the leasing or hiring of assets, management agreements o</w:t>
      </w:r>
      <w:r w:rsidR="00132DF4">
        <w:t>r profit sharing arrangements.</w:t>
      </w:r>
    </w:p>
    <w:p w:rsidR="001F3D80" w:rsidRDefault="001F3D80">
      <w:proofErr w:type="gramStart"/>
      <w:r>
        <w:rPr>
          <w:b/>
        </w:rPr>
        <w:t>Section 21A</w:t>
      </w:r>
      <w:r w:rsidRPr="006C7A46">
        <w:t xml:space="preserve"> </w:t>
      </w:r>
      <w:r w:rsidR="006C7A46" w:rsidRPr="006C7A46">
        <w:t xml:space="preserve">deals with proposals to </w:t>
      </w:r>
      <w:r w:rsidR="006C7A46">
        <w:t>acquire interests in Australian urban land.</w:t>
      </w:r>
      <w:proofErr w:type="gramEnd"/>
      <w:r w:rsidR="006C7A46">
        <w:t xml:space="preserve"> It </w:t>
      </w:r>
      <w:r>
        <w:t xml:space="preserve">empowers the Treasurer to </w:t>
      </w:r>
      <w:r w:rsidR="006C7A46">
        <w:t xml:space="preserve">examine </w:t>
      </w:r>
      <w:r>
        <w:t xml:space="preserve">proposed acquisitions of interests in Australian urban land and </w:t>
      </w:r>
      <w:r w:rsidR="006C7A46">
        <w:t xml:space="preserve">make an order </w:t>
      </w:r>
      <w:r>
        <w:t>prohibit</w:t>
      </w:r>
      <w:r w:rsidR="006C7A46">
        <w:t>ing</w:t>
      </w:r>
      <w:r>
        <w:t xml:space="preserve"> those that </w:t>
      </w:r>
      <w:r w:rsidR="006C7A46">
        <w:t xml:space="preserve">he considers </w:t>
      </w:r>
      <w:r>
        <w:t>would be contrary to the national interest</w:t>
      </w:r>
      <w:r w:rsidR="00132DF4">
        <w:t>.</w:t>
      </w:r>
    </w:p>
    <w:p w:rsidR="001F3D80" w:rsidRDefault="00783901">
      <w:r>
        <w:t xml:space="preserve">The </w:t>
      </w:r>
      <w:r w:rsidR="00F31FD7">
        <w:t xml:space="preserve">FATA </w:t>
      </w:r>
      <w:r>
        <w:t>applies to acquisitions, or proposed acquisitions</w:t>
      </w:r>
      <w:r w:rsidR="009774F5">
        <w:t>,</w:t>
      </w:r>
      <w:r>
        <w:t xml:space="preserve"> of interests in </w:t>
      </w:r>
      <w:r w:rsidR="00CC0135">
        <w:t>‘</w:t>
      </w:r>
      <w:r w:rsidR="001F3D80">
        <w:t>Australian urban land</w:t>
      </w:r>
      <w:r w:rsidR="00CC0135">
        <w:t>’</w:t>
      </w:r>
      <w:r w:rsidR="001F3D80">
        <w:t xml:space="preserve"> (see section</w:t>
      </w:r>
      <w:r w:rsidR="00F27D5C">
        <w:t xml:space="preserve"> </w:t>
      </w:r>
      <w:r w:rsidR="001F3D80">
        <w:t>12A). Consequently, section</w:t>
      </w:r>
      <w:r w:rsidR="00F27D5C">
        <w:t xml:space="preserve"> </w:t>
      </w:r>
      <w:r w:rsidR="001F3D80">
        <w:t xml:space="preserve">21A applies not only to direct purchases of </w:t>
      </w:r>
      <w:r w:rsidR="00E123F8">
        <w:t xml:space="preserve">Australian </w:t>
      </w:r>
      <w:r w:rsidR="001F3D80">
        <w:t xml:space="preserve">urban land, but also </w:t>
      </w:r>
      <w:r w:rsidR="001859B3">
        <w:t xml:space="preserve">to </w:t>
      </w:r>
      <w:r>
        <w:t>interests in such land</w:t>
      </w:r>
      <w:r w:rsidR="00C179EF">
        <w:t>,</w:t>
      </w:r>
      <w:r>
        <w:t xml:space="preserve"> for example mortgage</w:t>
      </w:r>
      <w:r w:rsidR="00DA220B">
        <w:t>, or certain leasehold</w:t>
      </w:r>
      <w:r>
        <w:t xml:space="preserve"> interests. It also applies </w:t>
      </w:r>
      <w:r w:rsidR="001F3D80">
        <w:t>to the purchase of shares in companies</w:t>
      </w:r>
      <w:r w:rsidR="00A5788E">
        <w:t xml:space="preserve"> and units</w:t>
      </w:r>
      <w:r w:rsidR="006E29A1">
        <w:t xml:space="preserve"> in</w:t>
      </w:r>
      <w:r w:rsidR="001F3D80">
        <w:t xml:space="preserve"> trusts</w:t>
      </w:r>
      <w:r>
        <w:t xml:space="preserve"> (Australian urban land corporations and trust</w:t>
      </w:r>
      <w:r w:rsidR="00B0307D">
        <w:t xml:space="preserve"> estate</w:t>
      </w:r>
      <w:r>
        <w:t>s)</w:t>
      </w:r>
      <w:r w:rsidR="00A5788E">
        <w:t>,</w:t>
      </w:r>
      <w:r w:rsidR="001F3D80">
        <w:t xml:space="preserve"> where more than half of </w:t>
      </w:r>
      <w:r w:rsidR="0076594E">
        <w:t xml:space="preserve">its </w:t>
      </w:r>
      <w:r w:rsidR="001F3D80">
        <w:t xml:space="preserve">assets are in the form of </w:t>
      </w:r>
      <w:r w:rsidR="00E123F8">
        <w:t xml:space="preserve">Australian </w:t>
      </w:r>
      <w:r w:rsidR="00132DF4">
        <w:t>urban land</w:t>
      </w:r>
      <w:r w:rsidR="00082600">
        <w:t>,</w:t>
      </w:r>
      <w:r w:rsidR="0076594E">
        <w:t xml:space="preserve"> and participation in profit sharing agreements in relation to land</w:t>
      </w:r>
      <w:r w:rsidR="00132DF4">
        <w:t>.</w:t>
      </w:r>
      <w:r>
        <w:t xml:space="preserve"> </w:t>
      </w:r>
    </w:p>
    <w:p w:rsidR="001F3D80" w:rsidRDefault="001F3D80">
      <w:r>
        <w:t>The Treasurer</w:t>
      </w:r>
      <w:r w:rsidR="00CC0135">
        <w:t>’</w:t>
      </w:r>
      <w:r>
        <w:t>s powers in section</w:t>
      </w:r>
      <w:r w:rsidR="00F27D5C">
        <w:t xml:space="preserve"> </w:t>
      </w:r>
      <w:r>
        <w:t>21A to take action against acquisitions of interests in Australian urban land are not limited to acquisitions of</w:t>
      </w:r>
      <w:r w:rsidR="00DA220B">
        <w:t xml:space="preserve"> what the Treasurer considers to be</w:t>
      </w:r>
      <w:r>
        <w:t xml:space="preserve"> a controlling interest as is the </w:t>
      </w:r>
      <w:r w:rsidRPr="00277F71">
        <w:t>case in sections</w:t>
      </w:r>
      <w:r w:rsidR="00F27D5C">
        <w:t xml:space="preserve"> </w:t>
      </w:r>
      <w:r w:rsidRPr="00277F71">
        <w:t>18 to 21.</w:t>
      </w:r>
      <w:r w:rsidR="00E123F8" w:rsidRPr="00277F71">
        <w:t xml:space="preserve"> </w:t>
      </w:r>
      <w:r w:rsidR="00484E7B">
        <w:t>Failure to notify an</w:t>
      </w:r>
      <w:r w:rsidR="00E123F8" w:rsidRPr="00277F71">
        <w:t xml:space="preserve"> acquisition</w:t>
      </w:r>
      <w:r w:rsidR="00277F71" w:rsidRPr="00277F71">
        <w:t xml:space="preserve"> of</w:t>
      </w:r>
      <w:r w:rsidR="00484E7B">
        <w:t xml:space="preserve"> an</w:t>
      </w:r>
      <w:r w:rsidR="00277F71" w:rsidRPr="00277F71">
        <w:t xml:space="preserve"> interest in Australian urban land </w:t>
      </w:r>
      <w:r w:rsidR="00484E7B">
        <w:t>is an offence</w:t>
      </w:r>
      <w:r w:rsidR="00E123F8" w:rsidRPr="00277F71">
        <w:t xml:space="preserve"> </w:t>
      </w:r>
      <w:r w:rsidR="00277F71" w:rsidRPr="00277F71">
        <w:t xml:space="preserve">under </w:t>
      </w:r>
      <w:r w:rsidR="00484E7B">
        <w:t>section</w:t>
      </w:r>
      <w:r w:rsidR="00F27D5C">
        <w:t xml:space="preserve"> </w:t>
      </w:r>
      <w:r w:rsidR="00484E7B">
        <w:t xml:space="preserve">26A of </w:t>
      </w:r>
      <w:r w:rsidR="00277F71" w:rsidRPr="00277F71">
        <w:t xml:space="preserve">the </w:t>
      </w:r>
      <w:r w:rsidR="00F31FD7">
        <w:t>FATA</w:t>
      </w:r>
      <w:r w:rsidR="00E123F8" w:rsidRPr="00277F71">
        <w:t xml:space="preserve">, </w:t>
      </w:r>
      <w:r w:rsidR="00277F71" w:rsidRPr="00277F71">
        <w:t xml:space="preserve">unless exempt under </w:t>
      </w:r>
      <w:r w:rsidR="00E123F8" w:rsidRPr="00277F71">
        <w:t>the Regulations.</w:t>
      </w:r>
    </w:p>
    <w:p w:rsidR="006C7A46" w:rsidRDefault="006C7A46" w:rsidP="006C7A46">
      <w:r>
        <w:rPr>
          <w:b/>
        </w:rPr>
        <w:t>Sections 18, 19, 20, 21 and 21A</w:t>
      </w:r>
      <w:r>
        <w:t xml:space="preserve"> give the Treasurer the power to order the divestment</w:t>
      </w:r>
      <w:r w:rsidR="00C944FF">
        <w:t xml:space="preserve"> or </w:t>
      </w:r>
      <w:r>
        <w:t>unwinding of a</w:t>
      </w:r>
      <w:r w:rsidR="00C179EF">
        <w:t>n investment</w:t>
      </w:r>
      <w:r>
        <w:t xml:space="preserve"> </w:t>
      </w:r>
      <w:r w:rsidR="00DA220B">
        <w:t xml:space="preserve">where the acquisition </w:t>
      </w:r>
      <w:r>
        <w:t>is subsequently found to</w:t>
      </w:r>
      <w:r w:rsidR="00DA220B">
        <w:t xml:space="preserve"> have</w:t>
      </w:r>
      <w:r>
        <w:t xml:space="preserve"> </w:t>
      </w:r>
      <w:r w:rsidR="00DA220B">
        <w:t xml:space="preserve">been </w:t>
      </w:r>
      <w:r>
        <w:t>con</w:t>
      </w:r>
      <w:r w:rsidR="00132DF4">
        <w:t>trary to the national interest.</w:t>
      </w:r>
    </w:p>
    <w:p w:rsidR="001F3D80" w:rsidRDefault="001F3D80">
      <w:r>
        <w:rPr>
          <w:b/>
        </w:rPr>
        <w:t>Section</w:t>
      </w:r>
      <w:r w:rsidR="00F27D5C">
        <w:rPr>
          <w:b/>
        </w:rPr>
        <w:t xml:space="preserve"> </w:t>
      </w:r>
      <w:r>
        <w:rPr>
          <w:b/>
        </w:rPr>
        <w:t>25</w:t>
      </w:r>
      <w:r>
        <w:t xml:space="preserve"> allows conditions to be applied </w:t>
      </w:r>
      <w:r w:rsidR="00C179EF">
        <w:t>which are</w:t>
      </w:r>
      <w:r>
        <w:t xml:space="preserve"> </w:t>
      </w:r>
      <w:r w:rsidR="00C179EF">
        <w:t>considered necessary to remove</w:t>
      </w:r>
      <w:r>
        <w:t xml:space="preserve"> national interest concerns that would otherwise arise. This power is available where the Treasurer can make an order under sections</w:t>
      </w:r>
      <w:r w:rsidR="00F27D5C">
        <w:t xml:space="preserve"> </w:t>
      </w:r>
      <w:r>
        <w:t>18, 19, 20, 21 and</w:t>
      </w:r>
      <w:r w:rsidR="00F27D5C">
        <w:t xml:space="preserve"> </w:t>
      </w:r>
      <w:r w:rsidR="00132DF4">
        <w:t>21A.</w:t>
      </w:r>
    </w:p>
    <w:p w:rsidR="00BD29A6" w:rsidRPr="00A74688" w:rsidRDefault="00BD29A6" w:rsidP="00BD29A6">
      <w:pPr>
        <w:pStyle w:val="Heading3"/>
      </w:pPr>
      <w:r w:rsidRPr="00A74688">
        <w:t>Foreign</w:t>
      </w:r>
      <w:r w:rsidR="00D24101">
        <w:noBreakHyphen/>
      </w:r>
      <w:r w:rsidRPr="00A74688">
        <w:t>to</w:t>
      </w:r>
      <w:r w:rsidR="00D24101">
        <w:noBreakHyphen/>
      </w:r>
      <w:r w:rsidRPr="00A74688">
        <w:t>foreign transactions</w:t>
      </w:r>
    </w:p>
    <w:p w:rsidR="00123DE5" w:rsidRDefault="00BD29A6" w:rsidP="00132DF4">
      <w:r>
        <w:t xml:space="preserve">Transactions involving </w:t>
      </w:r>
      <w:r w:rsidR="00E6763D">
        <w:t>acquisitions</w:t>
      </w:r>
      <w:r>
        <w:t xml:space="preserve"> by foreign persons of Australian </w:t>
      </w:r>
      <w:r w:rsidR="00D952F0">
        <w:t xml:space="preserve">businesses or </w:t>
      </w:r>
      <w:r>
        <w:t xml:space="preserve">assets </w:t>
      </w:r>
      <w:r w:rsidR="00D952F0">
        <w:t>that</w:t>
      </w:r>
      <w:r>
        <w:t xml:space="preserve"> are already foreign</w:t>
      </w:r>
      <w:r w:rsidR="00D24101">
        <w:noBreakHyphen/>
      </w:r>
      <w:r>
        <w:t>owned or controlled</w:t>
      </w:r>
      <w:r w:rsidR="007411FF">
        <w:t xml:space="preserve"> (referred to as </w:t>
      </w:r>
      <w:r w:rsidR="00F81D35">
        <w:t>‘</w:t>
      </w:r>
      <w:r w:rsidR="007411FF">
        <w:t>foreign</w:t>
      </w:r>
      <w:r w:rsidR="00D24101">
        <w:noBreakHyphen/>
      </w:r>
      <w:r w:rsidR="007411FF">
        <w:t>to</w:t>
      </w:r>
      <w:r w:rsidR="00D24101">
        <w:noBreakHyphen/>
      </w:r>
      <w:r w:rsidR="007411FF">
        <w:t>foreign</w:t>
      </w:r>
      <w:r w:rsidR="00F81D35">
        <w:t>’</w:t>
      </w:r>
      <w:r w:rsidR="007411FF">
        <w:t xml:space="preserve"> transactions),</w:t>
      </w:r>
      <w:r>
        <w:t xml:space="preserve"> are subject to</w:t>
      </w:r>
      <w:r w:rsidR="007411FF">
        <w:t xml:space="preserve"> </w:t>
      </w:r>
      <w:r w:rsidR="00123DE5">
        <w:t xml:space="preserve">the FATA. </w:t>
      </w:r>
      <w:r w:rsidR="000232E9">
        <w:t xml:space="preserve">Such transactions </w:t>
      </w:r>
      <w:r w:rsidR="00D952F0">
        <w:t xml:space="preserve">are of two </w:t>
      </w:r>
      <w:r w:rsidR="00F81D35">
        <w:t xml:space="preserve">broad </w:t>
      </w:r>
      <w:r w:rsidR="00D952F0">
        <w:t xml:space="preserve">types: </w:t>
      </w:r>
      <w:r w:rsidR="00117AE7" w:rsidRPr="00117AE7">
        <w:t>indirect</w:t>
      </w:r>
      <w:r w:rsidR="00117AE7">
        <w:t xml:space="preserve"> acquisitions where a foreign company acquires another</w:t>
      </w:r>
      <w:r w:rsidR="001859B3">
        <w:t xml:space="preserve">, or part of it, </w:t>
      </w:r>
      <w:r w:rsidR="00117AE7">
        <w:t xml:space="preserve"> and in so doing also acquires </w:t>
      </w:r>
      <w:r w:rsidR="001859B3">
        <w:t xml:space="preserve">an interest in </w:t>
      </w:r>
      <w:r w:rsidR="00117AE7">
        <w:t xml:space="preserve">its Australian business or assets </w:t>
      </w:r>
      <w:r w:rsidR="00F81D35">
        <w:t xml:space="preserve">(referred to as an ‘offshore </w:t>
      </w:r>
      <w:r w:rsidR="001859B3">
        <w:t>acquisition’</w:t>
      </w:r>
      <w:r w:rsidR="00F81D35">
        <w:t>)</w:t>
      </w:r>
      <w:r w:rsidR="009774F5">
        <w:t>;</w:t>
      </w:r>
      <w:r w:rsidR="00F81D35">
        <w:t xml:space="preserve"> </w:t>
      </w:r>
      <w:r w:rsidR="00117AE7">
        <w:t xml:space="preserve">and </w:t>
      </w:r>
      <w:r w:rsidR="000232E9" w:rsidRPr="00117AE7">
        <w:t>direct</w:t>
      </w:r>
      <w:r w:rsidR="000232E9">
        <w:t xml:space="preserve"> acquisitions </w:t>
      </w:r>
      <w:r w:rsidR="00117AE7">
        <w:t xml:space="preserve">by a foreign person </w:t>
      </w:r>
      <w:r w:rsidR="000232E9">
        <w:t xml:space="preserve">of </w:t>
      </w:r>
      <w:r w:rsidR="00D952F0">
        <w:t xml:space="preserve">an </w:t>
      </w:r>
      <w:r w:rsidR="00117AE7">
        <w:t xml:space="preserve">already foreign owned or controlled </w:t>
      </w:r>
      <w:r w:rsidR="000232E9">
        <w:t>Australian business</w:t>
      </w:r>
      <w:r w:rsidR="00D952F0">
        <w:t xml:space="preserve"> or </w:t>
      </w:r>
      <w:r w:rsidR="000232E9">
        <w:t>assets</w:t>
      </w:r>
      <w:r w:rsidR="00441386">
        <w:t xml:space="preserve">. </w:t>
      </w:r>
    </w:p>
    <w:p w:rsidR="000C4A2C" w:rsidRDefault="000C4A2C" w:rsidP="000C4A2C">
      <w:r>
        <w:t xml:space="preserve">For the FATA to apply to </w:t>
      </w:r>
      <w:r w:rsidR="00D952F0">
        <w:t xml:space="preserve">a </w:t>
      </w:r>
      <w:r>
        <w:t>foreign</w:t>
      </w:r>
      <w:r w:rsidR="00D24101">
        <w:noBreakHyphen/>
      </w:r>
      <w:r>
        <w:t>to</w:t>
      </w:r>
      <w:r w:rsidR="00D24101">
        <w:noBreakHyphen/>
      </w:r>
      <w:r>
        <w:t xml:space="preserve">foreign transaction, the Australian </w:t>
      </w:r>
      <w:r w:rsidR="00D952F0">
        <w:t xml:space="preserve">business or </w:t>
      </w:r>
      <w:r>
        <w:t xml:space="preserve">assets of the target company must be valued above the </w:t>
      </w:r>
      <w:r w:rsidR="00D952F0">
        <w:t>applicable</w:t>
      </w:r>
      <w:r>
        <w:t xml:space="preserve"> threshold</w:t>
      </w:r>
      <w:r w:rsidR="00D952F0">
        <w:t>s</w:t>
      </w:r>
      <w:r>
        <w:t xml:space="preserve"> set under </w:t>
      </w:r>
      <w:r>
        <w:lastRenderedPageBreak/>
        <w:t>the Regulations. These transactions are assessed against the policy applicable to the relevant sector of the economy</w:t>
      </w:r>
      <w:r w:rsidR="00E457CF">
        <w:t>.</w:t>
      </w:r>
      <w:r>
        <w:t xml:space="preserve"> Such proposals normally do not raise issues that might make the transaction contrary to the national interest. </w:t>
      </w:r>
    </w:p>
    <w:p w:rsidR="001F3D80" w:rsidRPr="00A74688" w:rsidRDefault="001F3D80">
      <w:pPr>
        <w:pStyle w:val="Heading3"/>
      </w:pPr>
      <w:r w:rsidRPr="00A74688">
        <w:t>Prior approval for contractual arrangements</w:t>
      </w:r>
    </w:p>
    <w:p w:rsidR="001F3D80" w:rsidRDefault="001F3D80">
      <w:r>
        <w:t xml:space="preserve">The </w:t>
      </w:r>
      <w:r w:rsidR="00F31FD7">
        <w:t xml:space="preserve">FATA </w:t>
      </w:r>
      <w:r>
        <w:t>makes it an offence to acquire</w:t>
      </w:r>
      <w:r w:rsidR="00537B51">
        <w:t>, or increase,</w:t>
      </w:r>
      <w:r>
        <w:t xml:space="preserve"> a substantial shareholding or </w:t>
      </w:r>
      <w:r w:rsidR="002B7343">
        <w:t xml:space="preserve">certain </w:t>
      </w:r>
      <w:r>
        <w:t>interest</w:t>
      </w:r>
      <w:r w:rsidR="002B7343">
        <w:t>s</w:t>
      </w:r>
      <w:r>
        <w:t xml:space="preserve"> in Australian urban land without providing prior notification to the Treasurer</w:t>
      </w:r>
      <w:r w:rsidR="00484E7B">
        <w:t xml:space="preserve"> (sections 26 and 26A)</w:t>
      </w:r>
      <w:r>
        <w:t xml:space="preserve">. Consequently, parties proposing to enter into </w:t>
      </w:r>
      <w:r w:rsidR="00C179EF">
        <w:t xml:space="preserve">such </w:t>
      </w:r>
      <w:r>
        <w:t xml:space="preserve">transactions should ensure that </w:t>
      </w:r>
      <w:r w:rsidR="00C944FF">
        <w:t xml:space="preserve">the relevant </w:t>
      </w:r>
      <w:r w:rsidR="00537B51">
        <w:t>agreements are conditional</w:t>
      </w:r>
      <w:r w:rsidR="00CB606D">
        <w:t xml:space="preserve"> on foreign investment approval</w:t>
      </w:r>
      <w:r w:rsidR="00537B51">
        <w:t>,</w:t>
      </w:r>
      <w:r>
        <w:t xml:space="preserve"> or alternatively ensure they seek prior approval</w:t>
      </w:r>
      <w:r w:rsidR="00C60FBD">
        <w:t xml:space="preserve">. </w:t>
      </w:r>
      <w:r>
        <w:t xml:space="preserve">This </w:t>
      </w:r>
      <w:r w:rsidR="00537B51">
        <w:t>applies</w:t>
      </w:r>
      <w:r w:rsidR="003A41F8">
        <w:t xml:space="preserve"> to</w:t>
      </w:r>
      <w:r>
        <w:t xml:space="preserve"> </w:t>
      </w:r>
      <w:r w:rsidR="003A41F8">
        <w:t>situations where the acquirer intends to make an offer, tender or bid for shares or real estate</w:t>
      </w:r>
      <w:r>
        <w:t xml:space="preserve">. </w:t>
      </w:r>
      <w:r w:rsidR="00C944FF">
        <w:t>E</w:t>
      </w:r>
      <w:r w:rsidR="00537B51">
        <w:t>nter</w:t>
      </w:r>
      <w:r w:rsidR="00C944FF">
        <w:t>ing</w:t>
      </w:r>
      <w:r w:rsidR="00537B51">
        <w:t xml:space="preserve"> </w:t>
      </w:r>
      <w:r w:rsidR="00C944FF">
        <w:t>an</w:t>
      </w:r>
      <w:r w:rsidR="00537B51">
        <w:t xml:space="preserve"> agreement </w:t>
      </w:r>
      <w:r w:rsidR="00C944FF">
        <w:t xml:space="preserve">that is not conditional </w:t>
      </w:r>
      <w:r w:rsidR="00537B51">
        <w:t xml:space="preserve">may result in the acquisition of an interest that is in breach of the </w:t>
      </w:r>
      <w:r w:rsidR="00BE06DF">
        <w:t>notification provisions of the FATA</w:t>
      </w:r>
      <w:r>
        <w:t xml:space="preserve"> and </w:t>
      </w:r>
      <w:r w:rsidR="003A41F8">
        <w:t xml:space="preserve">also </w:t>
      </w:r>
      <w:r w:rsidR="00BE06DF">
        <w:t xml:space="preserve">may </w:t>
      </w:r>
      <w:r>
        <w:t>expose the acquir</w:t>
      </w:r>
      <w:r w:rsidR="00537B51">
        <w:t>er</w:t>
      </w:r>
      <w:r>
        <w:t xml:space="preserve"> to possible </w:t>
      </w:r>
      <w:r w:rsidR="00484E7B">
        <w:t xml:space="preserve">prosecution and </w:t>
      </w:r>
      <w:r>
        <w:t>dives</w:t>
      </w:r>
      <w:r w:rsidR="00537B51">
        <w:t>tment</w:t>
      </w:r>
      <w:r w:rsidR="00CB606D">
        <w:t xml:space="preserve"> action</w:t>
      </w:r>
      <w:r w:rsidR="00132DF4">
        <w:t>.</w:t>
      </w:r>
    </w:p>
    <w:p w:rsidR="001F3D80" w:rsidRPr="00A74688" w:rsidRDefault="001F3D80">
      <w:pPr>
        <w:pStyle w:val="Heading3"/>
      </w:pPr>
      <w:r w:rsidRPr="00A74688">
        <w:t>Foreign control</w:t>
      </w:r>
    </w:p>
    <w:p w:rsidR="001F3D80" w:rsidRDefault="001F3D80">
      <w:r>
        <w:t xml:space="preserve">Under the </w:t>
      </w:r>
      <w:r w:rsidR="00F31FD7">
        <w:t>FATA</w:t>
      </w:r>
      <w:r>
        <w:t>, a substantial interest</w:t>
      </w:r>
      <w:r w:rsidR="00CB606D">
        <w:t xml:space="preserve"> </w:t>
      </w:r>
      <w:r w:rsidR="00537B51">
        <w:t>in an</w:t>
      </w:r>
      <w:r>
        <w:t xml:space="preserve"> Australian corporation is </w:t>
      </w:r>
      <w:r w:rsidR="00537B51">
        <w:t xml:space="preserve">deemed to be </w:t>
      </w:r>
      <w:r>
        <w:t>a controlling interest</w:t>
      </w:r>
      <w:r w:rsidR="00537B51">
        <w:t xml:space="preserve"> unless the Treasurer is satisfied that the acquirer is not in a position to determine the policy of the corporation</w:t>
      </w:r>
      <w:r>
        <w:t xml:space="preserve"> (see section</w:t>
      </w:r>
      <w:r w:rsidR="00BE22CB">
        <w:t xml:space="preserve"> </w:t>
      </w:r>
      <w:r>
        <w:t xml:space="preserve">9). </w:t>
      </w:r>
      <w:r w:rsidR="002B7343">
        <w:t>A</w:t>
      </w:r>
      <w:r>
        <w:t xml:space="preserve"> variety of factors </w:t>
      </w:r>
      <w:r w:rsidR="001B5337">
        <w:t xml:space="preserve">and considerations </w:t>
      </w:r>
      <w:r>
        <w:t>other than</w:t>
      </w:r>
      <w:r w:rsidR="00B0307D">
        <w:t xml:space="preserve"> simply</w:t>
      </w:r>
      <w:r>
        <w:t xml:space="preserve"> </w:t>
      </w:r>
      <w:r w:rsidR="00CB606D">
        <w:t>a person</w:t>
      </w:r>
      <w:r w:rsidR="00CC0135">
        <w:t>’</w:t>
      </w:r>
      <w:r w:rsidR="00CB606D">
        <w:t xml:space="preserve">s </w:t>
      </w:r>
      <w:r>
        <w:t>share ownership may be relevant to the Treasurer</w:t>
      </w:r>
      <w:r w:rsidR="00CC0135">
        <w:t>’</w:t>
      </w:r>
      <w:r>
        <w:t>s consideration of where</w:t>
      </w:r>
      <w:r w:rsidR="00CB606D">
        <w:t xml:space="preserve"> </w:t>
      </w:r>
      <w:r>
        <w:t xml:space="preserve">ultimate control of a corporation lies. </w:t>
      </w:r>
      <w:r w:rsidR="001B5337">
        <w:t>These factors are also relevant to s</w:t>
      </w:r>
      <w:r w:rsidR="004F13D0">
        <w:t xml:space="preserve">ections 19, 20 and 21 </w:t>
      </w:r>
      <w:r w:rsidR="001B5337">
        <w:t xml:space="preserve">which </w:t>
      </w:r>
      <w:r w:rsidR="004F13D0">
        <w:t>relate to control of business assets</w:t>
      </w:r>
      <w:r w:rsidR="001B5337">
        <w:t xml:space="preserve"> and</w:t>
      </w:r>
      <w:r w:rsidR="004F13D0">
        <w:t xml:space="preserve"> arrangements relating to </w:t>
      </w:r>
      <w:r w:rsidR="001B5337">
        <w:t>the directorate and governance of</w:t>
      </w:r>
      <w:r w:rsidR="004F13D0">
        <w:t xml:space="preserve"> corporations.</w:t>
      </w:r>
      <w:r w:rsidR="001B5337">
        <w:t xml:space="preserve"> </w:t>
      </w:r>
      <w:r>
        <w:t xml:space="preserve">These </w:t>
      </w:r>
      <w:r w:rsidR="001B5337">
        <w:t xml:space="preserve">factors and considerations </w:t>
      </w:r>
      <w:r>
        <w:t>include:</w:t>
      </w:r>
    </w:p>
    <w:p w:rsidR="001F3D80" w:rsidRPr="00132DF4" w:rsidRDefault="001F3D80" w:rsidP="00A60D3D">
      <w:pPr>
        <w:pStyle w:val="Bullet"/>
      </w:pPr>
      <w:r w:rsidRPr="00132DF4">
        <w:t xml:space="preserve">voting rights attached to </w:t>
      </w:r>
      <w:r w:rsidR="00C944FF" w:rsidRPr="00132DF4">
        <w:t xml:space="preserve">the various </w:t>
      </w:r>
      <w:r w:rsidRPr="00132DF4">
        <w:t>shareholdings and the rights of shareholders, including in relation to representation on the Board or controlling body</w:t>
      </w:r>
      <w:r w:rsidR="00DE711E">
        <w:t>;</w:t>
      </w:r>
    </w:p>
    <w:p w:rsidR="007863FB" w:rsidRDefault="001F3D80" w:rsidP="00132DF4">
      <w:pPr>
        <w:pStyle w:val="Bullet"/>
      </w:pPr>
      <w:r w:rsidRPr="00132DF4">
        <w:t xml:space="preserve">the distribution and composition of share </w:t>
      </w:r>
      <w:r w:rsidR="00B0307D">
        <w:t>holdings</w:t>
      </w:r>
      <w:r w:rsidR="00DE711E">
        <w:t>;</w:t>
      </w:r>
      <w:r w:rsidR="00C944FF" w:rsidRPr="00132DF4">
        <w:t xml:space="preserve"> </w:t>
      </w:r>
    </w:p>
    <w:p w:rsidR="001F3D80" w:rsidRPr="00132DF4" w:rsidRDefault="007863FB" w:rsidP="00132DF4">
      <w:pPr>
        <w:pStyle w:val="Bullet"/>
      </w:pPr>
      <w:r>
        <w:t xml:space="preserve">that all rights over future shares and potential voting power are treated as having been exercised at the time the agreement is entered into, such as the issuing of convertible notes; </w:t>
      </w:r>
      <w:r w:rsidR="00DE711E">
        <w:t xml:space="preserve"> and</w:t>
      </w:r>
    </w:p>
    <w:p w:rsidR="001F3D80" w:rsidRPr="00132DF4" w:rsidRDefault="001F3D80" w:rsidP="00132DF4">
      <w:pPr>
        <w:pStyle w:val="Bullet"/>
      </w:pPr>
      <w:r w:rsidRPr="00132DF4">
        <w:t xml:space="preserve">arrangements or agreements between shareholders and a corporation or controlling body that would enable a shareholder to exercise </w:t>
      </w:r>
      <w:r w:rsidR="002F6BE7" w:rsidRPr="00132DF4">
        <w:t xml:space="preserve">a measure of </w:t>
      </w:r>
      <w:r w:rsidRPr="00132DF4">
        <w:t>control, including through the provision of finance, technology, materials, markets and marketing or managem</w:t>
      </w:r>
      <w:r w:rsidR="00DE711E">
        <w:t>ent expertise.</w:t>
      </w:r>
    </w:p>
    <w:p w:rsidR="001F3D80" w:rsidRDefault="001F3D80">
      <w:r>
        <w:t xml:space="preserve">The extent to which each of these </w:t>
      </w:r>
      <w:r w:rsidR="001B5337">
        <w:t xml:space="preserve">or other factors </w:t>
      </w:r>
      <w:r>
        <w:t>is relevant would depend on the particular circumstances of each case</w:t>
      </w:r>
      <w:r w:rsidR="004F13D0">
        <w:t xml:space="preserve">. The </w:t>
      </w:r>
      <w:r>
        <w:t xml:space="preserve">determination of control </w:t>
      </w:r>
      <w:r w:rsidR="00DE13C6">
        <w:t>is</w:t>
      </w:r>
      <w:r>
        <w:t xml:space="preserve"> undertaken on a case</w:t>
      </w:r>
      <w:r w:rsidR="00D24101">
        <w:noBreakHyphen/>
      </w:r>
      <w:r>
        <w:t>by</w:t>
      </w:r>
      <w:r w:rsidR="00D24101">
        <w:noBreakHyphen/>
      </w:r>
      <w:r>
        <w:t>case basis</w:t>
      </w:r>
      <w:r w:rsidR="00F81D35">
        <w:t xml:space="preserve"> as contemplated by the </w:t>
      </w:r>
      <w:r w:rsidR="004F13D0">
        <w:t xml:space="preserve">relevant provisions of the </w:t>
      </w:r>
      <w:r w:rsidR="00F81D35">
        <w:t>FATA</w:t>
      </w:r>
      <w:r>
        <w:t xml:space="preserve">. </w:t>
      </w:r>
    </w:p>
    <w:p w:rsidR="001F3D80" w:rsidRPr="00A74688" w:rsidRDefault="001F3D80">
      <w:pPr>
        <w:pStyle w:val="Heading2"/>
      </w:pPr>
      <w:r w:rsidRPr="00A74688">
        <w:lastRenderedPageBreak/>
        <w:t>Enforcement provisions</w:t>
      </w:r>
    </w:p>
    <w:p w:rsidR="001F3D80" w:rsidRDefault="001F3D80">
      <w:r>
        <w:t>If the Treasurer raises no objections to a proposal subject to conditions and the parties do not comply with the conditions, the</w:t>
      </w:r>
      <w:r w:rsidR="004F13D0">
        <w:t>y</w:t>
      </w:r>
      <w:r w:rsidR="00BE06DF">
        <w:t xml:space="preserve"> may</w:t>
      </w:r>
      <w:r w:rsidR="00A60A8C">
        <w:t xml:space="preserve"> </w:t>
      </w:r>
      <w:r>
        <w:t>commit an offence</w:t>
      </w:r>
      <w:r w:rsidR="00DE13C6">
        <w:t xml:space="preserve"> under</w:t>
      </w:r>
      <w:r w:rsidR="00A60BCD">
        <w:t xml:space="preserve"> </w:t>
      </w:r>
      <w:r w:rsidR="00B0307D">
        <w:t>sub</w:t>
      </w:r>
      <w:r>
        <w:t>section 25(1C)</w:t>
      </w:r>
      <w:r w:rsidR="0076594E">
        <w:t xml:space="preserve"> of the </w:t>
      </w:r>
      <w:r w:rsidR="00F31FD7">
        <w:t>FATA</w:t>
      </w:r>
      <w:r>
        <w:t xml:space="preserve">. </w:t>
      </w:r>
      <w:r w:rsidR="00DE13C6">
        <w:t xml:space="preserve">Failure to comply with an order made by the Treasurer constitutes an offence under </w:t>
      </w:r>
      <w:r w:rsidR="00A60A8C">
        <w:t>section</w:t>
      </w:r>
      <w:r w:rsidR="00F27D5C">
        <w:t xml:space="preserve"> </w:t>
      </w:r>
      <w:r w:rsidR="00A60A8C">
        <w:t>30.</w:t>
      </w:r>
      <w:r w:rsidR="00DE13C6">
        <w:t xml:space="preserve"> </w:t>
      </w:r>
      <w:r>
        <w:t xml:space="preserve">The </w:t>
      </w:r>
      <w:r w:rsidR="00F31FD7">
        <w:t xml:space="preserve">FATA </w:t>
      </w:r>
      <w:r>
        <w:t>empowers the Treasurer to make orders to prohibit</w:t>
      </w:r>
      <w:r w:rsidR="006E29A1">
        <w:t xml:space="preserve"> schemes</w:t>
      </w:r>
      <w:r>
        <w:t xml:space="preserve"> entered into for the purpose of avoiding </w:t>
      </w:r>
      <w:r w:rsidR="00A60BCD">
        <w:t>it</w:t>
      </w:r>
      <w:r w:rsidR="006E29A1">
        <w:t>s</w:t>
      </w:r>
      <w:r>
        <w:t xml:space="preserve"> provisions (section 38A). In addition, the provision of false or misleading information can constitute an offence under </w:t>
      </w:r>
      <w:r w:rsidR="00B0307D">
        <w:t xml:space="preserve">the </w:t>
      </w:r>
      <w:r w:rsidR="00B0307D" w:rsidRPr="00B0307D">
        <w:rPr>
          <w:i/>
        </w:rPr>
        <w:t>Crimes Act</w:t>
      </w:r>
      <w:r w:rsidR="00F27D5C">
        <w:rPr>
          <w:i/>
        </w:rPr>
        <w:t xml:space="preserve"> </w:t>
      </w:r>
      <w:r w:rsidR="00B0307D" w:rsidRPr="00B0307D">
        <w:rPr>
          <w:i/>
        </w:rPr>
        <w:t>1914</w:t>
      </w:r>
      <w:r w:rsidR="00B0307D">
        <w:t xml:space="preserve"> and </w:t>
      </w:r>
      <w:r w:rsidRPr="00A60BCD">
        <w:t>Chapter</w:t>
      </w:r>
      <w:r w:rsidR="00F27D5C">
        <w:t xml:space="preserve"> </w:t>
      </w:r>
      <w:r w:rsidRPr="00A60BCD">
        <w:t>7</w:t>
      </w:r>
      <w:r>
        <w:t xml:space="preserve"> of the </w:t>
      </w:r>
      <w:r>
        <w:rPr>
          <w:i/>
        </w:rPr>
        <w:t>Criminal Code Act 1995</w:t>
      </w:r>
      <w:r w:rsidR="00132DF4">
        <w:t>.</w:t>
      </w:r>
    </w:p>
    <w:p w:rsidR="001F3D80" w:rsidRPr="00A74688" w:rsidRDefault="001F3D80">
      <w:pPr>
        <w:pStyle w:val="Heading2"/>
      </w:pPr>
      <w:r w:rsidRPr="00A74688">
        <w:t>Other aspects of foreign investment policy</w:t>
      </w:r>
    </w:p>
    <w:p w:rsidR="001F3D80" w:rsidRPr="00A74688" w:rsidRDefault="006E64CD" w:rsidP="006E64CD">
      <w:pPr>
        <w:pStyle w:val="Heading3"/>
      </w:pPr>
      <w:r>
        <w:t>Foreign investment in Australian residential real estate</w:t>
      </w:r>
    </w:p>
    <w:p w:rsidR="006E64CD" w:rsidRDefault="006E64CD" w:rsidP="006E64CD">
      <w:r>
        <w:t>It is the Government’s policy that foreign investment in residential real estate should increase Australia’s housing stock. All applications are considered in light of this overarching principle.</w:t>
      </w:r>
    </w:p>
    <w:p w:rsidR="006E64CD" w:rsidRDefault="006E64CD" w:rsidP="006E64CD">
      <w:r>
        <w:t>Residential real estate means all land and housing that is not commercial property or rural land. In that regard, vacant land that can be used for residential purposes, ‘hobby farms’ and ‘rural residential’ blocks are residential real estate.</w:t>
      </w:r>
    </w:p>
    <w:p w:rsidR="006E64CD" w:rsidRDefault="006E64CD" w:rsidP="006E64CD">
      <w:pPr>
        <w:pStyle w:val="Heading4"/>
      </w:pPr>
      <w:r>
        <w:t>Temporary Residents</w:t>
      </w:r>
    </w:p>
    <w:p w:rsidR="006E64CD" w:rsidRDefault="009B616E" w:rsidP="006E64CD">
      <w:pPr>
        <w:pStyle w:val="Heading5"/>
      </w:pPr>
      <w:r>
        <w:t>Established (s</w:t>
      </w:r>
      <w:r w:rsidR="006E64CD">
        <w:t>econd</w:t>
      </w:r>
      <w:r w:rsidR="00D24101">
        <w:noBreakHyphen/>
      </w:r>
      <w:r>
        <w:t>hand) d</w:t>
      </w:r>
      <w:r w:rsidR="006E64CD">
        <w:t>wellings</w:t>
      </w:r>
    </w:p>
    <w:p w:rsidR="006E64CD" w:rsidRDefault="006E64CD" w:rsidP="006E64CD">
      <w:r>
        <w:t>Temporary residents need to apply if they wish to buy an established dwelling. Only one established dwelling may be purchased by a temporary resident and it must be used as their residence in Australia. Such proposals are normally approved subject to conditions (such as, that the temporary resident sells the property when it ceases to be their residence).</w:t>
      </w:r>
    </w:p>
    <w:p w:rsidR="006E64CD" w:rsidRDefault="006E64CD" w:rsidP="006E64CD">
      <w:r>
        <w:t>Temporary residents cannot buy established dwellings as investment properties.</w:t>
      </w:r>
    </w:p>
    <w:p w:rsidR="006E64CD" w:rsidRDefault="009B616E" w:rsidP="006E64CD">
      <w:pPr>
        <w:pStyle w:val="Heading5"/>
      </w:pPr>
      <w:r>
        <w:t>New d</w:t>
      </w:r>
      <w:r w:rsidR="006E64CD">
        <w:t>wellings</w:t>
      </w:r>
    </w:p>
    <w:p w:rsidR="006E64CD" w:rsidRDefault="006E64CD" w:rsidP="006E64CD">
      <w:r>
        <w:t>Temporary residents need to apply to buy new dwellings in Australia. Such proposals are normally approved without conditions.</w:t>
      </w:r>
    </w:p>
    <w:p w:rsidR="006E64CD" w:rsidRDefault="009B616E" w:rsidP="006E64CD">
      <w:pPr>
        <w:pStyle w:val="Heading5"/>
      </w:pPr>
      <w:r>
        <w:t>Vacant l</w:t>
      </w:r>
      <w:r w:rsidR="006E64CD">
        <w:t>and</w:t>
      </w:r>
    </w:p>
    <w:p w:rsidR="006E64CD" w:rsidRDefault="006E64CD" w:rsidP="006E64CD">
      <w:r>
        <w:t>Temporary residents need to apply to buy vacant land for residential development. These are normally approved subject to conditions (such as, that construction begins within 24 months).</w:t>
      </w:r>
    </w:p>
    <w:p w:rsidR="006E64CD" w:rsidRDefault="006E64CD" w:rsidP="006E64CD">
      <w:pPr>
        <w:pStyle w:val="Heading4"/>
      </w:pPr>
      <w:r>
        <w:lastRenderedPageBreak/>
        <w:t>All Other Foreign Persons</w:t>
      </w:r>
    </w:p>
    <w:p w:rsidR="006E64CD" w:rsidRDefault="006E64CD" w:rsidP="006E64CD">
      <w:pPr>
        <w:pStyle w:val="Heading5"/>
      </w:pPr>
      <w:r>
        <w:t>Es</w:t>
      </w:r>
      <w:r w:rsidR="009B616E">
        <w:t>tablished (s</w:t>
      </w:r>
      <w:r>
        <w:t>econd</w:t>
      </w:r>
      <w:r w:rsidR="00D24101">
        <w:noBreakHyphen/>
      </w:r>
      <w:r w:rsidR="009B616E">
        <w:t>hand) d</w:t>
      </w:r>
      <w:r>
        <w:t>wellings</w:t>
      </w:r>
    </w:p>
    <w:p w:rsidR="006E64CD" w:rsidRDefault="006E64CD" w:rsidP="006E64CD">
      <w:r>
        <w:t>Non</w:t>
      </w:r>
      <w:r w:rsidR="00D24101">
        <w:noBreakHyphen/>
      </w:r>
      <w:r>
        <w:t>resident foreign persons cannot buy established dwellings as investment properties or as homes, except as below.</w:t>
      </w:r>
    </w:p>
    <w:p w:rsidR="006E64CD" w:rsidRDefault="006E64CD" w:rsidP="006E64CD">
      <w:r>
        <w:t>Companies that are foreign persons need to apply to buy established dwellings to house their Australian</w:t>
      </w:r>
      <w:r w:rsidR="00D24101">
        <w:noBreakHyphen/>
      </w:r>
      <w:r>
        <w:t>based staff. Such proposals are normally approved subject to the company undertaking to sell or rent the property if it is expected to remain vacant for six months or more.</w:t>
      </w:r>
    </w:p>
    <w:p w:rsidR="006E64CD" w:rsidRDefault="006E64CD" w:rsidP="006E64CD">
      <w:r>
        <w:t>Non</w:t>
      </w:r>
      <w:r w:rsidR="00D24101">
        <w:noBreakHyphen/>
      </w:r>
      <w:r>
        <w:t>resident foreign persons need to apply to buy established dwellings for redevelopment (that is, to demolish the existing dwelling and build new dwellings). Proposals for redevelopment are normally approved as long as the redevelopment increases Australia’s housing stock (at least two dwellings built for the one demolished) or where it can be shown that the existing dwelling is derelict or uninhabitable. Approvals are usually subject to conditions.</w:t>
      </w:r>
    </w:p>
    <w:p w:rsidR="006E64CD" w:rsidRDefault="009B616E" w:rsidP="006E64CD">
      <w:pPr>
        <w:pStyle w:val="Heading5"/>
      </w:pPr>
      <w:r>
        <w:t>New d</w:t>
      </w:r>
      <w:r w:rsidR="006E64CD">
        <w:t>wellings</w:t>
      </w:r>
    </w:p>
    <w:p w:rsidR="006E64CD" w:rsidRDefault="006E64CD" w:rsidP="006E64CD">
      <w:r>
        <w:t>Non</w:t>
      </w:r>
      <w:r w:rsidR="00D24101">
        <w:noBreakHyphen/>
      </w:r>
      <w:r>
        <w:t>resident foreign persons need to apply to buy new dwellings in Australia. Such proposals are normally approved without conditions.</w:t>
      </w:r>
    </w:p>
    <w:p w:rsidR="006E64CD" w:rsidRDefault="009B616E" w:rsidP="006E64CD">
      <w:pPr>
        <w:pStyle w:val="Heading5"/>
      </w:pPr>
      <w:r>
        <w:t>Vacant l</w:t>
      </w:r>
      <w:r w:rsidR="006E64CD">
        <w:t>and</w:t>
      </w:r>
    </w:p>
    <w:p w:rsidR="00D6117A" w:rsidRDefault="006E64CD">
      <w:r>
        <w:t>Non</w:t>
      </w:r>
      <w:r w:rsidR="00D24101">
        <w:noBreakHyphen/>
      </w:r>
      <w:r>
        <w:t>resident foreign persons need to apply to buy vacant land for residential development. These are normally approved subject to conditions (such as, that construction begins within 24 months).</w:t>
      </w:r>
    </w:p>
    <w:p w:rsidR="006E64CD" w:rsidRDefault="006E64CD">
      <w:pPr>
        <w:sectPr w:rsidR="006E64CD" w:rsidSect="002B4B90">
          <w:footerReference w:type="first" r:id="rId13"/>
          <w:footnotePr>
            <w:numStart w:val="11"/>
          </w:footnotePr>
          <w:type w:val="oddPage"/>
          <w:pgSz w:w="11907" w:h="16840" w:code="9"/>
          <w:pgMar w:top="2466" w:right="2098" w:bottom="2466" w:left="2098" w:header="1899" w:footer="1899" w:gutter="0"/>
          <w:cols w:space="720"/>
          <w:titlePg/>
          <w:docGrid w:linePitch="360"/>
        </w:sectPr>
      </w:pPr>
    </w:p>
    <w:p w:rsidR="00B0307D" w:rsidRDefault="00B0307D" w:rsidP="000F4E9F"/>
    <w:sectPr w:rsidR="00B0307D" w:rsidSect="00521062">
      <w:headerReference w:type="first" r:id="rId14"/>
      <w:footerReference w:type="first" r:id="rId15"/>
      <w:footnotePr>
        <w:numRestart w:val="eachSect"/>
      </w:footnotePr>
      <w:pgSz w:w="11907" w:h="16840" w:code="9"/>
      <w:pgMar w:top="2466" w:right="2098" w:bottom="2466" w:left="2098" w:header="1899" w:footer="18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127" w:rsidRDefault="006D2127">
      <w:r>
        <w:separator/>
      </w:r>
    </w:p>
  </w:endnote>
  <w:endnote w:type="continuationSeparator" w:id="0">
    <w:p w:rsidR="006D2127" w:rsidRDefault="006D2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Bold">
    <w:altName w:val="Times New Roman"/>
    <w:panose1 w:val="020B0704020202020204"/>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Swis721 Lt BT">
    <w:altName w:val="Microsoft YaHei"/>
    <w:charset w:val="00"/>
    <w:family w:val="swiss"/>
    <w:pitch w:val="variable"/>
    <w:sig w:usb0="00000001"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Palatino">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1F6" w:rsidRPr="003A0104" w:rsidRDefault="00605B03">
    <w:pPr>
      <w:pStyle w:val="FooterEven"/>
    </w:pPr>
    <w:r w:rsidRPr="003A0104">
      <w:fldChar w:fldCharType="begin"/>
    </w:r>
    <w:r w:rsidR="00B001F6" w:rsidRPr="003A0104">
      <w:instrText xml:space="preserve"> PAGE </w:instrText>
    </w:r>
    <w:r w:rsidRPr="003A0104">
      <w:fldChar w:fldCharType="separate"/>
    </w:r>
    <w:r w:rsidR="00A20CE6">
      <w:rPr>
        <w:noProof/>
      </w:rPr>
      <w:t>44</w:t>
    </w:r>
    <w:r w:rsidRPr="003A0104">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1F6" w:rsidRPr="003A0104" w:rsidRDefault="00605B03">
    <w:pPr>
      <w:pStyle w:val="FooterOdd"/>
    </w:pPr>
    <w:r w:rsidRPr="003A0104">
      <w:fldChar w:fldCharType="begin"/>
    </w:r>
    <w:r w:rsidR="00B001F6" w:rsidRPr="003A0104">
      <w:instrText xml:space="preserve"> PAGE </w:instrText>
    </w:r>
    <w:r w:rsidRPr="003A0104">
      <w:fldChar w:fldCharType="separate"/>
    </w:r>
    <w:r w:rsidR="00A20CE6">
      <w:rPr>
        <w:noProof/>
      </w:rPr>
      <w:t>45</w:t>
    </w:r>
    <w:r w:rsidRPr="003A0104">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B90" w:rsidRPr="00F238F8" w:rsidRDefault="002B4B90" w:rsidP="00F238F8">
    <w:pPr>
      <w:pStyle w:val="FooterOdd"/>
    </w:pPr>
    <w:r w:rsidRPr="00F238F8">
      <w:fldChar w:fldCharType="begin"/>
    </w:r>
    <w:r w:rsidRPr="00F238F8">
      <w:instrText xml:space="preserve"> PAGE </w:instrText>
    </w:r>
    <w:r w:rsidRPr="00F238F8">
      <w:fldChar w:fldCharType="separate"/>
    </w:r>
    <w:r w:rsidR="00A20CE6">
      <w:rPr>
        <w:noProof/>
      </w:rPr>
      <w:t>39</w:t>
    </w:r>
    <w:r w:rsidRPr="00F238F8">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1F6" w:rsidRPr="003A0104" w:rsidRDefault="00B001F6" w:rsidP="00926B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127" w:rsidRDefault="006D2127" w:rsidP="00F13927">
      <w:pPr>
        <w:spacing w:before="120" w:after="120" w:line="240" w:lineRule="auto"/>
      </w:pPr>
      <w:r>
        <w:separator/>
      </w:r>
    </w:p>
  </w:footnote>
  <w:footnote w:type="continuationSeparator" w:id="0">
    <w:p w:rsidR="006D2127" w:rsidRDefault="006D2127">
      <w:r>
        <w:continuationSeparator/>
      </w:r>
    </w:p>
  </w:footnote>
  <w:footnote w:id="1">
    <w:p w:rsidR="00B001F6" w:rsidRPr="00D20776" w:rsidRDefault="00B001F6" w:rsidP="00122C90">
      <w:pPr>
        <w:pStyle w:val="FootnoteText"/>
      </w:pPr>
      <w:r w:rsidRPr="0099443D">
        <w:rPr>
          <w:rStyle w:val="FootnoteReference"/>
          <w:rFonts w:ascii="Palatino" w:hAnsi="Palatino"/>
          <w:position w:val="2"/>
          <w:szCs w:val="18"/>
          <w:vertAlign w:val="baseline"/>
        </w:rPr>
        <w:footnoteRef/>
      </w:r>
      <w:r w:rsidRPr="0099443D">
        <w:rPr>
          <w:rStyle w:val="FootnoteReference"/>
          <w:rFonts w:ascii="Palatino" w:hAnsi="Palatino"/>
          <w:position w:val="2"/>
          <w:szCs w:val="18"/>
          <w:vertAlign w:val="baseline"/>
        </w:rPr>
        <w:t xml:space="preserve"> </w:t>
      </w:r>
      <w:r w:rsidRPr="0099443D">
        <w:rPr>
          <w:rStyle w:val="FootnoteReference"/>
          <w:rFonts w:ascii="Palatino" w:hAnsi="Palatino"/>
          <w:position w:val="2"/>
          <w:szCs w:val="18"/>
          <w:vertAlign w:val="baseline"/>
        </w:rPr>
        <w:tab/>
      </w:r>
      <w:r w:rsidRPr="00D20776">
        <w:rPr>
          <w:rStyle w:val="FootnoteReference"/>
          <w:position w:val="2"/>
          <w:szCs w:val="18"/>
          <w:vertAlign w:val="baseline"/>
        </w:rPr>
        <w:t xml:space="preserve">A substantial interest is defined by the </w:t>
      </w:r>
      <w:r>
        <w:rPr>
          <w:rStyle w:val="FootnoteReference"/>
          <w:position w:val="2"/>
          <w:szCs w:val="18"/>
          <w:vertAlign w:val="baseline"/>
        </w:rPr>
        <w:t>FATA</w:t>
      </w:r>
      <w:r w:rsidRPr="00D20776">
        <w:rPr>
          <w:rStyle w:val="FootnoteReference"/>
          <w:position w:val="2"/>
          <w:szCs w:val="18"/>
          <w:vertAlign w:val="baseline"/>
        </w:rPr>
        <w:t xml:space="preserve"> as where a person, alone or together with any</w:t>
      </w:r>
      <w:r w:rsidRPr="002F65FA">
        <w:rPr>
          <w:rStyle w:val="FootnoteReference"/>
          <w:position w:val="2"/>
          <w:szCs w:val="18"/>
          <w:vertAlign w:val="baseline"/>
        </w:rPr>
        <w:t xml:space="preserve"> </w:t>
      </w:r>
      <w:r w:rsidRPr="00D20776">
        <w:rPr>
          <w:rStyle w:val="FootnoteReference"/>
          <w:position w:val="2"/>
          <w:szCs w:val="18"/>
          <w:vertAlign w:val="baseline"/>
        </w:rPr>
        <w:t xml:space="preserve">associate(s), is in a </w:t>
      </w:r>
      <w:r w:rsidRPr="002F65FA">
        <w:rPr>
          <w:rStyle w:val="FootnoteReference"/>
          <w:position w:val="2"/>
          <w:szCs w:val="18"/>
          <w:vertAlign w:val="baseline"/>
        </w:rPr>
        <w:t>position to control not</w:t>
      </w:r>
      <w:r w:rsidRPr="00D20776">
        <w:rPr>
          <w:rStyle w:val="FootnoteReference"/>
          <w:position w:val="2"/>
          <w:szCs w:val="18"/>
          <w:vertAlign w:val="baseline"/>
        </w:rPr>
        <w:t xml:space="preserve"> less than 15</w:t>
      </w:r>
      <w:r>
        <w:rPr>
          <w:rStyle w:val="FootnoteReference"/>
          <w:position w:val="2"/>
          <w:szCs w:val="18"/>
          <w:vertAlign w:val="baseline"/>
        </w:rPr>
        <w:t xml:space="preserve"> </w:t>
      </w:r>
      <w:r w:rsidRPr="00D20776">
        <w:rPr>
          <w:rStyle w:val="FootnoteReference"/>
          <w:position w:val="2"/>
          <w:szCs w:val="18"/>
          <w:vertAlign w:val="baseline"/>
        </w:rPr>
        <w:t>per cent of the voting power</w:t>
      </w:r>
      <w:r w:rsidR="002F65FA">
        <w:rPr>
          <w:position w:val="2"/>
          <w:szCs w:val="18"/>
        </w:rPr>
        <w:t xml:space="preserve"> </w:t>
      </w:r>
      <w:r w:rsidRPr="002F65FA">
        <w:rPr>
          <w:rStyle w:val="FootnoteReference"/>
          <w:vertAlign w:val="baseline"/>
        </w:rPr>
        <w:t>or</w:t>
      </w:r>
      <w:r w:rsidR="002F65FA" w:rsidRPr="002F65FA">
        <w:rPr>
          <w:rStyle w:val="FootnoteReference"/>
          <w:vertAlign w:val="baseline"/>
        </w:rPr>
        <w:t xml:space="preserve"> </w:t>
      </w:r>
      <w:r w:rsidRPr="002F65FA">
        <w:rPr>
          <w:rStyle w:val="FootnoteReference"/>
          <w:vertAlign w:val="baseline"/>
        </w:rPr>
        <w:t>potential voting power,</w:t>
      </w:r>
      <w:r w:rsidRPr="00D20776">
        <w:rPr>
          <w:rStyle w:val="FootnoteReference"/>
          <w:position w:val="2"/>
          <w:szCs w:val="18"/>
          <w:vertAlign w:val="baseline"/>
        </w:rPr>
        <w:t xml:space="preserve"> or</w:t>
      </w:r>
      <w:r w:rsidRPr="002F65FA">
        <w:rPr>
          <w:rStyle w:val="FootnoteReference"/>
          <w:position w:val="2"/>
          <w:szCs w:val="18"/>
          <w:vertAlign w:val="baseline"/>
        </w:rPr>
        <w:t xml:space="preserve"> holds interests in not less than 15 per cent of the issued shares or rights to issued shares</w:t>
      </w:r>
      <w:r w:rsidR="002F65FA">
        <w:rPr>
          <w:position w:val="2"/>
          <w:szCs w:val="18"/>
        </w:rPr>
        <w:t xml:space="preserve">, </w:t>
      </w:r>
      <w:r w:rsidRPr="002F65FA">
        <w:rPr>
          <w:rStyle w:val="FootnoteReference"/>
          <w:position w:val="2"/>
          <w:szCs w:val="18"/>
          <w:vertAlign w:val="baseline"/>
        </w:rPr>
        <w:t>of a corporation</w:t>
      </w:r>
      <w:r w:rsidR="002F65FA">
        <w:rPr>
          <w:position w:val="2"/>
          <w:szCs w:val="18"/>
        </w:rPr>
        <w:t>.</w:t>
      </w:r>
      <w:r w:rsidRPr="00D20776">
        <w:t xml:space="preserve"> </w:t>
      </w:r>
    </w:p>
    <w:p w:rsidR="00B001F6" w:rsidRDefault="00B001F6" w:rsidP="00CF7CD8">
      <w:pPr>
        <w:pStyle w:val="FootnoteText"/>
        <w:spacing w:before="60"/>
      </w:pPr>
      <w:r>
        <w:tab/>
      </w:r>
      <w:r w:rsidRPr="00AA2818">
        <w:t xml:space="preserve">An aggregate substantial interest is where two or more persons together with any associate(s), </w:t>
      </w:r>
      <w:r>
        <w:t>are</w:t>
      </w:r>
      <w:r w:rsidRPr="00AA2818">
        <w:t xml:space="preserve"> in a position to control not less than </w:t>
      </w:r>
      <w:r>
        <w:t>40</w:t>
      </w:r>
      <w:r w:rsidRPr="00AA2818">
        <w:t> per cent of the voting power</w:t>
      </w:r>
      <w:r>
        <w:t xml:space="preserve"> or potential voting power,</w:t>
      </w:r>
      <w:r w:rsidRPr="00AA2818">
        <w:t xml:space="preserve"> or hold interests in not less than </w:t>
      </w:r>
      <w:r>
        <w:t>40</w:t>
      </w:r>
      <w:r w:rsidRPr="00AA2818">
        <w:t> per cent of the issued shares</w:t>
      </w:r>
      <w:r>
        <w:t xml:space="preserve"> or rights to issued shares</w:t>
      </w:r>
      <w:r w:rsidRPr="00AA2818">
        <w:t>, of a corpor</w:t>
      </w:r>
      <w:r>
        <w:t>ation.</w:t>
      </w:r>
    </w:p>
  </w:footnote>
  <w:footnote w:id="2">
    <w:p w:rsidR="00B001F6" w:rsidRPr="00AE3ABE" w:rsidRDefault="00B001F6" w:rsidP="00327672">
      <w:pPr>
        <w:pStyle w:val="FootnoteText"/>
        <w:spacing w:before="60"/>
      </w:pPr>
      <w:r w:rsidRPr="00166D48">
        <w:rPr>
          <w:rStyle w:val="FootnoteReference"/>
          <w:rFonts w:ascii="Palatino" w:hAnsi="Palatino"/>
          <w:position w:val="2"/>
          <w:szCs w:val="18"/>
          <w:vertAlign w:val="baseline"/>
        </w:rPr>
        <w:footnoteRef/>
      </w:r>
      <w:r w:rsidRPr="00166D48">
        <w:tab/>
        <w:t xml:space="preserve">The thresholds were increased in </w:t>
      </w:r>
      <w:r>
        <w:t xml:space="preserve">September </w:t>
      </w:r>
      <w:r w:rsidRPr="00166D48">
        <w:t>200</w:t>
      </w:r>
      <w:r>
        <w:t>9</w:t>
      </w:r>
      <w:r w:rsidRPr="00166D48">
        <w:t xml:space="preserve"> following a review </w:t>
      </w:r>
      <w:r>
        <w:t>of all thresholds</w:t>
      </w:r>
      <w:r w:rsidR="009B616E">
        <w:t>. US </w:t>
      </w:r>
      <w:r w:rsidRPr="00166D48">
        <w:t>investors are subject to different thresholds</w:t>
      </w:r>
      <w:r>
        <w:t>.</w:t>
      </w:r>
      <w:r w:rsidRPr="00166D48">
        <w:t xml:space="preserve"> </w:t>
      </w:r>
      <w:r>
        <w:t>The thresholds</w:t>
      </w:r>
      <w:r w:rsidRPr="00166D48">
        <w:t xml:space="preserve"> are indexed annually. </w:t>
      </w:r>
    </w:p>
  </w:footnote>
  <w:footnote w:id="3">
    <w:p w:rsidR="00B001F6" w:rsidRPr="00CE079D" w:rsidRDefault="00B001F6" w:rsidP="00B14CEB">
      <w:pPr>
        <w:pStyle w:val="FootnoteText"/>
        <w:spacing w:before="60"/>
        <w:rPr>
          <w:rStyle w:val="FootnoteReference"/>
          <w:position w:val="2"/>
          <w:szCs w:val="18"/>
          <w:vertAlign w:val="baseline"/>
        </w:rPr>
      </w:pPr>
      <w:r w:rsidRPr="00CE079D">
        <w:rPr>
          <w:rStyle w:val="FootnoteReference"/>
          <w:position w:val="2"/>
          <w:szCs w:val="18"/>
          <w:vertAlign w:val="baseline"/>
        </w:rPr>
        <w:footnoteRef/>
      </w:r>
      <w:r w:rsidRPr="00CE079D">
        <w:rPr>
          <w:rStyle w:val="FootnoteReference"/>
          <w:position w:val="2"/>
          <w:szCs w:val="18"/>
          <w:vertAlign w:val="baseline"/>
        </w:rPr>
        <w:t xml:space="preserve"> </w:t>
      </w:r>
      <w:r w:rsidRPr="00CE079D">
        <w:rPr>
          <w:rStyle w:val="FootnoteReference"/>
          <w:position w:val="2"/>
          <w:szCs w:val="18"/>
          <w:vertAlign w:val="baseline"/>
        </w:rPr>
        <w:tab/>
        <w:t>Australian urban land is defined as any land within Australia on which a primary production business is not being conducted. Consequently, this definition encompasses all land in Australia that is not being used for primary production, regardless of whether it is in an urban area.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1F6" w:rsidRPr="00A74688" w:rsidRDefault="00B001F6">
    <w:pPr>
      <w:pStyle w:val="HeaderEven"/>
    </w:pPr>
    <w:r w:rsidRPr="00A74688">
      <w:t>Foreign Investment</w:t>
    </w:r>
    <w:r>
      <w:t xml:space="preserve"> Review Board Annual Report 2009</w:t>
    </w:r>
    <w:r w:rsidRPr="00A74688">
      <w:t>-</w:t>
    </w:r>
    <w:r>
      <w:t>10</w:t>
    </w:r>
    <w:r w:rsidRPr="00A74688">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1F6" w:rsidRPr="00A74688" w:rsidRDefault="00B001F6">
    <w:pPr>
      <w:pStyle w:val="HeaderOdd"/>
    </w:pPr>
    <w:r w:rsidRPr="00A74688">
      <w:t xml:space="preserve">Chapter 3: Overview of the </w:t>
    </w:r>
    <w:r w:rsidRPr="00BE22CB">
      <w:rPr>
        <w:i/>
      </w:rPr>
      <w:t>Foreign Acquisitions and Takeovers Act 1975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E52" w:rsidRPr="00A74688" w:rsidRDefault="00A92E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F68FCE"/>
    <w:lvl w:ilvl="0">
      <w:start w:val="1"/>
      <w:numFmt w:val="decimal"/>
      <w:lvlText w:val="%1."/>
      <w:lvlJc w:val="left"/>
      <w:pPr>
        <w:tabs>
          <w:tab w:val="num" w:pos="1492"/>
        </w:tabs>
        <w:ind w:left="1492" w:hanging="360"/>
      </w:pPr>
    </w:lvl>
  </w:abstractNum>
  <w:abstractNum w:abstractNumId="1">
    <w:nsid w:val="FFFFFF7D"/>
    <w:multiLevelType w:val="singleLevel"/>
    <w:tmpl w:val="BD2AA960"/>
    <w:lvl w:ilvl="0">
      <w:start w:val="1"/>
      <w:numFmt w:val="decimal"/>
      <w:lvlText w:val="%1."/>
      <w:lvlJc w:val="left"/>
      <w:pPr>
        <w:tabs>
          <w:tab w:val="num" w:pos="1209"/>
        </w:tabs>
        <w:ind w:left="1209" w:hanging="360"/>
      </w:pPr>
    </w:lvl>
  </w:abstractNum>
  <w:abstractNum w:abstractNumId="2">
    <w:nsid w:val="FFFFFF7E"/>
    <w:multiLevelType w:val="singleLevel"/>
    <w:tmpl w:val="021686F8"/>
    <w:lvl w:ilvl="0">
      <w:start w:val="1"/>
      <w:numFmt w:val="decimal"/>
      <w:lvlText w:val="%1."/>
      <w:lvlJc w:val="left"/>
      <w:pPr>
        <w:tabs>
          <w:tab w:val="num" w:pos="926"/>
        </w:tabs>
        <w:ind w:left="926" w:hanging="360"/>
      </w:pPr>
    </w:lvl>
  </w:abstractNum>
  <w:abstractNum w:abstractNumId="3">
    <w:nsid w:val="FFFFFF7F"/>
    <w:multiLevelType w:val="singleLevel"/>
    <w:tmpl w:val="0B12EBAE"/>
    <w:lvl w:ilvl="0">
      <w:start w:val="1"/>
      <w:numFmt w:val="decimal"/>
      <w:lvlText w:val="%1."/>
      <w:lvlJc w:val="left"/>
      <w:pPr>
        <w:tabs>
          <w:tab w:val="num" w:pos="643"/>
        </w:tabs>
        <w:ind w:left="643" w:hanging="360"/>
      </w:pPr>
    </w:lvl>
  </w:abstractNum>
  <w:abstractNum w:abstractNumId="4">
    <w:nsid w:val="FFFFFF80"/>
    <w:multiLevelType w:val="singleLevel"/>
    <w:tmpl w:val="C6E6EC1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AA26B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A4C56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A7610C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53C8666"/>
    <w:lvl w:ilvl="0">
      <w:start w:val="1"/>
      <w:numFmt w:val="decimal"/>
      <w:lvlText w:val="%1."/>
      <w:lvlJc w:val="left"/>
      <w:pPr>
        <w:tabs>
          <w:tab w:val="num" w:pos="360"/>
        </w:tabs>
        <w:ind w:left="360" w:hanging="360"/>
      </w:pPr>
    </w:lvl>
  </w:abstractNum>
  <w:abstractNum w:abstractNumId="9">
    <w:nsid w:val="FFFFFF89"/>
    <w:multiLevelType w:val="singleLevel"/>
    <w:tmpl w:val="4AA2BC58"/>
    <w:lvl w:ilvl="0">
      <w:start w:val="1"/>
      <w:numFmt w:val="bullet"/>
      <w:lvlText w:val=""/>
      <w:lvlJc w:val="left"/>
      <w:pPr>
        <w:tabs>
          <w:tab w:val="num" w:pos="360"/>
        </w:tabs>
        <w:ind w:left="360" w:hanging="360"/>
      </w:pPr>
      <w:rPr>
        <w:rFonts w:ascii="Symbol" w:hAnsi="Symbol" w:hint="default"/>
      </w:rPr>
    </w:lvl>
  </w:abstractNum>
  <w:abstractNum w:abstractNumId="10">
    <w:nsid w:val="19C960FD"/>
    <w:multiLevelType w:val="multilevel"/>
    <w:tmpl w:val="9E2A2866"/>
    <w:name w:val="OneLevelNumberedParagraphList"/>
    <w:lvl w:ilvl="0">
      <w:start w:val="1"/>
      <w:numFmt w:val="decimal"/>
      <w:lvlRestart w:val="0"/>
      <w:pStyle w:val="OneLevelNumberedParagraph"/>
      <w:lvlText w:val="%1."/>
      <w:lvlJc w:val="left"/>
      <w:pPr>
        <w:tabs>
          <w:tab w:val="num" w:pos="567"/>
        </w:tabs>
        <w:ind w:left="567" w:hanging="567"/>
      </w:pPr>
      <w:rPr>
        <w:rFonts w:ascii="Times New Roman" w:hAnsi="Times New Roman" w:cs="Times New Roman"/>
        <w:b w:val="0"/>
        <w:i w:val="0"/>
        <w:color w:val="000000"/>
      </w:rPr>
    </w:lvl>
    <w:lvl w:ilvl="1">
      <w:start w:val="1"/>
      <w:numFmt w:val="decimal"/>
      <w:lvlText w:val="%2"/>
      <w:lvlJc w:val="left"/>
      <w:pPr>
        <w:tabs>
          <w:tab w:val="num" w:pos="1134"/>
        </w:tabs>
        <w:ind w:left="1134" w:hanging="567"/>
      </w:pPr>
      <w:rPr>
        <w:rFonts w:ascii="Times New Roman" w:hAnsi="Times New Roman" w:cs="Times New Roman"/>
        <w:b w:val="0"/>
        <w:i w:val="0"/>
        <w:color w:val="000000"/>
      </w:rPr>
    </w:lvl>
    <w:lvl w:ilvl="2">
      <w:start w:val="1"/>
      <w:numFmt w:val="decimal"/>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11">
    <w:nsid w:val="1FE95BE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0B16FCB"/>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2D33F1C"/>
    <w:multiLevelType w:val="multilevel"/>
    <w:tmpl w:val="EB4E983C"/>
    <w:lvl w:ilvl="0">
      <w:start w:val="1"/>
      <w:numFmt w:val="decimal"/>
      <w:lvlRestart w:val="0"/>
      <w:lvlText w:val="%1."/>
      <w:lvlJc w:val="left"/>
      <w:pPr>
        <w:tabs>
          <w:tab w:val="num" w:pos="567"/>
        </w:tabs>
        <w:ind w:left="567" w:hanging="567"/>
      </w:pPr>
      <w:rPr>
        <w:rFonts w:ascii="Arial" w:hAnsi="Arial" w:cs="Arial"/>
        <w:b/>
        <w:i w:val="0"/>
        <w:color w:val="F8981D"/>
        <w:sz w:val="24"/>
      </w:rPr>
    </w:lvl>
    <w:lvl w:ilvl="1">
      <w:start w:val="1"/>
      <w:numFmt w:val="upperLetter"/>
      <w:lvlText w:val="%2"/>
      <w:lvlJc w:val="left"/>
      <w:pPr>
        <w:tabs>
          <w:tab w:val="num" w:pos="567"/>
        </w:tabs>
        <w:ind w:left="567" w:hanging="567"/>
      </w:pPr>
      <w:rPr>
        <w:rFonts w:ascii="Arial" w:hAnsi="Arial" w:cs="Arial"/>
        <w:b/>
        <w:i w:val="0"/>
        <w:color w:val="F8981D"/>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4">
    <w:nsid w:val="236A5BB3"/>
    <w:multiLevelType w:val="multilevel"/>
    <w:tmpl w:val="FA9E4CAC"/>
    <w:lvl w:ilvl="0">
      <w:start w:val="1"/>
      <w:numFmt w:val="decimal"/>
      <w:lvlRestart w:val="0"/>
      <w:lvlText w:val="%1."/>
      <w:lvlJc w:val="left"/>
      <w:pPr>
        <w:tabs>
          <w:tab w:val="num" w:pos="567"/>
        </w:tabs>
        <w:ind w:left="567" w:hanging="567"/>
      </w:pPr>
      <w:rPr>
        <w:b w:val="0"/>
        <w:i w:val="0"/>
      </w:rPr>
    </w:lvl>
    <w:lvl w:ilvl="1">
      <w:start w:val="1"/>
      <w:numFmt w:val="decimal"/>
      <w:lvlText w:val="%1.%2."/>
      <w:lvlJc w:val="left"/>
      <w:pPr>
        <w:tabs>
          <w:tab w:val="num" w:pos="1134"/>
        </w:tabs>
        <w:ind w:left="1134" w:hanging="567"/>
      </w:pPr>
      <w:rPr>
        <w:b w:val="0"/>
        <w:i w:val="0"/>
      </w:rPr>
    </w:lvl>
    <w:lvl w:ilvl="2">
      <w:start w:val="1"/>
      <w:numFmt w:val="decimal"/>
      <w:lvlText w:val="%1.%2.%3."/>
      <w:lvlJc w:val="left"/>
      <w:pPr>
        <w:tabs>
          <w:tab w:val="num" w:pos="1701"/>
        </w:tabs>
        <w:ind w:left="1701" w:hanging="567"/>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5">
    <w:nsid w:val="244237C5"/>
    <w:multiLevelType w:val="multilevel"/>
    <w:tmpl w:val="F0BE3518"/>
    <w:name w:val="StandardNumberedList"/>
    <w:lvl w:ilvl="0">
      <w:start w:val="1"/>
      <w:numFmt w:val="decimal"/>
      <w:lvlRestart w:val="0"/>
      <w:pStyle w:val="OutlineNumbered1"/>
      <w:lvlText w:val="%1."/>
      <w:lvlJc w:val="left"/>
      <w:pPr>
        <w:tabs>
          <w:tab w:val="num" w:pos="567"/>
        </w:tabs>
        <w:ind w:left="567" w:hanging="567"/>
      </w:pPr>
      <w:rPr>
        <w:b w:val="0"/>
        <w:i w:val="0"/>
      </w:rPr>
    </w:lvl>
    <w:lvl w:ilvl="1">
      <w:start w:val="1"/>
      <w:numFmt w:val="decimal"/>
      <w:pStyle w:val="OutlineNumbered2"/>
      <w:lvlText w:val="%1.%2."/>
      <w:lvlJc w:val="left"/>
      <w:pPr>
        <w:tabs>
          <w:tab w:val="num" w:pos="1134"/>
        </w:tabs>
        <w:ind w:left="1134" w:hanging="567"/>
      </w:pPr>
      <w:rPr>
        <w:b w:val="0"/>
        <w:i w:val="0"/>
      </w:rPr>
    </w:lvl>
    <w:lvl w:ilvl="2">
      <w:start w:val="1"/>
      <w:numFmt w:val="decimal"/>
      <w:pStyle w:val="OutlineNumbered3"/>
      <w:lvlText w:val="%1.%2.%3."/>
      <w:lvlJc w:val="left"/>
      <w:pPr>
        <w:tabs>
          <w:tab w:val="num" w:pos="1701"/>
        </w:tabs>
        <w:ind w:left="1701" w:hanging="567"/>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6">
    <w:nsid w:val="27440C8B"/>
    <w:multiLevelType w:val="multilevel"/>
    <w:tmpl w:val="9560F99E"/>
    <w:name w:val="StandardBulletedList_"/>
    <w:lvl w:ilvl="0">
      <w:start w:val="1"/>
      <w:numFmt w:val="bullet"/>
      <w:lvlRestart w:val="0"/>
      <w:pStyle w:val="Bullet"/>
      <w:lvlText w:val="•"/>
      <w:lvlJc w:val="left"/>
      <w:pPr>
        <w:tabs>
          <w:tab w:val="num" w:pos="283"/>
        </w:tabs>
        <w:ind w:left="283" w:hanging="283"/>
      </w:pPr>
      <w:rPr>
        <w:rFonts w:ascii="Times New Roman" w:hAnsi="Times New Roman" w:cs="Times New Roman"/>
        <w:b w:val="0"/>
        <w:i w:val="0"/>
      </w:rPr>
    </w:lvl>
    <w:lvl w:ilvl="1">
      <w:start w:val="1"/>
      <w:numFmt w:val="bullet"/>
      <w:pStyle w:val="Dash"/>
      <w:lvlText w:val="–"/>
      <w:lvlJc w:val="left"/>
      <w:pPr>
        <w:tabs>
          <w:tab w:val="num" w:pos="567"/>
        </w:tabs>
        <w:ind w:left="567" w:hanging="284"/>
      </w:pPr>
      <w:rPr>
        <w:rFonts w:ascii="Times New Roman" w:hAnsi="Times New Roman" w:cs="Times New Roman"/>
        <w:b w:val="0"/>
        <w:i w:val="0"/>
      </w:rPr>
    </w:lvl>
    <w:lvl w:ilvl="2">
      <w:start w:val="1"/>
      <w:numFmt w:val="bullet"/>
      <w:pStyle w:val="DoubleDot"/>
      <w:lvlText w:val=":"/>
      <w:lvlJc w:val="left"/>
      <w:pPr>
        <w:tabs>
          <w:tab w:val="num" w:pos="850"/>
        </w:tabs>
        <w:ind w:left="850" w:hanging="283"/>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7">
    <w:nsid w:val="2BEA786A"/>
    <w:multiLevelType w:val="multilevel"/>
    <w:tmpl w:val="A8EE4E54"/>
    <w:name w:val="AppendixAHeadingsNoItalics"/>
    <w:lvl w:ilvl="0">
      <w:start w:val="1"/>
      <w:numFmt w:val="decimal"/>
      <w:lvlRestart w:val="0"/>
      <w:pStyle w:val="AppendixAHeading3NotItalic"/>
      <w:lvlText w:val="%1."/>
      <w:lvlJc w:val="left"/>
      <w:pPr>
        <w:tabs>
          <w:tab w:val="num" w:pos="567"/>
        </w:tabs>
        <w:ind w:left="567" w:hanging="567"/>
      </w:pPr>
      <w:rPr>
        <w:rFonts w:ascii="Arial" w:hAnsi="Arial" w:cs="Arial"/>
        <w:b/>
        <w:i w:val="0"/>
        <w:color w:val="2B7C32"/>
        <w:sz w:val="24"/>
      </w:rPr>
    </w:lvl>
    <w:lvl w:ilvl="1">
      <w:start w:val="1"/>
      <w:numFmt w:val="upperLetter"/>
      <w:pStyle w:val="AppendixAHeading4"/>
      <w:lvlText w:val="%2"/>
      <w:lvlJc w:val="left"/>
      <w:pPr>
        <w:tabs>
          <w:tab w:val="num" w:pos="567"/>
        </w:tabs>
        <w:ind w:left="0" w:firstLine="0"/>
      </w:pPr>
      <w:rPr>
        <w:rFonts w:ascii="Arial" w:hAnsi="Arial" w:cs="Arial"/>
        <w:b/>
        <w:i w:val="0"/>
        <w:color w:val="2B7C32"/>
        <w:sz w:val="2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8">
    <w:nsid w:val="2C723F30"/>
    <w:multiLevelType w:val="singleLevel"/>
    <w:tmpl w:val="1430D9F2"/>
    <w:name w:val="StandardNumberedParagraphList"/>
    <w:lvl w:ilvl="0">
      <w:start w:val="2"/>
      <w:numFmt w:val="decimal"/>
      <w:pStyle w:val="NumberedParagraph"/>
      <w:lvlText w:val="%1."/>
      <w:lvlJc w:val="left"/>
      <w:pPr>
        <w:tabs>
          <w:tab w:val="num" w:pos="567"/>
        </w:tabs>
        <w:ind w:left="0" w:firstLine="0"/>
      </w:pPr>
    </w:lvl>
  </w:abstractNum>
  <w:abstractNum w:abstractNumId="19">
    <w:nsid w:val="2D665DFA"/>
    <w:multiLevelType w:val="singleLevel"/>
    <w:tmpl w:val="106079EE"/>
    <w:lvl w:ilvl="0">
      <w:start w:val="1"/>
      <w:numFmt w:val="lowerLetter"/>
      <w:lvlRestart w:val="0"/>
      <w:pStyle w:val="AlphaParagraph"/>
      <w:lvlText w:val="(%1)"/>
      <w:lvlJc w:val="left"/>
      <w:pPr>
        <w:tabs>
          <w:tab w:val="num" w:pos="1134"/>
        </w:tabs>
        <w:ind w:left="1134" w:hanging="567"/>
      </w:pPr>
      <w:rPr>
        <w:rFonts w:ascii="Book Antiqua" w:hAnsi="Book Antiqua"/>
        <w:b w:val="0"/>
        <w:i w:val="0"/>
        <w:sz w:val="20"/>
      </w:rPr>
    </w:lvl>
  </w:abstractNum>
  <w:abstractNum w:abstractNumId="20">
    <w:nsid w:val="312C1B26"/>
    <w:multiLevelType w:val="multilevel"/>
    <w:tmpl w:val="05ECB0F6"/>
    <w:name w:val="AppendixAHeading3"/>
    <w:lvl w:ilvl="0">
      <w:start w:val="1"/>
      <w:numFmt w:val="decimal"/>
      <w:lvlRestart w:val="0"/>
      <w:pStyle w:val="AppendixAHeading3"/>
      <w:lvlText w:val="%1."/>
      <w:lvlJc w:val="left"/>
      <w:pPr>
        <w:tabs>
          <w:tab w:val="num" w:pos="567"/>
        </w:tabs>
        <w:ind w:left="567" w:hanging="567"/>
      </w:pPr>
      <w:rPr>
        <w:rFonts w:ascii="Arial" w:hAnsi="Arial" w:cs="Arial"/>
        <w:b/>
        <w:i w:val="0"/>
        <w:color w:val="2B7C32"/>
        <w:sz w:val="24"/>
      </w:rPr>
    </w:lvl>
    <w:lvl w:ilvl="1">
      <w:start w:val="1"/>
      <w:numFmt w:val="decimal"/>
      <w:lvlText w:val="%2"/>
      <w:lvlJc w:val="left"/>
      <w:pPr>
        <w:tabs>
          <w:tab w:val="num" w:pos="1134"/>
        </w:tabs>
        <w:ind w:left="1134" w:hanging="567"/>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21">
    <w:nsid w:val="349D1A70"/>
    <w:multiLevelType w:val="singleLevel"/>
    <w:tmpl w:val="90D2452A"/>
    <w:lvl w:ilvl="0">
      <w:start w:val="1"/>
      <w:numFmt w:val="upperRoman"/>
      <w:lvlRestart w:val="0"/>
      <w:lvlText w:val="%1."/>
      <w:lvlJc w:val="left"/>
      <w:pPr>
        <w:tabs>
          <w:tab w:val="num" w:pos="283"/>
        </w:tabs>
        <w:ind w:left="283" w:hanging="283"/>
      </w:pPr>
      <w:rPr>
        <w:rFonts w:ascii="Arial Bold" w:hAnsi="Arial Bold" w:cs="Arial" w:hint="default"/>
        <w:b/>
        <w:i w:val="0"/>
        <w:color w:val="22529E"/>
        <w:sz w:val="22"/>
        <w:szCs w:val="22"/>
      </w:rPr>
    </w:lvl>
  </w:abstractNum>
  <w:abstractNum w:abstractNumId="22">
    <w:nsid w:val="3C857931"/>
    <w:multiLevelType w:val="singleLevel"/>
    <w:tmpl w:val="64462D2E"/>
    <w:lvl w:ilvl="0">
      <w:start w:val="1"/>
      <w:numFmt w:val="upperRoman"/>
      <w:lvlRestart w:val="0"/>
      <w:pStyle w:val="AppendixGHeading3"/>
      <w:lvlText w:val="%1."/>
      <w:lvlJc w:val="left"/>
      <w:pPr>
        <w:tabs>
          <w:tab w:val="num" w:pos="567"/>
        </w:tabs>
        <w:ind w:left="567" w:hanging="567"/>
      </w:pPr>
      <w:rPr>
        <w:rFonts w:ascii="Arial" w:hAnsi="Arial" w:cs="Arial"/>
        <w:b/>
        <w:i w:val="0"/>
        <w:sz w:val="22"/>
      </w:rPr>
    </w:lvl>
  </w:abstractNum>
  <w:abstractNum w:abstractNumId="23">
    <w:nsid w:val="418B22D4"/>
    <w:multiLevelType w:val="singleLevel"/>
    <w:tmpl w:val="0C09000F"/>
    <w:lvl w:ilvl="0">
      <w:start w:val="1"/>
      <w:numFmt w:val="decimal"/>
      <w:lvlText w:val="%1."/>
      <w:lvlJc w:val="left"/>
      <w:pPr>
        <w:tabs>
          <w:tab w:val="num" w:pos="720"/>
        </w:tabs>
        <w:ind w:left="720" w:hanging="360"/>
      </w:pPr>
    </w:lvl>
  </w:abstractNum>
  <w:abstractNum w:abstractNumId="24">
    <w:nsid w:val="4BEE3F5E"/>
    <w:multiLevelType w:val="multilevel"/>
    <w:tmpl w:val="DA00C22E"/>
    <w:lvl w:ilvl="0">
      <w:start w:val="1"/>
      <w:numFmt w:val="decimal"/>
      <w:lvlRestart w:val="0"/>
      <w:lvlText w:val="%1."/>
      <w:lvlJc w:val="left"/>
      <w:pPr>
        <w:tabs>
          <w:tab w:val="num" w:pos="567"/>
        </w:tabs>
        <w:ind w:left="567" w:hanging="567"/>
      </w:pPr>
      <w:rPr>
        <w:rFonts w:ascii="Arial" w:hAnsi="Arial" w:cs="Arial"/>
        <w:b/>
        <w:i/>
        <w:color w:val="F8981D"/>
        <w:sz w:val="24"/>
      </w:rPr>
    </w:lvl>
    <w:lvl w:ilvl="1">
      <w:start w:val="1"/>
      <w:numFmt w:val="decimal"/>
      <w:lvlText w:val="%2"/>
      <w:lvlJc w:val="left"/>
      <w:pPr>
        <w:tabs>
          <w:tab w:val="num" w:pos="1134"/>
        </w:tabs>
        <w:ind w:left="1134" w:hanging="567"/>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25">
    <w:nsid w:val="4CE06931"/>
    <w:multiLevelType w:val="singleLevel"/>
    <w:tmpl w:val="4366EF18"/>
    <w:name w:val="ChartTableFootnoteAlpha"/>
    <w:lvl w:ilvl="0">
      <w:start w:val="1"/>
      <w:numFmt w:val="lowerLetter"/>
      <w:lvlRestart w:val="0"/>
      <w:pStyle w:val="ChartandTableFootnoteAlpha"/>
      <w:lvlText w:val="(%1)"/>
      <w:lvlJc w:val="left"/>
      <w:pPr>
        <w:tabs>
          <w:tab w:val="num" w:pos="283"/>
        </w:tabs>
        <w:ind w:left="283" w:hanging="283"/>
      </w:pPr>
      <w:rPr>
        <w:rFonts w:ascii="Arial" w:hAnsi="Arial" w:cs="Arial" w:hint="default"/>
        <w:b w:val="0"/>
        <w:i w:val="0"/>
        <w:sz w:val="16"/>
      </w:rPr>
    </w:lvl>
  </w:abstractNum>
  <w:abstractNum w:abstractNumId="26">
    <w:nsid w:val="51FC68E7"/>
    <w:multiLevelType w:val="multilevel"/>
    <w:tmpl w:val="0220E126"/>
    <w:lvl w:ilvl="0">
      <w:start w:val="1"/>
      <w:numFmt w:val="upperLetter"/>
      <w:lvlRestart w:val="0"/>
      <w:suff w:val="nothing"/>
      <w:lvlText w:val=""/>
      <w:lvlJc w:val="left"/>
      <w:pPr>
        <w:ind w:left="0" w:firstLine="0"/>
      </w:pPr>
      <w:rPr>
        <w:rFonts w:ascii="Arial" w:hAnsi="Arial" w:cs="Arial" w:hint="default"/>
        <w:b/>
        <w:i w:val="0"/>
        <w:color w:val="000080"/>
        <w:sz w:val="20"/>
      </w:rPr>
    </w:lvl>
    <w:lvl w:ilvl="1">
      <w:start w:val="1"/>
      <w:numFmt w:val="upperLetter"/>
      <w:lvlText w:val="%2%1."/>
      <w:lvlJc w:val="left"/>
      <w:pPr>
        <w:tabs>
          <w:tab w:val="num" w:pos="283"/>
        </w:tabs>
        <w:ind w:left="283" w:hanging="283"/>
      </w:pPr>
      <w:rPr>
        <w:rFonts w:ascii="Helvetica" w:hAnsi="Helvetica" w:cs="Arial" w:hint="default"/>
        <w:b w:val="0"/>
        <w:i w:val="0"/>
        <w:color w:val="8BAF2E"/>
        <w:sz w:val="20"/>
        <w:szCs w:val="20"/>
      </w:rPr>
    </w:lvl>
    <w:lvl w:ilvl="2">
      <w:start w:val="1"/>
      <w:numFmt w:val="decimal"/>
      <w:lvlText w:val="%3"/>
      <w:lvlJc w:val="left"/>
      <w:pPr>
        <w:tabs>
          <w:tab w:val="num" w:pos="1701"/>
        </w:tabs>
        <w:ind w:left="1701" w:hanging="567"/>
      </w:pPr>
      <w:rPr>
        <w:rFonts w:hint="default"/>
        <w:b w:val="0"/>
        <w:i w:val="0"/>
        <w:color w:val="000000"/>
      </w:rPr>
    </w:lvl>
    <w:lvl w:ilvl="3">
      <w:start w:val="1"/>
      <w:numFmt w:val="decimal"/>
      <w:lvlText w:val="%4"/>
      <w:lvlJc w:val="left"/>
      <w:pPr>
        <w:tabs>
          <w:tab w:val="num" w:pos="2268"/>
        </w:tabs>
        <w:ind w:left="2268" w:hanging="567"/>
      </w:pPr>
      <w:rPr>
        <w:rFonts w:ascii="Helvetica" w:hAnsi="Helvetica" w:hint="default"/>
        <w:b w:val="0"/>
        <w:i w:val="0"/>
        <w:color w:val="F8981D"/>
      </w:rPr>
    </w:lvl>
    <w:lvl w:ilvl="4">
      <w:start w:val="1"/>
      <w:numFmt w:val="decimal"/>
      <w:lvlText w:val="%5"/>
      <w:lvlJc w:val="left"/>
      <w:pPr>
        <w:tabs>
          <w:tab w:val="num" w:pos="2835"/>
        </w:tabs>
        <w:ind w:left="2835" w:hanging="567"/>
      </w:pPr>
      <w:rPr>
        <w:rFonts w:hint="default"/>
        <w:b w:val="0"/>
        <w:i w:val="0"/>
        <w:color w:val="000000"/>
      </w:rPr>
    </w:lvl>
    <w:lvl w:ilvl="5">
      <w:start w:val="1"/>
      <w:numFmt w:val="decimal"/>
      <w:lvlText w:val="%6"/>
      <w:lvlJc w:val="left"/>
      <w:pPr>
        <w:tabs>
          <w:tab w:val="num" w:pos="3402"/>
        </w:tabs>
        <w:ind w:left="3402" w:hanging="567"/>
      </w:pPr>
      <w:rPr>
        <w:rFonts w:hint="default"/>
        <w:b w:val="0"/>
        <w:i w:val="0"/>
        <w:color w:val="000000"/>
      </w:rPr>
    </w:lvl>
    <w:lvl w:ilvl="6">
      <w:start w:val="1"/>
      <w:numFmt w:val="decimal"/>
      <w:lvlText w:val="%7"/>
      <w:lvlJc w:val="left"/>
      <w:pPr>
        <w:tabs>
          <w:tab w:val="num" w:pos="3969"/>
        </w:tabs>
        <w:ind w:left="3969" w:hanging="567"/>
      </w:pPr>
      <w:rPr>
        <w:rFonts w:hint="default"/>
        <w:b w:val="0"/>
        <w:i w:val="0"/>
        <w:color w:val="000000"/>
      </w:rPr>
    </w:lvl>
    <w:lvl w:ilvl="7">
      <w:start w:val="1"/>
      <w:numFmt w:val="decimal"/>
      <w:lvlText w:val="%8"/>
      <w:lvlJc w:val="left"/>
      <w:pPr>
        <w:tabs>
          <w:tab w:val="num" w:pos="4536"/>
        </w:tabs>
        <w:ind w:left="4536" w:hanging="567"/>
      </w:pPr>
      <w:rPr>
        <w:rFonts w:hint="default"/>
        <w:b w:val="0"/>
        <w:i w:val="0"/>
        <w:color w:val="000000"/>
      </w:rPr>
    </w:lvl>
    <w:lvl w:ilvl="8">
      <w:start w:val="1"/>
      <w:numFmt w:val="decimal"/>
      <w:lvlText w:val="%9"/>
      <w:lvlJc w:val="left"/>
      <w:pPr>
        <w:tabs>
          <w:tab w:val="num" w:pos="5103"/>
        </w:tabs>
        <w:ind w:left="5103" w:hanging="567"/>
      </w:pPr>
      <w:rPr>
        <w:rFonts w:hint="default"/>
        <w:b w:val="0"/>
        <w:i w:val="0"/>
        <w:color w:val="000000"/>
      </w:rPr>
    </w:lvl>
  </w:abstractNum>
  <w:abstractNum w:abstractNumId="27">
    <w:nsid w:val="535357C1"/>
    <w:multiLevelType w:val="singleLevel"/>
    <w:tmpl w:val="0C09000F"/>
    <w:lvl w:ilvl="0">
      <w:start w:val="1"/>
      <w:numFmt w:val="decimal"/>
      <w:lvlText w:val="%1."/>
      <w:lvlJc w:val="left"/>
      <w:pPr>
        <w:tabs>
          <w:tab w:val="num" w:pos="720"/>
        </w:tabs>
        <w:ind w:left="720" w:hanging="360"/>
      </w:pPr>
    </w:lvl>
  </w:abstractNum>
  <w:abstractNum w:abstractNumId="28">
    <w:nsid w:val="58101827"/>
    <w:multiLevelType w:val="multilevel"/>
    <w:tmpl w:val="072C6E52"/>
    <w:name w:val="BoxBulletedList"/>
    <w:lvl w:ilvl="0">
      <w:start w:val="1"/>
      <w:numFmt w:val="bullet"/>
      <w:lvlRestart w:val="0"/>
      <w:pStyle w:val="BoxBullet"/>
      <w:lvlText w:val="•"/>
      <w:lvlJc w:val="left"/>
      <w:pPr>
        <w:tabs>
          <w:tab w:val="num" w:pos="283"/>
        </w:tabs>
        <w:ind w:left="283" w:hanging="283"/>
      </w:pPr>
      <w:rPr>
        <w:rFonts w:ascii="Times New Roman" w:hAnsi="Times New Roman" w:cs="Times New Roman"/>
        <w:b w:val="0"/>
        <w:i w:val="0"/>
        <w:sz w:val="20"/>
      </w:rPr>
    </w:lvl>
    <w:lvl w:ilvl="1">
      <w:start w:val="1"/>
      <w:numFmt w:val="bullet"/>
      <w:pStyle w:val="BoxDash"/>
      <w:lvlText w:val="–"/>
      <w:lvlJc w:val="left"/>
      <w:pPr>
        <w:tabs>
          <w:tab w:val="num" w:pos="567"/>
        </w:tabs>
        <w:ind w:left="567" w:hanging="284"/>
      </w:pPr>
      <w:rPr>
        <w:b w:val="0"/>
        <w:i w:val="0"/>
      </w:rPr>
    </w:lvl>
    <w:lvl w:ilvl="2">
      <w:start w:val="1"/>
      <w:numFmt w:val="bullet"/>
      <w:pStyle w:val="Box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29">
    <w:nsid w:val="581A16EA"/>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5E0A6F8D"/>
    <w:multiLevelType w:val="multilevel"/>
    <w:tmpl w:val="51941ED6"/>
    <w:name w:val="RecommendationBulletedList"/>
    <w:lvl w:ilvl="0">
      <w:start w:val="1"/>
      <w:numFmt w:val="bullet"/>
      <w:lvlRestart w:val="0"/>
      <w:pStyle w:val="RecommendationBullet"/>
      <w:lvlText w:val="•"/>
      <w:lvlJc w:val="left"/>
      <w:pPr>
        <w:tabs>
          <w:tab w:val="num" w:pos="283"/>
        </w:tabs>
        <w:ind w:left="283" w:hanging="283"/>
      </w:pPr>
      <w:rPr>
        <w:b w:val="0"/>
        <w:i w:val="0"/>
      </w:rPr>
    </w:lvl>
    <w:lvl w:ilvl="1">
      <w:start w:val="1"/>
      <w:numFmt w:val="bullet"/>
      <w:pStyle w:val="RecommendationDash"/>
      <w:lvlText w:val="–"/>
      <w:lvlJc w:val="left"/>
      <w:pPr>
        <w:tabs>
          <w:tab w:val="num" w:pos="567"/>
        </w:tabs>
        <w:ind w:left="567" w:hanging="284"/>
      </w:pPr>
      <w:rPr>
        <w:b w:val="0"/>
        <w:i w:val="0"/>
      </w:rPr>
    </w:lvl>
    <w:lvl w:ilvl="2">
      <w:start w:val="1"/>
      <w:numFmt w:val="bullet"/>
      <w:pStyle w:val="Recommendation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31">
    <w:nsid w:val="65FB0D17"/>
    <w:multiLevelType w:val="singleLevel"/>
    <w:tmpl w:val="0C09000F"/>
    <w:lvl w:ilvl="0">
      <w:start w:val="1"/>
      <w:numFmt w:val="decimal"/>
      <w:lvlText w:val="%1."/>
      <w:lvlJc w:val="left"/>
      <w:pPr>
        <w:tabs>
          <w:tab w:val="num" w:pos="720"/>
        </w:tabs>
        <w:ind w:left="720" w:hanging="360"/>
      </w:pPr>
    </w:lvl>
  </w:abstractNum>
  <w:abstractNum w:abstractNumId="32">
    <w:nsid w:val="68ED0AC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E186C1A"/>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78663746"/>
    <w:multiLevelType w:val="multilevel"/>
    <w:tmpl w:val="2DB61A66"/>
    <w:lvl w:ilvl="0">
      <w:start w:val="1"/>
      <w:numFmt w:val="bullet"/>
      <w:lvlText w:val="•"/>
      <w:lvlJc w:val="left"/>
      <w:pPr>
        <w:tabs>
          <w:tab w:val="num" w:pos="472"/>
        </w:tabs>
        <w:ind w:left="472" w:hanging="472"/>
      </w:pPr>
      <w:rPr>
        <w:rFonts w:ascii="Times New Roman" w:hAnsi="Times New Roman" w:cs="Times New Roman"/>
      </w:rPr>
    </w:lvl>
    <w:lvl w:ilvl="1">
      <w:start w:val="1"/>
      <w:numFmt w:val="bullet"/>
      <w:lvlText w:val="–"/>
      <w:lvlJc w:val="left"/>
      <w:pPr>
        <w:tabs>
          <w:tab w:val="num" w:pos="944"/>
        </w:tabs>
        <w:ind w:left="944" w:hanging="472"/>
      </w:pPr>
      <w:rPr>
        <w:rFonts w:ascii="Times New Roman" w:hAnsi="Times New Roman" w:cs="Times New Roman"/>
      </w:rPr>
    </w:lvl>
    <w:lvl w:ilvl="2">
      <w:start w:val="1"/>
      <w:numFmt w:val="bullet"/>
      <w:lvlText w:val=":"/>
      <w:lvlJc w:val="left"/>
      <w:pPr>
        <w:tabs>
          <w:tab w:val="num" w:pos="1416"/>
        </w:tabs>
        <w:ind w:left="1416" w:hanging="472"/>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79214AAE"/>
    <w:multiLevelType w:val="hybridMultilevel"/>
    <w:tmpl w:val="557CEA80"/>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5"/>
  </w:num>
  <w:num w:numId="3">
    <w:abstractNumId w:val="19"/>
  </w:num>
  <w:num w:numId="4">
    <w:abstractNumId w:val="25"/>
  </w:num>
  <w:num w:numId="5">
    <w:abstractNumId w:val="14"/>
  </w:num>
  <w:num w:numId="6">
    <w:abstractNumId w:val="14"/>
  </w:num>
  <w:num w:numId="7">
    <w:abstractNumId w:val="14"/>
  </w:num>
  <w:num w:numId="8">
    <w:abstractNumId w:val="34"/>
  </w:num>
  <w:num w:numId="9">
    <w:abstractNumId w:val="28"/>
  </w:num>
  <w:num w:numId="10">
    <w:abstractNumId w:val="10"/>
  </w:num>
  <w:num w:numId="11">
    <w:abstractNumId w:val="30"/>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26"/>
  </w:num>
  <w:num w:numId="23">
    <w:abstractNumId w:val="21"/>
  </w:num>
  <w:num w:numId="24">
    <w:abstractNumId w:val="18"/>
  </w:num>
  <w:num w:numId="25">
    <w:abstractNumId w:val="32"/>
  </w:num>
  <w:num w:numId="26">
    <w:abstractNumId w:val="11"/>
  </w:num>
  <w:num w:numId="27">
    <w:abstractNumId w:val="33"/>
  </w:num>
  <w:num w:numId="28">
    <w:abstractNumId w:val="29"/>
  </w:num>
  <w:num w:numId="29">
    <w:abstractNumId w:val="22"/>
  </w:num>
  <w:num w:numId="30">
    <w:abstractNumId w:val="12"/>
  </w:num>
  <w:num w:numId="31">
    <w:abstractNumId w:val="24"/>
  </w:num>
  <w:num w:numId="32">
    <w:abstractNumId w:val="13"/>
  </w:num>
  <w:num w:numId="33">
    <w:abstractNumId w:val="35"/>
  </w:num>
  <w:num w:numId="34">
    <w:abstractNumId w:val="16"/>
  </w:num>
  <w:num w:numId="35">
    <w:abstractNumId w:val="20"/>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12290"/>
  </w:hdrShapeDefaults>
  <w:footnotePr>
    <w:numStart w:val="11"/>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0E60CD6A-4E95-4A09-99EE-8F7FB2035F99}"/>
    <w:docVar w:name="dgnword-eventsink" w:val="11530488"/>
  </w:docVars>
  <w:rsids>
    <w:rsidRoot w:val="004A3C1E"/>
    <w:rsid w:val="0000063B"/>
    <w:rsid w:val="0000380D"/>
    <w:rsid w:val="00007C3B"/>
    <w:rsid w:val="00017F87"/>
    <w:rsid w:val="00020A2C"/>
    <w:rsid w:val="000232E9"/>
    <w:rsid w:val="00040675"/>
    <w:rsid w:val="00051387"/>
    <w:rsid w:val="00054274"/>
    <w:rsid w:val="00057C06"/>
    <w:rsid w:val="0007645E"/>
    <w:rsid w:val="00082600"/>
    <w:rsid w:val="000A120C"/>
    <w:rsid w:val="000A5190"/>
    <w:rsid w:val="000A536C"/>
    <w:rsid w:val="000B1E86"/>
    <w:rsid w:val="000B3309"/>
    <w:rsid w:val="000B3C97"/>
    <w:rsid w:val="000B77AC"/>
    <w:rsid w:val="000C1E99"/>
    <w:rsid w:val="000C4A2C"/>
    <w:rsid w:val="000C5BBC"/>
    <w:rsid w:val="000D0108"/>
    <w:rsid w:val="000D4AA8"/>
    <w:rsid w:val="000E057E"/>
    <w:rsid w:val="000E63BF"/>
    <w:rsid w:val="000F4E9F"/>
    <w:rsid w:val="000F6990"/>
    <w:rsid w:val="001004B7"/>
    <w:rsid w:val="00100E26"/>
    <w:rsid w:val="00101051"/>
    <w:rsid w:val="00112F79"/>
    <w:rsid w:val="001156A0"/>
    <w:rsid w:val="00117AE7"/>
    <w:rsid w:val="001201A8"/>
    <w:rsid w:val="0012146D"/>
    <w:rsid w:val="00122C90"/>
    <w:rsid w:val="00123DE5"/>
    <w:rsid w:val="00130503"/>
    <w:rsid w:val="00131D18"/>
    <w:rsid w:val="00132DF4"/>
    <w:rsid w:val="001338F9"/>
    <w:rsid w:val="001417EB"/>
    <w:rsid w:val="00142967"/>
    <w:rsid w:val="00153B89"/>
    <w:rsid w:val="00161096"/>
    <w:rsid w:val="00166D48"/>
    <w:rsid w:val="00173307"/>
    <w:rsid w:val="001859B3"/>
    <w:rsid w:val="00185C0E"/>
    <w:rsid w:val="00194136"/>
    <w:rsid w:val="001A00A6"/>
    <w:rsid w:val="001A12B6"/>
    <w:rsid w:val="001A3901"/>
    <w:rsid w:val="001A56B6"/>
    <w:rsid w:val="001B5337"/>
    <w:rsid w:val="001B600C"/>
    <w:rsid w:val="001C2B23"/>
    <w:rsid w:val="001C303F"/>
    <w:rsid w:val="001C3F94"/>
    <w:rsid w:val="001C68B8"/>
    <w:rsid w:val="001C6CB8"/>
    <w:rsid w:val="001D0308"/>
    <w:rsid w:val="001D4E01"/>
    <w:rsid w:val="001D64A3"/>
    <w:rsid w:val="001E2C76"/>
    <w:rsid w:val="001F0A58"/>
    <w:rsid w:val="001F3D80"/>
    <w:rsid w:val="002034AE"/>
    <w:rsid w:val="0020756F"/>
    <w:rsid w:val="00214182"/>
    <w:rsid w:val="00223893"/>
    <w:rsid w:val="002250C0"/>
    <w:rsid w:val="00230576"/>
    <w:rsid w:val="00237EB9"/>
    <w:rsid w:val="00250051"/>
    <w:rsid w:val="00250492"/>
    <w:rsid w:val="00251141"/>
    <w:rsid w:val="002514D3"/>
    <w:rsid w:val="00251972"/>
    <w:rsid w:val="002549EC"/>
    <w:rsid w:val="00261F7E"/>
    <w:rsid w:val="00264D41"/>
    <w:rsid w:val="00273202"/>
    <w:rsid w:val="002778ED"/>
    <w:rsid w:val="002778F8"/>
    <w:rsid w:val="00277F71"/>
    <w:rsid w:val="00282FEC"/>
    <w:rsid w:val="002838A4"/>
    <w:rsid w:val="00285259"/>
    <w:rsid w:val="00292214"/>
    <w:rsid w:val="002966B8"/>
    <w:rsid w:val="002971AB"/>
    <w:rsid w:val="00297811"/>
    <w:rsid w:val="002A228F"/>
    <w:rsid w:val="002A2543"/>
    <w:rsid w:val="002A36B8"/>
    <w:rsid w:val="002A5328"/>
    <w:rsid w:val="002A5DF0"/>
    <w:rsid w:val="002B4B90"/>
    <w:rsid w:val="002B7343"/>
    <w:rsid w:val="002C65A4"/>
    <w:rsid w:val="002D3139"/>
    <w:rsid w:val="002D50A4"/>
    <w:rsid w:val="002E425D"/>
    <w:rsid w:val="002F2700"/>
    <w:rsid w:val="002F331C"/>
    <w:rsid w:val="002F65FA"/>
    <w:rsid w:val="002F6BE7"/>
    <w:rsid w:val="002F7A63"/>
    <w:rsid w:val="003133B6"/>
    <w:rsid w:val="00315310"/>
    <w:rsid w:val="003202F3"/>
    <w:rsid w:val="0032362E"/>
    <w:rsid w:val="00323927"/>
    <w:rsid w:val="00324FB6"/>
    <w:rsid w:val="00326DEF"/>
    <w:rsid w:val="00327672"/>
    <w:rsid w:val="00327E76"/>
    <w:rsid w:val="0034177F"/>
    <w:rsid w:val="00343A75"/>
    <w:rsid w:val="00356F05"/>
    <w:rsid w:val="00360D63"/>
    <w:rsid w:val="00363224"/>
    <w:rsid w:val="00383452"/>
    <w:rsid w:val="0039272C"/>
    <w:rsid w:val="00394206"/>
    <w:rsid w:val="003A0104"/>
    <w:rsid w:val="003A41F8"/>
    <w:rsid w:val="003B1F5B"/>
    <w:rsid w:val="003D1039"/>
    <w:rsid w:val="003E245B"/>
    <w:rsid w:val="003E5187"/>
    <w:rsid w:val="003E519F"/>
    <w:rsid w:val="003E7DD0"/>
    <w:rsid w:val="003F5C3C"/>
    <w:rsid w:val="0040298E"/>
    <w:rsid w:val="00416966"/>
    <w:rsid w:val="00424714"/>
    <w:rsid w:val="00430125"/>
    <w:rsid w:val="0043546B"/>
    <w:rsid w:val="00435D8C"/>
    <w:rsid w:val="00441386"/>
    <w:rsid w:val="00445676"/>
    <w:rsid w:val="00445F3E"/>
    <w:rsid w:val="00446218"/>
    <w:rsid w:val="00446A17"/>
    <w:rsid w:val="00463AFB"/>
    <w:rsid w:val="00466A5C"/>
    <w:rsid w:val="0046757A"/>
    <w:rsid w:val="004728AB"/>
    <w:rsid w:val="00476D22"/>
    <w:rsid w:val="00484E7B"/>
    <w:rsid w:val="00494BE6"/>
    <w:rsid w:val="00494E99"/>
    <w:rsid w:val="004A0B41"/>
    <w:rsid w:val="004A3C1E"/>
    <w:rsid w:val="004A3DDF"/>
    <w:rsid w:val="004A443C"/>
    <w:rsid w:val="004B7234"/>
    <w:rsid w:val="004C2CF9"/>
    <w:rsid w:val="004C3CFD"/>
    <w:rsid w:val="004C4568"/>
    <w:rsid w:val="004F13D0"/>
    <w:rsid w:val="005001F3"/>
    <w:rsid w:val="005007A1"/>
    <w:rsid w:val="00500A10"/>
    <w:rsid w:val="00504015"/>
    <w:rsid w:val="00507D23"/>
    <w:rsid w:val="00513629"/>
    <w:rsid w:val="00521062"/>
    <w:rsid w:val="0052563D"/>
    <w:rsid w:val="00532532"/>
    <w:rsid w:val="00537B51"/>
    <w:rsid w:val="00542745"/>
    <w:rsid w:val="0054367C"/>
    <w:rsid w:val="0055055F"/>
    <w:rsid w:val="005608E8"/>
    <w:rsid w:val="00576CF2"/>
    <w:rsid w:val="005816ED"/>
    <w:rsid w:val="00584AC5"/>
    <w:rsid w:val="00586C0B"/>
    <w:rsid w:val="0059569D"/>
    <w:rsid w:val="005A6E59"/>
    <w:rsid w:val="005B4216"/>
    <w:rsid w:val="005B6294"/>
    <w:rsid w:val="005C45B5"/>
    <w:rsid w:val="005C71BB"/>
    <w:rsid w:val="005D1349"/>
    <w:rsid w:val="005D2E1A"/>
    <w:rsid w:val="005D5392"/>
    <w:rsid w:val="005E44E1"/>
    <w:rsid w:val="005E5F60"/>
    <w:rsid w:val="0060306A"/>
    <w:rsid w:val="00605B03"/>
    <w:rsid w:val="00614983"/>
    <w:rsid w:val="00620090"/>
    <w:rsid w:val="00627860"/>
    <w:rsid w:val="00627FA8"/>
    <w:rsid w:val="00631D18"/>
    <w:rsid w:val="00635228"/>
    <w:rsid w:val="00637C70"/>
    <w:rsid w:val="00641CB0"/>
    <w:rsid w:val="00647D92"/>
    <w:rsid w:val="006634D7"/>
    <w:rsid w:val="00672DF5"/>
    <w:rsid w:val="00674B2C"/>
    <w:rsid w:val="00696D19"/>
    <w:rsid w:val="006974FE"/>
    <w:rsid w:val="006A1D82"/>
    <w:rsid w:val="006A5AF0"/>
    <w:rsid w:val="006B3FEF"/>
    <w:rsid w:val="006C7A46"/>
    <w:rsid w:val="006D1A9B"/>
    <w:rsid w:val="006D2127"/>
    <w:rsid w:val="006D48D6"/>
    <w:rsid w:val="006E29A1"/>
    <w:rsid w:val="006E64CD"/>
    <w:rsid w:val="006F4D41"/>
    <w:rsid w:val="00711CC9"/>
    <w:rsid w:val="007233B0"/>
    <w:rsid w:val="007278D9"/>
    <w:rsid w:val="00735495"/>
    <w:rsid w:val="00735B8F"/>
    <w:rsid w:val="007411FF"/>
    <w:rsid w:val="00741DB1"/>
    <w:rsid w:val="00743852"/>
    <w:rsid w:val="0074798D"/>
    <w:rsid w:val="0075789E"/>
    <w:rsid w:val="0076052E"/>
    <w:rsid w:val="0076243D"/>
    <w:rsid w:val="0076452D"/>
    <w:rsid w:val="0076594E"/>
    <w:rsid w:val="00770903"/>
    <w:rsid w:val="00783877"/>
    <w:rsid w:val="00783900"/>
    <w:rsid w:val="00783901"/>
    <w:rsid w:val="007863FB"/>
    <w:rsid w:val="00793710"/>
    <w:rsid w:val="007A69DA"/>
    <w:rsid w:val="007B0362"/>
    <w:rsid w:val="007B1062"/>
    <w:rsid w:val="007B1916"/>
    <w:rsid w:val="007D33D0"/>
    <w:rsid w:val="007E0793"/>
    <w:rsid w:val="007E3751"/>
    <w:rsid w:val="007F3D06"/>
    <w:rsid w:val="007F471F"/>
    <w:rsid w:val="007F74B5"/>
    <w:rsid w:val="00801776"/>
    <w:rsid w:val="00804CBD"/>
    <w:rsid w:val="00806CD7"/>
    <w:rsid w:val="00816A9E"/>
    <w:rsid w:val="008218FD"/>
    <w:rsid w:val="00831D74"/>
    <w:rsid w:val="00840B9B"/>
    <w:rsid w:val="008478D1"/>
    <w:rsid w:val="00851546"/>
    <w:rsid w:val="0085236D"/>
    <w:rsid w:val="008568FE"/>
    <w:rsid w:val="00856DB3"/>
    <w:rsid w:val="0086155F"/>
    <w:rsid w:val="0086549E"/>
    <w:rsid w:val="008771C8"/>
    <w:rsid w:val="008857C9"/>
    <w:rsid w:val="00892EAC"/>
    <w:rsid w:val="00895DE6"/>
    <w:rsid w:val="008A66DE"/>
    <w:rsid w:val="008A6AC6"/>
    <w:rsid w:val="008B44B5"/>
    <w:rsid w:val="008B633A"/>
    <w:rsid w:val="008C378A"/>
    <w:rsid w:val="008E1EC7"/>
    <w:rsid w:val="008F21EB"/>
    <w:rsid w:val="008F7439"/>
    <w:rsid w:val="0090260E"/>
    <w:rsid w:val="00902665"/>
    <w:rsid w:val="009262DC"/>
    <w:rsid w:val="00926B9C"/>
    <w:rsid w:val="00933DBF"/>
    <w:rsid w:val="00941661"/>
    <w:rsid w:val="0094169A"/>
    <w:rsid w:val="00944D69"/>
    <w:rsid w:val="00950A17"/>
    <w:rsid w:val="00955693"/>
    <w:rsid w:val="0095792F"/>
    <w:rsid w:val="00967542"/>
    <w:rsid w:val="00975969"/>
    <w:rsid w:val="009774F5"/>
    <w:rsid w:val="009779F7"/>
    <w:rsid w:val="00977CFF"/>
    <w:rsid w:val="00987F73"/>
    <w:rsid w:val="0099443D"/>
    <w:rsid w:val="00997131"/>
    <w:rsid w:val="009A179F"/>
    <w:rsid w:val="009A6C91"/>
    <w:rsid w:val="009B446D"/>
    <w:rsid w:val="009B4BF7"/>
    <w:rsid w:val="009B551F"/>
    <w:rsid w:val="009B616E"/>
    <w:rsid w:val="009B6987"/>
    <w:rsid w:val="009C3C95"/>
    <w:rsid w:val="009C3E53"/>
    <w:rsid w:val="009C5394"/>
    <w:rsid w:val="009C65C9"/>
    <w:rsid w:val="009C68BD"/>
    <w:rsid w:val="009D05E5"/>
    <w:rsid w:val="009D3206"/>
    <w:rsid w:val="009D4FAC"/>
    <w:rsid w:val="009E1F9F"/>
    <w:rsid w:val="009F3D5F"/>
    <w:rsid w:val="00A11347"/>
    <w:rsid w:val="00A11711"/>
    <w:rsid w:val="00A20AA3"/>
    <w:rsid w:val="00A20CE6"/>
    <w:rsid w:val="00A21B0C"/>
    <w:rsid w:val="00A22662"/>
    <w:rsid w:val="00A25035"/>
    <w:rsid w:val="00A25E2D"/>
    <w:rsid w:val="00A5788E"/>
    <w:rsid w:val="00A60A8C"/>
    <w:rsid w:val="00A60BCD"/>
    <w:rsid w:val="00A60D3D"/>
    <w:rsid w:val="00A74688"/>
    <w:rsid w:val="00A757B4"/>
    <w:rsid w:val="00A8080E"/>
    <w:rsid w:val="00A92E52"/>
    <w:rsid w:val="00A95252"/>
    <w:rsid w:val="00AA2818"/>
    <w:rsid w:val="00AA3343"/>
    <w:rsid w:val="00AB3608"/>
    <w:rsid w:val="00AB5D53"/>
    <w:rsid w:val="00AC0BA8"/>
    <w:rsid w:val="00AC4908"/>
    <w:rsid w:val="00AD014E"/>
    <w:rsid w:val="00AD6267"/>
    <w:rsid w:val="00AE3412"/>
    <w:rsid w:val="00AE3ABE"/>
    <w:rsid w:val="00AF075F"/>
    <w:rsid w:val="00AF3F65"/>
    <w:rsid w:val="00B001F6"/>
    <w:rsid w:val="00B0307D"/>
    <w:rsid w:val="00B14BF6"/>
    <w:rsid w:val="00B14CEB"/>
    <w:rsid w:val="00B174D4"/>
    <w:rsid w:val="00B17982"/>
    <w:rsid w:val="00B2173B"/>
    <w:rsid w:val="00B2376D"/>
    <w:rsid w:val="00B276E2"/>
    <w:rsid w:val="00B27B98"/>
    <w:rsid w:val="00B30079"/>
    <w:rsid w:val="00B31EE0"/>
    <w:rsid w:val="00B3260E"/>
    <w:rsid w:val="00B338F8"/>
    <w:rsid w:val="00B35F16"/>
    <w:rsid w:val="00B46403"/>
    <w:rsid w:val="00B47ECA"/>
    <w:rsid w:val="00B53859"/>
    <w:rsid w:val="00B61D58"/>
    <w:rsid w:val="00B95111"/>
    <w:rsid w:val="00BA11FA"/>
    <w:rsid w:val="00BA219B"/>
    <w:rsid w:val="00BA4E9B"/>
    <w:rsid w:val="00BB34EC"/>
    <w:rsid w:val="00BB4C38"/>
    <w:rsid w:val="00BC1053"/>
    <w:rsid w:val="00BC4756"/>
    <w:rsid w:val="00BD1591"/>
    <w:rsid w:val="00BD29A6"/>
    <w:rsid w:val="00BE06DF"/>
    <w:rsid w:val="00BE22CB"/>
    <w:rsid w:val="00BF7A44"/>
    <w:rsid w:val="00C00E52"/>
    <w:rsid w:val="00C05403"/>
    <w:rsid w:val="00C0761B"/>
    <w:rsid w:val="00C179EF"/>
    <w:rsid w:val="00C30925"/>
    <w:rsid w:val="00C35BE4"/>
    <w:rsid w:val="00C5286C"/>
    <w:rsid w:val="00C53AA1"/>
    <w:rsid w:val="00C60FBD"/>
    <w:rsid w:val="00C628F6"/>
    <w:rsid w:val="00C70713"/>
    <w:rsid w:val="00C83746"/>
    <w:rsid w:val="00C93943"/>
    <w:rsid w:val="00C944FF"/>
    <w:rsid w:val="00C97DF1"/>
    <w:rsid w:val="00CA0445"/>
    <w:rsid w:val="00CA1520"/>
    <w:rsid w:val="00CA6065"/>
    <w:rsid w:val="00CB1944"/>
    <w:rsid w:val="00CB240E"/>
    <w:rsid w:val="00CB606D"/>
    <w:rsid w:val="00CC0135"/>
    <w:rsid w:val="00CD0BCA"/>
    <w:rsid w:val="00CD2102"/>
    <w:rsid w:val="00CE079D"/>
    <w:rsid w:val="00CF7CD8"/>
    <w:rsid w:val="00D00446"/>
    <w:rsid w:val="00D0070A"/>
    <w:rsid w:val="00D009D5"/>
    <w:rsid w:val="00D02D60"/>
    <w:rsid w:val="00D10C2B"/>
    <w:rsid w:val="00D13C0B"/>
    <w:rsid w:val="00D20776"/>
    <w:rsid w:val="00D24101"/>
    <w:rsid w:val="00D2685D"/>
    <w:rsid w:val="00D35DB1"/>
    <w:rsid w:val="00D4076D"/>
    <w:rsid w:val="00D47E8C"/>
    <w:rsid w:val="00D606DF"/>
    <w:rsid w:val="00D60A93"/>
    <w:rsid w:val="00D6117A"/>
    <w:rsid w:val="00D62804"/>
    <w:rsid w:val="00D6694C"/>
    <w:rsid w:val="00D76193"/>
    <w:rsid w:val="00D80467"/>
    <w:rsid w:val="00D81D57"/>
    <w:rsid w:val="00D84BE8"/>
    <w:rsid w:val="00D8629F"/>
    <w:rsid w:val="00D868D7"/>
    <w:rsid w:val="00D91DEC"/>
    <w:rsid w:val="00D952F0"/>
    <w:rsid w:val="00DA0C8A"/>
    <w:rsid w:val="00DA220B"/>
    <w:rsid w:val="00DA4809"/>
    <w:rsid w:val="00DB1CDD"/>
    <w:rsid w:val="00DB3A9D"/>
    <w:rsid w:val="00DB7E31"/>
    <w:rsid w:val="00DC1A0A"/>
    <w:rsid w:val="00DC2E57"/>
    <w:rsid w:val="00DC4A0D"/>
    <w:rsid w:val="00DC72AD"/>
    <w:rsid w:val="00DD22BC"/>
    <w:rsid w:val="00DD29DF"/>
    <w:rsid w:val="00DE13C6"/>
    <w:rsid w:val="00DE45BF"/>
    <w:rsid w:val="00DE6398"/>
    <w:rsid w:val="00DE711E"/>
    <w:rsid w:val="00E019D3"/>
    <w:rsid w:val="00E01FFC"/>
    <w:rsid w:val="00E03ED3"/>
    <w:rsid w:val="00E11AF4"/>
    <w:rsid w:val="00E123F8"/>
    <w:rsid w:val="00E15D9B"/>
    <w:rsid w:val="00E21F3C"/>
    <w:rsid w:val="00E22C0D"/>
    <w:rsid w:val="00E25121"/>
    <w:rsid w:val="00E26944"/>
    <w:rsid w:val="00E26CB7"/>
    <w:rsid w:val="00E35C7E"/>
    <w:rsid w:val="00E457CF"/>
    <w:rsid w:val="00E50D44"/>
    <w:rsid w:val="00E6763D"/>
    <w:rsid w:val="00E71159"/>
    <w:rsid w:val="00E74A9E"/>
    <w:rsid w:val="00E82868"/>
    <w:rsid w:val="00E86517"/>
    <w:rsid w:val="00EA2929"/>
    <w:rsid w:val="00EA4DD7"/>
    <w:rsid w:val="00EB29B9"/>
    <w:rsid w:val="00EB7E5E"/>
    <w:rsid w:val="00EF7865"/>
    <w:rsid w:val="00F017D7"/>
    <w:rsid w:val="00F13927"/>
    <w:rsid w:val="00F153A6"/>
    <w:rsid w:val="00F238F8"/>
    <w:rsid w:val="00F27D5C"/>
    <w:rsid w:val="00F304C0"/>
    <w:rsid w:val="00F31FD7"/>
    <w:rsid w:val="00F42356"/>
    <w:rsid w:val="00F54B3A"/>
    <w:rsid w:val="00F56552"/>
    <w:rsid w:val="00F67D15"/>
    <w:rsid w:val="00F70BDC"/>
    <w:rsid w:val="00F70C96"/>
    <w:rsid w:val="00F74261"/>
    <w:rsid w:val="00F81D35"/>
    <w:rsid w:val="00F8444F"/>
    <w:rsid w:val="00F92E9F"/>
    <w:rsid w:val="00F956B4"/>
    <w:rsid w:val="00FA0B80"/>
    <w:rsid w:val="00FA2116"/>
    <w:rsid w:val="00FA6AE9"/>
    <w:rsid w:val="00FC0B03"/>
    <w:rsid w:val="00FD15E9"/>
    <w:rsid w:val="00FD5B59"/>
    <w:rsid w:val="00FE71AA"/>
    <w:rsid w:val="00FE7B39"/>
    <w:rsid w:val="00FF039E"/>
    <w:rsid w:val="00FF0840"/>
    <w:rsid w:val="00FF48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1944"/>
    <w:pPr>
      <w:spacing w:after="240" w:line="260" w:lineRule="exact"/>
      <w:jc w:val="both"/>
    </w:pPr>
    <w:rPr>
      <w:rFonts w:ascii="Book Antiqua" w:hAnsi="Book Antiqua"/>
      <w:color w:val="000000"/>
    </w:rPr>
  </w:style>
  <w:style w:type="paragraph" w:styleId="Heading1">
    <w:name w:val="heading 1"/>
    <w:basedOn w:val="HeadingBase"/>
    <w:next w:val="Normal"/>
    <w:qFormat/>
    <w:rsid w:val="00CB1944"/>
    <w:pPr>
      <w:keepNext/>
      <w:spacing w:before="284" w:after="113"/>
      <w:outlineLvl w:val="0"/>
    </w:pPr>
    <w:rPr>
      <w:rFonts w:cs="Arial"/>
      <w:b/>
      <w:bCs/>
      <w:kern w:val="32"/>
      <w:sz w:val="48"/>
      <w:szCs w:val="48"/>
    </w:rPr>
  </w:style>
  <w:style w:type="paragraph" w:styleId="Heading2">
    <w:name w:val="heading 2"/>
    <w:basedOn w:val="HeadingBase"/>
    <w:next w:val="Normal"/>
    <w:qFormat/>
    <w:rsid w:val="00CB1944"/>
    <w:pPr>
      <w:keepNext/>
      <w:spacing w:before="170" w:after="113" w:line="320" w:lineRule="exact"/>
      <w:outlineLvl w:val="1"/>
    </w:pPr>
    <w:rPr>
      <w:rFonts w:ascii="Arial Bold" w:hAnsi="Arial Bold" w:cs="Arial"/>
      <w:b/>
      <w:bCs/>
      <w:iCs/>
      <w:sz w:val="28"/>
      <w:szCs w:val="28"/>
    </w:rPr>
  </w:style>
  <w:style w:type="paragraph" w:styleId="Heading3">
    <w:name w:val="heading 3"/>
    <w:basedOn w:val="HeadingBase"/>
    <w:next w:val="Normal"/>
    <w:qFormat/>
    <w:rsid w:val="00CB1944"/>
    <w:pPr>
      <w:keepNext/>
      <w:spacing w:before="57" w:after="57" w:line="280" w:lineRule="exact"/>
      <w:outlineLvl w:val="2"/>
    </w:pPr>
    <w:rPr>
      <w:rFonts w:cs="Arial"/>
      <w:b/>
      <w:bCs/>
      <w:sz w:val="24"/>
      <w:szCs w:val="26"/>
    </w:rPr>
  </w:style>
  <w:style w:type="paragraph" w:styleId="Heading4">
    <w:name w:val="heading 4"/>
    <w:basedOn w:val="HeadingBase"/>
    <w:next w:val="Normal"/>
    <w:qFormat/>
    <w:rsid w:val="00CB1944"/>
    <w:pPr>
      <w:keepNext/>
      <w:spacing w:before="57" w:after="57" w:line="280" w:lineRule="exact"/>
      <w:outlineLvl w:val="3"/>
    </w:pPr>
    <w:rPr>
      <w:b/>
      <w:bCs/>
      <w:szCs w:val="22"/>
    </w:rPr>
  </w:style>
  <w:style w:type="paragraph" w:styleId="Heading5">
    <w:name w:val="heading 5"/>
    <w:basedOn w:val="HeadingBase"/>
    <w:next w:val="Normal"/>
    <w:qFormat/>
    <w:rsid w:val="00CB1944"/>
    <w:pPr>
      <w:keepNext/>
      <w:spacing w:before="57" w:after="57" w:line="280" w:lineRule="exact"/>
      <w:outlineLvl w:val="4"/>
    </w:pPr>
    <w:rPr>
      <w:bCs/>
      <w:iCs/>
    </w:rPr>
  </w:style>
  <w:style w:type="paragraph" w:styleId="Heading6">
    <w:name w:val="heading 6"/>
    <w:basedOn w:val="HeadingBase"/>
    <w:next w:val="Normal"/>
    <w:qFormat/>
    <w:rsid w:val="00CB1944"/>
    <w:pPr>
      <w:keepNext/>
      <w:spacing w:after="120"/>
      <w:outlineLvl w:val="5"/>
    </w:pPr>
    <w:rPr>
      <w:bCs/>
      <w:szCs w:val="22"/>
    </w:rPr>
  </w:style>
  <w:style w:type="paragraph" w:styleId="Heading7">
    <w:name w:val="heading 7"/>
    <w:basedOn w:val="Heading2"/>
    <w:next w:val="Normal"/>
    <w:qFormat/>
    <w:rsid w:val="00CB1944"/>
    <w:pPr>
      <w:jc w:val="right"/>
      <w:outlineLvl w:val="6"/>
    </w:pPr>
  </w:style>
  <w:style w:type="paragraph" w:styleId="Heading8">
    <w:name w:val="heading 8"/>
    <w:basedOn w:val="HeadingBase"/>
    <w:next w:val="Normal"/>
    <w:qFormat/>
    <w:rsid w:val="00CB1944"/>
    <w:pPr>
      <w:keepNext/>
      <w:spacing w:before="284" w:after="360"/>
      <w:jc w:val="right"/>
      <w:outlineLvl w:val="7"/>
    </w:pPr>
    <w:rPr>
      <w:iCs/>
      <w:sz w:val="48"/>
      <w:szCs w:val="24"/>
    </w:rPr>
  </w:style>
  <w:style w:type="paragraph" w:styleId="Heading9">
    <w:name w:val="heading 9"/>
    <w:basedOn w:val="HeadingBase"/>
    <w:next w:val="Normal"/>
    <w:qFormat/>
    <w:rsid w:val="00CB1944"/>
    <w:pPr>
      <w:keepNext/>
      <w:spacing w:before="170" w:after="113" w:line="320" w:lineRule="exact"/>
      <w:jc w:val="right"/>
      <w:outlineLvl w:val="8"/>
    </w:pPr>
    <w:rPr>
      <w:rFonts w:cs="Arial"/>
      <w:b/>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rsid w:val="00CB1944"/>
    <w:pPr>
      <w:spacing w:after="0"/>
    </w:pPr>
  </w:style>
  <w:style w:type="character" w:styleId="Hyperlink">
    <w:name w:val="Hyperlink"/>
    <w:basedOn w:val="DefaultParagraphFont"/>
    <w:rsid w:val="00CB1944"/>
    <w:rPr>
      <w:color w:val="000000"/>
      <w:u w:val="none"/>
    </w:rPr>
  </w:style>
  <w:style w:type="character" w:styleId="FootnoteReference">
    <w:name w:val="footnote reference"/>
    <w:basedOn w:val="DefaultParagraphFont"/>
    <w:rsid w:val="00CB1944"/>
    <w:rPr>
      <w:vertAlign w:val="superscript"/>
    </w:rPr>
  </w:style>
  <w:style w:type="paragraph" w:styleId="BalloonText">
    <w:name w:val="Balloon Text"/>
    <w:basedOn w:val="Normal"/>
    <w:rsid w:val="00CB1944"/>
    <w:rPr>
      <w:rFonts w:ascii="Tahoma" w:hAnsi="Tahoma" w:cs="Tahoma"/>
      <w:sz w:val="16"/>
      <w:szCs w:val="16"/>
    </w:rPr>
  </w:style>
  <w:style w:type="character" w:styleId="PageNumber">
    <w:name w:val="page number"/>
    <w:basedOn w:val="DefaultParagraphFont"/>
    <w:rsid w:val="000B3309"/>
    <w:rPr>
      <w:rFonts w:ascii="Times" w:hAnsi="Times"/>
      <w:color w:val="72B4E7"/>
      <w:sz w:val="18"/>
      <w:szCs w:val="18"/>
    </w:rPr>
  </w:style>
  <w:style w:type="paragraph" w:styleId="FootnoteText">
    <w:name w:val="footnote text"/>
    <w:basedOn w:val="Normal"/>
    <w:rsid w:val="00CB1944"/>
    <w:pPr>
      <w:tabs>
        <w:tab w:val="left" w:pos="284"/>
      </w:tabs>
      <w:spacing w:after="0" w:line="240" w:lineRule="auto"/>
      <w:ind w:left="284" w:hanging="284"/>
    </w:pPr>
    <w:rPr>
      <w:sz w:val="18"/>
    </w:rPr>
  </w:style>
  <w:style w:type="paragraph" w:customStyle="1" w:styleId="Bullet">
    <w:name w:val="Bullet"/>
    <w:basedOn w:val="Normal"/>
    <w:rsid w:val="00CB1944"/>
    <w:pPr>
      <w:numPr>
        <w:numId w:val="1"/>
      </w:numPr>
      <w:ind w:left="284" w:hanging="284"/>
    </w:pPr>
  </w:style>
  <w:style w:type="paragraph" w:customStyle="1" w:styleId="Dash">
    <w:name w:val="Dash"/>
    <w:basedOn w:val="Normal"/>
    <w:rsid w:val="00CB1944"/>
    <w:pPr>
      <w:numPr>
        <w:ilvl w:val="1"/>
        <w:numId w:val="1"/>
      </w:numPr>
      <w:ind w:left="568"/>
    </w:pPr>
  </w:style>
  <w:style w:type="paragraph" w:customStyle="1" w:styleId="DoubleDot">
    <w:name w:val="Double Dot"/>
    <w:basedOn w:val="Normal"/>
    <w:rsid w:val="00CB1944"/>
    <w:pPr>
      <w:numPr>
        <w:ilvl w:val="2"/>
        <w:numId w:val="1"/>
      </w:numPr>
    </w:pPr>
  </w:style>
  <w:style w:type="paragraph" w:customStyle="1" w:styleId="OutlineNumbered1">
    <w:name w:val="Outline Numbered 1"/>
    <w:basedOn w:val="Normal"/>
    <w:rsid w:val="00CB1944"/>
    <w:pPr>
      <w:numPr>
        <w:numId w:val="2"/>
      </w:numPr>
    </w:pPr>
  </w:style>
  <w:style w:type="paragraph" w:customStyle="1" w:styleId="OutlineNumbered2">
    <w:name w:val="Outline Numbered 2"/>
    <w:basedOn w:val="Normal"/>
    <w:rsid w:val="00CB1944"/>
    <w:pPr>
      <w:numPr>
        <w:ilvl w:val="1"/>
        <w:numId w:val="2"/>
      </w:numPr>
    </w:pPr>
  </w:style>
  <w:style w:type="paragraph" w:customStyle="1" w:styleId="OutlineNumbered3">
    <w:name w:val="Outline Numbered 3"/>
    <w:basedOn w:val="Normal"/>
    <w:rsid w:val="00CB1944"/>
    <w:pPr>
      <w:numPr>
        <w:ilvl w:val="2"/>
        <w:numId w:val="2"/>
      </w:numPr>
    </w:pPr>
  </w:style>
  <w:style w:type="paragraph" w:customStyle="1" w:styleId="AlphaParagraph">
    <w:name w:val="Alpha Paragraph"/>
    <w:basedOn w:val="Normal"/>
    <w:rsid w:val="00CB1944"/>
    <w:pPr>
      <w:numPr>
        <w:numId w:val="3"/>
      </w:numPr>
    </w:pPr>
  </w:style>
  <w:style w:type="paragraph" w:customStyle="1" w:styleId="HeadingBase">
    <w:name w:val="Heading Base"/>
    <w:next w:val="Normal"/>
    <w:rsid w:val="000B3309"/>
    <w:rPr>
      <w:rFonts w:ascii="Arial" w:hAnsi="Arial"/>
      <w:color w:val="72B4E7"/>
    </w:rPr>
  </w:style>
  <w:style w:type="paragraph" w:customStyle="1" w:styleId="AppendixHeading">
    <w:name w:val="Appendix Heading"/>
    <w:basedOn w:val="HeadingBase"/>
    <w:next w:val="Normal"/>
    <w:rsid w:val="00CB1944"/>
    <w:pPr>
      <w:spacing w:before="720" w:after="360"/>
    </w:pPr>
    <w:rPr>
      <w:rFonts w:ascii="Arial Bold" w:hAnsi="Arial Bold"/>
      <w:b/>
      <w:smallCaps/>
      <w:sz w:val="36"/>
      <w:szCs w:val="36"/>
    </w:rPr>
  </w:style>
  <w:style w:type="character" w:customStyle="1" w:styleId="Bold">
    <w:name w:val="Bold"/>
    <w:basedOn w:val="DefaultParagraphFont"/>
    <w:rsid w:val="00CB1944"/>
    <w:rPr>
      <w:b/>
    </w:rPr>
  </w:style>
  <w:style w:type="paragraph" w:customStyle="1" w:styleId="BoxHeading">
    <w:name w:val="Box Heading"/>
    <w:basedOn w:val="HeadingBase"/>
    <w:next w:val="BoxText"/>
    <w:rsid w:val="00CB1944"/>
    <w:pPr>
      <w:spacing w:before="120" w:after="120"/>
    </w:pPr>
    <w:rPr>
      <w:b/>
      <w:sz w:val="22"/>
    </w:rPr>
  </w:style>
  <w:style w:type="paragraph" w:customStyle="1" w:styleId="BoxTextBase">
    <w:name w:val="Box Text Base"/>
    <w:basedOn w:val="Normal"/>
    <w:rsid w:val="00CB1944"/>
    <w:pPr>
      <w:spacing w:before="120" w:after="120" w:line="240" w:lineRule="auto"/>
    </w:pPr>
  </w:style>
  <w:style w:type="paragraph" w:customStyle="1" w:styleId="ChartandTableFootnoteAlpha">
    <w:name w:val="Chart and Table Footnote Alpha"/>
    <w:rsid w:val="00CB1944"/>
    <w:pPr>
      <w:numPr>
        <w:numId w:val="4"/>
      </w:numPr>
      <w:jc w:val="both"/>
    </w:pPr>
    <w:rPr>
      <w:rFonts w:ascii="Arial" w:hAnsi="Arial"/>
      <w:color w:val="000000"/>
      <w:sz w:val="16"/>
      <w:szCs w:val="16"/>
    </w:rPr>
  </w:style>
  <w:style w:type="paragraph" w:customStyle="1" w:styleId="ChartGraphic">
    <w:name w:val="Chart Graphic"/>
    <w:basedOn w:val="HeadingBase"/>
    <w:rsid w:val="00CB1944"/>
    <w:pPr>
      <w:jc w:val="center"/>
    </w:pPr>
  </w:style>
  <w:style w:type="paragraph" w:customStyle="1" w:styleId="ChartMainHeading">
    <w:name w:val="Chart Main Heading"/>
    <w:basedOn w:val="HeadingBase"/>
    <w:next w:val="ChartGraphic"/>
    <w:rsid w:val="00CB1944"/>
    <w:pPr>
      <w:keepNext/>
      <w:spacing w:before="170" w:after="113"/>
      <w:jc w:val="center"/>
    </w:pPr>
    <w:rPr>
      <w:b/>
      <w:sz w:val="22"/>
    </w:rPr>
  </w:style>
  <w:style w:type="paragraph" w:customStyle="1" w:styleId="ChartorTableNote">
    <w:name w:val="Chart or Table Note"/>
    <w:next w:val="Normal"/>
    <w:rsid w:val="00CB1944"/>
    <w:pPr>
      <w:jc w:val="both"/>
    </w:pPr>
    <w:rPr>
      <w:rFonts w:ascii="Arial" w:hAnsi="Arial"/>
      <w:color w:val="000000"/>
      <w:sz w:val="16"/>
    </w:rPr>
  </w:style>
  <w:style w:type="paragraph" w:customStyle="1" w:styleId="ChartSecondHeading">
    <w:name w:val="Chart Second Heading"/>
    <w:basedOn w:val="HeadingBase"/>
    <w:next w:val="ChartGraphic"/>
    <w:rsid w:val="00CB1944"/>
    <w:pPr>
      <w:keepNext/>
      <w:spacing w:after="20"/>
      <w:jc w:val="center"/>
    </w:pPr>
  </w:style>
  <w:style w:type="paragraph" w:customStyle="1" w:styleId="Classification">
    <w:name w:val="Classification"/>
    <w:basedOn w:val="HeadingBase"/>
    <w:next w:val="Footer"/>
    <w:rsid w:val="00CB1944"/>
    <w:pPr>
      <w:spacing w:after="120"/>
      <w:jc w:val="center"/>
    </w:pPr>
    <w:rPr>
      <w:b/>
      <w:smallCaps/>
    </w:rPr>
  </w:style>
  <w:style w:type="paragraph" w:styleId="Footer">
    <w:name w:val="footer"/>
    <w:basedOn w:val="HeadingBase"/>
    <w:rsid w:val="00CB1944"/>
    <w:rPr>
      <w:sz w:val="18"/>
    </w:rPr>
  </w:style>
  <w:style w:type="paragraph" w:customStyle="1" w:styleId="ContentsHeading">
    <w:name w:val="Contents Heading"/>
    <w:basedOn w:val="HeadingBase"/>
    <w:next w:val="Normal"/>
    <w:rsid w:val="00CB1944"/>
    <w:pPr>
      <w:spacing w:after="360"/>
    </w:pPr>
    <w:rPr>
      <w:smallCaps/>
      <w:sz w:val="36"/>
      <w:szCs w:val="36"/>
    </w:rPr>
  </w:style>
  <w:style w:type="paragraph" w:customStyle="1" w:styleId="CoverTitleMain">
    <w:name w:val="Cover Title Main"/>
    <w:basedOn w:val="HeadingBase"/>
    <w:next w:val="Normal"/>
    <w:rsid w:val="00CB1944"/>
    <w:pPr>
      <w:spacing w:after="360"/>
      <w:jc w:val="right"/>
    </w:pPr>
    <w:rPr>
      <w:b/>
      <w:sz w:val="44"/>
    </w:rPr>
  </w:style>
  <w:style w:type="paragraph" w:customStyle="1" w:styleId="CoverTitleSub">
    <w:name w:val="Cover Title Sub"/>
    <w:basedOn w:val="HeadingBase"/>
    <w:rsid w:val="00CB1944"/>
    <w:pPr>
      <w:spacing w:after="360"/>
      <w:jc w:val="center"/>
    </w:pPr>
    <w:rPr>
      <w:sz w:val="36"/>
    </w:rPr>
  </w:style>
  <w:style w:type="paragraph" w:customStyle="1" w:styleId="FooterCentered">
    <w:name w:val="Footer Centered"/>
    <w:basedOn w:val="Footer"/>
    <w:rsid w:val="00CB1944"/>
    <w:pPr>
      <w:jc w:val="center"/>
    </w:pPr>
  </w:style>
  <w:style w:type="paragraph" w:customStyle="1" w:styleId="FooterEven">
    <w:name w:val="Footer Even"/>
    <w:basedOn w:val="Footer"/>
    <w:rsid w:val="00CB1944"/>
  </w:style>
  <w:style w:type="paragraph" w:customStyle="1" w:styleId="FooterOdd">
    <w:name w:val="Footer Odd"/>
    <w:basedOn w:val="Footer"/>
    <w:rsid w:val="00CB1944"/>
    <w:pPr>
      <w:jc w:val="right"/>
    </w:pPr>
  </w:style>
  <w:style w:type="character" w:customStyle="1" w:styleId="FramedFooter">
    <w:name w:val="Framed Footer"/>
    <w:rsid w:val="000B3309"/>
    <w:rPr>
      <w:rFonts w:ascii="Swis721 Lt BT" w:hAnsi="Swis721 Lt BT"/>
      <w:color w:val="72B4E7"/>
      <w:sz w:val="18"/>
      <w:szCs w:val="18"/>
    </w:rPr>
  </w:style>
  <w:style w:type="character" w:customStyle="1" w:styleId="FramedHeader">
    <w:name w:val="Framed Header"/>
    <w:basedOn w:val="DefaultParagraphFont"/>
    <w:rsid w:val="000B3309"/>
    <w:rPr>
      <w:rFonts w:ascii="Arial" w:hAnsi="Arial"/>
      <w:dstrike w:val="0"/>
      <w:color w:val="72B4E7"/>
      <w:sz w:val="18"/>
      <w:szCs w:val="18"/>
      <w:vertAlign w:val="baseline"/>
    </w:rPr>
  </w:style>
  <w:style w:type="paragraph" w:styleId="Header">
    <w:name w:val="header"/>
    <w:basedOn w:val="HeadingBase"/>
    <w:rsid w:val="00CB1944"/>
    <w:rPr>
      <w:sz w:val="18"/>
    </w:rPr>
  </w:style>
  <w:style w:type="paragraph" w:customStyle="1" w:styleId="HeaderEven">
    <w:name w:val="Header Even"/>
    <w:basedOn w:val="Header"/>
    <w:rsid w:val="00CB1944"/>
  </w:style>
  <w:style w:type="paragraph" w:customStyle="1" w:styleId="HeaderOdd">
    <w:name w:val="Header Odd"/>
    <w:basedOn w:val="Header"/>
    <w:rsid w:val="00CB1944"/>
    <w:pPr>
      <w:jc w:val="right"/>
    </w:pPr>
  </w:style>
  <w:style w:type="paragraph" w:styleId="NormalIndent">
    <w:name w:val="Normal Indent"/>
    <w:basedOn w:val="Normal"/>
    <w:rsid w:val="00CB1944"/>
    <w:pPr>
      <w:ind w:left="567"/>
    </w:pPr>
  </w:style>
  <w:style w:type="paragraph" w:customStyle="1" w:styleId="RecommendationHeading">
    <w:name w:val="Recommendation Heading"/>
    <w:basedOn w:val="HeadingBase"/>
    <w:next w:val="RecommendationText"/>
    <w:rsid w:val="00CB1944"/>
    <w:pPr>
      <w:spacing w:after="240"/>
    </w:pPr>
    <w:rPr>
      <w:b/>
      <w:sz w:val="22"/>
    </w:rPr>
  </w:style>
  <w:style w:type="paragraph" w:customStyle="1" w:styleId="RecommendationBaseText">
    <w:name w:val="Recommendation Base Text"/>
    <w:basedOn w:val="Normal"/>
    <w:rsid w:val="00CB1944"/>
  </w:style>
  <w:style w:type="paragraph" w:customStyle="1" w:styleId="RecommendationText">
    <w:name w:val="Recommendation Text"/>
    <w:basedOn w:val="RecommendationBaseText"/>
    <w:rsid w:val="00CB1944"/>
  </w:style>
  <w:style w:type="paragraph" w:customStyle="1" w:styleId="TableTextBase">
    <w:name w:val="Table Text Base"/>
    <w:rsid w:val="00CB1944"/>
    <w:pPr>
      <w:spacing w:before="40" w:after="40"/>
    </w:pPr>
    <w:rPr>
      <w:rFonts w:ascii="Arial" w:hAnsi="Arial"/>
      <w:color w:val="000000"/>
      <w:sz w:val="16"/>
    </w:rPr>
  </w:style>
  <w:style w:type="paragraph" w:customStyle="1" w:styleId="TableColumnHeadingCentred">
    <w:name w:val="Table Column Heading Centred"/>
    <w:basedOn w:val="TableTextBase"/>
    <w:rsid w:val="00CB1944"/>
    <w:pPr>
      <w:jc w:val="center"/>
    </w:pPr>
    <w:rPr>
      <w:b/>
    </w:rPr>
  </w:style>
  <w:style w:type="paragraph" w:customStyle="1" w:styleId="TableColumnHeadingLeft">
    <w:name w:val="Table Column Heading Left"/>
    <w:basedOn w:val="TableTextBase"/>
    <w:rsid w:val="00CB1944"/>
    <w:rPr>
      <w:b/>
    </w:rPr>
  </w:style>
  <w:style w:type="paragraph" w:customStyle="1" w:styleId="TableColumnHeadingRight">
    <w:name w:val="Table Column Heading Right"/>
    <w:basedOn w:val="TableTextBase"/>
    <w:rsid w:val="00CB1944"/>
    <w:pPr>
      <w:jc w:val="right"/>
    </w:pPr>
    <w:rPr>
      <w:b/>
    </w:rPr>
  </w:style>
  <w:style w:type="paragraph" w:customStyle="1" w:styleId="TableGraphic">
    <w:name w:val="Table Graphic"/>
    <w:basedOn w:val="HeadingBase"/>
    <w:next w:val="Normal"/>
    <w:rsid w:val="00CB1944"/>
    <w:pPr>
      <w:spacing w:after="20"/>
      <w:ind w:right="-113"/>
    </w:pPr>
    <w:rPr>
      <w:rFonts w:ascii="Helvetica" w:hAnsi="Helvetica"/>
    </w:rPr>
  </w:style>
  <w:style w:type="paragraph" w:customStyle="1" w:styleId="TableMainHeading">
    <w:name w:val="Table Main Heading"/>
    <w:basedOn w:val="HeadingBase"/>
    <w:next w:val="TableGraphic"/>
    <w:rsid w:val="00CB1944"/>
    <w:pPr>
      <w:keepNext/>
      <w:spacing w:before="170" w:after="113"/>
    </w:pPr>
    <w:rPr>
      <w:b/>
      <w:sz w:val="22"/>
    </w:rPr>
  </w:style>
  <w:style w:type="paragraph" w:customStyle="1" w:styleId="TableMainHeadingContd">
    <w:name w:val="Table Main Heading Contd"/>
    <w:basedOn w:val="HeadingBase"/>
    <w:next w:val="TableGraphic"/>
    <w:rsid w:val="00CB1944"/>
    <w:pPr>
      <w:keepNext/>
      <w:spacing w:after="20"/>
    </w:pPr>
    <w:rPr>
      <w:b/>
      <w:sz w:val="22"/>
    </w:rPr>
  </w:style>
  <w:style w:type="paragraph" w:customStyle="1" w:styleId="TableSecondHeading">
    <w:name w:val="Table Second Heading"/>
    <w:basedOn w:val="HeadingBase"/>
    <w:next w:val="TableGraphic"/>
    <w:rsid w:val="00CB1944"/>
    <w:pPr>
      <w:keepNext/>
      <w:spacing w:after="20"/>
    </w:pPr>
  </w:style>
  <w:style w:type="paragraph" w:customStyle="1" w:styleId="TableTextCentered">
    <w:name w:val="Table Text Centered"/>
    <w:basedOn w:val="TableTextBase"/>
    <w:rsid w:val="00CB1944"/>
    <w:pPr>
      <w:jc w:val="center"/>
    </w:pPr>
  </w:style>
  <w:style w:type="paragraph" w:customStyle="1" w:styleId="TableTextIndented">
    <w:name w:val="Table Text Indented"/>
    <w:basedOn w:val="TableTextBase"/>
    <w:rsid w:val="00CB1944"/>
    <w:pPr>
      <w:ind w:left="284"/>
    </w:pPr>
  </w:style>
  <w:style w:type="paragraph" w:customStyle="1" w:styleId="TableTextLeft">
    <w:name w:val="Table Text Left"/>
    <w:basedOn w:val="TableTextBase"/>
    <w:rsid w:val="00CB1944"/>
  </w:style>
  <w:style w:type="paragraph" w:customStyle="1" w:styleId="TableTextRight">
    <w:name w:val="Table Text Right"/>
    <w:basedOn w:val="TableTextBase"/>
    <w:rsid w:val="00CB1944"/>
    <w:pPr>
      <w:jc w:val="right"/>
    </w:pPr>
  </w:style>
  <w:style w:type="paragraph" w:styleId="TOC1">
    <w:name w:val="toc 1"/>
    <w:basedOn w:val="HeadingBase"/>
    <w:next w:val="Normal"/>
    <w:rsid w:val="00CB1944"/>
    <w:pPr>
      <w:tabs>
        <w:tab w:val="right" w:leader="dot" w:pos="7700"/>
      </w:tabs>
      <w:spacing w:before="180"/>
      <w:ind w:right="851"/>
    </w:pPr>
    <w:rPr>
      <w:b/>
      <w:smallCaps/>
      <w:noProof/>
      <w:sz w:val="22"/>
      <w:szCs w:val="22"/>
    </w:rPr>
  </w:style>
  <w:style w:type="paragraph" w:styleId="TOC2">
    <w:name w:val="toc 2"/>
    <w:basedOn w:val="Normal"/>
    <w:next w:val="Normal"/>
    <w:rsid w:val="00CB1944"/>
    <w:pPr>
      <w:tabs>
        <w:tab w:val="right" w:leader="dot" w:pos="7700"/>
      </w:tabs>
      <w:spacing w:after="0"/>
      <w:ind w:right="851"/>
      <w:jc w:val="left"/>
    </w:pPr>
    <w:rPr>
      <w:noProof/>
    </w:rPr>
  </w:style>
  <w:style w:type="paragraph" w:styleId="TOC3">
    <w:name w:val="toc 3"/>
    <w:basedOn w:val="Normal"/>
    <w:next w:val="Normal"/>
    <w:rsid w:val="00CB1944"/>
    <w:pPr>
      <w:tabs>
        <w:tab w:val="right" w:leader="dot" w:pos="7700"/>
      </w:tabs>
      <w:spacing w:after="0" w:line="240" w:lineRule="auto"/>
      <w:ind w:left="284" w:right="851"/>
      <w:jc w:val="left"/>
    </w:pPr>
    <w:rPr>
      <w:noProof/>
    </w:rPr>
  </w:style>
  <w:style w:type="paragraph" w:styleId="TOC4">
    <w:name w:val="toc 4"/>
    <w:basedOn w:val="Normal"/>
    <w:next w:val="Normal"/>
    <w:rsid w:val="00CB1944"/>
    <w:pPr>
      <w:tabs>
        <w:tab w:val="right" w:leader="dot" w:pos="7700"/>
      </w:tabs>
      <w:spacing w:after="0" w:line="240" w:lineRule="auto"/>
      <w:ind w:left="284" w:right="851" w:hanging="284"/>
      <w:jc w:val="left"/>
    </w:pPr>
    <w:rPr>
      <w:noProof/>
    </w:rPr>
  </w:style>
  <w:style w:type="character" w:customStyle="1" w:styleId="Italic">
    <w:name w:val="Italic"/>
    <w:basedOn w:val="DefaultParagraphFont"/>
    <w:rsid w:val="00CB1944"/>
    <w:rPr>
      <w:i/>
    </w:rPr>
  </w:style>
  <w:style w:type="paragraph" w:customStyle="1" w:styleId="OneLevelNumberedParagraph">
    <w:name w:val="One Level Numbered Paragraph"/>
    <w:basedOn w:val="Normal"/>
    <w:rsid w:val="00CB1944"/>
    <w:pPr>
      <w:numPr>
        <w:numId w:val="10"/>
      </w:numPr>
    </w:pPr>
  </w:style>
  <w:style w:type="paragraph" w:customStyle="1" w:styleId="BoxText">
    <w:name w:val="Box Text"/>
    <w:basedOn w:val="BoxTextBase"/>
    <w:rsid w:val="00CB1944"/>
  </w:style>
  <w:style w:type="paragraph" w:customStyle="1" w:styleId="BoxBullet">
    <w:name w:val="Box Bullet"/>
    <w:basedOn w:val="BoxTextBase"/>
    <w:rsid w:val="00CB1944"/>
    <w:pPr>
      <w:numPr>
        <w:numId w:val="9"/>
      </w:numPr>
    </w:pPr>
  </w:style>
  <w:style w:type="paragraph" w:customStyle="1" w:styleId="BoxDash">
    <w:name w:val="Box Dash"/>
    <w:basedOn w:val="Normal"/>
    <w:rsid w:val="00CB1944"/>
    <w:pPr>
      <w:numPr>
        <w:ilvl w:val="1"/>
        <w:numId w:val="9"/>
      </w:numPr>
    </w:pPr>
  </w:style>
  <w:style w:type="paragraph" w:customStyle="1" w:styleId="BoxDoubleDot">
    <w:name w:val="Box Double Dot"/>
    <w:basedOn w:val="BoxTextBase"/>
    <w:rsid w:val="00CB1944"/>
    <w:pPr>
      <w:numPr>
        <w:ilvl w:val="2"/>
        <w:numId w:val="9"/>
      </w:numPr>
    </w:pPr>
  </w:style>
  <w:style w:type="paragraph" w:customStyle="1" w:styleId="RecommendationBullet">
    <w:name w:val="Recommendation Bullet"/>
    <w:basedOn w:val="RecommendationBaseText"/>
    <w:rsid w:val="00CB1944"/>
    <w:pPr>
      <w:numPr>
        <w:numId w:val="11"/>
      </w:numPr>
    </w:pPr>
  </w:style>
  <w:style w:type="paragraph" w:customStyle="1" w:styleId="RecommendationDash">
    <w:name w:val="Recommendation Dash"/>
    <w:basedOn w:val="RecommendationBaseText"/>
    <w:rsid w:val="00CB1944"/>
    <w:pPr>
      <w:numPr>
        <w:ilvl w:val="1"/>
        <w:numId w:val="11"/>
      </w:numPr>
    </w:pPr>
  </w:style>
  <w:style w:type="paragraph" w:customStyle="1" w:styleId="RecommendationDoubleDot">
    <w:name w:val="Recommendation Double Dot"/>
    <w:basedOn w:val="RecommendationBaseText"/>
    <w:rsid w:val="00CB1944"/>
    <w:pPr>
      <w:numPr>
        <w:ilvl w:val="2"/>
        <w:numId w:val="11"/>
      </w:numPr>
    </w:pPr>
  </w:style>
  <w:style w:type="character" w:customStyle="1" w:styleId="Boldanditalic">
    <w:name w:val="Bold and italic"/>
    <w:basedOn w:val="DefaultParagraphFont"/>
    <w:rsid w:val="00CB1944"/>
    <w:rPr>
      <w:b/>
      <w:i/>
    </w:rPr>
  </w:style>
  <w:style w:type="paragraph" w:styleId="Caption">
    <w:name w:val="caption"/>
    <w:basedOn w:val="Normal"/>
    <w:next w:val="Normal"/>
    <w:qFormat/>
    <w:rsid w:val="00CB1944"/>
    <w:pPr>
      <w:spacing w:before="120" w:after="120"/>
    </w:pPr>
    <w:rPr>
      <w:b/>
      <w:bCs/>
    </w:rPr>
  </w:style>
  <w:style w:type="character" w:styleId="CommentReference">
    <w:name w:val="annotation reference"/>
    <w:basedOn w:val="DefaultParagraphFont"/>
    <w:rsid w:val="00CB1944"/>
    <w:rPr>
      <w:sz w:val="16"/>
      <w:szCs w:val="16"/>
    </w:rPr>
  </w:style>
  <w:style w:type="paragraph" w:styleId="CommentText">
    <w:name w:val="annotation text"/>
    <w:basedOn w:val="Normal"/>
    <w:rsid w:val="00CB1944"/>
  </w:style>
  <w:style w:type="paragraph" w:styleId="CommentSubject">
    <w:name w:val="annotation subject"/>
    <w:basedOn w:val="CommentText"/>
    <w:next w:val="CommentText"/>
    <w:rsid w:val="00CB1944"/>
    <w:rPr>
      <w:b/>
      <w:bCs/>
    </w:rPr>
  </w:style>
  <w:style w:type="paragraph" w:styleId="DocumentMap">
    <w:name w:val="Document Map"/>
    <w:basedOn w:val="Normal"/>
    <w:rsid w:val="00CB1944"/>
    <w:pPr>
      <w:shd w:val="clear" w:color="auto" w:fill="000080"/>
    </w:pPr>
    <w:rPr>
      <w:rFonts w:ascii="Tahoma" w:hAnsi="Tahoma" w:cs="Tahoma"/>
    </w:rPr>
  </w:style>
  <w:style w:type="character" w:styleId="EndnoteReference">
    <w:name w:val="endnote reference"/>
    <w:basedOn w:val="DefaultParagraphFont"/>
    <w:rsid w:val="00CB1944"/>
    <w:rPr>
      <w:vertAlign w:val="superscript"/>
    </w:rPr>
  </w:style>
  <w:style w:type="paragraph" w:styleId="EndnoteText">
    <w:name w:val="endnote text"/>
    <w:basedOn w:val="Normal"/>
    <w:rsid w:val="00CB1944"/>
  </w:style>
  <w:style w:type="paragraph" w:styleId="Index1">
    <w:name w:val="index 1"/>
    <w:basedOn w:val="Normal"/>
    <w:next w:val="Normal"/>
    <w:autoRedefine/>
    <w:rsid w:val="00CB1944"/>
    <w:pPr>
      <w:ind w:left="200" w:hanging="200"/>
    </w:pPr>
  </w:style>
  <w:style w:type="paragraph" w:styleId="Index2">
    <w:name w:val="index 2"/>
    <w:basedOn w:val="Normal"/>
    <w:next w:val="Normal"/>
    <w:autoRedefine/>
    <w:rsid w:val="00CB1944"/>
    <w:pPr>
      <w:ind w:left="400" w:hanging="200"/>
    </w:pPr>
  </w:style>
  <w:style w:type="paragraph" w:styleId="Index3">
    <w:name w:val="index 3"/>
    <w:basedOn w:val="Normal"/>
    <w:next w:val="Normal"/>
    <w:autoRedefine/>
    <w:rsid w:val="00CB1944"/>
    <w:pPr>
      <w:ind w:left="600" w:hanging="200"/>
    </w:pPr>
  </w:style>
  <w:style w:type="paragraph" w:styleId="Index4">
    <w:name w:val="index 4"/>
    <w:basedOn w:val="Normal"/>
    <w:next w:val="Normal"/>
    <w:autoRedefine/>
    <w:rsid w:val="00CB1944"/>
    <w:pPr>
      <w:ind w:left="800" w:hanging="200"/>
    </w:pPr>
  </w:style>
  <w:style w:type="paragraph" w:styleId="Index5">
    <w:name w:val="index 5"/>
    <w:basedOn w:val="Normal"/>
    <w:next w:val="Normal"/>
    <w:autoRedefine/>
    <w:rsid w:val="00CB1944"/>
    <w:pPr>
      <w:ind w:left="1000" w:hanging="200"/>
    </w:pPr>
  </w:style>
  <w:style w:type="paragraph" w:styleId="Index6">
    <w:name w:val="index 6"/>
    <w:basedOn w:val="Normal"/>
    <w:next w:val="Normal"/>
    <w:autoRedefine/>
    <w:rsid w:val="00CB1944"/>
    <w:pPr>
      <w:ind w:left="1200" w:hanging="200"/>
    </w:pPr>
  </w:style>
  <w:style w:type="paragraph" w:styleId="Index7">
    <w:name w:val="index 7"/>
    <w:basedOn w:val="Normal"/>
    <w:next w:val="Normal"/>
    <w:autoRedefine/>
    <w:rsid w:val="00CB1944"/>
    <w:pPr>
      <w:ind w:left="1400" w:hanging="200"/>
    </w:pPr>
  </w:style>
  <w:style w:type="paragraph" w:styleId="Index8">
    <w:name w:val="index 8"/>
    <w:basedOn w:val="Normal"/>
    <w:next w:val="Normal"/>
    <w:autoRedefine/>
    <w:rsid w:val="00CB1944"/>
    <w:pPr>
      <w:ind w:left="1600" w:hanging="200"/>
    </w:pPr>
  </w:style>
  <w:style w:type="paragraph" w:styleId="Index9">
    <w:name w:val="index 9"/>
    <w:basedOn w:val="Normal"/>
    <w:next w:val="Normal"/>
    <w:autoRedefine/>
    <w:rsid w:val="00CB1944"/>
    <w:pPr>
      <w:ind w:left="1800" w:hanging="200"/>
    </w:pPr>
  </w:style>
  <w:style w:type="paragraph" w:styleId="IndexHeading">
    <w:name w:val="index heading"/>
    <w:basedOn w:val="Normal"/>
    <w:next w:val="Index1"/>
    <w:rsid w:val="000B3309"/>
    <w:rPr>
      <w:rFonts w:ascii="Arial" w:hAnsi="Arial" w:cs="Arial"/>
      <w:b/>
      <w:bCs/>
      <w:color w:val="72B4E7"/>
    </w:rPr>
  </w:style>
  <w:style w:type="paragraph" w:styleId="MacroText">
    <w:name w:val="macro"/>
    <w:rsid w:val="00CB1944"/>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hAnsi="Courier New" w:cs="Courier New"/>
      <w:color w:val="000000"/>
    </w:rPr>
  </w:style>
  <w:style w:type="paragraph" w:styleId="TableofAuthorities">
    <w:name w:val="table of authorities"/>
    <w:basedOn w:val="Normal"/>
    <w:next w:val="Normal"/>
    <w:rsid w:val="00CB1944"/>
    <w:pPr>
      <w:ind w:left="200" w:hanging="200"/>
    </w:pPr>
  </w:style>
  <w:style w:type="paragraph" w:styleId="TableofFigures">
    <w:name w:val="table of figures"/>
    <w:basedOn w:val="Normal"/>
    <w:next w:val="Normal"/>
    <w:rsid w:val="00CB1944"/>
    <w:pPr>
      <w:ind w:left="400" w:hanging="400"/>
    </w:pPr>
  </w:style>
  <w:style w:type="paragraph" w:styleId="TOAHeading">
    <w:name w:val="toa heading"/>
    <w:basedOn w:val="Normal"/>
    <w:next w:val="Normal"/>
    <w:rsid w:val="00CB1944"/>
    <w:pPr>
      <w:spacing w:before="120"/>
    </w:pPr>
    <w:rPr>
      <w:rFonts w:ascii="Arial" w:hAnsi="Arial" w:cs="Arial"/>
      <w:b/>
      <w:bCs/>
      <w:sz w:val="24"/>
      <w:szCs w:val="24"/>
    </w:rPr>
  </w:style>
  <w:style w:type="paragraph" w:styleId="TOC5">
    <w:name w:val="toc 5"/>
    <w:basedOn w:val="TOC2"/>
    <w:next w:val="Normal"/>
    <w:autoRedefine/>
    <w:rsid w:val="00CB1944"/>
    <w:pPr>
      <w:ind w:left="1260" w:hanging="1260"/>
    </w:pPr>
  </w:style>
  <w:style w:type="paragraph" w:styleId="TOC6">
    <w:name w:val="toc 6"/>
    <w:basedOn w:val="TOC5"/>
    <w:next w:val="Normal"/>
    <w:rsid w:val="00CB1944"/>
    <w:pPr>
      <w:tabs>
        <w:tab w:val="left" w:pos="1080"/>
        <w:tab w:val="left" w:pos="1134"/>
      </w:tabs>
      <w:ind w:left="1080" w:hanging="1080"/>
    </w:pPr>
  </w:style>
  <w:style w:type="paragraph" w:styleId="TOC7">
    <w:name w:val="toc 7"/>
    <w:basedOn w:val="Normal"/>
    <w:next w:val="Normal"/>
    <w:autoRedefine/>
    <w:rsid w:val="00CB1944"/>
    <w:pPr>
      <w:ind w:left="1200"/>
    </w:pPr>
  </w:style>
  <w:style w:type="paragraph" w:styleId="TOC8">
    <w:name w:val="toc 8"/>
    <w:basedOn w:val="Normal"/>
    <w:next w:val="Normal"/>
    <w:autoRedefine/>
    <w:rsid w:val="00CB1944"/>
    <w:pPr>
      <w:ind w:left="1400"/>
    </w:pPr>
  </w:style>
  <w:style w:type="paragraph" w:styleId="TOC9">
    <w:name w:val="toc 9"/>
    <w:basedOn w:val="Normal"/>
    <w:next w:val="Normal"/>
    <w:autoRedefine/>
    <w:rsid w:val="00CB1944"/>
    <w:pPr>
      <w:ind w:left="1600"/>
    </w:pPr>
  </w:style>
  <w:style w:type="paragraph" w:customStyle="1" w:styleId="AppendixAHeading3">
    <w:name w:val="AppendixAHeading3"/>
    <w:basedOn w:val="Heading3"/>
    <w:next w:val="AppendixAHeading4"/>
    <w:rsid w:val="00CB1944"/>
    <w:pPr>
      <w:numPr>
        <w:numId w:val="35"/>
      </w:numPr>
    </w:pPr>
    <w:rPr>
      <w:rFonts w:ascii="Arial Bold" w:hAnsi="Arial Bold"/>
      <w:i/>
    </w:rPr>
  </w:style>
  <w:style w:type="paragraph" w:customStyle="1" w:styleId="AppendixAHeading4">
    <w:name w:val="AppendixAHeading4"/>
    <w:basedOn w:val="Heading4"/>
    <w:next w:val="Bullet"/>
    <w:rsid w:val="00CB1944"/>
    <w:pPr>
      <w:numPr>
        <w:ilvl w:val="1"/>
        <w:numId w:val="36"/>
      </w:numPr>
    </w:pPr>
  </w:style>
  <w:style w:type="paragraph" w:customStyle="1" w:styleId="AppendixGHeading3">
    <w:name w:val="AppendixGHeading3"/>
    <w:basedOn w:val="Heading3"/>
    <w:rsid w:val="00CB1944"/>
    <w:pPr>
      <w:numPr>
        <w:numId w:val="29"/>
      </w:numPr>
    </w:pPr>
  </w:style>
  <w:style w:type="paragraph" w:customStyle="1" w:styleId="NumberedParagraph">
    <w:name w:val="Numbered Paragraph"/>
    <w:basedOn w:val="Normal"/>
    <w:rsid w:val="00CB1944"/>
    <w:pPr>
      <w:numPr>
        <w:numId w:val="24"/>
      </w:numPr>
    </w:pPr>
  </w:style>
  <w:style w:type="paragraph" w:customStyle="1" w:styleId="paragraph">
    <w:name w:val="paragraph"/>
    <w:aliases w:val="a,indent(a)"/>
    <w:basedOn w:val="Normal"/>
    <w:rsid w:val="00FF039E"/>
    <w:pPr>
      <w:tabs>
        <w:tab w:val="right" w:pos="1531"/>
      </w:tabs>
      <w:spacing w:before="40" w:after="0" w:line="260" w:lineRule="atLeast"/>
      <w:ind w:left="1644" w:hanging="1644"/>
      <w:jc w:val="left"/>
    </w:pPr>
    <w:rPr>
      <w:rFonts w:ascii="Times New Roman" w:hAnsi="Times New Roman"/>
      <w:color w:val="auto"/>
      <w:sz w:val="22"/>
      <w:szCs w:val="22"/>
    </w:rPr>
  </w:style>
  <w:style w:type="paragraph" w:customStyle="1" w:styleId="subsection">
    <w:name w:val="subsection"/>
    <w:aliases w:val="ss,Subsection"/>
    <w:basedOn w:val="Normal"/>
    <w:rsid w:val="00FF039E"/>
    <w:pPr>
      <w:tabs>
        <w:tab w:val="right" w:pos="1021"/>
      </w:tabs>
      <w:spacing w:before="180" w:after="0" w:line="260" w:lineRule="atLeast"/>
      <w:ind w:left="1134" w:hanging="1134"/>
      <w:jc w:val="left"/>
    </w:pPr>
    <w:rPr>
      <w:rFonts w:ascii="Times New Roman" w:hAnsi="Times New Roman"/>
      <w:color w:val="auto"/>
      <w:sz w:val="22"/>
      <w:szCs w:val="22"/>
    </w:rPr>
  </w:style>
  <w:style w:type="paragraph" w:customStyle="1" w:styleId="Heading3TOC">
    <w:name w:val="Heading 3 TOC"/>
    <w:basedOn w:val="Heading3"/>
    <w:rsid w:val="00AA2818"/>
    <w:pPr>
      <w:jc w:val="both"/>
    </w:pPr>
  </w:style>
  <w:style w:type="paragraph" w:customStyle="1" w:styleId="Heading3noTOC">
    <w:name w:val="Heading 3 no TOC"/>
    <w:basedOn w:val="Heading3"/>
    <w:rsid w:val="00CB1944"/>
    <w:pPr>
      <w:outlineLvl w:val="9"/>
    </w:pPr>
  </w:style>
  <w:style w:type="character" w:styleId="Strong">
    <w:name w:val="Strong"/>
    <w:basedOn w:val="DefaultParagraphFont"/>
    <w:qFormat/>
    <w:rsid w:val="004728AB"/>
    <w:rPr>
      <w:b/>
      <w:bCs/>
    </w:rPr>
  </w:style>
  <w:style w:type="character" w:styleId="FollowedHyperlink">
    <w:name w:val="FollowedHyperlink"/>
    <w:basedOn w:val="DefaultParagraphFont"/>
    <w:rsid w:val="00CB1944"/>
    <w:rPr>
      <w:color w:val="000000"/>
      <w:u w:val="none"/>
    </w:rPr>
  </w:style>
  <w:style w:type="paragraph" w:customStyle="1" w:styleId="Style1">
    <w:name w:val="Style1"/>
    <w:basedOn w:val="AppendixAHeading3"/>
    <w:next w:val="AppendixAHeading4"/>
    <w:rsid w:val="00CB1944"/>
    <w:pPr>
      <w:numPr>
        <w:numId w:val="0"/>
      </w:numPr>
    </w:pPr>
  </w:style>
  <w:style w:type="paragraph" w:customStyle="1" w:styleId="AppendixAHeading3NotItalic">
    <w:name w:val="AppendixAHeading3NotItalic"/>
    <w:basedOn w:val="HeadingBase"/>
    <w:next w:val="AppendixAHeading4"/>
    <w:rsid w:val="00CB1944"/>
    <w:pPr>
      <w:numPr>
        <w:numId w:val="36"/>
      </w:numPr>
      <w:spacing w:before="57" w:after="57" w:line="280" w:lineRule="exact"/>
    </w:pPr>
    <w:rPr>
      <w:rFonts w:ascii="Arial Bold" w:hAnsi="Arial Bold"/>
      <w:b/>
      <w:sz w:val="24"/>
    </w:rPr>
  </w:style>
  <w:style w:type="paragraph" w:customStyle="1" w:styleId="Heading1noTOC">
    <w:name w:val="Heading 1 no TOC"/>
    <w:basedOn w:val="Heading1"/>
    <w:next w:val="Normal"/>
    <w:rsid w:val="00CB1944"/>
  </w:style>
  <w:style w:type="paragraph" w:customStyle="1" w:styleId="CharCharCharCharCharChar">
    <w:name w:val="Char Char Char Char Char Char"/>
    <w:basedOn w:val="Normal"/>
    <w:rsid w:val="00DD29DF"/>
    <w:pPr>
      <w:spacing w:after="160" w:line="240" w:lineRule="exact"/>
      <w:jc w:val="left"/>
    </w:pPr>
    <w:rPr>
      <w:rFonts w:ascii="Verdana" w:hAnsi="Verdana"/>
      <w:color w:val="auto"/>
      <w:szCs w:val="24"/>
      <w:lang w:val="en-US" w:eastAsia="en-US"/>
    </w:rPr>
  </w:style>
  <w:style w:type="character" w:customStyle="1" w:styleId="semi-bold1">
    <w:name w:val="semi-bold1"/>
    <w:basedOn w:val="DefaultParagraphFont"/>
    <w:rsid w:val="00DD29DF"/>
    <w:rPr>
      <w:b/>
      <w:bCs/>
      <w:color w:val="6C6C6C"/>
      <w:sz w:val="22"/>
      <w:szCs w:val="22"/>
    </w:rPr>
  </w:style>
  <w:style w:type="paragraph" w:customStyle="1" w:styleId="Heading2noTOC">
    <w:name w:val="Heading 2 no TOC"/>
    <w:basedOn w:val="Heading2"/>
    <w:next w:val="Normal"/>
    <w:rsid w:val="00CB1944"/>
    <w:pPr>
      <w:outlineLvl w:val="9"/>
    </w:pPr>
    <w:rPr>
      <w:rFonts w:ascii="Arial" w:hAnsi="Arial"/>
    </w:rPr>
  </w:style>
  <w:style w:type="paragraph" w:customStyle="1" w:styleId="Heading9noTOC">
    <w:name w:val="Heading 9 no TOC"/>
    <w:basedOn w:val="Heading9"/>
    <w:rsid w:val="00CB1944"/>
    <w:pPr>
      <w:outlineLvl w:val="9"/>
    </w:pPr>
  </w:style>
  <w:style w:type="character" w:styleId="IntenseEmphasis">
    <w:name w:val="Intense Emphasis"/>
    <w:basedOn w:val="DefaultParagraphFont"/>
    <w:uiPriority w:val="21"/>
    <w:qFormat/>
    <w:rsid w:val="00CB1944"/>
    <w:rPr>
      <w:b/>
      <w:bCs/>
      <w:i/>
      <w:iCs/>
      <w:color w:val="005ABB"/>
    </w:rPr>
  </w:style>
  <w:style w:type="paragraph" w:styleId="IntenseQuote">
    <w:name w:val="Intense Quote"/>
    <w:basedOn w:val="Normal"/>
    <w:next w:val="Normal"/>
    <w:link w:val="IntenseQuoteChar"/>
    <w:uiPriority w:val="30"/>
    <w:qFormat/>
    <w:rsid w:val="00CB1944"/>
    <w:pPr>
      <w:pBdr>
        <w:bottom w:val="single" w:sz="4" w:space="4" w:color="4F81BD"/>
      </w:pBdr>
      <w:spacing w:before="200" w:after="280"/>
      <w:ind w:left="936" w:right="936"/>
    </w:pPr>
    <w:rPr>
      <w:b/>
      <w:bCs/>
      <w:i/>
      <w:iCs/>
      <w:color w:val="005ABB"/>
    </w:rPr>
  </w:style>
  <w:style w:type="character" w:customStyle="1" w:styleId="IntenseQuoteChar">
    <w:name w:val="Intense Quote Char"/>
    <w:basedOn w:val="DefaultParagraphFont"/>
    <w:link w:val="IntenseQuote"/>
    <w:uiPriority w:val="30"/>
    <w:rsid w:val="00CB1944"/>
    <w:rPr>
      <w:rFonts w:ascii="Book Antiqua" w:hAnsi="Book Antiqua"/>
      <w:b/>
      <w:bCs/>
      <w:i/>
      <w:iCs/>
      <w:color w:val="005ABB"/>
    </w:rPr>
  </w:style>
  <w:style w:type="paragraph" w:styleId="TOCHeading">
    <w:name w:val="TOC Heading"/>
    <w:basedOn w:val="Heading1"/>
    <w:next w:val="Normal"/>
    <w:uiPriority w:val="39"/>
    <w:semiHidden/>
    <w:unhideWhenUsed/>
    <w:qFormat/>
    <w:rsid w:val="00CB1944"/>
    <w:pPr>
      <w:keepLines/>
      <w:spacing w:before="480" w:after="0" w:line="260" w:lineRule="exact"/>
      <w:jc w:val="both"/>
      <w:outlineLvl w:val="9"/>
    </w:pPr>
    <w:rPr>
      <w:rFonts w:ascii="Cambria" w:hAnsi="Cambria" w:cs="Times New Roman"/>
      <w:kern w:val="0"/>
      <w:sz w:val="28"/>
      <w:szCs w:val="28"/>
    </w:rPr>
  </w:style>
  <w:style w:type="paragraph" w:styleId="Subtitle">
    <w:name w:val="Subtitle"/>
    <w:basedOn w:val="Normal"/>
    <w:next w:val="Normal"/>
    <w:link w:val="SubtitleChar"/>
    <w:qFormat/>
    <w:rsid w:val="00CB1944"/>
    <w:pPr>
      <w:numPr>
        <w:ilvl w:val="1"/>
      </w:numPr>
    </w:pPr>
    <w:rPr>
      <w:rFonts w:ascii="Cambria" w:hAnsi="Cambria"/>
      <w:i/>
      <w:iCs/>
      <w:color w:val="005ABB"/>
      <w:spacing w:val="15"/>
      <w:sz w:val="24"/>
      <w:szCs w:val="24"/>
    </w:rPr>
  </w:style>
  <w:style w:type="character" w:customStyle="1" w:styleId="SubtitleChar">
    <w:name w:val="Subtitle Char"/>
    <w:basedOn w:val="DefaultParagraphFont"/>
    <w:link w:val="Subtitle"/>
    <w:rsid w:val="00CB1944"/>
    <w:rPr>
      <w:rFonts w:ascii="Cambria" w:eastAsia="Times New Roman" w:hAnsi="Cambria" w:cs="Times New Roman"/>
      <w:i/>
      <w:iCs/>
      <w:color w:val="005ABB"/>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1944"/>
    <w:pPr>
      <w:spacing w:after="240" w:line="260" w:lineRule="exact"/>
      <w:jc w:val="both"/>
    </w:pPr>
    <w:rPr>
      <w:rFonts w:ascii="Book Antiqua" w:hAnsi="Book Antiqua"/>
      <w:color w:val="000000"/>
    </w:rPr>
  </w:style>
  <w:style w:type="paragraph" w:styleId="Heading1">
    <w:name w:val="heading 1"/>
    <w:basedOn w:val="HeadingBase"/>
    <w:next w:val="Normal"/>
    <w:qFormat/>
    <w:rsid w:val="00CB1944"/>
    <w:pPr>
      <w:keepNext/>
      <w:spacing w:before="284" w:after="113"/>
      <w:outlineLvl w:val="0"/>
    </w:pPr>
    <w:rPr>
      <w:rFonts w:cs="Arial"/>
      <w:b/>
      <w:bCs/>
      <w:kern w:val="32"/>
      <w:sz w:val="48"/>
      <w:szCs w:val="48"/>
    </w:rPr>
  </w:style>
  <w:style w:type="paragraph" w:styleId="Heading2">
    <w:name w:val="heading 2"/>
    <w:basedOn w:val="HeadingBase"/>
    <w:next w:val="Normal"/>
    <w:qFormat/>
    <w:rsid w:val="00CB1944"/>
    <w:pPr>
      <w:keepNext/>
      <w:spacing w:before="170" w:after="113" w:line="320" w:lineRule="exact"/>
      <w:outlineLvl w:val="1"/>
    </w:pPr>
    <w:rPr>
      <w:rFonts w:ascii="Arial Bold" w:hAnsi="Arial Bold" w:cs="Arial"/>
      <w:b/>
      <w:bCs/>
      <w:iCs/>
      <w:sz w:val="28"/>
      <w:szCs w:val="28"/>
    </w:rPr>
  </w:style>
  <w:style w:type="paragraph" w:styleId="Heading3">
    <w:name w:val="heading 3"/>
    <w:basedOn w:val="HeadingBase"/>
    <w:next w:val="Normal"/>
    <w:qFormat/>
    <w:rsid w:val="00CB1944"/>
    <w:pPr>
      <w:keepNext/>
      <w:spacing w:before="57" w:after="57" w:line="280" w:lineRule="exact"/>
      <w:outlineLvl w:val="2"/>
    </w:pPr>
    <w:rPr>
      <w:rFonts w:cs="Arial"/>
      <w:b/>
      <w:bCs/>
      <w:sz w:val="24"/>
      <w:szCs w:val="26"/>
    </w:rPr>
  </w:style>
  <w:style w:type="paragraph" w:styleId="Heading4">
    <w:name w:val="heading 4"/>
    <w:basedOn w:val="HeadingBase"/>
    <w:next w:val="Normal"/>
    <w:qFormat/>
    <w:rsid w:val="00CB1944"/>
    <w:pPr>
      <w:keepNext/>
      <w:spacing w:before="57" w:after="57" w:line="280" w:lineRule="exact"/>
      <w:outlineLvl w:val="3"/>
    </w:pPr>
    <w:rPr>
      <w:b/>
      <w:bCs/>
      <w:szCs w:val="22"/>
    </w:rPr>
  </w:style>
  <w:style w:type="paragraph" w:styleId="Heading5">
    <w:name w:val="heading 5"/>
    <w:basedOn w:val="HeadingBase"/>
    <w:next w:val="Normal"/>
    <w:qFormat/>
    <w:rsid w:val="00CB1944"/>
    <w:pPr>
      <w:keepNext/>
      <w:spacing w:before="57" w:after="57" w:line="280" w:lineRule="exact"/>
      <w:outlineLvl w:val="4"/>
    </w:pPr>
    <w:rPr>
      <w:bCs/>
      <w:iCs/>
    </w:rPr>
  </w:style>
  <w:style w:type="paragraph" w:styleId="Heading6">
    <w:name w:val="heading 6"/>
    <w:basedOn w:val="HeadingBase"/>
    <w:next w:val="Normal"/>
    <w:qFormat/>
    <w:rsid w:val="00CB1944"/>
    <w:pPr>
      <w:keepNext/>
      <w:spacing w:after="120"/>
      <w:outlineLvl w:val="5"/>
    </w:pPr>
    <w:rPr>
      <w:bCs/>
      <w:szCs w:val="22"/>
    </w:rPr>
  </w:style>
  <w:style w:type="paragraph" w:styleId="Heading7">
    <w:name w:val="heading 7"/>
    <w:basedOn w:val="Heading2"/>
    <w:next w:val="Normal"/>
    <w:qFormat/>
    <w:rsid w:val="00CB1944"/>
    <w:pPr>
      <w:jc w:val="right"/>
      <w:outlineLvl w:val="6"/>
    </w:pPr>
  </w:style>
  <w:style w:type="paragraph" w:styleId="Heading8">
    <w:name w:val="heading 8"/>
    <w:basedOn w:val="HeadingBase"/>
    <w:next w:val="Normal"/>
    <w:qFormat/>
    <w:rsid w:val="00CB1944"/>
    <w:pPr>
      <w:keepNext/>
      <w:spacing w:before="284" w:after="360"/>
      <w:jc w:val="right"/>
      <w:outlineLvl w:val="7"/>
    </w:pPr>
    <w:rPr>
      <w:iCs/>
      <w:sz w:val="48"/>
      <w:szCs w:val="24"/>
    </w:rPr>
  </w:style>
  <w:style w:type="paragraph" w:styleId="Heading9">
    <w:name w:val="heading 9"/>
    <w:basedOn w:val="HeadingBase"/>
    <w:next w:val="Normal"/>
    <w:qFormat/>
    <w:rsid w:val="00CB1944"/>
    <w:pPr>
      <w:keepNext/>
      <w:spacing w:before="170" w:after="113" w:line="320" w:lineRule="exact"/>
      <w:jc w:val="right"/>
      <w:outlineLvl w:val="8"/>
    </w:pPr>
    <w:rPr>
      <w:rFonts w:cs="Arial"/>
      <w:b/>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rsid w:val="00CB1944"/>
    <w:pPr>
      <w:spacing w:after="0"/>
    </w:pPr>
  </w:style>
  <w:style w:type="character" w:styleId="Hyperlink">
    <w:name w:val="Hyperlink"/>
    <w:basedOn w:val="DefaultParagraphFont"/>
    <w:rsid w:val="00CB1944"/>
    <w:rPr>
      <w:color w:val="000000"/>
      <w:u w:val="none"/>
    </w:rPr>
  </w:style>
  <w:style w:type="character" w:styleId="FootnoteReference">
    <w:name w:val="footnote reference"/>
    <w:basedOn w:val="DefaultParagraphFont"/>
    <w:rsid w:val="00CB1944"/>
    <w:rPr>
      <w:vertAlign w:val="superscript"/>
    </w:rPr>
  </w:style>
  <w:style w:type="paragraph" w:styleId="BalloonText">
    <w:name w:val="Balloon Text"/>
    <w:basedOn w:val="Normal"/>
    <w:rsid w:val="00CB1944"/>
    <w:rPr>
      <w:rFonts w:ascii="Tahoma" w:hAnsi="Tahoma" w:cs="Tahoma"/>
      <w:sz w:val="16"/>
      <w:szCs w:val="16"/>
    </w:rPr>
  </w:style>
  <w:style w:type="character" w:styleId="PageNumber">
    <w:name w:val="page number"/>
    <w:basedOn w:val="DefaultParagraphFont"/>
    <w:rsid w:val="000B3309"/>
    <w:rPr>
      <w:rFonts w:ascii="Times" w:hAnsi="Times"/>
      <w:color w:val="72B4E7"/>
      <w:sz w:val="18"/>
      <w:szCs w:val="18"/>
    </w:rPr>
  </w:style>
  <w:style w:type="paragraph" w:styleId="FootnoteText">
    <w:name w:val="footnote text"/>
    <w:basedOn w:val="Normal"/>
    <w:rsid w:val="00CB1944"/>
    <w:pPr>
      <w:tabs>
        <w:tab w:val="left" w:pos="284"/>
      </w:tabs>
      <w:spacing w:after="0" w:line="240" w:lineRule="auto"/>
      <w:ind w:left="284" w:hanging="284"/>
    </w:pPr>
    <w:rPr>
      <w:sz w:val="18"/>
    </w:rPr>
  </w:style>
  <w:style w:type="paragraph" w:customStyle="1" w:styleId="Bullet">
    <w:name w:val="Bullet"/>
    <w:basedOn w:val="Normal"/>
    <w:rsid w:val="00CB1944"/>
    <w:pPr>
      <w:numPr>
        <w:numId w:val="1"/>
      </w:numPr>
      <w:ind w:left="284" w:hanging="284"/>
    </w:pPr>
  </w:style>
  <w:style w:type="paragraph" w:customStyle="1" w:styleId="Dash">
    <w:name w:val="Dash"/>
    <w:basedOn w:val="Normal"/>
    <w:rsid w:val="00CB1944"/>
    <w:pPr>
      <w:numPr>
        <w:ilvl w:val="1"/>
        <w:numId w:val="1"/>
      </w:numPr>
      <w:ind w:left="568"/>
    </w:pPr>
  </w:style>
  <w:style w:type="paragraph" w:customStyle="1" w:styleId="DoubleDot">
    <w:name w:val="Double Dot"/>
    <w:basedOn w:val="Normal"/>
    <w:rsid w:val="00CB1944"/>
    <w:pPr>
      <w:numPr>
        <w:ilvl w:val="2"/>
        <w:numId w:val="1"/>
      </w:numPr>
    </w:pPr>
  </w:style>
  <w:style w:type="paragraph" w:customStyle="1" w:styleId="OutlineNumbered1">
    <w:name w:val="Outline Numbered 1"/>
    <w:basedOn w:val="Normal"/>
    <w:rsid w:val="00CB1944"/>
    <w:pPr>
      <w:numPr>
        <w:numId w:val="2"/>
      </w:numPr>
    </w:pPr>
  </w:style>
  <w:style w:type="paragraph" w:customStyle="1" w:styleId="OutlineNumbered2">
    <w:name w:val="Outline Numbered 2"/>
    <w:basedOn w:val="Normal"/>
    <w:rsid w:val="00CB1944"/>
    <w:pPr>
      <w:numPr>
        <w:ilvl w:val="1"/>
        <w:numId w:val="2"/>
      </w:numPr>
    </w:pPr>
  </w:style>
  <w:style w:type="paragraph" w:customStyle="1" w:styleId="OutlineNumbered3">
    <w:name w:val="Outline Numbered 3"/>
    <w:basedOn w:val="Normal"/>
    <w:rsid w:val="00CB1944"/>
    <w:pPr>
      <w:numPr>
        <w:ilvl w:val="2"/>
        <w:numId w:val="2"/>
      </w:numPr>
    </w:pPr>
  </w:style>
  <w:style w:type="paragraph" w:customStyle="1" w:styleId="AlphaParagraph">
    <w:name w:val="Alpha Paragraph"/>
    <w:basedOn w:val="Normal"/>
    <w:rsid w:val="00CB1944"/>
    <w:pPr>
      <w:numPr>
        <w:numId w:val="3"/>
      </w:numPr>
    </w:pPr>
  </w:style>
  <w:style w:type="paragraph" w:customStyle="1" w:styleId="HeadingBase">
    <w:name w:val="Heading Base"/>
    <w:next w:val="Normal"/>
    <w:rsid w:val="000B3309"/>
    <w:rPr>
      <w:rFonts w:ascii="Arial" w:hAnsi="Arial"/>
      <w:color w:val="72B4E7"/>
    </w:rPr>
  </w:style>
  <w:style w:type="paragraph" w:customStyle="1" w:styleId="AppendixHeading">
    <w:name w:val="Appendix Heading"/>
    <w:basedOn w:val="HeadingBase"/>
    <w:next w:val="Normal"/>
    <w:rsid w:val="00CB1944"/>
    <w:pPr>
      <w:spacing w:before="720" w:after="360"/>
    </w:pPr>
    <w:rPr>
      <w:rFonts w:ascii="Arial Bold" w:hAnsi="Arial Bold"/>
      <w:b/>
      <w:smallCaps/>
      <w:sz w:val="36"/>
      <w:szCs w:val="36"/>
    </w:rPr>
  </w:style>
  <w:style w:type="character" w:customStyle="1" w:styleId="Bold">
    <w:name w:val="Bold"/>
    <w:basedOn w:val="DefaultParagraphFont"/>
    <w:rsid w:val="00CB1944"/>
    <w:rPr>
      <w:b/>
    </w:rPr>
  </w:style>
  <w:style w:type="paragraph" w:customStyle="1" w:styleId="BoxHeading">
    <w:name w:val="Box Heading"/>
    <w:basedOn w:val="HeadingBase"/>
    <w:next w:val="BoxText"/>
    <w:rsid w:val="00CB1944"/>
    <w:pPr>
      <w:spacing w:before="120" w:after="120"/>
    </w:pPr>
    <w:rPr>
      <w:b/>
      <w:sz w:val="22"/>
    </w:rPr>
  </w:style>
  <w:style w:type="paragraph" w:customStyle="1" w:styleId="BoxTextBase">
    <w:name w:val="Box Text Base"/>
    <w:basedOn w:val="Normal"/>
    <w:rsid w:val="00CB1944"/>
    <w:pPr>
      <w:spacing w:before="120" w:after="120" w:line="240" w:lineRule="auto"/>
    </w:pPr>
  </w:style>
  <w:style w:type="paragraph" w:customStyle="1" w:styleId="ChartandTableFootnoteAlpha">
    <w:name w:val="Chart and Table Footnote Alpha"/>
    <w:rsid w:val="00CB1944"/>
    <w:pPr>
      <w:numPr>
        <w:numId w:val="4"/>
      </w:numPr>
      <w:jc w:val="both"/>
    </w:pPr>
    <w:rPr>
      <w:rFonts w:ascii="Arial" w:hAnsi="Arial"/>
      <w:color w:val="000000"/>
      <w:sz w:val="16"/>
      <w:szCs w:val="16"/>
    </w:rPr>
  </w:style>
  <w:style w:type="paragraph" w:customStyle="1" w:styleId="ChartGraphic">
    <w:name w:val="Chart Graphic"/>
    <w:basedOn w:val="HeadingBase"/>
    <w:rsid w:val="00CB1944"/>
    <w:pPr>
      <w:jc w:val="center"/>
    </w:pPr>
  </w:style>
  <w:style w:type="paragraph" w:customStyle="1" w:styleId="ChartMainHeading">
    <w:name w:val="Chart Main Heading"/>
    <w:basedOn w:val="HeadingBase"/>
    <w:next w:val="ChartGraphic"/>
    <w:rsid w:val="00CB1944"/>
    <w:pPr>
      <w:keepNext/>
      <w:spacing w:before="170" w:after="113"/>
      <w:jc w:val="center"/>
    </w:pPr>
    <w:rPr>
      <w:b/>
      <w:sz w:val="22"/>
    </w:rPr>
  </w:style>
  <w:style w:type="paragraph" w:customStyle="1" w:styleId="ChartorTableNote">
    <w:name w:val="Chart or Table Note"/>
    <w:next w:val="Normal"/>
    <w:rsid w:val="00CB1944"/>
    <w:pPr>
      <w:jc w:val="both"/>
    </w:pPr>
    <w:rPr>
      <w:rFonts w:ascii="Arial" w:hAnsi="Arial"/>
      <w:color w:val="000000"/>
      <w:sz w:val="16"/>
    </w:rPr>
  </w:style>
  <w:style w:type="paragraph" w:customStyle="1" w:styleId="ChartSecondHeading">
    <w:name w:val="Chart Second Heading"/>
    <w:basedOn w:val="HeadingBase"/>
    <w:next w:val="ChartGraphic"/>
    <w:rsid w:val="00CB1944"/>
    <w:pPr>
      <w:keepNext/>
      <w:spacing w:after="20"/>
      <w:jc w:val="center"/>
    </w:pPr>
  </w:style>
  <w:style w:type="paragraph" w:customStyle="1" w:styleId="Classification">
    <w:name w:val="Classification"/>
    <w:basedOn w:val="HeadingBase"/>
    <w:next w:val="Footer"/>
    <w:rsid w:val="00CB1944"/>
    <w:pPr>
      <w:spacing w:after="120"/>
      <w:jc w:val="center"/>
    </w:pPr>
    <w:rPr>
      <w:b/>
      <w:smallCaps/>
    </w:rPr>
  </w:style>
  <w:style w:type="paragraph" w:styleId="Footer">
    <w:name w:val="footer"/>
    <w:basedOn w:val="HeadingBase"/>
    <w:rsid w:val="00CB1944"/>
    <w:rPr>
      <w:sz w:val="18"/>
    </w:rPr>
  </w:style>
  <w:style w:type="paragraph" w:customStyle="1" w:styleId="ContentsHeading">
    <w:name w:val="Contents Heading"/>
    <w:basedOn w:val="HeadingBase"/>
    <w:next w:val="Normal"/>
    <w:rsid w:val="00CB1944"/>
    <w:pPr>
      <w:spacing w:after="360"/>
    </w:pPr>
    <w:rPr>
      <w:smallCaps/>
      <w:sz w:val="36"/>
      <w:szCs w:val="36"/>
    </w:rPr>
  </w:style>
  <w:style w:type="paragraph" w:customStyle="1" w:styleId="CoverTitleMain">
    <w:name w:val="Cover Title Main"/>
    <w:basedOn w:val="HeadingBase"/>
    <w:next w:val="Normal"/>
    <w:rsid w:val="00CB1944"/>
    <w:pPr>
      <w:spacing w:after="360"/>
      <w:jc w:val="right"/>
    </w:pPr>
    <w:rPr>
      <w:b/>
      <w:sz w:val="44"/>
    </w:rPr>
  </w:style>
  <w:style w:type="paragraph" w:customStyle="1" w:styleId="CoverTitleSub">
    <w:name w:val="Cover Title Sub"/>
    <w:basedOn w:val="HeadingBase"/>
    <w:rsid w:val="00CB1944"/>
    <w:pPr>
      <w:spacing w:after="360"/>
      <w:jc w:val="center"/>
    </w:pPr>
    <w:rPr>
      <w:sz w:val="36"/>
    </w:rPr>
  </w:style>
  <w:style w:type="paragraph" w:customStyle="1" w:styleId="FooterCentered">
    <w:name w:val="Footer Centered"/>
    <w:basedOn w:val="Footer"/>
    <w:rsid w:val="00CB1944"/>
    <w:pPr>
      <w:jc w:val="center"/>
    </w:pPr>
  </w:style>
  <w:style w:type="paragraph" w:customStyle="1" w:styleId="FooterEven">
    <w:name w:val="Footer Even"/>
    <w:basedOn w:val="Footer"/>
    <w:rsid w:val="00CB1944"/>
  </w:style>
  <w:style w:type="paragraph" w:customStyle="1" w:styleId="FooterOdd">
    <w:name w:val="Footer Odd"/>
    <w:basedOn w:val="Footer"/>
    <w:rsid w:val="00CB1944"/>
    <w:pPr>
      <w:jc w:val="right"/>
    </w:pPr>
  </w:style>
  <w:style w:type="character" w:customStyle="1" w:styleId="FramedFooter">
    <w:name w:val="Framed Footer"/>
    <w:rsid w:val="000B3309"/>
    <w:rPr>
      <w:rFonts w:ascii="Swis721 Lt BT" w:hAnsi="Swis721 Lt BT"/>
      <w:color w:val="72B4E7"/>
      <w:sz w:val="18"/>
      <w:szCs w:val="18"/>
    </w:rPr>
  </w:style>
  <w:style w:type="character" w:customStyle="1" w:styleId="FramedHeader">
    <w:name w:val="Framed Header"/>
    <w:basedOn w:val="DefaultParagraphFont"/>
    <w:rsid w:val="000B3309"/>
    <w:rPr>
      <w:rFonts w:ascii="Arial" w:hAnsi="Arial"/>
      <w:dstrike w:val="0"/>
      <w:color w:val="72B4E7"/>
      <w:sz w:val="18"/>
      <w:szCs w:val="18"/>
      <w:vertAlign w:val="baseline"/>
    </w:rPr>
  </w:style>
  <w:style w:type="paragraph" w:styleId="Header">
    <w:name w:val="header"/>
    <w:basedOn w:val="HeadingBase"/>
    <w:rsid w:val="00CB1944"/>
    <w:rPr>
      <w:sz w:val="18"/>
    </w:rPr>
  </w:style>
  <w:style w:type="paragraph" w:customStyle="1" w:styleId="HeaderEven">
    <w:name w:val="Header Even"/>
    <w:basedOn w:val="Header"/>
    <w:rsid w:val="00CB1944"/>
  </w:style>
  <w:style w:type="paragraph" w:customStyle="1" w:styleId="HeaderOdd">
    <w:name w:val="Header Odd"/>
    <w:basedOn w:val="Header"/>
    <w:rsid w:val="00CB1944"/>
    <w:pPr>
      <w:jc w:val="right"/>
    </w:pPr>
  </w:style>
  <w:style w:type="paragraph" w:styleId="NormalIndent">
    <w:name w:val="Normal Indent"/>
    <w:basedOn w:val="Normal"/>
    <w:rsid w:val="00CB1944"/>
    <w:pPr>
      <w:ind w:left="567"/>
    </w:pPr>
  </w:style>
  <w:style w:type="paragraph" w:customStyle="1" w:styleId="RecommendationHeading">
    <w:name w:val="Recommendation Heading"/>
    <w:basedOn w:val="HeadingBase"/>
    <w:next w:val="RecommendationText"/>
    <w:rsid w:val="00CB1944"/>
    <w:pPr>
      <w:spacing w:after="240"/>
    </w:pPr>
    <w:rPr>
      <w:b/>
      <w:sz w:val="22"/>
    </w:rPr>
  </w:style>
  <w:style w:type="paragraph" w:customStyle="1" w:styleId="RecommendationBaseText">
    <w:name w:val="Recommendation Base Text"/>
    <w:basedOn w:val="Normal"/>
    <w:rsid w:val="00CB1944"/>
  </w:style>
  <w:style w:type="paragraph" w:customStyle="1" w:styleId="RecommendationText">
    <w:name w:val="Recommendation Text"/>
    <w:basedOn w:val="RecommendationBaseText"/>
    <w:rsid w:val="00CB1944"/>
  </w:style>
  <w:style w:type="paragraph" w:customStyle="1" w:styleId="TableTextBase">
    <w:name w:val="Table Text Base"/>
    <w:rsid w:val="00CB1944"/>
    <w:pPr>
      <w:spacing w:before="40" w:after="40"/>
    </w:pPr>
    <w:rPr>
      <w:rFonts w:ascii="Arial" w:hAnsi="Arial"/>
      <w:color w:val="000000"/>
      <w:sz w:val="16"/>
    </w:rPr>
  </w:style>
  <w:style w:type="paragraph" w:customStyle="1" w:styleId="TableColumnHeadingCentred">
    <w:name w:val="Table Column Heading Centred"/>
    <w:basedOn w:val="TableTextBase"/>
    <w:rsid w:val="00CB1944"/>
    <w:pPr>
      <w:jc w:val="center"/>
    </w:pPr>
    <w:rPr>
      <w:b/>
    </w:rPr>
  </w:style>
  <w:style w:type="paragraph" w:customStyle="1" w:styleId="TableColumnHeadingLeft">
    <w:name w:val="Table Column Heading Left"/>
    <w:basedOn w:val="TableTextBase"/>
    <w:rsid w:val="00CB1944"/>
    <w:rPr>
      <w:b/>
    </w:rPr>
  </w:style>
  <w:style w:type="paragraph" w:customStyle="1" w:styleId="TableColumnHeadingRight">
    <w:name w:val="Table Column Heading Right"/>
    <w:basedOn w:val="TableTextBase"/>
    <w:rsid w:val="00CB1944"/>
    <w:pPr>
      <w:jc w:val="right"/>
    </w:pPr>
    <w:rPr>
      <w:b/>
    </w:rPr>
  </w:style>
  <w:style w:type="paragraph" w:customStyle="1" w:styleId="TableGraphic">
    <w:name w:val="Table Graphic"/>
    <w:basedOn w:val="HeadingBase"/>
    <w:next w:val="Normal"/>
    <w:rsid w:val="00CB1944"/>
    <w:pPr>
      <w:spacing w:after="20"/>
      <w:ind w:right="-113"/>
    </w:pPr>
    <w:rPr>
      <w:rFonts w:ascii="Helvetica" w:hAnsi="Helvetica"/>
    </w:rPr>
  </w:style>
  <w:style w:type="paragraph" w:customStyle="1" w:styleId="TableMainHeading">
    <w:name w:val="Table Main Heading"/>
    <w:basedOn w:val="HeadingBase"/>
    <w:next w:val="TableGraphic"/>
    <w:rsid w:val="00CB1944"/>
    <w:pPr>
      <w:keepNext/>
      <w:spacing w:before="170" w:after="113"/>
    </w:pPr>
    <w:rPr>
      <w:b/>
      <w:sz w:val="22"/>
    </w:rPr>
  </w:style>
  <w:style w:type="paragraph" w:customStyle="1" w:styleId="TableMainHeadingContd">
    <w:name w:val="Table Main Heading Contd"/>
    <w:basedOn w:val="HeadingBase"/>
    <w:next w:val="TableGraphic"/>
    <w:rsid w:val="00CB1944"/>
    <w:pPr>
      <w:keepNext/>
      <w:spacing w:after="20"/>
    </w:pPr>
    <w:rPr>
      <w:b/>
      <w:sz w:val="22"/>
    </w:rPr>
  </w:style>
  <w:style w:type="paragraph" w:customStyle="1" w:styleId="TableSecondHeading">
    <w:name w:val="Table Second Heading"/>
    <w:basedOn w:val="HeadingBase"/>
    <w:next w:val="TableGraphic"/>
    <w:rsid w:val="00CB1944"/>
    <w:pPr>
      <w:keepNext/>
      <w:spacing w:after="20"/>
    </w:pPr>
  </w:style>
  <w:style w:type="paragraph" w:customStyle="1" w:styleId="TableTextCentered">
    <w:name w:val="Table Text Centered"/>
    <w:basedOn w:val="TableTextBase"/>
    <w:rsid w:val="00CB1944"/>
    <w:pPr>
      <w:jc w:val="center"/>
    </w:pPr>
  </w:style>
  <w:style w:type="paragraph" w:customStyle="1" w:styleId="TableTextIndented">
    <w:name w:val="Table Text Indented"/>
    <w:basedOn w:val="TableTextBase"/>
    <w:rsid w:val="00CB1944"/>
    <w:pPr>
      <w:ind w:left="284"/>
    </w:pPr>
  </w:style>
  <w:style w:type="paragraph" w:customStyle="1" w:styleId="TableTextLeft">
    <w:name w:val="Table Text Left"/>
    <w:basedOn w:val="TableTextBase"/>
    <w:rsid w:val="00CB1944"/>
  </w:style>
  <w:style w:type="paragraph" w:customStyle="1" w:styleId="TableTextRight">
    <w:name w:val="Table Text Right"/>
    <w:basedOn w:val="TableTextBase"/>
    <w:rsid w:val="00CB1944"/>
    <w:pPr>
      <w:jc w:val="right"/>
    </w:pPr>
  </w:style>
  <w:style w:type="paragraph" w:styleId="TOC1">
    <w:name w:val="toc 1"/>
    <w:basedOn w:val="HeadingBase"/>
    <w:next w:val="Normal"/>
    <w:rsid w:val="00CB1944"/>
    <w:pPr>
      <w:tabs>
        <w:tab w:val="right" w:leader="dot" w:pos="7700"/>
      </w:tabs>
      <w:spacing w:before="180"/>
      <w:ind w:right="851"/>
    </w:pPr>
    <w:rPr>
      <w:b/>
      <w:smallCaps/>
      <w:noProof/>
      <w:sz w:val="22"/>
      <w:szCs w:val="22"/>
    </w:rPr>
  </w:style>
  <w:style w:type="paragraph" w:styleId="TOC2">
    <w:name w:val="toc 2"/>
    <w:basedOn w:val="Normal"/>
    <w:next w:val="Normal"/>
    <w:rsid w:val="00CB1944"/>
    <w:pPr>
      <w:tabs>
        <w:tab w:val="right" w:leader="dot" w:pos="7700"/>
      </w:tabs>
      <w:spacing w:after="0"/>
      <w:ind w:right="851"/>
      <w:jc w:val="left"/>
    </w:pPr>
    <w:rPr>
      <w:noProof/>
    </w:rPr>
  </w:style>
  <w:style w:type="paragraph" w:styleId="TOC3">
    <w:name w:val="toc 3"/>
    <w:basedOn w:val="Normal"/>
    <w:next w:val="Normal"/>
    <w:rsid w:val="00CB1944"/>
    <w:pPr>
      <w:tabs>
        <w:tab w:val="right" w:leader="dot" w:pos="7700"/>
      </w:tabs>
      <w:spacing w:after="0" w:line="240" w:lineRule="auto"/>
      <w:ind w:left="284" w:right="851"/>
      <w:jc w:val="left"/>
    </w:pPr>
    <w:rPr>
      <w:noProof/>
    </w:rPr>
  </w:style>
  <w:style w:type="paragraph" w:styleId="TOC4">
    <w:name w:val="toc 4"/>
    <w:basedOn w:val="Normal"/>
    <w:next w:val="Normal"/>
    <w:rsid w:val="00CB1944"/>
    <w:pPr>
      <w:tabs>
        <w:tab w:val="right" w:leader="dot" w:pos="7700"/>
      </w:tabs>
      <w:spacing w:after="0" w:line="240" w:lineRule="auto"/>
      <w:ind w:left="284" w:right="851" w:hanging="284"/>
      <w:jc w:val="left"/>
    </w:pPr>
    <w:rPr>
      <w:noProof/>
    </w:rPr>
  </w:style>
  <w:style w:type="character" w:customStyle="1" w:styleId="Italic">
    <w:name w:val="Italic"/>
    <w:basedOn w:val="DefaultParagraphFont"/>
    <w:rsid w:val="00CB1944"/>
    <w:rPr>
      <w:i/>
    </w:rPr>
  </w:style>
  <w:style w:type="paragraph" w:customStyle="1" w:styleId="OneLevelNumberedParagraph">
    <w:name w:val="One Level Numbered Paragraph"/>
    <w:basedOn w:val="Normal"/>
    <w:rsid w:val="00CB1944"/>
    <w:pPr>
      <w:numPr>
        <w:numId w:val="10"/>
      </w:numPr>
    </w:pPr>
  </w:style>
  <w:style w:type="paragraph" w:customStyle="1" w:styleId="BoxText">
    <w:name w:val="Box Text"/>
    <w:basedOn w:val="BoxTextBase"/>
    <w:rsid w:val="00CB1944"/>
  </w:style>
  <w:style w:type="paragraph" w:customStyle="1" w:styleId="BoxBullet">
    <w:name w:val="Box Bullet"/>
    <w:basedOn w:val="BoxTextBase"/>
    <w:rsid w:val="00CB1944"/>
    <w:pPr>
      <w:numPr>
        <w:numId w:val="9"/>
      </w:numPr>
    </w:pPr>
  </w:style>
  <w:style w:type="paragraph" w:customStyle="1" w:styleId="BoxDash">
    <w:name w:val="Box Dash"/>
    <w:basedOn w:val="Normal"/>
    <w:rsid w:val="00CB1944"/>
    <w:pPr>
      <w:numPr>
        <w:ilvl w:val="1"/>
        <w:numId w:val="9"/>
      </w:numPr>
    </w:pPr>
  </w:style>
  <w:style w:type="paragraph" w:customStyle="1" w:styleId="BoxDoubleDot">
    <w:name w:val="Box Double Dot"/>
    <w:basedOn w:val="BoxTextBase"/>
    <w:rsid w:val="00CB1944"/>
    <w:pPr>
      <w:numPr>
        <w:ilvl w:val="2"/>
        <w:numId w:val="9"/>
      </w:numPr>
    </w:pPr>
  </w:style>
  <w:style w:type="paragraph" w:customStyle="1" w:styleId="RecommendationBullet">
    <w:name w:val="Recommendation Bullet"/>
    <w:basedOn w:val="RecommendationBaseText"/>
    <w:rsid w:val="00CB1944"/>
    <w:pPr>
      <w:numPr>
        <w:numId w:val="11"/>
      </w:numPr>
    </w:pPr>
  </w:style>
  <w:style w:type="paragraph" w:customStyle="1" w:styleId="RecommendationDash">
    <w:name w:val="Recommendation Dash"/>
    <w:basedOn w:val="RecommendationBaseText"/>
    <w:rsid w:val="00CB1944"/>
    <w:pPr>
      <w:numPr>
        <w:ilvl w:val="1"/>
        <w:numId w:val="11"/>
      </w:numPr>
    </w:pPr>
  </w:style>
  <w:style w:type="paragraph" w:customStyle="1" w:styleId="RecommendationDoubleDot">
    <w:name w:val="Recommendation Double Dot"/>
    <w:basedOn w:val="RecommendationBaseText"/>
    <w:rsid w:val="00CB1944"/>
    <w:pPr>
      <w:numPr>
        <w:ilvl w:val="2"/>
        <w:numId w:val="11"/>
      </w:numPr>
    </w:pPr>
  </w:style>
  <w:style w:type="character" w:customStyle="1" w:styleId="Boldanditalic">
    <w:name w:val="Bold and italic"/>
    <w:basedOn w:val="DefaultParagraphFont"/>
    <w:rsid w:val="00CB1944"/>
    <w:rPr>
      <w:b/>
      <w:i/>
    </w:rPr>
  </w:style>
  <w:style w:type="paragraph" w:styleId="Caption">
    <w:name w:val="caption"/>
    <w:basedOn w:val="Normal"/>
    <w:next w:val="Normal"/>
    <w:qFormat/>
    <w:rsid w:val="00CB1944"/>
    <w:pPr>
      <w:spacing w:before="120" w:after="120"/>
    </w:pPr>
    <w:rPr>
      <w:b/>
      <w:bCs/>
    </w:rPr>
  </w:style>
  <w:style w:type="character" w:styleId="CommentReference">
    <w:name w:val="annotation reference"/>
    <w:basedOn w:val="DefaultParagraphFont"/>
    <w:rsid w:val="00CB1944"/>
    <w:rPr>
      <w:sz w:val="16"/>
      <w:szCs w:val="16"/>
    </w:rPr>
  </w:style>
  <w:style w:type="paragraph" w:styleId="CommentText">
    <w:name w:val="annotation text"/>
    <w:basedOn w:val="Normal"/>
    <w:rsid w:val="00CB1944"/>
  </w:style>
  <w:style w:type="paragraph" w:styleId="CommentSubject">
    <w:name w:val="annotation subject"/>
    <w:basedOn w:val="CommentText"/>
    <w:next w:val="CommentText"/>
    <w:rsid w:val="00CB1944"/>
    <w:rPr>
      <w:b/>
      <w:bCs/>
    </w:rPr>
  </w:style>
  <w:style w:type="paragraph" w:styleId="DocumentMap">
    <w:name w:val="Document Map"/>
    <w:basedOn w:val="Normal"/>
    <w:rsid w:val="00CB1944"/>
    <w:pPr>
      <w:shd w:val="clear" w:color="auto" w:fill="000080"/>
    </w:pPr>
    <w:rPr>
      <w:rFonts w:ascii="Tahoma" w:hAnsi="Tahoma" w:cs="Tahoma"/>
    </w:rPr>
  </w:style>
  <w:style w:type="character" w:styleId="EndnoteReference">
    <w:name w:val="endnote reference"/>
    <w:basedOn w:val="DefaultParagraphFont"/>
    <w:rsid w:val="00CB1944"/>
    <w:rPr>
      <w:vertAlign w:val="superscript"/>
    </w:rPr>
  </w:style>
  <w:style w:type="paragraph" w:styleId="EndnoteText">
    <w:name w:val="endnote text"/>
    <w:basedOn w:val="Normal"/>
    <w:rsid w:val="00CB1944"/>
  </w:style>
  <w:style w:type="paragraph" w:styleId="Index1">
    <w:name w:val="index 1"/>
    <w:basedOn w:val="Normal"/>
    <w:next w:val="Normal"/>
    <w:autoRedefine/>
    <w:rsid w:val="00CB1944"/>
    <w:pPr>
      <w:ind w:left="200" w:hanging="200"/>
    </w:pPr>
  </w:style>
  <w:style w:type="paragraph" w:styleId="Index2">
    <w:name w:val="index 2"/>
    <w:basedOn w:val="Normal"/>
    <w:next w:val="Normal"/>
    <w:autoRedefine/>
    <w:rsid w:val="00CB1944"/>
    <w:pPr>
      <w:ind w:left="400" w:hanging="200"/>
    </w:pPr>
  </w:style>
  <w:style w:type="paragraph" w:styleId="Index3">
    <w:name w:val="index 3"/>
    <w:basedOn w:val="Normal"/>
    <w:next w:val="Normal"/>
    <w:autoRedefine/>
    <w:rsid w:val="00CB1944"/>
    <w:pPr>
      <w:ind w:left="600" w:hanging="200"/>
    </w:pPr>
  </w:style>
  <w:style w:type="paragraph" w:styleId="Index4">
    <w:name w:val="index 4"/>
    <w:basedOn w:val="Normal"/>
    <w:next w:val="Normal"/>
    <w:autoRedefine/>
    <w:rsid w:val="00CB1944"/>
    <w:pPr>
      <w:ind w:left="800" w:hanging="200"/>
    </w:pPr>
  </w:style>
  <w:style w:type="paragraph" w:styleId="Index5">
    <w:name w:val="index 5"/>
    <w:basedOn w:val="Normal"/>
    <w:next w:val="Normal"/>
    <w:autoRedefine/>
    <w:rsid w:val="00CB1944"/>
    <w:pPr>
      <w:ind w:left="1000" w:hanging="200"/>
    </w:pPr>
  </w:style>
  <w:style w:type="paragraph" w:styleId="Index6">
    <w:name w:val="index 6"/>
    <w:basedOn w:val="Normal"/>
    <w:next w:val="Normal"/>
    <w:autoRedefine/>
    <w:rsid w:val="00CB1944"/>
    <w:pPr>
      <w:ind w:left="1200" w:hanging="200"/>
    </w:pPr>
  </w:style>
  <w:style w:type="paragraph" w:styleId="Index7">
    <w:name w:val="index 7"/>
    <w:basedOn w:val="Normal"/>
    <w:next w:val="Normal"/>
    <w:autoRedefine/>
    <w:rsid w:val="00CB1944"/>
    <w:pPr>
      <w:ind w:left="1400" w:hanging="200"/>
    </w:pPr>
  </w:style>
  <w:style w:type="paragraph" w:styleId="Index8">
    <w:name w:val="index 8"/>
    <w:basedOn w:val="Normal"/>
    <w:next w:val="Normal"/>
    <w:autoRedefine/>
    <w:rsid w:val="00CB1944"/>
    <w:pPr>
      <w:ind w:left="1600" w:hanging="200"/>
    </w:pPr>
  </w:style>
  <w:style w:type="paragraph" w:styleId="Index9">
    <w:name w:val="index 9"/>
    <w:basedOn w:val="Normal"/>
    <w:next w:val="Normal"/>
    <w:autoRedefine/>
    <w:rsid w:val="00CB1944"/>
    <w:pPr>
      <w:ind w:left="1800" w:hanging="200"/>
    </w:pPr>
  </w:style>
  <w:style w:type="paragraph" w:styleId="IndexHeading">
    <w:name w:val="index heading"/>
    <w:basedOn w:val="Normal"/>
    <w:next w:val="Index1"/>
    <w:rsid w:val="000B3309"/>
    <w:rPr>
      <w:rFonts w:ascii="Arial" w:hAnsi="Arial" w:cs="Arial"/>
      <w:b/>
      <w:bCs/>
      <w:color w:val="72B4E7"/>
    </w:rPr>
  </w:style>
  <w:style w:type="paragraph" w:styleId="MacroText">
    <w:name w:val="macro"/>
    <w:rsid w:val="00CB1944"/>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hAnsi="Courier New" w:cs="Courier New"/>
      <w:color w:val="000000"/>
    </w:rPr>
  </w:style>
  <w:style w:type="paragraph" w:styleId="TableofAuthorities">
    <w:name w:val="table of authorities"/>
    <w:basedOn w:val="Normal"/>
    <w:next w:val="Normal"/>
    <w:rsid w:val="00CB1944"/>
    <w:pPr>
      <w:ind w:left="200" w:hanging="200"/>
    </w:pPr>
  </w:style>
  <w:style w:type="paragraph" w:styleId="TableofFigures">
    <w:name w:val="table of figures"/>
    <w:basedOn w:val="Normal"/>
    <w:next w:val="Normal"/>
    <w:rsid w:val="00CB1944"/>
    <w:pPr>
      <w:ind w:left="400" w:hanging="400"/>
    </w:pPr>
  </w:style>
  <w:style w:type="paragraph" w:styleId="TOAHeading">
    <w:name w:val="toa heading"/>
    <w:basedOn w:val="Normal"/>
    <w:next w:val="Normal"/>
    <w:rsid w:val="00CB1944"/>
    <w:pPr>
      <w:spacing w:before="120"/>
    </w:pPr>
    <w:rPr>
      <w:rFonts w:ascii="Arial" w:hAnsi="Arial" w:cs="Arial"/>
      <w:b/>
      <w:bCs/>
      <w:sz w:val="24"/>
      <w:szCs w:val="24"/>
    </w:rPr>
  </w:style>
  <w:style w:type="paragraph" w:styleId="TOC5">
    <w:name w:val="toc 5"/>
    <w:basedOn w:val="TOC2"/>
    <w:next w:val="Normal"/>
    <w:autoRedefine/>
    <w:rsid w:val="00CB1944"/>
    <w:pPr>
      <w:ind w:left="1260" w:hanging="1260"/>
    </w:pPr>
  </w:style>
  <w:style w:type="paragraph" w:styleId="TOC6">
    <w:name w:val="toc 6"/>
    <w:basedOn w:val="TOC5"/>
    <w:next w:val="Normal"/>
    <w:rsid w:val="00CB1944"/>
    <w:pPr>
      <w:tabs>
        <w:tab w:val="left" w:pos="1080"/>
        <w:tab w:val="left" w:pos="1134"/>
      </w:tabs>
      <w:ind w:left="1080" w:hanging="1080"/>
    </w:pPr>
  </w:style>
  <w:style w:type="paragraph" w:styleId="TOC7">
    <w:name w:val="toc 7"/>
    <w:basedOn w:val="Normal"/>
    <w:next w:val="Normal"/>
    <w:autoRedefine/>
    <w:rsid w:val="00CB1944"/>
    <w:pPr>
      <w:ind w:left="1200"/>
    </w:pPr>
  </w:style>
  <w:style w:type="paragraph" w:styleId="TOC8">
    <w:name w:val="toc 8"/>
    <w:basedOn w:val="Normal"/>
    <w:next w:val="Normal"/>
    <w:autoRedefine/>
    <w:rsid w:val="00CB1944"/>
    <w:pPr>
      <w:ind w:left="1400"/>
    </w:pPr>
  </w:style>
  <w:style w:type="paragraph" w:styleId="TOC9">
    <w:name w:val="toc 9"/>
    <w:basedOn w:val="Normal"/>
    <w:next w:val="Normal"/>
    <w:autoRedefine/>
    <w:rsid w:val="00CB1944"/>
    <w:pPr>
      <w:ind w:left="1600"/>
    </w:pPr>
  </w:style>
  <w:style w:type="paragraph" w:customStyle="1" w:styleId="AppendixAHeading3">
    <w:name w:val="AppendixAHeading3"/>
    <w:basedOn w:val="Heading3"/>
    <w:next w:val="AppendixAHeading4"/>
    <w:rsid w:val="00CB1944"/>
    <w:pPr>
      <w:numPr>
        <w:numId w:val="35"/>
      </w:numPr>
    </w:pPr>
    <w:rPr>
      <w:rFonts w:ascii="Arial Bold" w:hAnsi="Arial Bold"/>
      <w:i/>
    </w:rPr>
  </w:style>
  <w:style w:type="paragraph" w:customStyle="1" w:styleId="AppendixAHeading4">
    <w:name w:val="AppendixAHeading4"/>
    <w:basedOn w:val="Heading4"/>
    <w:next w:val="Bullet"/>
    <w:rsid w:val="00CB1944"/>
    <w:pPr>
      <w:numPr>
        <w:ilvl w:val="1"/>
        <w:numId w:val="36"/>
      </w:numPr>
    </w:pPr>
  </w:style>
  <w:style w:type="paragraph" w:customStyle="1" w:styleId="AppendixGHeading3">
    <w:name w:val="AppendixGHeading3"/>
    <w:basedOn w:val="Heading3"/>
    <w:rsid w:val="00CB1944"/>
    <w:pPr>
      <w:numPr>
        <w:numId w:val="29"/>
      </w:numPr>
    </w:pPr>
  </w:style>
  <w:style w:type="paragraph" w:customStyle="1" w:styleId="NumberedParagraph">
    <w:name w:val="Numbered Paragraph"/>
    <w:basedOn w:val="Normal"/>
    <w:rsid w:val="00CB1944"/>
    <w:pPr>
      <w:numPr>
        <w:numId w:val="24"/>
      </w:numPr>
    </w:pPr>
  </w:style>
  <w:style w:type="paragraph" w:customStyle="1" w:styleId="paragraph">
    <w:name w:val="paragraph"/>
    <w:aliases w:val="a,indent(a)"/>
    <w:basedOn w:val="Normal"/>
    <w:rsid w:val="00FF039E"/>
    <w:pPr>
      <w:tabs>
        <w:tab w:val="right" w:pos="1531"/>
      </w:tabs>
      <w:spacing w:before="40" w:after="0" w:line="260" w:lineRule="atLeast"/>
      <w:ind w:left="1644" w:hanging="1644"/>
      <w:jc w:val="left"/>
    </w:pPr>
    <w:rPr>
      <w:rFonts w:ascii="Times New Roman" w:hAnsi="Times New Roman"/>
      <w:color w:val="auto"/>
      <w:sz w:val="22"/>
      <w:szCs w:val="22"/>
    </w:rPr>
  </w:style>
  <w:style w:type="paragraph" w:customStyle="1" w:styleId="subsection">
    <w:name w:val="subsection"/>
    <w:aliases w:val="ss,Subsection"/>
    <w:basedOn w:val="Normal"/>
    <w:rsid w:val="00FF039E"/>
    <w:pPr>
      <w:tabs>
        <w:tab w:val="right" w:pos="1021"/>
      </w:tabs>
      <w:spacing w:before="180" w:after="0" w:line="260" w:lineRule="atLeast"/>
      <w:ind w:left="1134" w:hanging="1134"/>
      <w:jc w:val="left"/>
    </w:pPr>
    <w:rPr>
      <w:rFonts w:ascii="Times New Roman" w:hAnsi="Times New Roman"/>
      <w:color w:val="auto"/>
      <w:sz w:val="22"/>
      <w:szCs w:val="22"/>
    </w:rPr>
  </w:style>
  <w:style w:type="paragraph" w:customStyle="1" w:styleId="Heading3TOC">
    <w:name w:val="Heading 3 TOC"/>
    <w:basedOn w:val="Heading3"/>
    <w:rsid w:val="00AA2818"/>
    <w:pPr>
      <w:jc w:val="both"/>
    </w:pPr>
  </w:style>
  <w:style w:type="paragraph" w:customStyle="1" w:styleId="Heading3noTOC">
    <w:name w:val="Heading 3 no TOC"/>
    <w:basedOn w:val="Heading3"/>
    <w:rsid w:val="00CB1944"/>
    <w:pPr>
      <w:outlineLvl w:val="9"/>
    </w:pPr>
  </w:style>
  <w:style w:type="character" w:styleId="Strong">
    <w:name w:val="Strong"/>
    <w:basedOn w:val="DefaultParagraphFont"/>
    <w:qFormat/>
    <w:rsid w:val="004728AB"/>
    <w:rPr>
      <w:b/>
      <w:bCs/>
    </w:rPr>
  </w:style>
  <w:style w:type="character" w:styleId="FollowedHyperlink">
    <w:name w:val="FollowedHyperlink"/>
    <w:basedOn w:val="DefaultParagraphFont"/>
    <w:rsid w:val="00CB1944"/>
    <w:rPr>
      <w:color w:val="000000"/>
      <w:u w:val="none"/>
    </w:rPr>
  </w:style>
  <w:style w:type="paragraph" w:customStyle="1" w:styleId="Style1">
    <w:name w:val="Style1"/>
    <w:basedOn w:val="AppendixAHeading3"/>
    <w:next w:val="AppendixAHeading4"/>
    <w:rsid w:val="00CB1944"/>
    <w:pPr>
      <w:numPr>
        <w:numId w:val="0"/>
      </w:numPr>
    </w:pPr>
  </w:style>
  <w:style w:type="paragraph" w:customStyle="1" w:styleId="AppendixAHeading3NotItalic">
    <w:name w:val="AppendixAHeading3NotItalic"/>
    <w:basedOn w:val="HeadingBase"/>
    <w:next w:val="AppendixAHeading4"/>
    <w:rsid w:val="00CB1944"/>
    <w:pPr>
      <w:numPr>
        <w:numId w:val="36"/>
      </w:numPr>
      <w:spacing w:before="57" w:after="57" w:line="280" w:lineRule="exact"/>
    </w:pPr>
    <w:rPr>
      <w:rFonts w:ascii="Arial Bold" w:hAnsi="Arial Bold"/>
      <w:b/>
      <w:sz w:val="24"/>
    </w:rPr>
  </w:style>
  <w:style w:type="paragraph" w:customStyle="1" w:styleId="Heading1noTOC">
    <w:name w:val="Heading 1 no TOC"/>
    <w:basedOn w:val="Heading1"/>
    <w:next w:val="Normal"/>
    <w:rsid w:val="00CB1944"/>
  </w:style>
  <w:style w:type="paragraph" w:customStyle="1" w:styleId="CharCharCharCharCharChar">
    <w:name w:val="Char Char Char Char Char Char"/>
    <w:basedOn w:val="Normal"/>
    <w:rsid w:val="00DD29DF"/>
    <w:pPr>
      <w:spacing w:after="160" w:line="240" w:lineRule="exact"/>
      <w:jc w:val="left"/>
    </w:pPr>
    <w:rPr>
      <w:rFonts w:ascii="Verdana" w:hAnsi="Verdana"/>
      <w:color w:val="auto"/>
      <w:szCs w:val="24"/>
      <w:lang w:val="en-US" w:eastAsia="en-US"/>
    </w:rPr>
  </w:style>
  <w:style w:type="character" w:customStyle="1" w:styleId="semi-bold1">
    <w:name w:val="semi-bold1"/>
    <w:basedOn w:val="DefaultParagraphFont"/>
    <w:rsid w:val="00DD29DF"/>
    <w:rPr>
      <w:b/>
      <w:bCs/>
      <w:color w:val="6C6C6C"/>
      <w:sz w:val="22"/>
      <w:szCs w:val="22"/>
    </w:rPr>
  </w:style>
  <w:style w:type="paragraph" w:customStyle="1" w:styleId="Heading2noTOC">
    <w:name w:val="Heading 2 no TOC"/>
    <w:basedOn w:val="Heading2"/>
    <w:next w:val="Normal"/>
    <w:rsid w:val="00CB1944"/>
    <w:pPr>
      <w:outlineLvl w:val="9"/>
    </w:pPr>
    <w:rPr>
      <w:rFonts w:ascii="Arial" w:hAnsi="Arial"/>
    </w:rPr>
  </w:style>
  <w:style w:type="paragraph" w:customStyle="1" w:styleId="Heading9noTOC">
    <w:name w:val="Heading 9 no TOC"/>
    <w:basedOn w:val="Heading9"/>
    <w:rsid w:val="00CB1944"/>
    <w:pPr>
      <w:outlineLvl w:val="9"/>
    </w:pPr>
  </w:style>
  <w:style w:type="character" w:styleId="IntenseEmphasis">
    <w:name w:val="Intense Emphasis"/>
    <w:basedOn w:val="DefaultParagraphFont"/>
    <w:uiPriority w:val="21"/>
    <w:qFormat/>
    <w:rsid w:val="00CB1944"/>
    <w:rPr>
      <w:b/>
      <w:bCs/>
      <w:i/>
      <w:iCs/>
      <w:color w:val="005ABB"/>
    </w:rPr>
  </w:style>
  <w:style w:type="paragraph" w:styleId="IntenseQuote">
    <w:name w:val="Intense Quote"/>
    <w:basedOn w:val="Normal"/>
    <w:next w:val="Normal"/>
    <w:link w:val="IntenseQuoteChar"/>
    <w:uiPriority w:val="30"/>
    <w:qFormat/>
    <w:rsid w:val="00CB1944"/>
    <w:pPr>
      <w:pBdr>
        <w:bottom w:val="single" w:sz="4" w:space="4" w:color="4F81BD"/>
      </w:pBdr>
      <w:spacing w:before="200" w:after="280"/>
      <w:ind w:left="936" w:right="936"/>
    </w:pPr>
    <w:rPr>
      <w:b/>
      <w:bCs/>
      <w:i/>
      <w:iCs/>
      <w:color w:val="005ABB"/>
    </w:rPr>
  </w:style>
  <w:style w:type="character" w:customStyle="1" w:styleId="IntenseQuoteChar">
    <w:name w:val="Intense Quote Char"/>
    <w:basedOn w:val="DefaultParagraphFont"/>
    <w:link w:val="IntenseQuote"/>
    <w:uiPriority w:val="30"/>
    <w:rsid w:val="00CB1944"/>
    <w:rPr>
      <w:rFonts w:ascii="Book Antiqua" w:hAnsi="Book Antiqua"/>
      <w:b/>
      <w:bCs/>
      <w:i/>
      <w:iCs/>
      <w:color w:val="005ABB"/>
    </w:rPr>
  </w:style>
  <w:style w:type="paragraph" w:styleId="TOCHeading">
    <w:name w:val="TOC Heading"/>
    <w:basedOn w:val="Heading1"/>
    <w:next w:val="Normal"/>
    <w:uiPriority w:val="39"/>
    <w:semiHidden/>
    <w:unhideWhenUsed/>
    <w:qFormat/>
    <w:rsid w:val="00CB1944"/>
    <w:pPr>
      <w:keepLines/>
      <w:spacing w:before="480" w:after="0" w:line="260" w:lineRule="exact"/>
      <w:jc w:val="both"/>
      <w:outlineLvl w:val="9"/>
    </w:pPr>
    <w:rPr>
      <w:rFonts w:ascii="Cambria" w:hAnsi="Cambria" w:cs="Times New Roman"/>
      <w:kern w:val="0"/>
      <w:sz w:val="28"/>
      <w:szCs w:val="28"/>
    </w:rPr>
  </w:style>
  <w:style w:type="paragraph" w:styleId="Subtitle">
    <w:name w:val="Subtitle"/>
    <w:basedOn w:val="Normal"/>
    <w:next w:val="Normal"/>
    <w:link w:val="SubtitleChar"/>
    <w:qFormat/>
    <w:rsid w:val="00CB1944"/>
    <w:pPr>
      <w:numPr>
        <w:ilvl w:val="1"/>
      </w:numPr>
    </w:pPr>
    <w:rPr>
      <w:rFonts w:ascii="Cambria" w:hAnsi="Cambria"/>
      <w:i/>
      <w:iCs/>
      <w:color w:val="005ABB"/>
      <w:spacing w:val="15"/>
      <w:sz w:val="24"/>
      <w:szCs w:val="24"/>
    </w:rPr>
  </w:style>
  <w:style w:type="character" w:customStyle="1" w:styleId="SubtitleChar">
    <w:name w:val="Subtitle Char"/>
    <w:basedOn w:val="DefaultParagraphFont"/>
    <w:link w:val="Subtitle"/>
    <w:rsid w:val="00CB1944"/>
    <w:rPr>
      <w:rFonts w:ascii="Cambria" w:eastAsia="Times New Roman" w:hAnsi="Cambria" w:cs="Times New Roman"/>
      <w:i/>
      <w:iCs/>
      <w:color w:val="005ABB"/>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482807">
      <w:bodyDiv w:val="1"/>
      <w:marLeft w:val="0"/>
      <w:marRight w:val="0"/>
      <w:marTop w:val="0"/>
      <w:marBottom w:val="0"/>
      <w:divBdr>
        <w:top w:val="none" w:sz="0" w:space="0" w:color="auto"/>
        <w:left w:val="none" w:sz="0" w:space="0" w:color="auto"/>
        <w:bottom w:val="none" w:sz="0" w:space="0" w:color="auto"/>
        <w:right w:val="none" w:sz="0" w:space="0" w:color="auto"/>
      </w:divBdr>
    </w:div>
    <w:div w:id="140544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Publications\FIRB%20Annual%20Repor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C6691-3F0A-43A7-8D30-43AD1CCFD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FIRB Annual Report.dotm</Template>
  <TotalTime>0</TotalTime>
  <Pages>10</Pages>
  <Words>2363</Words>
  <Characters>13471</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Chapter 3</vt:lpstr>
    </vt:vector>
  </TitlesOfParts>
  <Company>The Treasury</Company>
  <LinksUpToDate>false</LinksUpToDate>
  <CharactersWithSpaces>15803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3</dc:title>
  <dc:creator>Lani McMahon - 3254</dc:creator>
  <cp:lastModifiedBy>Keogh, Vicky</cp:lastModifiedBy>
  <cp:revision>2</cp:revision>
  <cp:lastPrinted>2010-02-12T01:08:00Z</cp:lastPrinted>
  <dcterms:created xsi:type="dcterms:W3CDTF">2016-01-18T00:05:00Z</dcterms:created>
  <dcterms:modified xsi:type="dcterms:W3CDTF">2016-01-18T00:05:00Z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EmailSubject">
    <vt:lpwstr>Annual report</vt:lpwstr>
  </property>
  <property fmtid="{D5CDD505-2E9C-101B-9397-08002B2CF9AE}" pid="4" name="_AuthorEmail">
    <vt:lpwstr>David.Earl@TREASURY.GOV.AU</vt:lpwstr>
  </property>
  <property fmtid="{D5CDD505-2E9C-101B-9397-08002B2CF9AE}" pid="5" name="_AuthorEmailDisplayName">
    <vt:lpwstr>Earl, David</vt:lpwstr>
  </property>
  <property fmtid="{D5CDD505-2E9C-101B-9397-08002B2CF9AE}" pid="6" name="_AdHocReviewCycleID">
    <vt:i4>1868377809</vt:i4>
  </property>
  <property fmtid="{D5CDD505-2E9C-101B-9397-08002B2CF9AE}" pid="7" name="_PreviousAdHocReviewCycleID">
    <vt:i4>1357365562</vt:i4>
  </property>
  <property fmtid="{D5CDD505-2E9C-101B-9397-08002B2CF9AE}" pid="8" name="_ReviewingToolsShownOnce">
    <vt:lpwstr/>
  </property>
</Properties>
</file>