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8.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charts/chart1.xml" ContentType="application/vnd.openxmlformats-officedocument.drawingml.chart+xml"/>
  <Override PartName="/word/drawings/drawing1.xml" ContentType="application/vnd.openxmlformats-officedocument.drawingml.chartshapes+xml"/>
  <Override PartName="/word/charts/chart2.xml" ContentType="application/vnd.openxmlformats-officedocument.drawingml.chart+xml"/>
  <Override PartName="/word/theme/themeOverride1.xml" ContentType="application/vnd.openxmlformats-officedocument.themeOverride+xml"/>
  <Override PartName="/word/header12.xml" ContentType="application/vnd.openxmlformats-officedocument.wordprocessingml.header+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header13.xml" ContentType="application/vnd.openxmlformats-officedocument.wordprocessingml.header+xml"/>
  <Override PartName="/word/header14.xml" ContentType="application/vnd.openxmlformats-officedocument.wordprocessingml.header+xml"/>
  <Override PartName="/word/footer9.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10.xml" ContentType="application/vnd.openxmlformats-officedocument.wordprocessingml.footer+xml"/>
  <Override PartName="/word/charts/chart6.xml" ContentType="application/vnd.openxmlformats-officedocument.drawingml.chart+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footer11.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31E7070" w14:textId="77777777" w:rsidR="0045768A" w:rsidRDefault="0045768A" w:rsidP="00115593">
      <w:pPr>
        <w:pStyle w:val="CoverTitleMain"/>
      </w:pPr>
    </w:p>
    <w:p w14:paraId="28A195B0" w14:textId="78918F1D" w:rsidR="008B6006" w:rsidRPr="00402633" w:rsidRDefault="008B6006" w:rsidP="00115593">
      <w:pPr>
        <w:pStyle w:val="CoverTitleMain"/>
      </w:pPr>
      <w:r w:rsidRPr="00402633">
        <w:t xml:space="preserve">Foreign </w:t>
      </w:r>
      <w:r w:rsidRPr="00115593">
        <w:t>Investment</w:t>
      </w:r>
      <w:bookmarkStart w:id="0" w:name="_GoBack"/>
      <w:bookmarkEnd w:id="0"/>
    </w:p>
    <w:p w14:paraId="0A3C74DA" w14:textId="16FCF938" w:rsidR="008B6006" w:rsidRPr="00402633" w:rsidRDefault="008B6006" w:rsidP="00500092">
      <w:pPr>
        <w:pStyle w:val="CoverTitleMain"/>
        <w:spacing w:after="1080"/>
      </w:pPr>
      <w:r w:rsidRPr="00115593">
        <w:t>Review</w:t>
      </w:r>
      <w:r w:rsidRPr="00402633">
        <w:t xml:space="preserve"> Board</w:t>
      </w:r>
    </w:p>
    <w:p w14:paraId="09581EFE" w14:textId="77777777" w:rsidR="00500092" w:rsidRDefault="008B6006" w:rsidP="003A03ED">
      <w:pPr>
        <w:pStyle w:val="CoverTitleSub"/>
        <w:jc w:val="right"/>
      </w:pPr>
      <w:r w:rsidRPr="00115593">
        <w:t>Annual</w:t>
      </w:r>
      <w:r w:rsidR="00C72611">
        <w:t xml:space="preserve"> Report</w:t>
      </w:r>
    </w:p>
    <w:p w14:paraId="6EDBC4B4" w14:textId="0C8ED827" w:rsidR="008B6006" w:rsidRPr="00402633" w:rsidRDefault="008B6006" w:rsidP="003A03ED">
      <w:pPr>
        <w:pStyle w:val="CoverTitleSub"/>
        <w:jc w:val="right"/>
      </w:pPr>
      <w:r w:rsidRPr="00402633">
        <w:t>201</w:t>
      </w:r>
      <w:r w:rsidR="001224D9">
        <w:t>6</w:t>
      </w:r>
      <w:r w:rsidR="00500092">
        <w:t>–</w:t>
      </w:r>
      <w:r w:rsidRPr="00402633">
        <w:t>1</w:t>
      </w:r>
      <w:r w:rsidR="001224D9">
        <w:t>7</w:t>
      </w:r>
    </w:p>
    <w:p w14:paraId="0016268E" w14:textId="77777777" w:rsidR="008B6006" w:rsidRDefault="008B6006" w:rsidP="008B6006"/>
    <w:p w14:paraId="6CD1BE1F" w14:textId="77777777" w:rsidR="008B6006" w:rsidRDefault="008B6006" w:rsidP="008B6006">
      <w:pPr>
        <w:sectPr w:rsidR="008B6006" w:rsidSect="00172835">
          <w:headerReference w:type="even" r:id="rId14"/>
          <w:headerReference w:type="default" r:id="rId15"/>
          <w:footerReference w:type="even" r:id="rId16"/>
          <w:footerReference w:type="default" r:id="rId17"/>
          <w:pgSz w:w="11907" w:h="16840" w:code="9"/>
          <w:pgMar w:top="2466" w:right="2098" w:bottom="2466" w:left="2098" w:header="1899" w:footer="1899" w:gutter="0"/>
          <w:cols w:space="708"/>
          <w:vAlign w:val="center"/>
          <w:titlePg/>
          <w:docGrid w:linePitch="360"/>
        </w:sectPr>
      </w:pPr>
    </w:p>
    <w:p w14:paraId="45778F5E" w14:textId="22D69310" w:rsidR="008B6006" w:rsidRDefault="008B6006" w:rsidP="008B6006">
      <w:r>
        <w:rPr>
          <w:rFonts w:ascii="Symbol" w:hAnsi="Symbol"/>
        </w:rPr>
        <w:lastRenderedPageBreak/>
        <w:t></w:t>
      </w:r>
      <w:r>
        <w:t xml:space="preserve"> Commonwealth of Australia </w:t>
      </w:r>
      <w:r w:rsidRPr="0087297F">
        <w:t>201</w:t>
      </w:r>
      <w:r w:rsidR="0087297F" w:rsidRPr="0087297F">
        <w:t>8</w:t>
      </w:r>
    </w:p>
    <w:p w14:paraId="16C3E40A" w14:textId="25EF65F4" w:rsidR="008B6006" w:rsidRDefault="008B6006" w:rsidP="00220DFD">
      <w:pPr>
        <w:jc w:val="left"/>
      </w:pPr>
      <w:r w:rsidRPr="003C23AF">
        <w:t>ISSN 0155</w:t>
      </w:r>
      <w:r w:rsidR="008205A1" w:rsidRPr="003C23AF">
        <w:noBreakHyphen/>
      </w:r>
      <w:r w:rsidRPr="003C23AF">
        <w:t>0802 (print</w:t>
      </w:r>
      <w:proofErr w:type="gramStart"/>
      <w:r w:rsidRPr="003C23AF">
        <w:t>)</w:t>
      </w:r>
      <w:proofErr w:type="gramEnd"/>
      <w:r w:rsidRPr="003C23AF">
        <w:br/>
        <w:t>ISSN 2204</w:t>
      </w:r>
      <w:r w:rsidR="008205A1" w:rsidRPr="003C23AF">
        <w:noBreakHyphen/>
      </w:r>
      <w:r w:rsidRPr="003C23AF">
        <w:t>0927 (web</w:t>
      </w:r>
      <w:r>
        <w:t>)</w:t>
      </w:r>
    </w:p>
    <w:p w14:paraId="741013C5" w14:textId="77777777" w:rsidR="008B6006" w:rsidRPr="00BF5DDF" w:rsidRDefault="008B6006" w:rsidP="008B6006">
      <w:r w:rsidRPr="002F1BC2">
        <w:t>This publication is available for your use under a</w:t>
      </w:r>
      <w:r w:rsidRPr="00BF5DDF">
        <w:t xml:space="preserve"> </w:t>
      </w:r>
      <w:hyperlink r:id="rId18" w:history="1">
        <w:r w:rsidRPr="00BF5DDF">
          <w:t>Creative Commons Attribution 3.0 Australia</w:t>
        </w:r>
      </w:hyperlink>
      <w:r w:rsidRPr="00BF5DDF">
        <w:t xml:space="preserve"> </w:t>
      </w:r>
      <w:r w:rsidRPr="002F1BC2">
        <w:t>licence, with the exception of the Commonwealth Coat of Arms, the Treasury logo</w:t>
      </w:r>
      <w:r>
        <w:t xml:space="preserve">, photographs, images, signatures </w:t>
      </w:r>
      <w:r w:rsidRPr="002F1BC2">
        <w:t>and where otherwise stated. The full licence terms are available from</w:t>
      </w:r>
      <w:r w:rsidRPr="00BF5DDF">
        <w:t xml:space="preserve"> </w:t>
      </w:r>
      <w:hyperlink r:id="rId19" w:history="1">
        <w:r w:rsidRPr="005148C5">
          <w:rPr>
            <w:rStyle w:val="Hyperlink"/>
          </w:rPr>
          <w:t>http://creativecommons.org/licenses/by/3.0/au/legalcode</w:t>
        </w:r>
      </w:hyperlink>
      <w:r w:rsidRPr="00BF5DDF">
        <w:t>.</w:t>
      </w:r>
    </w:p>
    <w:p w14:paraId="27D358FD" w14:textId="77777777" w:rsidR="008B6006" w:rsidRDefault="008B6006" w:rsidP="00D74D35">
      <w:pPr>
        <w:spacing w:after="120" w:line="240" w:lineRule="auto"/>
      </w:pPr>
      <w:r>
        <w:rPr>
          <w:noProof/>
        </w:rPr>
        <w:drawing>
          <wp:inline distT="0" distB="0" distL="0" distR="0" wp14:anchorId="4666AD97" wp14:editId="6C1E62AE">
            <wp:extent cx="810895" cy="286385"/>
            <wp:effectExtent l="0" t="0" r="8255" b="0"/>
            <wp:docPr id="1" name="Picture 1" descr="Description: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image"/>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10895" cy="286385"/>
                    </a:xfrm>
                    <a:prstGeom prst="rect">
                      <a:avLst/>
                    </a:prstGeom>
                    <a:noFill/>
                    <a:ln>
                      <a:noFill/>
                    </a:ln>
                  </pic:spPr>
                </pic:pic>
              </a:graphicData>
            </a:graphic>
          </wp:inline>
        </w:drawing>
      </w:r>
    </w:p>
    <w:p w14:paraId="7209B574" w14:textId="1D806061" w:rsidR="008B6006" w:rsidRPr="006627B4" w:rsidRDefault="008B6006" w:rsidP="00D74D35">
      <w:pPr>
        <w:tabs>
          <w:tab w:val="left" w:pos="1650"/>
        </w:tabs>
        <w:spacing w:after="120"/>
      </w:pPr>
      <w:r w:rsidRPr="006627B4">
        <w:t>Use of Treasury material under a</w:t>
      </w:r>
      <w:r w:rsidRPr="00BF5DDF">
        <w:rPr>
          <w:rFonts w:cs="Calibri"/>
          <w:sz w:val="24"/>
          <w:szCs w:val="24"/>
        </w:rPr>
        <w:t xml:space="preserve"> </w:t>
      </w:r>
      <w:hyperlink r:id="rId21" w:history="1">
        <w:r w:rsidRPr="002F1BC2">
          <w:rPr>
            <w:rStyle w:val="Hyperlink"/>
          </w:rPr>
          <w:t>Creative Commons Attribution 3.0 Australia</w:t>
        </w:r>
      </w:hyperlink>
      <w:r w:rsidRPr="002F1BC2">
        <w:rPr>
          <w:rStyle w:val="Hyperlink"/>
        </w:rPr>
        <w:t xml:space="preserve"> </w:t>
      </w:r>
      <w:r w:rsidRPr="006627B4">
        <w:t>licence requires you to attribute the work (but not in any way that suggests that the Treasury endorses you or your use of the work).</w:t>
      </w:r>
    </w:p>
    <w:p w14:paraId="79831148" w14:textId="648B6F13" w:rsidR="008B6006" w:rsidRPr="002F1BC2" w:rsidRDefault="008B6006" w:rsidP="00516F7A">
      <w:pPr>
        <w:tabs>
          <w:tab w:val="left" w:pos="4152"/>
        </w:tabs>
        <w:ind w:left="567"/>
        <w:rPr>
          <w:i/>
        </w:rPr>
      </w:pPr>
      <w:proofErr w:type="gramStart"/>
      <w:r w:rsidRPr="002F1BC2">
        <w:rPr>
          <w:i/>
        </w:rPr>
        <w:t xml:space="preserve">Treasury material used </w:t>
      </w:r>
      <w:r w:rsidR="008205A1">
        <w:rPr>
          <w:i/>
        </w:rPr>
        <w:t>‘</w:t>
      </w:r>
      <w:r w:rsidRPr="002F1BC2">
        <w:rPr>
          <w:i/>
        </w:rPr>
        <w:t>as supplied</w:t>
      </w:r>
      <w:r w:rsidR="008205A1">
        <w:rPr>
          <w:i/>
        </w:rPr>
        <w:t>’</w:t>
      </w:r>
      <w:r>
        <w:rPr>
          <w:i/>
        </w:rPr>
        <w:t>.</w:t>
      </w:r>
      <w:proofErr w:type="gramEnd"/>
    </w:p>
    <w:p w14:paraId="343AF7CF" w14:textId="77777777" w:rsidR="008B6006" w:rsidRDefault="008B6006" w:rsidP="00220DFD">
      <w:pPr>
        <w:spacing w:after="120"/>
      </w:pPr>
      <w:r w:rsidRPr="00476F09">
        <w:t>Provided you have not modified or trans</w:t>
      </w:r>
      <w:r>
        <w:t xml:space="preserve">formed Treasury material in any </w:t>
      </w:r>
      <w:r w:rsidRPr="00476F09">
        <w:t>way including, for example, by</w:t>
      </w:r>
      <w:r>
        <w:t xml:space="preserve"> </w:t>
      </w:r>
      <w:r w:rsidRPr="0096692D">
        <w:t>changing the Treasury text; calculating percentage changes; graphing or charting data</w:t>
      </w:r>
      <w:r>
        <w:t>;</w:t>
      </w:r>
      <w:r w:rsidRPr="0096692D">
        <w:t xml:space="preserve"> or deriving new statistics from published Treasury statistics</w:t>
      </w:r>
      <w:r>
        <w:t xml:space="preserve"> — then Treasury prefers the following attribution:</w:t>
      </w:r>
    </w:p>
    <w:p w14:paraId="55419564" w14:textId="77777777" w:rsidR="008B6006" w:rsidRPr="00476F09" w:rsidRDefault="008B6006" w:rsidP="008B6006">
      <w:pPr>
        <w:ind w:left="567"/>
      </w:pPr>
      <w:r w:rsidRPr="00BF5DDF">
        <w:rPr>
          <w:i/>
        </w:rPr>
        <w:t>Source</w:t>
      </w:r>
      <w:r w:rsidRPr="005525FE">
        <w:t xml:space="preserve">: </w:t>
      </w:r>
      <w:r w:rsidRPr="00AE5D13">
        <w:rPr>
          <w:i/>
        </w:rPr>
        <w:t>The Treasury</w:t>
      </w:r>
      <w:r>
        <w:rPr>
          <w:i/>
        </w:rPr>
        <w:t>.</w:t>
      </w:r>
    </w:p>
    <w:p w14:paraId="500D0B52" w14:textId="77777777" w:rsidR="008B6006" w:rsidRPr="00BF5DDF" w:rsidRDefault="008B6006" w:rsidP="00D74D35">
      <w:pPr>
        <w:rPr>
          <w:b/>
        </w:rPr>
      </w:pPr>
      <w:r w:rsidRPr="00BF5DDF">
        <w:rPr>
          <w:b/>
        </w:rPr>
        <w:t>Derivative material</w:t>
      </w:r>
    </w:p>
    <w:p w14:paraId="1F783B82" w14:textId="7D97011F" w:rsidR="008B6006" w:rsidRDefault="008B6006" w:rsidP="00220DFD">
      <w:pPr>
        <w:spacing w:after="120"/>
      </w:pPr>
      <w:r w:rsidRPr="006627B4">
        <w:t>If you have modified or transformed Treasury material, or derived new material from those of the Treasury in any way, then Treasury prefers the following attribution:</w:t>
      </w:r>
    </w:p>
    <w:p w14:paraId="7E792658" w14:textId="061CB61D" w:rsidR="00D74D35" w:rsidRPr="00D74D35" w:rsidRDefault="00D74D35" w:rsidP="00D74D35">
      <w:pPr>
        <w:tabs>
          <w:tab w:val="left" w:pos="4152"/>
        </w:tabs>
        <w:ind w:left="567"/>
        <w:rPr>
          <w:i/>
        </w:rPr>
      </w:pPr>
      <w:r w:rsidRPr="00D74D35">
        <w:rPr>
          <w:i/>
        </w:rPr>
        <w:t xml:space="preserve">Based on </w:t>
      </w:r>
      <w:proofErr w:type="gramStart"/>
      <w:r w:rsidRPr="00D74D35">
        <w:rPr>
          <w:i/>
        </w:rPr>
        <w:t>The</w:t>
      </w:r>
      <w:proofErr w:type="gramEnd"/>
      <w:r w:rsidRPr="00D74D35">
        <w:rPr>
          <w:i/>
        </w:rPr>
        <w:t xml:space="preserve"> Australian Government the Treasury</w:t>
      </w:r>
    </w:p>
    <w:p w14:paraId="628FA139" w14:textId="77777777" w:rsidR="008B6006" w:rsidRPr="006627B4" w:rsidRDefault="008B6006" w:rsidP="008B6006">
      <w:pPr>
        <w:spacing w:after="40"/>
        <w:rPr>
          <w:b/>
        </w:rPr>
      </w:pPr>
      <w:r w:rsidRPr="006627B4">
        <w:rPr>
          <w:b/>
        </w:rPr>
        <w:t>Use of the Coat of Arms</w:t>
      </w:r>
    </w:p>
    <w:p w14:paraId="3B28EDFC" w14:textId="4E4D7ECA" w:rsidR="008B6006" w:rsidRPr="006627B4" w:rsidRDefault="008B6006" w:rsidP="00D74D35">
      <w:r w:rsidRPr="006627B4">
        <w:t>The terms under which the Coat of Arms can be used are set out on the It</w:t>
      </w:r>
      <w:r w:rsidR="008205A1">
        <w:t>’</w:t>
      </w:r>
      <w:r w:rsidRPr="006627B4">
        <w:t xml:space="preserve">s an Honour website (see </w:t>
      </w:r>
      <w:hyperlink r:id="rId22" w:history="1">
        <w:r w:rsidRPr="00947C03">
          <w:rPr>
            <w:rStyle w:val="Hyperlink"/>
          </w:rPr>
          <w:t>www.itsanhonour.gov.au</w:t>
        </w:r>
      </w:hyperlink>
      <w:r w:rsidRPr="006627B4">
        <w:t>)</w:t>
      </w:r>
      <w:r>
        <w:t>.</w:t>
      </w:r>
    </w:p>
    <w:p w14:paraId="2C3EB411" w14:textId="77777777" w:rsidR="008B6006" w:rsidRPr="00695A35" w:rsidRDefault="008B6006" w:rsidP="008B6006">
      <w:pPr>
        <w:spacing w:after="120"/>
        <w:rPr>
          <w:b/>
        </w:rPr>
      </w:pPr>
      <w:r w:rsidRPr="00695A35">
        <w:rPr>
          <w:b/>
        </w:rPr>
        <w:t xml:space="preserve">Other </w:t>
      </w:r>
      <w:r>
        <w:rPr>
          <w:b/>
        </w:rPr>
        <w:t>u</w:t>
      </w:r>
      <w:r w:rsidRPr="00695A35">
        <w:rPr>
          <w:b/>
        </w:rPr>
        <w:t>ses</w:t>
      </w:r>
    </w:p>
    <w:p w14:paraId="7C8EA9A4" w14:textId="77777777" w:rsidR="008B6006" w:rsidRPr="005525FE" w:rsidRDefault="008B6006" w:rsidP="00D74D35">
      <w:pPr>
        <w:spacing w:after="100"/>
      </w:pPr>
      <w:r w:rsidRPr="005525FE">
        <w:t>Inquiries regarding this licence and any other use of this document are welcome at:</w:t>
      </w:r>
    </w:p>
    <w:p w14:paraId="080F04FF" w14:textId="6744FE0E" w:rsidR="008B6006" w:rsidRDefault="008B6006" w:rsidP="00220DFD">
      <w:pPr>
        <w:spacing w:after="100"/>
        <w:ind w:left="567"/>
        <w:jc w:val="left"/>
      </w:pPr>
      <w:r w:rsidRPr="005525FE">
        <w:t>Manager</w:t>
      </w:r>
      <w:r>
        <w:br/>
      </w:r>
      <w:r w:rsidRPr="005525FE">
        <w:t xml:space="preserve">Communications </w:t>
      </w:r>
      <w:r>
        <w:br/>
      </w:r>
      <w:proofErr w:type="gramStart"/>
      <w:r w:rsidRPr="005525FE">
        <w:t>The</w:t>
      </w:r>
      <w:r>
        <w:t xml:space="preserve"> </w:t>
      </w:r>
      <w:r w:rsidRPr="005525FE">
        <w:t>Treasury</w:t>
      </w:r>
      <w:r>
        <w:br/>
      </w:r>
      <w:r w:rsidRPr="005525FE">
        <w:t>Langton</w:t>
      </w:r>
      <w:proofErr w:type="gramEnd"/>
      <w:r w:rsidRPr="005525FE">
        <w:t xml:space="preserve"> Crescent </w:t>
      </w:r>
      <w:r>
        <w:br/>
      </w:r>
      <w:r w:rsidRPr="005525FE">
        <w:t>Parkes</w:t>
      </w:r>
      <w:r w:rsidR="006B70F2">
        <w:t xml:space="preserve"> </w:t>
      </w:r>
      <w:r w:rsidRPr="005525FE">
        <w:t>ACT</w:t>
      </w:r>
      <w:r w:rsidR="006B70F2">
        <w:t xml:space="preserve"> </w:t>
      </w:r>
      <w:r w:rsidRPr="005525FE">
        <w:t>2600</w:t>
      </w:r>
      <w:r>
        <w:br/>
      </w:r>
      <w:r w:rsidRPr="005525FE">
        <w:t xml:space="preserve">Email: </w:t>
      </w:r>
      <w:hyperlink r:id="rId23" w:history="1">
        <w:r w:rsidRPr="005525FE">
          <w:rPr>
            <w:rStyle w:val="Hyperlink"/>
          </w:rPr>
          <w:t>medialiaison@treasury.gov.au</w:t>
        </w:r>
      </w:hyperlink>
    </w:p>
    <w:p w14:paraId="449D824A" w14:textId="77777777" w:rsidR="00294A97" w:rsidRDefault="008B6006" w:rsidP="008B6006">
      <w:pPr>
        <w:spacing w:after="0"/>
        <w:sectPr w:rsidR="00294A97" w:rsidSect="0031133C">
          <w:headerReference w:type="even" r:id="rId24"/>
          <w:headerReference w:type="default" r:id="rId25"/>
          <w:footerReference w:type="even" r:id="rId26"/>
          <w:footerReference w:type="default" r:id="rId27"/>
          <w:headerReference w:type="first" r:id="rId28"/>
          <w:footerReference w:type="first" r:id="rId29"/>
          <w:pgSz w:w="11907" w:h="16840" w:code="9"/>
          <w:pgMar w:top="2466" w:right="2098" w:bottom="2466" w:left="2098" w:header="1899" w:footer="1899" w:gutter="0"/>
          <w:pgNumType w:fmt="lowerRoman"/>
          <w:cols w:space="720"/>
          <w:titlePg/>
          <w:docGrid w:linePitch="360"/>
        </w:sectPr>
      </w:pPr>
      <w:r>
        <w:t xml:space="preserve">A copy of this document appears on the Foreign Investment Review Board website at </w:t>
      </w:r>
      <w:hyperlink r:id="rId30" w:history="1">
        <w:r w:rsidRPr="00BA7AE3">
          <w:rPr>
            <w:rStyle w:val="Hyperlink"/>
          </w:rPr>
          <w:t>www.firb.gov.au</w:t>
        </w:r>
      </w:hyperlink>
      <w:r>
        <w:t>.</w:t>
      </w:r>
    </w:p>
    <w:p w14:paraId="0BBAE60C" w14:textId="45E711E2" w:rsidR="007F0125" w:rsidRPr="00FD3B20" w:rsidRDefault="0010677E" w:rsidP="007F0125">
      <w:pPr>
        <w:spacing w:after="0"/>
        <w:jc w:val="right"/>
        <w:rPr>
          <w:szCs w:val="24"/>
        </w:rPr>
      </w:pPr>
      <w:r w:rsidRPr="0010677E">
        <w:rPr>
          <w:szCs w:val="24"/>
        </w:rPr>
        <w:lastRenderedPageBreak/>
        <w:t>8</w:t>
      </w:r>
      <w:r w:rsidR="00CD762D" w:rsidRPr="0010677E">
        <w:t xml:space="preserve"> </w:t>
      </w:r>
      <w:r w:rsidR="00CD762D" w:rsidRPr="00B25016">
        <w:rPr>
          <w:szCs w:val="24"/>
        </w:rPr>
        <w:t>Ma</w:t>
      </w:r>
      <w:r w:rsidR="00DE2DF4" w:rsidRPr="00B25016">
        <w:rPr>
          <w:szCs w:val="24"/>
        </w:rPr>
        <w:t>y</w:t>
      </w:r>
      <w:r w:rsidR="007F0125" w:rsidRPr="00B25016">
        <w:rPr>
          <w:szCs w:val="24"/>
        </w:rPr>
        <w:t xml:space="preserve"> 201</w:t>
      </w:r>
      <w:r w:rsidR="00DE2DF4" w:rsidRPr="00B25016">
        <w:rPr>
          <w:szCs w:val="24"/>
        </w:rPr>
        <w:t>8</w:t>
      </w:r>
    </w:p>
    <w:p w14:paraId="430CAD13" w14:textId="6A61221F" w:rsidR="007F0125" w:rsidRPr="00FD3B20" w:rsidRDefault="007F0125" w:rsidP="007F0125">
      <w:pPr>
        <w:spacing w:after="0"/>
        <w:rPr>
          <w:szCs w:val="24"/>
        </w:rPr>
      </w:pPr>
      <w:r w:rsidRPr="00FD3B20">
        <w:rPr>
          <w:szCs w:val="24"/>
        </w:rPr>
        <w:t>The Hon Scott Morrison MP</w:t>
      </w:r>
    </w:p>
    <w:p w14:paraId="1817F6BB" w14:textId="0877F797" w:rsidR="007F0125" w:rsidRPr="00FD3B20" w:rsidRDefault="007F0125" w:rsidP="007F0125">
      <w:pPr>
        <w:spacing w:after="0"/>
        <w:rPr>
          <w:szCs w:val="24"/>
        </w:rPr>
      </w:pPr>
      <w:r w:rsidRPr="00FD3B20">
        <w:rPr>
          <w:szCs w:val="24"/>
        </w:rPr>
        <w:t>Treasurer</w:t>
      </w:r>
    </w:p>
    <w:p w14:paraId="29ED1CD6" w14:textId="4382E3D8" w:rsidR="007F0125" w:rsidRPr="00FD3B20" w:rsidRDefault="007F0125" w:rsidP="007F0125">
      <w:pPr>
        <w:spacing w:after="0"/>
        <w:rPr>
          <w:szCs w:val="24"/>
        </w:rPr>
      </w:pPr>
      <w:r w:rsidRPr="00FD3B20">
        <w:rPr>
          <w:szCs w:val="24"/>
        </w:rPr>
        <w:t>Parliament House</w:t>
      </w:r>
    </w:p>
    <w:p w14:paraId="7F8F9CE4" w14:textId="4D6A0057" w:rsidR="007F0125" w:rsidRPr="00FD3B20" w:rsidRDefault="007F0125" w:rsidP="0065797B">
      <w:pPr>
        <w:rPr>
          <w:szCs w:val="24"/>
        </w:rPr>
      </w:pPr>
      <w:r w:rsidRPr="00FD3B20">
        <w:rPr>
          <w:szCs w:val="24"/>
        </w:rPr>
        <w:t>CANBERRA</w:t>
      </w:r>
      <w:r w:rsidR="006B70F2">
        <w:rPr>
          <w:szCs w:val="24"/>
        </w:rPr>
        <w:t xml:space="preserve"> </w:t>
      </w:r>
      <w:r w:rsidRPr="00FD3B20">
        <w:rPr>
          <w:szCs w:val="24"/>
        </w:rPr>
        <w:t>ACT</w:t>
      </w:r>
      <w:r w:rsidR="006B70F2">
        <w:rPr>
          <w:szCs w:val="24"/>
        </w:rPr>
        <w:t xml:space="preserve"> </w:t>
      </w:r>
      <w:r w:rsidRPr="00FD3B20">
        <w:rPr>
          <w:szCs w:val="24"/>
        </w:rPr>
        <w:t>2600</w:t>
      </w:r>
    </w:p>
    <w:p w14:paraId="7B98B5B2" w14:textId="5F07D885" w:rsidR="0065797B" w:rsidRPr="00FD3B20" w:rsidRDefault="004249C2" w:rsidP="003D4EDC">
      <w:pPr>
        <w:spacing w:after="160"/>
        <w:rPr>
          <w:szCs w:val="24"/>
        </w:rPr>
      </w:pPr>
      <w:r>
        <w:rPr>
          <w:szCs w:val="24"/>
        </w:rPr>
        <w:t>Dear Treasurer</w:t>
      </w:r>
    </w:p>
    <w:p w14:paraId="2C7F5A29" w14:textId="482CDAD9" w:rsidR="0065797B" w:rsidRDefault="0065797B" w:rsidP="003D4EDC">
      <w:pPr>
        <w:spacing w:after="160"/>
        <w:rPr>
          <w:szCs w:val="24"/>
        </w:rPr>
      </w:pPr>
      <w:r w:rsidRPr="001E7AC8">
        <w:rPr>
          <w:szCs w:val="24"/>
        </w:rPr>
        <w:t>I am pleased to present the annual report of the Foreign Investment Review Board</w:t>
      </w:r>
      <w:r w:rsidR="001224D9" w:rsidRPr="001E7AC8">
        <w:rPr>
          <w:szCs w:val="24"/>
        </w:rPr>
        <w:t xml:space="preserve"> </w:t>
      </w:r>
      <w:r w:rsidR="00830BF7" w:rsidRPr="001E7AC8">
        <w:rPr>
          <w:szCs w:val="24"/>
        </w:rPr>
        <w:t xml:space="preserve">(the FIRB) </w:t>
      </w:r>
      <w:r w:rsidR="001224D9" w:rsidRPr="001E7AC8">
        <w:rPr>
          <w:szCs w:val="24"/>
        </w:rPr>
        <w:t>for the year ended 30 June 2017</w:t>
      </w:r>
      <w:r w:rsidRPr="001E7AC8">
        <w:rPr>
          <w:szCs w:val="24"/>
        </w:rPr>
        <w:t xml:space="preserve">. The report has been prepared in accordance with </w:t>
      </w:r>
      <w:r w:rsidR="00830BF7" w:rsidRPr="001E7AC8">
        <w:rPr>
          <w:szCs w:val="24"/>
        </w:rPr>
        <w:t>the FIRB</w:t>
      </w:r>
      <w:r w:rsidR="008205A1" w:rsidRPr="001E7AC8">
        <w:rPr>
          <w:szCs w:val="24"/>
        </w:rPr>
        <w:t>’</w:t>
      </w:r>
      <w:r w:rsidRPr="001E7AC8">
        <w:rPr>
          <w:szCs w:val="24"/>
        </w:rPr>
        <w:t>s responsibility to advise the Government</w:t>
      </w:r>
      <w:r w:rsidR="003D4EDC" w:rsidRPr="001E7AC8">
        <w:rPr>
          <w:szCs w:val="24"/>
        </w:rPr>
        <w:t xml:space="preserve"> on foreign investment matters.</w:t>
      </w:r>
    </w:p>
    <w:p w14:paraId="379EDBF1" w14:textId="6F063041" w:rsidR="00DE2DF4" w:rsidRDefault="00952D77" w:rsidP="003D4EDC">
      <w:pPr>
        <w:spacing w:after="160"/>
        <w:rPr>
          <w:color w:val="auto"/>
          <w:szCs w:val="24"/>
        </w:rPr>
      </w:pPr>
      <w:r>
        <w:t xml:space="preserve">The </w:t>
      </w:r>
      <w:r w:rsidR="009D0C7F">
        <w:t>FIRB assessed</w:t>
      </w:r>
      <w:r w:rsidR="009F0482">
        <w:t xml:space="preserve"> a </w:t>
      </w:r>
      <w:r w:rsidR="00DE2DF4">
        <w:t xml:space="preserve">significant </w:t>
      </w:r>
      <w:r w:rsidR="009D0C7F">
        <w:t>volume</w:t>
      </w:r>
      <w:r w:rsidR="00DE2DF4">
        <w:t xml:space="preserve"> of high profile investment applications in 2016</w:t>
      </w:r>
      <w:r w:rsidR="00CD7E4F">
        <w:t>–</w:t>
      </w:r>
      <w:r w:rsidR="00DE2DF4">
        <w:t xml:space="preserve">17, </w:t>
      </w:r>
      <w:r w:rsidR="009D0C7F">
        <w:t>continuing the trend of recent years. Proposals considered by the FIRB included the acquisition of</w:t>
      </w:r>
      <w:r w:rsidR="00DE2DF4">
        <w:t xml:space="preserve"> the </w:t>
      </w:r>
      <w:r w:rsidR="00AD0E82">
        <w:t xml:space="preserve">fifty </w:t>
      </w:r>
      <w:r w:rsidR="00DE2DF4">
        <w:t xml:space="preserve">year lease for the Port of Melbourne, the </w:t>
      </w:r>
      <w:proofErr w:type="spellStart"/>
      <w:r w:rsidR="00DE2DF4" w:rsidRPr="00BE18F7">
        <w:rPr>
          <w:color w:val="auto"/>
          <w:szCs w:val="24"/>
        </w:rPr>
        <w:t>Asciano</w:t>
      </w:r>
      <w:proofErr w:type="spellEnd"/>
      <w:r w:rsidR="00DE2DF4">
        <w:rPr>
          <w:color w:val="auto"/>
          <w:szCs w:val="24"/>
        </w:rPr>
        <w:t xml:space="preserve"> </w:t>
      </w:r>
      <w:r w:rsidR="00DE2DF4" w:rsidRPr="00BE18F7">
        <w:rPr>
          <w:color w:val="auto"/>
          <w:szCs w:val="24"/>
        </w:rPr>
        <w:t xml:space="preserve">ports and rail group </w:t>
      </w:r>
      <w:r w:rsidR="00DE2DF4">
        <w:rPr>
          <w:color w:val="auto"/>
          <w:szCs w:val="24"/>
        </w:rPr>
        <w:t>transaction and the lease</w:t>
      </w:r>
      <w:r w:rsidR="000E2DD5">
        <w:rPr>
          <w:color w:val="auto"/>
          <w:szCs w:val="24"/>
        </w:rPr>
        <w:t>s</w:t>
      </w:r>
      <w:r w:rsidR="00DE2DF4">
        <w:rPr>
          <w:color w:val="auto"/>
          <w:szCs w:val="24"/>
        </w:rPr>
        <w:t xml:space="preserve"> of </w:t>
      </w:r>
      <w:r w:rsidR="000E2DD5">
        <w:rPr>
          <w:color w:val="auto"/>
          <w:szCs w:val="24"/>
        </w:rPr>
        <w:t xml:space="preserve">majority stakes in </w:t>
      </w:r>
      <w:proofErr w:type="spellStart"/>
      <w:r w:rsidR="000E2DD5">
        <w:rPr>
          <w:color w:val="auto"/>
          <w:szCs w:val="24"/>
        </w:rPr>
        <w:t>Ausgrid</w:t>
      </w:r>
      <w:proofErr w:type="spellEnd"/>
      <w:r w:rsidR="000E2DD5">
        <w:rPr>
          <w:color w:val="auto"/>
          <w:szCs w:val="24"/>
        </w:rPr>
        <w:t xml:space="preserve"> and</w:t>
      </w:r>
      <w:r w:rsidR="00DE2DF4">
        <w:rPr>
          <w:color w:val="auto"/>
          <w:szCs w:val="24"/>
        </w:rPr>
        <w:t xml:space="preserve"> Endeavour Energy.</w:t>
      </w:r>
    </w:p>
    <w:p w14:paraId="56972910" w14:textId="15BF1CBB" w:rsidR="00FA69AC" w:rsidRDefault="00C252DD" w:rsidP="00C252DD">
      <w:r>
        <w:t>The foreign investment environment</w:t>
      </w:r>
      <w:r w:rsidR="009D0C7F">
        <w:t xml:space="preserve"> in which the </w:t>
      </w:r>
      <w:r w:rsidR="00ED03F9" w:rsidRPr="001E7AC8">
        <w:rPr>
          <w:szCs w:val="24"/>
        </w:rPr>
        <w:t>FIRB</w:t>
      </w:r>
      <w:r w:rsidR="00ED03F9">
        <w:t xml:space="preserve"> </w:t>
      </w:r>
      <w:r w:rsidR="009D0C7F">
        <w:t>operates continues to evolve</w:t>
      </w:r>
      <w:r>
        <w:t xml:space="preserve">. </w:t>
      </w:r>
      <w:r w:rsidR="008F53C4">
        <w:t xml:space="preserve">The </w:t>
      </w:r>
      <w:r w:rsidR="00ED03F9" w:rsidRPr="001E7AC8">
        <w:rPr>
          <w:szCs w:val="24"/>
        </w:rPr>
        <w:t>FIRB</w:t>
      </w:r>
      <w:r w:rsidR="00ED03F9">
        <w:t xml:space="preserve"> </w:t>
      </w:r>
      <w:r w:rsidR="008F53C4">
        <w:t>devotes considerable effort to understanding the national interest risks from potential acquisitions and assessing potential mitigations. In this regard, a</w:t>
      </w:r>
      <w:r w:rsidR="009D0C7F">
        <w:t>n important development has been t</w:t>
      </w:r>
      <w:r w:rsidR="000E2DD5">
        <w:t xml:space="preserve">he </w:t>
      </w:r>
      <w:r w:rsidR="0020000D">
        <w:t>establishment</w:t>
      </w:r>
      <w:r w:rsidR="000E2DD5">
        <w:t xml:space="preserve"> of the Critical Infrastructure Centre </w:t>
      </w:r>
      <w:r w:rsidR="00AD0E82">
        <w:t xml:space="preserve">(the Centre) </w:t>
      </w:r>
      <w:r w:rsidR="00952D77">
        <w:t>in 2017</w:t>
      </w:r>
      <w:r w:rsidR="009D0C7F">
        <w:t xml:space="preserve">. The Centre has </w:t>
      </w:r>
      <w:r w:rsidR="00952D77">
        <w:t xml:space="preserve">provided </w:t>
      </w:r>
      <w:r w:rsidR="009D0C7F">
        <w:t xml:space="preserve">the FIRB with </w:t>
      </w:r>
      <w:r w:rsidR="00952D77">
        <w:t>consolidated</w:t>
      </w:r>
      <w:r w:rsidR="000E2DD5">
        <w:t xml:space="preserve"> whole-of-government </w:t>
      </w:r>
      <w:r w:rsidR="00952D77">
        <w:t>input</w:t>
      </w:r>
      <w:r w:rsidR="000E2DD5">
        <w:t xml:space="preserve"> on the national security implications of major critical infrastructure transactions. </w:t>
      </w:r>
      <w:r w:rsidR="009D0C7F">
        <w:t xml:space="preserve">Over time, the Centre will undertake more proactive assessments of critical infrastructure assets in advance of transactions occurring. </w:t>
      </w:r>
      <w:r w:rsidR="00FA69AC">
        <w:t xml:space="preserve">Another </w:t>
      </w:r>
      <w:r w:rsidR="009D0C7F">
        <w:t xml:space="preserve">emerging </w:t>
      </w:r>
      <w:r w:rsidR="00FA69AC">
        <w:t xml:space="preserve">focus for the </w:t>
      </w:r>
      <w:r w:rsidR="00ED03F9" w:rsidRPr="001E7AC8">
        <w:rPr>
          <w:szCs w:val="24"/>
        </w:rPr>
        <w:t>FIRB</w:t>
      </w:r>
      <w:r w:rsidR="00ED03F9">
        <w:t xml:space="preserve"> </w:t>
      </w:r>
      <w:r w:rsidR="00FA69AC">
        <w:t>has been data protection and the important role that data centres play in the digital economy.</w:t>
      </w:r>
    </w:p>
    <w:p w14:paraId="1BA5C970" w14:textId="08EDFD56" w:rsidR="009B34B5" w:rsidRDefault="00FA69AC" w:rsidP="00C252DD">
      <w:r>
        <w:t xml:space="preserve">The </w:t>
      </w:r>
      <w:r w:rsidR="009B34B5">
        <w:t>FIRB</w:t>
      </w:r>
      <w:r>
        <w:t xml:space="preserve"> has continued to be active in engaging with the foreign investment community and their advisers. As Chair, I have also given some speeches about Australia’s foreign investment policy and the </w:t>
      </w:r>
      <w:r w:rsidR="009B34B5">
        <w:t>FIRB</w:t>
      </w:r>
      <w:r>
        <w:t xml:space="preserve">’s role in the foreign investment process. </w:t>
      </w:r>
      <w:r w:rsidR="009B34B5">
        <w:t>Our engagement and communication are designed to promote a better understanding of foreign investment policy and encourage active and early engagement by potential investors with the FIRB.</w:t>
      </w:r>
    </w:p>
    <w:p w14:paraId="3F003062" w14:textId="5D9AD5C3" w:rsidR="00887D5A" w:rsidRDefault="009D0C7F" w:rsidP="00C252DD">
      <w:r>
        <w:t xml:space="preserve">An important component of the foreign investment framework is compliance. </w:t>
      </w:r>
      <w:r w:rsidR="00887D5A">
        <w:t>Strengthened residential real estate compliance has been in place for a number of years. During 2016</w:t>
      </w:r>
      <w:r w:rsidR="00CD7E4F">
        <w:t>–</w:t>
      </w:r>
      <w:r w:rsidR="00887D5A">
        <w:t>17, the Treasury commenced an enhanced compliance program for business cases</w:t>
      </w:r>
      <w:r w:rsidR="0071509E">
        <w:t>.</w:t>
      </w:r>
    </w:p>
    <w:p w14:paraId="39EE92D1" w14:textId="4D79239F" w:rsidR="0071509E" w:rsidRDefault="00887D5A" w:rsidP="00C252DD">
      <w:r>
        <w:t>There was a significant reduction in the number and value of residential real estate applications processed in 2016</w:t>
      </w:r>
      <w:r w:rsidR="00CD7E4F">
        <w:t>–</w:t>
      </w:r>
      <w:r>
        <w:t xml:space="preserve">17. </w:t>
      </w:r>
      <w:r w:rsidR="001F6FD2">
        <w:t>Th</w:t>
      </w:r>
      <w:r w:rsidR="009E7CEE">
        <w:t>e most significant factor explaining this drop</w:t>
      </w:r>
      <w:r w:rsidR="001F6FD2">
        <w:t xml:space="preserve"> is </w:t>
      </w:r>
      <w:r w:rsidR="009E7CEE">
        <w:t xml:space="preserve">the </w:t>
      </w:r>
      <w:r w:rsidR="001F6FD2">
        <w:t>introduction of application fees in December 2015</w:t>
      </w:r>
      <w:r w:rsidR="00B07874">
        <w:t>,</w:t>
      </w:r>
      <w:r w:rsidR="001F6FD2">
        <w:t xml:space="preserve"> which </w:t>
      </w:r>
      <w:r w:rsidR="00AD0E82">
        <w:t xml:space="preserve">has </w:t>
      </w:r>
      <w:r w:rsidR="001F6FD2">
        <w:t xml:space="preserve">resulted in investors only applying for properties they </w:t>
      </w:r>
      <w:r w:rsidR="002B7392">
        <w:t>intend</w:t>
      </w:r>
      <w:r w:rsidR="001F6FD2">
        <w:t xml:space="preserve"> to purchase</w:t>
      </w:r>
      <w:r w:rsidR="00552551">
        <w:t>. This implies</w:t>
      </w:r>
      <w:r w:rsidR="009E7CEE" w:rsidDel="00F26BF7">
        <w:t xml:space="preserve"> a reduction in the number of applications rather </w:t>
      </w:r>
      <w:r w:rsidR="00552551" w:rsidRPr="00552551">
        <w:t>th</w:t>
      </w:r>
      <w:r w:rsidR="00552551">
        <w:t>a</w:t>
      </w:r>
      <w:r w:rsidR="00552551" w:rsidRPr="00552551">
        <w:t xml:space="preserve">n </w:t>
      </w:r>
      <w:r w:rsidR="0020000D" w:rsidRPr="00552551">
        <w:t>necessarily</w:t>
      </w:r>
      <w:r w:rsidR="009E7CEE" w:rsidDel="00F26BF7">
        <w:t xml:space="preserve"> a reduction in actual investment</w:t>
      </w:r>
      <w:r w:rsidR="00552551" w:rsidRPr="00552551">
        <w:t>.</w:t>
      </w:r>
      <w:r w:rsidR="001F6FD2">
        <w:t xml:space="preserve"> Other factors </w:t>
      </w:r>
      <w:r w:rsidR="008F008D">
        <w:t xml:space="preserve">that may </w:t>
      </w:r>
      <w:r w:rsidR="008E7193">
        <w:t xml:space="preserve">also </w:t>
      </w:r>
      <w:r w:rsidR="008F008D">
        <w:t>have contributed to a reduction in applications include tighter Chinese capital controls</w:t>
      </w:r>
      <w:r w:rsidR="007C6EC6">
        <w:t>,</w:t>
      </w:r>
      <w:r w:rsidR="008F008D">
        <w:t xml:space="preserve"> weaker market conditions and additional taxes in some </w:t>
      </w:r>
      <w:r w:rsidR="0020000D">
        <w:t>jurisdictions</w:t>
      </w:r>
      <w:r w:rsidR="00B07874">
        <w:t>.</w:t>
      </w:r>
      <w:r w:rsidR="001F6FD2">
        <w:t xml:space="preserve"> </w:t>
      </w:r>
      <w:r>
        <w:t xml:space="preserve">Business related investment proposals totalled </w:t>
      </w:r>
      <w:r w:rsidRPr="00F663E7">
        <w:t>$168 billion</w:t>
      </w:r>
      <w:r>
        <w:t xml:space="preserve"> in 2016</w:t>
      </w:r>
      <w:r w:rsidR="00CD7E4F">
        <w:t>–</w:t>
      </w:r>
      <w:r>
        <w:t>17, only slightly lower than 2015</w:t>
      </w:r>
      <w:r w:rsidR="00CD7E4F">
        <w:t>–</w:t>
      </w:r>
      <w:r>
        <w:t>16.</w:t>
      </w:r>
    </w:p>
    <w:p w14:paraId="15B93159" w14:textId="77777777" w:rsidR="00707139" w:rsidRDefault="00707139">
      <w:pPr>
        <w:spacing w:after="200" w:line="276" w:lineRule="auto"/>
        <w:jc w:val="left"/>
        <w:sectPr w:rsidR="00707139" w:rsidSect="00294A97">
          <w:footerReference w:type="first" r:id="rId31"/>
          <w:type w:val="oddPage"/>
          <w:pgSz w:w="11907" w:h="16840" w:code="9"/>
          <w:pgMar w:top="2466" w:right="2098" w:bottom="2466" w:left="2098" w:header="1899" w:footer="1899" w:gutter="0"/>
          <w:pgNumType w:fmt="lowerRoman"/>
          <w:cols w:space="720"/>
          <w:titlePg/>
          <w:docGrid w:linePitch="360"/>
        </w:sectPr>
      </w:pPr>
    </w:p>
    <w:p w14:paraId="47F3CA6F" w14:textId="0010F32B" w:rsidR="005C1831" w:rsidRDefault="00071CBD" w:rsidP="00EC2695">
      <w:r>
        <w:lastRenderedPageBreak/>
        <w:t xml:space="preserve">During 2017, the terms of the previous Chair, </w:t>
      </w:r>
      <w:r w:rsidR="00E83A6C">
        <w:t xml:space="preserve">Mr </w:t>
      </w:r>
      <w:r>
        <w:t>Brian Wilson, and member Mr</w:t>
      </w:r>
      <w:r w:rsidR="00C03DC7">
        <w:t> </w:t>
      </w:r>
      <w:r>
        <w:t>Michael</w:t>
      </w:r>
      <w:r w:rsidR="00C03DC7">
        <w:t> </w:t>
      </w:r>
      <w:proofErr w:type="spellStart"/>
      <w:r>
        <w:t>D’Ascenzo</w:t>
      </w:r>
      <w:proofErr w:type="spellEnd"/>
      <w:r>
        <w:t xml:space="preserve"> AO concluded. I would like to thank Brian and Michael for the leadership and contribution they made to the </w:t>
      </w:r>
      <w:r w:rsidR="00ED03F9" w:rsidRPr="001E7AC8">
        <w:rPr>
          <w:szCs w:val="24"/>
        </w:rPr>
        <w:t>FIRB</w:t>
      </w:r>
      <w:r>
        <w:t xml:space="preserve">. I would also like to warmly welcome </w:t>
      </w:r>
      <w:r w:rsidR="00C252DD">
        <w:t xml:space="preserve">the Hon Cheryl Edwardes AM and </w:t>
      </w:r>
      <w:r w:rsidR="00E83A6C">
        <w:t xml:space="preserve">Ms </w:t>
      </w:r>
      <w:r w:rsidR="0075073F">
        <w:t>Teresa Dyson —</w:t>
      </w:r>
      <w:r w:rsidR="00C252DD">
        <w:t xml:space="preserve"> who both bring valuable private sector experience and perspectives to the FIRB’s considerations.</w:t>
      </w:r>
    </w:p>
    <w:p w14:paraId="7EF49A65" w14:textId="74EA2057" w:rsidR="00335A79" w:rsidRDefault="00335A79" w:rsidP="00EC2695">
      <w:r w:rsidRPr="0010677E">
        <w:t xml:space="preserve">The report is delayed this year due to additional time required to reconcile the approvals data. Significant improvements to the foreign investment case management system and online application portal to be implemented by </w:t>
      </w:r>
      <w:proofErr w:type="spellStart"/>
      <w:r w:rsidRPr="0010677E">
        <w:t>mid 2018</w:t>
      </w:r>
      <w:proofErr w:type="spellEnd"/>
      <w:r w:rsidRPr="0010677E">
        <w:t xml:space="preserve"> will address this issue, improving the quality of the data and process for comp</w:t>
      </w:r>
      <w:r w:rsidR="004C31AF" w:rsidRPr="0010677E">
        <w:t>i</w:t>
      </w:r>
      <w:r w:rsidRPr="0010677E">
        <w:t>ling the annual report.</w:t>
      </w:r>
    </w:p>
    <w:p w14:paraId="33310BD7" w14:textId="1503DE70" w:rsidR="0065797B" w:rsidRPr="00FD3B20" w:rsidRDefault="0065797B" w:rsidP="00C420D1">
      <w:pPr>
        <w:spacing w:after="480"/>
      </w:pPr>
      <w:r w:rsidRPr="00FD3B20">
        <w:t>Yours sincerely</w:t>
      </w:r>
    </w:p>
    <w:p w14:paraId="60755E46" w14:textId="77777777" w:rsidR="00B25016" w:rsidRDefault="00C420D1" w:rsidP="00C420D1">
      <w:pPr>
        <w:pStyle w:val="ChartGraphic"/>
        <w:spacing w:before="240" w:after="240"/>
        <w:jc w:val="left"/>
      </w:pPr>
      <w:r>
        <w:rPr>
          <w:noProof/>
        </w:rPr>
        <w:drawing>
          <wp:inline distT="0" distB="0" distL="0" distR="0" wp14:anchorId="00CD2555" wp14:editId="1C8511E9">
            <wp:extent cx="1276709" cy="379757"/>
            <wp:effectExtent l="0" t="0" r="0" b="1270"/>
            <wp:docPr id="23" name="Picture 23" descr="Signature of David Irvine A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vid Irvine signature.tif"/>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286263" cy="382599"/>
                    </a:xfrm>
                    <a:prstGeom prst="rect">
                      <a:avLst/>
                    </a:prstGeom>
                  </pic:spPr>
                </pic:pic>
              </a:graphicData>
            </a:graphic>
          </wp:inline>
        </w:drawing>
      </w:r>
    </w:p>
    <w:p w14:paraId="47CDB90B" w14:textId="36ED8F9C" w:rsidR="0065797B" w:rsidRPr="00FD3B20" w:rsidRDefault="001224D9" w:rsidP="00092C95">
      <w:pPr>
        <w:jc w:val="left"/>
        <w:rPr>
          <w:sz w:val="18"/>
        </w:rPr>
      </w:pPr>
      <w:r>
        <w:t>David Irvine</w:t>
      </w:r>
      <w:r w:rsidR="00925835">
        <w:t xml:space="preserve"> AO</w:t>
      </w:r>
      <w:r w:rsidR="0065797B" w:rsidRPr="00FD3B20">
        <w:br/>
        <w:t>Chairman</w:t>
      </w:r>
    </w:p>
    <w:p w14:paraId="344EEA54" w14:textId="77777777" w:rsidR="00204E29" w:rsidRDefault="00204E29" w:rsidP="0065797B">
      <w:bookmarkStart w:id="1" w:name="_Toc341070502"/>
      <w:bookmarkStart w:id="2" w:name="_Toc341498333"/>
      <w:bookmarkStart w:id="3" w:name="_Toc341498509"/>
      <w:bookmarkStart w:id="4" w:name="_Toc342795680"/>
      <w:bookmarkStart w:id="5" w:name="_Toc344015210"/>
      <w:bookmarkStart w:id="6" w:name="_Toc368474012"/>
      <w:bookmarkStart w:id="7" w:name="_Toc371135350"/>
      <w:bookmarkStart w:id="8" w:name="_Toc410717772"/>
      <w:bookmarkStart w:id="9" w:name="_Toc440182425"/>
      <w:bookmarkStart w:id="10" w:name="_Toc440182485"/>
      <w:bookmarkStart w:id="11" w:name="_Toc440182796"/>
      <w:bookmarkStart w:id="12" w:name="_Toc440187218"/>
      <w:bookmarkStart w:id="13" w:name="_Toc440187269"/>
      <w:bookmarkStart w:id="14" w:name="_Toc440187369"/>
      <w:bookmarkStart w:id="15" w:name="_Toc440187395"/>
      <w:bookmarkStart w:id="16" w:name="_Toc440187402"/>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p>
    <w:p w14:paraId="0CC9BAE2" w14:textId="77777777" w:rsidR="00B25016" w:rsidRDefault="00B25016" w:rsidP="0065797B">
      <w:pPr>
        <w:sectPr w:rsidR="00B25016" w:rsidSect="00707139">
          <w:pgSz w:w="11907" w:h="16840" w:code="9"/>
          <w:pgMar w:top="2466" w:right="2098" w:bottom="2466" w:left="2098" w:header="1899" w:footer="1899" w:gutter="0"/>
          <w:pgNumType w:fmt="lowerRoman"/>
          <w:cols w:space="720"/>
          <w:titlePg/>
          <w:docGrid w:linePitch="360"/>
        </w:sectPr>
      </w:pPr>
    </w:p>
    <w:p w14:paraId="300F0334" w14:textId="52F5249A" w:rsidR="008B6006" w:rsidRPr="000E6F43" w:rsidRDefault="008B6006" w:rsidP="00AF4CA9">
      <w:pPr>
        <w:spacing w:before="360" w:after="360"/>
        <w:rPr>
          <w:rFonts w:ascii="Calibri" w:hAnsi="Calibri"/>
          <w:b/>
          <w:color w:val="003E74"/>
          <w:sz w:val="36"/>
          <w:szCs w:val="36"/>
        </w:rPr>
      </w:pPr>
      <w:r w:rsidRPr="000E6F43">
        <w:rPr>
          <w:rFonts w:ascii="Calibri" w:hAnsi="Calibri"/>
          <w:b/>
          <w:color w:val="003E74"/>
          <w:sz w:val="36"/>
          <w:szCs w:val="36"/>
        </w:rPr>
        <w:lastRenderedPageBreak/>
        <w:t>Cont</w:t>
      </w:r>
      <w:r w:rsidR="0052415C" w:rsidRPr="000E6F43">
        <w:rPr>
          <w:rFonts w:ascii="Calibri" w:hAnsi="Calibri"/>
          <w:b/>
          <w:color w:val="003E74"/>
          <w:sz w:val="36"/>
          <w:szCs w:val="36"/>
        </w:rPr>
        <w:t>ent</w:t>
      </w:r>
      <w:r w:rsidR="0048603D" w:rsidRPr="000E6F43">
        <w:rPr>
          <w:rFonts w:ascii="Calibri" w:hAnsi="Calibri"/>
          <w:b/>
          <w:color w:val="003E74"/>
          <w:sz w:val="36"/>
          <w:szCs w:val="36"/>
        </w:rPr>
        <w:t>s</w:t>
      </w:r>
    </w:p>
    <w:sdt>
      <w:sdtPr>
        <w:rPr>
          <w:rFonts w:eastAsiaTheme="minorHAnsi"/>
          <w:lang w:eastAsia="en-US"/>
        </w:rPr>
        <w:id w:val="-479772144"/>
        <w:docPartObj>
          <w:docPartGallery w:val="Table of Contents"/>
          <w:docPartUnique/>
        </w:docPartObj>
      </w:sdtPr>
      <w:sdtEndPr>
        <w:rPr>
          <w:rFonts w:eastAsia="Times New Roman"/>
          <w:lang w:eastAsia="en-AU"/>
        </w:rPr>
      </w:sdtEndPr>
      <w:sdtContent>
        <w:p w14:paraId="17E504EC" w14:textId="77777777" w:rsidR="00AF4CA9" w:rsidRDefault="00C72611">
          <w:pPr>
            <w:pStyle w:val="TOC1"/>
            <w:rPr>
              <w:rFonts w:asciiTheme="minorHAnsi" w:eastAsiaTheme="minorEastAsia" w:hAnsiTheme="minorHAnsi" w:cstheme="minorBidi"/>
              <w:b w:val="0"/>
              <w:smallCaps w:val="0"/>
              <w:color w:val="auto"/>
            </w:rPr>
          </w:pPr>
          <w:r>
            <w:rPr>
              <w:b w:val="0"/>
            </w:rPr>
            <w:fldChar w:fldCharType="begin"/>
          </w:r>
          <w:r>
            <w:rPr>
              <w:b w:val="0"/>
            </w:rPr>
            <w:instrText xml:space="preserve"> TOC \o "1-2" \h \z \u </w:instrText>
          </w:r>
          <w:r>
            <w:rPr>
              <w:b w:val="0"/>
            </w:rPr>
            <w:fldChar w:fldCharType="separate"/>
          </w:r>
          <w:hyperlink w:anchor="_Toc514924622" w:history="1">
            <w:r w:rsidR="00AF4CA9" w:rsidRPr="00381C66">
              <w:rPr>
                <w:rStyle w:val="Hyperlink"/>
              </w:rPr>
              <w:t>Chapter 1: The Foreign Investment Review Board</w:t>
            </w:r>
            <w:r w:rsidR="00AF4CA9">
              <w:rPr>
                <w:webHidden/>
              </w:rPr>
              <w:tab/>
            </w:r>
            <w:r w:rsidR="00AF4CA9">
              <w:rPr>
                <w:webHidden/>
              </w:rPr>
              <w:fldChar w:fldCharType="begin"/>
            </w:r>
            <w:r w:rsidR="00AF4CA9">
              <w:rPr>
                <w:webHidden/>
              </w:rPr>
              <w:instrText xml:space="preserve"> PAGEREF _Toc514924622 \h </w:instrText>
            </w:r>
            <w:r w:rsidR="00AF4CA9">
              <w:rPr>
                <w:webHidden/>
              </w:rPr>
            </w:r>
            <w:r w:rsidR="00AF4CA9">
              <w:rPr>
                <w:webHidden/>
              </w:rPr>
              <w:fldChar w:fldCharType="separate"/>
            </w:r>
            <w:r w:rsidR="00AF4CA9">
              <w:rPr>
                <w:webHidden/>
              </w:rPr>
              <w:t>1</w:t>
            </w:r>
            <w:r w:rsidR="00AF4CA9">
              <w:rPr>
                <w:webHidden/>
              </w:rPr>
              <w:fldChar w:fldCharType="end"/>
            </w:r>
          </w:hyperlink>
        </w:p>
        <w:p w14:paraId="47FA9B64" w14:textId="77777777" w:rsidR="00AF4CA9" w:rsidRDefault="002B06A9">
          <w:pPr>
            <w:pStyle w:val="TOC2"/>
            <w:rPr>
              <w:rFonts w:asciiTheme="minorHAnsi" w:eastAsiaTheme="minorEastAsia" w:hAnsiTheme="minorHAnsi" w:cstheme="minorBidi"/>
              <w:color w:val="auto"/>
              <w:sz w:val="22"/>
              <w:szCs w:val="22"/>
            </w:rPr>
          </w:pPr>
          <w:hyperlink w:anchor="_Toc514924623" w:history="1">
            <w:r w:rsidR="00AF4CA9" w:rsidRPr="00381C66">
              <w:rPr>
                <w:rStyle w:val="Hyperlink"/>
                <w:rFonts w:eastAsiaTheme="majorEastAsia"/>
              </w:rPr>
              <w:t>FIRB membership during 2016–17</w:t>
            </w:r>
            <w:r w:rsidR="00AF4CA9">
              <w:rPr>
                <w:webHidden/>
              </w:rPr>
              <w:tab/>
            </w:r>
            <w:r w:rsidR="00AF4CA9">
              <w:rPr>
                <w:webHidden/>
              </w:rPr>
              <w:fldChar w:fldCharType="begin"/>
            </w:r>
            <w:r w:rsidR="00AF4CA9">
              <w:rPr>
                <w:webHidden/>
              </w:rPr>
              <w:instrText xml:space="preserve"> PAGEREF _Toc514924623 \h </w:instrText>
            </w:r>
            <w:r w:rsidR="00AF4CA9">
              <w:rPr>
                <w:webHidden/>
              </w:rPr>
            </w:r>
            <w:r w:rsidR="00AF4CA9">
              <w:rPr>
                <w:webHidden/>
              </w:rPr>
              <w:fldChar w:fldCharType="separate"/>
            </w:r>
            <w:r w:rsidR="00AF4CA9">
              <w:rPr>
                <w:webHidden/>
              </w:rPr>
              <w:t>2</w:t>
            </w:r>
            <w:r w:rsidR="00AF4CA9">
              <w:rPr>
                <w:webHidden/>
              </w:rPr>
              <w:fldChar w:fldCharType="end"/>
            </w:r>
          </w:hyperlink>
        </w:p>
        <w:p w14:paraId="74281401" w14:textId="77777777" w:rsidR="00AF4CA9" w:rsidRDefault="002B06A9">
          <w:pPr>
            <w:pStyle w:val="TOC2"/>
            <w:rPr>
              <w:rFonts w:asciiTheme="minorHAnsi" w:eastAsiaTheme="minorEastAsia" w:hAnsiTheme="minorHAnsi" w:cstheme="minorBidi"/>
              <w:color w:val="auto"/>
              <w:sz w:val="22"/>
              <w:szCs w:val="22"/>
            </w:rPr>
          </w:pPr>
          <w:hyperlink w:anchor="_Toc514924624" w:history="1">
            <w:r w:rsidR="00AF4CA9" w:rsidRPr="00381C66">
              <w:rPr>
                <w:rStyle w:val="Hyperlink"/>
                <w:rFonts w:eastAsiaTheme="majorEastAsia"/>
              </w:rPr>
              <w:t>FIRB Responsibilities</w:t>
            </w:r>
            <w:r w:rsidR="00AF4CA9">
              <w:rPr>
                <w:webHidden/>
              </w:rPr>
              <w:tab/>
            </w:r>
            <w:r w:rsidR="00AF4CA9">
              <w:rPr>
                <w:webHidden/>
              </w:rPr>
              <w:fldChar w:fldCharType="begin"/>
            </w:r>
            <w:r w:rsidR="00AF4CA9">
              <w:rPr>
                <w:webHidden/>
              </w:rPr>
              <w:instrText xml:space="preserve"> PAGEREF _Toc514924624 \h </w:instrText>
            </w:r>
            <w:r w:rsidR="00AF4CA9">
              <w:rPr>
                <w:webHidden/>
              </w:rPr>
            </w:r>
            <w:r w:rsidR="00AF4CA9">
              <w:rPr>
                <w:webHidden/>
              </w:rPr>
              <w:fldChar w:fldCharType="separate"/>
            </w:r>
            <w:r w:rsidR="00AF4CA9">
              <w:rPr>
                <w:webHidden/>
              </w:rPr>
              <w:t>2</w:t>
            </w:r>
            <w:r w:rsidR="00AF4CA9">
              <w:rPr>
                <w:webHidden/>
              </w:rPr>
              <w:fldChar w:fldCharType="end"/>
            </w:r>
          </w:hyperlink>
        </w:p>
        <w:p w14:paraId="409471E9" w14:textId="77777777" w:rsidR="00AF4CA9" w:rsidRDefault="002B06A9">
          <w:pPr>
            <w:pStyle w:val="TOC2"/>
            <w:rPr>
              <w:rFonts w:asciiTheme="minorHAnsi" w:eastAsiaTheme="minorEastAsia" w:hAnsiTheme="minorHAnsi" w:cstheme="minorBidi"/>
              <w:color w:val="auto"/>
              <w:sz w:val="22"/>
              <w:szCs w:val="22"/>
            </w:rPr>
          </w:pPr>
          <w:hyperlink w:anchor="_Toc514924625" w:history="1">
            <w:r w:rsidR="00AF4CA9" w:rsidRPr="00381C66">
              <w:rPr>
                <w:rStyle w:val="Hyperlink"/>
              </w:rPr>
              <w:t>FIRB membership as of May 2018</w:t>
            </w:r>
            <w:r w:rsidR="00AF4CA9">
              <w:rPr>
                <w:webHidden/>
              </w:rPr>
              <w:tab/>
            </w:r>
            <w:r w:rsidR="00AF4CA9">
              <w:rPr>
                <w:webHidden/>
              </w:rPr>
              <w:fldChar w:fldCharType="begin"/>
            </w:r>
            <w:r w:rsidR="00AF4CA9">
              <w:rPr>
                <w:webHidden/>
              </w:rPr>
              <w:instrText xml:space="preserve"> PAGEREF _Toc514924625 \h </w:instrText>
            </w:r>
            <w:r w:rsidR="00AF4CA9">
              <w:rPr>
                <w:webHidden/>
              </w:rPr>
            </w:r>
            <w:r w:rsidR="00AF4CA9">
              <w:rPr>
                <w:webHidden/>
              </w:rPr>
              <w:fldChar w:fldCharType="separate"/>
            </w:r>
            <w:r w:rsidR="00AF4CA9">
              <w:rPr>
                <w:webHidden/>
              </w:rPr>
              <w:t>3</w:t>
            </w:r>
            <w:r w:rsidR="00AF4CA9">
              <w:rPr>
                <w:webHidden/>
              </w:rPr>
              <w:fldChar w:fldCharType="end"/>
            </w:r>
          </w:hyperlink>
        </w:p>
        <w:p w14:paraId="19E2C1C0" w14:textId="77777777" w:rsidR="00AF4CA9" w:rsidRDefault="002B06A9">
          <w:pPr>
            <w:pStyle w:val="TOC2"/>
            <w:rPr>
              <w:rFonts w:asciiTheme="minorHAnsi" w:eastAsiaTheme="minorEastAsia" w:hAnsiTheme="minorHAnsi" w:cstheme="minorBidi"/>
              <w:color w:val="auto"/>
              <w:sz w:val="22"/>
              <w:szCs w:val="22"/>
            </w:rPr>
          </w:pPr>
          <w:hyperlink w:anchor="_Toc514924626" w:history="1">
            <w:r w:rsidR="00AF4CA9" w:rsidRPr="00381C66">
              <w:rPr>
                <w:rStyle w:val="Hyperlink"/>
              </w:rPr>
              <w:t>Operational costs in 2016–17</w:t>
            </w:r>
            <w:r w:rsidR="00AF4CA9">
              <w:rPr>
                <w:webHidden/>
              </w:rPr>
              <w:tab/>
            </w:r>
            <w:r w:rsidR="00AF4CA9">
              <w:rPr>
                <w:webHidden/>
              </w:rPr>
              <w:fldChar w:fldCharType="begin"/>
            </w:r>
            <w:r w:rsidR="00AF4CA9">
              <w:rPr>
                <w:webHidden/>
              </w:rPr>
              <w:instrText xml:space="preserve"> PAGEREF _Toc514924626 \h </w:instrText>
            </w:r>
            <w:r w:rsidR="00AF4CA9">
              <w:rPr>
                <w:webHidden/>
              </w:rPr>
            </w:r>
            <w:r w:rsidR="00AF4CA9">
              <w:rPr>
                <w:webHidden/>
              </w:rPr>
              <w:fldChar w:fldCharType="separate"/>
            </w:r>
            <w:r w:rsidR="00AF4CA9">
              <w:rPr>
                <w:webHidden/>
              </w:rPr>
              <w:t>6</w:t>
            </w:r>
            <w:r w:rsidR="00AF4CA9">
              <w:rPr>
                <w:webHidden/>
              </w:rPr>
              <w:fldChar w:fldCharType="end"/>
            </w:r>
          </w:hyperlink>
        </w:p>
        <w:p w14:paraId="2B2FAEE1" w14:textId="77777777" w:rsidR="00AF4CA9" w:rsidRDefault="002B06A9">
          <w:pPr>
            <w:pStyle w:val="TOC1"/>
            <w:rPr>
              <w:rFonts w:asciiTheme="minorHAnsi" w:eastAsiaTheme="minorEastAsia" w:hAnsiTheme="minorHAnsi" w:cstheme="minorBidi"/>
              <w:b w:val="0"/>
              <w:smallCaps w:val="0"/>
              <w:color w:val="auto"/>
            </w:rPr>
          </w:pPr>
          <w:hyperlink w:anchor="_Toc514924627" w:history="1">
            <w:r w:rsidR="00AF4CA9" w:rsidRPr="00381C66">
              <w:rPr>
                <w:rStyle w:val="Hyperlink"/>
              </w:rPr>
              <w:t>Chapter 2: The Foreign Investment Framework</w:t>
            </w:r>
            <w:r w:rsidR="00AF4CA9">
              <w:rPr>
                <w:webHidden/>
              </w:rPr>
              <w:tab/>
            </w:r>
            <w:r w:rsidR="00AF4CA9">
              <w:rPr>
                <w:webHidden/>
              </w:rPr>
              <w:fldChar w:fldCharType="begin"/>
            </w:r>
            <w:r w:rsidR="00AF4CA9">
              <w:rPr>
                <w:webHidden/>
              </w:rPr>
              <w:instrText xml:space="preserve"> PAGEREF _Toc514924627 \h </w:instrText>
            </w:r>
            <w:r w:rsidR="00AF4CA9">
              <w:rPr>
                <w:webHidden/>
              </w:rPr>
            </w:r>
            <w:r w:rsidR="00AF4CA9">
              <w:rPr>
                <w:webHidden/>
              </w:rPr>
              <w:fldChar w:fldCharType="separate"/>
            </w:r>
            <w:r w:rsidR="00AF4CA9">
              <w:rPr>
                <w:webHidden/>
              </w:rPr>
              <w:t>7</w:t>
            </w:r>
            <w:r w:rsidR="00AF4CA9">
              <w:rPr>
                <w:webHidden/>
              </w:rPr>
              <w:fldChar w:fldCharType="end"/>
            </w:r>
          </w:hyperlink>
        </w:p>
        <w:p w14:paraId="5F54B631" w14:textId="77777777" w:rsidR="00AF4CA9" w:rsidRDefault="002B06A9">
          <w:pPr>
            <w:pStyle w:val="TOC2"/>
            <w:rPr>
              <w:rFonts w:asciiTheme="minorHAnsi" w:eastAsiaTheme="minorEastAsia" w:hAnsiTheme="minorHAnsi" w:cstheme="minorBidi"/>
              <w:color w:val="auto"/>
              <w:sz w:val="22"/>
              <w:szCs w:val="22"/>
            </w:rPr>
          </w:pPr>
          <w:hyperlink w:anchor="_Toc514924628" w:history="1">
            <w:r w:rsidR="00AF4CA9" w:rsidRPr="00381C66">
              <w:rPr>
                <w:rStyle w:val="Hyperlink"/>
              </w:rPr>
              <w:t>Critical Infrastructure and National Security</w:t>
            </w:r>
            <w:r w:rsidR="00AF4CA9">
              <w:rPr>
                <w:webHidden/>
              </w:rPr>
              <w:tab/>
            </w:r>
            <w:r w:rsidR="00AF4CA9">
              <w:rPr>
                <w:webHidden/>
              </w:rPr>
              <w:fldChar w:fldCharType="begin"/>
            </w:r>
            <w:r w:rsidR="00AF4CA9">
              <w:rPr>
                <w:webHidden/>
              </w:rPr>
              <w:instrText xml:space="preserve"> PAGEREF _Toc514924628 \h </w:instrText>
            </w:r>
            <w:r w:rsidR="00AF4CA9">
              <w:rPr>
                <w:webHidden/>
              </w:rPr>
            </w:r>
            <w:r w:rsidR="00AF4CA9">
              <w:rPr>
                <w:webHidden/>
              </w:rPr>
              <w:fldChar w:fldCharType="separate"/>
            </w:r>
            <w:r w:rsidR="00AF4CA9">
              <w:rPr>
                <w:webHidden/>
              </w:rPr>
              <w:t>8</w:t>
            </w:r>
            <w:r w:rsidR="00AF4CA9">
              <w:rPr>
                <w:webHidden/>
              </w:rPr>
              <w:fldChar w:fldCharType="end"/>
            </w:r>
          </w:hyperlink>
        </w:p>
        <w:p w14:paraId="4FDE6871" w14:textId="77777777" w:rsidR="00AF4CA9" w:rsidRDefault="002B06A9">
          <w:pPr>
            <w:pStyle w:val="TOC2"/>
            <w:rPr>
              <w:rFonts w:asciiTheme="minorHAnsi" w:eastAsiaTheme="minorEastAsia" w:hAnsiTheme="minorHAnsi" w:cstheme="minorBidi"/>
              <w:color w:val="auto"/>
              <w:sz w:val="22"/>
              <w:szCs w:val="22"/>
            </w:rPr>
          </w:pPr>
          <w:hyperlink w:anchor="_Toc514924629" w:history="1">
            <w:r w:rsidR="00AF4CA9" w:rsidRPr="00381C66">
              <w:rPr>
                <w:rStyle w:val="Hyperlink"/>
              </w:rPr>
              <w:t>Legislative reform package</w:t>
            </w:r>
            <w:r w:rsidR="00AF4CA9">
              <w:rPr>
                <w:webHidden/>
              </w:rPr>
              <w:tab/>
            </w:r>
            <w:r w:rsidR="00AF4CA9">
              <w:rPr>
                <w:webHidden/>
              </w:rPr>
              <w:fldChar w:fldCharType="begin"/>
            </w:r>
            <w:r w:rsidR="00AF4CA9">
              <w:rPr>
                <w:webHidden/>
              </w:rPr>
              <w:instrText xml:space="preserve"> PAGEREF _Toc514924629 \h </w:instrText>
            </w:r>
            <w:r w:rsidR="00AF4CA9">
              <w:rPr>
                <w:webHidden/>
              </w:rPr>
            </w:r>
            <w:r w:rsidR="00AF4CA9">
              <w:rPr>
                <w:webHidden/>
              </w:rPr>
              <w:fldChar w:fldCharType="separate"/>
            </w:r>
            <w:r w:rsidR="00AF4CA9">
              <w:rPr>
                <w:webHidden/>
              </w:rPr>
              <w:t>10</w:t>
            </w:r>
            <w:r w:rsidR="00AF4CA9">
              <w:rPr>
                <w:webHidden/>
              </w:rPr>
              <w:fldChar w:fldCharType="end"/>
            </w:r>
          </w:hyperlink>
        </w:p>
        <w:p w14:paraId="22598D72" w14:textId="77777777" w:rsidR="00AF4CA9" w:rsidRDefault="002B06A9">
          <w:pPr>
            <w:pStyle w:val="TOC2"/>
            <w:rPr>
              <w:rFonts w:asciiTheme="minorHAnsi" w:eastAsiaTheme="minorEastAsia" w:hAnsiTheme="minorHAnsi" w:cstheme="minorBidi"/>
              <w:color w:val="auto"/>
              <w:sz w:val="22"/>
              <w:szCs w:val="22"/>
            </w:rPr>
          </w:pPr>
          <w:hyperlink w:anchor="_Toc514924630" w:history="1">
            <w:r w:rsidR="00AF4CA9" w:rsidRPr="00381C66">
              <w:rPr>
                <w:rStyle w:val="Hyperlink"/>
              </w:rPr>
              <w:t>Residential real estate measures</w:t>
            </w:r>
            <w:r w:rsidR="00AF4CA9">
              <w:rPr>
                <w:webHidden/>
              </w:rPr>
              <w:tab/>
            </w:r>
            <w:r w:rsidR="00AF4CA9">
              <w:rPr>
                <w:webHidden/>
              </w:rPr>
              <w:fldChar w:fldCharType="begin"/>
            </w:r>
            <w:r w:rsidR="00AF4CA9">
              <w:rPr>
                <w:webHidden/>
              </w:rPr>
              <w:instrText xml:space="preserve"> PAGEREF _Toc514924630 \h </w:instrText>
            </w:r>
            <w:r w:rsidR="00AF4CA9">
              <w:rPr>
                <w:webHidden/>
              </w:rPr>
            </w:r>
            <w:r w:rsidR="00AF4CA9">
              <w:rPr>
                <w:webHidden/>
              </w:rPr>
              <w:fldChar w:fldCharType="separate"/>
            </w:r>
            <w:r w:rsidR="00AF4CA9">
              <w:rPr>
                <w:webHidden/>
              </w:rPr>
              <w:t>11</w:t>
            </w:r>
            <w:r w:rsidR="00AF4CA9">
              <w:rPr>
                <w:webHidden/>
              </w:rPr>
              <w:fldChar w:fldCharType="end"/>
            </w:r>
          </w:hyperlink>
        </w:p>
        <w:p w14:paraId="60941273" w14:textId="77777777" w:rsidR="00AF4CA9" w:rsidRDefault="002B06A9">
          <w:pPr>
            <w:pStyle w:val="TOC2"/>
            <w:rPr>
              <w:rFonts w:asciiTheme="minorHAnsi" w:eastAsiaTheme="minorEastAsia" w:hAnsiTheme="minorHAnsi" w:cstheme="minorBidi"/>
              <w:color w:val="auto"/>
              <w:sz w:val="22"/>
              <w:szCs w:val="22"/>
            </w:rPr>
          </w:pPr>
          <w:hyperlink w:anchor="_Toc514924631" w:history="1">
            <w:r w:rsidR="00AF4CA9" w:rsidRPr="00381C66">
              <w:rPr>
                <w:rStyle w:val="Hyperlink"/>
              </w:rPr>
              <w:t>Foreign ownership registers</w:t>
            </w:r>
            <w:r w:rsidR="00AF4CA9">
              <w:rPr>
                <w:webHidden/>
              </w:rPr>
              <w:tab/>
            </w:r>
            <w:r w:rsidR="00AF4CA9">
              <w:rPr>
                <w:webHidden/>
              </w:rPr>
              <w:fldChar w:fldCharType="begin"/>
            </w:r>
            <w:r w:rsidR="00AF4CA9">
              <w:rPr>
                <w:webHidden/>
              </w:rPr>
              <w:instrText xml:space="preserve"> PAGEREF _Toc514924631 \h </w:instrText>
            </w:r>
            <w:r w:rsidR="00AF4CA9">
              <w:rPr>
                <w:webHidden/>
              </w:rPr>
            </w:r>
            <w:r w:rsidR="00AF4CA9">
              <w:rPr>
                <w:webHidden/>
              </w:rPr>
              <w:fldChar w:fldCharType="separate"/>
            </w:r>
            <w:r w:rsidR="00AF4CA9">
              <w:rPr>
                <w:webHidden/>
              </w:rPr>
              <w:t>11</w:t>
            </w:r>
            <w:r w:rsidR="00AF4CA9">
              <w:rPr>
                <w:webHidden/>
              </w:rPr>
              <w:fldChar w:fldCharType="end"/>
            </w:r>
          </w:hyperlink>
        </w:p>
        <w:p w14:paraId="2B949CEC" w14:textId="77777777" w:rsidR="00AF4CA9" w:rsidRDefault="002B06A9">
          <w:pPr>
            <w:pStyle w:val="TOC2"/>
            <w:rPr>
              <w:rFonts w:asciiTheme="minorHAnsi" w:eastAsiaTheme="minorEastAsia" w:hAnsiTheme="minorHAnsi" w:cstheme="minorBidi"/>
              <w:color w:val="auto"/>
              <w:sz w:val="22"/>
              <w:szCs w:val="22"/>
            </w:rPr>
          </w:pPr>
          <w:hyperlink w:anchor="_Toc514924632" w:history="1">
            <w:r w:rsidR="00AF4CA9" w:rsidRPr="00381C66">
              <w:rPr>
                <w:rStyle w:val="Hyperlink"/>
              </w:rPr>
              <w:t>Stakeholder engagement</w:t>
            </w:r>
            <w:r w:rsidR="00AF4CA9">
              <w:rPr>
                <w:webHidden/>
              </w:rPr>
              <w:tab/>
            </w:r>
            <w:r w:rsidR="00AF4CA9">
              <w:rPr>
                <w:webHidden/>
              </w:rPr>
              <w:fldChar w:fldCharType="begin"/>
            </w:r>
            <w:r w:rsidR="00AF4CA9">
              <w:rPr>
                <w:webHidden/>
              </w:rPr>
              <w:instrText xml:space="preserve"> PAGEREF _Toc514924632 \h </w:instrText>
            </w:r>
            <w:r w:rsidR="00AF4CA9">
              <w:rPr>
                <w:webHidden/>
              </w:rPr>
            </w:r>
            <w:r w:rsidR="00AF4CA9">
              <w:rPr>
                <w:webHidden/>
              </w:rPr>
              <w:fldChar w:fldCharType="separate"/>
            </w:r>
            <w:r w:rsidR="00AF4CA9">
              <w:rPr>
                <w:webHidden/>
              </w:rPr>
              <w:t>13</w:t>
            </w:r>
            <w:r w:rsidR="00AF4CA9">
              <w:rPr>
                <w:webHidden/>
              </w:rPr>
              <w:fldChar w:fldCharType="end"/>
            </w:r>
          </w:hyperlink>
        </w:p>
        <w:p w14:paraId="7F54C6B9" w14:textId="77777777" w:rsidR="00AF4CA9" w:rsidRDefault="002B06A9">
          <w:pPr>
            <w:pStyle w:val="TOC1"/>
            <w:rPr>
              <w:rFonts w:asciiTheme="minorHAnsi" w:eastAsiaTheme="minorEastAsia" w:hAnsiTheme="minorHAnsi" w:cstheme="minorBidi"/>
              <w:b w:val="0"/>
              <w:smallCaps w:val="0"/>
              <w:color w:val="auto"/>
            </w:rPr>
          </w:pPr>
          <w:hyperlink w:anchor="_Toc514924633" w:history="1">
            <w:r w:rsidR="00AF4CA9" w:rsidRPr="00381C66">
              <w:rPr>
                <w:rStyle w:val="Hyperlink"/>
              </w:rPr>
              <w:t>Chapter 3: Foreign investment trends</w:t>
            </w:r>
            <w:r w:rsidR="00AF4CA9">
              <w:rPr>
                <w:webHidden/>
              </w:rPr>
              <w:tab/>
            </w:r>
            <w:r w:rsidR="00AF4CA9">
              <w:rPr>
                <w:webHidden/>
              </w:rPr>
              <w:fldChar w:fldCharType="begin"/>
            </w:r>
            <w:r w:rsidR="00AF4CA9">
              <w:rPr>
                <w:webHidden/>
              </w:rPr>
              <w:instrText xml:space="preserve"> PAGEREF _Toc514924633 \h </w:instrText>
            </w:r>
            <w:r w:rsidR="00AF4CA9">
              <w:rPr>
                <w:webHidden/>
              </w:rPr>
            </w:r>
            <w:r w:rsidR="00AF4CA9">
              <w:rPr>
                <w:webHidden/>
              </w:rPr>
              <w:fldChar w:fldCharType="separate"/>
            </w:r>
            <w:r w:rsidR="00AF4CA9">
              <w:rPr>
                <w:webHidden/>
              </w:rPr>
              <w:t>15</w:t>
            </w:r>
            <w:r w:rsidR="00AF4CA9">
              <w:rPr>
                <w:webHidden/>
              </w:rPr>
              <w:fldChar w:fldCharType="end"/>
            </w:r>
          </w:hyperlink>
        </w:p>
        <w:p w14:paraId="7258A1DD" w14:textId="77777777" w:rsidR="00AF4CA9" w:rsidRDefault="002B06A9">
          <w:pPr>
            <w:pStyle w:val="TOC2"/>
            <w:rPr>
              <w:rFonts w:asciiTheme="minorHAnsi" w:eastAsiaTheme="minorEastAsia" w:hAnsiTheme="minorHAnsi" w:cstheme="minorBidi"/>
              <w:color w:val="auto"/>
              <w:sz w:val="22"/>
              <w:szCs w:val="22"/>
            </w:rPr>
          </w:pPr>
          <w:hyperlink w:anchor="_Toc514924634" w:history="1">
            <w:r w:rsidR="00AF4CA9" w:rsidRPr="00381C66">
              <w:rPr>
                <w:rStyle w:val="Hyperlink"/>
              </w:rPr>
              <w:t>The global foreign direct investment environment</w:t>
            </w:r>
            <w:r w:rsidR="00AF4CA9">
              <w:rPr>
                <w:webHidden/>
              </w:rPr>
              <w:tab/>
            </w:r>
            <w:r w:rsidR="00AF4CA9">
              <w:rPr>
                <w:webHidden/>
              </w:rPr>
              <w:fldChar w:fldCharType="begin"/>
            </w:r>
            <w:r w:rsidR="00AF4CA9">
              <w:rPr>
                <w:webHidden/>
              </w:rPr>
              <w:instrText xml:space="preserve"> PAGEREF _Toc514924634 \h </w:instrText>
            </w:r>
            <w:r w:rsidR="00AF4CA9">
              <w:rPr>
                <w:webHidden/>
              </w:rPr>
            </w:r>
            <w:r w:rsidR="00AF4CA9">
              <w:rPr>
                <w:webHidden/>
              </w:rPr>
              <w:fldChar w:fldCharType="separate"/>
            </w:r>
            <w:r w:rsidR="00AF4CA9">
              <w:rPr>
                <w:webHidden/>
              </w:rPr>
              <w:t>15</w:t>
            </w:r>
            <w:r w:rsidR="00AF4CA9">
              <w:rPr>
                <w:webHidden/>
              </w:rPr>
              <w:fldChar w:fldCharType="end"/>
            </w:r>
          </w:hyperlink>
        </w:p>
        <w:p w14:paraId="4D468276" w14:textId="77777777" w:rsidR="00AF4CA9" w:rsidRDefault="002B06A9">
          <w:pPr>
            <w:pStyle w:val="TOC2"/>
            <w:rPr>
              <w:rFonts w:asciiTheme="minorHAnsi" w:eastAsiaTheme="minorEastAsia" w:hAnsiTheme="minorHAnsi" w:cstheme="minorBidi"/>
              <w:color w:val="auto"/>
              <w:sz w:val="22"/>
              <w:szCs w:val="22"/>
            </w:rPr>
          </w:pPr>
          <w:hyperlink w:anchor="_Toc514924635" w:history="1">
            <w:r w:rsidR="00AF4CA9" w:rsidRPr="00381C66">
              <w:rPr>
                <w:rStyle w:val="Hyperlink"/>
              </w:rPr>
              <w:t>Foreign investment in Australia</w:t>
            </w:r>
            <w:r w:rsidR="00AF4CA9">
              <w:rPr>
                <w:webHidden/>
              </w:rPr>
              <w:tab/>
            </w:r>
            <w:r w:rsidR="00AF4CA9">
              <w:rPr>
                <w:webHidden/>
              </w:rPr>
              <w:fldChar w:fldCharType="begin"/>
            </w:r>
            <w:r w:rsidR="00AF4CA9">
              <w:rPr>
                <w:webHidden/>
              </w:rPr>
              <w:instrText xml:space="preserve"> PAGEREF _Toc514924635 \h </w:instrText>
            </w:r>
            <w:r w:rsidR="00AF4CA9">
              <w:rPr>
                <w:webHidden/>
              </w:rPr>
            </w:r>
            <w:r w:rsidR="00AF4CA9">
              <w:rPr>
                <w:webHidden/>
              </w:rPr>
              <w:fldChar w:fldCharType="separate"/>
            </w:r>
            <w:r w:rsidR="00AF4CA9">
              <w:rPr>
                <w:webHidden/>
              </w:rPr>
              <w:t>16</w:t>
            </w:r>
            <w:r w:rsidR="00AF4CA9">
              <w:rPr>
                <w:webHidden/>
              </w:rPr>
              <w:fldChar w:fldCharType="end"/>
            </w:r>
          </w:hyperlink>
        </w:p>
        <w:p w14:paraId="2507C75B" w14:textId="77777777" w:rsidR="00AF4CA9" w:rsidRDefault="002B06A9">
          <w:pPr>
            <w:pStyle w:val="TOC1"/>
            <w:rPr>
              <w:rFonts w:asciiTheme="minorHAnsi" w:eastAsiaTheme="minorEastAsia" w:hAnsiTheme="minorHAnsi" w:cstheme="minorBidi"/>
              <w:b w:val="0"/>
              <w:smallCaps w:val="0"/>
              <w:color w:val="auto"/>
            </w:rPr>
          </w:pPr>
          <w:hyperlink w:anchor="_Toc514924636" w:history="1">
            <w:r w:rsidR="00AF4CA9" w:rsidRPr="00381C66">
              <w:rPr>
                <w:rStyle w:val="Hyperlink"/>
              </w:rPr>
              <w:t>Chapter 4: Foreign investment proposals data</w:t>
            </w:r>
            <w:r w:rsidR="00AF4CA9">
              <w:rPr>
                <w:webHidden/>
              </w:rPr>
              <w:tab/>
            </w:r>
            <w:r w:rsidR="00AF4CA9">
              <w:rPr>
                <w:webHidden/>
              </w:rPr>
              <w:fldChar w:fldCharType="begin"/>
            </w:r>
            <w:r w:rsidR="00AF4CA9">
              <w:rPr>
                <w:webHidden/>
              </w:rPr>
              <w:instrText xml:space="preserve"> PAGEREF _Toc514924636 \h </w:instrText>
            </w:r>
            <w:r w:rsidR="00AF4CA9">
              <w:rPr>
                <w:webHidden/>
              </w:rPr>
            </w:r>
            <w:r w:rsidR="00AF4CA9">
              <w:rPr>
                <w:webHidden/>
              </w:rPr>
              <w:fldChar w:fldCharType="separate"/>
            </w:r>
            <w:r w:rsidR="00AF4CA9">
              <w:rPr>
                <w:webHidden/>
              </w:rPr>
              <w:t>21</w:t>
            </w:r>
            <w:r w:rsidR="00AF4CA9">
              <w:rPr>
                <w:webHidden/>
              </w:rPr>
              <w:fldChar w:fldCharType="end"/>
            </w:r>
          </w:hyperlink>
        </w:p>
        <w:p w14:paraId="3677A369" w14:textId="77777777" w:rsidR="00AF4CA9" w:rsidRDefault="002B06A9">
          <w:pPr>
            <w:pStyle w:val="TOC2"/>
            <w:rPr>
              <w:rFonts w:asciiTheme="minorHAnsi" w:eastAsiaTheme="minorEastAsia" w:hAnsiTheme="minorHAnsi" w:cstheme="minorBidi"/>
              <w:color w:val="auto"/>
              <w:sz w:val="22"/>
              <w:szCs w:val="22"/>
            </w:rPr>
          </w:pPr>
          <w:hyperlink w:anchor="_Toc514924637" w:history="1">
            <w:r w:rsidR="00AF4CA9" w:rsidRPr="00381C66">
              <w:rPr>
                <w:rStyle w:val="Hyperlink"/>
              </w:rPr>
              <w:t>Overall applications considered</w:t>
            </w:r>
            <w:r w:rsidR="00AF4CA9">
              <w:rPr>
                <w:webHidden/>
              </w:rPr>
              <w:tab/>
            </w:r>
            <w:r w:rsidR="00AF4CA9">
              <w:rPr>
                <w:webHidden/>
              </w:rPr>
              <w:fldChar w:fldCharType="begin"/>
            </w:r>
            <w:r w:rsidR="00AF4CA9">
              <w:rPr>
                <w:webHidden/>
              </w:rPr>
              <w:instrText xml:space="preserve"> PAGEREF _Toc514924637 \h </w:instrText>
            </w:r>
            <w:r w:rsidR="00AF4CA9">
              <w:rPr>
                <w:webHidden/>
              </w:rPr>
            </w:r>
            <w:r w:rsidR="00AF4CA9">
              <w:rPr>
                <w:webHidden/>
              </w:rPr>
              <w:fldChar w:fldCharType="separate"/>
            </w:r>
            <w:r w:rsidR="00AF4CA9">
              <w:rPr>
                <w:webHidden/>
              </w:rPr>
              <w:t>22</w:t>
            </w:r>
            <w:r w:rsidR="00AF4CA9">
              <w:rPr>
                <w:webHidden/>
              </w:rPr>
              <w:fldChar w:fldCharType="end"/>
            </w:r>
          </w:hyperlink>
        </w:p>
        <w:p w14:paraId="26C4B336" w14:textId="77777777" w:rsidR="00AF4CA9" w:rsidRDefault="002B06A9">
          <w:pPr>
            <w:pStyle w:val="TOC2"/>
            <w:rPr>
              <w:rFonts w:asciiTheme="minorHAnsi" w:eastAsiaTheme="minorEastAsia" w:hAnsiTheme="minorHAnsi" w:cstheme="minorBidi"/>
              <w:color w:val="auto"/>
              <w:sz w:val="22"/>
              <w:szCs w:val="22"/>
            </w:rPr>
          </w:pPr>
          <w:hyperlink w:anchor="_Toc514924638" w:history="1">
            <w:r w:rsidR="00AF4CA9" w:rsidRPr="00381C66">
              <w:rPr>
                <w:rStyle w:val="Hyperlink"/>
              </w:rPr>
              <w:t>Proposals data overview</w:t>
            </w:r>
            <w:r w:rsidR="00AF4CA9">
              <w:rPr>
                <w:webHidden/>
              </w:rPr>
              <w:tab/>
            </w:r>
            <w:r w:rsidR="00AF4CA9">
              <w:rPr>
                <w:webHidden/>
              </w:rPr>
              <w:fldChar w:fldCharType="begin"/>
            </w:r>
            <w:r w:rsidR="00AF4CA9">
              <w:rPr>
                <w:webHidden/>
              </w:rPr>
              <w:instrText xml:space="preserve"> PAGEREF _Toc514924638 \h </w:instrText>
            </w:r>
            <w:r w:rsidR="00AF4CA9">
              <w:rPr>
                <w:webHidden/>
              </w:rPr>
            </w:r>
            <w:r w:rsidR="00AF4CA9">
              <w:rPr>
                <w:webHidden/>
              </w:rPr>
              <w:fldChar w:fldCharType="separate"/>
            </w:r>
            <w:r w:rsidR="00AF4CA9">
              <w:rPr>
                <w:webHidden/>
              </w:rPr>
              <w:t>25</w:t>
            </w:r>
            <w:r w:rsidR="00AF4CA9">
              <w:rPr>
                <w:webHidden/>
              </w:rPr>
              <w:fldChar w:fldCharType="end"/>
            </w:r>
          </w:hyperlink>
        </w:p>
        <w:p w14:paraId="631BDDB4" w14:textId="77777777" w:rsidR="00AF4CA9" w:rsidRDefault="002B06A9">
          <w:pPr>
            <w:pStyle w:val="TOC1"/>
            <w:rPr>
              <w:rFonts w:asciiTheme="minorHAnsi" w:eastAsiaTheme="minorEastAsia" w:hAnsiTheme="minorHAnsi" w:cstheme="minorBidi"/>
              <w:b w:val="0"/>
              <w:smallCaps w:val="0"/>
              <w:color w:val="auto"/>
            </w:rPr>
          </w:pPr>
          <w:hyperlink w:anchor="_Toc514924639" w:history="1">
            <w:r w:rsidR="00AF4CA9" w:rsidRPr="00381C66">
              <w:rPr>
                <w:rStyle w:val="Hyperlink"/>
              </w:rPr>
              <w:t>Chapter 5: Foreign investment compliance</w:t>
            </w:r>
            <w:r w:rsidR="00AF4CA9">
              <w:rPr>
                <w:webHidden/>
              </w:rPr>
              <w:tab/>
            </w:r>
            <w:r w:rsidR="00AF4CA9">
              <w:rPr>
                <w:webHidden/>
              </w:rPr>
              <w:fldChar w:fldCharType="begin"/>
            </w:r>
            <w:r w:rsidR="00AF4CA9">
              <w:rPr>
                <w:webHidden/>
              </w:rPr>
              <w:instrText xml:space="preserve"> PAGEREF _Toc514924639 \h </w:instrText>
            </w:r>
            <w:r w:rsidR="00AF4CA9">
              <w:rPr>
                <w:webHidden/>
              </w:rPr>
            </w:r>
            <w:r w:rsidR="00AF4CA9">
              <w:rPr>
                <w:webHidden/>
              </w:rPr>
              <w:fldChar w:fldCharType="separate"/>
            </w:r>
            <w:r w:rsidR="00AF4CA9">
              <w:rPr>
                <w:webHidden/>
              </w:rPr>
              <w:t>43</w:t>
            </w:r>
            <w:r w:rsidR="00AF4CA9">
              <w:rPr>
                <w:webHidden/>
              </w:rPr>
              <w:fldChar w:fldCharType="end"/>
            </w:r>
          </w:hyperlink>
        </w:p>
        <w:p w14:paraId="3F154058" w14:textId="77777777" w:rsidR="00AF4CA9" w:rsidRDefault="002B06A9">
          <w:pPr>
            <w:pStyle w:val="TOC2"/>
            <w:rPr>
              <w:rFonts w:asciiTheme="minorHAnsi" w:eastAsiaTheme="minorEastAsia" w:hAnsiTheme="minorHAnsi" w:cstheme="minorBidi"/>
              <w:color w:val="auto"/>
              <w:sz w:val="22"/>
              <w:szCs w:val="22"/>
            </w:rPr>
          </w:pPr>
          <w:hyperlink w:anchor="_Toc514924640" w:history="1">
            <w:r w:rsidR="00AF4CA9" w:rsidRPr="00381C66">
              <w:rPr>
                <w:rStyle w:val="Hyperlink"/>
                <w:rFonts w:eastAsiaTheme="minorHAnsi"/>
                <w:lang w:eastAsia="en-US"/>
              </w:rPr>
              <w:t>Education and promotion</w:t>
            </w:r>
            <w:r w:rsidR="00AF4CA9">
              <w:rPr>
                <w:webHidden/>
              </w:rPr>
              <w:tab/>
            </w:r>
            <w:r w:rsidR="00AF4CA9">
              <w:rPr>
                <w:webHidden/>
              </w:rPr>
              <w:fldChar w:fldCharType="begin"/>
            </w:r>
            <w:r w:rsidR="00AF4CA9">
              <w:rPr>
                <w:webHidden/>
              </w:rPr>
              <w:instrText xml:space="preserve"> PAGEREF _Toc514924640 \h </w:instrText>
            </w:r>
            <w:r w:rsidR="00AF4CA9">
              <w:rPr>
                <w:webHidden/>
              </w:rPr>
            </w:r>
            <w:r w:rsidR="00AF4CA9">
              <w:rPr>
                <w:webHidden/>
              </w:rPr>
              <w:fldChar w:fldCharType="separate"/>
            </w:r>
            <w:r w:rsidR="00AF4CA9">
              <w:rPr>
                <w:webHidden/>
              </w:rPr>
              <w:t>43</w:t>
            </w:r>
            <w:r w:rsidR="00AF4CA9">
              <w:rPr>
                <w:webHidden/>
              </w:rPr>
              <w:fldChar w:fldCharType="end"/>
            </w:r>
          </w:hyperlink>
        </w:p>
        <w:p w14:paraId="2D5256C6" w14:textId="77777777" w:rsidR="00AF4CA9" w:rsidRDefault="002B06A9">
          <w:pPr>
            <w:pStyle w:val="TOC2"/>
            <w:rPr>
              <w:rFonts w:asciiTheme="minorHAnsi" w:eastAsiaTheme="minorEastAsia" w:hAnsiTheme="minorHAnsi" w:cstheme="minorBidi"/>
              <w:color w:val="auto"/>
              <w:sz w:val="22"/>
              <w:szCs w:val="22"/>
            </w:rPr>
          </w:pPr>
          <w:hyperlink w:anchor="_Toc514924641" w:history="1">
            <w:r w:rsidR="00AF4CA9" w:rsidRPr="00381C66">
              <w:rPr>
                <w:rStyle w:val="Hyperlink"/>
                <w:rFonts w:eastAsiaTheme="minorHAnsi"/>
                <w:lang w:eastAsia="en-US"/>
              </w:rPr>
              <w:t>Compliance program</w:t>
            </w:r>
            <w:r w:rsidR="00AF4CA9">
              <w:rPr>
                <w:webHidden/>
              </w:rPr>
              <w:tab/>
            </w:r>
            <w:r w:rsidR="00AF4CA9">
              <w:rPr>
                <w:webHidden/>
              </w:rPr>
              <w:fldChar w:fldCharType="begin"/>
            </w:r>
            <w:r w:rsidR="00AF4CA9">
              <w:rPr>
                <w:webHidden/>
              </w:rPr>
              <w:instrText xml:space="preserve"> PAGEREF _Toc514924641 \h </w:instrText>
            </w:r>
            <w:r w:rsidR="00AF4CA9">
              <w:rPr>
                <w:webHidden/>
              </w:rPr>
            </w:r>
            <w:r w:rsidR="00AF4CA9">
              <w:rPr>
                <w:webHidden/>
              </w:rPr>
              <w:fldChar w:fldCharType="separate"/>
            </w:r>
            <w:r w:rsidR="00AF4CA9">
              <w:rPr>
                <w:webHidden/>
              </w:rPr>
              <w:t>44</w:t>
            </w:r>
            <w:r w:rsidR="00AF4CA9">
              <w:rPr>
                <w:webHidden/>
              </w:rPr>
              <w:fldChar w:fldCharType="end"/>
            </w:r>
          </w:hyperlink>
        </w:p>
        <w:p w14:paraId="4AD7A57F" w14:textId="77777777" w:rsidR="00AF4CA9" w:rsidRDefault="002B06A9">
          <w:pPr>
            <w:pStyle w:val="TOC2"/>
            <w:rPr>
              <w:rFonts w:asciiTheme="minorHAnsi" w:eastAsiaTheme="minorEastAsia" w:hAnsiTheme="minorHAnsi" w:cstheme="minorBidi"/>
              <w:color w:val="auto"/>
              <w:sz w:val="22"/>
              <w:szCs w:val="22"/>
            </w:rPr>
          </w:pPr>
          <w:hyperlink w:anchor="_Toc514924642" w:history="1">
            <w:r w:rsidR="00AF4CA9" w:rsidRPr="00381C66">
              <w:rPr>
                <w:rStyle w:val="Hyperlink"/>
                <w:rFonts w:eastAsiaTheme="minorHAnsi"/>
                <w:lang w:eastAsia="en-US"/>
              </w:rPr>
              <w:t>Penalties and enforcement powers</w:t>
            </w:r>
            <w:r w:rsidR="00AF4CA9">
              <w:rPr>
                <w:webHidden/>
              </w:rPr>
              <w:tab/>
            </w:r>
            <w:r w:rsidR="00AF4CA9">
              <w:rPr>
                <w:webHidden/>
              </w:rPr>
              <w:fldChar w:fldCharType="begin"/>
            </w:r>
            <w:r w:rsidR="00AF4CA9">
              <w:rPr>
                <w:webHidden/>
              </w:rPr>
              <w:instrText xml:space="preserve"> PAGEREF _Toc514924642 \h </w:instrText>
            </w:r>
            <w:r w:rsidR="00AF4CA9">
              <w:rPr>
                <w:webHidden/>
              </w:rPr>
            </w:r>
            <w:r w:rsidR="00AF4CA9">
              <w:rPr>
                <w:webHidden/>
              </w:rPr>
              <w:fldChar w:fldCharType="separate"/>
            </w:r>
            <w:r w:rsidR="00AF4CA9">
              <w:rPr>
                <w:webHidden/>
              </w:rPr>
              <w:t>44</w:t>
            </w:r>
            <w:r w:rsidR="00AF4CA9">
              <w:rPr>
                <w:webHidden/>
              </w:rPr>
              <w:fldChar w:fldCharType="end"/>
            </w:r>
          </w:hyperlink>
        </w:p>
        <w:p w14:paraId="4DF4E27C" w14:textId="77777777" w:rsidR="00AF4CA9" w:rsidRDefault="002B06A9">
          <w:pPr>
            <w:pStyle w:val="TOC2"/>
            <w:rPr>
              <w:rFonts w:asciiTheme="minorHAnsi" w:eastAsiaTheme="minorEastAsia" w:hAnsiTheme="minorHAnsi" w:cstheme="minorBidi"/>
              <w:color w:val="auto"/>
              <w:sz w:val="22"/>
              <w:szCs w:val="22"/>
            </w:rPr>
          </w:pPr>
          <w:hyperlink w:anchor="_Toc514924643" w:history="1">
            <w:r w:rsidR="00AF4CA9" w:rsidRPr="00381C66">
              <w:rPr>
                <w:rStyle w:val="Hyperlink"/>
              </w:rPr>
              <w:t>Residential real estate compliance investigations and outcomes</w:t>
            </w:r>
            <w:r w:rsidR="00AF4CA9">
              <w:rPr>
                <w:webHidden/>
              </w:rPr>
              <w:tab/>
            </w:r>
            <w:r w:rsidR="00AF4CA9">
              <w:rPr>
                <w:webHidden/>
              </w:rPr>
              <w:fldChar w:fldCharType="begin"/>
            </w:r>
            <w:r w:rsidR="00AF4CA9">
              <w:rPr>
                <w:webHidden/>
              </w:rPr>
              <w:instrText xml:space="preserve"> PAGEREF _Toc514924643 \h </w:instrText>
            </w:r>
            <w:r w:rsidR="00AF4CA9">
              <w:rPr>
                <w:webHidden/>
              </w:rPr>
            </w:r>
            <w:r w:rsidR="00AF4CA9">
              <w:rPr>
                <w:webHidden/>
              </w:rPr>
              <w:fldChar w:fldCharType="separate"/>
            </w:r>
            <w:r w:rsidR="00AF4CA9">
              <w:rPr>
                <w:webHidden/>
              </w:rPr>
              <w:t>46</w:t>
            </w:r>
            <w:r w:rsidR="00AF4CA9">
              <w:rPr>
                <w:webHidden/>
              </w:rPr>
              <w:fldChar w:fldCharType="end"/>
            </w:r>
          </w:hyperlink>
        </w:p>
        <w:p w14:paraId="46A197B9" w14:textId="77777777" w:rsidR="00AF4CA9" w:rsidRDefault="002B06A9">
          <w:pPr>
            <w:pStyle w:val="TOC1"/>
            <w:rPr>
              <w:rFonts w:asciiTheme="minorHAnsi" w:eastAsiaTheme="minorEastAsia" w:hAnsiTheme="minorHAnsi" w:cstheme="minorBidi"/>
              <w:b w:val="0"/>
              <w:smallCaps w:val="0"/>
              <w:color w:val="auto"/>
            </w:rPr>
          </w:pPr>
          <w:hyperlink w:anchor="_Toc514924644" w:history="1">
            <w:r w:rsidR="00AF4CA9" w:rsidRPr="00381C66">
              <w:rPr>
                <w:rStyle w:val="Hyperlink"/>
              </w:rPr>
              <w:t>Appendix A: FIRB meetings during 2016–17</w:t>
            </w:r>
            <w:r w:rsidR="00AF4CA9">
              <w:rPr>
                <w:webHidden/>
              </w:rPr>
              <w:tab/>
            </w:r>
            <w:r w:rsidR="00AF4CA9">
              <w:rPr>
                <w:webHidden/>
              </w:rPr>
              <w:fldChar w:fldCharType="begin"/>
            </w:r>
            <w:r w:rsidR="00AF4CA9">
              <w:rPr>
                <w:webHidden/>
              </w:rPr>
              <w:instrText xml:space="preserve"> PAGEREF _Toc514924644 \h </w:instrText>
            </w:r>
            <w:r w:rsidR="00AF4CA9">
              <w:rPr>
                <w:webHidden/>
              </w:rPr>
            </w:r>
            <w:r w:rsidR="00AF4CA9">
              <w:rPr>
                <w:webHidden/>
              </w:rPr>
              <w:fldChar w:fldCharType="separate"/>
            </w:r>
            <w:r w:rsidR="00AF4CA9">
              <w:rPr>
                <w:webHidden/>
              </w:rPr>
              <w:t>51</w:t>
            </w:r>
            <w:r w:rsidR="00AF4CA9">
              <w:rPr>
                <w:webHidden/>
              </w:rPr>
              <w:fldChar w:fldCharType="end"/>
            </w:r>
          </w:hyperlink>
        </w:p>
        <w:p w14:paraId="40466488" w14:textId="77777777" w:rsidR="00AF4CA9" w:rsidRDefault="002B06A9">
          <w:pPr>
            <w:pStyle w:val="TOC1"/>
            <w:rPr>
              <w:rFonts w:asciiTheme="minorHAnsi" w:eastAsiaTheme="minorEastAsia" w:hAnsiTheme="minorHAnsi" w:cstheme="minorBidi"/>
              <w:b w:val="0"/>
              <w:smallCaps w:val="0"/>
              <w:color w:val="auto"/>
            </w:rPr>
          </w:pPr>
          <w:hyperlink w:anchor="_Toc514924645" w:history="1">
            <w:r w:rsidR="00AF4CA9" w:rsidRPr="00381C66">
              <w:rPr>
                <w:rStyle w:val="Hyperlink"/>
              </w:rPr>
              <w:t>Appendix B: Methodological and data caveats</w:t>
            </w:r>
            <w:r w:rsidR="00AF4CA9">
              <w:rPr>
                <w:webHidden/>
              </w:rPr>
              <w:tab/>
            </w:r>
            <w:r w:rsidR="00AF4CA9">
              <w:rPr>
                <w:webHidden/>
              </w:rPr>
              <w:fldChar w:fldCharType="begin"/>
            </w:r>
            <w:r w:rsidR="00AF4CA9">
              <w:rPr>
                <w:webHidden/>
              </w:rPr>
              <w:instrText xml:space="preserve"> PAGEREF _Toc514924645 \h </w:instrText>
            </w:r>
            <w:r w:rsidR="00AF4CA9">
              <w:rPr>
                <w:webHidden/>
              </w:rPr>
            </w:r>
            <w:r w:rsidR="00AF4CA9">
              <w:rPr>
                <w:webHidden/>
              </w:rPr>
              <w:fldChar w:fldCharType="separate"/>
            </w:r>
            <w:r w:rsidR="00AF4CA9">
              <w:rPr>
                <w:webHidden/>
              </w:rPr>
              <w:t>53</w:t>
            </w:r>
            <w:r w:rsidR="00AF4CA9">
              <w:rPr>
                <w:webHidden/>
              </w:rPr>
              <w:fldChar w:fldCharType="end"/>
            </w:r>
          </w:hyperlink>
        </w:p>
        <w:p w14:paraId="678B8474" w14:textId="77777777" w:rsidR="00AF4CA9" w:rsidRDefault="002B06A9">
          <w:pPr>
            <w:pStyle w:val="TOC1"/>
            <w:rPr>
              <w:rFonts w:asciiTheme="minorHAnsi" w:eastAsiaTheme="minorEastAsia" w:hAnsiTheme="minorHAnsi" w:cstheme="minorBidi"/>
              <w:b w:val="0"/>
              <w:smallCaps w:val="0"/>
              <w:color w:val="auto"/>
            </w:rPr>
          </w:pPr>
          <w:hyperlink w:anchor="_Toc514924646" w:history="1">
            <w:r w:rsidR="00AF4CA9" w:rsidRPr="00381C66">
              <w:rPr>
                <w:rStyle w:val="Hyperlink"/>
              </w:rPr>
              <w:t>Appendix C: Examination and approval process</w:t>
            </w:r>
            <w:r w:rsidR="00AF4CA9">
              <w:rPr>
                <w:webHidden/>
              </w:rPr>
              <w:tab/>
            </w:r>
            <w:r w:rsidR="00AF4CA9">
              <w:rPr>
                <w:webHidden/>
              </w:rPr>
              <w:fldChar w:fldCharType="begin"/>
            </w:r>
            <w:r w:rsidR="00AF4CA9">
              <w:rPr>
                <w:webHidden/>
              </w:rPr>
              <w:instrText xml:space="preserve"> PAGEREF _Toc514924646 \h </w:instrText>
            </w:r>
            <w:r w:rsidR="00AF4CA9">
              <w:rPr>
                <w:webHidden/>
              </w:rPr>
            </w:r>
            <w:r w:rsidR="00AF4CA9">
              <w:rPr>
                <w:webHidden/>
              </w:rPr>
              <w:fldChar w:fldCharType="separate"/>
            </w:r>
            <w:r w:rsidR="00AF4CA9">
              <w:rPr>
                <w:webHidden/>
              </w:rPr>
              <w:t>57</w:t>
            </w:r>
            <w:r w:rsidR="00AF4CA9">
              <w:rPr>
                <w:webHidden/>
              </w:rPr>
              <w:fldChar w:fldCharType="end"/>
            </w:r>
          </w:hyperlink>
        </w:p>
        <w:p w14:paraId="6E65482E" w14:textId="77777777" w:rsidR="00AF4CA9" w:rsidRDefault="002B06A9">
          <w:pPr>
            <w:pStyle w:val="TOC2"/>
            <w:rPr>
              <w:rFonts w:asciiTheme="minorHAnsi" w:eastAsiaTheme="minorEastAsia" w:hAnsiTheme="minorHAnsi" w:cstheme="minorBidi"/>
              <w:color w:val="auto"/>
              <w:sz w:val="22"/>
              <w:szCs w:val="22"/>
            </w:rPr>
          </w:pPr>
          <w:hyperlink w:anchor="_Toc514924647" w:history="1">
            <w:r w:rsidR="00AF4CA9" w:rsidRPr="00381C66">
              <w:rPr>
                <w:rStyle w:val="Hyperlink"/>
              </w:rPr>
              <w:t>FIRB involvement</w:t>
            </w:r>
            <w:r w:rsidR="00AF4CA9">
              <w:rPr>
                <w:webHidden/>
              </w:rPr>
              <w:tab/>
            </w:r>
            <w:r w:rsidR="00AF4CA9">
              <w:rPr>
                <w:webHidden/>
              </w:rPr>
              <w:fldChar w:fldCharType="begin"/>
            </w:r>
            <w:r w:rsidR="00AF4CA9">
              <w:rPr>
                <w:webHidden/>
              </w:rPr>
              <w:instrText xml:space="preserve"> PAGEREF _Toc514924647 \h </w:instrText>
            </w:r>
            <w:r w:rsidR="00AF4CA9">
              <w:rPr>
                <w:webHidden/>
              </w:rPr>
            </w:r>
            <w:r w:rsidR="00AF4CA9">
              <w:rPr>
                <w:webHidden/>
              </w:rPr>
              <w:fldChar w:fldCharType="separate"/>
            </w:r>
            <w:r w:rsidR="00AF4CA9">
              <w:rPr>
                <w:webHidden/>
              </w:rPr>
              <w:t>57</w:t>
            </w:r>
            <w:r w:rsidR="00AF4CA9">
              <w:rPr>
                <w:webHidden/>
              </w:rPr>
              <w:fldChar w:fldCharType="end"/>
            </w:r>
          </w:hyperlink>
        </w:p>
        <w:p w14:paraId="3E8EF815" w14:textId="77777777" w:rsidR="00AF4CA9" w:rsidRDefault="002B06A9">
          <w:pPr>
            <w:pStyle w:val="TOC2"/>
            <w:rPr>
              <w:rFonts w:asciiTheme="minorHAnsi" w:eastAsiaTheme="minorEastAsia" w:hAnsiTheme="minorHAnsi" w:cstheme="minorBidi"/>
              <w:color w:val="auto"/>
              <w:sz w:val="22"/>
              <w:szCs w:val="22"/>
            </w:rPr>
          </w:pPr>
          <w:hyperlink w:anchor="_Toc514924648" w:history="1">
            <w:r w:rsidR="00AF4CA9" w:rsidRPr="00381C66">
              <w:rPr>
                <w:rStyle w:val="Hyperlink"/>
              </w:rPr>
              <w:t>Handling of commercially sensitive and personal information</w:t>
            </w:r>
            <w:r w:rsidR="00AF4CA9">
              <w:rPr>
                <w:webHidden/>
              </w:rPr>
              <w:tab/>
            </w:r>
            <w:r w:rsidR="00AF4CA9">
              <w:rPr>
                <w:webHidden/>
              </w:rPr>
              <w:fldChar w:fldCharType="begin"/>
            </w:r>
            <w:r w:rsidR="00AF4CA9">
              <w:rPr>
                <w:webHidden/>
              </w:rPr>
              <w:instrText xml:space="preserve"> PAGEREF _Toc514924648 \h </w:instrText>
            </w:r>
            <w:r w:rsidR="00AF4CA9">
              <w:rPr>
                <w:webHidden/>
              </w:rPr>
            </w:r>
            <w:r w:rsidR="00AF4CA9">
              <w:rPr>
                <w:webHidden/>
              </w:rPr>
              <w:fldChar w:fldCharType="separate"/>
            </w:r>
            <w:r w:rsidR="00AF4CA9">
              <w:rPr>
                <w:webHidden/>
              </w:rPr>
              <w:t>57</w:t>
            </w:r>
            <w:r w:rsidR="00AF4CA9">
              <w:rPr>
                <w:webHidden/>
              </w:rPr>
              <w:fldChar w:fldCharType="end"/>
            </w:r>
          </w:hyperlink>
        </w:p>
        <w:p w14:paraId="0DD022B6" w14:textId="77777777" w:rsidR="00AF4CA9" w:rsidRDefault="002B06A9">
          <w:pPr>
            <w:pStyle w:val="TOC2"/>
            <w:rPr>
              <w:rFonts w:asciiTheme="minorHAnsi" w:eastAsiaTheme="minorEastAsia" w:hAnsiTheme="minorHAnsi" w:cstheme="minorBidi"/>
              <w:color w:val="auto"/>
              <w:sz w:val="22"/>
              <w:szCs w:val="22"/>
            </w:rPr>
          </w:pPr>
          <w:hyperlink w:anchor="_Toc514924649" w:history="1">
            <w:r w:rsidR="00AF4CA9" w:rsidRPr="00381C66">
              <w:rPr>
                <w:rStyle w:val="Hyperlink"/>
              </w:rPr>
              <w:t>Application Screening Process</w:t>
            </w:r>
            <w:r w:rsidR="00AF4CA9">
              <w:rPr>
                <w:webHidden/>
              </w:rPr>
              <w:tab/>
            </w:r>
            <w:r w:rsidR="00AF4CA9">
              <w:rPr>
                <w:webHidden/>
              </w:rPr>
              <w:fldChar w:fldCharType="begin"/>
            </w:r>
            <w:r w:rsidR="00AF4CA9">
              <w:rPr>
                <w:webHidden/>
              </w:rPr>
              <w:instrText xml:space="preserve"> PAGEREF _Toc514924649 \h </w:instrText>
            </w:r>
            <w:r w:rsidR="00AF4CA9">
              <w:rPr>
                <w:webHidden/>
              </w:rPr>
            </w:r>
            <w:r w:rsidR="00AF4CA9">
              <w:rPr>
                <w:webHidden/>
              </w:rPr>
              <w:fldChar w:fldCharType="separate"/>
            </w:r>
            <w:r w:rsidR="00AF4CA9">
              <w:rPr>
                <w:webHidden/>
              </w:rPr>
              <w:t>58</w:t>
            </w:r>
            <w:r w:rsidR="00AF4CA9">
              <w:rPr>
                <w:webHidden/>
              </w:rPr>
              <w:fldChar w:fldCharType="end"/>
            </w:r>
          </w:hyperlink>
        </w:p>
        <w:p w14:paraId="651E811A" w14:textId="17D3145B" w:rsidR="003E6736" w:rsidRDefault="002B06A9" w:rsidP="00500092">
          <w:pPr>
            <w:pStyle w:val="TOC1"/>
          </w:pPr>
          <w:hyperlink w:anchor="_Toc514924650" w:history="1">
            <w:r w:rsidR="00AF4CA9" w:rsidRPr="00381C66">
              <w:rPr>
                <w:rStyle w:val="Hyperlink"/>
              </w:rPr>
              <w:t>Appendix D: Glossary</w:t>
            </w:r>
            <w:r w:rsidR="00AF4CA9">
              <w:rPr>
                <w:webHidden/>
              </w:rPr>
              <w:tab/>
            </w:r>
            <w:r w:rsidR="00AF4CA9">
              <w:rPr>
                <w:webHidden/>
              </w:rPr>
              <w:fldChar w:fldCharType="begin"/>
            </w:r>
            <w:r w:rsidR="00AF4CA9">
              <w:rPr>
                <w:webHidden/>
              </w:rPr>
              <w:instrText xml:space="preserve"> PAGEREF _Toc514924650 \h </w:instrText>
            </w:r>
            <w:r w:rsidR="00AF4CA9">
              <w:rPr>
                <w:webHidden/>
              </w:rPr>
            </w:r>
            <w:r w:rsidR="00AF4CA9">
              <w:rPr>
                <w:webHidden/>
              </w:rPr>
              <w:fldChar w:fldCharType="separate"/>
            </w:r>
            <w:r w:rsidR="00AF4CA9">
              <w:rPr>
                <w:webHidden/>
              </w:rPr>
              <w:t>61</w:t>
            </w:r>
            <w:r w:rsidR="00AF4CA9">
              <w:rPr>
                <w:webHidden/>
              </w:rPr>
              <w:fldChar w:fldCharType="end"/>
            </w:r>
          </w:hyperlink>
          <w:r w:rsidR="00C72611">
            <w:rPr>
              <w:b w:val="0"/>
              <w:sz w:val="32"/>
            </w:rPr>
            <w:fldChar w:fldCharType="end"/>
          </w:r>
        </w:p>
      </w:sdtContent>
    </w:sdt>
    <w:p w14:paraId="5C560CA2" w14:textId="6AE35FB4" w:rsidR="00715C4E" w:rsidRDefault="00715C4E" w:rsidP="00204E29"/>
    <w:p w14:paraId="0848C612" w14:textId="77777777" w:rsidR="00715C4E" w:rsidRDefault="00715C4E" w:rsidP="00204E29">
      <w:pPr>
        <w:sectPr w:rsidR="00715C4E" w:rsidSect="0020758A">
          <w:headerReference w:type="first" r:id="rId33"/>
          <w:footerReference w:type="first" r:id="rId34"/>
          <w:type w:val="oddPage"/>
          <w:pgSz w:w="11907" w:h="16840" w:code="9"/>
          <w:pgMar w:top="2466" w:right="2098" w:bottom="2466" w:left="2098" w:header="1899" w:footer="1899" w:gutter="0"/>
          <w:pgNumType w:fmt="lowerRoman"/>
          <w:cols w:space="720"/>
          <w:titlePg/>
          <w:docGrid w:linePitch="360"/>
        </w:sectPr>
      </w:pPr>
    </w:p>
    <w:p w14:paraId="21C7B4E4" w14:textId="4742D342" w:rsidR="00010B9A" w:rsidRPr="00933D95" w:rsidRDefault="00E61750" w:rsidP="00EE0D26">
      <w:pPr>
        <w:spacing w:before="360" w:after="120"/>
        <w:rPr>
          <w:rFonts w:ascii="Calibri" w:hAnsi="Calibri"/>
          <w:b/>
          <w:color w:val="003E74"/>
          <w:sz w:val="36"/>
          <w:szCs w:val="36"/>
        </w:rPr>
      </w:pPr>
      <w:bookmarkStart w:id="17" w:name="_Toc512259049"/>
      <w:bookmarkStart w:id="18" w:name="_Toc512523471"/>
      <w:bookmarkStart w:id="19" w:name="_Toc512524840"/>
      <w:bookmarkStart w:id="20" w:name="_Toc513021729"/>
      <w:bookmarkStart w:id="21" w:name="_Toc513122745"/>
      <w:bookmarkStart w:id="22" w:name="_Toc513131315"/>
      <w:bookmarkStart w:id="23" w:name="_Toc513456048"/>
      <w:bookmarkStart w:id="24" w:name="_Toc513457294"/>
      <w:bookmarkStart w:id="25" w:name="_Toc513557372"/>
      <w:bookmarkStart w:id="26" w:name="_Toc513559388"/>
      <w:r w:rsidRPr="00933D95">
        <w:rPr>
          <w:rFonts w:ascii="Calibri" w:hAnsi="Calibri"/>
          <w:b/>
          <w:color w:val="003E74"/>
          <w:sz w:val="36"/>
          <w:szCs w:val="36"/>
        </w:rPr>
        <w:lastRenderedPageBreak/>
        <w:t xml:space="preserve">Executive </w:t>
      </w:r>
      <w:r w:rsidR="001224D9" w:rsidRPr="00933D95">
        <w:rPr>
          <w:rFonts w:ascii="Calibri" w:hAnsi="Calibri"/>
          <w:b/>
          <w:color w:val="003E74"/>
          <w:sz w:val="36"/>
          <w:szCs w:val="36"/>
        </w:rPr>
        <w:t>Summary</w:t>
      </w:r>
      <w:bookmarkEnd w:id="17"/>
      <w:bookmarkEnd w:id="18"/>
      <w:bookmarkEnd w:id="19"/>
      <w:bookmarkEnd w:id="20"/>
      <w:bookmarkEnd w:id="21"/>
      <w:bookmarkEnd w:id="22"/>
      <w:bookmarkEnd w:id="23"/>
      <w:bookmarkEnd w:id="24"/>
      <w:bookmarkEnd w:id="25"/>
      <w:bookmarkEnd w:id="26"/>
    </w:p>
    <w:p w14:paraId="2F4623BC" w14:textId="2B7F2EDA" w:rsidR="00AA0681" w:rsidRDefault="00AA0681" w:rsidP="00C27882">
      <w:pPr>
        <w:pStyle w:val="FIRBBulletpoint"/>
      </w:pPr>
      <w:r w:rsidRPr="00150338">
        <w:t>Foreign investment plays an important and beneficial role in the Australian economy because it helps drive economic growth, creates skilled jobs, improves access to overseas markets</w:t>
      </w:r>
      <w:r>
        <w:t>,</w:t>
      </w:r>
      <w:r w:rsidRPr="00150338">
        <w:t xml:space="preserve"> and enhances productivity.</w:t>
      </w:r>
    </w:p>
    <w:p w14:paraId="36C4887B" w14:textId="06026F38" w:rsidR="00604564" w:rsidRDefault="00604564" w:rsidP="00C27882">
      <w:pPr>
        <w:pStyle w:val="FIRBBulletpoint"/>
      </w:pPr>
      <w:r>
        <w:t>Australia continues to be an attractive destination for foreign investment</w:t>
      </w:r>
      <w:r w:rsidR="00303791">
        <w:t xml:space="preserve">. </w:t>
      </w:r>
      <w:r w:rsidR="00F663E7">
        <w:t>In 2016</w:t>
      </w:r>
      <w:r w:rsidR="00CD7E4F">
        <w:t>–</w:t>
      </w:r>
      <w:r w:rsidR="00F663E7">
        <w:t>17</w:t>
      </w:r>
      <w:r w:rsidR="00303791">
        <w:t>, there was $168</w:t>
      </w:r>
      <w:r>
        <w:t xml:space="preserve"> billion </w:t>
      </w:r>
      <w:r w:rsidR="00303791">
        <w:t>of</w:t>
      </w:r>
      <w:r w:rsidR="00F663E7">
        <w:t xml:space="preserve"> </w:t>
      </w:r>
      <w:r>
        <w:t xml:space="preserve">business related </w:t>
      </w:r>
      <w:r w:rsidR="00303791">
        <w:t xml:space="preserve">approvals </w:t>
      </w:r>
      <w:r>
        <w:t xml:space="preserve">approved, </w:t>
      </w:r>
      <w:r w:rsidR="008145DB">
        <w:t xml:space="preserve">only </w:t>
      </w:r>
      <w:r w:rsidR="00427561">
        <w:t>four</w:t>
      </w:r>
      <w:r>
        <w:t xml:space="preserve"> per cent </w:t>
      </w:r>
      <w:r w:rsidR="00303791">
        <w:t>below</w:t>
      </w:r>
      <w:r>
        <w:t xml:space="preserve"> </w:t>
      </w:r>
      <w:r w:rsidR="00303791">
        <w:t xml:space="preserve">the </w:t>
      </w:r>
      <w:r>
        <w:t>2015</w:t>
      </w:r>
      <w:r w:rsidR="00CD7E4F">
        <w:t>–</w:t>
      </w:r>
      <w:r>
        <w:t>16</w:t>
      </w:r>
      <w:r w:rsidR="00303791">
        <w:t xml:space="preserve"> level</w:t>
      </w:r>
      <w:r>
        <w:t>.</w:t>
      </w:r>
    </w:p>
    <w:p w14:paraId="678D2525" w14:textId="77B48F1E" w:rsidR="00023F68" w:rsidRDefault="00C230ED" w:rsidP="00C27882">
      <w:pPr>
        <w:pStyle w:val="FIRBBulletpoint"/>
      </w:pPr>
      <w:r>
        <w:t>In 2016–</w:t>
      </w:r>
      <w:r w:rsidR="00153756">
        <w:t>17</w:t>
      </w:r>
      <w:r w:rsidR="002A3806">
        <w:t>,</w:t>
      </w:r>
      <w:r w:rsidR="00153756">
        <w:t xml:space="preserve"> China and the United States continued to be the top two sources of approved investment, although </w:t>
      </w:r>
      <w:r w:rsidR="000E6723">
        <w:t xml:space="preserve">the total value </w:t>
      </w:r>
      <w:r w:rsidR="00153756">
        <w:t>approved fell in comparison to 2015</w:t>
      </w:r>
      <w:r w:rsidR="00CD7E4F">
        <w:t>–</w:t>
      </w:r>
      <w:r w:rsidR="00153756">
        <w:t>16 levels by $8.4 billion and $4.5 billion respectively. Canad</w:t>
      </w:r>
      <w:r w:rsidR="000E6723">
        <w:t>a continues to grow as a key source of investment with $23.2 billion worth of approvals, an increase of $7.5 billion from 2015</w:t>
      </w:r>
      <w:r w:rsidR="00CD7E4F">
        <w:t>–</w:t>
      </w:r>
      <w:r w:rsidR="000E6723">
        <w:t>16.</w:t>
      </w:r>
    </w:p>
    <w:p w14:paraId="23D397C5" w14:textId="0C1895B2" w:rsidR="00714388" w:rsidRDefault="00714388" w:rsidP="00C27882">
      <w:pPr>
        <w:pStyle w:val="FIRBBulletpoint"/>
      </w:pPr>
      <w:r>
        <w:t>Major business related investment was focused on ports and electricity network assets, continuing the trend of acquisitions in these sectors in recent years. Data centres are also an emerging area of interest for investors.</w:t>
      </w:r>
    </w:p>
    <w:p w14:paraId="1C5BC9C0" w14:textId="610FADF7" w:rsidR="003D2D0C" w:rsidRDefault="008F53C4" w:rsidP="00C27882">
      <w:pPr>
        <w:pStyle w:val="FIRBBulletpoint"/>
      </w:pPr>
      <w:r>
        <w:t>A continuing challenge is</w:t>
      </w:r>
      <w:r w:rsidR="003D2D0C">
        <w:t xml:space="preserve"> the complexity and sensitivity of potential acquisitions</w:t>
      </w:r>
      <w:r w:rsidR="00C5225C">
        <w:t xml:space="preserve">. </w:t>
      </w:r>
      <w:r>
        <w:t>This has led to an increasing proportion of applications being approved subject to conditions</w:t>
      </w:r>
      <w:r w:rsidR="003D2D0C">
        <w:t>.</w:t>
      </w:r>
    </w:p>
    <w:p w14:paraId="08579771" w14:textId="4DB6BD99" w:rsidR="003D2D0C" w:rsidRDefault="00C5225C" w:rsidP="00C27882">
      <w:pPr>
        <w:pStyle w:val="FIRBBulletpoint"/>
      </w:pPr>
      <w:r>
        <w:t>Another</w:t>
      </w:r>
      <w:r w:rsidR="003D2D0C">
        <w:t xml:space="preserve"> key development to better manage risks to critical infrastructure </w:t>
      </w:r>
      <w:proofErr w:type="gramStart"/>
      <w:r w:rsidR="003D2D0C">
        <w:t>assets</w:t>
      </w:r>
      <w:r w:rsidR="00F82907">
        <w:t>,</w:t>
      </w:r>
      <w:proofErr w:type="gramEnd"/>
      <w:r>
        <w:t xml:space="preserve"> was t</w:t>
      </w:r>
      <w:r w:rsidR="003D2D0C">
        <w:t xml:space="preserve">he establishment of the Critical Infrastructure Centre in 2017. </w:t>
      </w:r>
      <w:r w:rsidR="00AA0681">
        <w:t>One</w:t>
      </w:r>
      <w:r w:rsidR="003D2D0C">
        <w:t xml:space="preserve"> objective of the Centre is to facilitate early and comprehensive advice on national security risks and potential mitigations to support foreign investment decision making.</w:t>
      </w:r>
    </w:p>
    <w:p w14:paraId="35190B40" w14:textId="2832774D" w:rsidR="003D2D0C" w:rsidRDefault="003D2D0C" w:rsidP="00C27882">
      <w:pPr>
        <w:pStyle w:val="FIRBBulletpoint"/>
      </w:pPr>
      <w:r>
        <w:t>Following the significant reforms introduced in 2015</w:t>
      </w:r>
      <w:r w:rsidR="00CD7E4F">
        <w:t>–</w:t>
      </w:r>
      <w:r>
        <w:t>16, further minor refinements were made to the foreign investment framework to ease the compliance burden on business. In the 2017</w:t>
      </w:r>
      <w:r w:rsidR="00CD7E4F">
        <w:t>–</w:t>
      </w:r>
      <w:r>
        <w:t>18 Budget the Government announced stronger rules for foreign investors owning Australian housing, including the use of residential dwellings and capping the level of foreign investment in new residential developments.</w:t>
      </w:r>
    </w:p>
    <w:p w14:paraId="27A90D11" w14:textId="1117A0EE" w:rsidR="00303791" w:rsidRDefault="00303791" w:rsidP="00C27882">
      <w:pPr>
        <w:pStyle w:val="FIRBBulletpoint"/>
      </w:pPr>
      <w:r>
        <w:t>Residential real estate approvals fell substantially from 40,149 approvals in 2015</w:t>
      </w:r>
      <w:r w:rsidR="00CD7E4F">
        <w:t>–</w:t>
      </w:r>
      <w:r>
        <w:t>16 to 13,198 in 2016</w:t>
      </w:r>
      <w:r w:rsidR="00CD7E4F">
        <w:t>–</w:t>
      </w:r>
      <w:r>
        <w:t xml:space="preserve">17. </w:t>
      </w:r>
      <w:r w:rsidR="009E7CEE">
        <w:t>The most significant factor explaining this drop is</w:t>
      </w:r>
      <w:r w:rsidR="00DB3446" w:rsidRPr="001F6FD2">
        <w:t xml:space="preserve"> </w:t>
      </w:r>
      <w:r w:rsidR="00DB3446">
        <w:t xml:space="preserve">the introduction of application fees in December 2015, which resulted in investors only applying for properties they </w:t>
      </w:r>
      <w:r w:rsidR="00DB3446" w:rsidDel="00F26BF7">
        <w:t>intended</w:t>
      </w:r>
      <w:r w:rsidR="00DB3446">
        <w:t xml:space="preserve"> to purchase</w:t>
      </w:r>
      <w:r w:rsidR="00DB3446" w:rsidDel="00F26BF7">
        <w:t xml:space="preserve"> (</w:t>
      </w:r>
      <w:r w:rsidR="0020000D">
        <w:t>that is,</w:t>
      </w:r>
      <w:r w:rsidR="00DB3446" w:rsidDel="00F26BF7">
        <w:t xml:space="preserve"> a reduction in the number of applications </w:t>
      </w:r>
      <w:r w:rsidR="009E7CEE" w:rsidDel="00F26BF7">
        <w:t xml:space="preserve">rather </w:t>
      </w:r>
      <w:r w:rsidR="00552551" w:rsidRPr="00552551">
        <w:t>th</w:t>
      </w:r>
      <w:r w:rsidR="00552551">
        <w:t>a</w:t>
      </w:r>
      <w:r w:rsidR="00552551" w:rsidRPr="00552551">
        <w:t xml:space="preserve">n </w:t>
      </w:r>
      <w:r w:rsidR="0020000D" w:rsidRPr="00552551">
        <w:t>necessarily</w:t>
      </w:r>
      <w:r w:rsidR="00DB3446" w:rsidDel="00F26BF7">
        <w:t xml:space="preserve"> a reduction in actual investment)</w:t>
      </w:r>
      <w:r w:rsidR="00DB3446">
        <w:t xml:space="preserve">. Other factors </w:t>
      </w:r>
      <w:r w:rsidR="009E7CEE">
        <w:t>that may also have contributed to a reduction in applications include</w:t>
      </w:r>
      <w:r w:rsidR="00DB3446">
        <w:t xml:space="preserve"> tighter Chinese capital controls</w:t>
      </w:r>
      <w:r w:rsidR="00DB2B3B">
        <w:t>,</w:t>
      </w:r>
      <w:r w:rsidR="00DB3446">
        <w:t xml:space="preserve"> weaker market </w:t>
      </w:r>
      <w:r>
        <w:t>conditions</w:t>
      </w:r>
      <w:r w:rsidR="009E7CEE">
        <w:t xml:space="preserve"> </w:t>
      </w:r>
      <w:r>
        <w:t>and additional taxes imposed on foreign investor purchases in some Australian states.</w:t>
      </w:r>
    </w:p>
    <w:p w14:paraId="64D21821" w14:textId="16B46080" w:rsidR="006402B7" w:rsidRDefault="00023F68" w:rsidP="00C27882">
      <w:pPr>
        <w:pStyle w:val="FIRBBulletpoint"/>
      </w:pPr>
      <w:r>
        <w:t xml:space="preserve">Compliance with the foreign investment regulatory framework continues to be a priority, with an emphasis on encouraging voluntary compliance. The ATO has been active in identifying </w:t>
      </w:r>
      <w:r w:rsidR="006402B7">
        <w:t xml:space="preserve">residential real estate </w:t>
      </w:r>
      <w:r w:rsidR="00B827BB">
        <w:t xml:space="preserve">related </w:t>
      </w:r>
      <w:r>
        <w:t>breaches</w:t>
      </w:r>
      <w:r w:rsidR="00B827BB">
        <w:t xml:space="preserve"> and </w:t>
      </w:r>
      <w:r w:rsidR="006402B7">
        <w:t>data matching</w:t>
      </w:r>
      <w:r w:rsidR="00CA46CB">
        <w:t xml:space="preserve"> </w:t>
      </w:r>
      <w:r w:rsidR="00B827BB">
        <w:t>is an increasingly important source of investigations. The number</w:t>
      </w:r>
      <w:r w:rsidR="00AC308E">
        <w:t xml:space="preserve"> of </w:t>
      </w:r>
      <w:r w:rsidR="003D2D0C">
        <w:t xml:space="preserve">residential </w:t>
      </w:r>
      <w:r w:rsidR="00B827BB">
        <w:t>real estate related</w:t>
      </w:r>
      <w:r>
        <w:t xml:space="preserve"> breaches </w:t>
      </w:r>
      <w:r w:rsidR="00B827BB">
        <w:t>identified by the ATO more than doubled in 2016</w:t>
      </w:r>
      <w:r w:rsidR="00CD7E4F">
        <w:t>–</w:t>
      </w:r>
      <w:r w:rsidR="00B827BB">
        <w:t>17 to 549 (</w:t>
      </w:r>
      <w:r>
        <w:t xml:space="preserve">from </w:t>
      </w:r>
      <w:r w:rsidR="00B827BB">
        <w:t xml:space="preserve">260 in </w:t>
      </w:r>
      <w:r w:rsidR="00AC308E">
        <w:t>2015</w:t>
      </w:r>
      <w:r w:rsidR="00CD7E4F">
        <w:t>–</w:t>
      </w:r>
      <w:r w:rsidR="00AC308E">
        <w:t>16).</w:t>
      </w:r>
      <w:r>
        <w:t xml:space="preserve"> The Treasury has expanded its work to ensure compliance in relation to foreign investment in business assets, and subsequent to 2016</w:t>
      </w:r>
      <w:r w:rsidR="00CD7E4F">
        <w:t>–</w:t>
      </w:r>
      <w:r>
        <w:t>17 has initiated its first round of compliance audits.</w:t>
      </w:r>
      <w:r w:rsidR="006402B7">
        <w:br w:type="page"/>
      </w:r>
    </w:p>
    <w:p w14:paraId="1827E6EE" w14:textId="77777777" w:rsidR="00294A97" w:rsidRDefault="00294A97" w:rsidP="00206908">
      <w:pPr>
        <w:pStyle w:val="Box-Pull-Bullet"/>
        <w:numPr>
          <w:ilvl w:val="0"/>
          <w:numId w:val="0"/>
        </w:numPr>
        <w:spacing w:after="0"/>
        <w:sectPr w:rsidR="00294A97" w:rsidSect="0020758A">
          <w:headerReference w:type="first" r:id="rId35"/>
          <w:type w:val="oddPage"/>
          <w:pgSz w:w="11907" w:h="16840" w:code="9"/>
          <w:pgMar w:top="2466" w:right="2098" w:bottom="2466" w:left="2098" w:header="1899" w:footer="1899" w:gutter="0"/>
          <w:pgNumType w:fmt="lowerRoman"/>
          <w:cols w:space="720"/>
          <w:titlePg/>
          <w:docGrid w:linePitch="360"/>
        </w:sectPr>
      </w:pPr>
    </w:p>
    <w:p w14:paraId="50875DEB" w14:textId="18BD0F54" w:rsidR="00691BE0" w:rsidRDefault="00691BE0" w:rsidP="00691BE0">
      <w:pPr>
        <w:pStyle w:val="ChartGraphic"/>
        <w:spacing w:after="360"/>
      </w:pPr>
      <w:r>
        <w:rPr>
          <w:noProof/>
        </w:rPr>
        <w:lastRenderedPageBreak/>
        <w:drawing>
          <wp:inline distT="0" distB="0" distL="0" distR="0" wp14:anchorId="2801C430" wp14:editId="59A32BCE">
            <wp:extent cx="4895088" cy="3060192"/>
            <wp:effectExtent l="0" t="0" r="1270" b="698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RB part page.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895088" cy="3060192"/>
                    </a:xfrm>
                    <a:prstGeom prst="rect">
                      <a:avLst/>
                    </a:prstGeom>
                  </pic:spPr>
                </pic:pic>
              </a:graphicData>
            </a:graphic>
          </wp:inline>
        </w:drawing>
      </w:r>
    </w:p>
    <w:p w14:paraId="2B5EAD0B" w14:textId="6086F1F1" w:rsidR="000E6F43" w:rsidRDefault="000E6F43" w:rsidP="000E6F43">
      <w:pPr>
        <w:pStyle w:val="Heading1"/>
      </w:pPr>
      <w:bookmarkStart w:id="27" w:name="_Toc514924622"/>
      <w:r>
        <w:t>C</w:t>
      </w:r>
      <w:r w:rsidRPr="000E6F43">
        <w:t>hapter 1: The Foreign Investment Review Board</w:t>
      </w:r>
      <w:bookmarkEnd w:id="27"/>
    </w:p>
    <w:p w14:paraId="108B0B63" w14:textId="60744F8A" w:rsidR="00E606D7" w:rsidRDefault="008B6006" w:rsidP="00965145">
      <w:pPr>
        <w:rPr>
          <w:szCs w:val="24"/>
        </w:rPr>
      </w:pPr>
      <w:r w:rsidRPr="00FD3B20">
        <w:t>The Foreign Investment Review Board (</w:t>
      </w:r>
      <w:r w:rsidR="00830BF7">
        <w:t>FIRB</w:t>
      </w:r>
      <w:r w:rsidRPr="00FD3B20">
        <w:t>) is a non</w:t>
      </w:r>
      <w:r w:rsidR="00F72641">
        <w:t>-</w:t>
      </w:r>
      <w:r w:rsidRPr="00FD3B20">
        <w:t>statutory body established in 1976 to advise the Treasurer and the Government on foreign investment matters.</w:t>
      </w:r>
      <w:r w:rsidR="005B0984" w:rsidRPr="00FD3B20">
        <w:t xml:space="preserve"> </w:t>
      </w:r>
      <w:r w:rsidR="00830BF7">
        <w:t>The FIRB</w:t>
      </w:r>
      <w:r w:rsidR="008205A1">
        <w:t>’</w:t>
      </w:r>
      <w:r w:rsidR="005B0984" w:rsidRPr="00FD3B20">
        <w:t xml:space="preserve">s functions are advisory only. Responsibility for making decisions on foreign investment policy and investment proposals rests with the </w:t>
      </w:r>
      <w:r w:rsidR="005B0984" w:rsidRPr="00FD3B20">
        <w:rPr>
          <w:szCs w:val="24"/>
        </w:rPr>
        <w:t>Treasurer.</w:t>
      </w:r>
    </w:p>
    <w:p w14:paraId="43957AF9" w14:textId="34AF8E40" w:rsidR="005B0984" w:rsidRDefault="005B0984" w:rsidP="00965145">
      <w:pPr>
        <w:rPr>
          <w:szCs w:val="24"/>
        </w:rPr>
      </w:pPr>
      <w:r w:rsidRPr="00FD3B20">
        <w:rPr>
          <w:szCs w:val="24"/>
        </w:rPr>
        <w:t>During 20</w:t>
      </w:r>
      <w:r w:rsidR="001224D9">
        <w:rPr>
          <w:szCs w:val="24"/>
        </w:rPr>
        <w:t>16</w:t>
      </w:r>
      <w:r w:rsidR="00691BE0">
        <w:rPr>
          <w:szCs w:val="24"/>
        </w:rPr>
        <w:t>–</w:t>
      </w:r>
      <w:r w:rsidR="001224D9">
        <w:rPr>
          <w:szCs w:val="24"/>
        </w:rPr>
        <w:t>17</w:t>
      </w:r>
      <w:r w:rsidR="00FD3B20">
        <w:rPr>
          <w:szCs w:val="24"/>
        </w:rPr>
        <w:t xml:space="preserve">, </w:t>
      </w:r>
      <w:r w:rsidR="00F62263">
        <w:rPr>
          <w:szCs w:val="24"/>
        </w:rPr>
        <w:t xml:space="preserve">the </w:t>
      </w:r>
      <w:r w:rsidR="00830BF7">
        <w:rPr>
          <w:szCs w:val="24"/>
        </w:rPr>
        <w:t>FIRB</w:t>
      </w:r>
      <w:r w:rsidR="00FD3B20">
        <w:rPr>
          <w:szCs w:val="24"/>
        </w:rPr>
        <w:t xml:space="preserve"> comprised </w:t>
      </w:r>
      <w:r w:rsidR="00A17F2F" w:rsidRPr="00925835">
        <w:rPr>
          <w:szCs w:val="24"/>
        </w:rPr>
        <w:t>six</w:t>
      </w:r>
      <w:r w:rsidR="00FD3B20" w:rsidRPr="00925835">
        <w:rPr>
          <w:szCs w:val="24"/>
        </w:rPr>
        <w:t> </w:t>
      </w:r>
      <w:r w:rsidRPr="00925835">
        <w:rPr>
          <w:szCs w:val="24"/>
        </w:rPr>
        <w:t>part</w:t>
      </w:r>
      <w:r w:rsidR="008205A1" w:rsidRPr="00925835">
        <w:rPr>
          <w:szCs w:val="24"/>
        </w:rPr>
        <w:noBreakHyphen/>
      </w:r>
      <w:r w:rsidRPr="00925835">
        <w:rPr>
          <w:szCs w:val="24"/>
        </w:rPr>
        <w:t>time members</w:t>
      </w:r>
      <w:r w:rsidRPr="00FD3B20">
        <w:rPr>
          <w:szCs w:val="24"/>
        </w:rPr>
        <w:t xml:space="preserve"> and a fulltime Executive Member</w:t>
      </w:r>
      <w:r w:rsidR="005D4B10">
        <w:rPr>
          <w:szCs w:val="24"/>
        </w:rPr>
        <w:t xml:space="preserve"> </w:t>
      </w:r>
      <w:r w:rsidR="0075073F">
        <w:rPr>
          <w:szCs w:val="24"/>
        </w:rPr>
        <w:t>—</w:t>
      </w:r>
      <w:r w:rsidR="005D4B10">
        <w:rPr>
          <w:szCs w:val="24"/>
        </w:rPr>
        <w:t xml:space="preserve"> the </w:t>
      </w:r>
      <w:r w:rsidR="00130CB0">
        <w:rPr>
          <w:szCs w:val="24"/>
        </w:rPr>
        <w:t>H</w:t>
      </w:r>
      <w:r w:rsidR="005D4B10">
        <w:rPr>
          <w:szCs w:val="24"/>
        </w:rPr>
        <w:t>ead of Treasury’s Foreign Investment Division</w:t>
      </w:r>
      <w:r w:rsidRPr="00FD3B20">
        <w:rPr>
          <w:szCs w:val="24"/>
        </w:rPr>
        <w:t>.</w:t>
      </w:r>
      <w:r w:rsidR="00E606D7">
        <w:rPr>
          <w:szCs w:val="24"/>
        </w:rPr>
        <w:t xml:space="preserve"> The Government seeks to attract members of </w:t>
      </w:r>
      <w:r w:rsidR="00F62263">
        <w:rPr>
          <w:szCs w:val="24"/>
        </w:rPr>
        <w:t xml:space="preserve">the </w:t>
      </w:r>
      <w:r w:rsidR="00830BF7">
        <w:rPr>
          <w:szCs w:val="24"/>
        </w:rPr>
        <w:t>FIRB</w:t>
      </w:r>
      <w:r w:rsidR="00E606D7">
        <w:rPr>
          <w:szCs w:val="24"/>
        </w:rPr>
        <w:t xml:space="preserve"> with deep knowledge and experience </w:t>
      </w:r>
      <w:r w:rsidR="00EF17AA">
        <w:rPr>
          <w:szCs w:val="24"/>
        </w:rPr>
        <w:t xml:space="preserve">in a range of sectors </w:t>
      </w:r>
      <w:r w:rsidR="00E606D7">
        <w:rPr>
          <w:szCs w:val="24"/>
        </w:rPr>
        <w:t xml:space="preserve">that can </w:t>
      </w:r>
      <w:r w:rsidR="00EF17AA">
        <w:rPr>
          <w:szCs w:val="24"/>
        </w:rPr>
        <w:t xml:space="preserve">actively contribute to </w:t>
      </w:r>
      <w:r w:rsidR="00F62263">
        <w:rPr>
          <w:szCs w:val="24"/>
        </w:rPr>
        <w:t xml:space="preserve">the </w:t>
      </w:r>
      <w:r w:rsidR="00830BF7">
        <w:rPr>
          <w:szCs w:val="24"/>
        </w:rPr>
        <w:t>FIRB</w:t>
      </w:r>
      <w:r w:rsidR="008205A1">
        <w:rPr>
          <w:szCs w:val="24"/>
        </w:rPr>
        <w:t>’</w:t>
      </w:r>
      <w:r w:rsidR="00EF17AA">
        <w:rPr>
          <w:szCs w:val="24"/>
        </w:rPr>
        <w:t xml:space="preserve">s responsibilities. </w:t>
      </w:r>
      <w:r w:rsidR="00921458">
        <w:rPr>
          <w:szCs w:val="24"/>
        </w:rPr>
        <w:t>Strong probity procedures are in place to </w:t>
      </w:r>
      <w:r w:rsidR="00EF17AA">
        <w:rPr>
          <w:szCs w:val="24"/>
        </w:rPr>
        <w:t xml:space="preserve">ensure </w:t>
      </w:r>
      <w:r w:rsidR="00574C12">
        <w:rPr>
          <w:szCs w:val="24"/>
        </w:rPr>
        <w:t xml:space="preserve">any </w:t>
      </w:r>
      <w:r w:rsidR="00EF17AA">
        <w:rPr>
          <w:szCs w:val="24"/>
        </w:rPr>
        <w:t>conflict</w:t>
      </w:r>
      <w:r w:rsidR="00106821">
        <w:rPr>
          <w:szCs w:val="24"/>
        </w:rPr>
        <w:t>s</w:t>
      </w:r>
      <w:r w:rsidR="00574C12">
        <w:rPr>
          <w:szCs w:val="24"/>
        </w:rPr>
        <w:t xml:space="preserve"> of interest</w:t>
      </w:r>
      <w:r w:rsidR="00EF17AA">
        <w:rPr>
          <w:szCs w:val="24"/>
        </w:rPr>
        <w:t xml:space="preserve"> </w:t>
      </w:r>
      <w:r w:rsidR="003D1988">
        <w:rPr>
          <w:szCs w:val="24"/>
        </w:rPr>
        <w:t xml:space="preserve">that may occur </w:t>
      </w:r>
      <w:r w:rsidR="00106821">
        <w:rPr>
          <w:szCs w:val="24"/>
        </w:rPr>
        <w:t>are</w:t>
      </w:r>
      <w:r w:rsidR="00EF17AA">
        <w:rPr>
          <w:szCs w:val="24"/>
        </w:rPr>
        <w:t xml:space="preserve"> managed appropriately</w:t>
      </w:r>
      <w:r w:rsidR="00106821">
        <w:rPr>
          <w:szCs w:val="24"/>
        </w:rPr>
        <w:t>.</w:t>
      </w:r>
    </w:p>
    <w:p w14:paraId="7E401316" w14:textId="4FB03DBF" w:rsidR="000E6F43" w:rsidRDefault="00335A79" w:rsidP="000E6F43">
      <w:bookmarkStart w:id="28" w:name="_Toc513122747"/>
      <w:bookmarkStart w:id="29" w:name="_Toc513131317"/>
      <w:r w:rsidRPr="00CA5262">
        <w:t xml:space="preserve">The FIRB considers all applications decided by the Treasurer. To facilitate its advice, the </w:t>
      </w:r>
      <w:proofErr w:type="gramStart"/>
      <w:r w:rsidRPr="00CA5262">
        <w:t>FIRB  meets</w:t>
      </w:r>
      <w:proofErr w:type="gramEnd"/>
      <w:r w:rsidRPr="00CA5262">
        <w:t xml:space="preserve"> face-to-</w:t>
      </w:r>
      <w:r w:rsidR="004620F2">
        <w:t>fac</w:t>
      </w:r>
      <w:r w:rsidRPr="00CA5262">
        <w:t>e monthly, weekly by telephone</w:t>
      </w:r>
      <w:r w:rsidR="008D7C70">
        <w:t>,</w:t>
      </w:r>
      <w:r w:rsidR="004F5D70" w:rsidRPr="00CA5262">
        <w:t xml:space="preserve"> and out-of-session via email. </w:t>
      </w:r>
      <w:r w:rsidRPr="00CA5262">
        <w:t xml:space="preserve">A record of </w:t>
      </w:r>
      <w:r w:rsidR="00C83F62" w:rsidRPr="00CA5262">
        <w:t xml:space="preserve">FIRB </w:t>
      </w:r>
      <w:r w:rsidR="00FA422C">
        <w:t>members’</w:t>
      </w:r>
      <w:r w:rsidR="002A66B9" w:rsidRPr="00CA5262">
        <w:t xml:space="preserve"> </w:t>
      </w:r>
      <w:r w:rsidRPr="00CA5262">
        <w:t xml:space="preserve">attendance for each monthly face-to-face meeting </w:t>
      </w:r>
      <w:r w:rsidR="00C145D3" w:rsidRPr="00CA5262">
        <w:t>during</w:t>
      </w:r>
      <w:r w:rsidR="002A66B9" w:rsidRPr="00CA5262">
        <w:t xml:space="preserve"> the reporting period </w:t>
      </w:r>
      <w:r w:rsidRPr="00CA5262">
        <w:t>is at Appendix A.</w:t>
      </w:r>
      <w:r w:rsidR="000E6F43">
        <w:br w:type="page"/>
      </w:r>
    </w:p>
    <w:p w14:paraId="72CFED43" w14:textId="013590AD" w:rsidR="00323FBD" w:rsidRPr="00EE0B1A" w:rsidRDefault="00323FBD" w:rsidP="00AF4CA9">
      <w:pPr>
        <w:pStyle w:val="Heading2"/>
        <w:rPr>
          <w:rFonts w:eastAsiaTheme="majorEastAsia"/>
        </w:rPr>
      </w:pPr>
      <w:bookmarkStart w:id="30" w:name="_Toc513456050"/>
      <w:bookmarkStart w:id="31" w:name="_Toc513457296"/>
      <w:bookmarkStart w:id="32" w:name="_Toc513557374"/>
      <w:bookmarkStart w:id="33" w:name="_Toc513559390"/>
      <w:bookmarkStart w:id="34" w:name="_Toc514924623"/>
      <w:r w:rsidRPr="00EE0B1A">
        <w:rPr>
          <w:rFonts w:eastAsiaTheme="majorEastAsia"/>
        </w:rPr>
        <w:lastRenderedPageBreak/>
        <w:t>FIRB me</w:t>
      </w:r>
      <w:r w:rsidRPr="00933D95">
        <w:rPr>
          <w:rFonts w:eastAsiaTheme="majorEastAsia"/>
        </w:rPr>
        <w:t xml:space="preserve">mbership </w:t>
      </w:r>
      <w:r w:rsidR="00691BE0">
        <w:rPr>
          <w:rFonts w:eastAsiaTheme="majorEastAsia"/>
        </w:rPr>
        <w:t>during 2016–</w:t>
      </w:r>
      <w:r w:rsidRPr="00EE0B1A">
        <w:rPr>
          <w:rFonts w:eastAsiaTheme="majorEastAsia"/>
        </w:rPr>
        <w:t>17</w:t>
      </w:r>
      <w:bookmarkEnd w:id="28"/>
      <w:bookmarkEnd w:id="29"/>
      <w:bookmarkEnd w:id="30"/>
      <w:bookmarkEnd w:id="31"/>
      <w:bookmarkEnd w:id="32"/>
      <w:bookmarkEnd w:id="33"/>
      <w:bookmarkEnd w:id="34"/>
    </w:p>
    <w:p w14:paraId="2DCE26FE" w14:textId="746E1D6C" w:rsidR="00323FBD" w:rsidRPr="00AF4CA9" w:rsidRDefault="00323FBD" w:rsidP="00C27882">
      <w:pPr>
        <w:pStyle w:val="FIRBBulletpoint"/>
      </w:pPr>
      <w:r w:rsidRPr="00AF4CA9">
        <w:t>Mr Brian Wilson (Chairman and member t</w:t>
      </w:r>
      <w:r w:rsidR="0020000D" w:rsidRPr="00AF4CA9">
        <w:t>o</w:t>
      </w:r>
      <w:r w:rsidRPr="00AF4CA9">
        <w:t xml:space="preserve"> 15 April 2017)</w:t>
      </w:r>
    </w:p>
    <w:p w14:paraId="58BA974B" w14:textId="77777777" w:rsidR="00323FBD" w:rsidRPr="00AF4CA9" w:rsidRDefault="00323FBD" w:rsidP="00C27882">
      <w:pPr>
        <w:pStyle w:val="FIRBBulletpoint"/>
      </w:pPr>
      <w:r w:rsidRPr="00AF4CA9">
        <w:t>Mr David Irvine AO (current Chairman)</w:t>
      </w:r>
    </w:p>
    <w:p w14:paraId="094AFADB" w14:textId="039DA584" w:rsidR="00323FBD" w:rsidRPr="00AF4CA9" w:rsidRDefault="00323FBD" w:rsidP="00C27882">
      <w:pPr>
        <w:pStyle w:val="FIRBBulletpoint"/>
      </w:pPr>
      <w:r w:rsidRPr="00AF4CA9">
        <w:t xml:space="preserve">Mr Michael </w:t>
      </w:r>
      <w:proofErr w:type="spellStart"/>
      <w:r w:rsidRPr="00AF4CA9">
        <w:t>D’Ascenzo</w:t>
      </w:r>
      <w:proofErr w:type="spellEnd"/>
      <w:r w:rsidRPr="00AF4CA9">
        <w:t xml:space="preserve"> AO</w:t>
      </w:r>
    </w:p>
    <w:p w14:paraId="1C865889" w14:textId="77777777" w:rsidR="00323FBD" w:rsidRPr="00AF4CA9" w:rsidRDefault="00323FBD" w:rsidP="00C27882">
      <w:pPr>
        <w:pStyle w:val="FIRBBulletpoint"/>
      </w:pPr>
      <w:r w:rsidRPr="00AF4CA9">
        <w:t>Mr Patrick Secker</w:t>
      </w:r>
    </w:p>
    <w:p w14:paraId="68FF435A" w14:textId="77777777" w:rsidR="00323FBD" w:rsidRPr="00AF4CA9" w:rsidRDefault="00323FBD" w:rsidP="00C27882">
      <w:pPr>
        <w:pStyle w:val="FIRBBulletpoint"/>
      </w:pPr>
      <w:r w:rsidRPr="00AF4CA9">
        <w:t>Ms Alice Williams</w:t>
      </w:r>
    </w:p>
    <w:p w14:paraId="23C7CDC1" w14:textId="77777777" w:rsidR="00323FBD" w:rsidRPr="00AF4CA9" w:rsidRDefault="00323FBD" w:rsidP="00C27882">
      <w:pPr>
        <w:pStyle w:val="FIRBBulletpoint"/>
      </w:pPr>
      <w:r w:rsidRPr="00AF4CA9">
        <w:t xml:space="preserve">Mr David </w:t>
      </w:r>
      <w:proofErr w:type="spellStart"/>
      <w:r w:rsidRPr="00AF4CA9">
        <w:t>Peever</w:t>
      </w:r>
      <w:proofErr w:type="spellEnd"/>
    </w:p>
    <w:p w14:paraId="432D3AD5" w14:textId="7499B676" w:rsidR="00323FBD" w:rsidRPr="00AF4CA9" w:rsidRDefault="00323FBD" w:rsidP="00C27882">
      <w:pPr>
        <w:pStyle w:val="FIRBBulletpoint"/>
      </w:pPr>
      <w:r w:rsidRPr="00AF4CA9">
        <w:t xml:space="preserve">Mr Robert </w:t>
      </w:r>
      <w:proofErr w:type="spellStart"/>
      <w:r w:rsidRPr="00AF4CA9">
        <w:t>Donelly</w:t>
      </w:r>
      <w:proofErr w:type="spellEnd"/>
      <w:r w:rsidRPr="00AF4CA9">
        <w:t xml:space="preserve"> (</w:t>
      </w:r>
      <w:r w:rsidR="0020000D" w:rsidRPr="00AF4CA9">
        <w:t>Executive</w:t>
      </w:r>
      <w:r w:rsidRPr="00AF4CA9">
        <w:t xml:space="preserve"> Member t</w:t>
      </w:r>
      <w:r w:rsidR="0020000D" w:rsidRPr="00AF4CA9">
        <w:t>o</w:t>
      </w:r>
      <w:r w:rsidRPr="00AF4CA9">
        <w:t xml:space="preserve"> 5 March 2017)</w:t>
      </w:r>
    </w:p>
    <w:p w14:paraId="2889F159" w14:textId="1FE5DFF6" w:rsidR="00323FBD" w:rsidRPr="00AF4CA9" w:rsidRDefault="00323FBD" w:rsidP="00C27882">
      <w:pPr>
        <w:pStyle w:val="FIRBBulletpoint"/>
      </w:pPr>
      <w:r w:rsidRPr="00AF4CA9">
        <w:t>Mr Roger Brake (current Executive Member)</w:t>
      </w:r>
    </w:p>
    <w:p w14:paraId="4D014BED" w14:textId="6AFFAF4E" w:rsidR="00402633" w:rsidRPr="00604C5C" w:rsidRDefault="004E7A2D" w:rsidP="00AF4CA9">
      <w:pPr>
        <w:pStyle w:val="Heading2"/>
        <w:rPr>
          <w:rFonts w:eastAsiaTheme="majorEastAsia"/>
        </w:rPr>
      </w:pPr>
      <w:bookmarkStart w:id="35" w:name="_Toc513122748"/>
      <w:bookmarkStart w:id="36" w:name="_Toc513131318"/>
      <w:bookmarkStart w:id="37" w:name="_Toc513456051"/>
      <w:bookmarkStart w:id="38" w:name="_Toc513457297"/>
      <w:bookmarkStart w:id="39" w:name="_Toc513557375"/>
      <w:bookmarkStart w:id="40" w:name="_Toc513559391"/>
      <w:bookmarkStart w:id="41" w:name="_Toc514924624"/>
      <w:r>
        <w:rPr>
          <w:rFonts w:eastAsiaTheme="majorEastAsia"/>
        </w:rPr>
        <w:t>FIRB</w:t>
      </w:r>
      <w:r w:rsidRPr="00604C5C">
        <w:rPr>
          <w:rFonts w:eastAsiaTheme="majorEastAsia"/>
        </w:rPr>
        <w:t xml:space="preserve"> </w:t>
      </w:r>
      <w:r w:rsidR="005B0984" w:rsidRPr="00604C5C">
        <w:rPr>
          <w:rFonts w:eastAsiaTheme="majorEastAsia"/>
        </w:rPr>
        <w:t>Responsibilities</w:t>
      </w:r>
      <w:bookmarkEnd w:id="35"/>
      <w:bookmarkEnd w:id="36"/>
      <w:bookmarkEnd w:id="37"/>
      <w:bookmarkEnd w:id="38"/>
      <w:bookmarkEnd w:id="39"/>
      <w:bookmarkEnd w:id="40"/>
      <w:bookmarkEnd w:id="41"/>
    </w:p>
    <w:p w14:paraId="0581A2E9" w14:textId="30975F1B" w:rsidR="008B6006" w:rsidRPr="00AF4CA9" w:rsidRDefault="00E57F65" w:rsidP="00C27882">
      <w:pPr>
        <w:pStyle w:val="FIRBBulletpoint"/>
      </w:pPr>
      <w:r w:rsidRPr="00AF4CA9">
        <w:t>E</w:t>
      </w:r>
      <w:r w:rsidR="008B6006" w:rsidRPr="00AF4CA9">
        <w:t xml:space="preserve">xamine proposed investments that are subject to the Foreign Acquisitions and Takeovers Act 1975 (the Act) and supporting legislation, and to make recommendations to the Treasurer and other Treasury portfolio ministers on the national interest </w:t>
      </w:r>
      <w:r w:rsidRPr="00AF4CA9">
        <w:t>implications of these proposals</w:t>
      </w:r>
      <w:r w:rsidR="00715C4E" w:rsidRPr="00AF4CA9">
        <w:t>.</w:t>
      </w:r>
    </w:p>
    <w:p w14:paraId="59536E3B" w14:textId="4414E2A2" w:rsidR="008B6006" w:rsidRPr="00AF4CA9" w:rsidRDefault="00574C12" w:rsidP="00C27882">
      <w:pPr>
        <w:pStyle w:val="FIRBBulletpoint"/>
      </w:pPr>
      <w:r w:rsidRPr="00AF4CA9">
        <w:t>Provide advice</w:t>
      </w:r>
      <w:r w:rsidR="008B6006" w:rsidRPr="00AF4CA9">
        <w:t xml:space="preserve"> on the operation of the foreign investment framework and re</w:t>
      </w:r>
      <w:r w:rsidR="00E57F65" w:rsidRPr="00AF4CA9">
        <w:t>lated matters</w:t>
      </w:r>
      <w:r w:rsidR="00715C4E" w:rsidRPr="00AF4CA9">
        <w:t>.</w:t>
      </w:r>
    </w:p>
    <w:p w14:paraId="70B8A000" w14:textId="69B8F080" w:rsidR="008B6006" w:rsidRPr="00AF4CA9" w:rsidRDefault="00E57F65" w:rsidP="00C27882">
      <w:pPr>
        <w:pStyle w:val="FIRBBulletpoint"/>
      </w:pPr>
      <w:r w:rsidRPr="00AF4CA9">
        <w:t>P</w:t>
      </w:r>
      <w:r w:rsidR="008B6006" w:rsidRPr="00AF4CA9">
        <w:t>rovide guidance to foreign persons and their representatives or agents on the operation of th</w:t>
      </w:r>
      <w:r w:rsidRPr="00AF4CA9">
        <w:t>e foreign investment framework</w:t>
      </w:r>
      <w:r w:rsidR="00715C4E" w:rsidRPr="00AF4CA9">
        <w:t>.</w:t>
      </w:r>
    </w:p>
    <w:p w14:paraId="5161124D" w14:textId="77777777" w:rsidR="00B473C2" w:rsidRPr="00AF4CA9" w:rsidRDefault="00E57F65" w:rsidP="00C27882">
      <w:pPr>
        <w:pStyle w:val="FIRBBulletpoint"/>
      </w:pPr>
      <w:r w:rsidRPr="00AF4CA9">
        <w:t>M</w:t>
      </w:r>
      <w:r w:rsidR="008B6006" w:rsidRPr="00AF4CA9">
        <w:t xml:space="preserve">onitor and ensure compliance with the </w:t>
      </w:r>
      <w:r w:rsidR="003C2D08" w:rsidRPr="00AF4CA9">
        <w:t>framework</w:t>
      </w:r>
      <w:r w:rsidR="00715C4E" w:rsidRPr="00AF4CA9">
        <w:t>.</w:t>
      </w:r>
    </w:p>
    <w:p w14:paraId="02CB1FEB" w14:textId="77A8733D" w:rsidR="005D4B10" w:rsidRPr="00B473C2" w:rsidRDefault="00E57F65" w:rsidP="00C27882">
      <w:pPr>
        <w:pStyle w:val="FIRBBulletpoint"/>
      </w:pPr>
      <w:r w:rsidRPr="00AF4CA9">
        <w:t>F</w:t>
      </w:r>
      <w:r w:rsidR="008B6006" w:rsidRPr="00AF4CA9">
        <w:t xml:space="preserve">oster </w:t>
      </w:r>
      <w:r w:rsidR="00156E8D" w:rsidRPr="00AF4CA9">
        <w:t>awareness</w:t>
      </w:r>
      <w:r w:rsidR="008B6006" w:rsidRPr="00AF4CA9">
        <w:t xml:space="preserve"> and understanding, both in Australia and abroad, of Australia</w:t>
      </w:r>
      <w:r w:rsidR="008205A1" w:rsidRPr="00AF4CA9">
        <w:t>’</w:t>
      </w:r>
      <w:r w:rsidRPr="00AF4CA9">
        <w:t>s policy on foreign investment</w:t>
      </w:r>
      <w:r w:rsidR="00715C4E" w:rsidRPr="00AF4CA9">
        <w:t>.</w:t>
      </w:r>
      <w:bookmarkStart w:id="42" w:name="_Toc512259051"/>
      <w:bookmarkStart w:id="43" w:name="_Toc512523473"/>
      <w:bookmarkStart w:id="44" w:name="_Toc512524842"/>
      <w:r w:rsidR="005D4B10">
        <w:br w:type="page"/>
      </w:r>
    </w:p>
    <w:p w14:paraId="3341AC3F" w14:textId="42944BFD" w:rsidR="008B6006" w:rsidRPr="00F77EFA" w:rsidRDefault="006702A8" w:rsidP="00C72611">
      <w:pPr>
        <w:pStyle w:val="Heading2"/>
      </w:pPr>
      <w:bookmarkStart w:id="45" w:name="_Toc513021731"/>
      <w:bookmarkStart w:id="46" w:name="_Toc513122749"/>
      <w:bookmarkStart w:id="47" w:name="_Toc513131319"/>
      <w:bookmarkStart w:id="48" w:name="_Toc513456052"/>
      <w:bookmarkStart w:id="49" w:name="_Toc513457298"/>
      <w:bookmarkStart w:id="50" w:name="_Toc513557376"/>
      <w:bookmarkStart w:id="51" w:name="_Toc513559392"/>
      <w:bookmarkStart w:id="52" w:name="_Toc514924625"/>
      <w:r w:rsidRPr="00FD3B20">
        <w:rPr>
          <w:b w:val="0"/>
          <w:noProof/>
          <w:sz w:val="22"/>
          <w:szCs w:val="24"/>
        </w:rPr>
        <w:lastRenderedPageBreak/>
        <w:drawing>
          <wp:anchor distT="0" distB="0" distL="114300" distR="114300" simplePos="0" relativeHeight="251658244" behindDoc="0" locked="0" layoutInCell="1" allowOverlap="1" wp14:anchorId="47273578" wp14:editId="5568EFB4">
            <wp:simplePos x="0" y="0"/>
            <wp:positionH relativeFrom="margin">
              <wp:align>right</wp:align>
            </wp:positionH>
            <wp:positionV relativeFrom="paragraph">
              <wp:posOffset>315595</wp:posOffset>
            </wp:positionV>
            <wp:extent cx="871200" cy="1090800"/>
            <wp:effectExtent l="0" t="0" r="5715" b="0"/>
            <wp:wrapSquare wrapText="bothSides"/>
            <wp:docPr id="2" name="Picture 2" descr="\\tweb\DavWWWRoot\sites\mg\sbccpd\activity\secretariat\firb\04 23 June 2016\Photos\David_Irvin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tweb\DavWWWRoot\sites\mg\sbccpd\activity\secretariat\firb\04 23 June 2016\Photos\David_Irvine-00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871200" cy="1090800"/>
                    </a:xfrm>
                    <a:prstGeom prst="rect">
                      <a:avLst/>
                    </a:prstGeom>
                    <a:noFill/>
                    <a:ln>
                      <a:noFill/>
                    </a:ln>
                  </pic:spPr>
                </pic:pic>
              </a:graphicData>
            </a:graphic>
            <wp14:sizeRelH relativeFrom="page">
              <wp14:pctWidth>0</wp14:pctWidth>
            </wp14:sizeRelH>
            <wp14:sizeRelV relativeFrom="page">
              <wp14:pctHeight>0</wp14:pctHeight>
            </wp14:sizeRelV>
          </wp:anchor>
        </w:drawing>
      </w:r>
      <w:r w:rsidR="004E7A2D">
        <w:t>FIRB</w:t>
      </w:r>
      <w:r w:rsidR="004E7A2D" w:rsidRPr="00F77EFA">
        <w:t xml:space="preserve"> </w:t>
      </w:r>
      <w:r w:rsidR="008B6006" w:rsidRPr="00F77EFA">
        <w:t>membership</w:t>
      </w:r>
      <w:bookmarkEnd w:id="42"/>
      <w:r w:rsidR="000E6F43">
        <w:t xml:space="preserve"> </w:t>
      </w:r>
      <w:r w:rsidR="00CC4B70">
        <w:t xml:space="preserve">as of </w:t>
      </w:r>
      <w:r w:rsidR="00CC4B70" w:rsidRPr="007945DC">
        <w:t>May 2018</w:t>
      </w:r>
      <w:bookmarkEnd w:id="43"/>
      <w:bookmarkEnd w:id="44"/>
      <w:bookmarkEnd w:id="45"/>
      <w:bookmarkEnd w:id="46"/>
      <w:bookmarkEnd w:id="47"/>
      <w:bookmarkEnd w:id="48"/>
      <w:bookmarkEnd w:id="49"/>
      <w:bookmarkEnd w:id="50"/>
      <w:bookmarkEnd w:id="51"/>
      <w:bookmarkEnd w:id="52"/>
    </w:p>
    <w:p w14:paraId="6511DF74" w14:textId="3BB55A83" w:rsidR="00925835" w:rsidRPr="00FD3B20" w:rsidRDefault="00925835" w:rsidP="00851CDC">
      <w:pPr>
        <w:pStyle w:val="Normal-Bio"/>
        <w:spacing w:after="120"/>
        <w:jc w:val="left"/>
      </w:pPr>
      <w:r w:rsidRPr="00851CDC">
        <w:rPr>
          <w:b/>
          <w:sz w:val="22"/>
          <w:szCs w:val="24"/>
        </w:rPr>
        <w:t>Mr David Irvine AO</w:t>
      </w:r>
    </w:p>
    <w:p w14:paraId="444FD9BE" w14:textId="3204B3DC" w:rsidR="005D4B10" w:rsidRPr="00500092" w:rsidRDefault="00DE6EAF" w:rsidP="00500092">
      <w:pPr>
        <w:pStyle w:val="Normal-Bio"/>
        <w:spacing w:after="200"/>
        <w:jc w:val="left"/>
        <w:rPr>
          <w:i/>
          <w:sz w:val="22"/>
        </w:rPr>
      </w:pPr>
      <w:r w:rsidRPr="00814A48">
        <w:rPr>
          <w:rStyle w:val="Emphasis"/>
          <w:color w:val="333333"/>
          <w:sz w:val="22"/>
          <w:lang w:val="en-US"/>
        </w:rPr>
        <w:t>Chairman since 16 April 2017</w:t>
      </w:r>
      <w:r w:rsidRPr="00814A48">
        <w:rPr>
          <w:rStyle w:val="Emphasis"/>
          <w:color w:val="333333"/>
          <w:sz w:val="22"/>
          <w:lang w:val="en-US"/>
        </w:rPr>
        <w:br/>
      </w:r>
      <w:r w:rsidR="00830BF7">
        <w:rPr>
          <w:i/>
          <w:sz w:val="22"/>
          <w:szCs w:val="24"/>
        </w:rPr>
        <w:t>FIRB</w:t>
      </w:r>
      <w:r w:rsidR="00830BF7" w:rsidRPr="00FD3B20">
        <w:rPr>
          <w:i/>
          <w:sz w:val="22"/>
          <w:szCs w:val="24"/>
        </w:rPr>
        <w:t xml:space="preserve"> </w:t>
      </w:r>
      <w:r w:rsidR="00925835" w:rsidRPr="00FD3B20">
        <w:rPr>
          <w:i/>
          <w:sz w:val="22"/>
          <w:szCs w:val="24"/>
        </w:rPr>
        <w:t>member since 3 December 2015</w:t>
      </w:r>
    </w:p>
    <w:p w14:paraId="11D7FC8A" w14:textId="31A735B3" w:rsidR="005D4B10" w:rsidRPr="00D75AC1" w:rsidRDefault="00925835" w:rsidP="00D75AC1">
      <w:pPr>
        <w:pStyle w:val="Normal-Bio"/>
        <w:spacing w:after="480"/>
      </w:pPr>
      <w:r w:rsidRPr="00FD3B20">
        <w:t>Mr Irvine has significant national security expertise as a former Director</w:t>
      </w:r>
      <w:r>
        <w:noBreakHyphen/>
      </w:r>
      <w:r w:rsidRPr="00FD3B20">
        <w:t>General of both the Australian Security Intelligence Organisation and the Australian Secret Intelligence Service. He is also a former Australian Ambassador to China and former Australian High Commissioner to Papua New Guinea. He is currently a</w:t>
      </w:r>
      <w:r>
        <w:t>n Adjunct Professor in the Australian Graduate School of Policy and Security at Charles Stuart University and a member of the National Archives of Australia Advisory Council.</w:t>
      </w:r>
    </w:p>
    <w:p w14:paraId="746ABE30" w14:textId="71439D62" w:rsidR="005D4B10" w:rsidRDefault="000936C4" w:rsidP="00851CDC">
      <w:pPr>
        <w:pStyle w:val="Normal-Bio"/>
        <w:spacing w:after="120"/>
        <w:jc w:val="left"/>
        <w:rPr>
          <w:i/>
        </w:rPr>
      </w:pPr>
      <w:r w:rsidRPr="00851CDC">
        <w:rPr>
          <w:b/>
          <w:sz w:val="22"/>
          <w:szCs w:val="24"/>
        </w:rPr>
        <w:drawing>
          <wp:anchor distT="0" distB="0" distL="114300" distR="114300" simplePos="0" relativeHeight="251658242" behindDoc="0" locked="0" layoutInCell="1" allowOverlap="1" wp14:anchorId="5ED3B9CF" wp14:editId="54DD24A3">
            <wp:simplePos x="0" y="0"/>
            <wp:positionH relativeFrom="margin">
              <wp:align>right</wp:align>
            </wp:positionH>
            <wp:positionV relativeFrom="line">
              <wp:align>top</wp:align>
            </wp:positionV>
            <wp:extent cx="871200" cy="1090800"/>
            <wp:effectExtent l="0" t="0" r="5715" b="0"/>
            <wp:wrapSquare wrapText="bothSides"/>
            <wp:docPr id="20" name="Picture 20" descr="\\tweb\DavWWWRoot\sites\mg\sbccpd\activity\secretariat\firb\04 23 June 2016\Photos\Patrick_Secker-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tweb\DavWWWRoot\sites\mg\sbccpd\activity\secretariat\firb\04 23 June 2016\Photos\Patrick_Secker-003.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871200" cy="1090800"/>
                    </a:xfrm>
                    <a:prstGeom prst="rect">
                      <a:avLst/>
                    </a:prstGeom>
                    <a:noFill/>
                    <a:ln>
                      <a:noFill/>
                    </a:ln>
                  </pic:spPr>
                </pic:pic>
              </a:graphicData>
            </a:graphic>
            <wp14:sizeRelH relativeFrom="page">
              <wp14:pctWidth>0</wp14:pctWidth>
            </wp14:sizeRelH>
            <wp14:sizeRelV relativeFrom="page">
              <wp14:pctHeight>0</wp14:pctHeight>
            </wp14:sizeRelV>
          </wp:anchor>
        </w:drawing>
      </w:r>
      <w:r w:rsidR="00BA6F9E" w:rsidRPr="00851CDC">
        <w:rPr>
          <w:b/>
          <w:sz w:val="22"/>
          <w:szCs w:val="24"/>
        </w:rPr>
        <w:t>Mr Patrick Secker</w:t>
      </w:r>
    </w:p>
    <w:p w14:paraId="224D8248" w14:textId="69B34353" w:rsidR="00BA6F9E" w:rsidRPr="00FD3B20" w:rsidRDefault="00830BF7" w:rsidP="00783A69">
      <w:pPr>
        <w:spacing w:after="200" w:line="276" w:lineRule="auto"/>
        <w:contextualSpacing/>
        <w:jc w:val="left"/>
        <w:rPr>
          <w:i/>
          <w:sz w:val="22"/>
          <w:szCs w:val="22"/>
        </w:rPr>
      </w:pPr>
      <w:r>
        <w:rPr>
          <w:i/>
          <w:sz w:val="22"/>
          <w:szCs w:val="22"/>
        </w:rPr>
        <w:t>FIRB</w:t>
      </w:r>
      <w:r w:rsidRPr="00FD3B20">
        <w:rPr>
          <w:i/>
          <w:sz w:val="22"/>
          <w:szCs w:val="22"/>
        </w:rPr>
        <w:t xml:space="preserve"> </w:t>
      </w:r>
      <w:r w:rsidR="00BA6F9E" w:rsidRPr="00FD3B20">
        <w:rPr>
          <w:i/>
          <w:sz w:val="22"/>
          <w:szCs w:val="22"/>
        </w:rPr>
        <w:t>member since 17 December 2013</w:t>
      </w:r>
    </w:p>
    <w:p w14:paraId="4EF32000" w14:textId="01A5C532" w:rsidR="005D4B10" w:rsidRPr="00D75AC1" w:rsidRDefault="00BA6F9E" w:rsidP="00D75AC1">
      <w:pPr>
        <w:pStyle w:val="Normal-Bio"/>
        <w:tabs>
          <w:tab w:val="left" w:pos="1418"/>
        </w:tabs>
        <w:spacing w:after="480"/>
      </w:pPr>
      <w:r w:rsidRPr="00FD3B20">
        <w:t xml:space="preserve">Mr Secker brings extensive agricultural sector experience to </w:t>
      </w:r>
      <w:r w:rsidR="004E7A2D">
        <w:t xml:space="preserve">the </w:t>
      </w:r>
      <w:r w:rsidR="00830BF7">
        <w:t>FIRB</w:t>
      </w:r>
      <w:r w:rsidRPr="00FD3B20">
        <w:t xml:space="preserve">. He was a primary producer, agricultural retailer and company director before entering politics as the member for the rural South Australian electorate of Barker. Mr Secker has a degree in economics and has participated in a number of parliamentary agricultural committees over many years. His parliamentary career included serving as Opposition Whip and Deputy Speaker of the House of Representatives. Mr Secker has also served as an elected member in local government for 11 years including deputy mayor, chairman of various committees including planning, library, development plan and works. He also chaired the Southern and Hills </w:t>
      </w:r>
      <w:r w:rsidR="00F62263">
        <w:t xml:space="preserve">Local </w:t>
      </w:r>
      <w:r w:rsidRPr="00FD3B20">
        <w:t>G</w:t>
      </w:r>
      <w:r w:rsidR="00F62263">
        <w:t xml:space="preserve">overnment </w:t>
      </w:r>
      <w:r w:rsidRPr="00FD3B20">
        <w:t>A</w:t>
      </w:r>
      <w:r w:rsidR="00F62263">
        <w:t>rea</w:t>
      </w:r>
      <w:r w:rsidRPr="00FD3B20">
        <w:t xml:space="preserve"> and co</w:t>
      </w:r>
      <w:r w:rsidR="008205A1">
        <w:noBreakHyphen/>
      </w:r>
      <w:r w:rsidRPr="00FD3B20">
        <w:t>chaired the South Australian Government M</w:t>
      </w:r>
      <w:r w:rsidR="00965145" w:rsidRPr="00FD3B20">
        <w:t>t Lofty Ranges Strategy Review.</w:t>
      </w:r>
    </w:p>
    <w:p w14:paraId="245AED56" w14:textId="55342EDE" w:rsidR="00F84E1E" w:rsidRPr="00FD3B20" w:rsidRDefault="009A15C8" w:rsidP="00851CDC">
      <w:pPr>
        <w:pStyle w:val="Normal-Bio"/>
        <w:spacing w:after="120"/>
        <w:jc w:val="left"/>
      </w:pPr>
      <w:r w:rsidRPr="00851CDC">
        <w:rPr>
          <w:b/>
          <w:sz w:val="22"/>
          <w:szCs w:val="24"/>
        </w:rPr>
        <w:drawing>
          <wp:anchor distT="0" distB="0" distL="114300" distR="114300" simplePos="0" relativeHeight="251658240" behindDoc="0" locked="0" layoutInCell="1" allowOverlap="1" wp14:anchorId="21F86D33" wp14:editId="16802FC9">
            <wp:simplePos x="0" y="0"/>
            <wp:positionH relativeFrom="margin">
              <wp:align>right</wp:align>
            </wp:positionH>
            <wp:positionV relativeFrom="line">
              <wp:align>top</wp:align>
            </wp:positionV>
            <wp:extent cx="878400" cy="1098000"/>
            <wp:effectExtent l="0" t="0" r="0" b="6985"/>
            <wp:wrapSquare wrapText="bothSides"/>
            <wp:docPr id="16" name="Picture 16" descr="\\tweb\DavWWWRoot\sites\mg\sbccpd\activity\secretariat\firb\04 23 June 2016\Photos\Alice_Williams-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tweb\DavWWWRoot\sites\mg\sbccpd\activity\secretariat\firb\04 23 June 2016\Photos\Alice_Williams-001.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402" r="-402"/>
                    <a:stretch/>
                  </pic:blipFill>
                  <pic:spPr bwMode="auto">
                    <a:xfrm>
                      <a:off x="0" y="0"/>
                      <a:ext cx="878400" cy="1098000"/>
                    </a:xfrm>
                    <a:prstGeom prst="rect">
                      <a:avLst/>
                    </a:prstGeom>
                    <a:noFill/>
                    <a:ln>
                      <a:noFill/>
                    </a:ln>
                  </pic:spPr>
                </pic:pic>
              </a:graphicData>
            </a:graphic>
            <wp14:sizeRelH relativeFrom="page">
              <wp14:pctWidth>0</wp14:pctWidth>
            </wp14:sizeRelH>
            <wp14:sizeRelV relativeFrom="page">
              <wp14:pctHeight>0</wp14:pctHeight>
            </wp14:sizeRelV>
          </wp:anchor>
        </w:drawing>
      </w:r>
      <w:r w:rsidR="00F84E1E" w:rsidRPr="00851CDC">
        <w:rPr>
          <w:b/>
          <w:sz w:val="22"/>
          <w:szCs w:val="24"/>
        </w:rPr>
        <w:t>Ms Alice Williams</w:t>
      </w:r>
    </w:p>
    <w:p w14:paraId="0CA8575B" w14:textId="6FBF3295" w:rsidR="005D4B10" w:rsidRPr="00D75AC1" w:rsidRDefault="00830BF7" w:rsidP="00D75AC1">
      <w:pPr>
        <w:pStyle w:val="Normal-Bio"/>
        <w:spacing w:after="200"/>
        <w:jc w:val="left"/>
        <w:rPr>
          <w:i/>
          <w:sz w:val="22"/>
        </w:rPr>
      </w:pPr>
      <w:r>
        <w:rPr>
          <w:i/>
          <w:sz w:val="22"/>
          <w:szCs w:val="24"/>
        </w:rPr>
        <w:t xml:space="preserve">FIRB </w:t>
      </w:r>
      <w:r w:rsidR="00FD3B20">
        <w:rPr>
          <w:i/>
          <w:sz w:val="22"/>
          <w:szCs w:val="24"/>
        </w:rPr>
        <w:t>member since 16 July 2015</w:t>
      </w:r>
    </w:p>
    <w:p w14:paraId="306EF931" w14:textId="126984FF" w:rsidR="00AC528D" w:rsidRDefault="00F84E1E" w:rsidP="00AC528D">
      <w:pPr>
        <w:pStyle w:val="Normal-Bio"/>
        <w:spacing w:after="480"/>
      </w:pPr>
      <w:r w:rsidRPr="00FD3B20">
        <w:t xml:space="preserve">Ms Williams has over 25 years of senior management and Board level experience in </w:t>
      </w:r>
      <w:r w:rsidR="0001246D">
        <w:t xml:space="preserve">the </w:t>
      </w:r>
      <w:r w:rsidRPr="00FD3B20">
        <w:t>corporate and Government sectors. Ms Williams was previou</w:t>
      </w:r>
      <w:r w:rsidR="00965145" w:rsidRPr="00FD3B20">
        <w:t>sly a Director at JP Morgan, NM </w:t>
      </w:r>
      <w:r w:rsidRPr="00FD3B20">
        <w:t>Rothschild and Ansett Australia. She has been a consultant to listed corpora</w:t>
      </w:r>
      <w:r w:rsidR="009A15C8">
        <w:t>tions in Australia</w:t>
      </w:r>
      <w:r w:rsidR="00F62263">
        <w:t>,</w:t>
      </w:r>
      <w:r w:rsidR="009A15C8">
        <w:t xml:space="preserve"> the Gulf </w:t>
      </w:r>
      <w:r w:rsidRPr="00FD3B20">
        <w:t xml:space="preserve">States and </w:t>
      </w:r>
      <w:r w:rsidR="00965145" w:rsidRPr="00FD3B20">
        <w:t>s</w:t>
      </w:r>
      <w:r w:rsidRPr="00FD3B20">
        <w:t xml:space="preserve">tate and </w:t>
      </w:r>
      <w:r w:rsidR="00965145" w:rsidRPr="00FD3B20">
        <w:t>f</w:t>
      </w:r>
      <w:r w:rsidRPr="00FD3B20">
        <w:t>ederal regulatory bodies. She is a former director of the Australian Accounting Standards Board, State Trustees and a Commissioner of the Victorian Competitio</w:t>
      </w:r>
      <w:r w:rsidR="00965145" w:rsidRPr="00FD3B20">
        <w:t>n and Efficiency Commission. Ms </w:t>
      </w:r>
      <w:r w:rsidRPr="00FD3B20">
        <w:t>Williams</w:t>
      </w:r>
      <w:r w:rsidR="008205A1">
        <w:t>’</w:t>
      </w:r>
      <w:r w:rsidRPr="00FD3B20">
        <w:t xml:space="preserve"> current directorships include Coo</w:t>
      </w:r>
      <w:r w:rsidR="00965145" w:rsidRPr="00FD3B20">
        <w:t>per Energy Ltd, Equity Trustees </w:t>
      </w:r>
      <w:r w:rsidRPr="00FD3B20">
        <w:t>Ltd, Djerriwarrh Investments Ltd, Defence Health</w:t>
      </w:r>
      <w:r w:rsidR="00886006">
        <w:t>, Racing Victoria and</w:t>
      </w:r>
      <w:r w:rsidRPr="00FD3B20">
        <w:t xml:space="preserve"> Barristers Chambers Limited.</w:t>
      </w:r>
      <w:r w:rsidR="00AC528D">
        <w:br w:type="page"/>
      </w:r>
    </w:p>
    <w:p w14:paraId="40B1253C" w14:textId="0C18BAFF" w:rsidR="00F40942" w:rsidRPr="00FD3B20" w:rsidRDefault="00F40942" w:rsidP="00851CDC">
      <w:pPr>
        <w:pStyle w:val="Normal-Bio"/>
        <w:spacing w:after="120"/>
        <w:jc w:val="left"/>
      </w:pPr>
      <w:r w:rsidRPr="00851CDC">
        <w:rPr>
          <w:b/>
          <w:sz w:val="22"/>
          <w:szCs w:val="24"/>
        </w:rPr>
        <w:lastRenderedPageBreak/>
        <w:drawing>
          <wp:anchor distT="0" distB="0" distL="114300" distR="114300" simplePos="0" relativeHeight="251658243" behindDoc="0" locked="0" layoutInCell="1" allowOverlap="1" wp14:anchorId="08CF6734" wp14:editId="35C0A9D4">
            <wp:simplePos x="0" y="0"/>
            <wp:positionH relativeFrom="margin">
              <wp:align>right</wp:align>
            </wp:positionH>
            <wp:positionV relativeFrom="line">
              <wp:align>top</wp:align>
            </wp:positionV>
            <wp:extent cx="871200" cy="1306800"/>
            <wp:effectExtent l="0" t="0" r="5715" b="8255"/>
            <wp:wrapSquare wrapText="bothSides"/>
            <wp:docPr id="3" name="Picture 3" descr="Photo of David Pee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hoto of David Peever"/>
                    <pic:cNvPicPr>
                      <a:picLocks noChangeArrowheads="1"/>
                    </pic:cNvPicPr>
                  </pic:nvPicPr>
                  <pic:blipFill>
                    <a:blip r:embed="rId40" r:link="rId41">
                      <a:extLst>
                        <a:ext uri="{28A0092B-C50C-407E-A947-70E740481C1C}">
                          <a14:useLocalDpi xmlns:a14="http://schemas.microsoft.com/office/drawing/2010/main" val="0"/>
                        </a:ext>
                      </a:extLst>
                    </a:blip>
                    <a:srcRect/>
                    <a:stretch>
                      <a:fillRect/>
                    </a:stretch>
                  </pic:blipFill>
                  <pic:spPr bwMode="auto">
                    <a:xfrm>
                      <a:off x="0" y="0"/>
                      <a:ext cx="871200" cy="1306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51CDC">
        <w:rPr>
          <w:b/>
          <w:sz w:val="22"/>
          <w:szCs w:val="24"/>
        </w:rPr>
        <w:t>Mr David Peever</w:t>
      </w:r>
    </w:p>
    <w:p w14:paraId="66EE4915" w14:textId="5A277A76" w:rsidR="00F40942" w:rsidRPr="00FD3B20" w:rsidRDefault="00830BF7" w:rsidP="00AC528D">
      <w:pPr>
        <w:pStyle w:val="Normal-Bio"/>
        <w:spacing w:after="200"/>
        <w:jc w:val="left"/>
        <w:rPr>
          <w:i/>
          <w:sz w:val="22"/>
          <w:szCs w:val="24"/>
        </w:rPr>
      </w:pPr>
      <w:r>
        <w:rPr>
          <w:i/>
          <w:sz w:val="22"/>
          <w:szCs w:val="24"/>
        </w:rPr>
        <w:t>FIRB</w:t>
      </w:r>
      <w:r w:rsidRPr="00FD3B20">
        <w:rPr>
          <w:i/>
          <w:sz w:val="22"/>
          <w:szCs w:val="24"/>
        </w:rPr>
        <w:t xml:space="preserve"> </w:t>
      </w:r>
      <w:r w:rsidR="00F40942" w:rsidRPr="00FD3B20">
        <w:rPr>
          <w:i/>
          <w:sz w:val="22"/>
          <w:szCs w:val="24"/>
        </w:rPr>
        <w:t>member since 1 February 2016</w:t>
      </w:r>
    </w:p>
    <w:p w14:paraId="5E76A61C" w14:textId="53A9717E" w:rsidR="00F40942" w:rsidRPr="00AA2F12" w:rsidRDefault="00F40942" w:rsidP="00AA2F12">
      <w:pPr>
        <w:pStyle w:val="Normal-Bio"/>
      </w:pPr>
      <w:r w:rsidRPr="00AA2F12">
        <w:t>Mr Peever retired as Managing Director of Rio Tinto Australia in October 2014 after 27 years with Rio Tinto. Mr Peever is Chairman of Cricket Australia and a Director of the International Cricket Council, a Non</w:t>
      </w:r>
      <w:r w:rsidR="008205A1" w:rsidRPr="00AA2F12">
        <w:noBreakHyphen/>
      </w:r>
      <w:r w:rsidRPr="00AA2F12">
        <w:t>Executive Director of the Australian Foundation Investment Company and the Melbourne Business School. He is a member of the Prime Minister</w:t>
      </w:r>
      <w:r w:rsidR="008205A1" w:rsidRPr="00AA2F12">
        <w:t>’</w:t>
      </w:r>
      <w:r w:rsidRPr="00AA2F12">
        <w:t>s Indigenous Advisory Council and the Chief of Defence</w:t>
      </w:r>
      <w:r w:rsidR="008205A1" w:rsidRPr="00AA2F12">
        <w:t>’</w:t>
      </w:r>
      <w:r w:rsidRPr="00AA2F12">
        <w:t>s Gender Equality Advisory Board. He chaired the Minister of Defence</w:t>
      </w:r>
      <w:r w:rsidR="008205A1" w:rsidRPr="00AA2F12">
        <w:t>’</w:t>
      </w:r>
      <w:r w:rsidRPr="00AA2F12">
        <w:t>s First Principles Review of Defence and following the acceptance of the Review by Government, now chairs the Oversight Board which helps guide implementation of the Review</w:t>
      </w:r>
      <w:r w:rsidR="008205A1" w:rsidRPr="00AA2F12">
        <w:t>’</w:t>
      </w:r>
      <w:r w:rsidRPr="00AA2F12">
        <w:t>s recommendations. Mr Peever is also a non</w:t>
      </w:r>
      <w:r w:rsidR="008205A1" w:rsidRPr="00AA2F12">
        <w:noBreakHyphen/>
      </w:r>
      <w:r w:rsidRPr="00AA2F12">
        <w:t>executive director of the Stars Foundation.</w:t>
      </w:r>
    </w:p>
    <w:p w14:paraId="695A1F04" w14:textId="43EEDB7E" w:rsidR="00925835" w:rsidRDefault="0086419E" w:rsidP="00851CDC">
      <w:pPr>
        <w:pStyle w:val="Normal-Bio"/>
        <w:spacing w:after="120"/>
        <w:jc w:val="left"/>
      </w:pPr>
      <w:r w:rsidRPr="00851CDC">
        <w:rPr>
          <w:b/>
          <w:sz w:val="22"/>
          <w:szCs w:val="24"/>
        </w:rPr>
        <w:drawing>
          <wp:anchor distT="0" distB="0" distL="114300" distR="114300" simplePos="0" relativeHeight="251658246" behindDoc="0" locked="0" layoutInCell="1" allowOverlap="1" wp14:anchorId="510CB7AD" wp14:editId="49BE9C7C">
            <wp:simplePos x="0" y="0"/>
            <wp:positionH relativeFrom="margin">
              <wp:align>right</wp:align>
            </wp:positionH>
            <wp:positionV relativeFrom="line">
              <wp:align>top</wp:align>
            </wp:positionV>
            <wp:extent cx="871200" cy="1306800"/>
            <wp:effectExtent l="0" t="0" r="5715" b="8255"/>
            <wp:wrapSquare wrapText="bothSides"/>
            <wp:docPr id="11" name="Picture 11" descr="\\tweb\DavWWWRoot\sites\mg\fitpd\Lfirbannualrport\2016-17\Report design\Cheryl Edwardes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web\DavWWWRoot\sites\mg\fitpd\Lfirbannualrport\2016-17\Report design\Cheryl Edwardes photo.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871200" cy="1306800"/>
                    </a:xfrm>
                    <a:prstGeom prst="rect">
                      <a:avLst/>
                    </a:prstGeom>
                    <a:noFill/>
                    <a:ln>
                      <a:noFill/>
                    </a:ln>
                  </pic:spPr>
                </pic:pic>
              </a:graphicData>
            </a:graphic>
            <wp14:sizeRelH relativeFrom="page">
              <wp14:pctWidth>0</wp14:pctWidth>
            </wp14:sizeRelH>
            <wp14:sizeRelV relativeFrom="page">
              <wp14:pctHeight>0</wp14:pctHeight>
            </wp14:sizeRelV>
          </wp:anchor>
        </w:drawing>
      </w:r>
      <w:r w:rsidR="00C252DD" w:rsidRPr="00851CDC">
        <w:rPr>
          <w:b/>
          <w:sz w:val="22"/>
          <w:szCs w:val="24"/>
        </w:rPr>
        <w:t xml:space="preserve">The Hon </w:t>
      </w:r>
      <w:r w:rsidR="00925835" w:rsidRPr="00851CDC">
        <w:rPr>
          <w:b/>
          <w:sz w:val="22"/>
          <w:szCs w:val="24"/>
        </w:rPr>
        <w:t>Cheryl Edwardes</w:t>
      </w:r>
      <w:r w:rsidR="00360853" w:rsidRPr="00851CDC">
        <w:rPr>
          <w:b/>
          <w:sz w:val="22"/>
          <w:szCs w:val="24"/>
        </w:rPr>
        <w:t xml:space="preserve"> AM</w:t>
      </w:r>
    </w:p>
    <w:p w14:paraId="5CDD756A" w14:textId="19BACCF5" w:rsidR="00532C58" w:rsidRPr="00AC528D" w:rsidRDefault="004E7A2D" w:rsidP="00AC528D">
      <w:pPr>
        <w:pStyle w:val="Normal-Bio"/>
        <w:spacing w:after="200"/>
        <w:jc w:val="left"/>
        <w:rPr>
          <w:i/>
          <w:sz w:val="22"/>
        </w:rPr>
      </w:pPr>
      <w:r>
        <w:rPr>
          <w:i/>
          <w:sz w:val="22"/>
          <w:szCs w:val="24"/>
        </w:rPr>
        <w:t>FIRB</w:t>
      </w:r>
      <w:r w:rsidRPr="0086419E">
        <w:rPr>
          <w:i/>
          <w:sz w:val="22"/>
          <w:szCs w:val="24"/>
        </w:rPr>
        <w:t xml:space="preserve"> </w:t>
      </w:r>
      <w:r w:rsidR="0086419E" w:rsidRPr="0086419E">
        <w:rPr>
          <w:i/>
          <w:sz w:val="22"/>
          <w:szCs w:val="24"/>
        </w:rPr>
        <w:t>member since 14 August 2017</w:t>
      </w:r>
    </w:p>
    <w:p w14:paraId="69B50EBB" w14:textId="0613EBFE" w:rsidR="00B4483F" w:rsidRPr="0086419E" w:rsidRDefault="0086419E" w:rsidP="00AC528D">
      <w:pPr>
        <w:pStyle w:val="Normal-Bio"/>
        <w:spacing w:after="480"/>
      </w:pPr>
      <w:r w:rsidRPr="0086419E">
        <w:t xml:space="preserve">Mrs Edwardes brings extensive legal and regulatory experience to </w:t>
      </w:r>
      <w:r w:rsidR="00830BF7">
        <w:t>the FIRB</w:t>
      </w:r>
      <w:r w:rsidRPr="0086419E">
        <w:t>. Mrs Edwardes, a solicitor by profession, is a former Minister in the Court Government and was the member for Kingsley for 17 years. In 1993, she became the first woman to be appointed Attorney General in Western Australia. She is also a Company Director on a number of ASX Boards, private companies and not-for-profit associations, including Director on the Board of Atlas Iron and a Commissioner on the WA Football Commission. Mrs Edwardes was awarded an Order of Australia in the Queen’s Birthday Honours 2016 for significant service to the people and Parliament of Western Australia.</w:t>
      </w:r>
    </w:p>
    <w:p w14:paraId="48D5EAF1" w14:textId="08F4890F" w:rsidR="00557EEA" w:rsidRPr="00E46626" w:rsidRDefault="000E6F43" w:rsidP="00851CDC">
      <w:pPr>
        <w:pStyle w:val="Normal-Bio"/>
        <w:spacing w:after="120"/>
        <w:jc w:val="left"/>
      </w:pPr>
      <w:r w:rsidRPr="00851CDC">
        <w:rPr>
          <w:b/>
          <w:sz w:val="22"/>
          <w:szCs w:val="24"/>
        </w:rPr>
        <w:drawing>
          <wp:anchor distT="0" distB="0" distL="114300" distR="114300" simplePos="0" relativeHeight="251658248" behindDoc="0" locked="0" layoutInCell="1" allowOverlap="1" wp14:anchorId="3A4390C7" wp14:editId="2B560FD8">
            <wp:simplePos x="0" y="0"/>
            <wp:positionH relativeFrom="margin">
              <wp:align>right</wp:align>
            </wp:positionH>
            <wp:positionV relativeFrom="line">
              <wp:align>top</wp:align>
            </wp:positionV>
            <wp:extent cx="871200" cy="1306800"/>
            <wp:effectExtent l="0" t="0" r="5715" b="8255"/>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eresa Dyson"/>
                    <pic:cNvPicPr>
                      <a:picLocks noChangeAspect="1" noChangeArrowheads="1"/>
                    </pic:cNvPicPr>
                  </pic:nvPicPr>
                  <pic:blipFill>
                    <a:blip r:embed="rId43">
                      <a:extLst>
                        <a:ext uri="{28A0092B-C50C-407E-A947-70E740481C1C}">
                          <a14:useLocalDpi xmlns:a14="http://schemas.microsoft.com/office/drawing/2010/main" val="0"/>
                        </a:ext>
                      </a:extLst>
                    </a:blip>
                    <a:stretch>
                      <a:fillRect/>
                    </a:stretch>
                  </pic:blipFill>
                  <pic:spPr bwMode="auto">
                    <a:xfrm>
                      <a:off x="0" y="0"/>
                      <a:ext cx="871200" cy="1306800"/>
                    </a:xfrm>
                    <a:prstGeom prst="rect">
                      <a:avLst/>
                    </a:prstGeom>
                    <a:noFill/>
                    <a:ln>
                      <a:noFill/>
                    </a:ln>
                  </pic:spPr>
                </pic:pic>
              </a:graphicData>
            </a:graphic>
            <wp14:sizeRelH relativeFrom="page">
              <wp14:pctWidth>0</wp14:pctWidth>
            </wp14:sizeRelH>
            <wp14:sizeRelV relativeFrom="page">
              <wp14:pctHeight>0</wp14:pctHeight>
            </wp14:sizeRelV>
          </wp:anchor>
        </w:drawing>
      </w:r>
      <w:r w:rsidR="00F129A9" w:rsidRPr="00851CDC">
        <w:rPr>
          <w:b/>
          <w:sz w:val="22"/>
          <w:szCs w:val="24"/>
        </w:rPr>
        <w:t xml:space="preserve">Ms </w:t>
      </w:r>
      <w:r w:rsidR="00557EEA" w:rsidRPr="00851CDC">
        <w:rPr>
          <w:b/>
          <w:sz w:val="22"/>
          <w:szCs w:val="24"/>
        </w:rPr>
        <w:t>Teresa Dyson</w:t>
      </w:r>
    </w:p>
    <w:p w14:paraId="1DB88695" w14:textId="552509C4" w:rsidR="00C12065" w:rsidRPr="00AC528D" w:rsidRDefault="004E7A2D" w:rsidP="00AC528D">
      <w:pPr>
        <w:pStyle w:val="Normal-Bio"/>
        <w:spacing w:after="200"/>
        <w:rPr>
          <w:i/>
          <w:sz w:val="22"/>
        </w:rPr>
      </w:pPr>
      <w:r>
        <w:rPr>
          <w:i/>
          <w:sz w:val="22"/>
          <w:szCs w:val="22"/>
        </w:rPr>
        <w:t>FIRB</w:t>
      </w:r>
      <w:r w:rsidRPr="00E46626">
        <w:rPr>
          <w:i/>
          <w:sz w:val="22"/>
          <w:szCs w:val="22"/>
        </w:rPr>
        <w:t xml:space="preserve"> </w:t>
      </w:r>
      <w:r w:rsidR="00557EEA" w:rsidRPr="00E46626">
        <w:rPr>
          <w:i/>
          <w:sz w:val="22"/>
          <w:szCs w:val="22"/>
        </w:rPr>
        <w:t>member since 2 January 2018</w:t>
      </w:r>
    </w:p>
    <w:p w14:paraId="45B149C7" w14:textId="43996AB9" w:rsidR="00557EEA" w:rsidRPr="00AA2F12" w:rsidRDefault="00D53348" w:rsidP="00AA2F12">
      <w:pPr>
        <w:pStyle w:val="Normal-Bio"/>
      </w:pPr>
      <w:r w:rsidRPr="00AA2F12">
        <w:t>Ms Dyson is a senior tax adviser with over 25 years’ experience, including as a partner at Ashurst and Deloitte, advising on infrastructure, financing, corporate tax issues, mergers and acquisitions activities, the not-for-profit sector, and tax controversy. She brings corporate and governance experience from a range of sectors. Ms Dyson currently sits on a number of ASX, government and non-for-profit boards including Seven West Media Ltd, Genex Power Ltd, Energy Qld Ltd, Energy Super, Power &amp; Water Corporation, UN Women National Committee Australia and Opera QLD. Ms Dyson is a member of the Takeovers Panel and is a former member and Chair of the Board of Taxation. She has a Bachelor of Arts, Bachelor of Laws (Hons) and a Master of Taxation (all from the University of Queensland) and a Master of Applied Finance from Macquarie University.</w:t>
      </w:r>
    </w:p>
    <w:p w14:paraId="1938AF69" w14:textId="77777777" w:rsidR="005D4B10" w:rsidRDefault="005D4B10">
      <w:pPr>
        <w:spacing w:after="200" w:line="276" w:lineRule="auto"/>
        <w:jc w:val="left"/>
        <w:rPr>
          <w:b/>
          <w:noProof/>
          <w:sz w:val="22"/>
          <w:szCs w:val="24"/>
        </w:rPr>
      </w:pPr>
      <w:r>
        <w:rPr>
          <w:b/>
          <w:sz w:val="22"/>
          <w:szCs w:val="24"/>
        </w:rPr>
        <w:br w:type="page"/>
      </w:r>
    </w:p>
    <w:p w14:paraId="3E9F4A0F" w14:textId="23FBEAC8" w:rsidR="0080151A" w:rsidRPr="00FD3B20" w:rsidRDefault="00685B13" w:rsidP="000E6F43">
      <w:pPr>
        <w:pStyle w:val="Normal-Bio"/>
        <w:spacing w:after="120"/>
        <w:jc w:val="left"/>
        <w:rPr>
          <w:b/>
          <w:sz w:val="22"/>
          <w:szCs w:val="24"/>
        </w:rPr>
      </w:pPr>
      <w:r>
        <w:rPr>
          <w:sz w:val="24"/>
        </w:rPr>
        <w:lastRenderedPageBreak/>
        <w:drawing>
          <wp:anchor distT="0" distB="0" distL="114300" distR="114300" simplePos="0" relativeHeight="251658247" behindDoc="0" locked="0" layoutInCell="1" allowOverlap="1" wp14:anchorId="70937097" wp14:editId="362D396D">
            <wp:simplePos x="0" y="0"/>
            <wp:positionH relativeFrom="margin">
              <wp:align>right</wp:align>
            </wp:positionH>
            <wp:positionV relativeFrom="line">
              <wp:align>top</wp:align>
            </wp:positionV>
            <wp:extent cx="871200" cy="1090800"/>
            <wp:effectExtent l="0" t="0" r="5715" b="0"/>
            <wp:wrapSquare wrapText="bothSides"/>
            <wp:docPr id="12" name="Picture 12" descr="\\tweb\DavWWWRoot\sites\mg\fitpd\Lfirbannualrport\2016-17\Report design\Portraits_Roger_Bra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web\DavWWWRoot\sites\mg\fitpd\Lfirbannualrport\2016-17\Report design\Portraits_Roger_Brake.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871200" cy="1090800"/>
                    </a:xfrm>
                    <a:prstGeom prst="rect">
                      <a:avLst/>
                    </a:prstGeom>
                    <a:noFill/>
                    <a:ln>
                      <a:noFill/>
                    </a:ln>
                  </pic:spPr>
                </pic:pic>
              </a:graphicData>
            </a:graphic>
            <wp14:sizeRelH relativeFrom="page">
              <wp14:pctWidth>0</wp14:pctWidth>
            </wp14:sizeRelH>
            <wp14:sizeRelV relativeFrom="page">
              <wp14:pctHeight>0</wp14:pctHeight>
            </wp14:sizeRelV>
          </wp:anchor>
        </w:drawing>
      </w:r>
      <w:r w:rsidR="008B6006" w:rsidRPr="00FD3B20">
        <w:rPr>
          <w:b/>
          <w:sz w:val="22"/>
          <w:szCs w:val="24"/>
        </w:rPr>
        <w:t xml:space="preserve">Mr </w:t>
      </w:r>
      <w:r w:rsidR="00925835">
        <w:rPr>
          <w:b/>
          <w:sz w:val="22"/>
          <w:szCs w:val="24"/>
        </w:rPr>
        <w:t>Roger Brake</w:t>
      </w:r>
    </w:p>
    <w:p w14:paraId="22FCB286" w14:textId="7F7127C6" w:rsidR="00532C58" w:rsidRPr="00AC528D" w:rsidRDefault="00D17C6B" w:rsidP="00AC528D">
      <w:pPr>
        <w:pStyle w:val="Normal-Bio"/>
        <w:spacing w:after="200"/>
        <w:jc w:val="left"/>
        <w:rPr>
          <w:i/>
          <w:sz w:val="22"/>
        </w:rPr>
      </w:pPr>
      <w:r w:rsidRPr="00FD3B20">
        <w:rPr>
          <w:i/>
          <w:sz w:val="22"/>
          <w:szCs w:val="24"/>
        </w:rPr>
        <w:t xml:space="preserve">Executive Member of </w:t>
      </w:r>
      <w:r w:rsidR="004E7A2D">
        <w:rPr>
          <w:i/>
          <w:sz w:val="22"/>
          <w:szCs w:val="24"/>
        </w:rPr>
        <w:t>the</w:t>
      </w:r>
      <w:r w:rsidR="00E80777">
        <w:rPr>
          <w:i/>
          <w:sz w:val="22"/>
          <w:szCs w:val="24"/>
        </w:rPr>
        <w:t xml:space="preserve"> </w:t>
      </w:r>
      <w:r w:rsidR="00830BF7">
        <w:rPr>
          <w:i/>
          <w:sz w:val="22"/>
          <w:szCs w:val="24"/>
        </w:rPr>
        <w:t>FIRB</w:t>
      </w:r>
      <w:r w:rsidRPr="00FD3B20">
        <w:rPr>
          <w:i/>
          <w:sz w:val="22"/>
          <w:szCs w:val="24"/>
        </w:rPr>
        <w:t xml:space="preserve"> since </w:t>
      </w:r>
      <w:r w:rsidR="00360853">
        <w:rPr>
          <w:i/>
          <w:sz w:val="22"/>
          <w:szCs w:val="24"/>
        </w:rPr>
        <w:t>6 March 2017</w:t>
      </w:r>
    </w:p>
    <w:p w14:paraId="7E069329" w14:textId="2A9BEF7C" w:rsidR="00D17C6B" w:rsidRPr="00FD3B20" w:rsidRDefault="00D17C6B" w:rsidP="00AC528D">
      <w:pPr>
        <w:pStyle w:val="Normal-Bio"/>
        <w:spacing w:after="480"/>
      </w:pPr>
      <w:r w:rsidRPr="00FD3B20">
        <w:t>The position of Executive</w:t>
      </w:r>
      <w:r w:rsidR="00B4483F">
        <w:t xml:space="preserve"> Member is held by the </w:t>
      </w:r>
      <w:r w:rsidRPr="00FD3B20">
        <w:t>Head of Treasury</w:t>
      </w:r>
      <w:r>
        <w:t>’</w:t>
      </w:r>
      <w:r w:rsidRPr="00FD3B20">
        <w:t xml:space="preserve">s Foreign Investment Division. The Executive Member provides the link between </w:t>
      </w:r>
      <w:r w:rsidR="004E7A2D">
        <w:t xml:space="preserve">the </w:t>
      </w:r>
      <w:r w:rsidR="00830BF7">
        <w:t>FIRB</w:t>
      </w:r>
      <w:r w:rsidRPr="00FD3B20">
        <w:t xml:space="preserve"> and the Treasury, which provides secretariat support to </w:t>
      </w:r>
      <w:r w:rsidR="004E7A2D">
        <w:t xml:space="preserve">the </w:t>
      </w:r>
      <w:r w:rsidR="00830BF7">
        <w:t>FIRB</w:t>
      </w:r>
      <w:r w:rsidRPr="00FD3B20">
        <w:t>.</w:t>
      </w:r>
    </w:p>
    <w:p w14:paraId="3D18C913" w14:textId="7BF9C8DB" w:rsidR="00E46626" w:rsidRDefault="004E7A2D" w:rsidP="00AC528D">
      <w:pPr>
        <w:pStyle w:val="Heading3"/>
        <w:spacing w:after="240"/>
      </w:pPr>
      <w:r>
        <w:t xml:space="preserve">FIRB </w:t>
      </w:r>
      <w:r w:rsidR="00E46626">
        <w:t>members</w:t>
      </w:r>
      <w:r w:rsidR="00717951">
        <w:t xml:space="preserve"> during 2016</w:t>
      </w:r>
      <w:r w:rsidR="00CD7E4F">
        <w:t>–</w:t>
      </w:r>
      <w:r w:rsidR="00717951">
        <w:t>17</w:t>
      </w:r>
      <w:r w:rsidR="00E46626">
        <w:t xml:space="preserve"> whose terms </w:t>
      </w:r>
      <w:r w:rsidR="004B388F">
        <w:t>have expired</w:t>
      </w:r>
    </w:p>
    <w:p w14:paraId="7AE6A53B" w14:textId="77777777" w:rsidR="00E46626" w:rsidRPr="00FD3B20" w:rsidRDefault="00E46626" w:rsidP="00E46626">
      <w:pPr>
        <w:pStyle w:val="Normal-Bio"/>
        <w:spacing w:after="0"/>
        <w:jc w:val="left"/>
        <w:rPr>
          <w:b/>
          <w:sz w:val="22"/>
          <w:szCs w:val="22"/>
        </w:rPr>
      </w:pPr>
      <w:r w:rsidRPr="00FD3B20">
        <w:rPr>
          <w:b/>
          <w:sz w:val="22"/>
          <w:szCs w:val="22"/>
        </w:rPr>
        <w:t>Mr Brian Wilson</w:t>
      </w:r>
    </w:p>
    <w:p w14:paraId="7D5DC5A3" w14:textId="77777777" w:rsidR="00E46626" w:rsidRPr="00FD3B20" w:rsidRDefault="00E46626" w:rsidP="00E46626">
      <w:pPr>
        <w:pStyle w:val="Normal-Bio"/>
        <w:spacing w:after="0"/>
        <w:jc w:val="left"/>
        <w:rPr>
          <w:i/>
          <w:sz w:val="22"/>
          <w:szCs w:val="22"/>
        </w:rPr>
      </w:pPr>
      <w:r w:rsidRPr="00FD3B20">
        <w:rPr>
          <w:i/>
          <w:sz w:val="22"/>
          <w:szCs w:val="22"/>
        </w:rPr>
        <w:t xml:space="preserve">Chairman </w:t>
      </w:r>
      <w:r>
        <w:rPr>
          <w:i/>
          <w:sz w:val="22"/>
          <w:szCs w:val="22"/>
        </w:rPr>
        <w:t>from</w:t>
      </w:r>
      <w:r w:rsidRPr="00FD3B20">
        <w:rPr>
          <w:i/>
          <w:sz w:val="22"/>
          <w:szCs w:val="22"/>
        </w:rPr>
        <w:t xml:space="preserve"> 16 April 2012 </w:t>
      </w:r>
      <w:r>
        <w:rPr>
          <w:i/>
          <w:sz w:val="22"/>
          <w:szCs w:val="22"/>
        </w:rPr>
        <w:t>to 15 April 2017</w:t>
      </w:r>
    </w:p>
    <w:p w14:paraId="2736C02D" w14:textId="76126AB2" w:rsidR="00E46626" w:rsidRPr="00AC528D" w:rsidRDefault="00ED03F9" w:rsidP="00AC528D">
      <w:pPr>
        <w:pStyle w:val="Normal-Bio"/>
        <w:spacing w:after="480"/>
        <w:jc w:val="left"/>
        <w:rPr>
          <w:i/>
          <w:sz w:val="22"/>
        </w:rPr>
      </w:pPr>
      <w:r w:rsidRPr="00ED03F9">
        <w:rPr>
          <w:i/>
          <w:szCs w:val="24"/>
        </w:rPr>
        <w:t>FIRB</w:t>
      </w:r>
      <w:r w:rsidRPr="00FD3B20">
        <w:rPr>
          <w:i/>
          <w:sz w:val="22"/>
          <w:szCs w:val="22"/>
        </w:rPr>
        <w:t xml:space="preserve"> </w:t>
      </w:r>
      <w:r w:rsidR="00E46626" w:rsidRPr="00FD3B20">
        <w:rPr>
          <w:i/>
          <w:sz w:val="22"/>
          <w:szCs w:val="22"/>
        </w:rPr>
        <w:t xml:space="preserve">member </w:t>
      </w:r>
      <w:r w:rsidR="00E46626">
        <w:rPr>
          <w:i/>
          <w:sz w:val="22"/>
          <w:szCs w:val="22"/>
        </w:rPr>
        <w:t>from</w:t>
      </w:r>
      <w:r w:rsidR="00E46626" w:rsidRPr="00FD3B20">
        <w:rPr>
          <w:i/>
          <w:sz w:val="22"/>
          <w:szCs w:val="22"/>
        </w:rPr>
        <w:t xml:space="preserve"> 10 December 2009</w:t>
      </w:r>
      <w:r w:rsidR="00E46626">
        <w:rPr>
          <w:i/>
          <w:sz w:val="22"/>
          <w:szCs w:val="22"/>
        </w:rPr>
        <w:t xml:space="preserve"> to 15 April 2017</w:t>
      </w:r>
    </w:p>
    <w:p w14:paraId="7A77406E" w14:textId="77777777" w:rsidR="00E46626" w:rsidRPr="00FD3B20" w:rsidRDefault="00E46626" w:rsidP="00E46626">
      <w:pPr>
        <w:pStyle w:val="Normal-Bio"/>
        <w:spacing w:after="0"/>
        <w:jc w:val="left"/>
        <w:rPr>
          <w:b/>
          <w:sz w:val="22"/>
          <w:szCs w:val="24"/>
        </w:rPr>
      </w:pPr>
      <w:r w:rsidRPr="00FD3B20">
        <w:rPr>
          <w:b/>
          <w:sz w:val="22"/>
          <w:szCs w:val="24"/>
        </w:rPr>
        <w:t>Mr Michael D</w:t>
      </w:r>
      <w:r>
        <w:rPr>
          <w:b/>
          <w:sz w:val="22"/>
          <w:szCs w:val="24"/>
        </w:rPr>
        <w:t>’</w:t>
      </w:r>
      <w:r w:rsidRPr="00FD3B20">
        <w:rPr>
          <w:b/>
          <w:sz w:val="22"/>
          <w:szCs w:val="24"/>
        </w:rPr>
        <w:t>Ascenzo AO</w:t>
      </w:r>
    </w:p>
    <w:p w14:paraId="175A1764" w14:textId="5E150196" w:rsidR="00FD3B20" w:rsidRPr="00AC528D" w:rsidRDefault="00ED03F9" w:rsidP="00AC528D">
      <w:pPr>
        <w:pStyle w:val="Normal-Bio"/>
        <w:spacing w:after="480"/>
        <w:jc w:val="left"/>
        <w:rPr>
          <w:i/>
          <w:sz w:val="22"/>
        </w:rPr>
      </w:pPr>
      <w:r w:rsidRPr="00ED03F9">
        <w:rPr>
          <w:i/>
          <w:szCs w:val="24"/>
        </w:rPr>
        <w:t>FIRB</w:t>
      </w:r>
      <w:r w:rsidRPr="00FD3B20">
        <w:rPr>
          <w:i/>
          <w:sz w:val="22"/>
          <w:szCs w:val="24"/>
        </w:rPr>
        <w:t xml:space="preserve"> </w:t>
      </w:r>
      <w:r w:rsidR="00E46626" w:rsidRPr="00FD3B20">
        <w:rPr>
          <w:i/>
          <w:sz w:val="22"/>
          <w:szCs w:val="24"/>
        </w:rPr>
        <w:t xml:space="preserve">member </w:t>
      </w:r>
      <w:r w:rsidR="00E46626">
        <w:rPr>
          <w:i/>
          <w:sz w:val="22"/>
          <w:szCs w:val="24"/>
        </w:rPr>
        <w:t>from</w:t>
      </w:r>
      <w:r w:rsidR="00E46626" w:rsidRPr="00FD3B20">
        <w:rPr>
          <w:i/>
          <w:sz w:val="22"/>
          <w:szCs w:val="24"/>
        </w:rPr>
        <w:t xml:space="preserve"> 2 January 2013</w:t>
      </w:r>
      <w:r w:rsidR="00E46626">
        <w:rPr>
          <w:i/>
          <w:sz w:val="22"/>
          <w:szCs w:val="24"/>
        </w:rPr>
        <w:t xml:space="preserve"> to 1 Jan</w:t>
      </w:r>
      <w:r w:rsidR="00C252DD">
        <w:rPr>
          <w:i/>
          <w:sz w:val="22"/>
          <w:szCs w:val="24"/>
        </w:rPr>
        <w:t>ua</w:t>
      </w:r>
      <w:r w:rsidR="00E46626">
        <w:rPr>
          <w:i/>
          <w:sz w:val="22"/>
          <w:szCs w:val="24"/>
        </w:rPr>
        <w:t>ry 2018</w:t>
      </w:r>
    </w:p>
    <w:p w14:paraId="6A34E819" w14:textId="36C90376" w:rsidR="00E0441A" w:rsidRPr="00743473" w:rsidRDefault="00E0441A" w:rsidP="00E30512">
      <w:pPr>
        <w:pStyle w:val="Heading2noTOC"/>
        <w:rPr>
          <w:color w:val="1F497D" w:themeColor="text2"/>
        </w:rPr>
      </w:pPr>
      <w:r w:rsidRPr="00743473">
        <w:t>T</w:t>
      </w:r>
      <w:r w:rsidR="00D32CFA">
        <w:t>reasury and Australian Taxation Office support for t</w:t>
      </w:r>
      <w:r w:rsidRPr="00743473">
        <w:t>he Foreign Investment Review Board</w:t>
      </w:r>
    </w:p>
    <w:p w14:paraId="7FB7E507" w14:textId="77777777" w:rsidR="00E0441A" w:rsidRDefault="00E0441A" w:rsidP="00E0441A">
      <w:pPr>
        <w:pStyle w:val="CoverTitleMain"/>
        <w:spacing w:before="240" w:after="0"/>
        <w:jc w:val="left"/>
        <w:rPr>
          <w:sz w:val="2"/>
        </w:rPr>
      </w:pPr>
    </w:p>
    <w:p w14:paraId="34B47488" w14:textId="7BAB85BC" w:rsidR="00925835" w:rsidRPr="00FE60E3" w:rsidRDefault="00925835" w:rsidP="00925835">
      <w:pPr>
        <w:rPr>
          <w:szCs w:val="24"/>
        </w:rPr>
      </w:pPr>
      <w:r w:rsidRPr="00FE60E3">
        <w:rPr>
          <w:szCs w:val="24"/>
        </w:rPr>
        <w:t xml:space="preserve">The Foreign Investment Review Board is supported </w:t>
      </w:r>
      <w:r w:rsidR="00F62263">
        <w:rPr>
          <w:szCs w:val="24"/>
        </w:rPr>
        <w:t>in</w:t>
      </w:r>
      <w:r w:rsidR="00D32CFA" w:rsidRPr="00FE60E3">
        <w:rPr>
          <w:szCs w:val="24"/>
        </w:rPr>
        <w:t xml:space="preserve"> its responsibilities </w:t>
      </w:r>
      <w:r w:rsidRPr="00FE60E3">
        <w:rPr>
          <w:szCs w:val="24"/>
        </w:rPr>
        <w:t xml:space="preserve">by </w:t>
      </w:r>
      <w:r w:rsidR="00D32CFA">
        <w:rPr>
          <w:szCs w:val="24"/>
        </w:rPr>
        <w:t>Treasury’s Foreign Investment Division</w:t>
      </w:r>
      <w:r w:rsidRPr="00FE60E3">
        <w:rPr>
          <w:szCs w:val="24"/>
        </w:rPr>
        <w:t xml:space="preserve"> </w:t>
      </w:r>
      <w:r w:rsidR="00D32CFA">
        <w:rPr>
          <w:szCs w:val="24"/>
        </w:rPr>
        <w:t xml:space="preserve">and </w:t>
      </w:r>
      <w:r w:rsidR="00D32CFA" w:rsidRPr="00FE60E3">
        <w:rPr>
          <w:szCs w:val="24"/>
        </w:rPr>
        <w:t xml:space="preserve">the </w:t>
      </w:r>
      <w:r w:rsidR="00D32CFA" w:rsidRPr="001318BC">
        <w:rPr>
          <w:szCs w:val="24"/>
        </w:rPr>
        <w:t>International Programs Division</w:t>
      </w:r>
      <w:r w:rsidR="00D32CFA" w:rsidRPr="00FE60E3">
        <w:rPr>
          <w:szCs w:val="24"/>
        </w:rPr>
        <w:t xml:space="preserve"> of the Australian Taxation Office</w:t>
      </w:r>
      <w:r w:rsidR="00D32CFA">
        <w:rPr>
          <w:szCs w:val="24"/>
        </w:rPr>
        <w:t xml:space="preserve"> (ATO)</w:t>
      </w:r>
      <w:r w:rsidRPr="00FE60E3">
        <w:rPr>
          <w:szCs w:val="24"/>
        </w:rPr>
        <w:t>.</w:t>
      </w:r>
    </w:p>
    <w:p w14:paraId="09E75D73" w14:textId="77777777" w:rsidR="00925835" w:rsidRPr="00C610E1" w:rsidRDefault="00925835" w:rsidP="00925835">
      <w:pPr>
        <w:pStyle w:val="Heading3"/>
        <w:rPr>
          <w:smallCaps/>
        </w:rPr>
      </w:pPr>
      <w:r w:rsidRPr="00115593">
        <w:t>Treasury</w:t>
      </w:r>
    </w:p>
    <w:p w14:paraId="0BF8C8AA" w14:textId="5B1E3B6E" w:rsidR="00925835" w:rsidRPr="00FE60E3" w:rsidRDefault="00925835" w:rsidP="00925835">
      <w:r w:rsidRPr="00FE60E3">
        <w:t>The Foreign Investment Division is responsible for the day</w:t>
      </w:r>
      <w:r>
        <w:noBreakHyphen/>
      </w:r>
      <w:r w:rsidRPr="00FE60E3">
        <w:t>to</w:t>
      </w:r>
      <w:r>
        <w:noBreakHyphen/>
      </w:r>
      <w:r w:rsidRPr="00FE60E3">
        <w:t>day administration of the foreign investment framework in relation to business, agriculture and</w:t>
      </w:r>
      <w:r>
        <w:t xml:space="preserve"> </w:t>
      </w:r>
      <w:r w:rsidR="00F36CD5">
        <w:t xml:space="preserve">sensitive or complex </w:t>
      </w:r>
      <w:r>
        <w:t>commercial land proposals. The </w:t>
      </w:r>
      <w:r w:rsidRPr="00FE60E3">
        <w:t xml:space="preserve">Division also provides advice to the </w:t>
      </w:r>
      <w:r w:rsidR="007F72FF">
        <w:t>FIRB</w:t>
      </w:r>
      <w:r w:rsidRPr="00FE60E3">
        <w:t xml:space="preserve"> and the Government on foreign investment issues</w:t>
      </w:r>
      <w:r>
        <w:t xml:space="preserve"> and policy</w:t>
      </w:r>
      <w:r w:rsidR="00D32CFA">
        <w:t xml:space="preserve"> matters</w:t>
      </w:r>
      <w:r>
        <w:t>.</w:t>
      </w:r>
    </w:p>
    <w:p w14:paraId="6236EAF6" w14:textId="46BB77DE" w:rsidR="00925835" w:rsidRPr="00C610E1" w:rsidRDefault="00925835" w:rsidP="00925835">
      <w:pPr>
        <w:pStyle w:val="Heading3"/>
        <w:rPr>
          <w:smallCaps/>
        </w:rPr>
      </w:pPr>
      <w:r w:rsidRPr="00C610E1">
        <w:t xml:space="preserve">The Australian </w:t>
      </w:r>
      <w:r w:rsidRPr="00115593">
        <w:t>Taxation</w:t>
      </w:r>
      <w:r w:rsidRPr="00C610E1">
        <w:t xml:space="preserve"> Office</w:t>
      </w:r>
    </w:p>
    <w:p w14:paraId="31E17C7B" w14:textId="3DCEEF8A" w:rsidR="00451F3E" w:rsidRDefault="00925835" w:rsidP="00AC528D">
      <w:r>
        <w:t>S</w:t>
      </w:r>
      <w:r w:rsidRPr="00C610E1">
        <w:t>ince 1 December 2015 the ATO has administered all aspects of foreign investment in residential real estate.</w:t>
      </w:r>
      <w:r w:rsidR="00641954">
        <w:t xml:space="preserve"> </w:t>
      </w:r>
      <w:r w:rsidR="00E46626">
        <w:t>From 1 April 2017, non</w:t>
      </w:r>
      <w:r w:rsidR="00641954">
        <w:t xml:space="preserve">-sensitive commercial real estate and commercial reorganisation cases </w:t>
      </w:r>
      <w:r w:rsidR="00E46626">
        <w:t>have been</w:t>
      </w:r>
      <w:r w:rsidR="00641954">
        <w:t xml:space="preserve"> processed by the ATO.</w:t>
      </w:r>
      <w:r w:rsidR="00D32CFA">
        <w:t xml:space="preserve"> T</w:t>
      </w:r>
      <w:r w:rsidRPr="00C610E1">
        <w:t>he ATO also has responsibility for the collection of all foreign investment application fees and for administering the register</w:t>
      </w:r>
      <w:r w:rsidR="00641954">
        <w:t>s</w:t>
      </w:r>
      <w:r w:rsidRPr="00C610E1">
        <w:t xml:space="preserve"> of foreign ownership of agricultural land</w:t>
      </w:r>
      <w:r w:rsidR="00641954">
        <w:t>, water entitlement</w:t>
      </w:r>
      <w:r w:rsidR="00E46626">
        <w:t>s</w:t>
      </w:r>
      <w:r w:rsidR="00641954">
        <w:t xml:space="preserve"> and residential </w:t>
      </w:r>
      <w:r w:rsidR="00AF42D4">
        <w:t>land</w:t>
      </w:r>
      <w:r w:rsidRPr="00C610E1">
        <w:t>.</w:t>
      </w:r>
      <w:r w:rsidR="00451F3E">
        <w:br w:type="page"/>
      </w:r>
    </w:p>
    <w:p w14:paraId="6CB04C6C" w14:textId="79B6EADB" w:rsidR="00E0441A" w:rsidRDefault="00E30512" w:rsidP="00C72611">
      <w:pPr>
        <w:pStyle w:val="Heading2"/>
      </w:pPr>
      <w:bookmarkStart w:id="53" w:name="_Toc512259052"/>
      <w:bookmarkStart w:id="54" w:name="_Toc512523474"/>
      <w:bookmarkStart w:id="55" w:name="_Toc512524843"/>
      <w:bookmarkStart w:id="56" w:name="_Toc513021732"/>
      <w:bookmarkStart w:id="57" w:name="_Toc513122750"/>
      <w:bookmarkStart w:id="58" w:name="_Toc513131320"/>
      <w:bookmarkStart w:id="59" w:name="_Toc513456053"/>
      <w:bookmarkStart w:id="60" w:name="_Toc513457299"/>
      <w:bookmarkStart w:id="61" w:name="_Toc513557377"/>
      <w:bookmarkStart w:id="62" w:name="_Toc513559393"/>
      <w:bookmarkStart w:id="63" w:name="_Toc514924626"/>
      <w:r>
        <w:lastRenderedPageBreak/>
        <w:t>Operational c</w:t>
      </w:r>
      <w:r w:rsidR="00E0441A" w:rsidRPr="00743473">
        <w:t>osts</w:t>
      </w:r>
      <w:r w:rsidR="002C73DC">
        <w:t xml:space="preserve"> in </w:t>
      </w:r>
      <w:r w:rsidR="00925835">
        <w:t>2016</w:t>
      </w:r>
      <w:r w:rsidR="00AC528D">
        <w:t>–</w:t>
      </w:r>
      <w:r w:rsidR="00925835">
        <w:t>17</w:t>
      </w:r>
      <w:bookmarkEnd w:id="53"/>
      <w:bookmarkEnd w:id="54"/>
      <w:bookmarkEnd w:id="55"/>
      <w:bookmarkEnd w:id="56"/>
      <w:bookmarkEnd w:id="57"/>
      <w:bookmarkEnd w:id="58"/>
      <w:bookmarkEnd w:id="59"/>
      <w:bookmarkEnd w:id="60"/>
      <w:bookmarkEnd w:id="61"/>
      <w:bookmarkEnd w:id="62"/>
      <w:bookmarkEnd w:id="63"/>
    </w:p>
    <w:p w14:paraId="6343099F" w14:textId="02B7A29E" w:rsidR="00925835" w:rsidRPr="008E38DF" w:rsidRDefault="00925835" w:rsidP="00925835">
      <w:pPr>
        <w:pStyle w:val="Heading3"/>
        <w:rPr>
          <w:smallCaps/>
        </w:rPr>
      </w:pPr>
      <w:r w:rsidRPr="008E38DF">
        <w:t xml:space="preserve">The </w:t>
      </w:r>
      <w:r w:rsidR="007F72FF">
        <w:t>FIRB</w:t>
      </w:r>
      <w:r w:rsidRPr="008E38DF">
        <w:tab/>
      </w:r>
      <w:r w:rsidRPr="008E38DF">
        <w:tab/>
      </w:r>
      <w:r w:rsidRPr="008E38DF">
        <w:tab/>
      </w:r>
      <w:r w:rsidRPr="008E38DF">
        <w:tab/>
      </w:r>
      <w:r w:rsidRPr="008E38DF">
        <w:tab/>
      </w:r>
      <w:r w:rsidRPr="008E38DF">
        <w:tab/>
      </w:r>
      <w:r w:rsidRPr="008E38DF">
        <w:tab/>
      </w:r>
      <w:r w:rsidR="00917C40">
        <w:tab/>
      </w:r>
      <w:r w:rsidR="008E38DF" w:rsidRPr="008E38DF">
        <w:t>$0.5</w:t>
      </w:r>
      <w:r w:rsidRPr="008E38DF">
        <w:t xml:space="preserve"> million</w:t>
      </w:r>
    </w:p>
    <w:p w14:paraId="7F5469BD" w14:textId="2A9B4D26" w:rsidR="00451F3E" w:rsidRPr="008E38DF" w:rsidRDefault="00925835" w:rsidP="00925835">
      <w:r w:rsidRPr="008E38DF">
        <w:t xml:space="preserve">Remuneration of </w:t>
      </w:r>
      <w:r w:rsidR="007F72FF">
        <w:t>FIRB</w:t>
      </w:r>
      <w:r w:rsidRPr="008E38DF">
        <w:t xml:space="preserve"> members was around 90 per cent of total </w:t>
      </w:r>
      <w:r w:rsidR="007F72FF">
        <w:t>FIRB</w:t>
      </w:r>
      <w:r w:rsidRPr="008E38DF">
        <w:t xml:space="preserve"> expenses, with the remainder expended on travel, car hire and incidentals. </w:t>
      </w:r>
      <w:r w:rsidR="007F72FF">
        <w:t>FIRB</w:t>
      </w:r>
      <w:r w:rsidRPr="008E38DF">
        <w:t xml:space="preserve"> members’ fees are determined by the Remuneration Tribunal.</w:t>
      </w:r>
    </w:p>
    <w:p w14:paraId="12AA333A" w14:textId="5BD48A97" w:rsidR="00925835" w:rsidRPr="00C610E1" w:rsidRDefault="00925835" w:rsidP="00925835">
      <w:pPr>
        <w:pStyle w:val="Heading3"/>
        <w:rPr>
          <w:smallCaps/>
        </w:rPr>
      </w:pPr>
      <w:r w:rsidRPr="008E38DF">
        <w:t>Treasury</w:t>
      </w:r>
      <w:r w:rsidRPr="008E38DF">
        <w:tab/>
      </w:r>
      <w:r w:rsidRPr="008E38DF">
        <w:tab/>
      </w:r>
      <w:r w:rsidRPr="008E38DF">
        <w:tab/>
      </w:r>
      <w:r w:rsidRPr="008E38DF">
        <w:tab/>
      </w:r>
      <w:r w:rsidRPr="008E38DF">
        <w:tab/>
      </w:r>
      <w:r w:rsidRPr="008E38DF">
        <w:tab/>
      </w:r>
      <w:r w:rsidRPr="008E38DF">
        <w:tab/>
      </w:r>
      <w:r w:rsidR="00917C40">
        <w:tab/>
      </w:r>
      <w:r w:rsidR="008E38DF" w:rsidRPr="008E38DF">
        <w:t>$7.7</w:t>
      </w:r>
      <w:r w:rsidRPr="008E38DF">
        <w:t xml:space="preserve"> million</w:t>
      </w:r>
    </w:p>
    <w:p w14:paraId="722F8AAC" w14:textId="3710DFAF" w:rsidR="00451F3E" w:rsidRPr="00C610E1" w:rsidRDefault="00925835" w:rsidP="00925835">
      <w:r w:rsidRPr="00C610E1">
        <w:t xml:space="preserve">These expenses mainly </w:t>
      </w:r>
      <w:r w:rsidR="00F62263">
        <w:t>reflect</w:t>
      </w:r>
      <w:r w:rsidRPr="00C610E1">
        <w:t xml:space="preserve"> employee salary and administrative costs. Over the course of </w:t>
      </w:r>
      <w:r>
        <w:t>2016</w:t>
      </w:r>
      <w:r w:rsidR="00CD7E4F">
        <w:t>–</w:t>
      </w:r>
      <w:r>
        <w:t>17</w:t>
      </w:r>
      <w:r w:rsidRPr="00C610E1">
        <w:t>, the Division employed an average of 4</w:t>
      </w:r>
      <w:r w:rsidR="008E38DF">
        <w:t>8</w:t>
      </w:r>
      <w:r w:rsidRPr="00C610E1">
        <w:t xml:space="preserve"> ful</w:t>
      </w:r>
      <w:r>
        <w:t>l</w:t>
      </w:r>
      <w:r>
        <w:noBreakHyphen/>
      </w:r>
      <w:r w:rsidRPr="00C610E1">
        <w:t>time</w:t>
      </w:r>
      <w:r w:rsidR="008E38DF">
        <w:t xml:space="preserve"> equivalent</w:t>
      </w:r>
      <w:r w:rsidRPr="00C610E1">
        <w:t xml:space="preserve"> Treasury staff and a number of external contractors and consultants including lawyers from the Australian Government Solicitor.</w:t>
      </w:r>
      <w:r w:rsidR="001B377B">
        <w:t xml:space="preserve"> Treasury also </w:t>
      </w:r>
      <w:r w:rsidR="00F62263">
        <w:t>made</w:t>
      </w:r>
      <w:r w:rsidR="00451F3E">
        <w:t xml:space="preserve"> capital expenditure of</w:t>
      </w:r>
      <w:r w:rsidR="001B377B">
        <w:t xml:space="preserve"> </w:t>
      </w:r>
      <w:r w:rsidR="001B377B" w:rsidRPr="00E713EA">
        <w:t>$</w:t>
      </w:r>
      <w:r w:rsidR="00E713EA" w:rsidRPr="00E713EA">
        <w:t>1.875</w:t>
      </w:r>
      <w:r w:rsidR="001B377B" w:rsidRPr="00E713EA">
        <w:t xml:space="preserve"> million</w:t>
      </w:r>
      <w:r w:rsidR="001B377B">
        <w:t xml:space="preserve"> in 2016</w:t>
      </w:r>
      <w:r w:rsidR="00CD7E4F">
        <w:t>–</w:t>
      </w:r>
      <w:r w:rsidR="001B377B">
        <w:t>17 towards improved internal and external IT infrastructure for</w:t>
      </w:r>
      <w:r w:rsidR="001E7A01">
        <w:t xml:space="preserve"> the management of</w:t>
      </w:r>
      <w:r w:rsidR="001B377B">
        <w:t xml:space="preserve"> foreign investment </w:t>
      </w:r>
      <w:r w:rsidR="001E7A01">
        <w:t>applications</w:t>
      </w:r>
      <w:r w:rsidR="00451F3E">
        <w:t xml:space="preserve">. This system is </w:t>
      </w:r>
      <w:r w:rsidR="001B377B">
        <w:t>expected</w:t>
      </w:r>
      <w:r w:rsidR="00451F3E">
        <w:t xml:space="preserve"> to be operational</w:t>
      </w:r>
      <w:r w:rsidR="001B377B">
        <w:t xml:space="preserve"> </w:t>
      </w:r>
      <w:r w:rsidR="00F62263">
        <w:t>from</w:t>
      </w:r>
      <w:r w:rsidR="001B377B">
        <w:t xml:space="preserve"> early 2018</w:t>
      </w:r>
      <w:r w:rsidR="00CD7E4F">
        <w:t>–</w:t>
      </w:r>
      <w:r w:rsidR="001B377B">
        <w:t>19.</w:t>
      </w:r>
    </w:p>
    <w:p w14:paraId="7A02974C" w14:textId="75FCE509" w:rsidR="00925835" w:rsidRPr="00C610E1" w:rsidRDefault="00925835" w:rsidP="00925835">
      <w:pPr>
        <w:pStyle w:val="Heading3"/>
        <w:rPr>
          <w:smallCaps/>
        </w:rPr>
      </w:pPr>
      <w:r w:rsidRPr="00C610E1">
        <w:t xml:space="preserve">The Australian </w:t>
      </w:r>
      <w:r w:rsidRPr="00115593">
        <w:t>Taxation</w:t>
      </w:r>
      <w:r w:rsidRPr="00C610E1">
        <w:t xml:space="preserve"> Office</w:t>
      </w:r>
      <w:r w:rsidRPr="00C610E1">
        <w:tab/>
      </w:r>
      <w:r w:rsidRPr="00C610E1">
        <w:tab/>
      </w:r>
      <w:r w:rsidRPr="00C610E1">
        <w:tab/>
      </w:r>
      <w:r w:rsidRPr="00C610E1">
        <w:tab/>
      </w:r>
      <w:r>
        <w:tab/>
      </w:r>
      <w:r w:rsidR="00917C40">
        <w:tab/>
      </w:r>
      <w:r w:rsidR="008E38DF" w:rsidRPr="008E38DF">
        <w:t>$9.6</w:t>
      </w:r>
      <w:r w:rsidRPr="008E38DF">
        <w:t xml:space="preserve"> million</w:t>
      </w:r>
    </w:p>
    <w:p w14:paraId="0764AFA1" w14:textId="575BCE2B" w:rsidR="001E7A01" w:rsidRDefault="008E38DF" w:rsidP="008E38DF">
      <w:bookmarkStart w:id="64" w:name="OLE_LINK3"/>
      <w:bookmarkStart w:id="65" w:name="OLE_LINK4"/>
      <w:r>
        <w:t>Over the course of 2016</w:t>
      </w:r>
      <w:r w:rsidR="00CD7E4F">
        <w:t>–</w:t>
      </w:r>
      <w:r>
        <w:t xml:space="preserve">17, 57 full-time equivalent staff </w:t>
      </w:r>
      <w:proofErr w:type="gramStart"/>
      <w:r>
        <w:t>were</w:t>
      </w:r>
      <w:proofErr w:type="gramEnd"/>
      <w:r>
        <w:t xml:space="preserve"> employed across the residential real estate application screening process, data matching and compliance activities, litigation, application screening and compliance for non-sensitive commercial land and interna</w:t>
      </w:r>
      <w:r w:rsidR="00D32CFA">
        <w:t>l</w:t>
      </w:r>
      <w:r>
        <w:t xml:space="preserve"> reorganisation applications, tax consultation and the development and maintenance of foreign ownership registers with total expenditure of $6.5 million. A further $3.1 million was allocated for IT operating costs and corporate overheads.</w:t>
      </w:r>
    </w:p>
    <w:p w14:paraId="1BD0DBB1" w14:textId="77777777" w:rsidR="001E7A01" w:rsidRDefault="001E7A01" w:rsidP="008E38DF"/>
    <w:p w14:paraId="1CBC6556" w14:textId="77777777" w:rsidR="00AD0B66" w:rsidRDefault="00AD0B66" w:rsidP="00FE6FC3">
      <w:pPr>
        <w:rPr>
          <w:szCs w:val="24"/>
        </w:rPr>
        <w:sectPr w:rsidR="00AD0B66" w:rsidSect="00B9384A">
          <w:headerReference w:type="default" r:id="rId45"/>
          <w:headerReference w:type="first" r:id="rId46"/>
          <w:footerReference w:type="first" r:id="rId47"/>
          <w:type w:val="continuous"/>
          <w:pgSz w:w="11907" w:h="16840" w:code="9"/>
          <w:pgMar w:top="2466" w:right="2098" w:bottom="2466" w:left="2098" w:header="1899" w:footer="1899" w:gutter="0"/>
          <w:pgNumType w:start="1"/>
          <w:cols w:space="720"/>
          <w:titlePg/>
          <w:docGrid w:linePitch="360"/>
        </w:sectPr>
      </w:pPr>
    </w:p>
    <w:p w14:paraId="46B2218B" w14:textId="1E7540A7" w:rsidR="00691BE0" w:rsidRDefault="00691BE0" w:rsidP="00691BE0">
      <w:pPr>
        <w:pStyle w:val="ChartGraphic"/>
        <w:spacing w:after="360"/>
      </w:pPr>
      <w:r>
        <w:rPr>
          <w:noProof/>
        </w:rPr>
        <w:lastRenderedPageBreak/>
        <w:drawing>
          <wp:inline distT="0" distB="0" distL="0" distR="0" wp14:anchorId="133E1B0A" wp14:editId="2885DAED">
            <wp:extent cx="4895088" cy="3060192"/>
            <wp:effectExtent l="0" t="0" r="1270" b="698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RB part page2.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4895088" cy="3060192"/>
                    </a:xfrm>
                    <a:prstGeom prst="rect">
                      <a:avLst/>
                    </a:prstGeom>
                  </pic:spPr>
                </pic:pic>
              </a:graphicData>
            </a:graphic>
          </wp:inline>
        </w:drawing>
      </w:r>
    </w:p>
    <w:p w14:paraId="0BC717B1" w14:textId="5C9B4309" w:rsidR="00851CDC" w:rsidRDefault="00851CDC" w:rsidP="00851CDC">
      <w:pPr>
        <w:pStyle w:val="Heading1"/>
      </w:pPr>
      <w:bookmarkStart w:id="66" w:name="_Toc514924627"/>
      <w:r>
        <w:t>C</w:t>
      </w:r>
      <w:r w:rsidRPr="00851CDC">
        <w:t>hapter 2: The Foreign Investment Framework</w:t>
      </w:r>
      <w:bookmarkEnd w:id="66"/>
    </w:p>
    <w:p w14:paraId="03E179DC" w14:textId="0295A06C" w:rsidR="00AD0B66" w:rsidRPr="00F77EFA" w:rsidRDefault="00AD0B66" w:rsidP="00AD0B66">
      <w:pPr>
        <w:rPr>
          <w:szCs w:val="24"/>
        </w:rPr>
      </w:pPr>
      <w:r>
        <w:rPr>
          <w:szCs w:val="24"/>
        </w:rPr>
        <w:t xml:space="preserve">The Australian Government seeks to maintain an open </w:t>
      </w:r>
      <w:r w:rsidR="00190711">
        <w:rPr>
          <w:szCs w:val="24"/>
        </w:rPr>
        <w:t>and non-discriminatory</w:t>
      </w:r>
      <w:r>
        <w:rPr>
          <w:szCs w:val="24"/>
        </w:rPr>
        <w:t xml:space="preserve"> foreign investment regime </w:t>
      </w:r>
      <w:r w:rsidR="007C2497">
        <w:rPr>
          <w:szCs w:val="24"/>
        </w:rPr>
        <w:t>that</w:t>
      </w:r>
      <w:r>
        <w:rPr>
          <w:szCs w:val="24"/>
        </w:rPr>
        <w:t xml:space="preserve"> balances encouraging foreign investment flows while ensuring foreign investment is not contrary to the national interest.</w:t>
      </w:r>
    </w:p>
    <w:p w14:paraId="7C0C9588" w14:textId="6526693B" w:rsidR="00AD0B66" w:rsidRPr="00F77EFA" w:rsidRDefault="00AD0B66" w:rsidP="00AD0B66">
      <w:pPr>
        <w:rPr>
          <w:szCs w:val="24"/>
        </w:rPr>
      </w:pPr>
      <w:r>
        <w:rPr>
          <w:szCs w:val="24"/>
        </w:rPr>
        <w:t xml:space="preserve">The </w:t>
      </w:r>
      <w:r w:rsidR="008D7FE8">
        <w:rPr>
          <w:szCs w:val="24"/>
        </w:rPr>
        <w:t>regime is designed</w:t>
      </w:r>
      <w:r>
        <w:rPr>
          <w:szCs w:val="24"/>
        </w:rPr>
        <w:t xml:space="preserve"> to ensure</w:t>
      </w:r>
      <w:r w:rsidRPr="00F77EFA">
        <w:rPr>
          <w:szCs w:val="24"/>
        </w:rPr>
        <w:t xml:space="preserve"> that foreign investment is appropriately monitored and </w:t>
      </w:r>
      <w:r w:rsidR="00F36CD5">
        <w:rPr>
          <w:szCs w:val="24"/>
        </w:rPr>
        <w:t xml:space="preserve">assures the Australian public that national interest factors are properly considered. </w:t>
      </w:r>
      <w:r w:rsidRPr="00F77EFA">
        <w:rPr>
          <w:szCs w:val="24"/>
        </w:rPr>
        <w:t xml:space="preserve">This Government, like previous </w:t>
      </w:r>
      <w:r w:rsidR="00360853">
        <w:rPr>
          <w:szCs w:val="24"/>
        </w:rPr>
        <w:t>Australian G</w:t>
      </w:r>
      <w:r w:rsidRPr="00F77EFA">
        <w:rPr>
          <w:szCs w:val="24"/>
        </w:rPr>
        <w:t>overnments, supports a case</w:t>
      </w:r>
      <w:r>
        <w:rPr>
          <w:szCs w:val="24"/>
        </w:rPr>
        <w:noBreakHyphen/>
      </w:r>
      <w:r w:rsidRPr="00F77EFA">
        <w:rPr>
          <w:szCs w:val="24"/>
        </w:rPr>
        <w:t>by</w:t>
      </w:r>
      <w:r>
        <w:rPr>
          <w:szCs w:val="24"/>
        </w:rPr>
        <w:noBreakHyphen/>
      </w:r>
      <w:r w:rsidRPr="00F77EFA">
        <w:rPr>
          <w:szCs w:val="24"/>
        </w:rPr>
        <w:t xml:space="preserve">case approach </w:t>
      </w:r>
      <w:r>
        <w:rPr>
          <w:szCs w:val="24"/>
        </w:rPr>
        <w:t>to</w:t>
      </w:r>
      <w:r w:rsidRPr="00F77EFA">
        <w:rPr>
          <w:szCs w:val="24"/>
        </w:rPr>
        <w:t xml:space="preserve"> considering foreign investment proposals. Under the </w:t>
      </w:r>
      <w:r w:rsidRPr="00F77EFA">
        <w:rPr>
          <w:i/>
          <w:szCs w:val="24"/>
        </w:rPr>
        <w:t>Foreign Acquisitions and Takeovers Act 1975</w:t>
      </w:r>
      <w:r w:rsidRPr="00F77EFA">
        <w:rPr>
          <w:szCs w:val="24"/>
        </w:rPr>
        <w:t>, the Treasurer can block proposals found to be contrary to the national interest, or can impose conditions on an investment to address national interest concerns.</w:t>
      </w:r>
    </w:p>
    <w:p w14:paraId="09C54605" w14:textId="623631F4" w:rsidR="00691BE0" w:rsidRDefault="003C150E" w:rsidP="00691BE0">
      <w:bookmarkStart w:id="67" w:name="_Toc512259054"/>
      <w:r w:rsidRPr="007945DC">
        <w:t>During 2016</w:t>
      </w:r>
      <w:r w:rsidR="00CD7E4F">
        <w:t>–</w:t>
      </w:r>
      <w:r w:rsidRPr="007945DC">
        <w:t xml:space="preserve">17, the Government announced a number of changes related to Australia’s foreign investment framework, reflecting the evolving nature of opportunities and risks presented by foreign investment. These changes included the creation of the Critical Infrastructure Centre </w:t>
      </w:r>
      <w:r w:rsidR="00DC7984" w:rsidRPr="007945DC">
        <w:t xml:space="preserve">(the Centre) </w:t>
      </w:r>
      <w:r w:rsidRPr="007945DC">
        <w:t xml:space="preserve">to more proactively manage the national security risks that may arise from foreign involvement in sensitive critical infrastructure assets. A key role is to provide coordinated and early advice on national security risks to inform foreign investment decision making in a limited number of foreign investment proposals. Other changes include a package of legislative reforms to improve the operation of the framework and measures to improve housing affordability. There has also been ongoing work </w:t>
      </w:r>
      <w:r w:rsidR="00E83A6C">
        <w:rPr>
          <w:szCs w:val="24"/>
        </w:rPr>
        <w:t>on</w:t>
      </w:r>
      <w:r w:rsidRPr="007945DC">
        <w:t xml:space="preserve"> a number of registers of foreign interests</w:t>
      </w:r>
      <w:r w:rsidR="00F62263">
        <w:t xml:space="preserve"> in certain Australian assets</w:t>
      </w:r>
      <w:r w:rsidRPr="007945DC">
        <w:t>.</w:t>
      </w:r>
      <w:r w:rsidR="00691BE0">
        <w:br w:type="page"/>
      </w:r>
    </w:p>
    <w:p w14:paraId="2EE26CC8" w14:textId="70A35D6C" w:rsidR="006A1D24" w:rsidRPr="00041382" w:rsidRDefault="006A1D24" w:rsidP="006A1D24">
      <w:pPr>
        <w:pStyle w:val="Heading2"/>
      </w:pPr>
      <w:bookmarkStart w:id="68" w:name="_Toc512523476"/>
      <w:bookmarkStart w:id="69" w:name="_Toc512524845"/>
      <w:bookmarkStart w:id="70" w:name="_Toc513021734"/>
      <w:bookmarkStart w:id="71" w:name="_Toc513122752"/>
      <w:bookmarkStart w:id="72" w:name="_Toc513131322"/>
      <w:bookmarkStart w:id="73" w:name="_Toc513456055"/>
      <w:bookmarkStart w:id="74" w:name="_Toc513457301"/>
      <w:bookmarkStart w:id="75" w:name="_Toc513557379"/>
      <w:bookmarkStart w:id="76" w:name="_Toc513559395"/>
      <w:bookmarkStart w:id="77" w:name="_Toc514924628"/>
      <w:r w:rsidRPr="00041382">
        <w:lastRenderedPageBreak/>
        <w:t>C</w:t>
      </w:r>
      <w:r>
        <w:t xml:space="preserve">ritical </w:t>
      </w:r>
      <w:r w:rsidR="00F23F65">
        <w:t>Infrastructure</w:t>
      </w:r>
      <w:r>
        <w:t xml:space="preserve"> </w:t>
      </w:r>
      <w:bookmarkEnd w:id="67"/>
      <w:r w:rsidR="00231745">
        <w:t>and National Security</w:t>
      </w:r>
      <w:bookmarkEnd w:id="68"/>
      <w:bookmarkEnd w:id="69"/>
      <w:bookmarkEnd w:id="70"/>
      <w:bookmarkEnd w:id="71"/>
      <w:bookmarkEnd w:id="72"/>
      <w:bookmarkEnd w:id="73"/>
      <w:bookmarkEnd w:id="74"/>
      <w:bookmarkEnd w:id="75"/>
      <w:bookmarkEnd w:id="76"/>
      <w:bookmarkEnd w:id="77"/>
    </w:p>
    <w:p w14:paraId="73B98B67" w14:textId="68EC7CA9" w:rsidR="00231745" w:rsidRPr="00041382" w:rsidRDefault="00231745" w:rsidP="00231745">
      <w:pPr>
        <w:rPr>
          <w:szCs w:val="24"/>
        </w:rPr>
      </w:pPr>
      <w:r w:rsidRPr="00041382">
        <w:rPr>
          <w:szCs w:val="24"/>
        </w:rPr>
        <w:t xml:space="preserve">National security has become an increasingly important consideration when assessing foreign investment proposals as part of the national interest test. This reflects </w:t>
      </w:r>
      <w:r>
        <w:rPr>
          <w:szCs w:val="24"/>
        </w:rPr>
        <w:t xml:space="preserve">a number of factors including </w:t>
      </w:r>
      <w:r w:rsidRPr="00041382">
        <w:rPr>
          <w:szCs w:val="24"/>
        </w:rPr>
        <w:t xml:space="preserve">the </w:t>
      </w:r>
      <w:r>
        <w:rPr>
          <w:szCs w:val="24"/>
        </w:rPr>
        <w:t xml:space="preserve">recent </w:t>
      </w:r>
      <w:r w:rsidRPr="00041382">
        <w:rPr>
          <w:szCs w:val="24"/>
        </w:rPr>
        <w:t xml:space="preserve">privatisation </w:t>
      </w:r>
      <w:r>
        <w:rPr>
          <w:szCs w:val="24"/>
        </w:rPr>
        <w:t xml:space="preserve">or long-term leases </w:t>
      </w:r>
      <w:r w:rsidRPr="00041382">
        <w:rPr>
          <w:szCs w:val="24"/>
        </w:rPr>
        <w:t>of critical infrastructure</w:t>
      </w:r>
      <w:r w:rsidR="00F62263">
        <w:rPr>
          <w:szCs w:val="24"/>
        </w:rPr>
        <w:t>,</w:t>
      </w:r>
      <w:r w:rsidRPr="00041382">
        <w:rPr>
          <w:szCs w:val="24"/>
        </w:rPr>
        <w:t xml:space="preserve"> technological changes, including threats posed by cyber-attacks</w:t>
      </w:r>
      <w:r>
        <w:rPr>
          <w:szCs w:val="24"/>
        </w:rPr>
        <w:t xml:space="preserve">, and a </w:t>
      </w:r>
      <w:r w:rsidR="00F62263">
        <w:rPr>
          <w:szCs w:val="24"/>
        </w:rPr>
        <w:t>changing</w:t>
      </w:r>
      <w:r>
        <w:rPr>
          <w:szCs w:val="24"/>
        </w:rPr>
        <w:t xml:space="preserve"> geopolitical environment</w:t>
      </w:r>
      <w:r w:rsidRPr="00041382">
        <w:rPr>
          <w:szCs w:val="24"/>
        </w:rPr>
        <w:t>.</w:t>
      </w:r>
      <w:r>
        <w:rPr>
          <w:szCs w:val="24"/>
        </w:rPr>
        <w:t xml:space="preserve"> There </w:t>
      </w:r>
      <w:r w:rsidR="00E83A6C">
        <w:rPr>
          <w:szCs w:val="24"/>
        </w:rPr>
        <w:t>are</w:t>
      </w:r>
      <w:r>
        <w:rPr>
          <w:szCs w:val="24"/>
        </w:rPr>
        <w:t xml:space="preserve"> also an increasing number of proposals in sectors which pose sensitivities around data security, such as in the health sector.</w:t>
      </w:r>
    </w:p>
    <w:p w14:paraId="1B3C6836" w14:textId="1BD46CF0" w:rsidR="00810631" w:rsidRDefault="00231745" w:rsidP="00CA4734">
      <w:pPr>
        <w:rPr>
          <w:szCs w:val="24"/>
        </w:rPr>
      </w:pPr>
      <w:r w:rsidRPr="00041382">
        <w:rPr>
          <w:szCs w:val="24"/>
        </w:rPr>
        <w:t xml:space="preserve">The Government has recognised the importance of addressing risks to critical infrastructure in a </w:t>
      </w:r>
      <w:r>
        <w:rPr>
          <w:szCs w:val="24"/>
        </w:rPr>
        <w:t xml:space="preserve">comprehensive </w:t>
      </w:r>
      <w:r w:rsidRPr="00041382">
        <w:rPr>
          <w:szCs w:val="24"/>
        </w:rPr>
        <w:t xml:space="preserve">and proactive manner. On 23 January 2017, the Attorney-General and the Treasurer announced the establishment of the </w:t>
      </w:r>
      <w:r w:rsidR="00F62263">
        <w:rPr>
          <w:szCs w:val="24"/>
        </w:rPr>
        <w:t xml:space="preserve">Critical Infrastructure </w:t>
      </w:r>
      <w:r w:rsidR="008A63DC">
        <w:rPr>
          <w:szCs w:val="24"/>
        </w:rPr>
        <w:t>Centre</w:t>
      </w:r>
      <w:r w:rsidRPr="00041382">
        <w:rPr>
          <w:szCs w:val="24"/>
        </w:rPr>
        <w:t xml:space="preserve"> within the Attorney-General’s Department</w:t>
      </w:r>
      <w:r>
        <w:rPr>
          <w:rStyle w:val="FootnoteReference"/>
          <w:szCs w:val="24"/>
        </w:rPr>
        <w:footnoteReference w:id="2"/>
      </w:r>
      <w:r>
        <w:rPr>
          <w:szCs w:val="24"/>
        </w:rPr>
        <w:t xml:space="preserve"> </w:t>
      </w:r>
      <w:r w:rsidRPr="00041382">
        <w:rPr>
          <w:szCs w:val="24"/>
        </w:rPr>
        <w:t>and proposed legislative measures to manage these complex and evolving national security risks to Australia’s critical infrastructure. The C</w:t>
      </w:r>
      <w:r w:rsidR="008A63DC">
        <w:rPr>
          <w:szCs w:val="24"/>
        </w:rPr>
        <w:t>entre</w:t>
      </w:r>
      <w:r w:rsidRPr="00041382">
        <w:rPr>
          <w:szCs w:val="24"/>
        </w:rPr>
        <w:t xml:space="preserve">’s initial focus </w:t>
      </w:r>
      <w:r>
        <w:rPr>
          <w:szCs w:val="24"/>
        </w:rPr>
        <w:t xml:space="preserve">is </w:t>
      </w:r>
      <w:r w:rsidRPr="00041382">
        <w:rPr>
          <w:szCs w:val="24"/>
        </w:rPr>
        <w:t>on the risks of sabotage, espionage and coercion in the highest risk sectors of telecommunications, electricity, water and ports.</w:t>
      </w:r>
    </w:p>
    <w:p w14:paraId="35D66E42" w14:textId="330FF23F" w:rsidR="00231745" w:rsidRPr="00C6691E" w:rsidRDefault="00231745" w:rsidP="00231745">
      <w:pPr>
        <w:rPr>
          <w:szCs w:val="24"/>
        </w:rPr>
      </w:pPr>
      <w:r>
        <w:rPr>
          <w:szCs w:val="24"/>
        </w:rPr>
        <w:t xml:space="preserve">The </w:t>
      </w:r>
      <w:r>
        <w:rPr>
          <w:i/>
          <w:szCs w:val="24"/>
        </w:rPr>
        <w:t>Security of Critical Infrastructure Act</w:t>
      </w:r>
      <w:r>
        <w:rPr>
          <w:szCs w:val="24"/>
        </w:rPr>
        <w:t xml:space="preserve"> received Royal Assent on 11 April 2018 and takes effect from Wednesday 11 July 2018, enhancing the capability of the C</w:t>
      </w:r>
      <w:r w:rsidR="008A63DC">
        <w:rPr>
          <w:szCs w:val="24"/>
        </w:rPr>
        <w:t>entre</w:t>
      </w:r>
      <w:r>
        <w:rPr>
          <w:szCs w:val="24"/>
        </w:rPr>
        <w:t>. It aims to strengthen Australia’s ability to manage challenges in the electricity, gas, ports and water sectors and provide greater visibility of who owns and operates Australia’s highest risk critical infrastructure assets.</w:t>
      </w:r>
    </w:p>
    <w:p w14:paraId="244EBF2E" w14:textId="517197A0" w:rsidR="00190711" w:rsidRDefault="00231745" w:rsidP="00190711">
      <w:r w:rsidRPr="00041382">
        <w:rPr>
          <w:szCs w:val="24"/>
        </w:rPr>
        <w:t>A function of the C</w:t>
      </w:r>
      <w:r w:rsidR="008A63DC">
        <w:rPr>
          <w:szCs w:val="24"/>
        </w:rPr>
        <w:t>entre</w:t>
      </w:r>
      <w:r w:rsidRPr="00041382">
        <w:rPr>
          <w:szCs w:val="24"/>
        </w:rPr>
        <w:t xml:space="preserve"> </w:t>
      </w:r>
      <w:r>
        <w:rPr>
          <w:szCs w:val="24"/>
        </w:rPr>
        <w:t xml:space="preserve">is </w:t>
      </w:r>
      <w:r w:rsidRPr="00041382">
        <w:rPr>
          <w:szCs w:val="24"/>
        </w:rPr>
        <w:t>to develop coordinated, whole-of-government national security risk assessments on critical infrastructure assets to support Government decision</w:t>
      </w:r>
      <w:r w:rsidRPr="00041382">
        <w:rPr>
          <w:szCs w:val="24"/>
        </w:rPr>
        <w:noBreakHyphen/>
        <w:t xml:space="preserve">making, such as foreign investment decisions. </w:t>
      </w:r>
      <w:r>
        <w:rPr>
          <w:szCs w:val="24"/>
        </w:rPr>
        <w:t>T</w:t>
      </w:r>
      <w:r w:rsidRPr="00041382">
        <w:rPr>
          <w:szCs w:val="24"/>
        </w:rPr>
        <w:t>he C</w:t>
      </w:r>
      <w:r w:rsidR="008A63DC">
        <w:rPr>
          <w:szCs w:val="24"/>
        </w:rPr>
        <w:t>entre</w:t>
      </w:r>
      <w:r w:rsidRPr="00041382">
        <w:rPr>
          <w:szCs w:val="24"/>
        </w:rPr>
        <w:t xml:space="preserve"> complement</w:t>
      </w:r>
      <w:r>
        <w:rPr>
          <w:szCs w:val="24"/>
        </w:rPr>
        <w:t>s</w:t>
      </w:r>
      <w:r w:rsidRPr="00041382">
        <w:rPr>
          <w:szCs w:val="24"/>
        </w:rPr>
        <w:t xml:space="preserve"> the existing FIRB process, providing early and comprehensive advice on national security risks.</w:t>
      </w:r>
      <w:r w:rsidR="00190711">
        <w:rPr>
          <w:szCs w:val="24"/>
        </w:rPr>
        <w:t xml:space="preserve"> The Centre’s assessments </w:t>
      </w:r>
      <w:r w:rsidR="00E9702C">
        <w:rPr>
          <w:szCs w:val="24"/>
        </w:rPr>
        <w:t>include detailed consideration of</w:t>
      </w:r>
      <w:r w:rsidR="00190711">
        <w:t xml:space="preserve"> the nature of assets themselves.</w:t>
      </w:r>
    </w:p>
    <w:p w14:paraId="5971D2D5" w14:textId="462E48B0" w:rsidR="00231745" w:rsidRDefault="00231745" w:rsidP="00231745">
      <w:pPr>
        <w:rPr>
          <w:szCs w:val="24"/>
        </w:rPr>
      </w:pPr>
      <w:r w:rsidRPr="00041382">
        <w:rPr>
          <w:szCs w:val="24"/>
        </w:rPr>
        <w:t>Treasury</w:t>
      </w:r>
      <w:r>
        <w:rPr>
          <w:szCs w:val="24"/>
        </w:rPr>
        <w:t xml:space="preserve"> works closely with the C</w:t>
      </w:r>
      <w:r w:rsidR="008A63DC">
        <w:rPr>
          <w:szCs w:val="24"/>
        </w:rPr>
        <w:t>entre</w:t>
      </w:r>
      <w:r>
        <w:rPr>
          <w:szCs w:val="24"/>
        </w:rPr>
        <w:t xml:space="preserve"> and other security agencies to consider foreign investment proposals that may raise national security concerns. The changes in the </w:t>
      </w:r>
      <w:r w:rsidR="00F62263">
        <w:rPr>
          <w:szCs w:val="24"/>
        </w:rPr>
        <w:t>geo</w:t>
      </w:r>
      <w:r w:rsidR="00F62263">
        <w:rPr>
          <w:szCs w:val="24"/>
        </w:rPr>
        <w:noBreakHyphen/>
        <w:t xml:space="preserve">political </w:t>
      </w:r>
      <w:r>
        <w:rPr>
          <w:szCs w:val="24"/>
        </w:rPr>
        <w:t xml:space="preserve">environment </w:t>
      </w:r>
      <w:r w:rsidR="00F62263">
        <w:rPr>
          <w:szCs w:val="24"/>
        </w:rPr>
        <w:t xml:space="preserve">for </w:t>
      </w:r>
      <w:r>
        <w:rPr>
          <w:szCs w:val="24"/>
        </w:rPr>
        <w:t>Australia ha</w:t>
      </w:r>
      <w:r w:rsidR="00F62263">
        <w:rPr>
          <w:szCs w:val="24"/>
        </w:rPr>
        <w:t>ve</w:t>
      </w:r>
      <w:r>
        <w:rPr>
          <w:szCs w:val="24"/>
        </w:rPr>
        <w:t xml:space="preserve"> led to increasing complexity and usage of conditions to ensure that an investment can proceed, in line with Australia’s position of welcoming of foreign investment, while ensuring risks to the national interest are mitigated. For example, data conditions may be applied to manage risks associated with </w:t>
      </w:r>
      <w:r w:rsidR="00F62263">
        <w:rPr>
          <w:szCs w:val="24"/>
        </w:rPr>
        <w:t xml:space="preserve">potential </w:t>
      </w:r>
      <w:r>
        <w:rPr>
          <w:szCs w:val="24"/>
        </w:rPr>
        <w:t>access to large holdings of personal, operational and network data for malicious purposes.</w:t>
      </w:r>
    </w:p>
    <w:p w14:paraId="1C749FDA" w14:textId="1A5161BE" w:rsidR="00592A60" w:rsidRPr="00691BE0" w:rsidRDefault="00231745" w:rsidP="00CA4734">
      <w:pPr>
        <w:rPr>
          <w:szCs w:val="24"/>
        </w:rPr>
      </w:pPr>
      <w:r>
        <w:rPr>
          <w:szCs w:val="24"/>
        </w:rPr>
        <w:t>Treasury recognises the regulatory burden of such conditions, and endeavours to ensure that investors have an opportunity to comment on proposed conditions to ensure workability and acknowledges that this is an area requiring ongoing attention. The case study below on Endeavour Energy explains how the C</w:t>
      </w:r>
      <w:r w:rsidR="00F123EA">
        <w:rPr>
          <w:szCs w:val="24"/>
        </w:rPr>
        <w:t>entre</w:t>
      </w:r>
      <w:r>
        <w:rPr>
          <w:szCs w:val="24"/>
        </w:rPr>
        <w:t xml:space="preserve"> supports the effective operation of the FIRB.</w:t>
      </w:r>
      <w:bookmarkStart w:id="78" w:name="_Toc512259055"/>
      <w:bookmarkStart w:id="79" w:name="_Toc512523477"/>
      <w:bookmarkStart w:id="80" w:name="_Toc512524846"/>
      <w:bookmarkStart w:id="81" w:name="_Toc513021735"/>
    </w:p>
    <w:p w14:paraId="674DD70E" w14:textId="3D31F1E6" w:rsidR="00592A60" w:rsidRDefault="00592A60">
      <w:pPr>
        <w:spacing w:after="200" w:line="276" w:lineRule="auto"/>
        <w:jc w:val="left"/>
      </w:pPr>
      <w:r w:rsidRPr="0025623B">
        <w:rPr>
          <w:noProof/>
        </w:rPr>
        <w:lastRenderedPageBreak/>
        <mc:AlternateContent>
          <mc:Choice Requires="wps">
            <w:drawing>
              <wp:anchor distT="0" distB="0" distL="114300" distR="114300" simplePos="0" relativeHeight="251658257" behindDoc="0" locked="0" layoutInCell="1" allowOverlap="1" wp14:anchorId="38510970" wp14:editId="71AAACBA">
                <wp:simplePos x="0" y="0"/>
                <wp:positionH relativeFrom="column">
                  <wp:posOffset>21590</wp:posOffset>
                </wp:positionH>
                <wp:positionV relativeFrom="paragraph">
                  <wp:posOffset>29845</wp:posOffset>
                </wp:positionV>
                <wp:extent cx="4865370" cy="7266940"/>
                <wp:effectExtent l="0" t="0" r="0" b="0"/>
                <wp:wrapTopAndBottom/>
                <wp:docPr id="4" name="Snip and Round Single Corner Rectangle 4"/>
                <wp:cNvGraphicFramePr/>
                <a:graphic xmlns:a="http://schemas.openxmlformats.org/drawingml/2006/main">
                  <a:graphicData uri="http://schemas.microsoft.com/office/word/2010/wordprocessingShape">
                    <wps:wsp>
                      <wps:cNvSpPr/>
                      <wps:spPr>
                        <a:xfrm>
                          <a:off x="0" y="0"/>
                          <a:ext cx="4865370" cy="7266940"/>
                        </a:xfrm>
                        <a:prstGeom prst="snipRoundRect">
                          <a:avLst>
                            <a:gd name="adj1" fmla="val 4290"/>
                            <a:gd name="adj2" fmla="val 10639"/>
                          </a:avLst>
                        </a:prstGeom>
                        <a:solidFill>
                          <a:srgbClr val="155A76"/>
                        </a:solidFill>
                        <a:ln w="25400" cap="flat" cmpd="sng" algn="ctr">
                          <a:noFill/>
                          <a:prstDash val="solid"/>
                        </a:ln>
                        <a:effectLst/>
                      </wps:spPr>
                      <wps:txbx>
                        <w:txbxContent>
                          <w:p w14:paraId="0BFC7B2F" w14:textId="77777777" w:rsidR="00AE54F4" w:rsidRDefault="00AE54F4" w:rsidP="00592A60">
                            <w:pPr>
                              <w:pStyle w:val="BoxHeading"/>
                            </w:pPr>
                            <w:r>
                              <w:t>Case Study: Endeavour Energy</w:t>
                            </w:r>
                          </w:p>
                          <w:p w14:paraId="700E7B1C" w14:textId="4CF00961" w:rsidR="00AE54F4" w:rsidRDefault="00AE54F4" w:rsidP="00592A60">
                            <w:pPr>
                              <w:pStyle w:val="BoxText"/>
                            </w:pPr>
                            <w:r>
                              <w:t xml:space="preserve">During 2016–17 the FIRB reviewed foreign investment applications to purchase a 50.4 per cent stake in the 99-year lease over the assets of Endeavour Energy, the third largest electricity distributor in NSW and the last of the ‘poles and wires’ assets offered for sale by the NSW Government, following the sale of </w:t>
                            </w:r>
                            <w:proofErr w:type="spellStart"/>
                            <w:r>
                              <w:t>TransGrid</w:t>
                            </w:r>
                            <w:proofErr w:type="spellEnd"/>
                            <w:r>
                              <w:t xml:space="preserve"> and </w:t>
                            </w:r>
                            <w:proofErr w:type="spellStart"/>
                            <w:r>
                              <w:t>Ausgrid</w:t>
                            </w:r>
                            <w:proofErr w:type="spellEnd"/>
                            <w:r>
                              <w:t>. The opportunity to tap into the growth corridor of south-western Sydney spurred what the NSW Premier described as an ‘outstanding’ $7.6 billion deal for the sale.</w:t>
                            </w:r>
                          </w:p>
                          <w:p w14:paraId="7695D47C" w14:textId="28F61DC5" w:rsidR="00AE54F4" w:rsidRDefault="00AE54F4" w:rsidP="00592A60">
                            <w:pPr>
                              <w:pStyle w:val="BoxText"/>
                            </w:pPr>
                            <w:r>
                              <w:t xml:space="preserve">Ultimately, the successful bidder was a consortium including the Macquarie Group, REST Industry Super, Canada’s British Columbia Investment Management Corporation and Qatar’s sovereign wealth fund. Approval for the bidders followed a thorough consultation process, with the FIRB engaging constructively with various government agencies including the Critical Infrastructure Centre, which provided a coordinated national security assessment. Due to the importance of the asset and national security advice, working closely with NSW Government, the sale was structured to prevent any one foreign bidder acquiring a 100 per cent interest in the lease. </w:t>
                            </w:r>
                            <w:r w:rsidRPr="005D6F14">
                              <w:t>Technical mitigations, in the form of the FIRB and licence conditions, were also imposed on the successful bidder to manage operational risks.</w:t>
                            </w:r>
                          </w:p>
                          <w:p w14:paraId="6D0587DD" w14:textId="0C01443C" w:rsidR="00AE54F4" w:rsidRDefault="00AE54F4" w:rsidP="00592A60">
                            <w:pPr>
                              <w:pStyle w:val="BoxText"/>
                            </w:pPr>
                            <w:r w:rsidRPr="00106516">
                              <w:t xml:space="preserve">Endeavour supplies electricity to 2.4 million people across greater Sydney and the Illawarra. The sale process </w:t>
                            </w:r>
                            <w:proofErr w:type="gramStart"/>
                            <w:r w:rsidRPr="00106516">
                              <w:t>raised</w:t>
                            </w:r>
                            <w:proofErr w:type="gramEnd"/>
                            <w:r w:rsidRPr="00106516">
                              <w:t xml:space="preserve"> close to $20 billion in net terms, with $2.2 billion of incentive payments also coming from the </w:t>
                            </w:r>
                            <w:r>
                              <w:t>Australian G</w:t>
                            </w:r>
                            <w:r w:rsidRPr="00106516">
                              <w:t>overnment. As part of the asset-recycling strategy, proceeds are to be reinvested into new schools, hospitals, roads, rail and cultural institutions across NSW.</w:t>
                            </w:r>
                          </w:p>
                          <w:p w14:paraId="1A037E36" w14:textId="23EAD543" w:rsidR="00AE54F4" w:rsidRDefault="00AE54F4" w:rsidP="006F33C8">
                            <w:pPr>
                              <w:pStyle w:val="ChartGraphic"/>
                            </w:pPr>
                            <w:r>
                              <w:rPr>
                                <w:noProof/>
                              </w:rPr>
                              <w:drawing>
                                <wp:inline distT="0" distB="0" distL="0" distR="0" wp14:anchorId="03042EDB" wp14:editId="11634015">
                                  <wp:extent cx="3822192" cy="2548128"/>
                                  <wp:effectExtent l="0" t="0" r="6985" b="508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tock-477674937.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822192" cy="2548128"/>
                                          </a:xfrm>
                                          <a:prstGeom prst="rect">
                                            <a:avLst/>
                                          </a:prstGeom>
                                        </pic:spPr>
                                      </pic:pic>
                                    </a:graphicData>
                                  </a:graphic>
                                </wp:inline>
                              </w:drawing>
                            </w:r>
                          </w:p>
                          <w:p w14:paraId="76F688AD" w14:textId="77777777" w:rsidR="00AE54F4" w:rsidRPr="008E38DF" w:rsidRDefault="00AE54F4" w:rsidP="00592A60">
                            <w:pPr>
                              <w:pStyle w:val="BoxText"/>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Snip and Round Single Corner Rectangle 4" o:spid="_x0000_s1026" style="position:absolute;margin-left:1.7pt;margin-top:2.35pt;width:383.1pt;height:572.2pt;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coordsize="4865370,72669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" adj="-11796480,,5400" path="m208724,l4347743,r517627,517627l4865370,7266940,,7266940,,208724c,93449,93449,,208724,xe" fillcolor="#155a76" stroked="f" strokeweight="2pt">
                <v:stroke joinstyle="miter"/>
                <v:formulas/>
                <v:path arrowok="t" o:connecttype="custom" o:connectlocs="208724,0;4347743,0;4865370,517627;4865370,7266940;0,7266940;0,208724;208724,0" o:connectangles="0,0,0,0,0,0,0" textboxrect="0,0,4865370,7266940"/>
                <v:textbox>
                  <w:txbxContent>
                    <w:p w14:paraId="0BFC7B2F" w14:textId="77777777" w:rsidR="00AE54F4" w:rsidRDefault="00AE54F4" w:rsidP="00592A60">
                      <w:pPr>
                        <w:pStyle w:val="BoxHeading"/>
                      </w:pPr>
                      <w:r>
                        <w:t>Case Study: Endeavour Energy</w:t>
                      </w:r>
                    </w:p>
                    <w:p w14:paraId="700E7B1C" w14:textId="4CF00961" w:rsidR="00AE54F4" w:rsidRDefault="00AE54F4" w:rsidP="00592A60">
                      <w:pPr>
                        <w:pStyle w:val="BoxText"/>
                      </w:pPr>
                      <w:r>
                        <w:t xml:space="preserve">During 2016–17 the FIRB reviewed foreign investment applications to purchase a 50.4 per cent stake in the 99-year lease over the assets of Endeavour Energy, the third largest electricity distributor in NSW and the last of the ‘poles and wires’ assets offered for sale by the NSW Government, following the sale of </w:t>
                      </w:r>
                      <w:proofErr w:type="spellStart"/>
                      <w:r>
                        <w:t>TransGrid</w:t>
                      </w:r>
                      <w:proofErr w:type="spellEnd"/>
                      <w:r>
                        <w:t xml:space="preserve"> and </w:t>
                      </w:r>
                      <w:proofErr w:type="spellStart"/>
                      <w:r>
                        <w:t>Ausgrid</w:t>
                      </w:r>
                      <w:proofErr w:type="spellEnd"/>
                      <w:r>
                        <w:t>. The opportunity to tap into the growth corridor of south-western Sydney spurred what the NSW Premier described as an ‘outstanding’ $7.6 billion deal for the sale.</w:t>
                      </w:r>
                    </w:p>
                    <w:p w14:paraId="7695D47C" w14:textId="28F61DC5" w:rsidR="00AE54F4" w:rsidRDefault="00AE54F4" w:rsidP="00592A60">
                      <w:pPr>
                        <w:pStyle w:val="BoxText"/>
                      </w:pPr>
                      <w:r>
                        <w:t xml:space="preserve">Ultimately, the successful bidder was a consortium including the Macquarie Group, REST Industry Super, Canada’s British Columbia Investment Management Corporation and Qatar’s sovereign wealth fund. Approval for the bidders followed a thorough consultation process, with the FIRB engaging constructively with various government agencies including the Critical Infrastructure Centre, which provided a coordinated national security assessment. Due to the importance of the asset and national security advice, working closely with NSW Government, the sale was structured to prevent any one foreign bidder acquiring a 100 per cent interest in the lease. </w:t>
                      </w:r>
                      <w:r w:rsidRPr="005D6F14">
                        <w:t>Technical mitigations, in the form of the FIRB and licence conditions, were also imposed on the successful bidder to manage operational risks.</w:t>
                      </w:r>
                    </w:p>
                    <w:p w14:paraId="6D0587DD" w14:textId="0C01443C" w:rsidR="00AE54F4" w:rsidRDefault="00AE54F4" w:rsidP="00592A60">
                      <w:pPr>
                        <w:pStyle w:val="BoxText"/>
                      </w:pPr>
                      <w:r w:rsidRPr="00106516">
                        <w:t xml:space="preserve">Endeavour supplies electricity to 2.4 million people across greater Sydney and the Illawarra. The sale process </w:t>
                      </w:r>
                      <w:proofErr w:type="gramStart"/>
                      <w:r w:rsidRPr="00106516">
                        <w:t>raised</w:t>
                      </w:r>
                      <w:proofErr w:type="gramEnd"/>
                      <w:r w:rsidRPr="00106516">
                        <w:t xml:space="preserve"> close to $20 billion in net terms, with $2.2 billion of incentive payments also coming from the </w:t>
                      </w:r>
                      <w:r>
                        <w:t>Australian G</w:t>
                      </w:r>
                      <w:r w:rsidRPr="00106516">
                        <w:t>overnment. As part of the asset-recycling strategy, proceeds are to be reinvested into new schools, hospitals, roads, rail and cultural institutions across NSW.</w:t>
                      </w:r>
                    </w:p>
                    <w:p w14:paraId="1A037E36" w14:textId="23EAD543" w:rsidR="00AE54F4" w:rsidRDefault="00AE54F4" w:rsidP="006F33C8">
                      <w:pPr>
                        <w:pStyle w:val="ChartGraphic"/>
                      </w:pPr>
                      <w:r>
                        <w:rPr>
                          <w:noProof/>
                        </w:rPr>
                        <w:drawing>
                          <wp:inline distT="0" distB="0" distL="0" distR="0" wp14:anchorId="03042EDB" wp14:editId="11634015">
                            <wp:extent cx="3822192" cy="2548128"/>
                            <wp:effectExtent l="0" t="0" r="6985" b="508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tock-477674937.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822192" cy="2548128"/>
                                    </a:xfrm>
                                    <a:prstGeom prst="rect">
                                      <a:avLst/>
                                    </a:prstGeom>
                                  </pic:spPr>
                                </pic:pic>
                              </a:graphicData>
                            </a:graphic>
                          </wp:inline>
                        </w:drawing>
                      </w:r>
                    </w:p>
                    <w:p w14:paraId="76F688AD" w14:textId="77777777" w:rsidR="00AE54F4" w:rsidRPr="008E38DF" w:rsidRDefault="00AE54F4" w:rsidP="00592A60">
                      <w:pPr>
                        <w:pStyle w:val="BoxText"/>
                      </w:pPr>
                    </w:p>
                  </w:txbxContent>
                </v:textbox>
                <w10:wrap type="topAndBottom"/>
              </v:shape>
            </w:pict>
          </mc:Fallback>
        </mc:AlternateContent>
      </w:r>
      <w:r>
        <w:br w:type="page"/>
      </w:r>
    </w:p>
    <w:p w14:paraId="7FF60E2F" w14:textId="6737EB61" w:rsidR="009A2F05" w:rsidRPr="00041382" w:rsidRDefault="009A2F05" w:rsidP="009A2F05">
      <w:pPr>
        <w:pStyle w:val="Heading2"/>
      </w:pPr>
      <w:bookmarkStart w:id="82" w:name="_Toc513122753"/>
      <w:bookmarkStart w:id="83" w:name="_Toc513131323"/>
      <w:bookmarkStart w:id="84" w:name="_Toc513456056"/>
      <w:bookmarkStart w:id="85" w:name="_Toc513457302"/>
      <w:bookmarkStart w:id="86" w:name="_Toc513557380"/>
      <w:bookmarkStart w:id="87" w:name="_Toc513559396"/>
      <w:bookmarkStart w:id="88" w:name="_Toc514924629"/>
      <w:r>
        <w:lastRenderedPageBreak/>
        <w:t>Legislative reform package</w:t>
      </w:r>
      <w:bookmarkEnd w:id="78"/>
      <w:bookmarkEnd w:id="79"/>
      <w:bookmarkEnd w:id="80"/>
      <w:bookmarkEnd w:id="81"/>
      <w:bookmarkEnd w:id="82"/>
      <w:bookmarkEnd w:id="83"/>
      <w:bookmarkEnd w:id="84"/>
      <w:bookmarkEnd w:id="85"/>
      <w:bookmarkEnd w:id="86"/>
      <w:bookmarkEnd w:id="87"/>
      <w:bookmarkEnd w:id="88"/>
    </w:p>
    <w:p w14:paraId="1D8B1CDC" w14:textId="0F4C75ED" w:rsidR="009A2F05" w:rsidRPr="00041382" w:rsidRDefault="009A2F05" w:rsidP="009A2F05">
      <w:pPr>
        <w:rPr>
          <w:szCs w:val="24"/>
        </w:rPr>
      </w:pPr>
      <w:r>
        <w:rPr>
          <w:szCs w:val="24"/>
        </w:rPr>
        <w:t>In 2017 t</w:t>
      </w:r>
      <w:r w:rsidRPr="00041382">
        <w:rPr>
          <w:szCs w:val="24"/>
        </w:rPr>
        <w:t>he Government introduced a package of amendments to enhance the foreign investment framework to facilitate business investment, reduce red tape and simplify the fee framework.</w:t>
      </w:r>
    </w:p>
    <w:p w14:paraId="7CDEDA17" w14:textId="76EA4EBC" w:rsidR="009A2F05" w:rsidRDefault="009A2F05" w:rsidP="00C27882">
      <w:pPr>
        <w:pStyle w:val="FIRBBulletpoint"/>
      </w:pPr>
      <w:r w:rsidRPr="009F3A12">
        <w:t>The amendments reduced the requirement for the same investors to seek multiple approvals for similar low risk transactions by:</w:t>
      </w:r>
    </w:p>
    <w:p w14:paraId="1AD2DE07" w14:textId="652F30EC" w:rsidR="009A2F05" w:rsidRPr="009F3A12" w:rsidRDefault="007C2497" w:rsidP="00C27882">
      <w:pPr>
        <w:pStyle w:val="FIRBDash"/>
      </w:pPr>
      <w:r>
        <w:t>a</w:t>
      </w:r>
      <w:r w:rsidR="009A2F05" w:rsidRPr="009F3A12">
        <w:t xml:space="preserve">llowing developers to re-sell </w:t>
      </w:r>
      <w:r>
        <w:t xml:space="preserve">‘as new’ </w:t>
      </w:r>
      <w:r w:rsidR="009A2F05" w:rsidRPr="009F3A12">
        <w:t>off-the-plan dwellings that failed to settle, and therefore may be considered ‘established’, to foreign persons;</w:t>
      </w:r>
    </w:p>
    <w:p w14:paraId="269C67E5" w14:textId="5EAB4800" w:rsidR="009A2F05" w:rsidRPr="009F3A12" w:rsidRDefault="007C2497" w:rsidP="00C27882">
      <w:pPr>
        <w:pStyle w:val="FIRBDash"/>
      </w:pPr>
      <w:r>
        <w:t>i</w:t>
      </w:r>
      <w:r w:rsidR="009A2F05" w:rsidRPr="009F3A12">
        <w:t>ntroduc</w:t>
      </w:r>
      <w:r w:rsidR="009A2F05">
        <w:t>ing</w:t>
      </w:r>
      <w:r w:rsidR="009A2F05" w:rsidRPr="009F3A12">
        <w:t xml:space="preserve"> an exemption certificate so that only one approval is required for individuals considering a number of residential properties with the intention to only purchase one</w:t>
      </w:r>
      <w:r w:rsidR="005128B1">
        <w:t>; and</w:t>
      </w:r>
    </w:p>
    <w:p w14:paraId="594A7C41" w14:textId="546BDD47" w:rsidR="009A2F05" w:rsidRPr="009F3A12" w:rsidRDefault="007C2497" w:rsidP="00C27882">
      <w:pPr>
        <w:pStyle w:val="FIRBDash"/>
      </w:pPr>
      <w:proofErr w:type="gramStart"/>
      <w:r>
        <w:t>i</w:t>
      </w:r>
      <w:r w:rsidR="009A2F05" w:rsidRPr="009F3A12">
        <w:t>ntroduc</w:t>
      </w:r>
      <w:r w:rsidR="009A2F05">
        <w:t>ing</w:t>
      </w:r>
      <w:proofErr w:type="gramEnd"/>
      <w:r w:rsidR="009A2F05" w:rsidRPr="009F3A12">
        <w:t xml:space="preserve"> </w:t>
      </w:r>
      <w:r>
        <w:t>a</w:t>
      </w:r>
      <w:r w:rsidR="009A2F05" w:rsidRPr="009F3A12">
        <w:t xml:space="preserve"> new </w:t>
      </w:r>
      <w:r>
        <w:t xml:space="preserve">business </w:t>
      </w:r>
      <w:r w:rsidR="009A2F05" w:rsidRPr="009F3A12">
        <w:t>exemption certificate for interests in assets and securities to enable broad pre-app</w:t>
      </w:r>
      <w:r w:rsidR="009A2F05">
        <w:t>roval for routine transactions.</w:t>
      </w:r>
    </w:p>
    <w:p w14:paraId="198DAF12" w14:textId="5B41114D" w:rsidR="009A2F05" w:rsidRPr="002C2A56" w:rsidRDefault="009A2F05" w:rsidP="00C27882">
      <w:pPr>
        <w:pStyle w:val="FIRBBulletpoint"/>
      </w:pPr>
      <w:r w:rsidRPr="002C2A56">
        <w:t xml:space="preserve">Changes </w:t>
      </w:r>
      <w:r w:rsidR="005128B1" w:rsidRPr="002C2A56">
        <w:t>made</w:t>
      </w:r>
      <w:r w:rsidRPr="002C2A56">
        <w:t xml:space="preserve"> to fees improved transparency and consistency, reduce</w:t>
      </w:r>
      <w:r w:rsidR="007C2497" w:rsidRPr="002C2A56">
        <w:t>d</w:t>
      </w:r>
      <w:r w:rsidRPr="002C2A56">
        <w:t xml:space="preserve"> complexity and achieve</w:t>
      </w:r>
      <w:r w:rsidR="007C62B6" w:rsidRPr="002C2A56">
        <w:t>d</w:t>
      </w:r>
      <w:r w:rsidRPr="002C2A56">
        <w:t xml:space="preserve"> more equitable fee outcomes across different categories of transactions.</w:t>
      </w:r>
    </w:p>
    <w:p w14:paraId="6B81F6C4" w14:textId="71ABF0FB" w:rsidR="009A2F05" w:rsidRPr="002C2A56" w:rsidRDefault="009A2F05" w:rsidP="00C27882">
      <w:pPr>
        <w:pStyle w:val="FIRBBulletpoint"/>
      </w:pPr>
      <w:r w:rsidRPr="002C2A56">
        <w:t>Improving the treatment of low risk commercial transactions has enabled the system to operate more efficiently and reduce regulatory burden</w:t>
      </w:r>
      <w:r w:rsidR="005128B1" w:rsidRPr="002C2A56">
        <w:t>, for example:</w:t>
      </w:r>
    </w:p>
    <w:p w14:paraId="25749C4C" w14:textId="3B9054CF" w:rsidR="009A2F05" w:rsidRPr="00C27882" w:rsidRDefault="005128B1" w:rsidP="00C27882">
      <w:pPr>
        <w:pStyle w:val="FIRBDash"/>
      </w:pPr>
      <w:r w:rsidRPr="00C27882">
        <w:t>r</w:t>
      </w:r>
      <w:r w:rsidR="009A2F05" w:rsidRPr="00C27882">
        <w:t>esidential dwellings used for a commercial purpose, such as student accommodation and aged care facilities, are now treated in line with other commercial premises</w:t>
      </w:r>
      <w:r w:rsidRPr="00C27882">
        <w:t>; and</w:t>
      </w:r>
    </w:p>
    <w:p w14:paraId="059CD2AD" w14:textId="285C02FC" w:rsidR="009A2F05" w:rsidRPr="00C27882" w:rsidRDefault="005128B1" w:rsidP="00C27882">
      <w:pPr>
        <w:pStyle w:val="FIRBDash"/>
      </w:pPr>
      <w:r w:rsidRPr="00C27882">
        <w:t>t</w:t>
      </w:r>
      <w:r w:rsidR="009A2F05" w:rsidRPr="00C27882">
        <w:t xml:space="preserve">he scope of non-vacant commercial land treated as sensitive and subject to the lower $55 million screening threshold has been narrowed to remove, for example, land that falls within ‘prescribed airspace’, which </w:t>
      </w:r>
      <w:r w:rsidR="007C2497" w:rsidRPr="00C27882">
        <w:t>previously covered</w:t>
      </w:r>
      <w:r w:rsidR="009A2F05" w:rsidRPr="00C27882">
        <w:t xml:space="preserve"> mos</w:t>
      </w:r>
      <w:r w:rsidR="007C2497" w:rsidRPr="00C27882">
        <w:t>t commercial properties in the central business district</w:t>
      </w:r>
      <w:r w:rsidR="009A2F05" w:rsidRPr="00C27882">
        <w:t>s of Australia’s major cities.</w:t>
      </w:r>
    </w:p>
    <w:p w14:paraId="6C4AD9C3" w14:textId="46CB60A5" w:rsidR="009A2F05" w:rsidRPr="00041382" w:rsidRDefault="009A2F05" w:rsidP="009A2F05">
      <w:pPr>
        <w:rPr>
          <w:szCs w:val="24"/>
        </w:rPr>
      </w:pPr>
      <w:r w:rsidRPr="00041382">
        <w:rPr>
          <w:szCs w:val="24"/>
        </w:rPr>
        <w:t xml:space="preserve">Business and key stakeholders played a pivotal role, including throughout the public consultation process, in informing these changes and other technical improvements. </w:t>
      </w:r>
      <w:r w:rsidR="00C46B16">
        <w:rPr>
          <w:szCs w:val="24"/>
        </w:rPr>
        <w:t xml:space="preserve">These changes to the Regulations and Act came into effect on </w:t>
      </w:r>
      <w:r w:rsidR="00C46B16" w:rsidRPr="00783A69">
        <w:t>1 July 2017</w:t>
      </w:r>
      <w:r w:rsidR="00C46B16">
        <w:rPr>
          <w:szCs w:val="24"/>
        </w:rPr>
        <w:t>.</w:t>
      </w:r>
    </w:p>
    <w:p w14:paraId="0E910069" w14:textId="2E34D92C" w:rsidR="009A2F05" w:rsidRPr="00041382" w:rsidRDefault="009A2F05" w:rsidP="009A2F05">
      <w:pPr>
        <w:rPr>
          <w:szCs w:val="24"/>
        </w:rPr>
      </w:pPr>
      <w:r w:rsidRPr="00041382">
        <w:rPr>
          <w:szCs w:val="24"/>
        </w:rPr>
        <w:t>The formal public consultation process included the release of a discussion paper presenting options to enhance the operation of the foreign investment framework. There were 32</w:t>
      </w:r>
      <w:r w:rsidR="00A70DA6">
        <w:rPr>
          <w:szCs w:val="24"/>
        </w:rPr>
        <w:t> </w:t>
      </w:r>
      <w:r w:rsidRPr="00041382">
        <w:rPr>
          <w:szCs w:val="24"/>
        </w:rPr>
        <w:t xml:space="preserve">submissions received in response to the discussion paper and the amendments </w:t>
      </w:r>
      <w:r w:rsidR="005128B1">
        <w:rPr>
          <w:szCs w:val="24"/>
        </w:rPr>
        <w:t>reflect</w:t>
      </w:r>
      <w:r w:rsidRPr="00041382">
        <w:rPr>
          <w:szCs w:val="24"/>
        </w:rPr>
        <w:t xml:space="preserve"> preferred options, including increasing transparency and implementing a simplified flatter fee structure.</w:t>
      </w:r>
      <w:r w:rsidR="00F123EA">
        <w:rPr>
          <w:szCs w:val="24"/>
        </w:rPr>
        <w:br w:type="page"/>
      </w:r>
    </w:p>
    <w:p w14:paraId="6BC96547" w14:textId="3136904B" w:rsidR="009A2F05" w:rsidRPr="00041382" w:rsidRDefault="009A2F05" w:rsidP="009A2F05">
      <w:pPr>
        <w:pStyle w:val="Heading2"/>
      </w:pPr>
      <w:bookmarkStart w:id="89" w:name="_Toc512259056"/>
      <w:bookmarkStart w:id="90" w:name="_Toc512523478"/>
      <w:bookmarkStart w:id="91" w:name="_Toc512524847"/>
      <w:bookmarkStart w:id="92" w:name="_Toc513021736"/>
      <w:bookmarkStart w:id="93" w:name="_Toc513122754"/>
      <w:bookmarkStart w:id="94" w:name="_Toc513131324"/>
      <w:bookmarkStart w:id="95" w:name="_Toc513456057"/>
      <w:bookmarkStart w:id="96" w:name="_Toc513457303"/>
      <w:bookmarkStart w:id="97" w:name="_Toc513557381"/>
      <w:bookmarkStart w:id="98" w:name="_Toc513559397"/>
      <w:bookmarkStart w:id="99" w:name="_Toc514924630"/>
      <w:r>
        <w:lastRenderedPageBreak/>
        <w:t>Residential real estate measures</w:t>
      </w:r>
      <w:bookmarkEnd w:id="89"/>
      <w:bookmarkEnd w:id="90"/>
      <w:bookmarkEnd w:id="91"/>
      <w:bookmarkEnd w:id="92"/>
      <w:bookmarkEnd w:id="93"/>
      <w:bookmarkEnd w:id="94"/>
      <w:bookmarkEnd w:id="95"/>
      <w:bookmarkEnd w:id="96"/>
      <w:bookmarkEnd w:id="97"/>
      <w:bookmarkEnd w:id="98"/>
      <w:bookmarkEnd w:id="99"/>
    </w:p>
    <w:p w14:paraId="283F4A48" w14:textId="3D46497B" w:rsidR="009A2F05" w:rsidRPr="00041382" w:rsidRDefault="009A2F05" w:rsidP="009A2F05">
      <w:pPr>
        <w:rPr>
          <w:szCs w:val="24"/>
        </w:rPr>
      </w:pPr>
      <w:r w:rsidRPr="00041382">
        <w:rPr>
          <w:szCs w:val="24"/>
        </w:rPr>
        <w:t>In the 2017</w:t>
      </w:r>
      <w:r w:rsidR="00CD7E4F">
        <w:rPr>
          <w:szCs w:val="24"/>
        </w:rPr>
        <w:t>–</w:t>
      </w:r>
      <w:r w:rsidRPr="00041382">
        <w:rPr>
          <w:szCs w:val="24"/>
        </w:rPr>
        <w:t>18 Budget</w:t>
      </w:r>
      <w:r w:rsidR="001A1745">
        <w:rPr>
          <w:szCs w:val="24"/>
        </w:rPr>
        <w:t>,</w:t>
      </w:r>
      <w:r w:rsidRPr="00041382">
        <w:rPr>
          <w:szCs w:val="24"/>
        </w:rPr>
        <w:t xml:space="preserve"> the Government announced stronger rules for foreign investors </w:t>
      </w:r>
      <w:r w:rsidR="005128B1">
        <w:rPr>
          <w:szCs w:val="24"/>
        </w:rPr>
        <w:t xml:space="preserve">who </w:t>
      </w:r>
      <w:r w:rsidRPr="00041382">
        <w:rPr>
          <w:szCs w:val="24"/>
        </w:rPr>
        <w:t>own Australian housing</w:t>
      </w:r>
      <w:r>
        <w:rPr>
          <w:szCs w:val="24"/>
        </w:rPr>
        <w:t>,</w:t>
      </w:r>
      <w:r w:rsidRPr="00041382">
        <w:rPr>
          <w:szCs w:val="24"/>
        </w:rPr>
        <w:t xml:space="preserve"> which took effect on Budget night </w:t>
      </w:r>
      <w:r>
        <w:rPr>
          <w:szCs w:val="24"/>
        </w:rPr>
        <w:t>(</w:t>
      </w:r>
      <w:r w:rsidRPr="00041382">
        <w:rPr>
          <w:szCs w:val="24"/>
        </w:rPr>
        <w:t>7:30pm on 9 May 2017</w:t>
      </w:r>
      <w:r>
        <w:rPr>
          <w:szCs w:val="24"/>
        </w:rPr>
        <w:t>)</w:t>
      </w:r>
      <w:r w:rsidRPr="00041382">
        <w:rPr>
          <w:szCs w:val="24"/>
        </w:rPr>
        <w:t>.</w:t>
      </w:r>
      <w:r>
        <w:rPr>
          <w:szCs w:val="24"/>
        </w:rPr>
        <w:t xml:space="preserve"> </w:t>
      </w:r>
      <w:r w:rsidRPr="00041382">
        <w:rPr>
          <w:szCs w:val="24"/>
        </w:rPr>
        <w:t>The housing measures form part of a package of measures designed to increase housing supply and affordability for Australians.</w:t>
      </w:r>
    </w:p>
    <w:p w14:paraId="1F117ECE" w14:textId="7FB94414" w:rsidR="009A2F05" w:rsidRPr="00041382" w:rsidRDefault="009A2F05" w:rsidP="009A2F05">
      <w:pPr>
        <w:rPr>
          <w:szCs w:val="24"/>
        </w:rPr>
      </w:pPr>
      <w:r w:rsidRPr="00041382">
        <w:rPr>
          <w:szCs w:val="24"/>
        </w:rPr>
        <w:t xml:space="preserve">The changes complement the Government’s foreign investment policy which aims to increase Australia’s housing stock by </w:t>
      </w:r>
      <w:r>
        <w:rPr>
          <w:szCs w:val="24"/>
        </w:rPr>
        <w:t>encouraging</w:t>
      </w:r>
      <w:r w:rsidRPr="00041382">
        <w:rPr>
          <w:szCs w:val="24"/>
        </w:rPr>
        <w:t xml:space="preserve"> the use of residential dwellings and capping the level of foreign investment in </w:t>
      </w:r>
      <w:r>
        <w:rPr>
          <w:szCs w:val="24"/>
        </w:rPr>
        <w:t>new residential developments.</w:t>
      </w:r>
    </w:p>
    <w:p w14:paraId="7D3A65B8" w14:textId="68BCCDF8" w:rsidR="009A2F05" w:rsidRPr="00041382" w:rsidRDefault="009A2F05" w:rsidP="009A2F05">
      <w:pPr>
        <w:rPr>
          <w:szCs w:val="24"/>
        </w:rPr>
      </w:pPr>
      <w:r w:rsidRPr="00041382">
        <w:rPr>
          <w:szCs w:val="24"/>
        </w:rPr>
        <w:t>To discourage foreign owners of residential properties from leaving these properties vacant, an annual vacancy charge will be payable if the property is not occupied or available to rent for at least six months in a 12 month period.</w:t>
      </w:r>
      <w:r>
        <w:rPr>
          <w:szCs w:val="24"/>
        </w:rPr>
        <w:t xml:space="preserve"> </w:t>
      </w:r>
      <w:r w:rsidRPr="00041382">
        <w:rPr>
          <w:szCs w:val="24"/>
        </w:rPr>
        <w:t>The annual vacancy charge appl</w:t>
      </w:r>
      <w:r w:rsidR="00A2540C">
        <w:rPr>
          <w:szCs w:val="24"/>
        </w:rPr>
        <w:t>ies</w:t>
      </w:r>
      <w:r w:rsidRPr="00041382">
        <w:rPr>
          <w:szCs w:val="24"/>
        </w:rPr>
        <w:t xml:space="preserve"> to foreign persons who make a foreign investment application for residential property from 7.30pm on 9</w:t>
      </w:r>
      <w:r w:rsidR="00431BE2">
        <w:rPr>
          <w:szCs w:val="24"/>
        </w:rPr>
        <w:t> </w:t>
      </w:r>
      <w:r w:rsidRPr="00041382">
        <w:rPr>
          <w:szCs w:val="24"/>
        </w:rPr>
        <w:t>May 2017.</w:t>
      </w:r>
    </w:p>
    <w:p w14:paraId="445D4F96" w14:textId="5A09A547" w:rsidR="009A2F05" w:rsidRDefault="009A2F05" w:rsidP="009A2F05">
      <w:pPr>
        <w:rPr>
          <w:szCs w:val="24"/>
        </w:rPr>
      </w:pPr>
      <w:r w:rsidRPr="00041382">
        <w:rPr>
          <w:szCs w:val="24"/>
        </w:rPr>
        <w:t xml:space="preserve">The Government </w:t>
      </w:r>
      <w:r w:rsidR="00A2540C">
        <w:rPr>
          <w:szCs w:val="24"/>
        </w:rPr>
        <w:t>has</w:t>
      </w:r>
      <w:r w:rsidRPr="00041382">
        <w:rPr>
          <w:szCs w:val="24"/>
        </w:rPr>
        <w:t xml:space="preserve"> ensure</w:t>
      </w:r>
      <w:r w:rsidR="00A2540C">
        <w:rPr>
          <w:szCs w:val="24"/>
        </w:rPr>
        <w:t>d</w:t>
      </w:r>
      <w:r w:rsidRPr="00041382">
        <w:rPr>
          <w:szCs w:val="24"/>
        </w:rPr>
        <w:t xml:space="preserve"> that dwellings in new developments in Australia are kept available for Australians by introducing a 50 per cent cap on </w:t>
      </w:r>
      <w:r>
        <w:rPr>
          <w:szCs w:val="24"/>
        </w:rPr>
        <w:t>pre-</w:t>
      </w:r>
      <w:r w:rsidRPr="00041382">
        <w:rPr>
          <w:szCs w:val="24"/>
        </w:rPr>
        <w:t>approvals of foreign ownership in new developments. The new 50 per cent cap builds on the existing rules to ensure Australian buyers have access to a greater pool of homes to buy in these new</w:t>
      </w:r>
      <w:r w:rsidR="00F72641">
        <w:rPr>
          <w:szCs w:val="24"/>
        </w:rPr>
        <w:t> </w:t>
      </w:r>
      <w:r w:rsidRPr="00041382">
        <w:rPr>
          <w:szCs w:val="24"/>
        </w:rPr>
        <w:t>developments.</w:t>
      </w:r>
    </w:p>
    <w:p w14:paraId="7FEB131E" w14:textId="24B6BA91" w:rsidR="006A1D24" w:rsidRDefault="006A1D24" w:rsidP="00616E37">
      <w:pPr>
        <w:pStyle w:val="Heading2"/>
      </w:pPr>
      <w:bookmarkStart w:id="100" w:name="_Toc512259057"/>
      <w:bookmarkStart w:id="101" w:name="_Toc512523479"/>
      <w:bookmarkStart w:id="102" w:name="_Toc512524848"/>
      <w:bookmarkStart w:id="103" w:name="_Toc513021737"/>
      <w:bookmarkStart w:id="104" w:name="_Toc513122755"/>
      <w:bookmarkStart w:id="105" w:name="_Toc513131325"/>
      <w:bookmarkStart w:id="106" w:name="_Toc513456058"/>
      <w:bookmarkStart w:id="107" w:name="_Toc513457304"/>
      <w:bookmarkStart w:id="108" w:name="_Toc513557382"/>
      <w:bookmarkStart w:id="109" w:name="_Toc513559398"/>
      <w:bookmarkStart w:id="110" w:name="_Toc514924631"/>
      <w:r w:rsidRPr="00F77EFA">
        <w:t>Foreign ownership registers</w:t>
      </w:r>
      <w:bookmarkEnd w:id="100"/>
      <w:bookmarkEnd w:id="101"/>
      <w:bookmarkEnd w:id="102"/>
      <w:bookmarkEnd w:id="103"/>
      <w:bookmarkEnd w:id="104"/>
      <w:bookmarkEnd w:id="105"/>
      <w:bookmarkEnd w:id="106"/>
      <w:bookmarkEnd w:id="107"/>
      <w:bookmarkEnd w:id="108"/>
      <w:bookmarkEnd w:id="109"/>
      <w:bookmarkEnd w:id="110"/>
    </w:p>
    <w:p w14:paraId="78495BD5" w14:textId="4010E725" w:rsidR="006A1D24" w:rsidRDefault="006A1D24" w:rsidP="006A1D24">
      <w:pPr>
        <w:rPr>
          <w:szCs w:val="24"/>
        </w:rPr>
      </w:pPr>
      <w:r>
        <w:t xml:space="preserve">To provide greater transparency on foreign ownership </w:t>
      </w:r>
      <w:r w:rsidR="00753AE5">
        <w:t xml:space="preserve">on certain assets </w:t>
      </w:r>
      <w:r>
        <w:t xml:space="preserve">in Australia, the Government has </w:t>
      </w:r>
      <w:r w:rsidR="00A2540C">
        <w:rPr>
          <w:szCs w:val="24"/>
        </w:rPr>
        <w:t>established</w:t>
      </w:r>
      <w:r w:rsidRPr="007A6B00">
        <w:rPr>
          <w:szCs w:val="24"/>
        </w:rPr>
        <w:t xml:space="preserve"> </w:t>
      </w:r>
      <w:r w:rsidR="006B70F2">
        <w:rPr>
          <w:szCs w:val="24"/>
        </w:rPr>
        <w:t>a</w:t>
      </w:r>
      <w:r w:rsidR="006B70F2" w:rsidRPr="007A6B00">
        <w:rPr>
          <w:szCs w:val="24"/>
        </w:rPr>
        <w:t>gricultural</w:t>
      </w:r>
      <w:r w:rsidR="009269E6">
        <w:rPr>
          <w:szCs w:val="24"/>
        </w:rPr>
        <w:t xml:space="preserve"> land</w:t>
      </w:r>
      <w:r w:rsidRPr="007A6B00">
        <w:rPr>
          <w:szCs w:val="24"/>
        </w:rPr>
        <w:t xml:space="preserve"> and </w:t>
      </w:r>
      <w:r w:rsidR="006B70F2">
        <w:rPr>
          <w:szCs w:val="24"/>
        </w:rPr>
        <w:t>w</w:t>
      </w:r>
      <w:r w:rsidR="006B70F2" w:rsidRPr="007A6B00">
        <w:rPr>
          <w:szCs w:val="24"/>
        </w:rPr>
        <w:t xml:space="preserve">ater </w:t>
      </w:r>
      <w:r w:rsidR="006B70F2">
        <w:rPr>
          <w:szCs w:val="24"/>
        </w:rPr>
        <w:t>e</w:t>
      </w:r>
      <w:r w:rsidR="006B70F2" w:rsidRPr="007A6B00">
        <w:rPr>
          <w:szCs w:val="24"/>
        </w:rPr>
        <w:t xml:space="preserve">ntitlement </w:t>
      </w:r>
      <w:r w:rsidR="006B70F2">
        <w:rPr>
          <w:szCs w:val="24"/>
        </w:rPr>
        <w:t>r</w:t>
      </w:r>
      <w:r w:rsidR="006B70F2" w:rsidRPr="007A6B00">
        <w:rPr>
          <w:szCs w:val="24"/>
        </w:rPr>
        <w:t>egisters</w:t>
      </w:r>
      <w:r w:rsidR="00A2540C" w:rsidRPr="00A2540C">
        <w:rPr>
          <w:szCs w:val="24"/>
        </w:rPr>
        <w:t xml:space="preserve"> </w:t>
      </w:r>
      <w:r w:rsidR="00A2540C">
        <w:rPr>
          <w:szCs w:val="24"/>
        </w:rPr>
        <w:t>and is in the process of establishing a r</w:t>
      </w:r>
      <w:r w:rsidR="00A2540C" w:rsidRPr="007A6B00">
        <w:rPr>
          <w:szCs w:val="24"/>
        </w:rPr>
        <w:t xml:space="preserve">esidential </w:t>
      </w:r>
      <w:r w:rsidR="00A2540C">
        <w:rPr>
          <w:szCs w:val="24"/>
        </w:rPr>
        <w:t>l</w:t>
      </w:r>
      <w:r w:rsidR="00A2540C" w:rsidRPr="007A6B00">
        <w:rPr>
          <w:szCs w:val="24"/>
        </w:rPr>
        <w:t>and</w:t>
      </w:r>
      <w:r w:rsidR="00A2540C">
        <w:rPr>
          <w:szCs w:val="24"/>
        </w:rPr>
        <w:t xml:space="preserve"> register</w:t>
      </w:r>
      <w:r w:rsidRPr="007A6B00">
        <w:rPr>
          <w:szCs w:val="24"/>
        </w:rPr>
        <w:t xml:space="preserve">. </w:t>
      </w:r>
      <w:r w:rsidR="000A1EDC" w:rsidRPr="001044AC">
        <w:rPr>
          <w:color w:val="auto"/>
          <w:szCs w:val="24"/>
        </w:rPr>
        <w:t xml:space="preserve">The registers </w:t>
      </w:r>
      <w:r w:rsidR="001044AC">
        <w:rPr>
          <w:color w:val="auto"/>
          <w:szCs w:val="24"/>
        </w:rPr>
        <w:t xml:space="preserve">are </w:t>
      </w:r>
      <w:r w:rsidR="000A1EDC" w:rsidRPr="001044AC">
        <w:rPr>
          <w:color w:val="auto"/>
          <w:szCs w:val="24"/>
        </w:rPr>
        <w:t>used to create publicly available reports that contain aggregated data on the level of foreign ownership in these sectors in Australia.</w:t>
      </w:r>
    </w:p>
    <w:p w14:paraId="3154F6D6" w14:textId="77777777" w:rsidR="006A1D24" w:rsidRPr="007A6B00" w:rsidRDefault="006A1D24" w:rsidP="00616E37">
      <w:pPr>
        <w:pStyle w:val="Heading3"/>
      </w:pPr>
      <w:r>
        <w:t>Agricultural Land Register</w:t>
      </w:r>
    </w:p>
    <w:p w14:paraId="238E3E58" w14:textId="5118FAEB" w:rsidR="006A1D24" w:rsidRPr="007A6B00" w:rsidRDefault="006A1D24" w:rsidP="006A1D24">
      <w:pPr>
        <w:rPr>
          <w:szCs w:val="24"/>
        </w:rPr>
      </w:pPr>
      <w:r w:rsidRPr="007A6B00">
        <w:rPr>
          <w:szCs w:val="24"/>
        </w:rPr>
        <w:t>Foreign persons with an interest in agricultural land are required to register that interest on the Agricultural Land Register, regardless of the value of the land.</w:t>
      </w:r>
      <w:r w:rsidR="006B70F2">
        <w:rPr>
          <w:szCs w:val="24"/>
        </w:rPr>
        <w:t xml:space="preserve"> </w:t>
      </w:r>
      <w:r w:rsidRPr="007A6B00">
        <w:rPr>
          <w:szCs w:val="24"/>
        </w:rPr>
        <w:t xml:space="preserve">On 29 September 2017, the second report from the register was released </w:t>
      </w:r>
      <w:proofErr w:type="gramStart"/>
      <w:r w:rsidRPr="007A6B00">
        <w:rPr>
          <w:szCs w:val="24"/>
        </w:rPr>
        <w:t>(the 2016</w:t>
      </w:r>
      <w:r w:rsidR="00CD7E4F">
        <w:rPr>
          <w:szCs w:val="24"/>
        </w:rPr>
        <w:t>–</w:t>
      </w:r>
      <w:r w:rsidRPr="007A6B00">
        <w:rPr>
          <w:szCs w:val="24"/>
        </w:rPr>
        <w:t>17 Agricultural Land Report)</w:t>
      </w:r>
      <w:proofErr w:type="gramEnd"/>
      <w:r w:rsidRPr="007A6B00">
        <w:rPr>
          <w:szCs w:val="24"/>
        </w:rPr>
        <w:t>.</w:t>
      </w:r>
    </w:p>
    <w:p w14:paraId="0C0C0B74" w14:textId="0CF4F505" w:rsidR="009269E6" w:rsidRDefault="006A1D24" w:rsidP="006A1D24">
      <w:pPr>
        <w:rPr>
          <w:szCs w:val="24"/>
        </w:rPr>
      </w:pPr>
      <w:r w:rsidRPr="007A6B00">
        <w:rPr>
          <w:szCs w:val="24"/>
        </w:rPr>
        <w:t>As at 30 June 2017, based on the registered properties, foreign investors held 13.6 per cent of Australian agricultural land. This is a slight reduction from 14.1 per cent at 30</w:t>
      </w:r>
      <w:r w:rsidR="00D00636">
        <w:rPr>
          <w:szCs w:val="24"/>
        </w:rPr>
        <w:t> </w:t>
      </w:r>
      <w:r w:rsidRPr="007A6B00">
        <w:rPr>
          <w:szCs w:val="24"/>
        </w:rPr>
        <w:t>June</w:t>
      </w:r>
      <w:r w:rsidR="006B70F2">
        <w:rPr>
          <w:szCs w:val="24"/>
        </w:rPr>
        <w:t> </w:t>
      </w:r>
      <w:r w:rsidRPr="007A6B00">
        <w:rPr>
          <w:szCs w:val="24"/>
        </w:rPr>
        <w:t>2016.</w:t>
      </w:r>
      <w:r w:rsidR="005D340D">
        <w:rPr>
          <w:szCs w:val="24"/>
        </w:rPr>
        <w:t xml:space="preserve"> </w:t>
      </w:r>
      <w:r w:rsidR="00834ECE">
        <w:rPr>
          <w:szCs w:val="24"/>
        </w:rPr>
        <w:t>T</w:t>
      </w:r>
      <w:r w:rsidR="006132AA">
        <w:t>he United Kingdom remains the largest foreign agricultural land holder (2.6</w:t>
      </w:r>
      <w:r w:rsidR="00753AE5">
        <w:t> </w:t>
      </w:r>
      <w:r w:rsidR="006132AA">
        <w:t>per</w:t>
      </w:r>
      <w:r w:rsidR="00753AE5">
        <w:t> </w:t>
      </w:r>
      <w:r w:rsidR="006132AA">
        <w:t>cent of agricultural land), followed by China (2.5 per cent of agricultural land) and the United States of America (0.7 per cent of agricultural land).</w:t>
      </w:r>
    </w:p>
    <w:p w14:paraId="7AA1449E" w14:textId="77777777" w:rsidR="009269E6" w:rsidRDefault="009269E6">
      <w:pPr>
        <w:rPr>
          <w:szCs w:val="24"/>
        </w:rPr>
      </w:pPr>
      <w:r>
        <w:rPr>
          <w:szCs w:val="24"/>
        </w:rPr>
        <w:br w:type="page"/>
      </w:r>
    </w:p>
    <w:p w14:paraId="498246AF" w14:textId="27D0A134" w:rsidR="00D00636" w:rsidRDefault="007C5FC2" w:rsidP="002972EE">
      <w:pPr>
        <w:pStyle w:val="ChartHeading"/>
      </w:pPr>
      <w:r>
        <w:lastRenderedPageBreak/>
        <w:t>Chart 2.</w:t>
      </w:r>
      <w:r w:rsidR="00EE3F95">
        <w:t>1</w:t>
      </w:r>
      <w:r w:rsidR="00D00636">
        <w:t>: Proportion of agricultural land with a level of foreign ownership</w:t>
      </w:r>
    </w:p>
    <w:p w14:paraId="7585636F" w14:textId="7A19F46E" w:rsidR="00CA4734" w:rsidRPr="00CA4734" w:rsidRDefault="00CA4734" w:rsidP="002972EE">
      <w:pPr>
        <w:pStyle w:val="ChartGraphic"/>
      </w:pPr>
      <w:r w:rsidRPr="002972EE">
        <w:rPr>
          <w:noProof/>
        </w:rPr>
        <w:drawing>
          <wp:inline distT="0" distB="0" distL="0" distR="0" wp14:anchorId="4A5AD7FC" wp14:editId="58E23E3A">
            <wp:extent cx="4883787" cy="4468634"/>
            <wp:effectExtent l="0" t="0" r="0" b="8255"/>
            <wp:docPr id="21" name="Picture 21" descr="\\tweb\DavWWWRoot\sites\mg\fitpd\Lfirbannualrport\2016-17\ATO data\AglandHeatMap2017Report.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tweb\DavWWWRoot\sites\mg\fitpd\Lfirbannualrport\2016-17\ATO data\AglandHeatMap2017Report.bmp"/>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898481" cy="4482079"/>
                    </a:xfrm>
                    <a:prstGeom prst="rect">
                      <a:avLst/>
                    </a:prstGeom>
                    <a:noFill/>
                    <a:ln>
                      <a:noFill/>
                    </a:ln>
                  </pic:spPr>
                </pic:pic>
              </a:graphicData>
            </a:graphic>
          </wp:inline>
        </w:drawing>
      </w:r>
    </w:p>
    <w:p w14:paraId="643D5B23" w14:textId="57BC3405" w:rsidR="00616E37" w:rsidRPr="00526C19" w:rsidRDefault="00D00636" w:rsidP="002972EE">
      <w:pPr>
        <w:pStyle w:val="Source"/>
      </w:pPr>
      <w:r>
        <w:t>Source:</w:t>
      </w:r>
      <w:r w:rsidRPr="00526C19">
        <w:t xml:space="preserve"> ATO, 2017</w:t>
      </w:r>
      <w:r w:rsidR="003623C7">
        <w:t>.</w:t>
      </w:r>
    </w:p>
    <w:p w14:paraId="7EC84842" w14:textId="41CFF2B4" w:rsidR="006A1D24" w:rsidRPr="007A6B00" w:rsidRDefault="006A1D24" w:rsidP="00616E37">
      <w:pPr>
        <w:pStyle w:val="Heading3"/>
      </w:pPr>
      <w:r>
        <w:t>Water Entitlement Register</w:t>
      </w:r>
    </w:p>
    <w:p w14:paraId="64891518" w14:textId="06D0BDC4" w:rsidR="006A1D24" w:rsidRPr="007A6B00" w:rsidRDefault="006A1D24" w:rsidP="006A1D24">
      <w:pPr>
        <w:rPr>
          <w:szCs w:val="24"/>
        </w:rPr>
      </w:pPr>
      <w:r w:rsidRPr="007A6B00">
        <w:rPr>
          <w:szCs w:val="24"/>
        </w:rPr>
        <w:t>On 1 July 2017, th</w:t>
      </w:r>
      <w:r w:rsidR="00997B9B">
        <w:rPr>
          <w:szCs w:val="24"/>
        </w:rPr>
        <w:t xml:space="preserve">e Government introduced a Water </w:t>
      </w:r>
      <w:r w:rsidR="007C62B6">
        <w:rPr>
          <w:szCs w:val="24"/>
        </w:rPr>
        <w:t xml:space="preserve">Entitlement </w:t>
      </w:r>
      <w:r w:rsidRPr="007A6B00">
        <w:rPr>
          <w:szCs w:val="24"/>
        </w:rPr>
        <w:t>Register to increase transparency around foreign ownership of water entitlements.</w:t>
      </w:r>
    </w:p>
    <w:p w14:paraId="79FB22FD" w14:textId="28302598" w:rsidR="006A1D24" w:rsidRDefault="006A1D24" w:rsidP="006A1D24">
      <w:r w:rsidRPr="007A6B00">
        <w:rPr>
          <w:szCs w:val="24"/>
        </w:rPr>
        <w:t xml:space="preserve">The Water </w:t>
      </w:r>
      <w:r w:rsidR="007C62B6">
        <w:rPr>
          <w:szCs w:val="24"/>
        </w:rPr>
        <w:t xml:space="preserve">Entitlement </w:t>
      </w:r>
      <w:r w:rsidRPr="007A6B00">
        <w:rPr>
          <w:szCs w:val="24"/>
        </w:rPr>
        <w:t>Register will operate in much the same way as the existing Agricultural Land Register and will be administered by the ATO. Foreign persons are required to register their interests in registrable</w:t>
      </w:r>
      <w:r>
        <w:t xml:space="preserve"> water entitlements and contractual water rights, and certain changes in those interests, regardless of value, with the ATO. A stocktake period </w:t>
      </w:r>
      <w:r w:rsidR="007C62B6">
        <w:t>took</w:t>
      </w:r>
      <w:r>
        <w:t xml:space="preserve"> place between 1 July 2017 and 30 November 2017.</w:t>
      </w:r>
    </w:p>
    <w:p w14:paraId="1EC88328" w14:textId="327ACB0F" w:rsidR="008A75B8" w:rsidRPr="00CA4734" w:rsidRDefault="006A1D24" w:rsidP="00CA4734">
      <w:r>
        <w:t xml:space="preserve">The first report of registrations on the Water </w:t>
      </w:r>
      <w:r w:rsidR="007C62B6">
        <w:rPr>
          <w:szCs w:val="24"/>
        </w:rPr>
        <w:t xml:space="preserve">Entitlement </w:t>
      </w:r>
      <w:r>
        <w:t xml:space="preserve">Register </w:t>
      </w:r>
      <w:r w:rsidR="003623C7">
        <w:t>is to</w:t>
      </w:r>
      <w:r>
        <w:t xml:space="preserve"> be released in the second half of 2018.</w:t>
      </w:r>
      <w:r w:rsidR="008A75B8">
        <w:br w:type="page"/>
      </w:r>
    </w:p>
    <w:p w14:paraId="18C1B0A1" w14:textId="63B48112" w:rsidR="006A1D24" w:rsidRDefault="006A1D24" w:rsidP="00616E37">
      <w:pPr>
        <w:pStyle w:val="Heading3"/>
      </w:pPr>
      <w:r>
        <w:lastRenderedPageBreak/>
        <w:t>Residential Land Register</w:t>
      </w:r>
    </w:p>
    <w:p w14:paraId="59A1DF29" w14:textId="41C009E5" w:rsidR="006A1D24" w:rsidRDefault="006A1D24" w:rsidP="006A1D24">
      <w:r>
        <w:t xml:space="preserve">The </w:t>
      </w:r>
      <w:r w:rsidR="00D00EF5">
        <w:t>Australian Government</w:t>
      </w:r>
      <w:r>
        <w:t xml:space="preserve"> provided $16 million to the states and territories under a National Partnership Payment to enable them to undertake systems changes to transfer the data on sales and transfers of real property involving foreign persons to the ATO.</w:t>
      </w:r>
      <w:r w:rsidR="007C62B6">
        <w:t xml:space="preserve"> Many states have had to implement legislative change to support this reporting which has delayed the establishment of the Register.</w:t>
      </w:r>
    </w:p>
    <w:p w14:paraId="31FB1D75" w14:textId="7AD854DF" w:rsidR="006A1D24" w:rsidRDefault="006A1D24" w:rsidP="006A1D24">
      <w:r>
        <w:t>Aggregated data collected through the Residential Land Register of foreign owned properties is expected to be publically released</w:t>
      </w:r>
      <w:r w:rsidR="00464285">
        <w:t xml:space="preserve"> </w:t>
      </w:r>
      <w:r w:rsidR="007C62B6">
        <w:t>towards the end</w:t>
      </w:r>
      <w:r w:rsidR="00464285">
        <w:t xml:space="preserve"> of 2</w:t>
      </w:r>
      <w:r w:rsidR="007C62B6">
        <w:t>018</w:t>
      </w:r>
      <w:r>
        <w:t>.</w:t>
      </w:r>
    </w:p>
    <w:p w14:paraId="4877B190" w14:textId="325BF641" w:rsidR="00AD0B66" w:rsidRDefault="00AD0B66" w:rsidP="00AD0B66">
      <w:pPr>
        <w:pStyle w:val="Heading2"/>
      </w:pPr>
      <w:bookmarkStart w:id="111" w:name="_Toc512259058"/>
      <w:bookmarkStart w:id="112" w:name="_Toc512523480"/>
      <w:bookmarkStart w:id="113" w:name="_Toc512524849"/>
      <w:bookmarkStart w:id="114" w:name="_Toc513021738"/>
      <w:bookmarkStart w:id="115" w:name="_Toc513122756"/>
      <w:bookmarkStart w:id="116" w:name="_Toc513131326"/>
      <w:bookmarkStart w:id="117" w:name="_Toc513456059"/>
      <w:bookmarkStart w:id="118" w:name="_Toc513457305"/>
      <w:bookmarkStart w:id="119" w:name="_Toc513557383"/>
      <w:bookmarkStart w:id="120" w:name="_Toc513559399"/>
      <w:bookmarkStart w:id="121" w:name="_Toc514924632"/>
      <w:r>
        <w:t xml:space="preserve">Stakeholder </w:t>
      </w:r>
      <w:r w:rsidR="00F23F65">
        <w:t>engagement</w:t>
      </w:r>
      <w:bookmarkEnd w:id="111"/>
      <w:bookmarkEnd w:id="112"/>
      <w:bookmarkEnd w:id="113"/>
      <w:bookmarkEnd w:id="114"/>
      <w:bookmarkEnd w:id="115"/>
      <w:bookmarkEnd w:id="116"/>
      <w:bookmarkEnd w:id="117"/>
      <w:bookmarkEnd w:id="118"/>
      <w:bookmarkEnd w:id="119"/>
      <w:bookmarkEnd w:id="120"/>
      <w:bookmarkEnd w:id="121"/>
    </w:p>
    <w:p w14:paraId="0644C499" w14:textId="07217A94" w:rsidR="00017B57" w:rsidRPr="00017B57" w:rsidRDefault="00017B57" w:rsidP="00017B57">
      <w:r w:rsidRPr="00017B57">
        <w:t xml:space="preserve">An effective and robust foreign investment framework requires an informed and engaged investment community. The </w:t>
      </w:r>
      <w:r w:rsidR="007F72FF">
        <w:t>FIRB</w:t>
      </w:r>
      <w:r w:rsidR="007C62B6">
        <w:t xml:space="preserve">, Treasury and the ATO </w:t>
      </w:r>
      <w:r w:rsidRPr="00017B57">
        <w:t xml:space="preserve">prioritise regular and meaningful engagement with stakeholders. This ‘two-way flow’ of information enables the </w:t>
      </w:r>
      <w:r w:rsidR="007F72FF">
        <w:t>FIRB</w:t>
      </w:r>
      <w:r w:rsidR="00AE5834">
        <w:t xml:space="preserve">, </w:t>
      </w:r>
      <w:r w:rsidR="007C62B6">
        <w:t>Treasury</w:t>
      </w:r>
      <w:r w:rsidRPr="00017B57">
        <w:t xml:space="preserve"> </w:t>
      </w:r>
      <w:r w:rsidR="00AE5834">
        <w:t xml:space="preserve">and the ATO </w:t>
      </w:r>
      <w:r w:rsidRPr="00017B57">
        <w:t>to provide information on the framework as well as obtaining valuable feedback on its operation and the broader investment environment.</w:t>
      </w:r>
    </w:p>
    <w:p w14:paraId="2EEBA2DD" w14:textId="6EDEFE93" w:rsidR="00017B57" w:rsidRPr="00017B57" w:rsidRDefault="00017B57" w:rsidP="00431BE2">
      <w:pPr>
        <w:spacing w:after="120"/>
      </w:pPr>
      <w:r w:rsidRPr="00017B57">
        <w:t>The comprehensive stakeholder engagement strategy focuses on:</w:t>
      </w:r>
    </w:p>
    <w:p w14:paraId="20D3B7C0" w14:textId="5D3F1981" w:rsidR="00017B57" w:rsidRPr="0014043A" w:rsidRDefault="00017B57" w:rsidP="00C27882">
      <w:pPr>
        <w:pStyle w:val="FIRBBulletpoint"/>
      </w:pPr>
      <w:r w:rsidRPr="0014043A">
        <w:t>providing information and seeking feedback on foreign investment policy, processes and reforms;</w:t>
      </w:r>
    </w:p>
    <w:p w14:paraId="753D14D1" w14:textId="3F630755" w:rsidR="00017B57" w:rsidRPr="0014043A" w:rsidRDefault="00017B57" w:rsidP="00C27882">
      <w:pPr>
        <w:pStyle w:val="FIRBBulletpoint"/>
      </w:pPr>
      <w:r w:rsidRPr="0014043A">
        <w:t>building and maintaining relationships to understand perspectives from the investment community;</w:t>
      </w:r>
    </w:p>
    <w:p w14:paraId="49BE29C2" w14:textId="02C76999" w:rsidR="00AE5834" w:rsidRPr="0014043A" w:rsidRDefault="00AE5834" w:rsidP="00C27882">
      <w:pPr>
        <w:pStyle w:val="FIRBBulletpoint"/>
      </w:pPr>
      <w:r w:rsidRPr="0014043A">
        <w:t>educating investors and their advisers about the operation of the foreign investment rules;</w:t>
      </w:r>
    </w:p>
    <w:p w14:paraId="43548E7C" w14:textId="1A61777E" w:rsidR="00017B57" w:rsidRPr="0014043A" w:rsidRDefault="00017B57" w:rsidP="00C27882">
      <w:pPr>
        <w:pStyle w:val="FIRBBulletpoint"/>
      </w:pPr>
      <w:r w:rsidRPr="0014043A">
        <w:t xml:space="preserve">exploring specific trends and issues, to ensure the </w:t>
      </w:r>
      <w:r w:rsidR="007F72FF" w:rsidRPr="0014043A">
        <w:t>FIRB</w:t>
      </w:r>
      <w:r w:rsidRPr="0014043A">
        <w:t xml:space="preserve"> remains informed of emerging issues; and</w:t>
      </w:r>
    </w:p>
    <w:p w14:paraId="1DEB0EEE" w14:textId="5005D02D" w:rsidR="00017B57" w:rsidRPr="0014043A" w:rsidRDefault="00017B57" w:rsidP="00C27882">
      <w:pPr>
        <w:pStyle w:val="FIRBBulletpoint"/>
      </w:pPr>
      <w:proofErr w:type="gramStart"/>
      <w:r w:rsidRPr="0014043A">
        <w:t>working</w:t>
      </w:r>
      <w:proofErr w:type="gramEnd"/>
      <w:r w:rsidRPr="0014043A">
        <w:t xml:space="preserve"> effectively with </w:t>
      </w:r>
      <w:r w:rsidR="001E731C" w:rsidRPr="0014043A">
        <w:t>Commonwealth, State, and Territory</w:t>
      </w:r>
      <w:r w:rsidRPr="0014043A">
        <w:t xml:space="preserve"> consultation partners to assess foreign investment applications.</w:t>
      </w:r>
    </w:p>
    <w:p w14:paraId="232F6775" w14:textId="44643C14" w:rsidR="00017B57" w:rsidRPr="00017B57" w:rsidRDefault="00D00636" w:rsidP="00017B57">
      <w:r>
        <w:t>During</w:t>
      </w:r>
      <w:r w:rsidRPr="00017B57">
        <w:t xml:space="preserve"> </w:t>
      </w:r>
      <w:r w:rsidR="00017B57" w:rsidRPr="00017B57">
        <w:t>2016</w:t>
      </w:r>
      <w:r w:rsidR="00CD7E4F">
        <w:t>–</w:t>
      </w:r>
      <w:r w:rsidR="00017B57" w:rsidRPr="00017B57">
        <w:t xml:space="preserve">17, Treasury </w:t>
      </w:r>
      <w:r w:rsidR="00260A7E">
        <w:t>conducted</w:t>
      </w:r>
      <w:r w:rsidR="00260A7E" w:rsidRPr="00017B57">
        <w:t xml:space="preserve"> </w:t>
      </w:r>
      <w:r w:rsidR="00017B57" w:rsidRPr="00017B57">
        <w:t>over 270 meetings with stakeholders across Australia, including investors, lawyers, financial advisory firms, industry associations, think tanks and other members of the investment community. As part of efforts to improve awareness and understanding of Australia’s foreign investment regime,</w:t>
      </w:r>
      <w:r w:rsidR="006B70F2">
        <w:t xml:space="preserve"> </w:t>
      </w:r>
      <w:r w:rsidR="00017B57" w:rsidRPr="00017B57">
        <w:t xml:space="preserve">Treasury and FIRB Members also met with a number of investors and government agencies </w:t>
      </w:r>
      <w:r w:rsidR="00D807A8">
        <w:t>of</w:t>
      </w:r>
      <w:r w:rsidR="00017B57" w:rsidRPr="00017B57">
        <w:t xml:space="preserve"> key investor countries.</w:t>
      </w:r>
      <w:r w:rsidR="00260A7E" w:rsidRPr="00260A7E">
        <w:t xml:space="preserve"> </w:t>
      </w:r>
      <w:r w:rsidR="00260A7E" w:rsidRPr="00017B57">
        <w:t xml:space="preserve">The location of some members of the </w:t>
      </w:r>
      <w:r w:rsidR="00260A7E">
        <w:t xml:space="preserve">Foreign Investment Division in </w:t>
      </w:r>
      <w:r w:rsidR="00260A7E" w:rsidRPr="00017B57">
        <w:t xml:space="preserve">Treasury’s Sydney Office has been integral to the </w:t>
      </w:r>
      <w:r w:rsidR="00260A7E">
        <w:t>FIRB</w:t>
      </w:r>
      <w:r w:rsidR="00260A7E" w:rsidRPr="00017B57">
        <w:t>’s efforts to better engage with the broader community.</w:t>
      </w:r>
    </w:p>
    <w:p w14:paraId="6B1211F6" w14:textId="77777777" w:rsidR="0039077B" w:rsidRDefault="0039077B">
      <w:pPr>
        <w:spacing w:after="200" w:line="276" w:lineRule="auto"/>
        <w:jc w:val="left"/>
      </w:pPr>
      <w:r>
        <w:br w:type="page"/>
      </w:r>
    </w:p>
    <w:p w14:paraId="6A3B5C77" w14:textId="68E8731C" w:rsidR="00017B57" w:rsidRPr="00017B57" w:rsidRDefault="00017B57" w:rsidP="00017B57">
      <w:r w:rsidRPr="00017B57">
        <w:lastRenderedPageBreak/>
        <w:t xml:space="preserve">Following the announcement in </w:t>
      </w:r>
      <w:r w:rsidR="00DB405D">
        <w:t>the</w:t>
      </w:r>
      <w:r w:rsidRPr="00017B57">
        <w:t xml:space="preserve"> 2017</w:t>
      </w:r>
      <w:r w:rsidR="00CD7E4F">
        <w:t>–</w:t>
      </w:r>
      <w:r w:rsidRPr="00017B57">
        <w:t xml:space="preserve">18 </w:t>
      </w:r>
      <w:r w:rsidR="00DB405D" w:rsidRPr="00017B57">
        <w:t>Budget</w:t>
      </w:r>
      <w:r w:rsidRPr="00017B57">
        <w:t xml:space="preserve"> of a package of amendments to enhance the foreign investment framework, Treasury held a series of face-to-face meetings to </w:t>
      </w:r>
      <w:r w:rsidR="00260A7E">
        <w:t>inform stakeholders about</w:t>
      </w:r>
      <w:r w:rsidRPr="00017B57">
        <w:t xml:space="preserve"> the amendments and seek feedback on their implementation. The meetings also </w:t>
      </w:r>
      <w:r w:rsidR="00A93B98">
        <w:t xml:space="preserve">provided </w:t>
      </w:r>
      <w:r w:rsidRPr="00017B57">
        <w:t>opportunities to discuss the foreign investment framework more broadly and to provide a brief summary of current investment trends. The FIRB website played a key role in keeping stakeholder</w:t>
      </w:r>
      <w:r w:rsidR="00A93B98">
        <w:t>s</w:t>
      </w:r>
      <w:r w:rsidRPr="00017B57">
        <w:t xml:space="preserve"> informed of the changes to the framework</w:t>
      </w:r>
      <w:r w:rsidR="00260A7E">
        <w:t xml:space="preserve"> and provides guidance to assist applicants to understand their obligations</w:t>
      </w:r>
      <w:r w:rsidRPr="00017B57">
        <w:t>.</w:t>
      </w:r>
    </w:p>
    <w:p w14:paraId="668D66FB" w14:textId="29AB8018" w:rsidR="00017B57" w:rsidRPr="00017B57" w:rsidRDefault="00017B57" w:rsidP="00017B57">
      <w:r w:rsidRPr="00017B57">
        <w:t>As part of screening cases</w:t>
      </w:r>
      <w:r w:rsidR="00E83A6C">
        <w:t>,</w:t>
      </w:r>
      <w:r w:rsidRPr="00017B57">
        <w:t xml:space="preserve"> </w:t>
      </w:r>
      <w:r w:rsidR="00A93B98">
        <w:t>Treasury and the ATO</w:t>
      </w:r>
      <w:r w:rsidRPr="00017B57">
        <w:t xml:space="preserve"> also </w:t>
      </w:r>
      <w:r w:rsidR="00260A7E">
        <w:t>consult</w:t>
      </w:r>
      <w:r w:rsidR="00A93B98">
        <w:t xml:space="preserve"> with other Australian G</w:t>
      </w:r>
      <w:r w:rsidRPr="00017B57">
        <w:t xml:space="preserve">overnment agencies to seek their </w:t>
      </w:r>
      <w:r w:rsidR="00260A7E">
        <w:t xml:space="preserve">expert </w:t>
      </w:r>
      <w:r w:rsidRPr="00017B57">
        <w:t>advice on matters considered under the national interest test. For example, national security agencies and the newly created C</w:t>
      </w:r>
      <w:r w:rsidR="00F123EA">
        <w:t>ritical Infrastructure Centre</w:t>
      </w:r>
      <w:r w:rsidRPr="00017B57">
        <w:t xml:space="preserve"> </w:t>
      </w:r>
      <w:r w:rsidR="00A93B98">
        <w:t xml:space="preserve">are consulted </w:t>
      </w:r>
      <w:r w:rsidRPr="00017B57">
        <w:t xml:space="preserve">on national security matters and the Australian Competition and Consumer Commission </w:t>
      </w:r>
      <w:r w:rsidR="00A93B98">
        <w:t xml:space="preserve">is consulted </w:t>
      </w:r>
      <w:r w:rsidRPr="00017B57">
        <w:t>on competition matters.</w:t>
      </w:r>
    </w:p>
    <w:p w14:paraId="7ED00F4C" w14:textId="591A664E" w:rsidR="00017B57" w:rsidRPr="00017B57" w:rsidRDefault="00017B57" w:rsidP="00017B57">
      <w:r w:rsidRPr="00017B57">
        <w:t>The ATO also undert</w:t>
      </w:r>
      <w:r w:rsidR="00A93B98">
        <w:t>ook</w:t>
      </w:r>
      <w:r w:rsidRPr="00017B57">
        <w:t xml:space="preserve"> consultation</w:t>
      </w:r>
      <w:r w:rsidR="00D00636">
        <w:t xml:space="preserve"> throughout 2016</w:t>
      </w:r>
      <w:r w:rsidR="00CD7E4F">
        <w:t>–</w:t>
      </w:r>
      <w:r w:rsidR="00D00636">
        <w:t>17</w:t>
      </w:r>
      <w:r w:rsidRPr="00017B57">
        <w:t xml:space="preserve"> with foreign investors and intermediaries in relation to residential real estate </w:t>
      </w:r>
      <w:r w:rsidR="00A93B98">
        <w:t xml:space="preserve">and </w:t>
      </w:r>
      <w:r w:rsidRPr="00017B57">
        <w:t xml:space="preserve">the agricultural land and water </w:t>
      </w:r>
      <w:r w:rsidR="00A93B98">
        <w:t xml:space="preserve">entitlement </w:t>
      </w:r>
      <w:r w:rsidRPr="00017B57">
        <w:t>register</w:t>
      </w:r>
      <w:r w:rsidR="00A93B98">
        <w:t>s</w:t>
      </w:r>
      <w:r w:rsidRPr="00017B57">
        <w:t>. This include</w:t>
      </w:r>
      <w:r w:rsidR="00A93B98">
        <w:t>d</w:t>
      </w:r>
      <w:r w:rsidRPr="00017B57">
        <w:t xml:space="preserve"> developing targeted communications to raise </w:t>
      </w:r>
      <w:r w:rsidR="00A93B98">
        <w:t xml:space="preserve">investor </w:t>
      </w:r>
      <w:r w:rsidRPr="00017B57">
        <w:t>awareness</w:t>
      </w:r>
      <w:r w:rsidR="00A93B98">
        <w:t xml:space="preserve"> of the rules and </w:t>
      </w:r>
      <w:r w:rsidR="003C6182">
        <w:t>further</w:t>
      </w:r>
      <w:r w:rsidR="00A93B98">
        <w:t xml:space="preserve"> meetings of the</w:t>
      </w:r>
      <w:r w:rsidRPr="00017B57">
        <w:t xml:space="preserve"> Foreign Investment Reforms Working Group which meets regularly with key agents, accounting and law firms. During 2016</w:t>
      </w:r>
      <w:r w:rsidR="00CD7E4F">
        <w:t>–</w:t>
      </w:r>
      <w:r w:rsidRPr="00017B57">
        <w:t xml:space="preserve">17, the ATO engaged with over 2000 </w:t>
      </w:r>
      <w:r w:rsidR="00A93B98">
        <w:t>stakeholders</w:t>
      </w:r>
      <w:r w:rsidRPr="00017B57">
        <w:t>, including foreign</w:t>
      </w:r>
      <w:r w:rsidR="0075073F">
        <w:t xml:space="preserve"> investors and advisors, at face</w:t>
      </w:r>
      <w:r w:rsidR="0075073F">
        <w:noBreakHyphen/>
        <w:t>to</w:t>
      </w:r>
      <w:r w:rsidR="0075073F">
        <w:noBreakHyphen/>
      </w:r>
      <w:r w:rsidRPr="00017B57">
        <w:t>face, web-based and telephone-based events held across Australia.</w:t>
      </w:r>
    </w:p>
    <w:p w14:paraId="12F0F1B9" w14:textId="4B94FB28" w:rsidR="00017B57" w:rsidRDefault="00017B57" w:rsidP="00017B57">
      <w:pPr>
        <w:rPr>
          <w:szCs w:val="24"/>
        </w:rPr>
      </w:pPr>
      <w:r w:rsidRPr="00017B57">
        <w:rPr>
          <w:szCs w:val="24"/>
        </w:rPr>
        <w:t xml:space="preserve">Further detail on the ongoing stakeholder engagement being undertaken by and on behalf of the </w:t>
      </w:r>
      <w:r w:rsidR="007F72FF">
        <w:rPr>
          <w:szCs w:val="24"/>
        </w:rPr>
        <w:t>FIRB</w:t>
      </w:r>
      <w:r w:rsidRPr="00017B57">
        <w:rPr>
          <w:szCs w:val="24"/>
        </w:rPr>
        <w:t xml:space="preserve"> is included in the Regulator Performance Framework Report 2016</w:t>
      </w:r>
      <w:r w:rsidR="00CD7E4F">
        <w:rPr>
          <w:szCs w:val="24"/>
        </w:rPr>
        <w:t>–</w:t>
      </w:r>
      <w:r w:rsidRPr="00017B57">
        <w:rPr>
          <w:szCs w:val="24"/>
        </w:rPr>
        <w:t>17</w:t>
      </w:r>
      <w:r w:rsidR="003C6182">
        <w:rPr>
          <w:szCs w:val="24"/>
        </w:rPr>
        <w:t xml:space="preserve"> which is</w:t>
      </w:r>
      <w:r w:rsidRPr="00017B57">
        <w:rPr>
          <w:szCs w:val="24"/>
        </w:rPr>
        <w:t xml:space="preserve"> available on the FIRB website.</w:t>
      </w:r>
    </w:p>
    <w:p w14:paraId="51171C13" w14:textId="77777777" w:rsidR="00810631" w:rsidRPr="00017B57" w:rsidRDefault="00810631" w:rsidP="00017B57">
      <w:pPr>
        <w:rPr>
          <w:szCs w:val="24"/>
        </w:rPr>
      </w:pPr>
    </w:p>
    <w:p w14:paraId="11D35D38" w14:textId="77777777" w:rsidR="00AD0B66" w:rsidRDefault="00AD0B66">
      <w:pPr>
        <w:rPr>
          <w:szCs w:val="24"/>
        </w:rPr>
        <w:sectPr w:rsidR="00AD0B66" w:rsidSect="00332957">
          <w:headerReference w:type="default" r:id="rId51"/>
          <w:headerReference w:type="first" r:id="rId52"/>
          <w:type w:val="oddPage"/>
          <w:pgSz w:w="11907" w:h="16840" w:code="9"/>
          <w:pgMar w:top="2466" w:right="2098" w:bottom="2466" w:left="2098" w:header="1899" w:footer="1899" w:gutter="0"/>
          <w:cols w:space="720"/>
          <w:titlePg/>
          <w:docGrid w:linePitch="360"/>
        </w:sectPr>
      </w:pPr>
    </w:p>
    <w:p w14:paraId="5F4756BC" w14:textId="5482EE0F" w:rsidR="00691BE0" w:rsidRDefault="00691BE0" w:rsidP="00691BE0">
      <w:pPr>
        <w:pStyle w:val="ChartGraphic"/>
        <w:spacing w:after="360"/>
      </w:pPr>
      <w:bookmarkStart w:id="122" w:name="_Toc512259060"/>
      <w:bookmarkStart w:id="123" w:name="_Toc512523482"/>
      <w:bookmarkStart w:id="124" w:name="_Toc512524851"/>
      <w:bookmarkStart w:id="125" w:name="_Toc513021740"/>
      <w:bookmarkStart w:id="126" w:name="_Toc513122758"/>
      <w:bookmarkStart w:id="127" w:name="_Toc513131328"/>
      <w:bookmarkEnd w:id="64"/>
      <w:bookmarkEnd w:id="65"/>
      <w:r>
        <w:rPr>
          <w:noProof/>
        </w:rPr>
        <w:lastRenderedPageBreak/>
        <w:drawing>
          <wp:inline distT="0" distB="0" distL="0" distR="0" wp14:anchorId="3DF38E77" wp14:editId="6809232D">
            <wp:extent cx="4895088" cy="3060192"/>
            <wp:effectExtent l="0" t="0" r="1270" b="698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RB part page3.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4895088" cy="3060192"/>
                    </a:xfrm>
                    <a:prstGeom prst="rect">
                      <a:avLst/>
                    </a:prstGeom>
                  </pic:spPr>
                </pic:pic>
              </a:graphicData>
            </a:graphic>
          </wp:inline>
        </w:drawing>
      </w:r>
    </w:p>
    <w:p w14:paraId="4B678CE1" w14:textId="440ED733" w:rsidR="00851CDC" w:rsidRDefault="00851CDC" w:rsidP="00851CDC">
      <w:pPr>
        <w:pStyle w:val="Heading1"/>
      </w:pPr>
      <w:bookmarkStart w:id="128" w:name="_Toc514924633"/>
      <w:r>
        <w:t>Chapter 3: F</w:t>
      </w:r>
      <w:r w:rsidRPr="00851CDC">
        <w:t>oreign investment trends</w:t>
      </w:r>
      <w:bookmarkEnd w:id="128"/>
    </w:p>
    <w:p w14:paraId="51D49D5C" w14:textId="42638821" w:rsidR="008A5ACF" w:rsidRDefault="008A5ACF" w:rsidP="00EF06B4">
      <w:r w:rsidRPr="005E712D">
        <w:rPr>
          <w:color w:val="auto"/>
        </w:rPr>
        <w:t>Australia has traditionally relied on inward foreign investment to meet the shortfall between domestic saving and domestic investment.</w:t>
      </w:r>
      <w:r w:rsidR="00BD76A9">
        <w:rPr>
          <w:color w:val="auto"/>
        </w:rPr>
        <w:t xml:space="preserve"> </w:t>
      </w:r>
      <w:r w:rsidRPr="00150338">
        <w:rPr>
          <w:color w:val="auto"/>
        </w:rPr>
        <w:t>Foreign investment plays an important and beneficial role in the Australian economy because it helps drive economic growth, creates skilled jobs, improves access to overseas mar</w:t>
      </w:r>
      <w:r w:rsidR="00691BE0">
        <w:rPr>
          <w:color w:val="auto"/>
        </w:rPr>
        <w:t>kets and enhances productivity.</w:t>
      </w:r>
    </w:p>
    <w:p w14:paraId="4D8B7280" w14:textId="6CE8DC79" w:rsidR="007A115B" w:rsidRPr="001A1E4C" w:rsidRDefault="007A115B" w:rsidP="005670F9">
      <w:pPr>
        <w:pStyle w:val="Heading2"/>
        <w:spacing w:before="240"/>
      </w:pPr>
      <w:bookmarkStart w:id="129" w:name="_Toc513456061"/>
      <w:bookmarkStart w:id="130" w:name="_Toc513457307"/>
      <w:bookmarkStart w:id="131" w:name="_Toc513557385"/>
      <w:bookmarkStart w:id="132" w:name="_Toc513559401"/>
      <w:bookmarkStart w:id="133" w:name="_Toc514924634"/>
      <w:r w:rsidRPr="001A1E4C">
        <w:t>The global foreign</w:t>
      </w:r>
      <w:r w:rsidR="008B18ED">
        <w:t xml:space="preserve"> direct</w:t>
      </w:r>
      <w:r w:rsidRPr="001A1E4C">
        <w:t xml:space="preserve"> investment </w:t>
      </w:r>
      <w:r w:rsidR="00F23F65" w:rsidRPr="001A1E4C">
        <w:t>environment</w:t>
      </w:r>
      <w:bookmarkEnd w:id="122"/>
      <w:bookmarkEnd w:id="123"/>
      <w:bookmarkEnd w:id="124"/>
      <w:bookmarkEnd w:id="125"/>
      <w:bookmarkEnd w:id="126"/>
      <w:bookmarkEnd w:id="127"/>
      <w:bookmarkEnd w:id="129"/>
      <w:bookmarkEnd w:id="130"/>
      <w:bookmarkEnd w:id="131"/>
      <w:bookmarkEnd w:id="132"/>
      <w:bookmarkEnd w:id="133"/>
    </w:p>
    <w:p w14:paraId="0B3BE8EE" w14:textId="6120A872" w:rsidR="008B18ED" w:rsidRDefault="0013613C" w:rsidP="008B18ED">
      <w:bookmarkStart w:id="134" w:name="_Toc497162968"/>
      <w:r>
        <w:t xml:space="preserve">Global growth in </w:t>
      </w:r>
      <w:r w:rsidR="008B18ED">
        <w:t xml:space="preserve">Foreign Direct Investment (FDI), </w:t>
      </w:r>
      <w:r w:rsidR="008B18ED">
        <w:rPr>
          <w:lang w:val="en-US"/>
        </w:rPr>
        <w:t xml:space="preserve">defined as foreign ownership of 10 per cent or more of a </w:t>
      </w:r>
      <w:r w:rsidR="00D411A4">
        <w:rPr>
          <w:lang w:val="en-US"/>
        </w:rPr>
        <w:t>business</w:t>
      </w:r>
      <w:r w:rsidR="008B18ED">
        <w:rPr>
          <w:lang w:val="en-US"/>
        </w:rPr>
        <w:t>,</w:t>
      </w:r>
      <w:r>
        <w:t xml:space="preserve"> has been strong over the last decade. </w:t>
      </w:r>
      <w:r w:rsidR="00A82B88">
        <w:t xml:space="preserve">Over the last 10 years, </w:t>
      </w:r>
      <w:r w:rsidR="008B18ED">
        <w:t xml:space="preserve">the </w:t>
      </w:r>
      <w:r w:rsidR="00A82B88">
        <w:t xml:space="preserve">global </w:t>
      </w:r>
      <w:r w:rsidR="008B18ED">
        <w:t xml:space="preserve">stock of </w:t>
      </w:r>
      <w:r w:rsidR="00A82B88">
        <w:t xml:space="preserve">FDI has increased from </w:t>
      </w:r>
      <w:r w:rsidR="00C86A69">
        <w:t>US $</w:t>
      </w:r>
      <w:r w:rsidR="00A82B88">
        <w:t xml:space="preserve">14 trillion in 2006 to </w:t>
      </w:r>
      <w:r w:rsidR="00C86A69">
        <w:t>US $</w:t>
      </w:r>
      <w:r w:rsidR="00A82B88">
        <w:t>26.7 trillion in 2016 – an increase of nearly 90 per cent over the period.</w:t>
      </w:r>
    </w:p>
    <w:p w14:paraId="1060B395" w14:textId="2E34A8AE" w:rsidR="00071862" w:rsidRDefault="008B18ED" w:rsidP="008B18ED">
      <w:r>
        <w:t>With the emergence of China and India, investors have directed more FDI to these economies</w:t>
      </w:r>
      <w:r w:rsidR="00152DBD">
        <w:t xml:space="preserve">, which has resulted in a declining share of global FDI stock held in </w:t>
      </w:r>
      <w:r w:rsidR="00810631">
        <w:t>Developed</w:t>
      </w:r>
      <w:r w:rsidR="00152DBD">
        <w:t xml:space="preserve"> Economies</w:t>
      </w:r>
      <w:r>
        <w:t xml:space="preserve">. However, Australia has </w:t>
      </w:r>
      <w:r w:rsidR="00854856">
        <w:t>continued to hold</w:t>
      </w:r>
      <w:r w:rsidR="00A6387D">
        <w:t xml:space="preserve"> a stable share of the stock of global FDI </w:t>
      </w:r>
      <w:r w:rsidR="00042A4F">
        <w:t>since</w:t>
      </w:r>
      <w:r w:rsidR="00A6387D">
        <w:t xml:space="preserve"> the mid-1990s </w:t>
      </w:r>
      <w:r w:rsidR="003C6182">
        <w:noBreakHyphen/>
      </w:r>
      <w:r w:rsidR="00A6387D">
        <w:t xml:space="preserve"> around 2 to 2.5 </w:t>
      </w:r>
      <w:r w:rsidR="00313B95">
        <w:t>per cent as shown in Chart 3.1</w:t>
      </w:r>
      <w:r>
        <w:t>. This</w:t>
      </w:r>
      <w:r w:rsidR="00313B95">
        <w:t xml:space="preserve"> </w:t>
      </w:r>
      <w:r w:rsidR="00A6387D" w:rsidRPr="000F1DAC">
        <w:t>reflect</w:t>
      </w:r>
      <w:r w:rsidR="00313B95">
        <w:t>s</w:t>
      </w:r>
      <w:r w:rsidR="00A6387D" w:rsidRPr="000F1DAC">
        <w:t xml:space="preserve"> the</w:t>
      </w:r>
      <w:r w:rsidR="00313B95">
        <w:t xml:space="preserve"> strength in Australia’s underlying economic fundamentals and</w:t>
      </w:r>
      <w:r w:rsidR="00A6387D" w:rsidRPr="000F1DAC">
        <w:t xml:space="preserve"> </w:t>
      </w:r>
      <w:r>
        <w:t xml:space="preserve">the </w:t>
      </w:r>
      <w:r w:rsidR="00A6387D" w:rsidRPr="000F1DAC">
        <w:t>attractiveness of Australia as a destination for foreign investment</w:t>
      </w:r>
      <w:r w:rsidR="003D400F">
        <w:t>.</w:t>
      </w:r>
    </w:p>
    <w:p w14:paraId="677CFC66" w14:textId="56CAE314" w:rsidR="001A1E4C" w:rsidRDefault="007C5FC2" w:rsidP="00FF11A7">
      <w:pPr>
        <w:pStyle w:val="ChartMainHeading"/>
      </w:pPr>
      <w:r>
        <w:lastRenderedPageBreak/>
        <w:t>Chart 3.1</w:t>
      </w:r>
      <w:r w:rsidR="001A1E4C">
        <w:t>: Distribution of Global Stock of FDI</w:t>
      </w:r>
    </w:p>
    <w:p w14:paraId="4D627FBA" w14:textId="406873B3" w:rsidR="00993688" w:rsidRPr="00993688" w:rsidRDefault="00993688" w:rsidP="00993688">
      <w:pPr>
        <w:pStyle w:val="ChartGraphic"/>
      </w:pPr>
      <w:r>
        <w:rPr>
          <w:noProof/>
        </w:rPr>
        <w:drawing>
          <wp:inline distT="0" distB="0" distL="0" distR="0" wp14:anchorId="2F6134BF" wp14:editId="61D582A2">
            <wp:extent cx="4878705" cy="2708910"/>
            <wp:effectExtent l="0" t="0" r="0" b="0"/>
            <wp:docPr id="40" name="Chart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74E333C2" w14:textId="7072ED50" w:rsidR="00551C45" w:rsidRPr="00993688" w:rsidRDefault="00BC6115" w:rsidP="00EF06B4">
      <w:pPr>
        <w:pStyle w:val="Source"/>
      </w:pPr>
      <w:r w:rsidRPr="00FE7FF0">
        <w:t>Source:</w:t>
      </w:r>
      <w:r w:rsidR="00FE7FF0" w:rsidRPr="00FE7FF0">
        <w:t xml:space="preserve"> UNCTAD</w:t>
      </w:r>
      <w:r w:rsidR="00597AD6" w:rsidRPr="00FE7FF0">
        <w:t>.</w:t>
      </w:r>
      <w:bookmarkStart w:id="135" w:name="_Toc512259061"/>
      <w:bookmarkStart w:id="136" w:name="_Toc512523483"/>
      <w:bookmarkStart w:id="137" w:name="_Toc512524852"/>
      <w:bookmarkStart w:id="138" w:name="_Toc513021741"/>
    </w:p>
    <w:p w14:paraId="5A2A456D" w14:textId="39B3FE35" w:rsidR="007A115B" w:rsidRPr="007A115B" w:rsidRDefault="007A115B" w:rsidP="001A1E4C">
      <w:pPr>
        <w:pStyle w:val="Heading2"/>
      </w:pPr>
      <w:bookmarkStart w:id="139" w:name="_Toc513122759"/>
      <w:bookmarkStart w:id="140" w:name="_Toc513131329"/>
      <w:bookmarkStart w:id="141" w:name="_Toc513456062"/>
      <w:bookmarkStart w:id="142" w:name="_Toc513457308"/>
      <w:bookmarkStart w:id="143" w:name="_Toc513557386"/>
      <w:bookmarkStart w:id="144" w:name="_Toc513559402"/>
      <w:bookmarkStart w:id="145" w:name="_Toc514924635"/>
      <w:r w:rsidRPr="007A115B">
        <w:t>Foreign investment in Australia</w:t>
      </w:r>
      <w:bookmarkEnd w:id="134"/>
      <w:bookmarkEnd w:id="135"/>
      <w:bookmarkEnd w:id="136"/>
      <w:bookmarkEnd w:id="137"/>
      <w:bookmarkEnd w:id="138"/>
      <w:bookmarkEnd w:id="139"/>
      <w:bookmarkEnd w:id="140"/>
      <w:bookmarkEnd w:id="141"/>
      <w:bookmarkEnd w:id="142"/>
      <w:bookmarkEnd w:id="143"/>
      <w:bookmarkEnd w:id="144"/>
      <w:bookmarkEnd w:id="145"/>
    </w:p>
    <w:p w14:paraId="57A56337" w14:textId="50FDF2A8" w:rsidR="008B18ED" w:rsidRDefault="008B18ED" w:rsidP="007A115B">
      <w:pPr>
        <w:rPr>
          <w:lang w:val="en-US"/>
        </w:rPr>
      </w:pPr>
      <w:r w:rsidRPr="006B7F59">
        <w:t>The level of FDI stock has risen every year since 2009, reaching $796 bill</w:t>
      </w:r>
      <w:r>
        <w:t>ion in 2016</w:t>
      </w:r>
      <w:r w:rsidR="003C6182">
        <w:t xml:space="preserve"> </w:t>
      </w:r>
      <w:r w:rsidR="003C6182">
        <w:noBreakHyphen/>
      </w:r>
      <w:r>
        <w:t xml:space="preserve"> an increase of 8.5</w:t>
      </w:r>
      <w:r w:rsidR="007B17B9">
        <w:t xml:space="preserve"> </w:t>
      </w:r>
      <w:r w:rsidRPr="006B7F59">
        <w:t>per cent or $62.5 billion compared to 2015</w:t>
      </w:r>
      <w:r>
        <w:rPr>
          <w:color w:val="1F497D"/>
        </w:rPr>
        <w:t xml:space="preserve">. </w:t>
      </w:r>
      <w:r w:rsidR="007A115B" w:rsidRPr="007A115B">
        <w:rPr>
          <w:lang w:val="en-US"/>
        </w:rPr>
        <w:t>FDI</w:t>
      </w:r>
      <w:r w:rsidR="0025323A">
        <w:rPr>
          <w:lang w:val="en-US"/>
        </w:rPr>
        <w:t>,</w:t>
      </w:r>
      <w:r w:rsidR="007A115B" w:rsidRPr="007A115B">
        <w:rPr>
          <w:lang w:val="en-US"/>
        </w:rPr>
        <w:t xml:space="preserve"> which usually takes the form of equity or reinvested earnings</w:t>
      </w:r>
      <w:r w:rsidR="0025323A">
        <w:rPr>
          <w:lang w:val="en-US"/>
        </w:rPr>
        <w:t>,</w:t>
      </w:r>
      <w:r w:rsidR="007A115B" w:rsidRPr="007A115B">
        <w:rPr>
          <w:lang w:val="en-US"/>
        </w:rPr>
        <w:t xml:space="preserve"> has averaged around 25 per cent of total foreign investment </w:t>
      </w:r>
      <w:r w:rsidR="0025323A">
        <w:rPr>
          <w:lang w:val="en-US"/>
        </w:rPr>
        <w:t>over recent years</w:t>
      </w:r>
      <w:r w:rsidR="007A115B" w:rsidRPr="007A115B">
        <w:rPr>
          <w:lang w:val="en-US"/>
        </w:rPr>
        <w:t>.</w:t>
      </w:r>
    </w:p>
    <w:p w14:paraId="09B7E1E7" w14:textId="4370A2FE" w:rsidR="007B17B9" w:rsidRDefault="007A115B" w:rsidP="007A115B">
      <w:pPr>
        <w:rPr>
          <w:lang w:val="en-US"/>
        </w:rPr>
      </w:pPr>
      <w:r w:rsidRPr="007A115B">
        <w:rPr>
          <w:lang w:val="en-US"/>
        </w:rPr>
        <w:t>Portfolio investment</w:t>
      </w:r>
      <w:r w:rsidR="00812B0D">
        <w:rPr>
          <w:lang w:val="en-US"/>
        </w:rPr>
        <w:t>,</w:t>
      </w:r>
      <w:r w:rsidR="00812B0D" w:rsidRPr="00812B0D">
        <w:rPr>
          <w:lang w:val="en-US"/>
        </w:rPr>
        <w:t xml:space="preserve"> </w:t>
      </w:r>
      <w:r w:rsidR="00812B0D">
        <w:rPr>
          <w:lang w:val="en-US"/>
        </w:rPr>
        <w:t>which refers to the purchase of equity such as shares and debt securities where the foreign investor has an interest of less than 10 per cent</w:t>
      </w:r>
      <w:r w:rsidR="00042A4F">
        <w:rPr>
          <w:lang w:val="en-US"/>
        </w:rPr>
        <w:t xml:space="preserve"> of a business</w:t>
      </w:r>
      <w:r w:rsidR="00812B0D">
        <w:rPr>
          <w:lang w:val="en-US"/>
        </w:rPr>
        <w:t>,</w:t>
      </w:r>
      <w:r w:rsidRPr="007A115B">
        <w:rPr>
          <w:lang w:val="en-US"/>
        </w:rPr>
        <w:t xml:space="preserve"> has consistently accounted for over half of Australia’s total foreign investment stock.</w:t>
      </w:r>
    </w:p>
    <w:p w14:paraId="6012CF9C" w14:textId="626A8241" w:rsidR="007A115B" w:rsidRPr="007A115B" w:rsidRDefault="007A115B" w:rsidP="007A115B">
      <w:pPr>
        <w:rPr>
          <w:lang w:val="en-US"/>
        </w:rPr>
      </w:pPr>
      <w:r w:rsidRPr="007A115B">
        <w:rPr>
          <w:lang w:val="en-US"/>
        </w:rPr>
        <w:t>Within portfolio investment</w:t>
      </w:r>
      <w:r w:rsidR="0025323A">
        <w:rPr>
          <w:lang w:val="en-US"/>
        </w:rPr>
        <w:t>,</w:t>
      </w:r>
      <w:r w:rsidRPr="007A115B">
        <w:rPr>
          <w:lang w:val="en-US"/>
        </w:rPr>
        <w:t xml:space="preserve"> the </w:t>
      </w:r>
      <w:r w:rsidR="00832E16">
        <w:rPr>
          <w:lang w:val="en-US"/>
        </w:rPr>
        <w:t>bulk</w:t>
      </w:r>
      <w:r w:rsidRPr="007A115B">
        <w:rPr>
          <w:lang w:val="en-US"/>
        </w:rPr>
        <w:t xml:space="preserve"> (68 per cent in 2016) is sourced from debt securities such as bonds, notes and money market instruments. </w:t>
      </w:r>
      <w:r w:rsidR="0070477A">
        <w:rPr>
          <w:lang w:val="en-US"/>
        </w:rPr>
        <w:t xml:space="preserve">As shown in </w:t>
      </w:r>
      <w:r w:rsidR="00042A4F">
        <w:rPr>
          <w:lang w:val="en-US"/>
        </w:rPr>
        <w:t>C</w:t>
      </w:r>
      <w:r w:rsidR="0070477A">
        <w:rPr>
          <w:lang w:val="en-US"/>
        </w:rPr>
        <w:t xml:space="preserve">hart </w:t>
      </w:r>
      <w:r w:rsidR="00042A4F">
        <w:rPr>
          <w:lang w:val="en-US"/>
        </w:rPr>
        <w:t>3.2</w:t>
      </w:r>
      <w:r w:rsidR="0070477A">
        <w:rPr>
          <w:lang w:val="en-US"/>
        </w:rPr>
        <w:t xml:space="preserve">, </w:t>
      </w:r>
      <w:r w:rsidR="00A205AB" w:rsidRPr="000D5DE2">
        <w:rPr>
          <w:lang w:val="en-US"/>
        </w:rPr>
        <w:t xml:space="preserve">FDI is considered one of the more stable forms of capital inflows because it involves a substantial commitment from the investor, whereas debt finance and </w:t>
      </w:r>
      <w:r w:rsidR="0074071D">
        <w:rPr>
          <w:lang w:val="en-US"/>
        </w:rPr>
        <w:t xml:space="preserve">some </w:t>
      </w:r>
      <w:r w:rsidR="00A205AB" w:rsidRPr="000D5DE2">
        <w:rPr>
          <w:lang w:val="en-US"/>
        </w:rPr>
        <w:t>portfolio investment can be reversed relatively easily</w:t>
      </w:r>
      <w:r w:rsidR="00A205AB">
        <w:rPr>
          <w:lang w:val="en-US"/>
        </w:rPr>
        <w:t>.</w:t>
      </w:r>
    </w:p>
    <w:p w14:paraId="368CC0D0" w14:textId="56028F69" w:rsidR="00BA4302" w:rsidRPr="007A115B" w:rsidRDefault="00BA4302" w:rsidP="00FF11A7">
      <w:pPr>
        <w:pStyle w:val="ChartMainHeading"/>
      </w:pPr>
      <w:r>
        <w:lastRenderedPageBreak/>
        <w:t>Chart 3.2</w:t>
      </w:r>
      <w:r w:rsidRPr="007A115B">
        <w:t>:</w:t>
      </w:r>
      <w:r w:rsidR="00E83A6C">
        <w:t xml:space="preserve"> </w:t>
      </w:r>
      <w:r w:rsidRPr="007A115B">
        <w:t>Forms of Foreign Investment</w:t>
      </w:r>
    </w:p>
    <w:p w14:paraId="6A2E3A6F" w14:textId="0200D161" w:rsidR="00F32083" w:rsidRPr="00F32083" w:rsidRDefault="00853578" w:rsidP="00F32083">
      <w:pPr>
        <w:pStyle w:val="ChartGraphic"/>
      </w:pPr>
      <w:r>
        <w:rPr>
          <w:noProof/>
        </w:rPr>
        <w:drawing>
          <wp:inline distT="0" distB="0" distL="0" distR="0" wp14:anchorId="746D2E0F" wp14:editId="3D4BF72E">
            <wp:extent cx="4896485" cy="2523444"/>
            <wp:effectExtent l="0" t="0" r="0" b="0"/>
            <wp:docPr id="42" name="Chart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2948EFAA" w14:textId="36D6D961" w:rsidR="00E85D41" w:rsidRDefault="00BA4302" w:rsidP="00FF11A7">
      <w:pPr>
        <w:pStyle w:val="Source"/>
        <w:contextualSpacing/>
      </w:pPr>
      <w:r w:rsidRPr="007A115B">
        <w:t xml:space="preserve">Source: ABS Cat. </w:t>
      </w:r>
      <w:proofErr w:type="gramStart"/>
      <w:r w:rsidRPr="007A115B">
        <w:t>No. 53</w:t>
      </w:r>
      <w:r w:rsidR="0070477A">
        <w:t>02</w:t>
      </w:r>
      <w:r w:rsidRPr="007A115B">
        <w:t>.0</w:t>
      </w:r>
      <w:r w:rsidR="00042A4F">
        <w:t>.</w:t>
      </w:r>
      <w:proofErr w:type="gramEnd"/>
    </w:p>
    <w:p w14:paraId="142DD0E0" w14:textId="353F69E7" w:rsidR="00FA422C" w:rsidRDefault="00FA422C" w:rsidP="00FA422C">
      <w:pPr>
        <w:pStyle w:val="Source"/>
        <w:contextualSpacing/>
      </w:pPr>
      <w:r>
        <w:t>Note: Four quarter moving average has been applied to smooth the series.</w:t>
      </w:r>
    </w:p>
    <w:p w14:paraId="4DB81604" w14:textId="3614AF5C" w:rsidR="00783A69" w:rsidRDefault="00042A4F" w:rsidP="00551C45">
      <w:r>
        <w:t xml:space="preserve">The </w:t>
      </w:r>
      <w:r w:rsidR="00783A69">
        <w:t xml:space="preserve">FIRB approvals data does not provide an accurate and complete overview of the actual foreign direct investment in Australia. The limitations are discussed in detail in the next Chapter. </w:t>
      </w:r>
      <w:r w:rsidR="009B0D69">
        <w:t>Chart 3.</w:t>
      </w:r>
      <w:r w:rsidR="00AE7F30">
        <w:t>3</w:t>
      </w:r>
      <w:r w:rsidR="00783A69">
        <w:t>, which uses ABS data, provides a better overview of th</w:t>
      </w:r>
      <w:r w:rsidR="0003707C" w:rsidRPr="007A115B">
        <w:t>e stock of FDI in Australia from the top investing countries.</w:t>
      </w:r>
      <w:r w:rsidR="00783A69">
        <w:t xml:space="preserve"> </w:t>
      </w:r>
      <w:r w:rsidR="0003707C">
        <w:t xml:space="preserve">The </w:t>
      </w:r>
      <w:r w:rsidR="0003707C" w:rsidRPr="007A115B">
        <w:t xml:space="preserve">United States remains </w:t>
      </w:r>
      <w:r w:rsidR="0003707C">
        <w:t xml:space="preserve">the </w:t>
      </w:r>
      <w:r w:rsidR="0003707C" w:rsidRPr="007A115B">
        <w:t xml:space="preserve">largest source of FDI into Australia with over $195 billion </w:t>
      </w:r>
      <w:r>
        <w:t xml:space="preserve">of </w:t>
      </w:r>
      <w:r w:rsidR="00635E4B">
        <w:t xml:space="preserve">investment at the end </w:t>
      </w:r>
      <w:r w:rsidR="0003707C" w:rsidRPr="007A115B">
        <w:t xml:space="preserve">2016, </w:t>
      </w:r>
      <w:r w:rsidR="00635E4B">
        <w:t xml:space="preserve">or </w:t>
      </w:r>
      <w:r w:rsidR="0003707C" w:rsidRPr="007A115B">
        <w:t xml:space="preserve">around a quarter of </w:t>
      </w:r>
      <w:r w:rsidR="00635E4B">
        <w:t xml:space="preserve">the stock of </w:t>
      </w:r>
      <w:r w:rsidR="0003707C" w:rsidRPr="007A115B">
        <w:t>inbound direct investment in Australia.</w:t>
      </w:r>
    </w:p>
    <w:p w14:paraId="4354E642" w14:textId="6333079F" w:rsidR="0003707C" w:rsidRPr="007A115B" w:rsidRDefault="0003707C" w:rsidP="0003707C">
      <w:r w:rsidRPr="007A115B">
        <w:t>At the end of 2016, the total stock of FDI from Japan and the United Kingdom was $90.9 billion and $67.9 billion, respectively</w:t>
      </w:r>
      <w:r>
        <w:t>. At the end of 2015, Japan overtook the United Kingdom for the first time to be Australia’s second largest investor</w:t>
      </w:r>
      <w:r w:rsidR="00635E4B">
        <w:t xml:space="preserve"> country</w:t>
      </w:r>
      <w:r>
        <w:t xml:space="preserve">. </w:t>
      </w:r>
      <w:r w:rsidRPr="007A115B">
        <w:t xml:space="preserve">China was the fifth largest source country </w:t>
      </w:r>
      <w:r w:rsidR="0026584E">
        <w:t>of</w:t>
      </w:r>
      <w:r w:rsidRPr="007A115B">
        <w:t xml:space="preserve"> </w:t>
      </w:r>
      <w:r w:rsidR="00635E4B">
        <w:t xml:space="preserve">the </w:t>
      </w:r>
      <w:r w:rsidRPr="007A115B">
        <w:t>FDI stock in Australia</w:t>
      </w:r>
      <w:r w:rsidR="0026584E">
        <w:t xml:space="preserve"> at the end of 2016</w:t>
      </w:r>
      <w:r w:rsidRPr="007A115B">
        <w:t>, accounting for 5.3 per cent of all FDI in Australia.</w:t>
      </w:r>
    </w:p>
    <w:p w14:paraId="4A4E12FF" w14:textId="6E651A0C" w:rsidR="007C02FF" w:rsidRDefault="0026584E">
      <w:r>
        <w:t>Collectively, these trends show that h</w:t>
      </w:r>
      <w:r w:rsidR="0003707C">
        <w:t>istorically important economies such as the United States</w:t>
      </w:r>
      <w:r>
        <w:t xml:space="preserve">, Japan, and the United Kingdom </w:t>
      </w:r>
      <w:r w:rsidR="0003707C">
        <w:t xml:space="preserve">continue to dominate the share of </w:t>
      </w:r>
      <w:r w:rsidR="00635E4B">
        <w:t xml:space="preserve">FDI </w:t>
      </w:r>
      <w:r w:rsidR="0003707C">
        <w:t>into Australia. Emerging investor countries, especially China, are</w:t>
      </w:r>
      <w:r>
        <w:t xml:space="preserve"> also</w:t>
      </w:r>
      <w:r w:rsidR="0003707C">
        <w:t xml:space="preserve"> becomin</w:t>
      </w:r>
      <w:r w:rsidR="00EB761B">
        <w:t>g significant source countries.</w:t>
      </w:r>
    </w:p>
    <w:p w14:paraId="600F0141" w14:textId="71C28F17" w:rsidR="00FF11A7" w:rsidRDefault="00FF11A7" w:rsidP="00FF11A7">
      <w:pPr>
        <w:pStyle w:val="ChartMainHeading"/>
      </w:pPr>
      <w:r>
        <w:lastRenderedPageBreak/>
        <w:t>Chart 3.3</w:t>
      </w:r>
      <w:r w:rsidRPr="007A115B">
        <w:t>: Stock of FDI in Australia b</w:t>
      </w:r>
      <w:r>
        <w:t xml:space="preserve">y country as at December </w:t>
      </w:r>
      <w:r w:rsidR="00734F3A">
        <w:t>2017 ($b</w:t>
      </w:r>
      <w:r w:rsidR="008F21B2">
        <w:t>)</w:t>
      </w:r>
    </w:p>
    <w:p w14:paraId="146FB77B" w14:textId="7F8DDA9E" w:rsidR="00FF11A7" w:rsidRDefault="00B679A0" w:rsidP="00FF11A7">
      <w:pPr>
        <w:pStyle w:val="ChartGraphic"/>
      </w:pPr>
      <w:r>
        <w:rPr>
          <w:noProof/>
        </w:rPr>
        <mc:AlternateContent>
          <mc:Choice Requires="wps">
            <w:drawing>
              <wp:anchor distT="0" distB="0" distL="114300" distR="114300" simplePos="0" relativeHeight="251658259" behindDoc="0" locked="0" layoutInCell="1" allowOverlap="1" wp14:anchorId="5D4AEEBA" wp14:editId="34357466">
                <wp:simplePos x="0" y="0"/>
                <wp:positionH relativeFrom="column">
                  <wp:posOffset>3949344</wp:posOffset>
                </wp:positionH>
                <wp:positionV relativeFrom="paragraph">
                  <wp:posOffset>2674112</wp:posOffset>
                </wp:positionV>
                <wp:extent cx="841248" cy="87782"/>
                <wp:effectExtent l="0" t="0" r="16510" b="26670"/>
                <wp:wrapNone/>
                <wp:docPr id="30" name="Rectangle 30"/>
                <wp:cNvGraphicFramePr/>
                <a:graphic xmlns:a="http://schemas.openxmlformats.org/drawingml/2006/main">
                  <a:graphicData uri="http://schemas.microsoft.com/office/word/2010/wordprocessingShape">
                    <wps:wsp>
                      <wps:cNvSpPr/>
                      <wps:spPr>
                        <a:xfrm>
                          <a:off x="0" y="0"/>
                          <a:ext cx="841248" cy="87782"/>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0" o:spid="_x0000_s1026" style="position:absolute;margin-left:310.95pt;margin-top:210.55pt;width:66.25pt;height:6.9pt;z-index:25165825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" fillcolor="white [3212]" strokecolor="white [3212]" strokeweight="2pt"/>
            </w:pict>
          </mc:Fallback>
        </mc:AlternateContent>
      </w:r>
      <w:r w:rsidR="00FF11A7">
        <w:rPr>
          <w:noProof/>
        </w:rPr>
        <w:drawing>
          <wp:inline distT="0" distB="0" distL="0" distR="0" wp14:anchorId="2AA6699C" wp14:editId="7D122560">
            <wp:extent cx="4791600" cy="28008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6" cstate="print">
                      <a:extLst>
                        <a:ext uri="{28A0092B-C50C-407E-A947-70E740481C1C}">
                          <a14:useLocalDpi xmlns:a14="http://schemas.microsoft.com/office/drawing/2010/main" val="0"/>
                        </a:ext>
                      </a:extLst>
                    </a:blip>
                    <a:stretch>
                      <a:fillRect/>
                    </a:stretch>
                  </pic:blipFill>
                  <pic:spPr bwMode="auto">
                    <a:xfrm>
                      <a:off x="0" y="0"/>
                      <a:ext cx="4791600" cy="2800800"/>
                    </a:xfrm>
                    <a:prstGeom prst="rect">
                      <a:avLst/>
                    </a:prstGeom>
                    <a:noFill/>
                    <a:ln>
                      <a:noFill/>
                    </a:ln>
                    <a:extLst>
                      <a:ext uri="{53640926-AAD7-44D8-BBD7-CCE9431645EC}">
                        <a14:shadowObscured xmlns:a14="http://schemas.microsoft.com/office/drawing/2010/main"/>
                      </a:ext>
                    </a:extLst>
                  </pic:spPr>
                </pic:pic>
              </a:graphicData>
            </a:graphic>
          </wp:inline>
        </w:drawing>
      </w:r>
    </w:p>
    <w:p w14:paraId="2F82AD7D" w14:textId="77777777" w:rsidR="00EB761B" w:rsidRDefault="004C509A" w:rsidP="00EB761B">
      <w:pPr>
        <w:pStyle w:val="Source"/>
      </w:pPr>
      <w:r w:rsidRPr="007A115B">
        <w:t xml:space="preserve">Source: ABS Cat. </w:t>
      </w:r>
      <w:proofErr w:type="gramStart"/>
      <w:r w:rsidRPr="007A115B">
        <w:t>No. 53</w:t>
      </w:r>
      <w:r w:rsidR="00B679A0">
        <w:t>52</w:t>
      </w:r>
      <w:r w:rsidRPr="007A115B">
        <w:t>.0</w:t>
      </w:r>
      <w:r>
        <w:t>, Table 2, 2017.</w:t>
      </w:r>
      <w:proofErr w:type="gramEnd"/>
    </w:p>
    <w:p w14:paraId="7D67ACE0" w14:textId="6355B799" w:rsidR="00783A69" w:rsidRDefault="00783A69" w:rsidP="00EB761B">
      <w:pPr>
        <w:pStyle w:val="Source"/>
      </w:pPr>
      <w:r w:rsidRPr="0025623B">
        <w:rPr>
          <w:noProof/>
        </w:rPr>
        <mc:AlternateContent>
          <mc:Choice Requires="wps">
            <w:drawing>
              <wp:inline distT="0" distB="0" distL="0" distR="0" wp14:anchorId="31FF626E" wp14:editId="4BB4C0CA">
                <wp:extent cx="4874400" cy="4201064"/>
                <wp:effectExtent l="0" t="0" r="2540" b="9525"/>
                <wp:docPr id="24" name="Snip and Round Single Corner Rectangle 24"/>
                <wp:cNvGraphicFramePr/>
                <a:graphic xmlns:a="http://schemas.openxmlformats.org/drawingml/2006/main">
                  <a:graphicData uri="http://schemas.microsoft.com/office/word/2010/wordprocessingShape">
                    <wps:wsp>
                      <wps:cNvSpPr/>
                      <wps:spPr>
                        <a:xfrm>
                          <a:off x="0" y="0"/>
                          <a:ext cx="4874400" cy="4201064"/>
                        </a:xfrm>
                        <a:prstGeom prst="snipRoundRect">
                          <a:avLst>
                            <a:gd name="adj1" fmla="val 4290"/>
                            <a:gd name="adj2" fmla="val 11257"/>
                          </a:avLst>
                        </a:prstGeom>
                        <a:solidFill>
                          <a:srgbClr val="155A76"/>
                        </a:solidFill>
                        <a:ln w="25400" cap="flat" cmpd="sng" algn="ctr">
                          <a:noFill/>
                          <a:prstDash val="solid"/>
                        </a:ln>
                        <a:effectLst/>
                      </wps:spPr>
                      <wps:txbx>
                        <w:txbxContent>
                          <w:p w14:paraId="2E687447" w14:textId="77777777" w:rsidR="00AE54F4" w:rsidRDefault="00AE54F4" w:rsidP="00C46B16">
                            <w:pPr>
                              <w:pStyle w:val="BoxHeading"/>
                            </w:pPr>
                            <w:r>
                              <w:t>Chinese Capital Controls</w:t>
                            </w:r>
                          </w:p>
                          <w:p w14:paraId="7841A66D" w14:textId="6918952C" w:rsidR="00AE54F4" w:rsidRDefault="00AE54F4" w:rsidP="00C46B16">
                            <w:pPr>
                              <w:pStyle w:val="BoxText"/>
                            </w:pPr>
                            <w:r>
                              <w:t>Australia is an attractive destination for Chinese investment due to our stable political climate, robust regulatory environment, reliable returns and advanced management know-how.</w:t>
                            </w:r>
                          </w:p>
                          <w:p w14:paraId="099A8D40" w14:textId="73ED4E40" w:rsidR="00AE54F4" w:rsidRPr="007A115B" w:rsidRDefault="00AE54F4" w:rsidP="00C46B16">
                            <w:pPr>
                              <w:pStyle w:val="BoxText"/>
                            </w:pPr>
                            <w:r>
                              <w:t>In 2016-17, China ranked</w:t>
                            </w:r>
                            <w:r w:rsidRPr="009B5EC6">
                              <w:t xml:space="preserve"> </w:t>
                            </w:r>
                            <w:r>
                              <w:t>first</w:t>
                            </w:r>
                            <w:r w:rsidRPr="0063573D">
                              <w:t xml:space="preserve"> i</w:t>
                            </w:r>
                            <w:r>
                              <w:t>n terms of foreign investment approvals by country of investor, with a majority of those approvals in residential real estate. For business investment, there has been a shifting focus of Chinese investment toward emerging sectors such as renewable energy and health care, along with established sectors such as services, mineral exploration and development and agriculture.</w:t>
                            </w:r>
                          </w:p>
                          <w:p w14:paraId="09298813" w14:textId="4BA7E8E1" w:rsidR="00AE54F4" w:rsidRDefault="00AE54F4" w:rsidP="00C46B16">
                            <w:pPr>
                              <w:pStyle w:val="BoxText"/>
                            </w:pPr>
                            <w:r>
                              <w:t>Since 2000 the Chinese government has adopted a ‘Going Out’ strategy to encourage domestic firms to invest overseas. Chinese Overseas Direct Investment (ODI) has risen rapidly since around 2007. Chinese Ministry of Commerce data shows that China’s annual ODI rose from US $21 billion in 2006 to US $170 billion in 2016. However, there has been a dramatic fall following implementation of capital controls at the end of 2016 – ODI figures for the first 7 months of 2017 dropped to only US $57.2 billion.</w:t>
                            </w:r>
                          </w:p>
                          <w:p w14:paraId="195600BE" w14:textId="04589D5B" w:rsidR="00AE54F4" w:rsidRDefault="00AE54F4" w:rsidP="00C46B16">
                            <w:pPr>
                              <w:pStyle w:val="BoxText"/>
                            </w:pPr>
                            <w:r>
                              <w:t>The 2016-17 FIRB approvals data also reveal a decline in the total number and value of approvals for Chinese applications – largely driven by reductions in residential real estate approvals. This likely reflects a range of factors, including the introduction FIRB application fees, Chinese ODI capital controls and changing macroeconomic conditions.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id="Snip and Round Single Corner Rectangle 24" o:spid="_x0000_s1027" style="width:383.8pt;height:330.8pt;visibility:visible;mso-wrap-style:square;mso-left-percent:-10001;mso-top-percent:-10001;mso-position-horizontal:absolute;mso-position-horizontal-relative:char;mso-position-vertical:absolute;mso-position-vertical-relative:line;mso-left-percent:-10001;mso-top-percent:-10001;v-text-anchor:middle" coordsize="4874400,420106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" adj="-11796480,,5400" path="m180226,l4401486,r472914,472914l4874400,4201064,,4201064,,180226c,80690,80690,,180226,xe" fillcolor="#155a76" stroked="f" strokeweight="2pt">
                <v:stroke joinstyle="miter"/>
                <v:formulas/>
                <v:path arrowok="t" o:connecttype="custom" o:connectlocs="180226,0;4401486,0;4874400,472914;4874400,4201064;0,4201064;0,180226;180226,0" o:connectangles="0,0,0,0,0,0,0" textboxrect="0,0,4874400,4201064"/>
                <v:textbox>
                  <w:txbxContent>
                    <w:p w14:paraId="2E687447" w14:textId="77777777" w:rsidR="00AE54F4" w:rsidRDefault="00AE54F4" w:rsidP="00C46B16">
                      <w:pPr>
                        <w:pStyle w:val="BoxHeading"/>
                      </w:pPr>
                      <w:r>
                        <w:t>Chinese Capital Controls</w:t>
                      </w:r>
                    </w:p>
                    <w:p w14:paraId="7841A66D" w14:textId="6918952C" w:rsidR="00AE54F4" w:rsidRDefault="00AE54F4" w:rsidP="00C46B16">
                      <w:pPr>
                        <w:pStyle w:val="BoxText"/>
                      </w:pPr>
                      <w:r>
                        <w:t>Australia is an attractive destination for Chinese investment due to our stable political climate, robust regulatory environment, reliable returns and advanced management know-how.</w:t>
                      </w:r>
                    </w:p>
                    <w:p w14:paraId="099A8D40" w14:textId="73ED4E40" w:rsidR="00AE54F4" w:rsidRPr="007A115B" w:rsidRDefault="00AE54F4" w:rsidP="00C46B16">
                      <w:pPr>
                        <w:pStyle w:val="BoxText"/>
                      </w:pPr>
                      <w:r>
                        <w:t>In 2016-17, China ranked</w:t>
                      </w:r>
                      <w:r w:rsidRPr="009B5EC6">
                        <w:t xml:space="preserve"> </w:t>
                      </w:r>
                      <w:r>
                        <w:t>first</w:t>
                      </w:r>
                      <w:r w:rsidRPr="0063573D">
                        <w:t xml:space="preserve"> i</w:t>
                      </w:r>
                      <w:r>
                        <w:t>n terms of foreign investment approvals by country of investor, with a majority of those approvals in residential real estate. For business investment, there has been a shifting focus of Chinese investment toward emerging sectors such as renewable energy and health care, along with established sectors such as services, mineral exploration and development and agriculture.</w:t>
                      </w:r>
                    </w:p>
                    <w:p w14:paraId="09298813" w14:textId="4BA7E8E1" w:rsidR="00AE54F4" w:rsidRDefault="00AE54F4" w:rsidP="00C46B16">
                      <w:pPr>
                        <w:pStyle w:val="BoxText"/>
                      </w:pPr>
                      <w:r>
                        <w:t>Since 2000 the Chinese government has adopted a ‘Going Out’ strategy to encourage domestic firms to invest overseas. Chinese Overseas Direct Investment (ODI) has risen rapidly since around 2007. Chinese Ministry of Commerce data shows that China’s annual ODI rose from US $21 billion in 2006 to US $170 billion in 2016. However, there has been a dramatic fall following implementation of capital controls at the end of 2016 – ODI figures for the first 7 months of 2017 dropped to only US $57.2 billion.</w:t>
                      </w:r>
                    </w:p>
                    <w:p w14:paraId="195600BE" w14:textId="04589D5B" w:rsidR="00AE54F4" w:rsidRDefault="00AE54F4" w:rsidP="00C46B16">
                      <w:pPr>
                        <w:pStyle w:val="BoxText"/>
                      </w:pPr>
                      <w:r>
                        <w:t>The 2016-17 FIRB approvals data also reveal a decline in the total number and value of approvals for Chinese applications – largely driven by reductions in residential real estate approvals. This likely reflects a range of factors, including the introduction FIRB application fees, Chinese ODI capital controls and changing macroeconomic conditions.</w:t>
                      </w:r>
                    </w:p>
                  </w:txbxContent>
                </v:textbox>
                <w10:anchorlock/>
              </v:shape>
            </w:pict>
          </mc:Fallback>
        </mc:AlternateContent>
      </w:r>
    </w:p>
    <w:p w14:paraId="5B65A409" w14:textId="0B935947" w:rsidR="00FF11A7" w:rsidRDefault="00FF11A7">
      <w:pPr>
        <w:spacing w:after="200" w:line="276" w:lineRule="auto"/>
        <w:jc w:val="left"/>
      </w:pPr>
      <w:r w:rsidRPr="00FF11A7">
        <w:rPr>
          <w:noProof/>
        </w:rPr>
        <w:lastRenderedPageBreak/>
        <mc:AlternateContent>
          <mc:Choice Requires="wps">
            <w:drawing>
              <wp:inline distT="0" distB="0" distL="0" distR="0" wp14:anchorId="09CD59CD" wp14:editId="6117AD92">
                <wp:extent cx="4857115" cy="6612890"/>
                <wp:effectExtent l="0" t="0" r="635" b="0"/>
                <wp:docPr id="26" name="Snip and Round Single Corner Rectangle 26"/>
                <wp:cNvGraphicFramePr/>
                <a:graphic xmlns:a="http://schemas.openxmlformats.org/drawingml/2006/main">
                  <a:graphicData uri="http://schemas.microsoft.com/office/word/2010/wordprocessingShape">
                    <wps:wsp>
                      <wps:cNvSpPr/>
                      <wps:spPr>
                        <a:xfrm>
                          <a:off x="0" y="0"/>
                          <a:ext cx="4857115" cy="6612890"/>
                        </a:xfrm>
                        <a:prstGeom prst="snipRoundRect">
                          <a:avLst>
                            <a:gd name="adj1" fmla="val 4290"/>
                            <a:gd name="adj2" fmla="val 10806"/>
                          </a:avLst>
                        </a:prstGeom>
                        <a:solidFill>
                          <a:srgbClr val="155A76"/>
                        </a:solidFill>
                        <a:ln w="25400" cap="flat" cmpd="sng" algn="ctr">
                          <a:noFill/>
                          <a:prstDash val="solid"/>
                        </a:ln>
                        <a:effectLst/>
                      </wps:spPr>
                      <wps:txbx>
                        <w:txbxContent>
                          <w:p w14:paraId="5F8ACF40" w14:textId="6BE1BA71" w:rsidR="00AE54F4" w:rsidRDefault="00AE54F4" w:rsidP="00FF11A7">
                            <w:pPr>
                              <w:pStyle w:val="BoxHeading"/>
                            </w:pPr>
                            <w:r>
                              <w:t>The US remains our largest foreign direct investor</w:t>
                            </w:r>
                          </w:p>
                          <w:p w14:paraId="6B3DC4C1" w14:textId="0A08CC01" w:rsidR="00AE54F4" w:rsidRPr="0025323A" w:rsidRDefault="00AE54F4" w:rsidP="00FF11A7">
                            <w:pPr>
                              <w:pStyle w:val="BoxText"/>
                            </w:pPr>
                            <w:r>
                              <w:t>Investment from the US represents over 20 per cent stock of foreign direct investment into Australia, and has done so for over 30 years. The US also remains the largest overall investor in Australia, with a total investment stock of $860.9 billion as at 31</w:t>
                            </w:r>
                            <w:r>
                              <w:rPr>
                                <w:sz w:val="22"/>
                              </w:rPr>
                              <w:t> </w:t>
                            </w:r>
                            <w:r>
                              <w:t xml:space="preserve">December 2016. A recent study from the United States Studies Centre at the University of Sydney notes more of the US FDI stock is directed to Australia than to </w:t>
                            </w:r>
                            <w:proofErr w:type="gramStart"/>
                            <w:r>
                              <w:t>either South</w:t>
                            </w:r>
                            <w:proofErr w:type="gramEnd"/>
                            <w:r>
                              <w:t xml:space="preserve"> America, Africa or the Middle East; and Australia receives well over twice the amount of US FDI directed to China.</w:t>
                            </w:r>
                          </w:p>
                          <w:p w14:paraId="3BB21FA4" w14:textId="2F1E7F88" w:rsidR="00AE54F4" w:rsidRDefault="00AE54F4" w:rsidP="00FF11A7">
                            <w:pPr>
                              <w:pStyle w:val="BoxText"/>
                            </w:pPr>
                            <w:r>
                              <w:t>During 2016-17, the FIRB’s foreign investment approvals for US investors totalled 323 applications worth $26.5 billion. Approvals spanned agriculture, broadcasting and publishing, commercial and residential real estate, manufacturing, mining, education, transport and finance. Forms of investment included the purchase of land, the acquisition of equity in existing companies and the creation of new companies. See ‘</w:t>
                            </w:r>
                            <w:r w:rsidRPr="009A2F05">
                              <w:t>Chapter 4: Foreign Investment Proposals Data</w:t>
                            </w:r>
                            <w:r>
                              <w:t>’ for further details of US investment approvals during 2016-17.</w:t>
                            </w:r>
                          </w:p>
                          <w:p w14:paraId="3B74B643" w14:textId="328D3F0B" w:rsidR="00AE54F4" w:rsidRDefault="00AE54F4" w:rsidP="00FF11A7">
                            <w:pPr>
                              <w:pStyle w:val="BoxText"/>
                            </w:pPr>
                            <w:r w:rsidRPr="00324314">
                              <w:t>Established US businesses invest in plant, equipment, research and development and human capital. For examp</w:t>
                            </w:r>
                            <w:r>
                              <w:t>le, Boeing’s investment of over $1 </w:t>
                            </w:r>
                            <w:r w:rsidRPr="00324314">
                              <w:t xml:space="preserve">billion in its Australian operations </w:t>
                            </w:r>
                            <w:r>
                              <w:t xml:space="preserve">is </w:t>
                            </w:r>
                            <w:r w:rsidRPr="00324314">
                              <w:t>the company’s largest presence outside the US. A number of factors were behind Boeing’s decision to make substantial investments in Australia, including our highly skilled workforce,</w:t>
                            </w:r>
                            <w:r>
                              <w:t xml:space="preserve"> </w:t>
                            </w:r>
                            <w:r w:rsidRPr="00324314">
                              <w:t xml:space="preserve">collaboration opportunities with our universities, and strong research and development capacity. </w:t>
                            </w:r>
                            <w:r>
                              <w:t xml:space="preserve">In 2016, </w:t>
                            </w:r>
                            <w:r w:rsidRPr="00324314">
                              <w:t xml:space="preserve">Boeing Australia’s advanced manufacturing and research and development operations </w:t>
                            </w:r>
                            <w:r>
                              <w:t>made a $47 </w:t>
                            </w:r>
                            <w:r w:rsidRPr="00324314">
                              <w:t xml:space="preserve">million investment in research and development and </w:t>
                            </w:r>
                            <w:r>
                              <w:t>contributed $450 </w:t>
                            </w:r>
                            <w:r w:rsidRPr="00324314">
                              <w:t>million in exports</w:t>
                            </w:r>
                            <w:r>
                              <w:t xml:space="preserve"> from Australia</w:t>
                            </w:r>
                            <w:r w:rsidRPr="00324314">
                              <w:t>.</w:t>
                            </w:r>
                          </w:p>
                          <w:p w14:paraId="3E42A735" w14:textId="5CB89657" w:rsidR="00AE54F4" w:rsidRDefault="00AE54F4" w:rsidP="00FF11A7">
                            <w:pPr>
                              <w:rPr>
                                <w:iCs/>
                                <w:color w:val="FFFFFF" w:themeColor="background1"/>
                                <w:lang w:val="en-US"/>
                              </w:rPr>
                            </w:pPr>
                            <w:r w:rsidRPr="0000502F">
                              <w:rPr>
                                <w:iCs/>
                                <w:color w:val="FFFFFF" w:themeColor="background1"/>
                              </w:rPr>
                              <w:t>Boeing’s investments in Australia have also been important in helping Australian companies to grow into globally competitive businesses. For instance, c</w:t>
                            </w:r>
                            <w:proofErr w:type="spellStart"/>
                            <w:r w:rsidRPr="0000502F">
                              <w:rPr>
                                <w:iCs/>
                                <w:color w:val="FFFFFF" w:themeColor="background1"/>
                                <w:lang w:val="en-US"/>
                              </w:rPr>
                              <w:t>ompanies</w:t>
                            </w:r>
                            <w:proofErr w:type="spellEnd"/>
                            <w:r w:rsidRPr="0000502F">
                              <w:rPr>
                                <w:iCs/>
                                <w:color w:val="FFFFFF" w:themeColor="background1"/>
                                <w:lang w:val="en-US"/>
                              </w:rPr>
                              <w:t xml:space="preserve"> like </w:t>
                            </w:r>
                            <w:proofErr w:type="spellStart"/>
                            <w:r w:rsidRPr="0000502F">
                              <w:rPr>
                                <w:iCs/>
                                <w:color w:val="FFFFFF" w:themeColor="background1"/>
                                <w:lang w:val="en-US"/>
                              </w:rPr>
                              <w:t>Lovitt</w:t>
                            </w:r>
                            <w:proofErr w:type="spellEnd"/>
                            <w:r w:rsidRPr="0000502F">
                              <w:rPr>
                                <w:iCs/>
                                <w:color w:val="FFFFFF" w:themeColor="background1"/>
                                <w:lang w:val="en-US"/>
                              </w:rPr>
                              <w:t xml:space="preserve"> Technologies from Melbourne have worked with Boeing for over 20 years.</w:t>
                            </w:r>
                          </w:p>
                          <w:p w14:paraId="07810076" w14:textId="1E157A71" w:rsidR="00AE54F4" w:rsidRPr="0000502F" w:rsidRDefault="00AE54F4" w:rsidP="00FF11A7">
                            <w:pPr>
                              <w:rPr>
                                <w:iCs/>
                                <w:color w:val="FFFFFF" w:themeColor="background1"/>
                                <w:lang w:val="en-US"/>
                              </w:rPr>
                            </w:pPr>
                            <w:r w:rsidRPr="0000502F">
                              <w:rPr>
                                <w:i/>
                                <w:iCs/>
                                <w:color w:val="FFFFFF" w:themeColor="background1"/>
                                <w:lang w:val="en-US"/>
                              </w:rPr>
                              <w:t xml:space="preserve">“This has given </w:t>
                            </w:r>
                            <w:proofErr w:type="spellStart"/>
                            <w:r w:rsidRPr="0000502F">
                              <w:rPr>
                                <w:i/>
                                <w:iCs/>
                                <w:color w:val="FFFFFF" w:themeColor="background1"/>
                                <w:lang w:val="en-US"/>
                              </w:rPr>
                              <w:t>Lovitt</w:t>
                            </w:r>
                            <w:proofErr w:type="spellEnd"/>
                            <w:r w:rsidRPr="0000502F">
                              <w:rPr>
                                <w:i/>
                                <w:iCs/>
                                <w:color w:val="FFFFFF" w:themeColor="background1"/>
                                <w:lang w:val="en-US"/>
                              </w:rPr>
                              <w:t xml:space="preserve"> the opportunity to grow from an automotive tooling supplier into a globally competitive aerospace component manufacturer.”</w:t>
                            </w:r>
                            <w:r w:rsidRPr="0000502F">
                              <w:rPr>
                                <w:iCs/>
                                <w:color w:val="FFFFFF" w:themeColor="background1"/>
                                <w:lang w:val="en-US"/>
                              </w:rPr>
                              <w:t xml:space="preserve"> Bruce Ramsay, Manufacturing Director,</w:t>
                            </w:r>
                            <w:r>
                              <w:rPr>
                                <w:iCs/>
                                <w:color w:val="FFFFFF" w:themeColor="background1"/>
                                <w:lang w:val="en-US"/>
                              </w:rPr>
                              <w:t xml:space="preserve"> </w:t>
                            </w:r>
                            <w:proofErr w:type="spellStart"/>
                            <w:r>
                              <w:rPr>
                                <w:iCs/>
                                <w:color w:val="FFFFFF" w:themeColor="background1"/>
                                <w:lang w:val="en-US"/>
                              </w:rPr>
                              <w:t>Lovitt</w:t>
                            </w:r>
                            <w:proofErr w:type="spellEnd"/>
                            <w:r>
                              <w:rPr>
                                <w:iCs/>
                                <w:color w:val="FFFFFF" w:themeColor="background1"/>
                                <w:lang w:val="en-US"/>
                              </w:rPr>
                              <w:t xml:space="preserve"> Technologies Australia.</w:t>
                            </w:r>
                          </w:p>
                          <w:p w14:paraId="7AFB535B" w14:textId="79FF1DB9" w:rsidR="00AE54F4" w:rsidRPr="0000502F" w:rsidRDefault="00AE54F4" w:rsidP="00FF11A7">
                            <w:pPr>
                              <w:rPr>
                                <w:color w:val="FFFFFF" w:themeColor="background1"/>
                                <w:lang w:val="en-US"/>
                              </w:rPr>
                            </w:pPr>
                            <w:proofErr w:type="spellStart"/>
                            <w:r w:rsidRPr="0000502F">
                              <w:rPr>
                                <w:color w:val="FFFFFF" w:themeColor="background1"/>
                                <w:lang w:val="en-US"/>
                              </w:rPr>
                              <w:t>Lovitt</w:t>
                            </w:r>
                            <w:proofErr w:type="spellEnd"/>
                            <w:r w:rsidRPr="0000502F">
                              <w:rPr>
                                <w:color w:val="FFFFFF" w:themeColor="background1"/>
                                <w:lang w:val="en-US"/>
                              </w:rPr>
                              <w:t xml:space="preserve"> </w:t>
                            </w:r>
                            <w:r w:rsidRPr="0000502F">
                              <w:rPr>
                                <w:iCs/>
                                <w:color w:val="FFFFFF" w:themeColor="background1"/>
                                <w:lang w:val="en-US"/>
                              </w:rPr>
                              <w:t xml:space="preserve">Technologies </w:t>
                            </w:r>
                            <w:r w:rsidRPr="0000502F">
                              <w:rPr>
                                <w:color w:val="FFFFFF" w:themeColor="background1"/>
                                <w:lang w:val="en-US"/>
                              </w:rPr>
                              <w:t>has grown to over 100 employees, and has evolved to become an exporter in its own right, with product now b</w:t>
                            </w:r>
                            <w:r>
                              <w:rPr>
                                <w:color w:val="FFFFFF" w:themeColor="background1"/>
                                <w:lang w:val="en-US"/>
                              </w:rPr>
                              <w:t>eing exported directly to the US</w:t>
                            </w:r>
                            <w:r w:rsidRPr="0000502F">
                              <w:rPr>
                                <w:color w:val="FFFFFF" w:themeColor="background1"/>
                                <w:lang w:val="en-US"/>
                              </w:rPr>
                              <w:t xml:space="preserve"> for Boe</w:t>
                            </w:r>
                            <w:r>
                              <w:rPr>
                                <w:color w:val="FFFFFF" w:themeColor="background1"/>
                                <w:lang w:val="en-US"/>
                              </w:rPr>
                              <w:t>ing F-15, F/A-18, V-22, Chinook</w:t>
                            </w:r>
                            <w:r w:rsidRPr="0000502F">
                              <w:rPr>
                                <w:color w:val="FFFFFF" w:themeColor="background1"/>
                                <w:lang w:val="en-US"/>
                              </w:rPr>
                              <w:t xml:space="preserve"> and P-8 platforms.</w:t>
                            </w:r>
                          </w:p>
                          <w:p w14:paraId="16B9B582" w14:textId="77777777" w:rsidR="00AE54F4" w:rsidRPr="007A115B" w:rsidRDefault="00AE54F4" w:rsidP="00FF11A7">
                            <w:pPr>
                              <w:pStyle w:val="BoxText"/>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id="Snip and Round Single Corner Rectangle 26" o:spid="_x0000_s1028" style="width:382.45pt;height:520.7pt;visibility:visible;mso-wrap-style:square;mso-left-percent:-10001;mso-top-percent:-10001;mso-position-horizontal:absolute;mso-position-horizontal-relative:char;mso-position-vertical:absolute;mso-position-vertical-relative:line;mso-left-percent:-10001;mso-top-percent:-10001;v-text-anchor:middle" coordsize="4857115,661289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" adj="-11796480,,5400" path="m208370,l4332255,r524860,524860l4857115,6612890,,6612890,,208370c,93290,93290,,208370,xe" fillcolor="#155a76" stroked="f" strokeweight="2pt">
                <v:stroke joinstyle="miter"/>
                <v:formulas/>
                <v:path arrowok="t" o:connecttype="custom" o:connectlocs="208370,0;4332255,0;4857115,524860;4857115,6612890;0,6612890;0,208370;208370,0" o:connectangles="0,0,0,0,0,0,0" textboxrect="0,0,4857115,6612890"/>
                <v:textbox>
                  <w:txbxContent>
                    <w:p w14:paraId="5F8ACF40" w14:textId="6BE1BA71" w:rsidR="00AE54F4" w:rsidRDefault="00AE54F4" w:rsidP="00FF11A7">
                      <w:pPr>
                        <w:pStyle w:val="BoxHeading"/>
                      </w:pPr>
                      <w:r>
                        <w:t>The US remains our largest foreign direct investor</w:t>
                      </w:r>
                    </w:p>
                    <w:p w14:paraId="6B3DC4C1" w14:textId="0A08CC01" w:rsidR="00AE54F4" w:rsidRPr="0025323A" w:rsidRDefault="00AE54F4" w:rsidP="00FF11A7">
                      <w:pPr>
                        <w:pStyle w:val="BoxText"/>
                      </w:pPr>
                      <w:r>
                        <w:t>Investment from the US represents over 20 per cent stock of foreign direct investment into Australia, and has done so for over 30 years. The US also remains the largest overall investor in Australia, with a total investment stock of $860.9 billion as at 31</w:t>
                      </w:r>
                      <w:r>
                        <w:rPr>
                          <w:sz w:val="22"/>
                        </w:rPr>
                        <w:t> </w:t>
                      </w:r>
                      <w:r>
                        <w:t xml:space="preserve">December 2016. A recent study from the United States Studies Centre at the University of Sydney notes more of the US FDI stock is directed to Australia than to </w:t>
                      </w:r>
                      <w:proofErr w:type="gramStart"/>
                      <w:r>
                        <w:t>either South</w:t>
                      </w:r>
                      <w:proofErr w:type="gramEnd"/>
                      <w:r>
                        <w:t xml:space="preserve"> America, Africa or the Middle East; and Australia receives well over twice the amount of US FDI directed to China.</w:t>
                      </w:r>
                    </w:p>
                    <w:p w14:paraId="3BB21FA4" w14:textId="2F1E7F88" w:rsidR="00AE54F4" w:rsidRDefault="00AE54F4" w:rsidP="00FF11A7">
                      <w:pPr>
                        <w:pStyle w:val="BoxText"/>
                      </w:pPr>
                      <w:r>
                        <w:t>During 2016-17, the FIRB’s foreign investment approvals for US investors totalled 323 applications worth $26.5 billion. Approvals spanned agriculture, broadcasting and publishing, commercial and residential real estate, manufacturing, mining, education, transport and finance. Forms of investment included the purchase of land, the acquisition of equity in existing companies and the creation of new companies. See ‘</w:t>
                      </w:r>
                      <w:r w:rsidRPr="009A2F05">
                        <w:t>Chapter 4: Foreign Investment Proposals Data</w:t>
                      </w:r>
                      <w:r>
                        <w:t>’ for further details of US investment approvals during 2016-17.</w:t>
                      </w:r>
                    </w:p>
                    <w:p w14:paraId="3B74B643" w14:textId="328D3F0B" w:rsidR="00AE54F4" w:rsidRDefault="00AE54F4" w:rsidP="00FF11A7">
                      <w:pPr>
                        <w:pStyle w:val="BoxText"/>
                      </w:pPr>
                      <w:r w:rsidRPr="00324314">
                        <w:t>Established US businesses invest in plant, equipment, research and development and human capital. For examp</w:t>
                      </w:r>
                      <w:r>
                        <w:t>le, Boeing’s investment of over $1 </w:t>
                      </w:r>
                      <w:r w:rsidRPr="00324314">
                        <w:t xml:space="preserve">billion in its Australian operations </w:t>
                      </w:r>
                      <w:r>
                        <w:t xml:space="preserve">is </w:t>
                      </w:r>
                      <w:r w:rsidRPr="00324314">
                        <w:t>the company’s largest presence outside the US. A number of factors were behind Boeing’s decision to make substantial investments in Australia, including our highly skilled workforce,</w:t>
                      </w:r>
                      <w:r>
                        <w:t xml:space="preserve"> </w:t>
                      </w:r>
                      <w:r w:rsidRPr="00324314">
                        <w:t xml:space="preserve">collaboration opportunities with our universities, and strong research and development capacity. </w:t>
                      </w:r>
                      <w:r>
                        <w:t xml:space="preserve">In 2016, </w:t>
                      </w:r>
                      <w:r w:rsidRPr="00324314">
                        <w:t xml:space="preserve">Boeing Australia’s advanced manufacturing and research and development operations </w:t>
                      </w:r>
                      <w:r>
                        <w:t>made a $47 </w:t>
                      </w:r>
                      <w:r w:rsidRPr="00324314">
                        <w:t xml:space="preserve">million investment in research and development and </w:t>
                      </w:r>
                      <w:r>
                        <w:t>contributed $450 </w:t>
                      </w:r>
                      <w:r w:rsidRPr="00324314">
                        <w:t>million in exports</w:t>
                      </w:r>
                      <w:r>
                        <w:t xml:space="preserve"> from Australia</w:t>
                      </w:r>
                      <w:r w:rsidRPr="00324314">
                        <w:t>.</w:t>
                      </w:r>
                    </w:p>
                    <w:p w14:paraId="3E42A735" w14:textId="5CB89657" w:rsidR="00AE54F4" w:rsidRDefault="00AE54F4" w:rsidP="00FF11A7">
                      <w:pPr>
                        <w:rPr>
                          <w:iCs/>
                          <w:color w:val="FFFFFF" w:themeColor="background1"/>
                          <w:lang w:val="en-US"/>
                        </w:rPr>
                      </w:pPr>
                      <w:r w:rsidRPr="0000502F">
                        <w:rPr>
                          <w:iCs/>
                          <w:color w:val="FFFFFF" w:themeColor="background1"/>
                        </w:rPr>
                        <w:t>Boeing’s investments in Australia have also been important in helping Australian companies to grow into globally competitive businesses. For instance, c</w:t>
                      </w:r>
                      <w:proofErr w:type="spellStart"/>
                      <w:r w:rsidRPr="0000502F">
                        <w:rPr>
                          <w:iCs/>
                          <w:color w:val="FFFFFF" w:themeColor="background1"/>
                          <w:lang w:val="en-US"/>
                        </w:rPr>
                        <w:t>ompanies</w:t>
                      </w:r>
                      <w:proofErr w:type="spellEnd"/>
                      <w:r w:rsidRPr="0000502F">
                        <w:rPr>
                          <w:iCs/>
                          <w:color w:val="FFFFFF" w:themeColor="background1"/>
                          <w:lang w:val="en-US"/>
                        </w:rPr>
                        <w:t xml:space="preserve"> like </w:t>
                      </w:r>
                      <w:proofErr w:type="spellStart"/>
                      <w:r w:rsidRPr="0000502F">
                        <w:rPr>
                          <w:iCs/>
                          <w:color w:val="FFFFFF" w:themeColor="background1"/>
                          <w:lang w:val="en-US"/>
                        </w:rPr>
                        <w:t>Lovitt</w:t>
                      </w:r>
                      <w:proofErr w:type="spellEnd"/>
                      <w:r w:rsidRPr="0000502F">
                        <w:rPr>
                          <w:iCs/>
                          <w:color w:val="FFFFFF" w:themeColor="background1"/>
                          <w:lang w:val="en-US"/>
                        </w:rPr>
                        <w:t xml:space="preserve"> Technologies from Melbourne have worked with Boeing for over 20 years.</w:t>
                      </w:r>
                    </w:p>
                    <w:p w14:paraId="07810076" w14:textId="1E157A71" w:rsidR="00AE54F4" w:rsidRPr="0000502F" w:rsidRDefault="00AE54F4" w:rsidP="00FF11A7">
                      <w:pPr>
                        <w:rPr>
                          <w:iCs/>
                          <w:color w:val="FFFFFF" w:themeColor="background1"/>
                          <w:lang w:val="en-US"/>
                        </w:rPr>
                      </w:pPr>
                      <w:r w:rsidRPr="0000502F">
                        <w:rPr>
                          <w:i/>
                          <w:iCs/>
                          <w:color w:val="FFFFFF" w:themeColor="background1"/>
                          <w:lang w:val="en-US"/>
                        </w:rPr>
                        <w:t xml:space="preserve">“This has given </w:t>
                      </w:r>
                      <w:proofErr w:type="spellStart"/>
                      <w:r w:rsidRPr="0000502F">
                        <w:rPr>
                          <w:i/>
                          <w:iCs/>
                          <w:color w:val="FFFFFF" w:themeColor="background1"/>
                          <w:lang w:val="en-US"/>
                        </w:rPr>
                        <w:t>Lovitt</w:t>
                      </w:r>
                      <w:proofErr w:type="spellEnd"/>
                      <w:r w:rsidRPr="0000502F">
                        <w:rPr>
                          <w:i/>
                          <w:iCs/>
                          <w:color w:val="FFFFFF" w:themeColor="background1"/>
                          <w:lang w:val="en-US"/>
                        </w:rPr>
                        <w:t xml:space="preserve"> the opportunity to grow from an automotive tooling supplier into a globally competitive aerospace component manufacturer.”</w:t>
                      </w:r>
                      <w:r w:rsidRPr="0000502F">
                        <w:rPr>
                          <w:iCs/>
                          <w:color w:val="FFFFFF" w:themeColor="background1"/>
                          <w:lang w:val="en-US"/>
                        </w:rPr>
                        <w:t xml:space="preserve"> Bruce Ramsay, Manufacturing Director,</w:t>
                      </w:r>
                      <w:r>
                        <w:rPr>
                          <w:iCs/>
                          <w:color w:val="FFFFFF" w:themeColor="background1"/>
                          <w:lang w:val="en-US"/>
                        </w:rPr>
                        <w:t xml:space="preserve"> </w:t>
                      </w:r>
                      <w:proofErr w:type="spellStart"/>
                      <w:r>
                        <w:rPr>
                          <w:iCs/>
                          <w:color w:val="FFFFFF" w:themeColor="background1"/>
                          <w:lang w:val="en-US"/>
                        </w:rPr>
                        <w:t>Lovitt</w:t>
                      </w:r>
                      <w:proofErr w:type="spellEnd"/>
                      <w:r>
                        <w:rPr>
                          <w:iCs/>
                          <w:color w:val="FFFFFF" w:themeColor="background1"/>
                          <w:lang w:val="en-US"/>
                        </w:rPr>
                        <w:t xml:space="preserve"> Technologies Australia.</w:t>
                      </w:r>
                    </w:p>
                    <w:p w14:paraId="7AFB535B" w14:textId="79FF1DB9" w:rsidR="00AE54F4" w:rsidRPr="0000502F" w:rsidRDefault="00AE54F4" w:rsidP="00FF11A7">
                      <w:pPr>
                        <w:rPr>
                          <w:color w:val="FFFFFF" w:themeColor="background1"/>
                          <w:lang w:val="en-US"/>
                        </w:rPr>
                      </w:pPr>
                      <w:proofErr w:type="spellStart"/>
                      <w:r w:rsidRPr="0000502F">
                        <w:rPr>
                          <w:color w:val="FFFFFF" w:themeColor="background1"/>
                          <w:lang w:val="en-US"/>
                        </w:rPr>
                        <w:t>Lovitt</w:t>
                      </w:r>
                      <w:proofErr w:type="spellEnd"/>
                      <w:r w:rsidRPr="0000502F">
                        <w:rPr>
                          <w:color w:val="FFFFFF" w:themeColor="background1"/>
                          <w:lang w:val="en-US"/>
                        </w:rPr>
                        <w:t xml:space="preserve"> </w:t>
                      </w:r>
                      <w:r w:rsidRPr="0000502F">
                        <w:rPr>
                          <w:iCs/>
                          <w:color w:val="FFFFFF" w:themeColor="background1"/>
                          <w:lang w:val="en-US"/>
                        </w:rPr>
                        <w:t xml:space="preserve">Technologies </w:t>
                      </w:r>
                      <w:r w:rsidRPr="0000502F">
                        <w:rPr>
                          <w:color w:val="FFFFFF" w:themeColor="background1"/>
                          <w:lang w:val="en-US"/>
                        </w:rPr>
                        <w:t>has grown to over 100 employees, and has evolved to become an exporter in its own right, with product now b</w:t>
                      </w:r>
                      <w:r>
                        <w:rPr>
                          <w:color w:val="FFFFFF" w:themeColor="background1"/>
                          <w:lang w:val="en-US"/>
                        </w:rPr>
                        <w:t>eing exported directly to the US</w:t>
                      </w:r>
                      <w:r w:rsidRPr="0000502F">
                        <w:rPr>
                          <w:color w:val="FFFFFF" w:themeColor="background1"/>
                          <w:lang w:val="en-US"/>
                        </w:rPr>
                        <w:t xml:space="preserve"> for Boe</w:t>
                      </w:r>
                      <w:r>
                        <w:rPr>
                          <w:color w:val="FFFFFF" w:themeColor="background1"/>
                          <w:lang w:val="en-US"/>
                        </w:rPr>
                        <w:t>ing F-15, F/A-18, V-22, Chinook</w:t>
                      </w:r>
                      <w:r w:rsidRPr="0000502F">
                        <w:rPr>
                          <w:color w:val="FFFFFF" w:themeColor="background1"/>
                          <w:lang w:val="en-US"/>
                        </w:rPr>
                        <w:t xml:space="preserve"> and P-8 platforms.</w:t>
                      </w:r>
                    </w:p>
                    <w:p w14:paraId="16B9B582" w14:textId="77777777" w:rsidR="00AE54F4" w:rsidRPr="007A115B" w:rsidRDefault="00AE54F4" w:rsidP="00FF11A7">
                      <w:pPr>
                        <w:pStyle w:val="BoxText"/>
                      </w:pPr>
                    </w:p>
                  </w:txbxContent>
                </v:textbox>
                <w10:anchorlock/>
              </v:shape>
            </w:pict>
          </mc:Fallback>
        </mc:AlternateContent>
      </w:r>
    </w:p>
    <w:p w14:paraId="7A1B7CE5" w14:textId="77777777" w:rsidR="004B0CA8" w:rsidRDefault="004B0CA8">
      <w:pPr>
        <w:spacing w:after="200" w:line="276" w:lineRule="auto"/>
        <w:jc w:val="left"/>
      </w:pPr>
    </w:p>
    <w:p w14:paraId="676B1FB7" w14:textId="77777777" w:rsidR="00707139" w:rsidRDefault="00707139" w:rsidP="00FF11A7">
      <w:pPr>
        <w:spacing w:after="200" w:line="276" w:lineRule="auto"/>
        <w:jc w:val="left"/>
        <w:sectPr w:rsidR="00707139" w:rsidSect="00FD0D0B">
          <w:headerReference w:type="default" r:id="rId57"/>
          <w:pgSz w:w="11907" w:h="16840" w:code="9"/>
          <w:pgMar w:top="2466" w:right="2098" w:bottom="2466" w:left="2098" w:header="1899" w:footer="1899" w:gutter="0"/>
          <w:cols w:space="720"/>
          <w:titlePg/>
          <w:docGrid w:linePitch="360"/>
        </w:sectPr>
      </w:pPr>
    </w:p>
    <w:p w14:paraId="5C9D2AF2" w14:textId="1BCEADB5" w:rsidR="00EB761B" w:rsidRDefault="00EB761B" w:rsidP="00EB761B">
      <w:pPr>
        <w:pStyle w:val="ChartGraphic"/>
        <w:spacing w:after="360"/>
      </w:pPr>
      <w:r>
        <w:rPr>
          <w:noProof/>
        </w:rPr>
        <w:lastRenderedPageBreak/>
        <w:drawing>
          <wp:inline distT="0" distB="0" distL="0" distR="0" wp14:anchorId="62EAC8C7" wp14:editId="070DEE8B">
            <wp:extent cx="4895088" cy="3060192"/>
            <wp:effectExtent l="0" t="0" r="1270" b="698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RB part page4.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895088" cy="3060192"/>
                    </a:xfrm>
                    <a:prstGeom prst="rect">
                      <a:avLst/>
                    </a:prstGeom>
                  </pic:spPr>
                </pic:pic>
              </a:graphicData>
            </a:graphic>
          </wp:inline>
        </w:drawing>
      </w:r>
    </w:p>
    <w:p w14:paraId="0862A3B6" w14:textId="0FA50E87" w:rsidR="00851CDC" w:rsidRDefault="00851CDC" w:rsidP="00851CDC">
      <w:pPr>
        <w:pStyle w:val="Heading1"/>
      </w:pPr>
      <w:bookmarkStart w:id="146" w:name="_Toc514924636"/>
      <w:r>
        <w:t>Chapter 4: F</w:t>
      </w:r>
      <w:r w:rsidRPr="00851CDC">
        <w:t>oreign investment proposals data</w:t>
      </w:r>
      <w:bookmarkEnd w:id="146"/>
    </w:p>
    <w:p w14:paraId="4A9AB382" w14:textId="632211F0" w:rsidR="00FD0D0B" w:rsidRPr="00B579B9" w:rsidRDefault="00FD0D0B" w:rsidP="00CC4B70">
      <w:pPr>
        <w:rPr>
          <w:color w:val="auto"/>
          <w:szCs w:val="24"/>
        </w:rPr>
      </w:pPr>
      <w:r>
        <w:t>This chapter</w:t>
      </w:r>
      <w:r w:rsidDel="00535D52">
        <w:t xml:space="preserve"> </w:t>
      </w:r>
      <w:r w:rsidR="00535D52">
        <w:rPr>
          <w:color w:val="auto"/>
          <w:szCs w:val="24"/>
        </w:rPr>
        <w:t>provides an overview of</w:t>
      </w:r>
      <w:r w:rsidR="00535D52" w:rsidRPr="00B579B9">
        <w:rPr>
          <w:color w:val="auto"/>
          <w:szCs w:val="24"/>
        </w:rPr>
        <w:t xml:space="preserve"> </w:t>
      </w:r>
      <w:r w:rsidRPr="00B579B9">
        <w:rPr>
          <w:color w:val="auto"/>
          <w:szCs w:val="24"/>
        </w:rPr>
        <w:t xml:space="preserve">all investment </w:t>
      </w:r>
      <w:r w:rsidR="00260A7E">
        <w:rPr>
          <w:color w:val="auto"/>
          <w:szCs w:val="24"/>
        </w:rPr>
        <w:t>applications</w:t>
      </w:r>
      <w:r w:rsidRPr="00B579B9">
        <w:rPr>
          <w:color w:val="auto"/>
          <w:szCs w:val="24"/>
        </w:rPr>
        <w:t xml:space="preserve"> that were finalised (approved, rejected, withdrawn or exempt) during 201</w:t>
      </w:r>
      <w:r>
        <w:rPr>
          <w:color w:val="auto"/>
          <w:szCs w:val="24"/>
        </w:rPr>
        <w:t>6</w:t>
      </w:r>
      <w:r w:rsidR="00FF11A7">
        <w:rPr>
          <w:color w:val="auto"/>
          <w:szCs w:val="24"/>
        </w:rPr>
        <w:t>–</w:t>
      </w:r>
      <w:r w:rsidRPr="00B579B9">
        <w:rPr>
          <w:color w:val="auto"/>
          <w:szCs w:val="24"/>
        </w:rPr>
        <w:t>1</w:t>
      </w:r>
      <w:r>
        <w:rPr>
          <w:color w:val="auto"/>
          <w:szCs w:val="24"/>
        </w:rPr>
        <w:t>7</w:t>
      </w:r>
      <w:r w:rsidRPr="00B579B9">
        <w:rPr>
          <w:color w:val="auto"/>
          <w:szCs w:val="24"/>
        </w:rPr>
        <w:t xml:space="preserve">, irrespective of the date </w:t>
      </w:r>
      <w:r>
        <w:rPr>
          <w:color w:val="auto"/>
          <w:szCs w:val="24"/>
        </w:rPr>
        <w:t xml:space="preserve">the application was </w:t>
      </w:r>
      <w:r w:rsidRPr="00B579B9">
        <w:rPr>
          <w:color w:val="auto"/>
          <w:szCs w:val="24"/>
        </w:rPr>
        <w:t xml:space="preserve">submitted. The term </w:t>
      </w:r>
      <w:r>
        <w:rPr>
          <w:color w:val="auto"/>
          <w:szCs w:val="24"/>
        </w:rPr>
        <w:t>‘</w:t>
      </w:r>
      <w:r w:rsidRPr="00B579B9">
        <w:rPr>
          <w:color w:val="auto"/>
          <w:szCs w:val="24"/>
        </w:rPr>
        <w:t>proposed investment</w:t>
      </w:r>
      <w:r>
        <w:rPr>
          <w:color w:val="auto"/>
          <w:szCs w:val="24"/>
        </w:rPr>
        <w:t>’</w:t>
      </w:r>
      <w:r w:rsidRPr="00B579B9">
        <w:rPr>
          <w:color w:val="auto"/>
          <w:szCs w:val="24"/>
        </w:rPr>
        <w:t xml:space="preserve"> is used widely throughout this report. The value of proposed investment is</w:t>
      </w:r>
      <w:r>
        <w:rPr>
          <w:color w:val="auto"/>
          <w:szCs w:val="24"/>
        </w:rPr>
        <w:t xml:space="preserve"> an </w:t>
      </w:r>
      <w:r w:rsidRPr="00B579B9">
        <w:rPr>
          <w:color w:val="auto"/>
          <w:szCs w:val="24"/>
        </w:rPr>
        <w:t>estimate</w:t>
      </w:r>
      <w:r>
        <w:rPr>
          <w:color w:val="auto"/>
          <w:szCs w:val="24"/>
        </w:rPr>
        <w:t xml:space="preserve"> of the following</w:t>
      </w:r>
      <w:r w:rsidRPr="00B579B9">
        <w:rPr>
          <w:color w:val="auto"/>
          <w:szCs w:val="24"/>
        </w:rPr>
        <w:t xml:space="preserve"> at the time of the approval:</w:t>
      </w:r>
    </w:p>
    <w:p w14:paraId="2BE5667B" w14:textId="77777777" w:rsidR="00FD0D0B" w:rsidRPr="0014043A" w:rsidRDefault="00FD0D0B" w:rsidP="00C27882">
      <w:pPr>
        <w:pStyle w:val="FIRBBulletpoint"/>
      </w:pPr>
      <w:r w:rsidRPr="0014043A">
        <w:t>acquisition costs (including shares, real estate or other assets); and/or</w:t>
      </w:r>
    </w:p>
    <w:p w14:paraId="1A9957E0" w14:textId="77777777" w:rsidR="00FD0D0B" w:rsidRPr="0014043A" w:rsidRDefault="00FD0D0B" w:rsidP="00C27882">
      <w:pPr>
        <w:pStyle w:val="FIRBBulletpoint"/>
      </w:pPr>
      <w:proofErr w:type="gramStart"/>
      <w:r w:rsidRPr="0014043A">
        <w:t>costs</w:t>
      </w:r>
      <w:proofErr w:type="gramEnd"/>
      <w:r w:rsidRPr="0014043A">
        <w:t xml:space="preserve"> of both establishment and development in the case of new businesses.</w:t>
      </w:r>
    </w:p>
    <w:p w14:paraId="07CCE207" w14:textId="5388C15F" w:rsidR="00FD0D0B" w:rsidRDefault="00FD0D0B" w:rsidP="00FD0D0B">
      <w:pPr>
        <w:rPr>
          <w:color w:val="auto"/>
        </w:rPr>
      </w:pPr>
      <w:r w:rsidRPr="005F07F8">
        <w:rPr>
          <w:color w:val="auto"/>
          <w:szCs w:val="24"/>
        </w:rPr>
        <w:t xml:space="preserve">There are a number of caveats that need to be applied in interpreting </w:t>
      </w:r>
      <w:r w:rsidR="00AE214A">
        <w:rPr>
          <w:color w:val="auto"/>
          <w:szCs w:val="24"/>
        </w:rPr>
        <w:t>the FIRB</w:t>
      </w:r>
      <w:r w:rsidRPr="005F07F8">
        <w:rPr>
          <w:color w:val="auto"/>
          <w:szCs w:val="24"/>
        </w:rPr>
        <w:t xml:space="preserve"> data</w:t>
      </w:r>
      <w:r w:rsidR="00AE214A">
        <w:rPr>
          <w:color w:val="auto"/>
          <w:szCs w:val="24"/>
        </w:rPr>
        <w:t>, which are</w:t>
      </w:r>
      <w:r w:rsidRPr="005F07F8">
        <w:rPr>
          <w:color w:val="auto"/>
          <w:szCs w:val="24"/>
        </w:rPr>
        <w:t xml:space="preserve"> set out in </w:t>
      </w:r>
      <w:r>
        <w:rPr>
          <w:color w:val="auto"/>
          <w:szCs w:val="24"/>
        </w:rPr>
        <w:t xml:space="preserve">detail at </w:t>
      </w:r>
      <w:r w:rsidRPr="005F07F8">
        <w:rPr>
          <w:color w:val="auto"/>
          <w:szCs w:val="24"/>
        </w:rPr>
        <w:t xml:space="preserve">Appendix </w:t>
      </w:r>
      <w:r w:rsidR="008C475C">
        <w:rPr>
          <w:color w:val="auto"/>
          <w:szCs w:val="24"/>
        </w:rPr>
        <w:t>B</w:t>
      </w:r>
      <w:r w:rsidRPr="005F07F8">
        <w:rPr>
          <w:color w:val="auto"/>
          <w:szCs w:val="24"/>
        </w:rPr>
        <w:t>.</w:t>
      </w:r>
      <w:r>
        <w:rPr>
          <w:color w:val="auto"/>
          <w:szCs w:val="24"/>
        </w:rPr>
        <w:t xml:space="preserve"> Importantly,</w:t>
      </w:r>
      <w:r w:rsidRPr="00B579B9">
        <w:rPr>
          <w:color w:val="auto"/>
          <w:szCs w:val="24"/>
        </w:rPr>
        <w:t xml:space="preserve"> approvals data do</w:t>
      </w:r>
      <w:r w:rsidR="00260A7E">
        <w:rPr>
          <w:color w:val="auto"/>
          <w:szCs w:val="24"/>
        </w:rPr>
        <w:t>es</w:t>
      </w:r>
      <w:r w:rsidRPr="00B579B9">
        <w:rPr>
          <w:color w:val="auto"/>
          <w:szCs w:val="24"/>
        </w:rPr>
        <w:t xml:space="preserve"> not measure total foreign </w:t>
      </w:r>
      <w:r w:rsidR="00637330" w:rsidDel="00637330">
        <w:rPr>
          <w:color w:val="auto"/>
          <w:szCs w:val="24"/>
        </w:rPr>
        <w:t xml:space="preserve">direct </w:t>
      </w:r>
      <w:r w:rsidRPr="00B579B9">
        <w:rPr>
          <w:color w:val="auto"/>
          <w:szCs w:val="24"/>
        </w:rPr>
        <w:t xml:space="preserve">investment made in any year or changes in net foreign ownership levels in Australia. </w:t>
      </w:r>
      <w:r w:rsidR="00260A7E">
        <w:rPr>
          <w:color w:val="auto"/>
          <w:szCs w:val="24"/>
        </w:rPr>
        <w:t>This is because</w:t>
      </w:r>
      <w:r w:rsidR="00AE214A">
        <w:rPr>
          <w:color w:val="auto"/>
          <w:szCs w:val="24"/>
        </w:rPr>
        <w:t>,</w:t>
      </w:r>
      <w:r w:rsidR="00260A7E">
        <w:rPr>
          <w:color w:val="auto"/>
          <w:szCs w:val="24"/>
        </w:rPr>
        <w:t xml:space="preserve"> while a foreign investor may be approved to make an acquisition, the approval itself is not a clear indicator of actual investment.</w:t>
      </w:r>
      <w:r w:rsidR="00260A7E" w:rsidRPr="005F07F8">
        <w:rPr>
          <w:color w:val="auto"/>
          <w:szCs w:val="24"/>
        </w:rPr>
        <w:t xml:space="preserve"> </w:t>
      </w:r>
      <w:r w:rsidRPr="00B579B9">
        <w:rPr>
          <w:color w:val="auto"/>
          <w:szCs w:val="24"/>
        </w:rPr>
        <w:t>Trends in actual investment are measured by the Australian Bureau of Statistics (ABS) and show a more stable trend over time than the approvals data</w:t>
      </w:r>
      <w:r w:rsidRPr="005F07F8">
        <w:rPr>
          <w:color w:val="auto"/>
          <w:szCs w:val="24"/>
        </w:rPr>
        <w:t xml:space="preserve">. </w:t>
      </w:r>
      <w:r w:rsidR="00AE214A">
        <w:rPr>
          <w:color w:val="auto"/>
        </w:rPr>
        <w:t>Chapter 3: F</w:t>
      </w:r>
      <w:r w:rsidRPr="005F07F8">
        <w:rPr>
          <w:color w:val="auto"/>
        </w:rPr>
        <w:t xml:space="preserve">oreign </w:t>
      </w:r>
      <w:r w:rsidR="00AE214A">
        <w:rPr>
          <w:color w:val="auto"/>
        </w:rPr>
        <w:t>I</w:t>
      </w:r>
      <w:r w:rsidRPr="005F07F8">
        <w:rPr>
          <w:color w:val="auto"/>
        </w:rPr>
        <w:t xml:space="preserve">nvestment </w:t>
      </w:r>
      <w:r w:rsidR="00AE214A">
        <w:rPr>
          <w:color w:val="auto"/>
        </w:rPr>
        <w:t>T</w:t>
      </w:r>
      <w:r w:rsidRPr="005F07F8">
        <w:rPr>
          <w:color w:val="auto"/>
        </w:rPr>
        <w:t xml:space="preserve">rends of this report </w:t>
      </w:r>
      <w:r>
        <w:rPr>
          <w:color w:val="auto"/>
        </w:rPr>
        <w:t>provides the</w:t>
      </w:r>
      <w:r w:rsidRPr="005F07F8">
        <w:rPr>
          <w:color w:val="auto"/>
        </w:rPr>
        <w:t xml:space="preserve"> actual investment data.</w:t>
      </w:r>
    </w:p>
    <w:p w14:paraId="77D36773" w14:textId="7F53887B" w:rsidR="00EB761B" w:rsidRDefault="00FD0D0B" w:rsidP="00EB761B">
      <w:pPr>
        <w:rPr>
          <w:color w:val="auto"/>
        </w:rPr>
      </w:pPr>
      <w:r>
        <w:rPr>
          <w:color w:val="auto"/>
        </w:rPr>
        <w:t xml:space="preserve">In addition, policy </w:t>
      </w:r>
      <w:r w:rsidR="00AE214A">
        <w:rPr>
          <w:color w:val="auto"/>
        </w:rPr>
        <w:t xml:space="preserve">or </w:t>
      </w:r>
      <w:r>
        <w:rPr>
          <w:color w:val="auto"/>
        </w:rPr>
        <w:t>legislative changes and changes to reporting methodologies over time can limit the comparability of data.</w:t>
      </w:r>
      <w:r w:rsidR="00EB761B">
        <w:rPr>
          <w:color w:val="auto"/>
        </w:rPr>
        <w:br w:type="page"/>
      </w:r>
    </w:p>
    <w:p w14:paraId="43D086D5" w14:textId="77777777" w:rsidR="00FD0D0B" w:rsidRPr="00843C9A" w:rsidRDefault="00FD0D0B" w:rsidP="00FD0D0B">
      <w:pPr>
        <w:pStyle w:val="Heading2"/>
      </w:pPr>
      <w:bookmarkStart w:id="147" w:name="_Toc512259064"/>
      <w:bookmarkStart w:id="148" w:name="_Toc512523486"/>
      <w:bookmarkStart w:id="149" w:name="_Toc512524855"/>
      <w:bookmarkStart w:id="150" w:name="_Toc513021744"/>
      <w:bookmarkStart w:id="151" w:name="_Toc513122761"/>
      <w:bookmarkStart w:id="152" w:name="_Toc513131331"/>
      <w:bookmarkStart w:id="153" w:name="_Toc513456064"/>
      <w:bookmarkStart w:id="154" w:name="_Toc513457310"/>
      <w:bookmarkStart w:id="155" w:name="_Toc513557388"/>
      <w:bookmarkStart w:id="156" w:name="_Toc513559404"/>
      <w:bookmarkStart w:id="157" w:name="_Toc514924637"/>
      <w:r>
        <w:lastRenderedPageBreak/>
        <w:t>Overall applications c</w:t>
      </w:r>
      <w:r w:rsidRPr="00843C9A">
        <w:t>onsidered</w:t>
      </w:r>
      <w:bookmarkEnd w:id="147"/>
      <w:bookmarkEnd w:id="148"/>
      <w:bookmarkEnd w:id="149"/>
      <w:bookmarkEnd w:id="150"/>
      <w:bookmarkEnd w:id="151"/>
      <w:bookmarkEnd w:id="152"/>
      <w:bookmarkEnd w:id="153"/>
      <w:bookmarkEnd w:id="154"/>
      <w:bookmarkEnd w:id="155"/>
      <w:bookmarkEnd w:id="156"/>
      <w:bookmarkEnd w:id="157"/>
    </w:p>
    <w:p w14:paraId="31D16D00" w14:textId="51E39790" w:rsidR="00FD0D0B" w:rsidRPr="00843C9A" w:rsidRDefault="00FD0D0B" w:rsidP="00FD0D0B">
      <w:pPr>
        <w:rPr>
          <w:color w:val="auto"/>
          <w:szCs w:val="24"/>
        </w:rPr>
      </w:pPr>
      <w:r w:rsidRPr="00843C9A">
        <w:rPr>
          <w:color w:val="auto"/>
          <w:szCs w:val="24"/>
        </w:rPr>
        <w:t>In 201</w:t>
      </w:r>
      <w:r>
        <w:rPr>
          <w:color w:val="auto"/>
          <w:szCs w:val="24"/>
        </w:rPr>
        <w:t>6</w:t>
      </w:r>
      <w:r w:rsidR="00FF11A7">
        <w:rPr>
          <w:color w:val="auto"/>
          <w:szCs w:val="24"/>
        </w:rPr>
        <w:t>–</w:t>
      </w:r>
      <w:r w:rsidRPr="00843C9A">
        <w:rPr>
          <w:color w:val="auto"/>
          <w:szCs w:val="24"/>
        </w:rPr>
        <w:t>1</w:t>
      </w:r>
      <w:r>
        <w:rPr>
          <w:color w:val="auto"/>
          <w:szCs w:val="24"/>
        </w:rPr>
        <w:t>7</w:t>
      </w:r>
      <w:r w:rsidRPr="00843C9A">
        <w:rPr>
          <w:color w:val="auto"/>
          <w:szCs w:val="24"/>
        </w:rPr>
        <w:t xml:space="preserve"> the </w:t>
      </w:r>
      <w:r w:rsidR="00B043A3">
        <w:rPr>
          <w:color w:val="auto"/>
          <w:szCs w:val="24"/>
        </w:rPr>
        <w:t xml:space="preserve">total </w:t>
      </w:r>
      <w:r w:rsidRPr="00843C9A">
        <w:rPr>
          <w:color w:val="auto"/>
          <w:szCs w:val="24"/>
        </w:rPr>
        <w:t xml:space="preserve">number of </w:t>
      </w:r>
      <w:r>
        <w:rPr>
          <w:color w:val="auto"/>
          <w:szCs w:val="24"/>
        </w:rPr>
        <w:t>applications approved</w:t>
      </w:r>
      <w:r w:rsidRPr="00843C9A">
        <w:rPr>
          <w:color w:val="auto"/>
          <w:szCs w:val="24"/>
        </w:rPr>
        <w:t xml:space="preserve"> </w:t>
      </w:r>
      <w:r w:rsidR="00B043A3">
        <w:rPr>
          <w:color w:val="auto"/>
          <w:szCs w:val="24"/>
        </w:rPr>
        <w:t>was</w:t>
      </w:r>
      <w:r w:rsidRPr="00843C9A">
        <w:rPr>
          <w:color w:val="auto"/>
          <w:szCs w:val="24"/>
        </w:rPr>
        <w:t xml:space="preserve"> </w:t>
      </w:r>
      <w:r>
        <w:rPr>
          <w:color w:val="auto"/>
          <w:szCs w:val="24"/>
        </w:rPr>
        <w:t>14,357</w:t>
      </w:r>
      <w:r w:rsidRPr="00843C9A">
        <w:rPr>
          <w:color w:val="auto"/>
          <w:szCs w:val="24"/>
        </w:rPr>
        <w:t xml:space="preserve"> </w:t>
      </w:r>
      <w:r w:rsidR="00B043A3">
        <w:rPr>
          <w:color w:val="auto"/>
          <w:szCs w:val="24"/>
        </w:rPr>
        <w:t xml:space="preserve">for </w:t>
      </w:r>
      <w:r w:rsidR="00AE214A">
        <w:rPr>
          <w:color w:val="auto"/>
          <w:szCs w:val="24"/>
        </w:rPr>
        <w:t>$192.9 </w:t>
      </w:r>
      <w:r>
        <w:rPr>
          <w:color w:val="auto"/>
          <w:szCs w:val="24"/>
        </w:rPr>
        <w:t>billion of proposed investment</w:t>
      </w:r>
      <w:r w:rsidR="00B043A3">
        <w:rPr>
          <w:color w:val="auto"/>
          <w:szCs w:val="24"/>
        </w:rPr>
        <w:t xml:space="preserve">. This represents a drop from the </w:t>
      </w:r>
      <w:r>
        <w:rPr>
          <w:color w:val="auto"/>
          <w:szCs w:val="24"/>
        </w:rPr>
        <w:t>41,445</w:t>
      </w:r>
      <w:r w:rsidR="00B043A3">
        <w:rPr>
          <w:color w:val="auto"/>
          <w:szCs w:val="24"/>
        </w:rPr>
        <w:t xml:space="preserve"> approvals for pro</w:t>
      </w:r>
      <w:r w:rsidR="00DB7A0B">
        <w:rPr>
          <w:color w:val="auto"/>
          <w:szCs w:val="24"/>
        </w:rPr>
        <w:t>po</w:t>
      </w:r>
      <w:r w:rsidR="00B043A3">
        <w:rPr>
          <w:color w:val="auto"/>
          <w:szCs w:val="24"/>
        </w:rPr>
        <w:t xml:space="preserve">sed investment of </w:t>
      </w:r>
      <w:r>
        <w:rPr>
          <w:color w:val="auto"/>
          <w:szCs w:val="24"/>
        </w:rPr>
        <w:t>$247.9 billion in 2015</w:t>
      </w:r>
      <w:r w:rsidR="00FF11A7">
        <w:rPr>
          <w:color w:val="auto"/>
          <w:szCs w:val="24"/>
        </w:rPr>
        <w:t>–</w:t>
      </w:r>
      <w:r>
        <w:rPr>
          <w:color w:val="auto"/>
          <w:szCs w:val="24"/>
        </w:rPr>
        <w:t>16.</w:t>
      </w:r>
      <w:r w:rsidR="002421B5">
        <w:rPr>
          <w:color w:val="auto"/>
          <w:szCs w:val="24"/>
        </w:rPr>
        <w:t xml:space="preserve"> See Tables 4.1 and 4.2 for details.</w:t>
      </w:r>
    </w:p>
    <w:p w14:paraId="7BA5453E" w14:textId="4B50FE9C" w:rsidR="00001B48" w:rsidRDefault="00E835A5" w:rsidP="00FD0D0B">
      <w:pPr>
        <w:rPr>
          <w:color w:val="auto"/>
          <w:szCs w:val="24"/>
        </w:rPr>
      </w:pPr>
      <w:r>
        <w:t>The most significant factor that contributed to the drop in application numbers and value is the introduction of application fees in December 2015</w:t>
      </w:r>
      <w:r w:rsidR="00272F0C">
        <w:t>.</w:t>
      </w:r>
      <w:r w:rsidR="00FD0D0B">
        <w:rPr>
          <w:color w:val="auto"/>
          <w:szCs w:val="24"/>
        </w:rPr>
        <w:t xml:space="preserve"> </w:t>
      </w:r>
      <w:r w:rsidR="0062367F">
        <w:rPr>
          <w:color w:val="auto"/>
          <w:szCs w:val="24"/>
        </w:rPr>
        <w:t>This, in particular, substantially lowered the number of approval</w:t>
      </w:r>
      <w:r w:rsidR="00AE214A">
        <w:rPr>
          <w:color w:val="auto"/>
          <w:szCs w:val="24"/>
        </w:rPr>
        <w:t>s</w:t>
      </w:r>
      <w:r w:rsidR="0062367F">
        <w:rPr>
          <w:color w:val="auto"/>
          <w:szCs w:val="24"/>
        </w:rPr>
        <w:t xml:space="preserve"> for residential real estate (as explained further on page </w:t>
      </w:r>
      <w:r w:rsidR="003C235B">
        <w:rPr>
          <w:color w:val="auto"/>
        </w:rPr>
        <w:t>35</w:t>
      </w:r>
      <w:r w:rsidR="0062367F">
        <w:rPr>
          <w:color w:val="auto"/>
          <w:szCs w:val="24"/>
        </w:rPr>
        <w:t xml:space="preserve">). </w:t>
      </w:r>
      <w:r w:rsidR="00001B48">
        <w:rPr>
          <w:color w:val="auto"/>
          <w:szCs w:val="24"/>
        </w:rPr>
        <w:t>The drop in application number occurred from 1 December 2015, but is masked in the annual data for 2015</w:t>
      </w:r>
      <w:r w:rsidR="00CD7E4F">
        <w:rPr>
          <w:color w:val="auto"/>
          <w:szCs w:val="24"/>
        </w:rPr>
        <w:t>–</w:t>
      </w:r>
      <w:r w:rsidR="00001B48">
        <w:rPr>
          <w:color w:val="auto"/>
          <w:szCs w:val="24"/>
        </w:rPr>
        <w:t>16 as application numbers prior to that date were significantly elevated by applicants who anticipated the changes.</w:t>
      </w:r>
    </w:p>
    <w:p w14:paraId="5B1C8655" w14:textId="3F7BC202" w:rsidR="00AF33B5" w:rsidRPr="00AF33B5" w:rsidRDefault="00AF33B5" w:rsidP="00AF33B5">
      <w:pPr>
        <w:pStyle w:val="Heading3"/>
      </w:pPr>
      <w:r w:rsidRPr="00AF33B5">
        <w:t>Conditional approvals</w:t>
      </w:r>
    </w:p>
    <w:p w14:paraId="634C06EA" w14:textId="51CEA41F" w:rsidR="00FD0D0B" w:rsidRPr="00843C9A" w:rsidRDefault="00AF33B5" w:rsidP="00FD0D0B">
      <w:pPr>
        <w:rPr>
          <w:color w:val="auto"/>
          <w:szCs w:val="24"/>
        </w:rPr>
      </w:pPr>
      <w:r>
        <w:rPr>
          <w:color w:val="auto"/>
          <w:szCs w:val="24"/>
        </w:rPr>
        <w:t xml:space="preserve">Where a </w:t>
      </w:r>
      <w:r w:rsidR="00E83A6C">
        <w:rPr>
          <w:color w:val="auto"/>
          <w:szCs w:val="24"/>
        </w:rPr>
        <w:t>proposal</w:t>
      </w:r>
      <w:r>
        <w:rPr>
          <w:color w:val="auto"/>
          <w:szCs w:val="24"/>
        </w:rPr>
        <w:t xml:space="preserve"> raises national interest issues, such as tax risks, conditions can be imposed </w:t>
      </w:r>
      <w:r w:rsidR="006C01F6">
        <w:rPr>
          <w:color w:val="auto"/>
          <w:szCs w:val="24"/>
        </w:rPr>
        <w:t xml:space="preserve">via the approval </w:t>
      </w:r>
      <w:r>
        <w:rPr>
          <w:color w:val="auto"/>
          <w:szCs w:val="24"/>
        </w:rPr>
        <w:t xml:space="preserve">to mitigate </w:t>
      </w:r>
      <w:r w:rsidR="006C01F6">
        <w:rPr>
          <w:color w:val="auto"/>
          <w:szCs w:val="24"/>
        </w:rPr>
        <w:t xml:space="preserve">the </w:t>
      </w:r>
      <w:r>
        <w:rPr>
          <w:color w:val="auto"/>
          <w:szCs w:val="24"/>
        </w:rPr>
        <w:t>risk</w:t>
      </w:r>
      <w:r w:rsidR="006C01F6">
        <w:rPr>
          <w:color w:val="auto"/>
          <w:szCs w:val="24"/>
        </w:rPr>
        <w:t>s</w:t>
      </w:r>
      <w:r>
        <w:rPr>
          <w:color w:val="auto"/>
          <w:szCs w:val="24"/>
        </w:rPr>
        <w:t xml:space="preserve"> and ensure the proposal is not contrary to the national interest. In 2016</w:t>
      </w:r>
      <w:r w:rsidR="00CD7E4F">
        <w:rPr>
          <w:color w:val="auto"/>
          <w:szCs w:val="24"/>
        </w:rPr>
        <w:t>–</w:t>
      </w:r>
      <w:r>
        <w:rPr>
          <w:color w:val="auto"/>
          <w:szCs w:val="24"/>
        </w:rPr>
        <w:t xml:space="preserve">17 the number of approvals </w:t>
      </w:r>
      <w:r w:rsidR="00FD0D0B">
        <w:rPr>
          <w:color w:val="auto"/>
          <w:szCs w:val="24"/>
        </w:rPr>
        <w:t xml:space="preserve">made subject to conditions </w:t>
      </w:r>
      <w:r>
        <w:rPr>
          <w:color w:val="auto"/>
          <w:szCs w:val="24"/>
        </w:rPr>
        <w:t>increased five percent</w:t>
      </w:r>
      <w:r w:rsidR="00B66E8E">
        <w:rPr>
          <w:color w:val="auto"/>
          <w:szCs w:val="24"/>
        </w:rPr>
        <w:t>age points</w:t>
      </w:r>
      <w:r w:rsidR="00195EAD">
        <w:rPr>
          <w:color w:val="auto"/>
          <w:szCs w:val="24"/>
        </w:rPr>
        <w:t xml:space="preserve"> to around 40 per </w:t>
      </w:r>
      <w:r w:rsidR="00FD0D0B">
        <w:rPr>
          <w:color w:val="auto"/>
          <w:szCs w:val="24"/>
        </w:rPr>
        <w:t>cent of the tota</w:t>
      </w:r>
      <w:r w:rsidR="00A12E25">
        <w:rPr>
          <w:color w:val="auto"/>
          <w:szCs w:val="24"/>
        </w:rPr>
        <w:t>l</w:t>
      </w:r>
      <w:r w:rsidR="006C01F6">
        <w:rPr>
          <w:color w:val="auto"/>
          <w:szCs w:val="24"/>
        </w:rPr>
        <w:t xml:space="preserve"> number</w:t>
      </w:r>
      <w:r w:rsidR="00FD0D0B">
        <w:rPr>
          <w:color w:val="auto"/>
          <w:szCs w:val="24"/>
        </w:rPr>
        <w:t xml:space="preserve">. </w:t>
      </w:r>
      <w:r w:rsidR="006C01F6">
        <w:rPr>
          <w:color w:val="auto"/>
          <w:szCs w:val="24"/>
        </w:rPr>
        <w:t>A</w:t>
      </w:r>
      <w:r w:rsidR="00A12E25">
        <w:rPr>
          <w:color w:val="auto"/>
          <w:szCs w:val="24"/>
        </w:rPr>
        <w:t>pprovals wi</w:t>
      </w:r>
      <w:r w:rsidR="006C01F6">
        <w:rPr>
          <w:color w:val="auto"/>
          <w:szCs w:val="24"/>
        </w:rPr>
        <w:t>th conditions imposed represent</w:t>
      </w:r>
      <w:r w:rsidR="00A12E25">
        <w:rPr>
          <w:color w:val="auto"/>
          <w:szCs w:val="24"/>
        </w:rPr>
        <w:t xml:space="preserve"> just over 70 </w:t>
      </w:r>
      <w:r w:rsidR="00FD0D0B">
        <w:rPr>
          <w:color w:val="auto"/>
          <w:szCs w:val="24"/>
        </w:rPr>
        <w:t xml:space="preserve">per cent of the </w:t>
      </w:r>
      <w:r w:rsidR="00822372">
        <w:rPr>
          <w:color w:val="auto"/>
          <w:szCs w:val="24"/>
        </w:rPr>
        <w:t xml:space="preserve">total </w:t>
      </w:r>
      <w:r w:rsidR="00FD0D0B">
        <w:rPr>
          <w:color w:val="auto"/>
          <w:szCs w:val="24"/>
        </w:rPr>
        <w:t>value</w:t>
      </w:r>
      <w:r w:rsidR="0003531B">
        <w:rPr>
          <w:color w:val="auto"/>
          <w:szCs w:val="24"/>
        </w:rPr>
        <w:t xml:space="preserve"> </w:t>
      </w:r>
      <w:r w:rsidR="00FD0D0B">
        <w:rPr>
          <w:color w:val="auto"/>
          <w:szCs w:val="24"/>
        </w:rPr>
        <w:t>of approvals (</w:t>
      </w:r>
      <w:r w:rsidR="00A12E25">
        <w:rPr>
          <w:color w:val="auto"/>
          <w:szCs w:val="24"/>
        </w:rPr>
        <w:t xml:space="preserve">an increase </w:t>
      </w:r>
      <w:r w:rsidR="006C01F6">
        <w:rPr>
          <w:color w:val="auto"/>
          <w:szCs w:val="24"/>
        </w:rPr>
        <w:t>of ten </w:t>
      </w:r>
      <w:r w:rsidR="00FD0D0B">
        <w:rPr>
          <w:color w:val="auto"/>
          <w:szCs w:val="24"/>
        </w:rPr>
        <w:t>percent</w:t>
      </w:r>
      <w:r w:rsidR="00B66E8E">
        <w:rPr>
          <w:color w:val="auto"/>
          <w:szCs w:val="24"/>
        </w:rPr>
        <w:t>age points</w:t>
      </w:r>
      <w:r w:rsidR="00FD0D0B">
        <w:rPr>
          <w:color w:val="auto"/>
          <w:szCs w:val="24"/>
        </w:rPr>
        <w:t xml:space="preserve"> </w:t>
      </w:r>
      <w:r w:rsidR="00A12E25">
        <w:rPr>
          <w:color w:val="auto"/>
          <w:szCs w:val="24"/>
        </w:rPr>
        <w:t>from</w:t>
      </w:r>
      <w:r w:rsidR="00FD0D0B">
        <w:rPr>
          <w:color w:val="auto"/>
          <w:szCs w:val="24"/>
        </w:rPr>
        <w:t xml:space="preserve"> 2015</w:t>
      </w:r>
      <w:r w:rsidR="00CD7E4F">
        <w:rPr>
          <w:color w:val="auto"/>
          <w:szCs w:val="24"/>
        </w:rPr>
        <w:t>–</w:t>
      </w:r>
      <w:r w:rsidR="00FD0D0B">
        <w:rPr>
          <w:color w:val="auto"/>
          <w:szCs w:val="24"/>
        </w:rPr>
        <w:t>16)</w:t>
      </w:r>
      <w:r w:rsidR="00A12E25">
        <w:rPr>
          <w:color w:val="auto"/>
          <w:szCs w:val="24"/>
        </w:rPr>
        <w:t xml:space="preserve">. This highlights the increasing use of conditions to manage national interest factors </w:t>
      </w:r>
      <w:r w:rsidR="006C01F6">
        <w:rPr>
          <w:color w:val="auto"/>
          <w:szCs w:val="24"/>
        </w:rPr>
        <w:t xml:space="preserve">arising </w:t>
      </w:r>
      <w:r w:rsidR="00A12E25">
        <w:rPr>
          <w:color w:val="auto"/>
          <w:szCs w:val="24"/>
        </w:rPr>
        <w:t>in large and complex acquisitions.</w:t>
      </w:r>
    </w:p>
    <w:p w14:paraId="76B23ADC" w14:textId="77777777" w:rsidR="00FD0D0B" w:rsidRPr="00843C9A" w:rsidRDefault="00FD0D0B" w:rsidP="00FD0D0B">
      <w:pPr>
        <w:pStyle w:val="Heading3"/>
        <w:rPr>
          <w:smallCaps/>
        </w:rPr>
      </w:pPr>
      <w:r w:rsidRPr="00843C9A">
        <w:t>Variations</w:t>
      </w:r>
    </w:p>
    <w:p w14:paraId="2E8913CB" w14:textId="62E563B0" w:rsidR="00FD0D0B" w:rsidRDefault="00FD0D0B" w:rsidP="00FD0D0B">
      <w:pPr>
        <w:rPr>
          <w:sz w:val="24"/>
        </w:rPr>
      </w:pPr>
      <w:r w:rsidRPr="00843C9A">
        <w:rPr>
          <w:color w:val="auto"/>
          <w:szCs w:val="24"/>
        </w:rPr>
        <w:t xml:space="preserve">The Act allows investors to apply for variations </w:t>
      </w:r>
      <w:r w:rsidR="006C01F6">
        <w:rPr>
          <w:color w:val="auto"/>
          <w:szCs w:val="24"/>
        </w:rPr>
        <w:t xml:space="preserve">relating to </w:t>
      </w:r>
      <w:r>
        <w:rPr>
          <w:color w:val="auto"/>
          <w:szCs w:val="24"/>
        </w:rPr>
        <w:t>approvals</w:t>
      </w:r>
      <w:r w:rsidRPr="00843C9A">
        <w:rPr>
          <w:color w:val="auto"/>
          <w:szCs w:val="24"/>
        </w:rPr>
        <w:t xml:space="preserve">, to conditions that are imposed in </w:t>
      </w:r>
      <w:r>
        <w:rPr>
          <w:color w:val="auto"/>
          <w:szCs w:val="24"/>
        </w:rPr>
        <w:t>an approval</w:t>
      </w:r>
      <w:r w:rsidRPr="00843C9A">
        <w:rPr>
          <w:color w:val="auto"/>
          <w:szCs w:val="24"/>
        </w:rPr>
        <w:t xml:space="preserve"> and to exemption certificates</w:t>
      </w:r>
      <w:r>
        <w:rPr>
          <w:color w:val="auto"/>
          <w:szCs w:val="24"/>
        </w:rPr>
        <w:t xml:space="preserve">. </w:t>
      </w:r>
      <w:r w:rsidRPr="00843C9A">
        <w:rPr>
          <w:color w:val="auto"/>
          <w:szCs w:val="24"/>
        </w:rPr>
        <w:t>The Treasurer may vary the content of a</w:t>
      </w:r>
      <w:r>
        <w:rPr>
          <w:color w:val="auto"/>
          <w:szCs w:val="24"/>
        </w:rPr>
        <w:t>n approval</w:t>
      </w:r>
      <w:r w:rsidRPr="00843C9A">
        <w:rPr>
          <w:color w:val="auto"/>
          <w:szCs w:val="24"/>
        </w:rPr>
        <w:t xml:space="preserve"> or exemption certificate if the Treasurer is satisfied that it is not contrary to the national interest.</w:t>
      </w:r>
      <w:r>
        <w:rPr>
          <w:color w:val="auto"/>
          <w:szCs w:val="24"/>
        </w:rPr>
        <w:t xml:space="preserve"> </w:t>
      </w:r>
      <w:r w:rsidRPr="00843C9A">
        <w:rPr>
          <w:color w:val="auto"/>
          <w:szCs w:val="24"/>
        </w:rPr>
        <w:t>Variation applications are considered on a case</w:t>
      </w:r>
      <w:r>
        <w:rPr>
          <w:color w:val="auto"/>
          <w:szCs w:val="24"/>
        </w:rPr>
        <w:noBreakHyphen/>
      </w:r>
      <w:r w:rsidRPr="00843C9A">
        <w:rPr>
          <w:color w:val="auto"/>
          <w:szCs w:val="24"/>
        </w:rPr>
        <w:t>by</w:t>
      </w:r>
      <w:r>
        <w:rPr>
          <w:color w:val="auto"/>
          <w:szCs w:val="24"/>
        </w:rPr>
        <w:noBreakHyphen/>
      </w:r>
      <w:r w:rsidRPr="00843C9A">
        <w:rPr>
          <w:color w:val="auto"/>
          <w:szCs w:val="24"/>
        </w:rPr>
        <w:t>case basis</w:t>
      </w:r>
      <w:r w:rsidR="00A12E25">
        <w:rPr>
          <w:color w:val="auto"/>
          <w:szCs w:val="24"/>
        </w:rPr>
        <w:t xml:space="preserve"> and are usually </w:t>
      </w:r>
      <w:r w:rsidR="006C01F6">
        <w:rPr>
          <w:color w:val="auto"/>
          <w:szCs w:val="24"/>
        </w:rPr>
        <w:t>limited</w:t>
      </w:r>
      <w:r w:rsidR="00A12E25">
        <w:rPr>
          <w:color w:val="auto"/>
          <w:szCs w:val="24"/>
        </w:rPr>
        <w:t xml:space="preserve"> to more technical changes. A significant departure from the original application or approval will generally require a further application</w:t>
      </w:r>
      <w:r w:rsidRPr="00843C9A">
        <w:rPr>
          <w:color w:val="auto"/>
          <w:szCs w:val="24"/>
        </w:rPr>
        <w:t>.</w:t>
      </w:r>
    </w:p>
    <w:p w14:paraId="5BC90E9D" w14:textId="3AEDDF98" w:rsidR="00FD0D0B" w:rsidRPr="00375017" w:rsidRDefault="00FD0D0B" w:rsidP="00FD0D0B">
      <w:pPr>
        <w:rPr>
          <w:sz w:val="24"/>
        </w:rPr>
      </w:pPr>
      <w:r>
        <w:rPr>
          <w:color w:val="auto"/>
          <w:szCs w:val="24"/>
        </w:rPr>
        <w:t>In 2016</w:t>
      </w:r>
      <w:r w:rsidR="00CD7E4F">
        <w:rPr>
          <w:color w:val="auto"/>
          <w:szCs w:val="24"/>
        </w:rPr>
        <w:t>–</w:t>
      </w:r>
      <w:r>
        <w:rPr>
          <w:color w:val="auto"/>
          <w:szCs w:val="24"/>
        </w:rPr>
        <w:t xml:space="preserve">17 there were </w:t>
      </w:r>
      <w:r w:rsidR="00E650D4">
        <w:rPr>
          <w:color w:val="auto"/>
        </w:rPr>
        <w:t>631</w:t>
      </w:r>
      <w:r>
        <w:rPr>
          <w:color w:val="auto"/>
          <w:szCs w:val="24"/>
        </w:rPr>
        <w:t xml:space="preserve"> variations </w:t>
      </w:r>
      <w:r w:rsidR="001F1393">
        <w:rPr>
          <w:color w:val="auto"/>
          <w:szCs w:val="24"/>
        </w:rPr>
        <w:t>approved</w:t>
      </w:r>
      <w:r w:rsidR="006C01F6">
        <w:rPr>
          <w:color w:val="auto"/>
          <w:szCs w:val="24"/>
        </w:rPr>
        <w:t>,</w:t>
      </w:r>
      <w:r>
        <w:rPr>
          <w:color w:val="auto"/>
          <w:szCs w:val="24"/>
        </w:rPr>
        <w:t xml:space="preserve"> compared to </w:t>
      </w:r>
      <w:r w:rsidR="00E650D4">
        <w:rPr>
          <w:color w:val="auto"/>
        </w:rPr>
        <w:t>373</w:t>
      </w:r>
      <w:r>
        <w:rPr>
          <w:color w:val="auto"/>
          <w:szCs w:val="24"/>
        </w:rPr>
        <w:t xml:space="preserve"> in 2015</w:t>
      </w:r>
      <w:r w:rsidR="00CD7E4F">
        <w:rPr>
          <w:color w:val="auto"/>
          <w:szCs w:val="24"/>
        </w:rPr>
        <w:t>–</w:t>
      </w:r>
      <w:r>
        <w:rPr>
          <w:color w:val="auto"/>
          <w:szCs w:val="24"/>
        </w:rPr>
        <w:t xml:space="preserve">16. </w:t>
      </w:r>
      <w:r w:rsidR="008641AA">
        <w:rPr>
          <w:color w:val="auto"/>
          <w:szCs w:val="24"/>
        </w:rPr>
        <w:t>In part, the increase reflects that p</w:t>
      </w:r>
      <w:r>
        <w:rPr>
          <w:color w:val="auto"/>
          <w:szCs w:val="24"/>
        </w:rPr>
        <w:t xml:space="preserve">rior to 1 December </w:t>
      </w:r>
      <w:proofErr w:type="gramStart"/>
      <w:r>
        <w:rPr>
          <w:color w:val="auto"/>
          <w:szCs w:val="24"/>
        </w:rPr>
        <w:t>2015</w:t>
      </w:r>
      <w:r w:rsidR="00E650D4">
        <w:rPr>
          <w:color w:val="auto"/>
          <w:szCs w:val="24"/>
        </w:rPr>
        <w:t>,</w:t>
      </w:r>
      <w:proofErr w:type="gramEnd"/>
      <w:r>
        <w:rPr>
          <w:color w:val="auto"/>
          <w:szCs w:val="24"/>
        </w:rPr>
        <w:t xml:space="preserve"> an alteration to an existing approval was recorded as a new approval. </w:t>
      </w:r>
      <w:r w:rsidR="00DB7A0B">
        <w:rPr>
          <w:color w:val="auto"/>
          <w:szCs w:val="24"/>
        </w:rPr>
        <w:t>V</w:t>
      </w:r>
      <w:r w:rsidRPr="00FD0D0B">
        <w:rPr>
          <w:color w:val="auto"/>
          <w:szCs w:val="24"/>
        </w:rPr>
        <w:t xml:space="preserve">ariations </w:t>
      </w:r>
      <w:r w:rsidRPr="00FD0D0B">
        <w:rPr>
          <w:color w:val="auto"/>
        </w:rPr>
        <w:t>are not</w:t>
      </w:r>
      <w:r w:rsidRPr="00FD0D0B">
        <w:rPr>
          <w:color w:val="auto"/>
          <w:szCs w:val="24"/>
        </w:rPr>
        <w:t xml:space="preserve"> included</w:t>
      </w:r>
      <w:r w:rsidRPr="00375017">
        <w:rPr>
          <w:color w:val="auto"/>
          <w:szCs w:val="24"/>
        </w:rPr>
        <w:t xml:space="preserve"> in the </w:t>
      </w:r>
      <w:r>
        <w:rPr>
          <w:color w:val="auto"/>
          <w:szCs w:val="24"/>
        </w:rPr>
        <w:t xml:space="preserve">approvals </w:t>
      </w:r>
      <w:r w:rsidRPr="00375017">
        <w:rPr>
          <w:color w:val="auto"/>
          <w:szCs w:val="24"/>
        </w:rPr>
        <w:t>data</w:t>
      </w:r>
      <w:r w:rsidR="00E650D4">
        <w:rPr>
          <w:color w:val="auto"/>
          <w:szCs w:val="24"/>
        </w:rPr>
        <w:t xml:space="preserve"> in this report</w:t>
      </w:r>
      <w:r w:rsidRPr="00375017">
        <w:rPr>
          <w:color w:val="auto"/>
          <w:szCs w:val="24"/>
        </w:rPr>
        <w:t>.</w:t>
      </w:r>
    </w:p>
    <w:p w14:paraId="4B427BE5" w14:textId="5C4F1EC2" w:rsidR="00FD0D0B" w:rsidRDefault="00FD0D0B" w:rsidP="00FD0D0B">
      <w:pPr>
        <w:pStyle w:val="Heading3"/>
      </w:pPr>
      <w:r>
        <w:t>Rejected applications</w:t>
      </w:r>
    </w:p>
    <w:p w14:paraId="5097D862" w14:textId="02B2979E" w:rsidR="00EA4F0B" w:rsidRDefault="00FD0D0B" w:rsidP="00FD0D0B">
      <w:r>
        <w:t xml:space="preserve">There were </w:t>
      </w:r>
      <w:r w:rsidR="003D3AAD">
        <w:t xml:space="preserve">three </w:t>
      </w:r>
      <w:r>
        <w:t>applications prohibited from proceeding</w:t>
      </w:r>
      <w:r w:rsidR="008641AA">
        <w:t xml:space="preserve"> in 2016</w:t>
      </w:r>
      <w:r w:rsidR="00CD7E4F">
        <w:t>–</w:t>
      </w:r>
      <w:r w:rsidR="008641AA">
        <w:t>17</w:t>
      </w:r>
      <w:r>
        <w:t xml:space="preserve">. </w:t>
      </w:r>
      <w:r w:rsidR="003D3AAD">
        <w:t xml:space="preserve">One </w:t>
      </w:r>
      <w:r>
        <w:t xml:space="preserve">of these </w:t>
      </w:r>
      <w:r w:rsidR="003D3AAD">
        <w:t>was</w:t>
      </w:r>
      <w:r>
        <w:t xml:space="preserve"> in the residential real estate sector and </w:t>
      </w:r>
      <w:r w:rsidR="008641AA">
        <w:t xml:space="preserve">the other </w:t>
      </w:r>
      <w:r>
        <w:t>t</w:t>
      </w:r>
      <w:r w:rsidR="006111E5">
        <w:t>wo</w:t>
      </w:r>
      <w:r>
        <w:t xml:space="preserve"> </w:t>
      </w:r>
      <w:r w:rsidR="008641AA">
        <w:t xml:space="preserve">were </w:t>
      </w:r>
      <w:r>
        <w:t>in the manufacturing, electricity and gas sector</w:t>
      </w:r>
      <w:r w:rsidR="000C5985">
        <w:t xml:space="preserve"> related to the long</w:t>
      </w:r>
      <w:r w:rsidR="000C5985">
        <w:noBreakHyphen/>
        <w:t xml:space="preserve">term lease of </w:t>
      </w:r>
      <w:proofErr w:type="spellStart"/>
      <w:r w:rsidR="00DB7A0B">
        <w:t>Ausg</w:t>
      </w:r>
      <w:r w:rsidR="000C5985">
        <w:t>rid</w:t>
      </w:r>
      <w:proofErr w:type="spellEnd"/>
      <w:r>
        <w:t>.</w:t>
      </w:r>
    </w:p>
    <w:p w14:paraId="12F18B90" w14:textId="628EF391" w:rsidR="00FD0D0B" w:rsidRPr="00D269D7" w:rsidRDefault="00EA4F0B" w:rsidP="00557BB1">
      <w:pPr>
        <w:pStyle w:val="TableHeading"/>
        <w:spacing w:before="480"/>
      </w:pPr>
      <w:r w:rsidRPr="0025623B">
        <w:rPr>
          <w:noProof/>
        </w:rPr>
        <w:lastRenderedPageBreak/>
        <mc:AlternateContent>
          <mc:Choice Requires="wps">
            <w:drawing>
              <wp:anchor distT="0" distB="0" distL="114300" distR="114300" simplePos="0" relativeHeight="251658258" behindDoc="0" locked="0" layoutInCell="1" allowOverlap="1" wp14:anchorId="56602926" wp14:editId="1166904E">
                <wp:simplePos x="0" y="0"/>
                <wp:positionH relativeFrom="column">
                  <wp:posOffset>21590</wp:posOffset>
                </wp:positionH>
                <wp:positionV relativeFrom="paragraph">
                  <wp:posOffset>90170</wp:posOffset>
                </wp:positionV>
                <wp:extent cx="4865370" cy="3800475"/>
                <wp:effectExtent l="0" t="0" r="0" b="9525"/>
                <wp:wrapSquare wrapText="bothSides"/>
                <wp:docPr id="22" name="Snip and Round Single Corner Rectangle 22"/>
                <wp:cNvGraphicFramePr/>
                <a:graphic xmlns:a="http://schemas.openxmlformats.org/drawingml/2006/main">
                  <a:graphicData uri="http://schemas.microsoft.com/office/word/2010/wordprocessingShape">
                    <wps:wsp>
                      <wps:cNvSpPr/>
                      <wps:spPr>
                        <a:xfrm>
                          <a:off x="0" y="0"/>
                          <a:ext cx="4865370" cy="3800475"/>
                        </a:xfrm>
                        <a:prstGeom prst="snipRoundRect">
                          <a:avLst>
                            <a:gd name="adj1" fmla="val 4290"/>
                            <a:gd name="adj2" fmla="val 11446"/>
                          </a:avLst>
                        </a:prstGeom>
                        <a:solidFill>
                          <a:srgbClr val="155A76"/>
                        </a:solidFill>
                        <a:ln w="25400" cap="flat" cmpd="sng" algn="ctr">
                          <a:noFill/>
                          <a:prstDash val="solid"/>
                        </a:ln>
                        <a:effectLst/>
                      </wps:spPr>
                      <wps:txbx>
                        <w:txbxContent>
                          <w:p w14:paraId="5054847A" w14:textId="77777777" w:rsidR="00AE54F4" w:rsidRDefault="00AE54F4" w:rsidP="00EA4F0B">
                            <w:pPr>
                              <w:pStyle w:val="BoxHeading"/>
                            </w:pPr>
                            <w:r>
                              <w:t xml:space="preserve">Case Study: </w:t>
                            </w:r>
                            <w:proofErr w:type="spellStart"/>
                            <w:r>
                              <w:t>Ausgrid</w:t>
                            </w:r>
                            <w:proofErr w:type="spellEnd"/>
                          </w:p>
                          <w:p w14:paraId="556B09F2" w14:textId="28F09B85" w:rsidR="00AE54F4" w:rsidRDefault="00AE54F4" w:rsidP="00EA4F0B">
                            <w:pPr>
                              <w:pStyle w:val="BoxText"/>
                            </w:pPr>
                            <w:r>
                              <w:t xml:space="preserve">In 2015-16 the NSW Government conducted a competitive bid process to lease 50.4 per cent of electricity distribution network </w:t>
                            </w:r>
                            <w:proofErr w:type="spellStart"/>
                            <w:r>
                              <w:t>Ausgrid</w:t>
                            </w:r>
                            <w:proofErr w:type="spellEnd"/>
                            <w:r>
                              <w:t xml:space="preserve"> for a 99-year period. </w:t>
                            </w:r>
                            <w:proofErr w:type="spellStart"/>
                            <w:r>
                              <w:t>Ausgrid</w:t>
                            </w:r>
                            <w:proofErr w:type="spellEnd"/>
                            <w:r>
                              <w:t xml:space="preserve"> supplies electricity to around 1.7 million customers in Eastern Sydney (including the Sydney CBD), the Hunter Valley and the Central Coast.</w:t>
                            </w:r>
                          </w:p>
                          <w:p w14:paraId="066969A6" w14:textId="059AB8C0" w:rsidR="00AE54F4" w:rsidRDefault="00AE54F4" w:rsidP="00EA4F0B">
                            <w:pPr>
                              <w:pStyle w:val="BoxText"/>
                            </w:pPr>
                            <w:r w:rsidRPr="00A031A3">
                              <w:t xml:space="preserve">The final bidders were </w:t>
                            </w:r>
                            <w:r>
                              <w:t>State Grid Corporation of China (</w:t>
                            </w:r>
                            <w:r w:rsidRPr="00A031A3">
                              <w:t>a Chinese state-owned enterprise</w:t>
                            </w:r>
                            <w:r>
                              <w:t>)</w:t>
                            </w:r>
                            <w:r w:rsidRPr="00A031A3">
                              <w:t xml:space="preserve"> and Cheung Kong Infrastructure Holdings</w:t>
                            </w:r>
                            <w:r>
                              <w:t xml:space="preserve"> (</w:t>
                            </w:r>
                            <w:r w:rsidRPr="00A031A3">
                              <w:t>a private Hong Kong Stock Exchange-listed company</w:t>
                            </w:r>
                            <w:r>
                              <w:t>)</w:t>
                            </w:r>
                            <w:r w:rsidRPr="00A031A3">
                              <w:t>.</w:t>
                            </w:r>
                          </w:p>
                          <w:p w14:paraId="1506CBE4" w14:textId="553E8CC3" w:rsidR="00AE54F4" w:rsidRDefault="00AE54F4" w:rsidP="00EA4F0B">
                            <w:pPr>
                              <w:pStyle w:val="BoxText"/>
                            </w:pPr>
                            <w:r>
                              <w:t>Following comprehensive consideration of these investment proposals, and an opportunity for the bidders to respond, the Treasurer formally prohibited these proposals on 19 August 2016 as being contrary to the national interest, on national security grounds. National security concerns related to the specific nature of the asset highlighted the importance of thorough case</w:t>
                            </w:r>
                            <w:r>
                              <w:noBreakHyphen/>
                              <w:t>by</w:t>
                            </w:r>
                            <w:r>
                              <w:noBreakHyphen/>
                              <w:t>case assessment of each critical infrastructure sale, as not every electricity asset poses the same risks.</w:t>
                            </w:r>
                          </w:p>
                          <w:p w14:paraId="40C8A15A" w14:textId="724771AD" w:rsidR="00AE54F4" w:rsidRDefault="00AE54F4" w:rsidP="00EA4F0B">
                            <w:pPr>
                              <w:pStyle w:val="BoxText"/>
                            </w:pPr>
                            <w:r>
                              <w:t>T</w:t>
                            </w:r>
                            <w:r w:rsidRPr="00516EAF">
                              <w:t xml:space="preserve">he NSW Government </w:t>
                            </w:r>
                            <w:r>
                              <w:t xml:space="preserve">subsequently </w:t>
                            </w:r>
                            <w:r w:rsidRPr="00516EAF">
                              <w:t xml:space="preserve">announced </w:t>
                            </w:r>
                            <w:r>
                              <w:t xml:space="preserve">on 20 October 2016 </w:t>
                            </w:r>
                            <w:r w:rsidRPr="00516EAF">
                              <w:t xml:space="preserve">that it </w:t>
                            </w:r>
                            <w:r>
                              <w:t xml:space="preserve">had </w:t>
                            </w:r>
                            <w:r w:rsidRPr="00516EAF">
                              <w:t xml:space="preserve">accepted an unsolicited proposal from IFM Investors and </w:t>
                            </w:r>
                            <w:proofErr w:type="spellStart"/>
                            <w:r w:rsidRPr="00516EAF">
                              <w:t>AustralianSuper</w:t>
                            </w:r>
                            <w:proofErr w:type="spellEnd"/>
                            <w:r w:rsidRPr="00516EAF">
                              <w:t>, both Australi</w:t>
                            </w:r>
                            <w:r>
                              <w:t>an investors, to acquire the 99</w:t>
                            </w:r>
                            <w:r>
                              <w:noBreakHyphen/>
                            </w:r>
                            <w:r w:rsidRPr="00516EAF">
                              <w:t xml:space="preserve">year lease of 50.4 per cent of </w:t>
                            </w:r>
                            <w:proofErr w:type="spellStart"/>
                            <w:r w:rsidRPr="00516EAF">
                              <w:t>Ausgrid</w:t>
                            </w:r>
                            <w:proofErr w:type="spellEnd"/>
                            <w:r>
                              <w:t xml:space="preserve"> for gross proceeds of $16.2 billion</w:t>
                            </w:r>
                            <w:r w:rsidRPr="00516EAF">
                              <w:t>.</w:t>
                            </w:r>
                          </w:p>
                          <w:p w14:paraId="6BE2C406" w14:textId="77777777" w:rsidR="00AE54F4" w:rsidRDefault="00AE54F4" w:rsidP="00EA4F0B">
                            <w:pPr>
                              <w:pStyle w:val="BoxText"/>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Snip and Round Single Corner Rectangle 22" o:spid="_x0000_s1029" style="position:absolute;margin-left:1.7pt;margin-top:7.1pt;width:383.1pt;height:299.25pt;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coordsize="4865370,38004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" adj="-11796480,,5400" path="m163040,l4430368,r435002,435002l4865370,3800475,,3800475,,163040c,72995,72995,,163040,xe" fillcolor="#155a76" stroked="f" strokeweight="2pt">
                <v:stroke joinstyle="miter"/>
                <v:formulas/>
                <v:path arrowok="t" o:connecttype="custom" o:connectlocs="163040,0;4430368,0;4865370,435002;4865370,3800475;0,3800475;0,163040;163040,0" o:connectangles="0,0,0,0,0,0,0" textboxrect="0,0,4865370,3800475"/>
                <v:textbox>
                  <w:txbxContent>
                    <w:p w14:paraId="5054847A" w14:textId="77777777" w:rsidR="00AE54F4" w:rsidRDefault="00AE54F4" w:rsidP="00EA4F0B">
                      <w:pPr>
                        <w:pStyle w:val="BoxHeading"/>
                      </w:pPr>
                      <w:r>
                        <w:t xml:space="preserve">Case Study: </w:t>
                      </w:r>
                      <w:proofErr w:type="spellStart"/>
                      <w:r>
                        <w:t>Ausgrid</w:t>
                      </w:r>
                      <w:proofErr w:type="spellEnd"/>
                    </w:p>
                    <w:p w14:paraId="556B09F2" w14:textId="28F09B85" w:rsidR="00AE54F4" w:rsidRDefault="00AE54F4" w:rsidP="00EA4F0B">
                      <w:pPr>
                        <w:pStyle w:val="BoxText"/>
                      </w:pPr>
                      <w:r>
                        <w:t xml:space="preserve">In 2015-16 the NSW Government conducted a competitive bid process to lease 50.4 per cent of electricity distribution network </w:t>
                      </w:r>
                      <w:proofErr w:type="spellStart"/>
                      <w:r>
                        <w:t>Ausgrid</w:t>
                      </w:r>
                      <w:proofErr w:type="spellEnd"/>
                      <w:r>
                        <w:t xml:space="preserve"> for a 99-year period. </w:t>
                      </w:r>
                      <w:proofErr w:type="spellStart"/>
                      <w:r>
                        <w:t>Ausgrid</w:t>
                      </w:r>
                      <w:proofErr w:type="spellEnd"/>
                      <w:r>
                        <w:t xml:space="preserve"> supplies electricity to around 1.7 million customers in Eastern Sydney (including the Sydney CBD), the Hunter Valley and the Central Coast.</w:t>
                      </w:r>
                    </w:p>
                    <w:p w14:paraId="066969A6" w14:textId="059AB8C0" w:rsidR="00AE54F4" w:rsidRDefault="00AE54F4" w:rsidP="00EA4F0B">
                      <w:pPr>
                        <w:pStyle w:val="BoxText"/>
                      </w:pPr>
                      <w:r w:rsidRPr="00A031A3">
                        <w:t xml:space="preserve">The final bidders were </w:t>
                      </w:r>
                      <w:r>
                        <w:t>State Grid Corporation of China (</w:t>
                      </w:r>
                      <w:r w:rsidRPr="00A031A3">
                        <w:t>a Chinese state-owned enterprise</w:t>
                      </w:r>
                      <w:r>
                        <w:t>)</w:t>
                      </w:r>
                      <w:r w:rsidRPr="00A031A3">
                        <w:t xml:space="preserve"> and Cheung Kong Infrastructure Holdings</w:t>
                      </w:r>
                      <w:r>
                        <w:t xml:space="preserve"> (</w:t>
                      </w:r>
                      <w:r w:rsidRPr="00A031A3">
                        <w:t>a private Hong Kong Stock Exchange-listed company</w:t>
                      </w:r>
                      <w:r>
                        <w:t>)</w:t>
                      </w:r>
                      <w:r w:rsidRPr="00A031A3">
                        <w:t>.</w:t>
                      </w:r>
                    </w:p>
                    <w:p w14:paraId="1506CBE4" w14:textId="553E8CC3" w:rsidR="00AE54F4" w:rsidRDefault="00AE54F4" w:rsidP="00EA4F0B">
                      <w:pPr>
                        <w:pStyle w:val="BoxText"/>
                      </w:pPr>
                      <w:r>
                        <w:t>Following comprehensive consideration of these investment proposals, and an opportunity for the bidders to respond, the Treasurer formally prohibited these proposals on 19 August 2016 as being contrary to the national interest, on national security grounds. National security concerns related to the specific nature of the asset highlighted the importance of thorough case</w:t>
                      </w:r>
                      <w:r>
                        <w:noBreakHyphen/>
                        <w:t>by</w:t>
                      </w:r>
                      <w:r>
                        <w:noBreakHyphen/>
                        <w:t>case assessment of each critical infrastructure sale, as not every electricity asset poses the same risks.</w:t>
                      </w:r>
                    </w:p>
                    <w:p w14:paraId="40C8A15A" w14:textId="724771AD" w:rsidR="00AE54F4" w:rsidRDefault="00AE54F4" w:rsidP="00EA4F0B">
                      <w:pPr>
                        <w:pStyle w:val="BoxText"/>
                      </w:pPr>
                      <w:r>
                        <w:t>T</w:t>
                      </w:r>
                      <w:r w:rsidRPr="00516EAF">
                        <w:t xml:space="preserve">he NSW Government </w:t>
                      </w:r>
                      <w:r>
                        <w:t xml:space="preserve">subsequently </w:t>
                      </w:r>
                      <w:r w:rsidRPr="00516EAF">
                        <w:t xml:space="preserve">announced </w:t>
                      </w:r>
                      <w:r>
                        <w:t xml:space="preserve">on 20 October 2016 </w:t>
                      </w:r>
                      <w:r w:rsidRPr="00516EAF">
                        <w:t xml:space="preserve">that it </w:t>
                      </w:r>
                      <w:r>
                        <w:t xml:space="preserve">had </w:t>
                      </w:r>
                      <w:r w:rsidRPr="00516EAF">
                        <w:t xml:space="preserve">accepted an unsolicited proposal from IFM Investors and </w:t>
                      </w:r>
                      <w:proofErr w:type="spellStart"/>
                      <w:r w:rsidRPr="00516EAF">
                        <w:t>AustralianSuper</w:t>
                      </w:r>
                      <w:proofErr w:type="spellEnd"/>
                      <w:r w:rsidRPr="00516EAF">
                        <w:t>, both Australi</w:t>
                      </w:r>
                      <w:r>
                        <w:t>an investors, to acquire the 99</w:t>
                      </w:r>
                      <w:r>
                        <w:noBreakHyphen/>
                      </w:r>
                      <w:r w:rsidRPr="00516EAF">
                        <w:t xml:space="preserve">year lease of 50.4 per cent of </w:t>
                      </w:r>
                      <w:proofErr w:type="spellStart"/>
                      <w:r w:rsidRPr="00516EAF">
                        <w:t>Ausgrid</w:t>
                      </w:r>
                      <w:proofErr w:type="spellEnd"/>
                      <w:r>
                        <w:t xml:space="preserve"> for gross proceeds of $16.2 billion</w:t>
                      </w:r>
                      <w:r w:rsidRPr="00516EAF">
                        <w:t>.</w:t>
                      </w:r>
                    </w:p>
                    <w:p w14:paraId="6BE2C406" w14:textId="77777777" w:rsidR="00AE54F4" w:rsidRDefault="00AE54F4" w:rsidP="00EA4F0B">
                      <w:pPr>
                        <w:pStyle w:val="BoxText"/>
                      </w:pPr>
                      <w:r>
                        <w:t xml:space="preserve"> </w:t>
                      </w:r>
                    </w:p>
                  </w:txbxContent>
                </v:textbox>
                <w10:wrap type="square"/>
              </v:shape>
            </w:pict>
          </mc:Fallback>
        </mc:AlternateContent>
      </w:r>
      <w:bookmarkStart w:id="158" w:name="_1548074916"/>
      <w:bookmarkEnd w:id="158"/>
      <w:r w:rsidR="00FD0D0B" w:rsidRPr="00D269D7">
        <w:t xml:space="preserve">Table </w:t>
      </w:r>
      <w:r w:rsidR="006111E5">
        <w:t>4</w:t>
      </w:r>
      <w:r w:rsidR="00FD0D0B" w:rsidRPr="00D269D7">
        <w:t>.1: Applications considered: 201</w:t>
      </w:r>
      <w:r w:rsidR="006111E5">
        <w:t>3</w:t>
      </w:r>
      <w:r w:rsidR="00CD7E4F">
        <w:t>–</w:t>
      </w:r>
      <w:r w:rsidR="00FD0D0B" w:rsidRPr="00D269D7">
        <w:t>1</w:t>
      </w:r>
      <w:r w:rsidR="006111E5">
        <w:t>4</w:t>
      </w:r>
      <w:r w:rsidR="00FD0D0B" w:rsidRPr="00D269D7">
        <w:t xml:space="preserve"> to 201</w:t>
      </w:r>
      <w:r w:rsidR="006111E5">
        <w:t>6</w:t>
      </w:r>
      <w:r w:rsidR="00CD7E4F">
        <w:t>–</w:t>
      </w:r>
      <w:r w:rsidR="00FD0D0B" w:rsidRPr="00D269D7">
        <w:t>1</w:t>
      </w:r>
      <w:r w:rsidR="006111E5">
        <w:t>7</w:t>
      </w:r>
      <w:r w:rsidR="00FD0D0B" w:rsidRPr="00D269D7">
        <w:t xml:space="preserve"> (number of proposals)</w:t>
      </w:r>
      <w:r w:rsidR="00FD0D0B" w:rsidRPr="00433C05">
        <w:fldChar w:fldCharType="begin"/>
      </w:r>
      <w:r w:rsidR="00FD0D0B" w:rsidRPr="00D269D7">
        <w:instrText xml:space="preserve"> LINK </w:instrText>
      </w:r>
      <w:r w:rsidR="00CD12E9">
        <w:instrText xml:space="preserve">Excel.Sheet.12 http://tweb/sites/mg/fitpd/FIRB/Annual%20Report%20(written%20only)/2014-15/Data%20-%20Charts%20and%20Tables/2014-15%20Table%202.1.xlsx Sheet1!R3C1:R15C7 </w:instrText>
      </w:r>
      <w:r w:rsidR="00FD0D0B" w:rsidRPr="00D269D7">
        <w:instrText xml:space="preserve">\a \f 4 \h  \* MERGEFORMAT </w:instrText>
      </w:r>
      <w:r w:rsidR="00FD0D0B" w:rsidRPr="00433C05">
        <w:fldChar w:fldCharType="separate"/>
      </w:r>
      <w:bookmarkStart w:id="159" w:name="_1548075087"/>
      <w:bookmarkEnd w:id="159"/>
    </w:p>
    <w:p w14:paraId="4E867FB4" w14:textId="0628D942" w:rsidR="006111E5" w:rsidRPr="006111E5" w:rsidRDefault="00FD0D0B" w:rsidP="00B57B71">
      <w:pPr>
        <w:pStyle w:val="TableGraphic"/>
      </w:pPr>
      <w:r w:rsidRPr="00433C05">
        <w:fldChar w:fldCharType="end"/>
      </w:r>
      <w:r w:rsidR="00537A0B">
        <w:object w:dxaOrig="7717" w:dyaOrig="3800" w14:anchorId="70FDC44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84.45pt;height:195.6pt" o:ole="">
            <v:imagedata r:id="rId59" o:title=""/>
            <o:lock v:ext="edit" aspectratio="f"/>
          </v:shape>
          <o:OLEObject Type="Link" ProgID="Excel.Sheet.12" ShapeID="_x0000_i1025" DrawAspect="Content" r:id="rId60" UpdateMode="Always">
            <o:LinkType>EnhancedMetaFile</o:LinkType>
            <o:LockedField/>
          </o:OLEObject>
        </w:object>
      </w:r>
    </w:p>
    <w:p w14:paraId="537ABBA6" w14:textId="54BBC10D" w:rsidR="006F6280" w:rsidRPr="004A3335" w:rsidRDefault="00FD0D0B" w:rsidP="00FA2363">
      <w:pPr>
        <w:pStyle w:val="StyleChartorTableNoteLeft0cmHanging1cm"/>
      </w:pPr>
      <w:r w:rsidRPr="004A3335">
        <w:t>Note</w:t>
      </w:r>
      <w:r w:rsidR="00AE1C89" w:rsidRPr="004A3335">
        <w:t>s</w:t>
      </w:r>
      <w:r w:rsidRPr="004A3335">
        <w:t xml:space="preserve">: </w:t>
      </w:r>
      <w:r w:rsidRPr="004A3335">
        <w:tab/>
      </w:r>
      <w:r w:rsidR="006F6280" w:rsidRPr="004A3335">
        <w:t>Numbers</w:t>
      </w:r>
      <w:r w:rsidRPr="004A3335">
        <w:t xml:space="preserve"> include corporate reorganisations </w:t>
      </w:r>
      <w:bookmarkStart w:id="160" w:name="OLE_LINK19"/>
      <w:bookmarkStart w:id="161" w:name="OLE_LINK20"/>
      <w:r w:rsidRPr="004A3335">
        <w:t>(9</w:t>
      </w:r>
      <w:r w:rsidR="0070477A" w:rsidRPr="004A3335">
        <w:t>4 in 2016</w:t>
      </w:r>
      <w:r w:rsidR="00CD7E4F">
        <w:t>–</w:t>
      </w:r>
      <w:r w:rsidR="0070477A" w:rsidRPr="004A3335">
        <w:t>17</w:t>
      </w:r>
      <w:r w:rsidRPr="004A3335">
        <w:t>).</w:t>
      </w:r>
      <w:bookmarkEnd w:id="160"/>
      <w:bookmarkEnd w:id="161"/>
      <w:r w:rsidRPr="004A3335">
        <w:t xml:space="preserve"> This data is excluded </w:t>
      </w:r>
      <w:r w:rsidR="0003531B" w:rsidRPr="004A3335">
        <w:t>from other</w:t>
      </w:r>
      <w:r w:rsidRPr="004A3335">
        <w:t xml:space="preserve"> approvals analysis </w:t>
      </w:r>
      <w:r w:rsidR="0003531B" w:rsidRPr="004A3335">
        <w:t xml:space="preserve">in this Chapter, </w:t>
      </w:r>
      <w:r w:rsidRPr="004A3335">
        <w:t>unless otherwise noted.</w:t>
      </w:r>
    </w:p>
    <w:p w14:paraId="6CFB585C" w14:textId="465E833A" w:rsidR="00FD0D0B" w:rsidRPr="004A3335" w:rsidRDefault="006F6280" w:rsidP="00FA2363">
      <w:pPr>
        <w:pStyle w:val="StyleChartorTableNoteLeft0cmHanging1cm"/>
      </w:pPr>
      <w:r w:rsidRPr="004A3335">
        <w:tab/>
      </w:r>
      <w:r w:rsidR="0085542B" w:rsidRPr="004A3335">
        <w:t>The 2015</w:t>
      </w:r>
      <w:r w:rsidR="00CD7E4F">
        <w:t>–</w:t>
      </w:r>
      <w:r w:rsidR="0085542B" w:rsidRPr="004A3335">
        <w:t xml:space="preserve">16 </w:t>
      </w:r>
      <w:r w:rsidR="000439F5" w:rsidRPr="004A3335">
        <w:t>data</w:t>
      </w:r>
      <w:r w:rsidR="0085542B" w:rsidRPr="004A3335">
        <w:t xml:space="preserve"> were impacted by the 1 December 2015 reforms, which may affect </w:t>
      </w:r>
      <w:r w:rsidR="00AE1C89" w:rsidRPr="004A3335">
        <w:t xml:space="preserve">data </w:t>
      </w:r>
      <w:r w:rsidR="0085542B" w:rsidRPr="004A3335">
        <w:t>comparability.</w:t>
      </w:r>
    </w:p>
    <w:p w14:paraId="31F86312" w14:textId="72469DB3" w:rsidR="00FD0D0B" w:rsidRPr="00D269D7" w:rsidRDefault="00FD0D0B" w:rsidP="00FD0D0B">
      <w:pPr>
        <w:pStyle w:val="TableHeading"/>
      </w:pPr>
      <w:r w:rsidRPr="00D269D7">
        <w:lastRenderedPageBreak/>
        <w:t xml:space="preserve">Table </w:t>
      </w:r>
      <w:r w:rsidR="00CD12E9">
        <w:t>4</w:t>
      </w:r>
      <w:r w:rsidRPr="00D269D7">
        <w:t>.2: Applications decided: 201</w:t>
      </w:r>
      <w:r w:rsidR="002F0537">
        <w:t>3</w:t>
      </w:r>
      <w:r w:rsidR="00CD7E4F">
        <w:t>–</w:t>
      </w:r>
      <w:r w:rsidRPr="00D269D7">
        <w:t>1</w:t>
      </w:r>
      <w:r w:rsidR="002F0537">
        <w:t>4</w:t>
      </w:r>
      <w:r w:rsidRPr="00D269D7">
        <w:t xml:space="preserve"> to 201</w:t>
      </w:r>
      <w:r w:rsidR="002F0537">
        <w:t>6</w:t>
      </w:r>
      <w:r w:rsidR="00CD7E4F">
        <w:t>–</w:t>
      </w:r>
      <w:r w:rsidRPr="00D269D7">
        <w:t>1</w:t>
      </w:r>
      <w:r w:rsidR="002F0537">
        <w:t>7</w:t>
      </w:r>
      <w:r w:rsidRPr="00D269D7">
        <w:t xml:space="preserve"> (value of proposed investment)</w:t>
      </w:r>
      <w:r>
        <w:fldChar w:fldCharType="begin"/>
      </w:r>
      <w:r w:rsidRPr="00D269D7">
        <w:instrText xml:space="preserve"> LINK </w:instrText>
      </w:r>
      <w:r>
        <w:instrText xml:space="preserve">Excel.Sheet.12 "http://tweb/sites/mg/fitpd/FIRB/Annual Report (written only)/2014-15/Data - Charts and Tables/2014-15 Table 2.2.xlsx" Sheet1!R3C1:R9C7 </w:instrText>
      </w:r>
      <w:r w:rsidRPr="00D269D7">
        <w:instrText xml:space="preserve">\a \f 4 \h  \* MERGEFORMAT </w:instrText>
      </w:r>
      <w:r>
        <w:fldChar w:fldCharType="separate"/>
      </w:r>
      <w:bookmarkStart w:id="162" w:name="_1548075093"/>
      <w:bookmarkEnd w:id="162"/>
    </w:p>
    <w:p w14:paraId="30BAB5D5" w14:textId="2B14DC17" w:rsidR="006111E5" w:rsidRPr="0003531B" w:rsidRDefault="00FD0D0B" w:rsidP="00557BB1">
      <w:pPr>
        <w:pStyle w:val="TableGraphic"/>
        <w:rPr>
          <w:rFonts w:asciiTheme="minorHAnsi" w:eastAsiaTheme="minorHAnsi" w:hAnsiTheme="minorHAnsi" w:cstheme="minorBidi"/>
          <w:color w:val="auto"/>
          <w:szCs w:val="16"/>
          <w:lang w:eastAsia="en-US"/>
        </w:rPr>
      </w:pPr>
      <w:r>
        <w:fldChar w:fldCharType="end"/>
      </w:r>
      <w:bookmarkStart w:id="163" w:name="_1548074918"/>
      <w:bookmarkEnd w:id="163"/>
      <w:r w:rsidR="00537A0B">
        <w:object w:dxaOrig="7880" w:dyaOrig="1971" w14:anchorId="6FF1CAB6">
          <v:shape id="_x0000_i1026" type="#_x0000_t75" style="width:384.45pt;height:100.55pt" o:ole="">
            <v:imagedata r:id="rId61" o:title=""/>
            <o:lock v:ext="edit" aspectratio="f"/>
          </v:shape>
          <o:OLEObject Type="Link" ProgID="Excel.Sheet.12" ShapeID="_x0000_i1026" DrawAspect="Content" r:id="rId62" UpdateMode="Always">
            <o:LinkType>EnhancedMetaFile</o:LinkType>
            <o:LockedField/>
          </o:OLEObject>
        </w:object>
      </w:r>
      <w:r w:rsidR="006111E5" w:rsidRPr="0003531B">
        <w:rPr>
          <w:rFonts w:asciiTheme="minorHAnsi" w:hAnsiTheme="minorHAnsi"/>
          <w:szCs w:val="16"/>
        </w:rPr>
        <w:fldChar w:fldCharType="begin"/>
      </w:r>
      <w:r w:rsidR="006111E5" w:rsidRPr="0003531B">
        <w:rPr>
          <w:rFonts w:asciiTheme="minorHAnsi" w:hAnsiTheme="minorHAnsi"/>
          <w:szCs w:val="16"/>
        </w:rPr>
        <w:instrText xml:space="preserve"> LINK </w:instrText>
      </w:r>
      <w:r w:rsidR="00CD12E9" w:rsidRPr="0003531B">
        <w:rPr>
          <w:rFonts w:asciiTheme="minorHAnsi" w:hAnsiTheme="minorHAnsi"/>
          <w:szCs w:val="16"/>
        </w:rPr>
        <w:instrText xml:space="preserve">Excel.Sheet.12 http://tweb/sites/mg/fitpd/Lfirbannualrport/2016-17/Data%20Tables/Report%20tables/Table%204.2-Applications%20decided.xlsx "Final Table!R3C1:R9C6" </w:instrText>
      </w:r>
      <w:r w:rsidR="006111E5" w:rsidRPr="0003531B">
        <w:rPr>
          <w:rFonts w:asciiTheme="minorHAnsi" w:hAnsiTheme="minorHAnsi"/>
          <w:szCs w:val="16"/>
        </w:rPr>
        <w:instrText xml:space="preserve">\a \f 4 \h </w:instrText>
      </w:r>
      <w:r w:rsidR="002F0537" w:rsidRPr="0003531B">
        <w:rPr>
          <w:rFonts w:asciiTheme="minorHAnsi" w:hAnsiTheme="minorHAnsi"/>
          <w:szCs w:val="16"/>
        </w:rPr>
        <w:instrText xml:space="preserve"> \* MERGEFORMAT </w:instrText>
      </w:r>
      <w:r w:rsidR="006111E5" w:rsidRPr="0003531B">
        <w:rPr>
          <w:rFonts w:asciiTheme="minorHAnsi" w:hAnsiTheme="minorHAnsi"/>
          <w:szCs w:val="16"/>
        </w:rPr>
        <w:fldChar w:fldCharType="separate"/>
      </w:r>
    </w:p>
    <w:p w14:paraId="35D47DE0" w14:textId="73B83C16" w:rsidR="00FD0D0B" w:rsidRPr="004A3335" w:rsidRDefault="006111E5" w:rsidP="00FD0D0B">
      <w:pPr>
        <w:pStyle w:val="StyleChartorTableNoteLeft0cmHanging1cm"/>
      </w:pPr>
      <w:r w:rsidRPr="0003531B">
        <w:fldChar w:fldCharType="end"/>
      </w:r>
      <w:r w:rsidR="00FD0D0B" w:rsidRPr="004A3335">
        <w:t>Note</w:t>
      </w:r>
      <w:r w:rsidR="00003E55" w:rsidRPr="004A3335">
        <w:t>s</w:t>
      </w:r>
      <w:r w:rsidR="00FD0D0B" w:rsidRPr="004A3335">
        <w:t>:</w:t>
      </w:r>
      <w:r w:rsidR="00FD0D0B" w:rsidRPr="004A3335">
        <w:tab/>
        <w:t>Totals may not add due to rounding.</w:t>
      </w:r>
    </w:p>
    <w:p w14:paraId="33EDBAA1" w14:textId="77777777" w:rsidR="00FD0D0B" w:rsidRPr="004A3335" w:rsidRDefault="00FD0D0B" w:rsidP="00FD0D0B">
      <w:pPr>
        <w:pStyle w:val="StyleChartorTableNoteLeft0cmHanging1cm"/>
      </w:pPr>
      <w:r w:rsidRPr="004A3335">
        <w:tab/>
        <w:t>‘0.0’ indicates a figure of less than $50 million.</w:t>
      </w:r>
    </w:p>
    <w:p w14:paraId="421D6FDB" w14:textId="755806CE" w:rsidR="00FD0D0B" w:rsidRPr="004A3335" w:rsidRDefault="00FD0D0B" w:rsidP="00FD0D0B">
      <w:pPr>
        <w:pStyle w:val="StyleChartorTableNoteLeft0cmHanging1cm"/>
      </w:pPr>
      <w:r w:rsidRPr="004A3335">
        <w:tab/>
        <w:t xml:space="preserve">Figures </w:t>
      </w:r>
      <w:r w:rsidR="004F3904" w:rsidRPr="004A3335">
        <w:t>ex</w:t>
      </w:r>
      <w:r w:rsidRPr="004A3335">
        <w:t>clu</w:t>
      </w:r>
      <w:r w:rsidR="0070477A" w:rsidRPr="004A3335">
        <w:t>de corporate reorganisations (94 in 2016</w:t>
      </w:r>
      <w:r w:rsidR="00CD7E4F">
        <w:t>–</w:t>
      </w:r>
      <w:r w:rsidR="0070477A" w:rsidRPr="004A3335">
        <w:t>17</w:t>
      </w:r>
      <w:r w:rsidRPr="004A3335">
        <w:t>)</w:t>
      </w:r>
      <w:r w:rsidR="00CE4D1C" w:rsidRPr="004A3335">
        <w:t xml:space="preserve">, </w:t>
      </w:r>
      <w:r w:rsidR="004F3904" w:rsidRPr="004A3335">
        <w:t>since they</w:t>
      </w:r>
      <w:r w:rsidR="00CE4D1C" w:rsidRPr="004A3335">
        <w:t xml:space="preserve"> are attributed $0 value</w:t>
      </w:r>
      <w:r w:rsidRPr="004A3335">
        <w:t xml:space="preserve">. </w:t>
      </w:r>
    </w:p>
    <w:p w14:paraId="678E54C4" w14:textId="5AFD3667" w:rsidR="000523CA" w:rsidRPr="004A3335" w:rsidRDefault="00FD0D0B" w:rsidP="00FA2363">
      <w:pPr>
        <w:pStyle w:val="StyleChartorTableNoteLeft0cmHanging1cm"/>
      </w:pPr>
      <w:r w:rsidRPr="004A3335">
        <w:tab/>
      </w:r>
      <w:r w:rsidR="0085542B" w:rsidRPr="004A3335">
        <w:t>The 2015</w:t>
      </w:r>
      <w:r w:rsidR="00CD7E4F">
        <w:t>–</w:t>
      </w:r>
      <w:r w:rsidR="0085542B" w:rsidRPr="004A3335">
        <w:t xml:space="preserve">16 figures were impacted by the 1 December 2015 reforms, which may affect </w:t>
      </w:r>
      <w:r w:rsidR="00AE1C89" w:rsidRPr="004A3335">
        <w:t xml:space="preserve">data </w:t>
      </w:r>
      <w:r w:rsidR="0085542B" w:rsidRPr="004A3335">
        <w:t>comparability.</w:t>
      </w:r>
    </w:p>
    <w:p w14:paraId="6A578C43" w14:textId="46D8003F" w:rsidR="00FD0D0B" w:rsidRPr="00A12E25" w:rsidRDefault="00FD0D0B" w:rsidP="00FD0D0B">
      <w:pPr>
        <w:pStyle w:val="Heading3"/>
      </w:pPr>
      <w:r w:rsidRPr="00D269D7">
        <w:t>Approval values</w:t>
      </w:r>
    </w:p>
    <w:p w14:paraId="3BACDAEE" w14:textId="13A7128E" w:rsidR="00FD0D0B" w:rsidRDefault="00FD0D0B" w:rsidP="00FD0D0B">
      <w:pPr>
        <w:rPr>
          <w:color w:val="auto"/>
          <w:szCs w:val="24"/>
        </w:rPr>
      </w:pPr>
      <w:r>
        <w:rPr>
          <w:color w:val="auto"/>
          <w:szCs w:val="24"/>
        </w:rPr>
        <w:t>The value of approvals in 2016</w:t>
      </w:r>
      <w:r w:rsidR="00CD7E4F">
        <w:rPr>
          <w:color w:val="auto"/>
          <w:szCs w:val="24"/>
        </w:rPr>
        <w:t>–</w:t>
      </w:r>
      <w:r>
        <w:rPr>
          <w:color w:val="auto"/>
          <w:szCs w:val="24"/>
        </w:rPr>
        <w:t>17 dropped in comparison to 2015</w:t>
      </w:r>
      <w:r w:rsidR="00CD7E4F">
        <w:rPr>
          <w:color w:val="auto"/>
          <w:szCs w:val="24"/>
        </w:rPr>
        <w:t>–</w:t>
      </w:r>
      <w:r>
        <w:rPr>
          <w:color w:val="auto"/>
          <w:szCs w:val="24"/>
        </w:rPr>
        <w:t xml:space="preserve">16 levels, </w:t>
      </w:r>
      <w:r w:rsidR="00F307BD">
        <w:rPr>
          <w:color w:val="auto"/>
          <w:szCs w:val="24"/>
        </w:rPr>
        <w:t>but</w:t>
      </w:r>
      <w:r w:rsidR="004042BD">
        <w:rPr>
          <w:color w:val="auto"/>
          <w:szCs w:val="24"/>
        </w:rPr>
        <w:t xml:space="preserve"> remained</w:t>
      </w:r>
      <w:r>
        <w:rPr>
          <w:color w:val="auto"/>
          <w:szCs w:val="24"/>
        </w:rPr>
        <w:t xml:space="preserve"> higher than 2014</w:t>
      </w:r>
      <w:r w:rsidR="00CD7E4F">
        <w:rPr>
          <w:color w:val="auto"/>
          <w:szCs w:val="24"/>
        </w:rPr>
        <w:t>–</w:t>
      </w:r>
      <w:r>
        <w:rPr>
          <w:color w:val="auto"/>
          <w:szCs w:val="24"/>
        </w:rPr>
        <w:t>15 levels.</w:t>
      </w:r>
    </w:p>
    <w:p w14:paraId="7157A836" w14:textId="10D68158" w:rsidR="00FD0D0B" w:rsidRDefault="00FD0D0B" w:rsidP="00FD0D0B">
      <w:pPr>
        <w:rPr>
          <w:color w:val="auto"/>
          <w:szCs w:val="24"/>
        </w:rPr>
      </w:pPr>
      <w:r>
        <w:rPr>
          <w:color w:val="auto"/>
          <w:szCs w:val="24"/>
        </w:rPr>
        <w:t xml:space="preserve">The number and value of approvals fell </w:t>
      </w:r>
      <w:r w:rsidR="00AE1C89">
        <w:rPr>
          <w:color w:val="auto"/>
          <w:szCs w:val="24"/>
        </w:rPr>
        <w:t>between 2015</w:t>
      </w:r>
      <w:r w:rsidR="00CD7E4F">
        <w:rPr>
          <w:color w:val="auto"/>
          <w:szCs w:val="24"/>
        </w:rPr>
        <w:t>–</w:t>
      </w:r>
      <w:r w:rsidR="00AE1C89">
        <w:rPr>
          <w:color w:val="auto"/>
          <w:szCs w:val="24"/>
        </w:rPr>
        <w:t>16 and 2016</w:t>
      </w:r>
      <w:r w:rsidR="00CD7E4F">
        <w:rPr>
          <w:color w:val="auto"/>
          <w:szCs w:val="24"/>
        </w:rPr>
        <w:t>–</w:t>
      </w:r>
      <w:r w:rsidR="00AE1C89">
        <w:rPr>
          <w:color w:val="auto"/>
          <w:szCs w:val="24"/>
        </w:rPr>
        <w:t xml:space="preserve">17 </w:t>
      </w:r>
      <w:r>
        <w:rPr>
          <w:color w:val="auto"/>
          <w:szCs w:val="24"/>
        </w:rPr>
        <w:t>across all value ranges</w:t>
      </w:r>
      <w:r w:rsidR="00AE1C89">
        <w:rPr>
          <w:color w:val="auto"/>
          <w:szCs w:val="24"/>
        </w:rPr>
        <w:t>,</w:t>
      </w:r>
      <w:r>
        <w:rPr>
          <w:color w:val="auto"/>
          <w:szCs w:val="24"/>
        </w:rPr>
        <w:t xml:space="preserve"> except for </w:t>
      </w:r>
      <w:r w:rsidR="00AE1C89">
        <w:rPr>
          <w:color w:val="auto"/>
          <w:szCs w:val="24"/>
        </w:rPr>
        <w:t xml:space="preserve">those </w:t>
      </w:r>
      <w:r>
        <w:rPr>
          <w:color w:val="auto"/>
          <w:szCs w:val="24"/>
        </w:rPr>
        <w:t xml:space="preserve">approvals valued </w:t>
      </w:r>
      <w:r w:rsidR="009A5BE3">
        <w:rPr>
          <w:color w:val="auto"/>
          <w:szCs w:val="24"/>
        </w:rPr>
        <w:t>between</w:t>
      </w:r>
      <w:r>
        <w:rPr>
          <w:color w:val="auto"/>
          <w:szCs w:val="24"/>
        </w:rPr>
        <w:t xml:space="preserve"> $500 million </w:t>
      </w:r>
      <w:r w:rsidR="009A5BE3">
        <w:rPr>
          <w:color w:val="auto"/>
          <w:szCs w:val="24"/>
        </w:rPr>
        <w:t>and</w:t>
      </w:r>
      <w:r w:rsidR="00AE1C89">
        <w:rPr>
          <w:color w:val="auto"/>
          <w:szCs w:val="24"/>
        </w:rPr>
        <w:t xml:space="preserve"> $1 </w:t>
      </w:r>
      <w:r>
        <w:rPr>
          <w:color w:val="auto"/>
          <w:szCs w:val="24"/>
        </w:rPr>
        <w:t xml:space="preserve">billion. Approvals for transactions valued over $2 billion remained </w:t>
      </w:r>
      <w:r w:rsidR="00AE1C89">
        <w:rPr>
          <w:color w:val="auto"/>
          <w:szCs w:val="24"/>
        </w:rPr>
        <w:t xml:space="preserve">strong </w:t>
      </w:r>
      <w:r>
        <w:rPr>
          <w:color w:val="auto"/>
          <w:szCs w:val="24"/>
        </w:rPr>
        <w:t xml:space="preserve">due to </w:t>
      </w:r>
      <w:r w:rsidR="001767A4">
        <w:rPr>
          <w:color w:val="auto"/>
          <w:szCs w:val="24"/>
        </w:rPr>
        <w:t xml:space="preserve">the </w:t>
      </w:r>
      <w:r>
        <w:rPr>
          <w:color w:val="auto"/>
          <w:szCs w:val="24"/>
        </w:rPr>
        <w:t>continu</w:t>
      </w:r>
      <w:r w:rsidR="00F307BD">
        <w:rPr>
          <w:color w:val="auto"/>
          <w:szCs w:val="24"/>
        </w:rPr>
        <w:t>ation of</w:t>
      </w:r>
      <w:r>
        <w:rPr>
          <w:color w:val="auto"/>
          <w:szCs w:val="24"/>
        </w:rPr>
        <w:t xml:space="preserve"> sales </w:t>
      </w:r>
      <w:r w:rsidR="00F307BD">
        <w:rPr>
          <w:color w:val="auto"/>
          <w:szCs w:val="24"/>
        </w:rPr>
        <w:t>of</w:t>
      </w:r>
      <w:r>
        <w:rPr>
          <w:color w:val="auto"/>
          <w:szCs w:val="24"/>
        </w:rPr>
        <w:t xml:space="preserve"> major energy and infrastructure assets.</w:t>
      </w:r>
    </w:p>
    <w:p w14:paraId="4ADD11F5" w14:textId="1D40FE70" w:rsidR="00FD0D0B" w:rsidRDefault="00FD0D0B" w:rsidP="00FD0D0B">
      <w:pPr>
        <w:pStyle w:val="TableHeading"/>
      </w:pPr>
      <w:r w:rsidRPr="00F418A2">
        <w:t xml:space="preserve">Table </w:t>
      </w:r>
      <w:r w:rsidR="00F418A2" w:rsidRPr="00F418A2">
        <w:t>4</w:t>
      </w:r>
      <w:r w:rsidRPr="00F418A2">
        <w:t>.3: Total approvals by value</w:t>
      </w:r>
      <w:r w:rsidR="00AE1C89">
        <w:t xml:space="preserve"> range</w:t>
      </w:r>
      <w:r w:rsidRPr="00F418A2">
        <w:t>: 201</w:t>
      </w:r>
      <w:r w:rsidR="00F418A2" w:rsidRPr="00F418A2">
        <w:t>3</w:t>
      </w:r>
      <w:r w:rsidR="00CD7E4F">
        <w:t>–</w:t>
      </w:r>
      <w:r w:rsidRPr="00F418A2">
        <w:t>1</w:t>
      </w:r>
      <w:r w:rsidR="00F418A2" w:rsidRPr="00F418A2">
        <w:t>4</w:t>
      </w:r>
      <w:r w:rsidRPr="00F418A2">
        <w:t xml:space="preserve"> to 201</w:t>
      </w:r>
      <w:r w:rsidR="00F418A2" w:rsidRPr="00F418A2">
        <w:t>6</w:t>
      </w:r>
      <w:r w:rsidR="00CD7E4F">
        <w:t>–</w:t>
      </w:r>
      <w:r w:rsidRPr="00F418A2">
        <w:t>1</w:t>
      </w:r>
      <w:r w:rsidR="00F418A2" w:rsidRPr="00F418A2">
        <w:t>7</w:t>
      </w:r>
      <w:r w:rsidR="00AE1C89">
        <w:t xml:space="preserve"> (number and value of proposals)</w:t>
      </w:r>
    </w:p>
    <w:p w14:paraId="4AC8732C" w14:textId="0E6801AB" w:rsidR="005B7ED2" w:rsidRPr="005B7ED2" w:rsidRDefault="00537A0B" w:rsidP="00557BB1">
      <w:pPr>
        <w:pStyle w:val="TableGraphic"/>
      </w:pPr>
      <w:r>
        <w:object w:dxaOrig="7705" w:dyaOrig="2928" w14:anchorId="54919591">
          <v:shape id="_x0000_i1027" type="#_x0000_t75" style="width:383.75pt;height:150.8pt;mso-position-vertical:absolute" o:ole="">
            <v:imagedata r:id="rId63" o:title=""/>
            <o:lock v:ext="edit" aspectratio="f"/>
          </v:shape>
          <o:OLEObject Type="Link" ProgID="Excel.Sheet.12" ShapeID="_x0000_i1027" DrawAspect="Content" r:id="rId64" UpdateMode="Always">
            <o:LinkType>EnhancedMetaFile</o:LinkType>
            <o:LockedField/>
          </o:OLEObject>
        </w:object>
      </w:r>
    </w:p>
    <w:p w14:paraId="04BC0CFD" w14:textId="3D594763" w:rsidR="00FD0D0B" w:rsidRPr="00AE1C89" w:rsidRDefault="00AE1C89" w:rsidP="00CD48EC">
      <w:pPr>
        <w:pStyle w:val="StyleChartorTableNoteLeft0cmHanging1cm"/>
      </w:pPr>
      <w:bookmarkStart w:id="164" w:name="_1548074920"/>
      <w:bookmarkEnd w:id="164"/>
      <w:r>
        <w:t>Note</w:t>
      </w:r>
      <w:r w:rsidR="00003E55">
        <w:t>s</w:t>
      </w:r>
      <w:r>
        <w:t>:</w:t>
      </w:r>
      <w:r>
        <w:tab/>
      </w:r>
      <w:r w:rsidR="00FD0D0B" w:rsidRPr="00AE1C89">
        <w:t>Totals may not add due to rounding.</w:t>
      </w:r>
    </w:p>
    <w:p w14:paraId="3D4AF531" w14:textId="1106C48F" w:rsidR="00FD0D0B" w:rsidRPr="00AE1C89" w:rsidRDefault="00FD0D0B" w:rsidP="00CD48EC">
      <w:pPr>
        <w:pStyle w:val="StyleChartorTableNoteLeft0cmHanging1cm"/>
      </w:pPr>
      <w:r w:rsidRPr="00AE1C89">
        <w:tab/>
      </w:r>
      <w:proofErr w:type="gramStart"/>
      <w:r w:rsidRPr="00AE1C89">
        <w:t>Excludes corporate reorganisations.</w:t>
      </w:r>
      <w:proofErr w:type="gramEnd"/>
    </w:p>
    <w:p w14:paraId="74E2EA20" w14:textId="4CCC9F43" w:rsidR="004133A8" w:rsidRPr="00CD48EC" w:rsidRDefault="00FD0D0B" w:rsidP="00CD48EC">
      <w:pPr>
        <w:pStyle w:val="StyleChartorTableNoteLeft0cmHanging1cm"/>
      </w:pPr>
      <w:r w:rsidRPr="00AE1C89">
        <w:tab/>
        <w:t>The 2015</w:t>
      </w:r>
      <w:r w:rsidR="00CD7E4F">
        <w:t>–</w:t>
      </w:r>
      <w:r w:rsidRPr="00AE1C89">
        <w:t>16 figures were impacted by the 1 December 2015 reforms, which</w:t>
      </w:r>
      <w:r w:rsidR="002A202C" w:rsidRPr="00AE1C89">
        <w:t xml:space="preserve"> may affect </w:t>
      </w:r>
      <w:r w:rsidR="00AE1C89">
        <w:t xml:space="preserve">data </w:t>
      </w:r>
      <w:r w:rsidR="002A202C" w:rsidRPr="00AE1C89">
        <w:t>comparability.</w:t>
      </w:r>
    </w:p>
    <w:p w14:paraId="3C165589" w14:textId="78BFC09E" w:rsidR="00EF70BD" w:rsidRDefault="00EF70BD" w:rsidP="00DF22D3">
      <w:pPr>
        <w:pStyle w:val="StyleChartorTableNoteLeft0cmHanging1cm"/>
      </w:pPr>
      <w:r>
        <w:br w:type="page"/>
      </w:r>
    </w:p>
    <w:p w14:paraId="0B5B5458" w14:textId="77777777" w:rsidR="00EC2753" w:rsidRDefault="00EC2753" w:rsidP="00EC2753">
      <w:pPr>
        <w:pStyle w:val="Heading2"/>
      </w:pPr>
      <w:bookmarkStart w:id="165" w:name="_Toc514924638"/>
      <w:r>
        <w:lastRenderedPageBreak/>
        <w:t>Proposals data overview</w:t>
      </w:r>
      <w:bookmarkEnd w:id="165"/>
    </w:p>
    <w:p w14:paraId="3B17DE51" w14:textId="17D8A246" w:rsidR="00FC5222" w:rsidRPr="00FC5222" w:rsidRDefault="004D445B" w:rsidP="00FC5222">
      <w:pPr>
        <w:pStyle w:val="ChartMainHeading"/>
      </w:pPr>
      <w:r>
        <w:t xml:space="preserve">Chart 4.1: </w:t>
      </w:r>
      <w:r w:rsidR="00FC5222" w:rsidRPr="00FC5222">
        <w:t>Proposa</w:t>
      </w:r>
      <w:r w:rsidR="00FC5222">
        <w:t>ls data sectoral overview: 2015–</w:t>
      </w:r>
      <w:r w:rsidR="00FC5222" w:rsidRPr="00FC5222">
        <w:t>16 and</w:t>
      </w:r>
      <w:r w:rsidR="00FC5222">
        <w:t xml:space="preserve"> 2016–</w:t>
      </w:r>
      <w:r w:rsidR="00FC5222" w:rsidRPr="00FC5222">
        <w:t>17</w:t>
      </w:r>
    </w:p>
    <w:p w14:paraId="7704107B" w14:textId="2F88DF0D" w:rsidR="007B137D" w:rsidRPr="007B137D" w:rsidRDefault="007B137D" w:rsidP="006752D4">
      <w:pPr>
        <w:pStyle w:val="ChartGraphic"/>
        <w:spacing w:after="360"/>
      </w:pPr>
      <w:r>
        <w:rPr>
          <w:noProof/>
        </w:rPr>
        <w:drawing>
          <wp:inline distT="0" distB="0" distL="0" distR="0" wp14:anchorId="4DBF8B82" wp14:editId="6BA3AD11">
            <wp:extent cx="4899659" cy="5532074"/>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romulus\csg_h$\MCD\Publishing\Graphic Design Services Team\Projects\2018\FIRB Annual Report 2016-17\links\Data overview points-01.jpg"/>
                    <pic:cNvPicPr>
                      <a:picLocks noChangeAspect="1" noChangeArrowheads="1"/>
                    </pic:cNvPicPr>
                  </pic:nvPicPr>
                  <pic:blipFill>
                    <a:blip r:embed="rId65" cstate="print">
                      <a:extLst>
                        <a:ext uri="{28A0092B-C50C-407E-A947-70E740481C1C}">
                          <a14:useLocalDpi xmlns:a14="http://schemas.microsoft.com/office/drawing/2010/main" val="0"/>
                        </a:ext>
                      </a:extLst>
                    </a:blip>
                    <a:stretch>
                      <a:fillRect/>
                    </a:stretch>
                  </pic:blipFill>
                  <pic:spPr bwMode="auto">
                    <a:xfrm>
                      <a:off x="0" y="0"/>
                      <a:ext cx="4899659" cy="5532074"/>
                    </a:xfrm>
                    <a:prstGeom prst="rect">
                      <a:avLst/>
                    </a:prstGeom>
                    <a:noFill/>
                    <a:ln>
                      <a:noFill/>
                    </a:ln>
                  </pic:spPr>
                </pic:pic>
              </a:graphicData>
            </a:graphic>
          </wp:inline>
        </w:drawing>
      </w:r>
    </w:p>
    <w:p w14:paraId="2817A669" w14:textId="5594B627" w:rsidR="00003E55" w:rsidRPr="007B137D" w:rsidRDefault="00003E55" w:rsidP="00CE6903">
      <w:pPr>
        <w:pStyle w:val="StyleChartorTableNoteLeft0cmHanging1cm"/>
      </w:pPr>
      <w:r w:rsidRPr="007B137D">
        <w:t>Notes</w:t>
      </w:r>
      <w:r w:rsidR="00EC2753" w:rsidRPr="007B137D">
        <w:t>:</w:t>
      </w:r>
      <w:r w:rsidR="00CE6903">
        <w:tab/>
      </w:r>
      <w:r w:rsidR="00EC2753" w:rsidRPr="007B137D">
        <w:t>Approvals data do not measure total foreign investment made in any year or changes in net foreign</w:t>
      </w:r>
      <w:r w:rsidR="007B137D" w:rsidRPr="007B137D">
        <w:t xml:space="preserve"> ownership levels in Australia.</w:t>
      </w:r>
    </w:p>
    <w:p w14:paraId="43162C3B" w14:textId="451CE297" w:rsidR="007F0876" w:rsidRPr="007B137D" w:rsidRDefault="00CE6903" w:rsidP="00CE6903">
      <w:pPr>
        <w:pStyle w:val="StyleChartorTableNoteLeft0cmHanging1cm"/>
      </w:pPr>
      <w:r>
        <w:tab/>
      </w:r>
      <w:r w:rsidR="00EC2753" w:rsidRPr="007B137D">
        <w:t>Approvals data can be impacted by large one</w:t>
      </w:r>
      <w:r w:rsidR="00EC2753" w:rsidRPr="007B137D">
        <w:noBreakHyphen/>
        <w:t>off proposed transactions, affecting the comparability of industry data across years.</w:t>
      </w:r>
    </w:p>
    <w:p w14:paraId="494BB0CD" w14:textId="44ABB5F7" w:rsidR="00EC2753" w:rsidRDefault="00EC2753" w:rsidP="00EC2753">
      <w:pPr>
        <w:pStyle w:val="ChartandTableFootnote"/>
      </w:pPr>
      <w:r>
        <w:br w:type="page"/>
      </w:r>
    </w:p>
    <w:p w14:paraId="079480BC" w14:textId="77777777" w:rsidR="00FD0D0B" w:rsidRPr="00D269D7" w:rsidRDefault="00FD0D0B" w:rsidP="00FD0D0B">
      <w:pPr>
        <w:pStyle w:val="Heading2noTOC"/>
      </w:pPr>
      <w:r w:rsidRPr="00D269D7">
        <w:lastRenderedPageBreak/>
        <w:t>Approvals by sector</w:t>
      </w:r>
    </w:p>
    <w:p w14:paraId="671B50C9" w14:textId="0EE08F53" w:rsidR="00FD0D0B" w:rsidRDefault="00FD0D0B" w:rsidP="00FC5222">
      <w:pPr>
        <w:pStyle w:val="ChartMainHeading"/>
      </w:pPr>
      <w:r w:rsidRPr="00A00487">
        <w:t xml:space="preserve">Chart </w:t>
      </w:r>
      <w:r w:rsidR="009A2604" w:rsidRPr="00A00487">
        <w:t>4</w:t>
      </w:r>
      <w:r w:rsidR="004D445B">
        <w:t>.2</w:t>
      </w:r>
      <w:r w:rsidR="00D223E1">
        <w:t>: Share of total value</w:t>
      </w:r>
      <w:r w:rsidR="00CD2941">
        <w:t xml:space="preserve"> of</w:t>
      </w:r>
      <w:r w:rsidRPr="00A00487">
        <w:t xml:space="preserve"> </w:t>
      </w:r>
      <w:r w:rsidR="00D223E1">
        <w:t>approval</w:t>
      </w:r>
      <w:r w:rsidR="00CD2941">
        <w:t>s</w:t>
      </w:r>
      <w:r w:rsidR="00693FF2">
        <w:t>,</w:t>
      </w:r>
      <w:r w:rsidRPr="00A00487">
        <w:t xml:space="preserve"> by industry sector in 201</w:t>
      </w:r>
      <w:r w:rsidR="009A2604" w:rsidRPr="00A00487">
        <w:t>6</w:t>
      </w:r>
      <w:r w:rsidR="00CD7E4F">
        <w:t>–</w:t>
      </w:r>
      <w:r w:rsidRPr="00A00487">
        <w:t>1</w:t>
      </w:r>
      <w:r w:rsidR="009A2604" w:rsidRPr="00A00487">
        <w:t>7</w:t>
      </w:r>
    </w:p>
    <w:p w14:paraId="0FD99ACE" w14:textId="6AAFB8F4" w:rsidR="00B106D3" w:rsidRPr="00B106D3" w:rsidRDefault="00BC7F7B" w:rsidP="00BC7F7B">
      <w:pPr>
        <w:pStyle w:val="ChartGraphic"/>
      </w:pPr>
      <w:r>
        <w:rPr>
          <w:noProof/>
        </w:rPr>
        <w:drawing>
          <wp:inline distT="0" distB="0" distL="0" distR="0" wp14:anchorId="72575881" wp14:editId="78701FE5">
            <wp:extent cx="4896485" cy="3057164"/>
            <wp:effectExtent l="0" t="0" r="0" b="0"/>
            <wp:docPr id="53" name="Chart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611C21EA" w14:textId="0E3561C5" w:rsidR="00FD0D0B" w:rsidRPr="004A3335" w:rsidRDefault="00FD0D0B" w:rsidP="002A2C33">
      <w:pPr>
        <w:pStyle w:val="StyleChartorTableNoteLeft0cmHanging1cm"/>
      </w:pPr>
      <w:bookmarkStart w:id="166" w:name="_1548074922"/>
      <w:bookmarkEnd w:id="166"/>
      <w:r w:rsidRPr="004A3335">
        <w:t>Note</w:t>
      </w:r>
      <w:r w:rsidR="007E6B0B" w:rsidRPr="004A3335">
        <w:t>s</w:t>
      </w:r>
      <w:r w:rsidRPr="004A3335">
        <w:t>:</w:t>
      </w:r>
      <w:r w:rsidRPr="004A3335">
        <w:tab/>
        <w:t>Totals may not add due to rounding. Corporate reorganisations are excluded (9</w:t>
      </w:r>
      <w:r w:rsidR="002A202C" w:rsidRPr="004A3335">
        <w:t>4</w:t>
      </w:r>
      <w:r w:rsidRPr="004A3335">
        <w:t xml:space="preserve"> in 2016</w:t>
      </w:r>
      <w:r w:rsidR="00CD7E4F">
        <w:t>–</w:t>
      </w:r>
      <w:r w:rsidRPr="004A3335">
        <w:t>17).</w:t>
      </w:r>
    </w:p>
    <w:p w14:paraId="3AB8C206" w14:textId="6EEF6EA9" w:rsidR="00FD0D0B" w:rsidRPr="004A3335" w:rsidRDefault="004A3335" w:rsidP="002A2C33">
      <w:pPr>
        <w:pStyle w:val="StyleChartorTableNoteLeft0cmHanging1cm"/>
      </w:pPr>
      <w:r>
        <w:tab/>
      </w:r>
      <w:r w:rsidR="00FD0D0B" w:rsidRPr="004A3335">
        <w:t>Approvals data can be impacted by large one</w:t>
      </w:r>
      <w:r w:rsidR="00FD0D0B" w:rsidRPr="004A3335">
        <w:noBreakHyphen/>
        <w:t>off proposed transactions</w:t>
      </w:r>
      <w:r w:rsidR="00F307BD" w:rsidRPr="004A3335">
        <w:t xml:space="preserve"> and this</w:t>
      </w:r>
      <w:r w:rsidR="00FD0D0B" w:rsidRPr="004A3335">
        <w:t xml:space="preserve"> should be </w:t>
      </w:r>
      <w:r w:rsidR="00F307BD" w:rsidRPr="004A3335">
        <w:t>factored in</w:t>
      </w:r>
      <w:r w:rsidR="00FD0D0B" w:rsidRPr="004A3335">
        <w:t xml:space="preserve"> when comparing industry data across years.</w:t>
      </w:r>
    </w:p>
    <w:p w14:paraId="367E0A07" w14:textId="711A35FB" w:rsidR="00FD0D0B" w:rsidRDefault="00FD0D0B" w:rsidP="004A3335">
      <w:pPr>
        <w:spacing w:before="240"/>
        <w:rPr>
          <w:color w:val="auto"/>
          <w:szCs w:val="24"/>
        </w:rPr>
      </w:pPr>
      <w:r>
        <w:rPr>
          <w:color w:val="auto"/>
          <w:szCs w:val="24"/>
        </w:rPr>
        <w:t>In 2016</w:t>
      </w:r>
      <w:r w:rsidR="00DF22D3">
        <w:rPr>
          <w:color w:val="auto"/>
          <w:szCs w:val="24"/>
        </w:rPr>
        <w:t>–</w:t>
      </w:r>
      <w:r>
        <w:rPr>
          <w:color w:val="auto"/>
          <w:szCs w:val="24"/>
        </w:rPr>
        <w:t>17</w:t>
      </w:r>
      <w:r w:rsidR="00F307BD">
        <w:rPr>
          <w:color w:val="auto"/>
          <w:szCs w:val="24"/>
        </w:rPr>
        <w:t xml:space="preserve"> the services sector </w:t>
      </w:r>
      <w:r w:rsidR="001767A4">
        <w:rPr>
          <w:color w:val="auto"/>
          <w:szCs w:val="24"/>
        </w:rPr>
        <w:t xml:space="preserve">attracted the </w:t>
      </w:r>
      <w:r w:rsidR="009706E3">
        <w:rPr>
          <w:color w:val="auto"/>
          <w:szCs w:val="24"/>
        </w:rPr>
        <w:t>highest value of</w:t>
      </w:r>
      <w:r w:rsidR="001767A4">
        <w:rPr>
          <w:color w:val="auto"/>
          <w:szCs w:val="24"/>
        </w:rPr>
        <w:t xml:space="preserve"> </w:t>
      </w:r>
      <w:r w:rsidR="00691B2C">
        <w:rPr>
          <w:color w:val="auto"/>
          <w:szCs w:val="24"/>
        </w:rPr>
        <w:t>approved</w:t>
      </w:r>
      <w:r w:rsidR="001767A4">
        <w:rPr>
          <w:color w:val="auto"/>
          <w:szCs w:val="24"/>
        </w:rPr>
        <w:t xml:space="preserve"> investment</w:t>
      </w:r>
      <w:r w:rsidR="00F307BD">
        <w:rPr>
          <w:color w:val="auto"/>
          <w:szCs w:val="24"/>
        </w:rPr>
        <w:t xml:space="preserve">, </w:t>
      </w:r>
      <w:r w:rsidR="001767A4">
        <w:rPr>
          <w:color w:val="auto"/>
          <w:szCs w:val="24"/>
        </w:rPr>
        <w:t xml:space="preserve">totalling </w:t>
      </w:r>
      <w:r w:rsidR="00693FF2">
        <w:rPr>
          <w:color w:val="auto"/>
          <w:szCs w:val="24"/>
        </w:rPr>
        <w:t>$54.2 </w:t>
      </w:r>
      <w:r w:rsidR="00F307BD" w:rsidRPr="004A693F">
        <w:rPr>
          <w:color w:val="auto"/>
          <w:szCs w:val="24"/>
        </w:rPr>
        <w:t>billion</w:t>
      </w:r>
      <w:r w:rsidR="002B338A">
        <w:rPr>
          <w:color w:val="auto"/>
          <w:szCs w:val="24"/>
        </w:rPr>
        <w:t xml:space="preserve">. This reflected an increase in value of </w:t>
      </w:r>
      <w:r>
        <w:rPr>
          <w:color w:val="auto"/>
        </w:rPr>
        <w:t>$</w:t>
      </w:r>
      <w:r>
        <w:rPr>
          <w:color w:val="auto"/>
          <w:szCs w:val="24"/>
        </w:rPr>
        <w:t>31</w:t>
      </w:r>
      <w:r w:rsidR="002B338A">
        <w:rPr>
          <w:color w:val="auto"/>
        </w:rPr>
        <w:t> </w:t>
      </w:r>
      <w:r>
        <w:rPr>
          <w:color w:val="auto"/>
        </w:rPr>
        <w:t>billion</w:t>
      </w:r>
      <w:r w:rsidR="001767A4">
        <w:rPr>
          <w:color w:val="auto"/>
          <w:szCs w:val="24"/>
        </w:rPr>
        <w:t xml:space="preserve"> </w:t>
      </w:r>
      <w:r w:rsidR="00B20F52">
        <w:rPr>
          <w:color w:val="auto"/>
          <w:szCs w:val="24"/>
        </w:rPr>
        <w:t xml:space="preserve">– </w:t>
      </w:r>
      <w:r w:rsidR="00693FF2">
        <w:rPr>
          <w:color w:val="auto"/>
          <w:szCs w:val="24"/>
        </w:rPr>
        <w:t xml:space="preserve">or </w:t>
      </w:r>
      <w:r w:rsidR="00B20F52">
        <w:rPr>
          <w:color w:val="auto"/>
          <w:szCs w:val="24"/>
        </w:rPr>
        <w:t xml:space="preserve">more than twice the value </w:t>
      </w:r>
      <w:r w:rsidR="00693FF2">
        <w:rPr>
          <w:color w:val="auto"/>
          <w:szCs w:val="24"/>
        </w:rPr>
        <w:t xml:space="preserve">– from those </w:t>
      </w:r>
      <w:r w:rsidR="00B20F52">
        <w:rPr>
          <w:color w:val="auto"/>
          <w:szCs w:val="24"/>
        </w:rPr>
        <w:t xml:space="preserve">approved in </w:t>
      </w:r>
      <w:r w:rsidR="002B338A">
        <w:rPr>
          <w:color w:val="auto"/>
          <w:szCs w:val="24"/>
        </w:rPr>
        <w:t>2015</w:t>
      </w:r>
      <w:r w:rsidR="00DF22D3">
        <w:rPr>
          <w:color w:val="auto"/>
          <w:szCs w:val="24"/>
        </w:rPr>
        <w:t>–</w:t>
      </w:r>
      <w:r w:rsidR="002B338A">
        <w:rPr>
          <w:color w:val="auto"/>
          <w:szCs w:val="24"/>
        </w:rPr>
        <w:t>16</w:t>
      </w:r>
      <w:r w:rsidRPr="004A693F">
        <w:rPr>
          <w:color w:val="auto"/>
          <w:szCs w:val="24"/>
        </w:rPr>
        <w:t>.</w:t>
      </w:r>
      <w:r w:rsidR="002B338A">
        <w:rPr>
          <w:color w:val="auto"/>
          <w:szCs w:val="24"/>
        </w:rPr>
        <w:t xml:space="preserve"> </w:t>
      </w:r>
      <w:r>
        <w:rPr>
          <w:color w:val="auto"/>
          <w:szCs w:val="24"/>
        </w:rPr>
        <w:t>The value of approvals also increased by $2.4 billion in the agriculture, forestry and fishing sector (</w:t>
      </w:r>
      <w:r w:rsidR="002B338A">
        <w:rPr>
          <w:color w:val="auto"/>
          <w:szCs w:val="24"/>
        </w:rPr>
        <w:t xml:space="preserve">total </w:t>
      </w:r>
      <w:r>
        <w:rPr>
          <w:color w:val="auto"/>
          <w:szCs w:val="24"/>
        </w:rPr>
        <w:t>investment approvals of $7</w:t>
      </w:r>
      <w:r w:rsidR="00DF22D3">
        <w:rPr>
          <w:color w:val="auto"/>
          <w:szCs w:val="24"/>
        </w:rPr>
        <w:t> </w:t>
      </w:r>
      <w:r>
        <w:rPr>
          <w:color w:val="auto"/>
          <w:szCs w:val="24"/>
        </w:rPr>
        <w:t>billion</w:t>
      </w:r>
      <w:r w:rsidR="002B338A">
        <w:rPr>
          <w:color w:val="auto"/>
          <w:szCs w:val="24"/>
        </w:rPr>
        <w:t xml:space="preserve"> in 2016</w:t>
      </w:r>
      <w:r w:rsidR="00DF22D3">
        <w:rPr>
          <w:color w:val="auto"/>
          <w:szCs w:val="24"/>
        </w:rPr>
        <w:t>–</w:t>
      </w:r>
      <w:r w:rsidR="002B338A">
        <w:rPr>
          <w:color w:val="auto"/>
          <w:szCs w:val="24"/>
        </w:rPr>
        <w:t>17</w:t>
      </w:r>
      <w:r>
        <w:rPr>
          <w:color w:val="auto"/>
          <w:szCs w:val="24"/>
        </w:rPr>
        <w:t>) and $2</w:t>
      </w:r>
      <w:r w:rsidR="00693FF2">
        <w:rPr>
          <w:color w:val="auto"/>
          <w:szCs w:val="24"/>
        </w:rPr>
        <w:t> </w:t>
      </w:r>
      <w:r>
        <w:rPr>
          <w:color w:val="auto"/>
          <w:szCs w:val="24"/>
        </w:rPr>
        <w:t xml:space="preserve">billion in the tourism sector </w:t>
      </w:r>
      <w:r w:rsidR="002B338A">
        <w:rPr>
          <w:color w:val="auto"/>
          <w:szCs w:val="24"/>
        </w:rPr>
        <w:t>(total investment approvals of $2.3 </w:t>
      </w:r>
      <w:r>
        <w:rPr>
          <w:color w:val="auto"/>
          <w:szCs w:val="24"/>
        </w:rPr>
        <w:t>billion</w:t>
      </w:r>
      <w:r w:rsidR="002B338A">
        <w:rPr>
          <w:color w:val="auto"/>
          <w:szCs w:val="24"/>
        </w:rPr>
        <w:t xml:space="preserve"> in 2016</w:t>
      </w:r>
      <w:r w:rsidR="00DF22D3">
        <w:rPr>
          <w:color w:val="auto"/>
          <w:szCs w:val="24"/>
        </w:rPr>
        <w:t>–</w:t>
      </w:r>
      <w:r w:rsidR="002B338A">
        <w:rPr>
          <w:color w:val="auto"/>
          <w:szCs w:val="24"/>
        </w:rPr>
        <w:t>17).</w:t>
      </w:r>
    </w:p>
    <w:p w14:paraId="3F5772CD" w14:textId="3CC1587E" w:rsidR="002B338A" w:rsidRDefault="00FD0D0B" w:rsidP="00FD0D0B">
      <w:pPr>
        <w:rPr>
          <w:color w:val="auto"/>
          <w:szCs w:val="24"/>
        </w:rPr>
      </w:pPr>
      <w:r>
        <w:rPr>
          <w:color w:val="auto"/>
          <w:szCs w:val="24"/>
        </w:rPr>
        <w:t xml:space="preserve">For the five remaining sectors, the value of approvals </w:t>
      </w:r>
      <w:r w:rsidRPr="00FB1393">
        <w:rPr>
          <w:color w:val="auto"/>
          <w:szCs w:val="24"/>
        </w:rPr>
        <w:t xml:space="preserve">fell. The largest fall was for </w:t>
      </w:r>
      <w:r>
        <w:rPr>
          <w:color w:val="auto"/>
          <w:szCs w:val="24"/>
        </w:rPr>
        <w:t>residential real estate (investment approvals of $25.2 billion</w:t>
      </w:r>
      <w:r w:rsidR="002B338A">
        <w:rPr>
          <w:color w:val="auto"/>
          <w:szCs w:val="24"/>
        </w:rPr>
        <w:t xml:space="preserve"> in 2016</w:t>
      </w:r>
      <w:r w:rsidR="00DF22D3">
        <w:rPr>
          <w:color w:val="auto"/>
          <w:szCs w:val="24"/>
        </w:rPr>
        <w:t>–</w:t>
      </w:r>
      <w:r w:rsidR="002B338A">
        <w:rPr>
          <w:color w:val="auto"/>
          <w:szCs w:val="24"/>
        </w:rPr>
        <w:t>17</w:t>
      </w:r>
      <w:r>
        <w:rPr>
          <w:color w:val="auto"/>
          <w:szCs w:val="24"/>
        </w:rPr>
        <w:t>, down $47.2 billion</w:t>
      </w:r>
      <w:r w:rsidR="002B338A">
        <w:rPr>
          <w:color w:val="auto"/>
          <w:szCs w:val="24"/>
        </w:rPr>
        <w:t xml:space="preserve"> </w:t>
      </w:r>
      <w:r w:rsidR="00693FF2">
        <w:rPr>
          <w:color w:val="auto"/>
          <w:szCs w:val="24"/>
        </w:rPr>
        <w:t>from</w:t>
      </w:r>
      <w:r w:rsidR="002B338A">
        <w:rPr>
          <w:color w:val="auto"/>
          <w:szCs w:val="24"/>
        </w:rPr>
        <w:t xml:space="preserve"> 2015</w:t>
      </w:r>
      <w:r w:rsidR="002B338A">
        <w:rPr>
          <w:color w:val="auto"/>
          <w:szCs w:val="24"/>
        </w:rPr>
        <w:noBreakHyphen/>
        <w:t>16</w:t>
      </w:r>
      <w:r>
        <w:rPr>
          <w:color w:val="auto"/>
          <w:szCs w:val="24"/>
        </w:rPr>
        <w:t>), followed by manufacturing, electricity and gas</w:t>
      </w:r>
      <w:r w:rsidR="002B338A">
        <w:rPr>
          <w:color w:val="auto"/>
          <w:szCs w:val="24"/>
        </w:rPr>
        <w:t xml:space="preserve"> (investment approvals of $40.9 </w:t>
      </w:r>
      <w:r>
        <w:rPr>
          <w:color w:val="auto"/>
          <w:szCs w:val="24"/>
        </w:rPr>
        <w:t>billion, down $15.7 billion since 2015</w:t>
      </w:r>
      <w:r w:rsidR="00CD7E4F">
        <w:rPr>
          <w:color w:val="auto"/>
          <w:szCs w:val="24"/>
        </w:rPr>
        <w:t>–</w:t>
      </w:r>
      <w:r>
        <w:rPr>
          <w:color w:val="auto"/>
          <w:szCs w:val="24"/>
        </w:rPr>
        <w:t>16), mineral exploration and development (investment approvals of $15.</w:t>
      </w:r>
      <w:r w:rsidR="00CD6181">
        <w:rPr>
          <w:color w:val="auto"/>
          <w:szCs w:val="24"/>
        </w:rPr>
        <w:t>9</w:t>
      </w:r>
      <w:r>
        <w:rPr>
          <w:color w:val="auto"/>
          <w:szCs w:val="24"/>
        </w:rPr>
        <w:t xml:space="preserve"> billion, down $11.7 billion since 2015</w:t>
      </w:r>
      <w:r w:rsidR="00DF22D3">
        <w:rPr>
          <w:color w:val="auto"/>
          <w:szCs w:val="24"/>
        </w:rPr>
        <w:t>–</w:t>
      </w:r>
      <w:r>
        <w:rPr>
          <w:color w:val="auto"/>
          <w:szCs w:val="24"/>
        </w:rPr>
        <w:t>16), finance and insurance (</w:t>
      </w:r>
      <w:r w:rsidR="004327EA">
        <w:rPr>
          <w:color w:val="auto"/>
          <w:szCs w:val="24"/>
        </w:rPr>
        <w:t>investment approvals of $</w:t>
      </w:r>
      <w:r w:rsidR="00945FF4">
        <w:rPr>
          <w:color w:val="auto"/>
          <w:szCs w:val="24"/>
        </w:rPr>
        <w:t>3.8</w:t>
      </w:r>
      <w:r w:rsidR="004327EA">
        <w:rPr>
          <w:color w:val="auto"/>
          <w:szCs w:val="24"/>
        </w:rPr>
        <w:t xml:space="preserve"> billion, </w:t>
      </w:r>
      <w:r>
        <w:rPr>
          <w:color w:val="auto"/>
          <w:szCs w:val="24"/>
        </w:rPr>
        <w:t>down $9.</w:t>
      </w:r>
      <w:r w:rsidR="00945FF4">
        <w:rPr>
          <w:color w:val="auto"/>
          <w:szCs w:val="24"/>
        </w:rPr>
        <w:t>7</w:t>
      </w:r>
      <w:r>
        <w:rPr>
          <w:color w:val="auto"/>
          <w:szCs w:val="24"/>
        </w:rPr>
        <w:t xml:space="preserve"> billion</w:t>
      </w:r>
      <w:r w:rsidR="002B338A">
        <w:rPr>
          <w:color w:val="auto"/>
          <w:szCs w:val="24"/>
        </w:rPr>
        <w:t xml:space="preserve"> since 2015</w:t>
      </w:r>
      <w:r w:rsidR="00DF22D3">
        <w:rPr>
          <w:color w:val="auto"/>
          <w:szCs w:val="24"/>
        </w:rPr>
        <w:t>–</w:t>
      </w:r>
      <w:r w:rsidR="002B338A">
        <w:rPr>
          <w:color w:val="auto"/>
          <w:szCs w:val="24"/>
        </w:rPr>
        <w:t>16</w:t>
      </w:r>
      <w:r>
        <w:rPr>
          <w:color w:val="auto"/>
          <w:szCs w:val="24"/>
        </w:rPr>
        <w:t>) and commercial real estate (</w:t>
      </w:r>
      <w:r w:rsidR="004327EA">
        <w:rPr>
          <w:color w:val="auto"/>
          <w:szCs w:val="24"/>
        </w:rPr>
        <w:t>investment approvals of $43.</w:t>
      </w:r>
      <w:r w:rsidR="00945FF4">
        <w:rPr>
          <w:color w:val="auto"/>
          <w:szCs w:val="24"/>
        </w:rPr>
        <w:t>7</w:t>
      </w:r>
      <w:r w:rsidR="004327EA">
        <w:rPr>
          <w:color w:val="auto"/>
          <w:szCs w:val="24"/>
        </w:rPr>
        <w:t xml:space="preserve"> billion, </w:t>
      </w:r>
      <w:r w:rsidR="001F6BF1">
        <w:rPr>
          <w:color w:val="auto"/>
          <w:szCs w:val="24"/>
        </w:rPr>
        <w:t xml:space="preserve">down </w:t>
      </w:r>
      <w:r w:rsidR="001767A4">
        <w:rPr>
          <w:color w:val="auto"/>
          <w:szCs w:val="24"/>
        </w:rPr>
        <w:t>$</w:t>
      </w:r>
      <w:r w:rsidR="00945FF4">
        <w:rPr>
          <w:color w:val="auto"/>
          <w:szCs w:val="24"/>
        </w:rPr>
        <w:t>5.9</w:t>
      </w:r>
      <w:r>
        <w:rPr>
          <w:color w:val="auto"/>
          <w:szCs w:val="24"/>
        </w:rPr>
        <w:t xml:space="preserve"> billion</w:t>
      </w:r>
      <w:r w:rsidR="004327EA">
        <w:rPr>
          <w:color w:val="auto"/>
          <w:szCs w:val="24"/>
        </w:rPr>
        <w:t xml:space="preserve"> since 2015</w:t>
      </w:r>
      <w:r w:rsidR="004327EA">
        <w:rPr>
          <w:color w:val="auto"/>
          <w:szCs w:val="24"/>
        </w:rPr>
        <w:noBreakHyphen/>
      </w:r>
      <w:r w:rsidR="002B338A">
        <w:rPr>
          <w:color w:val="auto"/>
          <w:szCs w:val="24"/>
        </w:rPr>
        <w:t>16).</w:t>
      </w:r>
    </w:p>
    <w:p w14:paraId="67D54605" w14:textId="1E50D3B4" w:rsidR="00103E0A" w:rsidRDefault="00FD0D0B" w:rsidP="002979C4">
      <w:pPr>
        <w:pStyle w:val="TableHeading"/>
      </w:pPr>
      <w:r w:rsidRPr="00D269D7">
        <w:lastRenderedPageBreak/>
        <w:t>Table</w:t>
      </w:r>
      <w:r w:rsidR="002979C4">
        <w:t xml:space="preserve"> 4</w:t>
      </w:r>
      <w:r w:rsidRPr="00D269D7">
        <w:t>.4: Total approvals by industry sector: 201</w:t>
      </w:r>
      <w:r w:rsidR="002979C4">
        <w:t>3</w:t>
      </w:r>
      <w:r w:rsidR="00CD7E4F">
        <w:t>–</w:t>
      </w:r>
      <w:r w:rsidRPr="00D269D7">
        <w:t>1</w:t>
      </w:r>
      <w:r w:rsidR="002979C4">
        <w:t>4</w:t>
      </w:r>
      <w:r w:rsidRPr="00D269D7">
        <w:t xml:space="preserve"> to 201</w:t>
      </w:r>
      <w:r w:rsidR="002979C4">
        <w:t>6</w:t>
      </w:r>
      <w:r w:rsidR="00CD7E4F">
        <w:t>–</w:t>
      </w:r>
      <w:r w:rsidRPr="00D269D7">
        <w:t>1</w:t>
      </w:r>
      <w:r w:rsidR="002979C4">
        <w:t>7</w:t>
      </w:r>
      <w:bookmarkStart w:id="167" w:name="_1548074924"/>
      <w:bookmarkEnd w:id="167"/>
    </w:p>
    <w:p w14:paraId="5602E0DA" w14:textId="4A16B9FB" w:rsidR="002F0537" w:rsidRPr="002979C4" w:rsidRDefault="004F6851" w:rsidP="004F6851">
      <w:pPr>
        <w:pStyle w:val="TableGraphic"/>
      </w:pPr>
      <w:r>
        <w:object w:dxaOrig="8316" w:dyaOrig="4086" w14:anchorId="14A542A4">
          <v:shape id="_x0000_i1028" type="#_x0000_t75" style="width:384.45pt;height:210.55pt" o:ole="">
            <v:imagedata r:id="rId67" o:title=""/>
            <o:lock v:ext="edit" aspectratio="f"/>
          </v:shape>
          <o:OLEObject Type="Link" ProgID="Excel.Sheet.12" ShapeID="_x0000_i1028" DrawAspect="Content" r:id="rId68" UpdateMode="Always">
            <o:LinkType>EnhancedMetaFile</o:LinkType>
            <o:LockedField/>
          </o:OLEObject>
        </w:object>
      </w:r>
      <w:r w:rsidR="002F0537">
        <w:fldChar w:fldCharType="begin"/>
      </w:r>
      <w:r w:rsidR="002F0537">
        <w:instrText xml:space="preserve"> LINK </w:instrText>
      </w:r>
      <w:r w:rsidR="002A0295">
        <w:instrText xml:space="preserve">Excel.Sheet.12 http://tweb/sites/mg/fitpd/Lfirbannualrport/2016-17/Data%20Tables/Report%20tables/Table%204.4-Approvals%20by%20industry%20sector.xlsx "Final Table!R2C1:R13C16" </w:instrText>
      </w:r>
      <w:r w:rsidR="002F0537">
        <w:instrText xml:space="preserve">\a \f 4 \h  \* MERGEFORMAT </w:instrText>
      </w:r>
      <w:r w:rsidR="002F0537">
        <w:fldChar w:fldCharType="separate"/>
      </w:r>
    </w:p>
    <w:p w14:paraId="6A38FBD1" w14:textId="1627CD65" w:rsidR="00FD0D0B" w:rsidRPr="007945DC" w:rsidRDefault="002F0537" w:rsidP="00FD0D0B">
      <w:pPr>
        <w:pStyle w:val="TableGraphic"/>
        <w:rPr>
          <w:sz w:val="2"/>
        </w:rPr>
      </w:pPr>
      <w:r>
        <w:fldChar w:fldCharType="end"/>
      </w:r>
    </w:p>
    <w:p w14:paraId="7AE05DC0" w14:textId="78B4E1D4" w:rsidR="00203EB6" w:rsidRPr="002A2C33" w:rsidRDefault="00FD0D0B" w:rsidP="00FE56B8">
      <w:pPr>
        <w:pStyle w:val="ChartandTableFootnoteAlpha"/>
      </w:pPr>
      <w:r w:rsidRPr="002A2C33">
        <w:t>Proposed investment includes new dwelling exemption certificates provided to real estate developers (previously off</w:t>
      </w:r>
      <w:r w:rsidRPr="002A2C33">
        <w:noBreakHyphen/>
        <w:t>the</w:t>
      </w:r>
      <w:r w:rsidRPr="002A2C33">
        <w:noBreakHyphen/>
        <w:t>plan approvals) and approvals for exemption certificates. Further details are provided in the section on real estate.</w:t>
      </w:r>
    </w:p>
    <w:p w14:paraId="2D3205A9" w14:textId="10527E5B" w:rsidR="007E6B0B" w:rsidRPr="007E6B0B" w:rsidRDefault="007E6B0B" w:rsidP="007E6B0B">
      <w:pPr>
        <w:pStyle w:val="ChartandTableFootnoteAlpha"/>
        <w:numPr>
          <w:ilvl w:val="0"/>
          <w:numId w:val="0"/>
        </w:numPr>
        <w:ind w:left="283"/>
        <w:rPr>
          <w:rFonts w:asciiTheme="minorHAnsi" w:hAnsiTheme="minorHAnsi"/>
          <w:sz w:val="4"/>
          <w:szCs w:val="4"/>
        </w:rPr>
      </w:pPr>
    </w:p>
    <w:p w14:paraId="49A614B5" w14:textId="30287DBE" w:rsidR="00FD0D0B" w:rsidRPr="00CD59F3" w:rsidRDefault="00FD0D0B" w:rsidP="00FD0D0B">
      <w:pPr>
        <w:pStyle w:val="StyleChartorTableNoteLeft0cmHanging1cm"/>
      </w:pPr>
      <w:r w:rsidRPr="00CD59F3">
        <w:t>Note</w:t>
      </w:r>
      <w:r w:rsidR="007E6B0B" w:rsidRPr="00CD59F3">
        <w:t>s</w:t>
      </w:r>
      <w:r w:rsidRPr="00CD59F3">
        <w:t>:</w:t>
      </w:r>
      <w:r w:rsidRPr="00CD59F3">
        <w:tab/>
      </w:r>
      <w:r w:rsidR="00C10BCD" w:rsidRPr="00C10BCD">
        <w:t>Total number of approvals in Table 4.4 is recorded by target acquired, reflecting</w:t>
      </w:r>
      <w:r w:rsidR="00AA07DD">
        <w:t xml:space="preserve"> </w:t>
      </w:r>
      <w:r w:rsidR="00C10BCD" w:rsidRPr="00C10BCD">
        <w:t>the industry sectors. The number of approvals in this table may be greater than or equal to the number of approvals in Tables 4.1 and 4.3</w:t>
      </w:r>
      <w:r w:rsidR="00DE7E92" w:rsidRPr="00CD59F3">
        <w:t>. F</w:t>
      </w:r>
      <w:r w:rsidRPr="00CD59F3">
        <w:t>or example, one proposal to acquire two targets</w:t>
      </w:r>
      <w:r w:rsidR="00AA07DD">
        <w:t xml:space="preserve"> (under the single agreement)</w:t>
      </w:r>
      <w:r w:rsidRPr="00CD59F3">
        <w:t xml:space="preserve"> that operate in separate sectors will appear as </w:t>
      </w:r>
      <w:r w:rsidR="007E6B0B" w:rsidRPr="00CD59F3">
        <w:t xml:space="preserve">two approvals, with </w:t>
      </w:r>
      <w:r w:rsidRPr="00CD59F3">
        <w:t xml:space="preserve">one approval </w:t>
      </w:r>
      <w:r w:rsidR="007E6B0B" w:rsidRPr="00CD59F3">
        <w:t xml:space="preserve">recorded </w:t>
      </w:r>
      <w:r w:rsidRPr="00CD59F3">
        <w:t>per sector.</w:t>
      </w:r>
    </w:p>
    <w:p w14:paraId="03752FBC" w14:textId="77777777" w:rsidR="00FD0D0B" w:rsidRPr="00CD59F3" w:rsidRDefault="00FD0D0B" w:rsidP="00FD0D0B">
      <w:pPr>
        <w:pStyle w:val="StyleChartorTableNoteLeft0cmHanging1cm"/>
      </w:pPr>
      <w:r w:rsidRPr="00CD59F3">
        <w:tab/>
        <w:t>Totals may not add due to rounding.</w:t>
      </w:r>
    </w:p>
    <w:p w14:paraId="41B4F9D1" w14:textId="665F62C4" w:rsidR="00FD0D0B" w:rsidRPr="00CD59F3" w:rsidRDefault="00FD0D0B" w:rsidP="00FD0D0B">
      <w:pPr>
        <w:pStyle w:val="StyleChartorTableNoteLeft0cmHanging1cm"/>
      </w:pPr>
      <w:r w:rsidRPr="00CD59F3">
        <w:tab/>
        <w:t>Excludes corporate reorganisations (9</w:t>
      </w:r>
      <w:r w:rsidR="002A0295" w:rsidRPr="00CD59F3">
        <w:t>4 in 2016</w:t>
      </w:r>
      <w:r w:rsidR="00FE56B8" w:rsidRPr="00CD59F3">
        <w:t>–</w:t>
      </w:r>
      <w:r w:rsidR="002A0295" w:rsidRPr="00CD59F3">
        <w:t>17</w:t>
      </w:r>
      <w:r w:rsidR="007824DC" w:rsidRPr="00CD59F3">
        <w:t>), but includes all e</w:t>
      </w:r>
      <w:r w:rsidR="00180F15" w:rsidRPr="00CD59F3">
        <w:t xml:space="preserve">xemption </w:t>
      </w:r>
      <w:r w:rsidR="007824DC" w:rsidRPr="00CD59F3">
        <w:t>c</w:t>
      </w:r>
      <w:r w:rsidR="00180F15" w:rsidRPr="00CD59F3">
        <w:t>ertificates.</w:t>
      </w:r>
    </w:p>
    <w:p w14:paraId="56E09B72" w14:textId="4DBF5E79" w:rsidR="00FD0D0B" w:rsidRPr="00CD59F3" w:rsidRDefault="002A2C33" w:rsidP="002A2C33">
      <w:pPr>
        <w:pStyle w:val="StyleChartorTableNoteLeft0cmHanging1cm"/>
      </w:pPr>
      <w:r>
        <w:tab/>
      </w:r>
      <w:r w:rsidR="00FD0D0B" w:rsidRPr="00CD59F3">
        <w:t>The manufacturing, electricity &amp; gas sector has been renamed to improve clarity. The industries covered by this sector have not changed from previous annual reports.</w:t>
      </w:r>
    </w:p>
    <w:p w14:paraId="131F9E37" w14:textId="46A64BEB" w:rsidR="00203EB6" w:rsidRPr="00CD59F3" w:rsidRDefault="00FD0D0B" w:rsidP="00FD0D0B">
      <w:pPr>
        <w:pStyle w:val="StyleChartorTableNoteLeft0cmHanging1cm"/>
      </w:pPr>
      <w:r w:rsidRPr="00CD59F3">
        <w:tab/>
        <w:t>The 2015</w:t>
      </w:r>
      <w:r w:rsidR="00CD7E4F">
        <w:t>–</w:t>
      </w:r>
      <w:r w:rsidRPr="00CD59F3">
        <w:t>16 figures were impacted by the 1 December 2015 reforms, which may affect data comparability</w:t>
      </w:r>
      <w:r w:rsidR="00C03DC7" w:rsidRPr="00CD59F3">
        <w:t>.</w:t>
      </w:r>
    </w:p>
    <w:p w14:paraId="4D8B4109" w14:textId="77777777" w:rsidR="00FD0D0B" w:rsidRPr="00B86912" w:rsidRDefault="00FD0D0B" w:rsidP="00FD0D0B">
      <w:pPr>
        <w:pStyle w:val="Heading3"/>
        <w:rPr>
          <w:smallCaps/>
        </w:rPr>
      </w:pPr>
      <w:r w:rsidRPr="00B86912">
        <w:t>Agriculture, forestry and fishing</w:t>
      </w:r>
    </w:p>
    <w:p w14:paraId="724AC684" w14:textId="49DA77CA" w:rsidR="00FD0D0B" w:rsidRPr="00B86912" w:rsidRDefault="00FD0D0B" w:rsidP="00FD0D0B">
      <w:pPr>
        <w:rPr>
          <w:color w:val="auto"/>
          <w:sz w:val="24"/>
        </w:rPr>
      </w:pPr>
      <w:r w:rsidRPr="00B86912">
        <w:rPr>
          <w:noProof/>
          <w:color w:val="auto"/>
          <w:szCs w:val="24"/>
        </w:rPr>
        <mc:AlternateContent>
          <mc:Choice Requires="wpc">
            <w:drawing>
              <wp:anchor distT="0" distB="0" distL="114300" distR="114300" simplePos="0" relativeHeight="251658250" behindDoc="1" locked="0" layoutInCell="1" allowOverlap="1" wp14:anchorId="2BA05BCD" wp14:editId="0E146E10">
                <wp:simplePos x="0" y="0"/>
                <wp:positionH relativeFrom="margin">
                  <wp:align>left</wp:align>
                </wp:positionH>
                <wp:positionV relativeFrom="paragraph">
                  <wp:posOffset>60960</wp:posOffset>
                </wp:positionV>
                <wp:extent cx="977900" cy="969645"/>
                <wp:effectExtent l="0" t="0" r="12700" b="1905"/>
                <wp:wrapSquare wrapText="bothSides"/>
                <wp:docPr id="312" name="Canvas 312"/>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310" name="Oval 310"/>
                        <wps:cNvSpPr>
                          <a:spLocks noChangeAspect="1"/>
                        </wps:cNvSpPr>
                        <wps:spPr>
                          <a:xfrm>
                            <a:off x="35963" y="0"/>
                            <a:ext cx="936000" cy="936000"/>
                          </a:xfrm>
                          <a:prstGeom prst="ellipse">
                            <a:avLst/>
                          </a:prstGeom>
                          <a:solidFill>
                            <a:srgbClr val="155A76"/>
                          </a:solidFill>
                          <a:ln w="25400" cap="flat" cmpd="sng" algn="ctr">
                            <a:solidFill>
                              <a:srgbClr val="008888"/>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1" name="Text Box 311"/>
                        <wps:cNvSpPr txBox="1"/>
                        <wps:spPr>
                          <a:xfrm>
                            <a:off x="35963" y="116958"/>
                            <a:ext cx="938154" cy="793679"/>
                          </a:xfrm>
                          <a:prstGeom prst="rect">
                            <a:avLst/>
                          </a:prstGeom>
                          <a:noFill/>
                          <a:ln w="6350">
                            <a:noFill/>
                          </a:ln>
                          <a:effectLst/>
                        </wps:spPr>
                        <wps:txbx>
                          <w:txbxContent>
                            <w:p w14:paraId="1784275F" w14:textId="77777777" w:rsidR="00AE54F4" w:rsidRPr="00D8391B" w:rsidRDefault="00AE54F4" w:rsidP="00FD0D0B">
                              <w:pPr>
                                <w:spacing w:after="0"/>
                                <w:jc w:val="center"/>
                                <w:rPr>
                                  <w:b/>
                                  <w:color w:val="FFFFFF" w:themeColor="background1"/>
                                  <w:sz w:val="24"/>
                                </w:rPr>
                              </w:pPr>
                              <w:r w:rsidRPr="00D8391B">
                                <w:rPr>
                                  <w:b/>
                                  <w:color w:val="FFFFFF" w:themeColor="background1"/>
                                  <w:sz w:val="24"/>
                                </w:rPr>
                                <w:t>$</w:t>
                              </w:r>
                              <w:r>
                                <w:rPr>
                                  <w:b/>
                                  <w:color w:val="FFFFFF" w:themeColor="background1"/>
                                  <w:sz w:val="24"/>
                                </w:rPr>
                                <w:t>7.0</w:t>
                              </w:r>
                              <w:r w:rsidRPr="00D8391B">
                                <w:rPr>
                                  <w:b/>
                                  <w:color w:val="FFFFFF" w:themeColor="background1"/>
                                  <w:sz w:val="24"/>
                                </w:rPr>
                                <w:t>b</w:t>
                              </w:r>
                            </w:p>
                            <w:p w14:paraId="43E7325D" w14:textId="77777777" w:rsidR="00AE54F4" w:rsidRPr="00D8391B" w:rsidRDefault="00AE54F4" w:rsidP="00FD0D0B">
                              <w:pPr>
                                <w:spacing w:after="0"/>
                                <w:jc w:val="center"/>
                                <w:rPr>
                                  <w:b/>
                                  <w:color w:val="FFFFFF" w:themeColor="background1"/>
                                  <w:sz w:val="24"/>
                                </w:rPr>
                              </w:pPr>
                              <w:proofErr w:type="gramStart"/>
                              <w:r w:rsidRPr="00D8391B">
                                <w:rPr>
                                  <w:b/>
                                  <w:color w:val="FFFFFF" w:themeColor="background1"/>
                                  <w:sz w:val="24"/>
                                </w:rPr>
                                <w:t>approved</w:t>
                              </w:r>
                              <w:proofErr w:type="gramEnd"/>
                            </w:p>
                            <w:p w14:paraId="1784053C" w14:textId="77777777" w:rsidR="00AE54F4" w:rsidRPr="001628FF" w:rsidRDefault="00AE54F4" w:rsidP="00FD0D0B">
                              <w:pPr>
                                <w:jc w:val="center"/>
                                <w:rPr>
                                  <w:sz w:val="24"/>
                                </w:rPr>
                              </w:pPr>
                              <w:proofErr w:type="gramStart"/>
                              <w:r w:rsidRPr="00D8391B">
                                <w:rPr>
                                  <w:b/>
                                  <w:color w:val="FFFFFF" w:themeColor="background1"/>
                                  <w:sz w:val="24"/>
                                </w:rPr>
                                <w:t>investment</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c:wpc>
                  </a:graphicData>
                </a:graphic>
                <wp14:sizeRelH relativeFrom="page">
                  <wp14:pctWidth>0</wp14:pctWidth>
                </wp14:sizeRelH>
                <wp14:sizeRelV relativeFrom="page">
                  <wp14:pctHeight>0</wp14:pctHeight>
                </wp14:sizeRelV>
              </wp:anchor>
            </w:drawing>
          </mc:Choice>
          <mc:Fallback>
            <w:pict>
              <v:group id="Canvas 312" o:spid="_x0000_s1030" editas="canvas" style="position:absolute;left:0;text-align:left;margin-left:0;margin-top:4.8pt;width:77pt;height:76.35pt;z-index:-251658230;mso-position-horizontal:left;mso-position-horizontal-relative:margin;mso-position-vertical-relative:text" coordsize="9779,96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">
                <v:shape id="_x0000_s1031" type="#_x0000_t75" style="position:absolute;width:9779;height:9696;visibility:visible;mso-wrap-style:square">
                  <v:fill o:detectmouseclick="t"/>
                  <v:path o:connecttype="none"/>
                </v:shape>
                <v:oval id="Oval 310" o:spid="_x0000_s1032" style="position:absolute;left:359;width:9360;height:93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bz08EA&#10;AADcAAAADwAAAGRycy9kb3ducmV2LnhtbERPy4rCMBTdC/MP4Q7MRjT1gUg1iojCILiwFtxem2tb&#10;bG5Kk2r9e7MQXB7Oe7nuTCUe1LjSsoLRMAJBnFldcq4gPe8HcxDOI2usLJOCFzlYr356S4y1ffKJ&#10;HonPRQhhF6OCwvs6ltJlBRl0Q1sTB+5mG4M+wCaXusFnCDeVHEfRTBosOTQUWNO2oOyetEbBMW13&#10;12iadoeLrea7sZ/s+y0r9ffbbRYgPHX+K/64/7WCySjMD2fCEZCr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J289PBAAAA3AAAAA8AAAAAAAAAAAAAAAAAmAIAAGRycy9kb3du&#10;cmV2LnhtbFBLBQYAAAAABAAEAPUAAACGAwAAAAA=&#10;" fillcolor="#155a76" strokecolor="#088" strokeweight="2pt">
                  <v:path arrowok="t"/>
                  <o:lock v:ext="edit" aspectratio="t"/>
                </v:oval>
                <v:shapetype id="_x0000_t202" coordsize="21600,21600" o:spt="202" path="m,l,21600r21600,l21600,xe">
                  <v:stroke joinstyle="miter"/>
                  <v:path gradientshapeok="t" o:connecttype="rect"/>
                </v:shapetype>
                <v:shape id="Text Box 311" o:spid="_x0000_s1033" type="#_x0000_t202" style="position:absolute;left:359;top:1169;width:9382;height:79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VXpMUA&#10;AADcAAAADwAAAGRycy9kb3ducmV2LnhtbESPQYvCMBSE74L/ITzBm6ZVVqQaRQqiyO5B14u3Z/Ns&#10;i81LbaLW/fWbBWGPw8x8w8yXranEgxpXWlYQDyMQxJnVJecKjt/rwRSE88gaK8uk4EUOlotuZ46J&#10;tk/e0+PgcxEg7BJUUHhfJ1K6rCCDbmhr4uBdbGPQB9nkUjf4DHBTyVEUTaTBksNCgTWlBWXXw90o&#10;2KXrL9yfR2b6U6Wbz8uqvh1PH0r1e+1qBsJT6//D7/ZWKxjHMfydCUdAL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xVekxQAAANwAAAAPAAAAAAAAAAAAAAAAAJgCAABkcnMv&#10;ZG93bnJldi54bWxQSwUGAAAAAAQABAD1AAAAigMAAAAA&#10;" filled="f" stroked="f" strokeweight=".5pt">
                  <v:textbox>
                    <w:txbxContent>
                      <w:p w14:paraId="1784275F" w14:textId="77777777" w:rsidR="00AE54F4" w:rsidRPr="00D8391B" w:rsidRDefault="00AE54F4" w:rsidP="00FD0D0B">
                        <w:pPr>
                          <w:spacing w:after="0"/>
                          <w:jc w:val="center"/>
                          <w:rPr>
                            <w:b/>
                            <w:color w:val="FFFFFF" w:themeColor="background1"/>
                            <w:sz w:val="24"/>
                          </w:rPr>
                        </w:pPr>
                        <w:r w:rsidRPr="00D8391B">
                          <w:rPr>
                            <w:b/>
                            <w:color w:val="FFFFFF" w:themeColor="background1"/>
                            <w:sz w:val="24"/>
                          </w:rPr>
                          <w:t>$</w:t>
                        </w:r>
                        <w:r>
                          <w:rPr>
                            <w:b/>
                            <w:color w:val="FFFFFF" w:themeColor="background1"/>
                            <w:sz w:val="24"/>
                          </w:rPr>
                          <w:t>7.0</w:t>
                        </w:r>
                        <w:r w:rsidRPr="00D8391B">
                          <w:rPr>
                            <w:b/>
                            <w:color w:val="FFFFFF" w:themeColor="background1"/>
                            <w:sz w:val="24"/>
                          </w:rPr>
                          <w:t>b</w:t>
                        </w:r>
                      </w:p>
                      <w:p w14:paraId="43E7325D" w14:textId="77777777" w:rsidR="00AE54F4" w:rsidRPr="00D8391B" w:rsidRDefault="00AE54F4" w:rsidP="00FD0D0B">
                        <w:pPr>
                          <w:spacing w:after="0"/>
                          <w:jc w:val="center"/>
                          <w:rPr>
                            <w:b/>
                            <w:color w:val="FFFFFF" w:themeColor="background1"/>
                            <w:sz w:val="24"/>
                          </w:rPr>
                        </w:pPr>
                        <w:proofErr w:type="gramStart"/>
                        <w:r w:rsidRPr="00D8391B">
                          <w:rPr>
                            <w:b/>
                            <w:color w:val="FFFFFF" w:themeColor="background1"/>
                            <w:sz w:val="24"/>
                          </w:rPr>
                          <w:t>approved</w:t>
                        </w:r>
                        <w:proofErr w:type="gramEnd"/>
                      </w:p>
                      <w:p w14:paraId="1784053C" w14:textId="77777777" w:rsidR="00AE54F4" w:rsidRPr="001628FF" w:rsidRDefault="00AE54F4" w:rsidP="00FD0D0B">
                        <w:pPr>
                          <w:jc w:val="center"/>
                          <w:rPr>
                            <w:sz w:val="24"/>
                          </w:rPr>
                        </w:pPr>
                        <w:proofErr w:type="gramStart"/>
                        <w:r w:rsidRPr="00D8391B">
                          <w:rPr>
                            <w:b/>
                            <w:color w:val="FFFFFF" w:themeColor="background1"/>
                            <w:sz w:val="24"/>
                          </w:rPr>
                          <w:t>investment</w:t>
                        </w:r>
                        <w:proofErr w:type="gramEnd"/>
                      </w:p>
                    </w:txbxContent>
                  </v:textbox>
                </v:shape>
                <w10:wrap type="square" anchorx="margin"/>
              </v:group>
            </w:pict>
          </mc:Fallback>
        </mc:AlternateContent>
      </w:r>
      <w:r w:rsidRPr="00B86912">
        <w:rPr>
          <w:color w:val="auto"/>
          <w:szCs w:val="24"/>
        </w:rPr>
        <w:t>In 2016</w:t>
      </w:r>
      <w:r w:rsidR="00CD7E4F">
        <w:rPr>
          <w:color w:val="auto"/>
          <w:szCs w:val="24"/>
        </w:rPr>
        <w:t>–</w:t>
      </w:r>
      <w:r w:rsidRPr="00B86912">
        <w:rPr>
          <w:color w:val="auto"/>
          <w:szCs w:val="24"/>
        </w:rPr>
        <w:t>17, approvals were g</w:t>
      </w:r>
      <w:r>
        <w:rPr>
          <w:color w:val="auto"/>
          <w:szCs w:val="24"/>
        </w:rPr>
        <w:t xml:space="preserve">ranted </w:t>
      </w:r>
      <w:r w:rsidRPr="00B86912">
        <w:rPr>
          <w:color w:val="auto"/>
          <w:szCs w:val="24"/>
        </w:rPr>
        <w:t xml:space="preserve">for </w:t>
      </w:r>
      <w:r>
        <w:rPr>
          <w:color w:val="auto"/>
          <w:szCs w:val="24"/>
        </w:rPr>
        <w:t>$7</w:t>
      </w:r>
      <w:r w:rsidR="001F6BF1">
        <w:rPr>
          <w:color w:val="auto"/>
          <w:szCs w:val="24"/>
        </w:rPr>
        <w:t>.0</w:t>
      </w:r>
      <w:r w:rsidRPr="00B86912">
        <w:rPr>
          <w:color w:val="auto"/>
          <w:szCs w:val="24"/>
        </w:rPr>
        <w:t xml:space="preserve"> billion worth </w:t>
      </w:r>
      <w:r>
        <w:rPr>
          <w:color w:val="auto"/>
          <w:szCs w:val="24"/>
        </w:rPr>
        <w:t xml:space="preserve">of </w:t>
      </w:r>
      <w:r w:rsidRPr="00B86912">
        <w:rPr>
          <w:color w:val="auto"/>
          <w:szCs w:val="24"/>
        </w:rPr>
        <w:t>proposed investment in the agriculture, forestry and fishing sector (up from $4.6 billion in 2015</w:t>
      </w:r>
      <w:r w:rsidR="00CD7E4F">
        <w:rPr>
          <w:color w:val="auto"/>
          <w:szCs w:val="24"/>
        </w:rPr>
        <w:t>–</w:t>
      </w:r>
      <w:r w:rsidRPr="00B86912">
        <w:rPr>
          <w:color w:val="auto"/>
          <w:szCs w:val="24"/>
        </w:rPr>
        <w:t>16. The largest source countries of investment by value in this sector were China ($2.2 billion), Canada ($1.5 billion) and the US ($0.9 billion).</w:t>
      </w:r>
    </w:p>
    <w:p w14:paraId="39AEA466" w14:textId="69B96DDC" w:rsidR="00FD0D0B" w:rsidRDefault="00FD0D0B" w:rsidP="00FD0D0B">
      <w:pPr>
        <w:rPr>
          <w:color w:val="auto"/>
          <w:szCs w:val="24"/>
        </w:rPr>
      </w:pPr>
      <w:r w:rsidRPr="00B86912">
        <w:rPr>
          <w:color w:val="auto"/>
          <w:szCs w:val="24"/>
        </w:rPr>
        <w:t>On 1 March 2015, the agricultural land screening threshold was lowered from $252 million per acquisition to $15 million cumulative. This means that more agricultural land applications, particularly for lower value transactions, were screened from this time</w:t>
      </w:r>
      <w:r>
        <w:rPr>
          <w:color w:val="auto"/>
          <w:szCs w:val="24"/>
        </w:rPr>
        <w:t>.</w:t>
      </w:r>
    </w:p>
    <w:p w14:paraId="7BE5ACDA" w14:textId="37BF0038" w:rsidR="00FD0D0B" w:rsidRDefault="00DB4F84">
      <w:pPr>
        <w:spacing w:after="200" w:line="276" w:lineRule="auto"/>
        <w:jc w:val="left"/>
        <w:rPr>
          <w:color w:val="auto"/>
          <w:szCs w:val="24"/>
        </w:rPr>
      </w:pPr>
      <w:r>
        <w:rPr>
          <w:color w:val="auto"/>
          <w:szCs w:val="24"/>
        </w:rPr>
        <w:br w:type="page"/>
      </w:r>
    </w:p>
    <w:p w14:paraId="35251232" w14:textId="77777777" w:rsidR="00FD0D0B" w:rsidRPr="00B86912" w:rsidRDefault="00FD0D0B" w:rsidP="00FD0D0B">
      <w:pPr>
        <w:pStyle w:val="Heading3"/>
        <w:spacing w:before="240"/>
        <w:rPr>
          <w:rFonts w:asciiTheme="minorHAnsi" w:hAnsiTheme="minorHAnsi"/>
          <w:smallCaps/>
        </w:rPr>
      </w:pPr>
      <w:r w:rsidRPr="00B86912">
        <w:rPr>
          <w:rFonts w:asciiTheme="minorHAnsi" w:hAnsiTheme="minorHAnsi"/>
        </w:rPr>
        <w:lastRenderedPageBreak/>
        <w:t>Finance and insurance</w:t>
      </w:r>
    </w:p>
    <w:p w14:paraId="6A37CA53" w14:textId="384784BB" w:rsidR="00FD0D0B" w:rsidRPr="00B86912" w:rsidRDefault="000B77C2" w:rsidP="00FE56B8">
      <w:pPr>
        <w:spacing w:after="600"/>
        <w:rPr>
          <w:color w:val="auto"/>
          <w:szCs w:val="24"/>
        </w:rPr>
      </w:pPr>
      <w:r w:rsidRPr="00B86912">
        <w:rPr>
          <w:noProof/>
          <w:color w:val="auto"/>
          <w:szCs w:val="24"/>
        </w:rPr>
        <mc:AlternateContent>
          <mc:Choice Requires="wpc">
            <w:drawing>
              <wp:anchor distT="0" distB="0" distL="114300" distR="114300" simplePos="0" relativeHeight="251658251" behindDoc="1" locked="0" layoutInCell="1" allowOverlap="1" wp14:anchorId="7A5BEF7B" wp14:editId="2491F298">
                <wp:simplePos x="0" y="0"/>
                <wp:positionH relativeFrom="margin">
                  <wp:align>left</wp:align>
                </wp:positionH>
                <wp:positionV relativeFrom="paragraph">
                  <wp:posOffset>43180</wp:posOffset>
                </wp:positionV>
                <wp:extent cx="972000" cy="968400"/>
                <wp:effectExtent l="0" t="0" r="19050" b="3175"/>
                <wp:wrapSquare wrapText="bothSides"/>
                <wp:docPr id="305" name="Canvas 305"/>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303" name="Oval 303"/>
                        <wps:cNvSpPr>
                          <a:spLocks noChangeAspect="1"/>
                        </wps:cNvSpPr>
                        <wps:spPr>
                          <a:xfrm>
                            <a:off x="37256" y="0"/>
                            <a:ext cx="936000" cy="936000"/>
                          </a:xfrm>
                          <a:prstGeom prst="ellipse">
                            <a:avLst/>
                          </a:prstGeom>
                          <a:solidFill>
                            <a:srgbClr val="155A76"/>
                          </a:solidFill>
                          <a:ln w="25400" cap="flat" cmpd="sng" algn="ctr">
                            <a:solidFill>
                              <a:srgbClr val="008888"/>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4" name="Text Box 304"/>
                        <wps:cNvSpPr txBox="1"/>
                        <wps:spPr>
                          <a:xfrm>
                            <a:off x="37256" y="116958"/>
                            <a:ext cx="936000" cy="793679"/>
                          </a:xfrm>
                          <a:prstGeom prst="rect">
                            <a:avLst/>
                          </a:prstGeom>
                          <a:noFill/>
                          <a:ln w="6350">
                            <a:noFill/>
                          </a:ln>
                          <a:effectLst/>
                        </wps:spPr>
                        <wps:txbx>
                          <w:txbxContent>
                            <w:p w14:paraId="564F29CE" w14:textId="2F3BD8A8" w:rsidR="00AE54F4" w:rsidRPr="00D8391B" w:rsidRDefault="00AE54F4" w:rsidP="00FD0D0B">
                              <w:pPr>
                                <w:spacing w:after="0"/>
                                <w:jc w:val="center"/>
                                <w:rPr>
                                  <w:b/>
                                  <w:color w:val="FFFFFF" w:themeColor="background1"/>
                                  <w:sz w:val="24"/>
                                </w:rPr>
                              </w:pPr>
                              <w:r w:rsidRPr="00D8391B">
                                <w:rPr>
                                  <w:b/>
                                  <w:color w:val="FFFFFF" w:themeColor="background1"/>
                                  <w:sz w:val="24"/>
                                </w:rPr>
                                <w:t>$</w:t>
                              </w:r>
                              <w:r>
                                <w:rPr>
                                  <w:b/>
                                  <w:color w:val="FFFFFF" w:themeColor="background1"/>
                                  <w:sz w:val="24"/>
                                </w:rPr>
                                <w:t>3.8</w:t>
                              </w:r>
                              <w:r w:rsidRPr="00D8391B">
                                <w:rPr>
                                  <w:b/>
                                  <w:color w:val="FFFFFF" w:themeColor="background1"/>
                                  <w:sz w:val="24"/>
                                </w:rPr>
                                <w:t>b</w:t>
                              </w:r>
                            </w:p>
                            <w:p w14:paraId="36039D60" w14:textId="77777777" w:rsidR="00AE54F4" w:rsidRPr="00D8391B" w:rsidRDefault="00AE54F4" w:rsidP="00FD0D0B">
                              <w:pPr>
                                <w:spacing w:after="0"/>
                                <w:jc w:val="center"/>
                                <w:rPr>
                                  <w:b/>
                                  <w:color w:val="FFFFFF" w:themeColor="background1"/>
                                  <w:sz w:val="24"/>
                                </w:rPr>
                              </w:pPr>
                              <w:proofErr w:type="gramStart"/>
                              <w:r w:rsidRPr="00D8391B">
                                <w:rPr>
                                  <w:b/>
                                  <w:color w:val="FFFFFF" w:themeColor="background1"/>
                                  <w:sz w:val="24"/>
                                </w:rPr>
                                <w:t>approved</w:t>
                              </w:r>
                              <w:proofErr w:type="gramEnd"/>
                            </w:p>
                            <w:p w14:paraId="43B94809" w14:textId="77777777" w:rsidR="00AE54F4" w:rsidRPr="001628FF" w:rsidRDefault="00AE54F4" w:rsidP="00FD0D0B">
                              <w:pPr>
                                <w:jc w:val="center"/>
                                <w:rPr>
                                  <w:sz w:val="24"/>
                                </w:rPr>
                              </w:pPr>
                              <w:proofErr w:type="gramStart"/>
                              <w:r w:rsidRPr="00D8391B">
                                <w:rPr>
                                  <w:b/>
                                  <w:color w:val="FFFFFF" w:themeColor="background1"/>
                                  <w:sz w:val="24"/>
                                </w:rPr>
                                <w:t>investment</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c:wpc>
                  </a:graphicData>
                </a:graphic>
                <wp14:sizeRelH relativeFrom="page">
                  <wp14:pctWidth>0</wp14:pctWidth>
                </wp14:sizeRelH>
                <wp14:sizeRelV relativeFrom="page">
                  <wp14:pctHeight>0</wp14:pctHeight>
                </wp14:sizeRelV>
              </wp:anchor>
            </w:drawing>
          </mc:Choice>
          <mc:Fallback>
            <w:pict>
              <v:group id="Canvas 305" o:spid="_x0000_s1034" editas="canvas" style="position:absolute;left:0;text-align:left;margin-left:0;margin-top:3.4pt;width:76.55pt;height:76.25pt;z-index:-251658229;mso-position-horizontal:left;mso-position-horizontal-relative:margin;mso-position-vertical-relative:text" coordsize="9715,96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">
                <v:shape id="_x0000_s1035" type="#_x0000_t75" style="position:absolute;width:9715;height:9683;visibility:visible;mso-wrap-style:square">
                  <v:fill o:detectmouseclick="t"/>
                  <v:path o:connecttype="none"/>
                </v:shape>
                <v:oval id="Oval 303" o:spid="_x0000_s1036" style="position:absolute;left:372;width:9360;height:93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337ecUA&#10;AADcAAAADwAAAGRycy9kb3ducmV2LnhtbESPQWvCQBSE74L/YXmCF9FdTRFJXUVEQQo9NAa8vmZf&#10;k9Ds25DdaPz33UKhx2FmvmG2+8E24k6drx1rWC4UCOLCmZpLDfn1PN+A8AHZYOOYNDzJw343Hm0x&#10;Ne7BH3TPQikihH2KGqoQ2lRKX1Rk0S9cSxy9L9dZDFF2pTQdPiLcNnKl1FparDkuVNjSsaLiO+ut&#10;hve8P32ql3x4u7lmc1qF5DzrWevpZDi8ggg0hP/wX/tiNCQqgd8z8QjI3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fft5xQAAANwAAAAPAAAAAAAAAAAAAAAAAJgCAABkcnMv&#10;ZG93bnJldi54bWxQSwUGAAAAAAQABAD1AAAAigMAAAAA&#10;" fillcolor="#155a76" strokecolor="#088" strokeweight="2pt">
                  <v:path arrowok="t"/>
                  <o:lock v:ext="edit" aspectratio="t"/>
                </v:oval>
                <v:shape id="Text Box 304" o:spid="_x0000_s1037" type="#_x0000_t202" style="position:absolute;left:372;top:1169;width:9360;height:79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ti4cYA&#10;AADcAAAADwAAAGRycy9kb3ducmV2LnhtbESPT4vCMBTE7wt+h/AEb2uq64pUo0hBVsQ9+Ofi7dk8&#10;22LzUpuo1U+/WRA8DjPzG2Yya0wpblS7wrKCXjcCQZxaXXCmYL9bfI5AOI+ssbRMCh7kYDZtfUww&#10;1vbOG7ptfSYChF2MCnLvq1hKl+Zk0HVtRRy8k60N+iDrTOoa7wFuStmPoqE0WHBYyLGiJKf0vL0a&#10;Batk8YubY9+MnmXysz7Nq8v+8K1Up93MxyA8Nf4dfrWXWsFXNID/M+EIyO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2ti4cYAAADcAAAADwAAAAAAAAAAAAAAAACYAgAAZHJz&#10;L2Rvd25yZXYueG1sUEsFBgAAAAAEAAQA9QAAAIsDAAAAAA==&#10;" filled="f" stroked="f" strokeweight=".5pt">
                  <v:textbox>
                    <w:txbxContent>
                      <w:p w14:paraId="564F29CE" w14:textId="2F3BD8A8" w:rsidR="00AE54F4" w:rsidRPr="00D8391B" w:rsidRDefault="00AE54F4" w:rsidP="00FD0D0B">
                        <w:pPr>
                          <w:spacing w:after="0"/>
                          <w:jc w:val="center"/>
                          <w:rPr>
                            <w:b/>
                            <w:color w:val="FFFFFF" w:themeColor="background1"/>
                            <w:sz w:val="24"/>
                          </w:rPr>
                        </w:pPr>
                        <w:r w:rsidRPr="00D8391B">
                          <w:rPr>
                            <w:b/>
                            <w:color w:val="FFFFFF" w:themeColor="background1"/>
                            <w:sz w:val="24"/>
                          </w:rPr>
                          <w:t>$</w:t>
                        </w:r>
                        <w:r>
                          <w:rPr>
                            <w:b/>
                            <w:color w:val="FFFFFF" w:themeColor="background1"/>
                            <w:sz w:val="24"/>
                          </w:rPr>
                          <w:t>3.8</w:t>
                        </w:r>
                        <w:r w:rsidRPr="00D8391B">
                          <w:rPr>
                            <w:b/>
                            <w:color w:val="FFFFFF" w:themeColor="background1"/>
                            <w:sz w:val="24"/>
                          </w:rPr>
                          <w:t>b</w:t>
                        </w:r>
                      </w:p>
                      <w:p w14:paraId="36039D60" w14:textId="77777777" w:rsidR="00AE54F4" w:rsidRPr="00D8391B" w:rsidRDefault="00AE54F4" w:rsidP="00FD0D0B">
                        <w:pPr>
                          <w:spacing w:after="0"/>
                          <w:jc w:val="center"/>
                          <w:rPr>
                            <w:b/>
                            <w:color w:val="FFFFFF" w:themeColor="background1"/>
                            <w:sz w:val="24"/>
                          </w:rPr>
                        </w:pPr>
                        <w:proofErr w:type="gramStart"/>
                        <w:r w:rsidRPr="00D8391B">
                          <w:rPr>
                            <w:b/>
                            <w:color w:val="FFFFFF" w:themeColor="background1"/>
                            <w:sz w:val="24"/>
                          </w:rPr>
                          <w:t>approved</w:t>
                        </w:r>
                        <w:proofErr w:type="gramEnd"/>
                      </w:p>
                      <w:p w14:paraId="43B94809" w14:textId="77777777" w:rsidR="00AE54F4" w:rsidRPr="001628FF" w:rsidRDefault="00AE54F4" w:rsidP="00FD0D0B">
                        <w:pPr>
                          <w:jc w:val="center"/>
                          <w:rPr>
                            <w:sz w:val="24"/>
                          </w:rPr>
                        </w:pPr>
                        <w:proofErr w:type="gramStart"/>
                        <w:r w:rsidRPr="00D8391B">
                          <w:rPr>
                            <w:b/>
                            <w:color w:val="FFFFFF" w:themeColor="background1"/>
                            <w:sz w:val="24"/>
                          </w:rPr>
                          <w:t>investment</w:t>
                        </w:r>
                        <w:proofErr w:type="gramEnd"/>
                      </w:p>
                    </w:txbxContent>
                  </v:textbox>
                </v:shape>
                <w10:wrap type="square" anchorx="margin"/>
              </v:group>
            </w:pict>
          </mc:Fallback>
        </mc:AlternateContent>
      </w:r>
      <w:r w:rsidR="00FD0D0B" w:rsidRPr="00B86912">
        <w:rPr>
          <w:color w:val="auto"/>
          <w:szCs w:val="24"/>
        </w:rPr>
        <w:t xml:space="preserve">The value of approved proposed investment in the finance and insurance sector fell from $13.5 billion in </w:t>
      </w:r>
      <w:r w:rsidR="00FD0D0B">
        <w:rPr>
          <w:color w:val="auto"/>
          <w:szCs w:val="24"/>
        </w:rPr>
        <w:t>2015</w:t>
      </w:r>
      <w:r w:rsidR="00CD7E4F">
        <w:rPr>
          <w:color w:val="auto"/>
          <w:szCs w:val="24"/>
        </w:rPr>
        <w:t>–</w:t>
      </w:r>
      <w:r w:rsidR="00FD0D0B">
        <w:rPr>
          <w:color w:val="auto"/>
          <w:szCs w:val="24"/>
        </w:rPr>
        <w:t>16</w:t>
      </w:r>
      <w:r w:rsidR="00FD0D0B" w:rsidRPr="00B86912">
        <w:rPr>
          <w:color w:val="auto"/>
          <w:szCs w:val="24"/>
        </w:rPr>
        <w:t xml:space="preserve"> to $</w:t>
      </w:r>
      <w:r w:rsidR="00564F6C">
        <w:rPr>
          <w:color w:val="auto"/>
          <w:szCs w:val="24"/>
        </w:rPr>
        <w:t>3.8</w:t>
      </w:r>
      <w:r w:rsidR="00FD0D0B" w:rsidRPr="00B86912">
        <w:rPr>
          <w:color w:val="auto"/>
          <w:szCs w:val="24"/>
        </w:rPr>
        <w:t> billion in 2016</w:t>
      </w:r>
      <w:r w:rsidR="00CD7E4F">
        <w:rPr>
          <w:color w:val="auto"/>
          <w:szCs w:val="24"/>
        </w:rPr>
        <w:t>–</w:t>
      </w:r>
      <w:r w:rsidR="00FD0D0B" w:rsidRPr="00B86912">
        <w:rPr>
          <w:color w:val="auto"/>
          <w:szCs w:val="24"/>
        </w:rPr>
        <w:t xml:space="preserve">17. </w:t>
      </w:r>
      <w:r w:rsidR="00FD0D0B">
        <w:rPr>
          <w:color w:val="auto"/>
          <w:szCs w:val="24"/>
        </w:rPr>
        <w:t>The higher value of approved proposed investment in 2015</w:t>
      </w:r>
      <w:r w:rsidR="00CD7E4F">
        <w:rPr>
          <w:color w:val="auto"/>
          <w:szCs w:val="24"/>
        </w:rPr>
        <w:t>–</w:t>
      </w:r>
      <w:r w:rsidR="00FD0D0B">
        <w:rPr>
          <w:color w:val="auto"/>
          <w:szCs w:val="24"/>
        </w:rPr>
        <w:t>16</w:t>
      </w:r>
      <w:r w:rsidR="00FD0D0B" w:rsidRPr="00B86912">
        <w:rPr>
          <w:color w:val="auto"/>
          <w:szCs w:val="24"/>
        </w:rPr>
        <w:t xml:space="preserve"> was </w:t>
      </w:r>
      <w:r w:rsidR="00FD0D0B">
        <w:rPr>
          <w:color w:val="auto"/>
          <w:szCs w:val="24"/>
        </w:rPr>
        <w:t>largely due to</w:t>
      </w:r>
      <w:r w:rsidR="00FD0D0B" w:rsidRPr="00B86912">
        <w:rPr>
          <w:color w:val="auto"/>
          <w:szCs w:val="24"/>
        </w:rPr>
        <w:t xml:space="preserve"> a small number of high value transactions in </w:t>
      </w:r>
      <w:r w:rsidR="00FD0D0B">
        <w:rPr>
          <w:color w:val="auto"/>
          <w:szCs w:val="24"/>
        </w:rPr>
        <w:t>this</w:t>
      </w:r>
      <w:r w:rsidR="00FD0D0B" w:rsidRPr="00B86912">
        <w:rPr>
          <w:color w:val="auto"/>
          <w:szCs w:val="24"/>
        </w:rPr>
        <w:t xml:space="preserve"> sector</w:t>
      </w:r>
      <w:r w:rsidR="00FD0D0B">
        <w:rPr>
          <w:color w:val="auto"/>
          <w:szCs w:val="24"/>
        </w:rPr>
        <w:t xml:space="preserve"> in 2015</w:t>
      </w:r>
      <w:r w:rsidR="00CD7E4F">
        <w:rPr>
          <w:color w:val="auto"/>
          <w:szCs w:val="24"/>
        </w:rPr>
        <w:noBreakHyphen/>
      </w:r>
      <w:r w:rsidR="00FD0D0B">
        <w:rPr>
          <w:color w:val="auto"/>
          <w:szCs w:val="24"/>
        </w:rPr>
        <w:t>16</w:t>
      </w:r>
      <w:r w:rsidR="00FD0D0B" w:rsidRPr="00B86912">
        <w:rPr>
          <w:color w:val="auto"/>
          <w:szCs w:val="24"/>
        </w:rPr>
        <w:t>.</w:t>
      </w:r>
    </w:p>
    <w:p w14:paraId="02640737" w14:textId="77777777" w:rsidR="00FD0D0B" w:rsidRPr="00A8068F" w:rsidRDefault="00FD0D0B" w:rsidP="00FD0D0B">
      <w:pPr>
        <w:pStyle w:val="Heading3"/>
        <w:spacing w:before="240"/>
        <w:rPr>
          <w:rFonts w:asciiTheme="minorHAnsi" w:hAnsiTheme="minorHAnsi"/>
          <w:smallCaps/>
        </w:rPr>
      </w:pPr>
      <w:r w:rsidRPr="00A8068F">
        <w:rPr>
          <w:rFonts w:asciiTheme="minorHAnsi" w:hAnsiTheme="minorHAnsi"/>
        </w:rPr>
        <w:t>Manufacturing, electricity and gas</w:t>
      </w:r>
    </w:p>
    <w:p w14:paraId="52756D9F" w14:textId="370FA6BA" w:rsidR="00FD0D0B" w:rsidRDefault="00FD0D0B" w:rsidP="00FD0D0B">
      <w:pPr>
        <w:rPr>
          <w:color w:val="auto"/>
          <w:szCs w:val="24"/>
        </w:rPr>
      </w:pPr>
      <w:r w:rsidRPr="00A8068F">
        <w:rPr>
          <w:noProof/>
          <w:color w:val="auto"/>
          <w:szCs w:val="24"/>
        </w:rPr>
        <mc:AlternateContent>
          <mc:Choice Requires="wpc">
            <w:drawing>
              <wp:anchor distT="0" distB="0" distL="114300" distR="114300" simplePos="0" relativeHeight="251658252" behindDoc="1" locked="0" layoutInCell="1" allowOverlap="1" wp14:anchorId="6327CC48" wp14:editId="27D4AA31">
                <wp:simplePos x="0" y="0"/>
                <wp:positionH relativeFrom="margin">
                  <wp:align>left</wp:align>
                </wp:positionH>
                <wp:positionV relativeFrom="paragraph">
                  <wp:posOffset>17145</wp:posOffset>
                </wp:positionV>
                <wp:extent cx="986400" cy="968400"/>
                <wp:effectExtent l="0" t="0" r="4445" b="3175"/>
                <wp:wrapSquare wrapText="bothSides"/>
                <wp:docPr id="290" name="Canvas 290"/>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63" name="Oval 63"/>
                        <wps:cNvSpPr>
                          <a:spLocks noChangeAspect="1"/>
                        </wps:cNvSpPr>
                        <wps:spPr>
                          <a:xfrm>
                            <a:off x="39410" y="0"/>
                            <a:ext cx="936000" cy="936000"/>
                          </a:xfrm>
                          <a:prstGeom prst="ellipse">
                            <a:avLst/>
                          </a:prstGeom>
                          <a:solidFill>
                            <a:srgbClr val="155A76"/>
                          </a:solidFill>
                          <a:ln w="25400" cap="flat" cmpd="sng" algn="ctr">
                            <a:solidFill>
                              <a:srgbClr val="008888"/>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9" name="Text Box 289"/>
                        <wps:cNvSpPr txBox="1"/>
                        <wps:spPr>
                          <a:xfrm>
                            <a:off x="47361" y="116958"/>
                            <a:ext cx="938153" cy="793679"/>
                          </a:xfrm>
                          <a:prstGeom prst="rect">
                            <a:avLst/>
                          </a:prstGeom>
                          <a:noFill/>
                          <a:ln w="6350">
                            <a:noFill/>
                          </a:ln>
                          <a:effectLst/>
                        </wps:spPr>
                        <wps:txbx>
                          <w:txbxContent>
                            <w:p w14:paraId="3BD4372B" w14:textId="18112C8D" w:rsidR="00AE54F4" w:rsidRPr="00D8391B" w:rsidRDefault="00AE54F4" w:rsidP="00FD0D0B">
                              <w:pPr>
                                <w:spacing w:after="0"/>
                                <w:jc w:val="center"/>
                                <w:rPr>
                                  <w:b/>
                                  <w:color w:val="FFFFFF" w:themeColor="background1"/>
                                  <w:sz w:val="24"/>
                                </w:rPr>
                              </w:pPr>
                              <w:r w:rsidRPr="00D8391B">
                                <w:rPr>
                                  <w:b/>
                                  <w:color w:val="FFFFFF" w:themeColor="background1"/>
                                  <w:sz w:val="24"/>
                                </w:rPr>
                                <w:t>$</w:t>
                              </w:r>
                              <w:r>
                                <w:rPr>
                                  <w:b/>
                                  <w:color w:val="FFFFFF" w:themeColor="background1"/>
                                  <w:sz w:val="24"/>
                                </w:rPr>
                                <w:t>40.9</w:t>
                              </w:r>
                              <w:r w:rsidRPr="00D8391B">
                                <w:rPr>
                                  <w:b/>
                                  <w:color w:val="FFFFFF" w:themeColor="background1"/>
                                  <w:sz w:val="24"/>
                                </w:rPr>
                                <w:t>b</w:t>
                              </w:r>
                            </w:p>
                            <w:p w14:paraId="57554676" w14:textId="77777777" w:rsidR="00AE54F4" w:rsidRPr="00D8391B" w:rsidRDefault="00AE54F4" w:rsidP="00FD0D0B">
                              <w:pPr>
                                <w:spacing w:after="0"/>
                                <w:jc w:val="center"/>
                                <w:rPr>
                                  <w:b/>
                                  <w:color w:val="FFFFFF" w:themeColor="background1"/>
                                  <w:sz w:val="24"/>
                                </w:rPr>
                              </w:pPr>
                              <w:proofErr w:type="gramStart"/>
                              <w:r w:rsidRPr="00D8391B">
                                <w:rPr>
                                  <w:b/>
                                  <w:color w:val="FFFFFF" w:themeColor="background1"/>
                                  <w:sz w:val="24"/>
                                </w:rPr>
                                <w:t>approved</w:t>
                              </w:r>
                              <w:proofErr w:type="gramEnd"/>
                            </w:p>
                            <w:p w14:paraId="7D7CEE89" w14:textId="77777777" w:rsidR="00AE54F4" w:rsidRPr="001628FF" w:rsidRDefault="00AE54F4" w:rsidP="00FD0D0B">
                              <w:pPr>
                                <w:jc w:val="center"/>
                                <w:rPr>
                                  <w:sz w:val="24"/>
                                </w:rPr>
                              </w:pPr>
                              <w:proofErr w:type="gramStart"/>
                              <w:r w:rsidRPr="00D8391B">
                                <w:rPr>
                                  <w:b/>
                                  <w:color w:val="FFFFFF" w:themeColor="background1"/>
                                  <w:sz w:val="24"/>
                                </w:rPr>
                                <w:t>investment</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c:wpc>
                  </a:graphicData>
                </a:graphic>
                <wp14:sizeRelH relativeFrom="page">
                  <wp14:pctWidth>0</wp14:pctWidth>
                </wp14:sizeRelH>
                <wp14:sizeRelV relativeFrom="page">
                  <wp14:pctHeight>0</wp14:pctHeight>
                </wp14:sizeRelV>
              </wp:anchor>
            </w:drawing>
          </mc:Choice>
          <mc:Fallback>
            <w:pict>
              <v:group id="Canvas 290" o:spid="_x0000_s1038" editas="canvas" style="position:absolute;left:0;text-align:left;margin-left:0;margin-top:1.35pt;width:77.65pt;height:76.25pt;z-index:-251658228;mso-position-horizontal:left;mso-position-horizontal-relative:margin;mso-position-vertical-relative:text" coordsize="9861,96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">
                <v:shape id="_x0000_s1039" type="#_x0000_t75" style="position:absolute;width:9861;height:9683;visibility:visible;mso-wrap-style:square">
                  <v:fill o:detectmouseclick="t"/>
                  <v:path o:connecttype="none"/>
                </v:shape>
                <v:oval id="Oval 63" o:spid="_x0000_s1040" style="position:absolute;left:394;width:9360;height:93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b658QA&#10;AADbAAAADwAAAGRycy9kb3ducmV2LnhtbESPQWvCQBSE7wX/w/IEL0U3xhIkdRURBRF6aAx4fc2+&#10;JqHZtyG7MfHfu4VCj8PMfMNsdqNpxJ06V1tWsFxEIIgLq2suFeTX03wNwnlkjY1lUvAgB7vt5GWD&#10;qbYDf9I986UIEHYpKqi8b1MpXVGRQbewLXHwvm1n0AfZlVJ3OAS4aWQcRYk0WHNYqLClQ0XFT9Yb&#10;BR95f/yK3vLxcrPN+hj71em1Z6Vm03H/DsLT6P/Df+2zVpCs4PdL+AFy+w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22+ufEAAAA2wAAAA8AAAAAAAAAAAAAAAAAmAIAAGRycy9k&#10;b3ducmV2LnhtbFBLBQYAAAAABAAEAPUAAACJAwAAAAA=&#10;" fillcolor="#155a76" strokecolor="#088" strokeweight="2pt">
                  <v:path arrowok="t"/>
                  <o:lock v:ext="edit" aspectratio="t"/>
                </v:oval>
                <v:shape id="Text Box 289" o:spid="_x0000_s1041" type="#_x0000_t202" style="position:absolute;left:473;top:1169;width:9382;height:79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jBuMYA&#10;AADcAAAADwAAAGRycy9kb3ducmV2LnhtbESPT2vCQBTE7wW/w/IEb3VjQInRVSQgFWkP/rl4e2af&#10;STD7Nma3mvrpu4WCx2FmfsPMl52pxZ1aV1lWMBpGIIhzqysuFBwP6/cEhPPIGmvLpOCHHCwXvbc5&#10;pto+eEf3vS9EgLBLUUHpfZNK6fKSDLqhbYiDd7GtQR9kW0jd4iPATS3jKJpIgxWHhRIbykrKr/tv&#10;o2Cbrb9wd45N8qyzj8/LqrkdT2OlBv1uNQPhqfOv8H97oxXEyRT+zoQjIB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ljBuMYAAADcAAAADwAAAAAAAAAAAAAAAACYAgAAZHJz&#10;L2Rvd25yZXYueG1sUEsFBgAAAAAEAAQA9QAAAIsDAAAAAA==&#10;" filled="f" stroked="f" strokeweight=".5pt">
                  <v:textbox>
                    <w:txbxContent>
                      <w:p w14:paraId="3BD4372B" w14:textId="18112C8D" w:rsidR="00AE54F4" w:rsidRPr="00D8391B" w:rsidRDefault="00AE54F4" w:rsidP="00FD0D0B">
                        <w:pPr>
                          <w:spacing w:after="0"/>
                          <w:jc w:val="center"/>
                          <w:rPr>
                            <w:b/>
                            <w:color w:val="FFFFFF" w:themeColor="background1"/>
                            <w:sz w:val="24"/>
                          </w:rPr>
                        </w:pPr>
                        <w:r w:rsidRPr="00D8391B">
                          <w:rPr>
                            <w:b/>
                            <w:color w:val="FFFFFF" w:themeColor="background1"/>
                            <w:sz w:val="24"/>
                          </w:rPr>
                          <w:t>$</w:t>
                        </w:r>
                        <w:r>
                          <w:rPr>
                            <w:b/>
                            <w:color w:val="FFFFFF" w:themeColor="background1"/>
                            <w:sz w:val="24"/>
                          </w:rPr>
                          <w:t>40.9</w:t>
                        </w:r>
                        <w:r w:rsidRPr="00D8391B">
                          <w:rPr>
                            <w:b/>
                            <w:color w:val="FFFFFF" w:themeColor="background1"/>
                            <w:sz w:val="24"/>
                          </w:rPr>
                          <w:t>b</w:t>
                        </w:r>
                      </w:p>
                      <w:p w14:paraId="57554676" w14:textId="77777777" w:rsidR="00AE54F4" w:rsidRPr="00D8391B" w:rsidRDefault="00AE54F4" w:rsidP="00FD0D0B">
                        <w:pPr>
                          <w:spacing w:after="0"/>
                          <w:jc w:val="center"/>
                          <w:rPr>
                            <w:b/>
                            <w:color w:val="FFFFFF" w:themeColor="background1"/>
                            <w:sz w:val="24"/>
                          </w:rPr>
                        </w:pPr>
                        <w:proofErr w:type="gramStart"/>
                        <w:r w:rsidRPr="00D8391B">
                          <w:rPr>
                            <w:b/>
                            <w:color w:val="FFFFFF" w:themeColor="background1"/>
                            <w:sz w:val="24"/>
                          </w:rPr>
                          <w:t>approved</w:t>
                        </w:r>
                        <w:proofErr w:type="gramEnd"/>
                      </w:p>
                      <w:p w14:paraId="7D7CEE89" w14:textId="77777777" w:rsidR="00AE54F4" w:rsidRPr="001628FF" w:rsidRDefault="00AE54F4" w:rsidP="00FD0D0B">
                        <w:pPr>
                          <w:jc w:val="center"/>
                          <w:rPr>
                            <w:sz w:val="24"/>
                          </w:rPr>
                        </w:pPr>
                        <w:proofErr w:type="gramStart"/>
                        <w:r w:rsidRPr="00D8391B">
                          <w:rPr>
                            <w:b/>
                            <w:color w:val="FFFFFF" w:themeColor="background1"/>
                            <w:sz w:val="24"/>
                          </w:rPr>
                          <w:t>investment</w:t>
                        </w:r>
                        <w:proofErr w:type="gramEnd"/>
                      </w:p>
                    </w:txbxContent>
                  </v:textbox>
                </v:shape>
                <w10:wrap type="square" anchorx="margin"/>
              </v:group>
            </w:pict>
          </mc:Fallback>
        </mc:AlternateContent>
      </w:r>
      <w:r w:rsidRPr="00A8068F">
        <w:rPr>
          <w:color w:val="auto"/>
          <w:szCs w:val="24"/>
        </w:rPr>
        <w:t xml:space="preserve">The </w:t>
      </w:r>
      <w:r>
        <w:rPr>
          <w:color w:val="auto"/>
          <w:szCs w:val="24"/>
        </w:rPr>
        <w:t>$40</w:t>
      </w:r>
      <w:r w:rsidRPr="00A8068F">
        <w:rPr>
          <w:color w:val="auto"/>
          <w:szCs w:val="24"/>
        </w:rPr>
        <w:t>.9 billion worth of proposed investment approved in 2016</w:t>
      </w:r>
      <w:r w:rsidR="00CD7E4F">
        <w:rPr>
          <w:color w:val="auto"/>
          <w:szCs w:val="24"/>
        </w:rPr>
        <w:t>–</w:t>
      </w:r>
      <w:r w:rsidRPr="00A8068F">
        <w:rPr>
          <w:color w:val="auto"/>
          <w:szCs w:val="24"/>
        </w:rPr>
        <w:t xml:space="preserve">17 in the manufacturing, electricity and gas sector was </w:t>
      </w:r>
      <w:r>
        <w:rPr>
          <w:color w:val="auto"/>
          <w:szCs w:val="24"/>
        </w:rPr>
        <w:t>$15.7 billion</w:t>
      </w:r>
      <w:r w:rsidRPr="00A8068F">
        <w:rPr>
          <w:color w:val="auto"/>
          <w:szCs w:val="24"/>
        </w:rPr>
        <w:t xml:space="preserve"> lower than the value of approved investment in the sector in 2015</w:t>
      </w:r>
      <w:r w:rsidR="00CD7E4F">
        <w:rPr>
          <w:color w:val="auto"/>
          <w:szCs w:val="24"/>
        </w:rPr>
        <w:t>–</w:t>
      </w:r>
      <w:r w:rsidRPr="00A8068F">
        <w:rPr>
          <w:color w:val="auto"/>
          <w:szCs w:val="24"/>
        </w:rPr>
        <w:t xml:space="preserve">16, despite an increase in the number of approvals </w:t>
      </w:r>
      <w:r>
        <w:rPr>
          <w:color w:val="auto"/>
          <w:szCs w:val="24"/>
        </w:rPr>
        <w:t>and a n</w:t>
      </w:r>
      <w:r w:rsidR="00E40CC4">
        <w:rPr>
          <w:color w:val="auto"/>
          <w:szCs w:val="24"/>
        </w:rPr>
        <w:t>umber of high value transactions.</w:t>
      </w:r>
    </w:p>
    <w:p w14:paraId="7DFB3FC8" w14:textId="26C7DDBC" w:rsidR="00FD0D0B" w:rsidRPr="00A8068F" w:rsidRDefault="00FD0D0B" w:rsidP="00FD0D0B">
      <w:pPr>
        <w:rPr>
          <w:color w:val="auto"/>
          <w:szCs w:val="24"/>
        </w:rPr>
      </w:pPr>
      <w:r w:rsidRPr="00A8068F">
        <w:rPr>
          <w:color w:val="auto"/>
          <w:szCs w:val="24"/>
        </w:rPr>
        <w:t xml:space="preserve">The </w:t>
      </w:r>
      <w:r w:rsidR="00EA22C3">
        <w:rPr>
          <w:color w:val="auto"/>
          <w:szCs w:val="24"/>
        </w:rPr>
        <w:t xml:space="preserve">decline </w:t>
      </w:r>
      <w:r w:rsidRPr="00A8068F">
        <w:rPr>
          <w:color w:val="auto"/>
          <w:szCs w:val="24"/>
        </w:rPr>
        <w:t xml:space="preserve">was driven by a $7.3 billion decrease in the value of approvals in the </w:t>
      </w:r>
      <w:r w:rsidR="007945DC">
        <w:rPr>
          <w:color w:val="auto"/>
          <w:szCs w:val="24"/>
        </w:rPr>
        <w:t>f</w:t>
      </w:r>
      <w:r w:rsidRPr="00A8068F">
        <w:rPr>
          <w:color w:val="auto"/>
          <w:szCs w:val="24"/>
        </w:rPr>
        <w:t>ood, beverages and tobacco sector</w:t>
      </w:r>
      <w:r>
        <w:rPr>
          <w:color w:val="auto"/>
          <w:szCs w:val="24"/>
        </w:rPr>
        <w:t xml:space="preserve"> (</w:t>
      </w:r>
      <w:r w:rsidR="00EA22C3">
        <w:rPr>
          <w:color w:val="auto"/>
          <w:szCs w:val="24"/>
        </w:rPr>
        <w:t xml:space="preserve">where there were </w:t>
      </w:r>
      <w:r>
        <w:rPr>
          <w:color w:val="auto"/>
          <w:szCs w:val="24"/>
        </w:rPr>
        <w:t>a small number of very high value proposed investment approvals in 2015</w:t>
      </w:r>
      <w:r w:rsidR="00CD7E4F">
        <w:rPr>
          <w:color w:val="auto"/>
          <w:szCs w:val="24"/>
        </w:rPr>
        <w:t>–</w:t>
      </w:r>
      <w:r>
        <w:rPr>
          <w:color w:val="auto"/>
          <w:szCs w:val="24"/>
        </w:rPr>
        <w:t>16) and a $7</w:t>
      </w:r>
      <w:r w:rsidRPr="00A8068F">
        <w:rPr>
          <w:color w:val="auto"/>
          <w:szCs w:val="24"/>
        </w:rPr>
        <w:t xml:space="preserve">.7 billion decrease in the </w:t>
      </w:r>
      <w:r w:rsidR="007945DC">
        <w:rPr>
          <w:color w:val="auto"/>
          <w:szCs w:val="24"/>
        </w:rPr>
        <w:t>e</w:t>
      </w:r>
      <w:r w:rsidRPr="00A8068F">
        <w:rPr>
          <w:color w:val="auto"/>
          <w:szCs w:val="24"/>
        </w:rPr>
        <w:t xml:space="preserve">lectricity and gas sector, </w:t>
      </w:r>
      <w:r>
        <w:rPr>
          <w:color w:val="auto"/>
          <w:szCs w:val="24"/>
        </w:rPr>
        <w:t xml:space="preserve">only </w:t>
      </w:r>
      <w:r w:rsidRPr="00A8068F">
        <w:rPr>
          <w:color w:val="auto"/>
          <w:szCs w:val="24"/>
        </w:rPr>
        <w:t>pa</w:t>
      </w:r>
      <w:r>
        <w:rPr>
          <w:color w:val="auto"/>
          <w:szCs w:val="24"/>
        </w:rPr>
        <w:t xml:space="preserve">rtly offset by an increase of $800 million in the </w:t>
      </w:r>
      <w:r w:rsidR="007945DC">
        <w:rPr>
          <w:color w:val="auto"/>
          <w:szCs w:val="24"/>
        </w:rPr>
        <w:t>w</w:t>
      </w:r>
      <w:r>
        <w:rPr>
          <w:color w:val="auto"/>
          <w:szCs w:val="24"/>
        </w:rPr>
        <w:t>ater, sewerage and waste disposal</w:t>
      </w:r>
      <w:r w:rsidRPr="00A8068F">
        <w:rPr>
          <w:color w:val="auto"/>
          <w:szCs w:val="24"/>
        </w:rPr>
        <w:t xml:space="preserve"> sector.</w:t>
      </w:r>
    </w:p>
    <w:p w14:paraId="390AC1BE" w14:textId="1208545D" w:rsidR="002979C4" w:rsidRPr="002979C4" w:rsidRDefault="002979C4" w:rsidP="002979C4">
      <w:pPr>
        <w:pStyle w:val="TableHeading"/>
      </w:pPr>
      <w:r>
        <w:t>Table 4</w:t>
      </w:r>
      <w:r w:rsidR="00FD0D0B" w:rsidRPr="002979C4">
        <w:t>.5: Manufacturing, electricity and gas sector approvals: 201</w:t>
      </w:r>
      <w:r>
        <w:t>3</w:t>
      </w:r>
      <w:r w:rsidR="00FE56B8">
        <w:t>–</w:t>
      </w:r>
      <w:r w:rsidR="00FD0D0B" w:rsidRPr="002979C4">
        <w:t>1</w:t>
      </w:r>
      <w:r>
        <w:t>4</w:t>
      </w:r>
      <w:r w:rsidR="00FD0D0B" w:rsidRPr="002979C4">
        <w:t xml:space="preserve"> to 201</w:t>
      </w:r>
      <w:r>
        <w:t>6</w:t>
      </w:r>
      <w:r w:rsidR="00FE56B8">
        <w:t>–</w:t>
      </w:r>
      <w:r w:rsidR="00FD0D0B" w:rsidRPr="002979C4">
        <w:t>1</w:t>
      </w:r>
      <w:r>
        <w:t>7</w:t>
      </w:r>
      <w:bookmarkStart w:id="168" w:name="_1548074926"/>
      <w:bookmarkEnd w:id="168"/>
      <w:r>
        <w:fldChar w:fldCharType="begin"/>
      </w:r>
      <w:r>
        <w:instrText xml:space="preserve"> LINK Excel.Sheet.12 "http://tweb/sites/mg/fitpd/Lfirbannualrport/2016-17/Data%20Tables/Report%20tables/Table%204.5-Manufacturing%20sector%20approvals.xlsx" "Final Table!R2C1:R9C16" \a \f 4 \h  \* MERGEFORMAT </w:instrText>
      </w:r>
      <w:r>
        <w:fldChar w:fldCharType="separate"/>
      </w:r>
    </w:p>
    <w:p w14:paraId="167C6698" w14:textId="77F9E644" w:rsidR="00FD0D0B" w:rsidRPr="00EA22C3" w:rsidRDefault="002979C4" w:rsidP="0073309C">
      <w:pPr>
        <w:pStyle w:val="TableGraphic"/>
        <w:rPr>
          <w:color w:val="auto"/>
        </w:rPr>
      </w:pPr>
      <w:r>
        <w:fldChar w:fldCharType="end"/>
      </w:r>
      <w:r w:rsidR="0073309C">
        <w:object w:dxaOrig="7691" w:dyaOrig="3385" w14:anchorId="00D8F5B6">
          <v:shape id="_x0000_i1029" type="#_x0000_t75" style="width:385.15pt;height:174.55pt" o:ole="">
            <v:imagedata r:id="rId69" o:title=""/>
            <o:lock v:ext="edit" aspectratio="f"/>
          </v:shape>
          <o:OLEObject Type="Link" ProgID="Excel.Sheet.12" ShapeID="_x0000_i1029" DrawAspect="Content" r:id="rId70" UpdateMode="Always">
            <o:LinkType>EnhancedMetaFile</o:LinkType>
            <o:LockedField/>
          </o:OLEObject>
        </w:object>
      </w:r>
      <w:r w:rsidR="00FD0D0B" w:rsidRPr="00EA22C3">
        <w:fldChar w:fldCharType="begin"/>
      </w:r>
      <w:r w:rsidR="00FD0D0B" w:rsidRPr="00EA22C3">
        <w:instrText xml:space="preserve"> LINK Excel.Sheet.12 "http://tweb/sites/mg/fitpd/FIRB/Annual Report (written only)/2014-15/Data - Charts and Tables/2014-15 Table 2.5.xlsx" Sheet1!R3C1:R11C3 \a \f 4 \h  \* MERGEFORMAT </w:instrText>
      </w:r>
      <w:r w:rsidR="00FD0D0B" w:rsidRPr="00EA22C3">
        <w:fldChar w:fldCharType="separate"/>
      </w:r>
      <w:bookmarkStart w:id="169" w:name="_1548075111"/>
      <w:bookmarkEnd w:id="169"/>
    </w:p>
    <w:p w14:paraId="3D788818" w14:textId="77777777" w:rsidR="00FD0D0B" w:rsidRPr="002A2C33" w:rsidRDefault="00FD0D0B" w:rsidP="00B82F4F">
      <w:pPr>
        <w:pStyle w:val="ChartandTableFootnoteAlpha"/>
        <w:numPr>
          <w:ilvl w:val="0"/>
          <w:numId w:val="14"/>
        </w:numPr>
      </w:pPr>
      <w:r w:rsidRPr="00EA22C3">
        <w:fldChar w:fldCharType="end"/>
      </w:r>
      <w:r w:rsidRPr="002A2C33">
        <w:t>Comprises: textile, leather, clothing and footwear; polymer product and rubber products; primary metal and metal product; fabricated metal products; transport equipment; machinery and equipment; and furniture manufacturing.</w:t>
      </w:r>
    </w:p>
    <w:p w14:paraId="5409E75F" w14:textId="490609AB" w:rsidR="00FD0D0B" w:rsidRPr="002A2C33" w:rsidRDefault="00FD0D0B" w:rsidP="00FD0D0B">
      <w:pPr>
        <w:pStyle w:val="StyleChartorTableNoteLeft0cmHanging1cm"/>
      </w:pPr>
      <w:r w:rsidRPr="002A2C33">
        <w:t>Note</w:t>
      </w:r>
      <w:r w:rsidR="00EA22C3" w:rsidRPr="002A2C33">
        <w:t>s</w:t>
      </w:r>
      <w:r w:rsidRPr="002A2C33">
        <w:t>:</w:t>
      </w:r>
      <w:r w:rsidRPr="002A2C33">
        <w:tab/>
        <w:t>Totals may not add due to rounding.</w:t>
      </w:r>
      <w:r w:rsidR="000D1138" w:rsidRPr="002A2C33">
        <w:t xml:space="preserve"> </w:t>
      </w:r>
      <w:proofErr w:type="gramStart"/>
      <w:r w:rsidR="000D1138" w:rsidRPr="002A2C33">
        <w:t>Excludes corporate reorganisations.</w:t>
      </w:r>
      <w:proofErr w:type="gramEnd"/>
    </w:p>
    <w:p w14:paraId="1CA67575" w14:textId="620359DA" w:rsidR="00B03F9B" w:rsidRDefault="00B03F9B">
      <w:pPr>
        <w:spacing w:after="200" w:line="276" w:lineRule="auto"/>
        <w:jc w:val="left"/>
        <w:rPr>
          <w:rFonts w:cs="Arial"/>
          <w:b/>
          <w:bCs/>
          <w:color w:val="4F81BD"/>
          <w:sz w:val="22"/>
          <w:szCs w:val="26"/>
        </w:rPr>
      </w:pPr>
      <w:r>
        <w:rPr>
          <w:rFonts w:cs="Arial"/>
          <w:b/>
          <w:bCs/>
          <w:color w:val="4F81BD"/>
          <w:sz w:val="22"/>
          <w:szCs w:val="26"/>
        </w:rPr>
        <w:br w:type="page"/>
      </w:r>
    </w:p>
    <w:p w14:paraId="38F4CB11" w14:textId="77777777" w:rsidR="00FD0D0B" w:rsidRPr="002A7978" w:rsidRDefault="00FD0D0B" w:rsidP="00FD0D0B">
      <w:pPr>
        <w:pStyle w:val="Heading3"/>
        <w:spacing w:before="240"/>
        <w:rPr>
          <w:rFonts w:asciiTheme="minorHAnsi" w:hAnsiTheme="minorHAnsi"/>
          <w:smallCaps/>
        </w:rPr>
      </w:pPr>
      <w:r w:rsidRPr="002A7978">
        <w:rPr>
          <w:rFonts w:asciiTheme="minorHAnsi" w:hAnsiTheme="minorHAnsi"/>
        </w:rPr>
        <w:lastRenderedPageBreak/>
        <w:t>Mineral exploration and development</w:t>
      </w:r>
    </w:p>
    <w:p w14:paraId="221F228B" w14:textId="7FD8EED4" w:rsidR="00FD0D0B" w:rsidRPr="00797680" w:rsidRDefault="00FD0D0B" w:rsidP="00FD0D0B">
      <w:pPr>
        <w:rPr>
          <w:color w:val="auto"/>
          <w:szCs w:val="24"/>
        </w:rPr>
      </w:pPr>
      <w:r w:rsidRPr="002A7978">
        <w:rPr>
          <w:noProof/>
          <w:color w:val="auto"/>
          <w:szCs w:val="24"/>
        </w:rPr>
        <mc:AlternateContent>
          <mc:Choice Requires="wpc">
            <w:drawing>
              <wp:anchor distT="0" distB="0" distL="114300" distR="114300" simplePos="0" relativeHeight="251658253" behindDoc="1" locked="0" layoutInCell="1" allowOverlap="1" wp14:anchorId="668877C7" wp14:editId="70988FE1">
                <wp:simplePos x="0" y="0"/>
                <wp:positionH relativeFrom="margin">
                  <wp:align>left</wp:align>
                </wp:positionH>
                <wp:positionV relativeFrom="paragraph">
                  <wp:posOffset>51435</wp:posOffset>
                </wp:positionV>
                <wp:extent cx="972000" cy="968400"/>
                <wp:effectExtent l="0" t="0" r="19050" b="3175"/>
                <wp:wrapSquare wrapText="bothSides"/>
                <wp:docPr id="50" name="Canvas 50"/>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47" name="Oval 47"/>
                        <wps:cNvSpPr>
                          <a:spLocks noChangeAspect="1"/>
                        </wps:cNvSpPr>
                        <wps:spPr>
                          <a:xfrm>
                            <a:off x="31246" y="0"/>
                            <a:ext cx="936000" cy="936000"/>
                          </a:xfrm>
                          <a:prstGeom prst="ellipse">
                            <a:avLst/>
                          </a:prstGeom>
                          <a:solidFill>
                            <a:srgbClr val="155A76"/>
                          </a:solidFill>
                          <a:ln w="25400" cap="flat" cmpd="sng" algn="ctr">
                            <a:solidFill>
                              <a:srgbClr val="008888"/>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 name="Text Box 48"/>
                        <wps:cNvSpPr txBox="1"/>
                        <wps:spPr>
                          <a:xfrm>
                            <a:off x="31246" y="144576"/>
                            <a:ext cx="936000" cy="793679"/>
                          </a:xfrm>
                          <a:prstGeom prst="rect">
                            <a:avLst/>
                          </a:prstGeom>
                          <a:noFill/>
                          <a:ln w="6350">
                            <a:noFill/>
                          </a:ln>
                          <a:effectLst/>
                        </wps:spPr>
                        <wps:txbx>
                          <w:txbxContent>
                            <w:p w14:paraId="4525CBFB" w14:textId="77777777" w:rsidR="00AE54F4" w:rsidRPr="00D8391B" w:rsidRDefault="00AE54F4" w:rsidP="00FD0D0B">
                              <w:pPr>
                                <w:spacing w:after="0"/>
                                <w:jc w:val="center"/>
                                <w:rPr>
                                  <w:b/>
                                  <w:color w:val="FFFFFF" w:themeColor="background1"/>
                                  <w:sz w:val="24"/>
                                </w:rPr>
                              </w:pPr>
                              <w:r w:rsidRPr="00D8391B">
                                <w:rPr>
                                  <w:b/>
                                  <w:color w:val="FFFFFF" w:themeColor="background1"/>
                                  <w:sz w:val="24"/>
                                </w:rPr>
                                <w:t>$</w:t>
                              </w:r>
                              <w:r>
                                <w:rPr>
                                  <w:b/>
                                  <w:color w:val="FFFFFF" w:themeColor="background1"/>
                                  <w:sz w:val="24"/>
                                </w:rPr>
                                <w:t>15.9</w:t>
                              </w:r>
                              <w:r w:rsidRPr="00D8391B">
                                <w:rPr>
                                  <w:b/>
                                  <w:color w:val="FFFFFF" w:themeColor="background1"/>
                                  <w:sz w:val="24"/>
                                </w:rPr>
                                <w:t>b</w:t>
                              </w:r>
                            </w:p>
                            <w:p w14:paraId="560F2EE7" w14:textId="77777777" w:rsidR="00AE54F4" w:rsidRPr="00D8391B" w:rsidRDefault="00AE54F4" w:rsidP="00FD0D0B">
                              <w:pPr>
                                <w:spacing w:after="0"/>
                                <w:jc w:val="center"/>
                                <w:rPr>
                                  <w:b/>
                                  <w:color w:val="FFFFFF" w:themeColor="background1"/>
                                  <w:sz w:val="24"/>
                                </w:rPr>
                              </w:pPr>
                              <w:proofErr w:type="gramStart"/>
                              <w:r w:rsidRPr="00D8391B">
                                <w:rPr>
                                  <w:b/>
                                  <w:color w:val="FFFFFF" w:themeColor="background1"/>
                                  <w:sz w:val="24"/>
                                </w:rPr>
                                <w:t>approved</w:t>
                              </w:r>
                              <w:proofErr w:type="gramEnd"/>
                            </w:p>
                            <w:p w14:paraId="1F874224" w14:textId="77777777" w:rsidR="00AE54F4" w:rsidRPr="001628FF" w:rsidRDefault="00AE54F4" w:rsidP="00FD0D0B">
                              <w:pPr>
                                <w:jc w:val="center"/>
                                <w:rPr>
                                  <w:sz w:val="24"/>
                                </w:rPr>
                              </w:pPr>
                              <w:proofErr w:type="gramStart"/>
                              <w:r w:rsidRPr="00D8391B">
                                <w:rPr>
                                  <w:b/>
                                  <w:color w:val="FFFFFF" w:themeColor="background1"/>
                                  <w:sz w:val="24"/>
                                </w:rPr>
                                <w:t>investment</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c:wpc>
                  </a:graphicData>
                </a:graphic>
                <wp14:sizeRelH relativeFrom="page">
                  <wp14:pctWidth>0</wp14:pctWidth>
                </wp14:sizeRelH>
                <wp14:sizeRelV relativeFrom="page">
                  <wp14:pctHeight>0</wp14:pctHeight>
                </wp14:sizeRelV>
              </wp:anchor>
            </w:drawing>
          </mc:Choice>
          <mc:Fallback>
            <w:pict>
              <v:group id="Canvas 50" o:spid="_x0000_s1042" editas="canvas" style="position:absolute;left:0;text-align:left;margin-left:0;margin-top:4.05pt;width:76.55pt;height:76.25pt;z-index:-251658227;mso-position-horizontal:left;mso-position-horizontal-relative:margin;mso-position-vertical-relative:text" coordsize="9715,96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">
                <v:shape id="_x0000_s1043" type="#_x0000_t75" style="position:absolute;width:9715;height:9683;visibility:visible;mso-wrap-style:square">
                  <v:fill o:detectmouseclick="t"/>
                  <v:path o:connecttype="none"/>
                </v:shape>
                <v:oval id="Oval 47" o:spid="_x0000_s1044" style="position:absolute;left:312;width:9360;height:93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ighMMA&#10;AADbAAAADwAAAGRycy9kb3ducmV2LnhtbESPQYvCMBSE74L/IbyFvYimuqJSjSKisCx4sBa8Pptn&#10;W7Z5KU2q3X+/EQSPw8x8w6w2nanEnRpXWlYwHkUgiDOrS84VpOfDcAHCeWSNlWVS8EcONut+b4Wx&#10;tg8+0T3xuQgQdjEqKLyvYyldVpBBN7I1cfButjHog2xyqRt8BLip5CSKZtJgyWGhwJp2BWW/SWsU&#10;HNN2f42mafdzsdViP/Ffh0HLSn1+dNslCE+df4df7W+tYDqH55fwA+T6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TighMMAAADbAAAADwAAAAAAAAAAAAAAAACYAgAAZHJzL2Rv&#10;d25yZXYueG1sUEsFBgAAAAAEAAQA9QAAAIgDAAAAAA==&#10;" fillcolor="#155a76" strokecolor="#088" strokeweight="2pt">
                  <v:path arrowok="t"/>
                  <o:lock v:ext="edit" aspectratio="t"/>
                </v:oval>
                <v:shape id="Text Box 48" o:spid="_x0000_s1045" type="#_x0000_t202" style="position:absolute;left:312;top:1445;width:9360;height:79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I5lMMA&#10;AADbAAAADwAAAGRycy9kb3ducmV2LnhtbERPy2rCQBTdF/yH4Ra6q5NKFYlOQgiIpbQLrZvubjM3&#10;D8zciZkxSf36zkLo8nDe23QyrRiod41lBS/zCARxYXXDlYLT1+55DcJ5ZI2tZVLwSw7SZPawxVjb&#10;kQ80HH0lQgi7GBXU3nexlK6oyaCb2444cKXtDfoA+0rqHscQblq5iKKVNNhwaKixo7ym4ny8GgXv&#10;+e4TDz8Ls761+f6jzLrL6Xup1NPjlG1AeJr8v/juftMKXsPY8CX8AJn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dI5lMMAAADbAAAADwAAAAAAAAAAAAAAAACYAgAAZHJzL2Rv&#10;d25yZXYueG1sUEsFBgAAAAAEAAQA9QAAAIgDAAAAAA==&#10;" filled="f" stroked="f" strokeweight=".5pt">
                  <v:textbox>
                    <w:txbxContent>
                      <w:p w14:paraId="4525CBFB" w14:textId="77777777" w:rsidR="00AE54F4" w:rsidRPr="00D8391B" w:rsidRDefault="00AE54F4" w:rsidP="00FD0D0B">
                        <w:pPr>
                          <w:spacing w:after="0"/>
                          <w:jc w:val="center"/>
                          <w:rPr>
                            <w:b/>
                            <w:color w:val="FFFFFF" w:themeColor="background1"/>
                            <w:sz w:val="24"/>
                          </w:rPr>
                        </w:pPr>
                        <w:r w:rsidRPr="00D8391B">
                          <w:rPr>
                            <w:b/>
                            <w:color w:val="FFFFFF" w:themeColor="background1"/>
                            <w:sz w:val="24"/>
                          </w:rPr>
                          <w:t>$</w:t>
                        </w:r>
                        <w:r>
                          <w:rPr>
                            <w:b/>
                            <w:color w:val="FFFFFF" w:themeColor="background1"/>
                            <w:sz w:val="24"/>
                          </w:rPr>
                          <w:t>15.9</w:t>
                        </w:r>
                        <w:r w:rsidRPr="00D8391B">
                          <w:rPr>
                            <w:b/>
                            <w:color w:val="FFFFFF" w:themeColor="background1"/>
                            <w:sz w:val="24"/>
                          </w:rPr>
                          <w:t>b</w:t>
                        </w:r>
                      </w:p>
                      <w:p w14:paraId="560F2EE7" w14:textId="77777777" w:rsidR="00AE54F4" w:rsidRPr="00D8391B" w:rsidRDefault="00AE54F4" w:rsidP="00FD0D0B">
                        <w:pPr>
                          <w:spacing w:after="0"/>
                          <w:jc w:val="center"/>
                          <w:rPr>
                            <w:b/>
                            <w:color w:val="FFFFFF" w:themeColor="background1"/>
                            <w:sz w:val="24"/>
                          </w:rPr>
                        </w:pPr>
                        <w:proofErr w:type="gramStart"/>
                        <w:r w:rsidRPr="00D8391B">
                          <w:rPr>
                            <w:b/>
                            <w:color w:val="FFFFFF" w:themeColor="background1"/>
                            <w:sz w:val="24"/>
                          </w:rPr>
                          <w:t>approved</w:t>
                        </w:r>
                        <w:proofErr w:type="gramEnd"/>
                      </w:p>
                      <w:p w14:paraId="1F874224" w14:textId="77777777" w:rsidR="00AE54F4" w:rsidRPr="001628FF" w:rsidRDefault="00AE54F4" w:rsidP="00FD0D0B">
                        <w:pPr>
                          <w:jc w:val="center"/>
                          <w:rPr>
                            <w:sz w:val="24"/>
                          </w:rPr>
                        </w:pPr>
                        <w:proofErr w:type="gramStart"/>
                        <w:r w:rsidRPr="00D8391B">
                          <w:rPr>
                            <w:b/>
                            <w:color w:val="FFFFFF" w:themeColor="background1"/>
                            <w:sz w:val="24"/>
                          </w:rPr>
                          <w:t>investment</w:t>
                        </w:r>
                        <w:proofErr w:type="gramEnd"/>
                      </w:p>
                    </w:txbxContent>
                  </v:textbox>
                </v:shape>
                <w10:wrap type="square" anchorx="margin"/>
              </v:group>
            </w:pict>
          </mc:Fallback>
        </mc:AlternateContent>
      </w:r>
      <w:r w:rsidRPr="002A7978">
        <w:rPr>
          <w:color w:val="auto"/>
          <w:szCs w:val="24"/>
        </w:rPr>
        <w:t>There were 142 approvals given in 2016</w:t>
      </w:r>
      <w:r w:rsidR="00CD7E4F">
        <w:rPr>
          <w:color w:val="auto"/>
          <w:szCs w:val="24"/>
        </w:rPr>
        <w:t>–</w:t>
      </w:r>
      <w:r w:rsidRPr="002A7978">
        <w:rPr>
          <w:color w:val="auto"/>
          <w:szCs w:val="24"/>
        </w:rPr>
        <w:t>17 for $15.</w:t>
      </w:r>
      <w:r>
        <w:rPr>
          <w:color w:val="auto"/>
          <w:szCs w:val="24"/>
        </w:rPr>
        <w:t>9</w:t>
      </w:r>
      <w:r w:rsidRPr="002A7978">
        <w:rPr>
          <w:color w:val="auto"/>
          <w:szCs w:val="24"/>
        </w:rPr>
        <w:t xml:space="preserve"> billion of proposed investment in the mineral exploration and development sector. </w:t>
      </w:r>
      <w:r w:rsidR="00DB5C40">
        <w:rPr>
          <w:color w:val="auto"/>
          <w:szCs w:val="24"/>
        </w:rPr>
        <w:t xml:space="preserve">This represents a decrease in the </w:t>
      </w:r>
      <w:r w:rsidRPr="002A7978">
        <w:rPr>
          <w:color w:val="auto"/>
          <w:szCs w:val="24"/>
        </w:rPr>
        <w:t xml:space="preserve">number of approvals </w:t>
      </w:r>
      <w:r w:rsidR="00EA22C3">
        <w:rPr>
          <w:color w:val="auto"/>
          <w:szCs w:val="24"/>
        </w:rPr>
        <w:t>of</w:t>
      </w:r>
      <w:r w:rsidR="00DB5C40">
        <w:rPr>
          <w:color w:val="auto"/>
          <w:szCs w:val="24"/>
        </w:rPr>
        <w:t xml:space="preserve"> 40</w:t>
      </w:r>
      <w:r w:rsidR="00EA22C3" w:rsidRPr="00EA22C3">
        <w:rPr>
          <w:color w:val="auto"/>
        </w:rPr>
        <w:t xml:space="preserve"> </w:t>
      </w:r>
      <w:r w:rsidR="00EA22C3">
        <w:rPr>
          <w:color w:val="auto"/>
        </w:rPr>
        <w:t>from</w:t>
      </w:r>
      <w:r w:rsidR="00EA22C3">
        <w:rPr>
          <w:color w:val="auto"/>
          <w:szCs w:val="24"/>
        </w:rPr>
        <w:t xml:space="preserve"> </w:t>
      </w:r>
      <w:r w:rsidR="00EA22C3" w:rsidRPr="002A7978">
        <w:t>2015</w:t>
      </w:r>
      <w:r w:rsidR="00CD7E4F">
        <w:rPr>
          <w:color w:val="auto"/>
          <w:szCs w:val="24"/>
        </w:rPr>
        <w:t>–</w:t>
      </w:r>
      <w:r w:rsidR="00EA22C3" w:rsidRPr="002A7978">
        <w:rPr>
          <w:color w:val="auto"/>
          <w:szCs w:val="24"/>
        </w:rPr>
        <w:t>16</w:t>
      </w:r>
      <w:r w:rsidR="00DB5C40">
        <w:rPr>
          <w:color w:val="auto"/>
          <w:szCs w:val="24"/>
        </w:rPr>
        <w:t xml:space="preserve">, equivalent to a reduction </w:t>
      </w:r>
      <w:r w:rsidRPr="002A7978">
        <w:rPr>
          <w:color w:val="auto"/>
          <w:szCs w:val="24"/>
        </w:rPr>
        <w:t>of $11.</w:t>
      </w:r>
      <w:r>
        <w:rPr>
          <w:color w:val="auto"/>
          <w:szCs w:val="24"/>
        </w:rPr>
        <w:t>7</w:t>
      </w:r>
      <w:r w:rsidRPr="002A7978">
        <w:rPr>
          <w:color w:val="auto"/>
          <w:szCs w:val="24"/>
        </w:rPr>
        <w:t xml:space="preserve"> billion </w:t>
      </w:r>
      <w:r w:rsidR="00DB5C40">
        <w:rPr>
          <w:color w:val="auto"/>
          <w:szCs w:val="24"/>
        </w:rPr>
        <w:t>in value</w:t>
      </w:r>
      <w:r>
        <w:rPr>
          <w:color w:val="auto"/>
          <w:szCs w:val="24"/>
        </w:rPr>
        <w:t xml:space="preserve">. The </w:t>
      </w:r>
      <w:r w:rsidR="00DB5C40">
        <w:rPr>
          <w:color w:val="auto"/>
          <w:szCs w:val="24"/>
        </w:rPr>
        <w:t xml:space="preserve">decrease </w:t>
      </w:r>
      <w:r w:rsidR="001B5886">
        <w:rPr>
          <w:color w:val="auto"/>
          <w:szCs w:val="24"/>
        </w:rPr>
        <w:t>reflects</w:t>
      </w:r>
      <w:r>
        <w:rPr>
          <w:color w:val="auto"/>
          <w:szCs w:val="24"/>
        </w:rPr>
        <w:t xml:space="preserve"> a $19.6 billion fall in approvals for oil and gas</w:t>
      </w:r>
      <w:r w:rsidR="00DB5C40">
        <w:rPr>
          <w:color w:val="auto"/>
          <w:szCs w:val="24"/>
        </w:rPr>
        <w:t>. The</w:t>
      </w:r>
      <w:r w:rsidRPr="00797680">
        <w:rPr>
          <w:color w:val="auto"/>
          <w:szCs w:val="24"/>
        </w:rPr>
        <w:t xml:space="preserve"> 2015</w:t>
      </w:r>
      <w:r w:rsidR="00CD7E4F">
        <w:rPr>
          <w:color w:val="auto"/>
          <w:szCs w:val="24"/>
        </w:rPr>
        <w:t>–</w:t>
      </w:r>
      <w:r w:rsidRPr="00797680">
        <w:rPr>
          <w:color w:val="auto"/>
          <w:szCs w:val="24"/>
        </w:rPr>
        <w:t xml:space="preserve">16 value </w:t>
      </w:r>
      <w:r w:rsidR="00DB5C40">
        <w:rPr>
          <w:color w:val="auto"/>
          <w:szCs w:val="24"/>
        </w:rPr>
        <w:t>was</w:t>
      </w:r>
      <w:r w:rsidRPr="00797680">
        <w:rPr>
          <w:color w:val="auto"/>
          <w:szCs w:val="24"/>
        </w:rPr>
        <w:t xml:space="preserve"> inflated by the Australian component of Royal Dutch Shell’s takeover of BG Group Plc</w:t>
      </w:r>
      <w:r w:rsidRPr="00B3306C">
        <w:rPr>
          <w:color w:val="auto"/>
          <w:szCs w:val="24"/>
        </w:rPr>
        <w:t>.</w:t>
      </w:r>
      <w:r w:rsidR="00DB5C40">
        <w:rPr>
          <w:color w:val="auto"/>
          <w:szCs w:val="24"/>
        </w:rPr>
        <w:t xml:space="preserve"> However, there was</w:t>
      </w:r>
      <w:r w:rsidR="001B5886">
        <w:rPr>
          <w:color w:val="auto"/>
          <w:szCs w:val="24"/>
        </w:rPr>
        <w:t xml:space="preserve"> a $4.0 </w:t>
      </w:r>
      <w:r w:rsidRPr="00B3306C">
        <w:rPr>
          <w:color w:val="auto"/>
          <w:szCs w:val="24"/>
        </w:rPr>
        <w:t>billion increase in the value of coal approvals (reflecting the approved foreign i</w:t>
      </w:r>
      <w:r w:rsidR="001B5886">
        <w:rPr>
          <w:color w:val="auto"/>
          <w:szCs w:val="24"/>
        </w:rPr>
        <w:t xml:space="preserve">nvestment proposal for </w:t>
      </w:r>
      <w:proofErr w:type="spellStart"/>
      <w:r w:rsidR="001B5886">
        <w:rPr>
          <w:color w:val="auto"/>
          <w:szCs w:val="24"/>
        </w:rPr>
        <w:t>Yancoal</w:t>
      </w:r>
      <w:proofErr w:type="spellEnd"/>
      <w:r w:rsidR="001B5886">
        <w:rPr>
          <w:color w:val="auto"/>
          <w:szCs w:val="24"/>
        </w:rPr>
        <w:t>)</w:t>
      </w:r>
      <w:r w:rsidRPr="00B3306C">
        <w:rPr>
          <w:color w:val="auto"/>
          <w:szCs w:val="24"/>
        </w:rPr>
        <w:t xml:space="preserve"> and a</w:t>
      </w:r>
      <w:r>
        <w:rPr>
          <w:color w:val="auto"/>
          <w:szCs w:val="24"/>
        </w:rPr>
        <w:t xml:space="preserve"> $2.6 billion increase in the value of </w:t>
      </w:r>
      <w:r w:rsidR="00564F6C">
        <w:rPr>
          <w:color w:val="auto"/>
          <w:szCs w:val="24"/>
        </w:rPr>
        <w:t>c</w:t>
      </w:r>
      <w:r>
        <w:rPr>
          <w:color w:val="auto"/>
          <w:szCs w:val="24"/>
        </w:rPr>
        <w:t>opper-gold approvals</w:t>
      </w:r>
      <w:r w:rsidRPr="002A7978">
        <w:rPr>
          <w:color w:val="auto"/>
          <w:szCs w:val="24"/>
        </w:rPr>
        <w:t>.</w:t>
      </w:r>
    </w:p>
    <w:p w14:paraId="1F7D0065" w14:textId="2B4A140A" w:rsidR="00FD0D0B" w:rsidRPr="00797680" w:rsidRDefault="00FD0D0B" w:rsidP="00FD0D0B">
      <w:pPr>
        <w:rPr>
          <w:color w:val="auto"/>
          <w:szCs w:val="24"/>
        </w:rPr>
      </w:pPr>
      <w:r>
        <w:rPr>
          <w:color w:val="auto"/>
          <w:szCs w:val="24"/>
        </w:rPr>
        <w:t>T</w:t>
      </w:r>
      <w:r w:rsidRPr="00797680">
        <w:rPr>
          <w:color w:val="auto"/>
          <w:szCs w:val="24"/>
        </w:rPr>
        <w:t>he decline in applications submitted in the min</w:t>
      </w:r>
      <w:r>
        <w:rPr>
          <w:color w:val="auto"/>
          <w:szCs w:val="24"/>
        </w:rPr>
        <w:t>eral</w:t>
      </w:r>
      <w:r w:rsidRPr="00797680">
        <w:rPr>
          <w:color w:val="auto"/>
          <w:szCs w:val="24"/>
        </w:rPr>
        <w:t>, exploration and development sector</w:t>
      </w:r>
      <w:r>
        <w:rPr>
          <w:color w:val="auto"/>
          <w:szCs w:val="24"/>
        </w:rPr>
        <w:t xml:space="preserve"> in recent years</w:t>
      </w:r>
      <w:r w:rsidRPr="00797680">
        <w:rPr>
          <w:color w:val="auto"/>
          <w:szCs w:val="24"/>
        </w:rPr>
        <w:t xml:space="preserve"> is consistent with the broader decline in mining investment in the Australian economy</w:t>
      </w:r>
      <w:r>
        <w:rPr>
          <w:color w:val="auto"/>
          <w:szCs w:val="24"/>
        </w:rPr>
        <w:t xml:space="preserve">, as the economy </w:t>
      </w:r>
      <w:r w:rsidR="001B5886">
        <w:rPr>
          <w:color w:val="auto"/>
          <w:szCs w:val="24"/>
        </w:rPr>
        <w:t xml:space="preserve">shifts away from </w:t>
      </w:r>
      <w:r>
        <w:rPr>
          <w:color w:val="auto"/>
          <w:szCs w:val="24"/>
        </w:rPr>
        <w:t>the investment phase of the mining boom</w:t>
      </w:r>
      <w:r w:rsidR="00FC4F65">
        <w:rPr>
          <w:color w:val="auto"/>
          <w:szCs w:val="24"/>
        </w:rPr>
        <w:t>.</w:t>
      </w:r>
      <w:r>
        <w:rPr>
          <w:color w:val="auto"/>
          <w:szCs w:val="24"/>
        </w:rPr>
        <w:t xml:space="preserve"> </w:t>
      </w:r>
      <w:r w:rsidR="00DC7984">
        <w:rPr>
          <w:color w:val="auto"/>
          <w:szCs w:val="24"/>
        </w:rPr>
        <w:t>A</w:t>
      </w:r>
      <w:r w:rsidRPr="00797680">
        <w:rPr>
          <w:color w:val="auto"/>
          <w:szCs w:val="24"/>
        </w:rPr>
        <w:t xml:space="preserve">pproval values averaged </w:t>
      </w:r>
      <w:r>
        <w:rPr>
          <w:color w:val="auto"/>
          <w:szCs w:val="24"/>
        </w:rPr>
        <w:t xml:space="preserve">around </w:t>
      </w:r>
      <w:r w:rsidRPr="00797680">
        <w:rPr>
          <w:color w:val="auto"/>
          <w:szCs w:val="24"/>
        </w:rPr>
        <w:t xml:space="preserve">$51 billion </w:t>
      </w:r>
      <w:r>
        <w:rPr>
          <w:color w:val="auto"/>
          <w:szCs w:val="24"/>
        </w:rPr>
        <w:t xml:space="preserve">in the three years </w:t>
      </w:r>
      <w:proofErr w:type="gramStart"/>
      <w:r w:rsidRPr="00797680">
        <w:rPr>
          <w:color w:val="auto"/>
          <w:szCs w:val="24"/>
        </w:rPr>
        <w:t>between 2010</w:t>
      </w:r>
      <w:r w:rsidR="00CD7E4F">
        <w:rPr>
          <w:color w:val="auto"/>
          <w:szCs w:val="24"/>
        </w:rPr>
        <w:t>–</w:t>
      </w:r>
      <w:r w:rsidRPr="00797680">
        <w:rPr>
          <w:color w:val="auto"/>
          <w:szCs w:val="24"/>
        </w:rPr>
        <w:t>11</w:t>
      </w:r>
      <w:proofErr w:type="gramEnd"/>
      <w:r w:rsidRPr="00797680">
        <w:rPr>
          <w:color w:val="auto"/>
          <w:szCs w:val="24"/>
        </w:rPr>
        <w:t xml:space="preserve"> and 2012</w:t>
      </w:r>
      <w:r w:rsidR="00CD7E4F">
        <w:rPr>
          <w:color w:val="auto"/>
          <w:szCs w:val="24"/>
        </w:rPr>
        <w:noBreakHyphen/>
      </w:r>
      <w:r w:rsidRPr="00797680">
        <w:rPr>
          <w:color w:val="auto"/>
          <w:szCs w:val="24"/>
        </w:rPr>
        <w:t>13</w:t>
      </w:r>
      <w:r>
        <w:rPr>
          <w:color w:val="auto"/>
          <w:szCs w:val="24"/>
        </w:rPr>
        <w:t xml:space="preserve"> </w:t>
      </w:r>
      <w:r w:rsidR="001B5886">
        <w:rPr>
          <w:color w:val="auto"/>
          <w:szCs w:val="24"/>
        </w:rPr>
        <w:t xml:space="preserve">of </w:t>
      </w:r>
      <w:r>
        <w:rPr>
          <w:color w:val="auto"/>
          <w:szCs w:val="24"/>
        </w:rPr>
        <w:t xml:space="preserve">the </w:t>
      </w:r>
      <w:r w:rsidR="00FC4F65">
        <w:rPr>
          <w:color w:val="auto"/>
          <w:szCs w:val="24"/>
        </w:rPr>
        <w:t>investment</w:t>
      </w:r>
      <w:r>
        <w:rPr>
          <w:color w:val="auto"/>
          <w:szCs w:val="24"/>
        </w:rPr>
        <w:t xml:space="preserve"> phase of the mining boom</w:t>
      </w:r>
      <w:r w:rsidR="001B5886">
        <w:rPr>
          <w:color w:val="auto"/>
          <w:szCs w:val="24"/>
        </w:rPr>
        <w:t>,</w:t>
      </w:r>
      <w:r>
        <w:rPr>
          <w:color w:val="auto"/>
          <w:szCs w:val="24"/>
        </w:rPr>
        <w:t xml:space="preserve"> </w:t>
      </w:r>
      <w:r w:rsidR="00FC4F65">
        <w:rPr>
          <w:color w:val="auto"/>
          <w:szCs w:val="24"/>
        </w:rPr>
        <w:t>relative to</w:t>
      </w:r>
      <w:r>
        <w:rPr>
          <w:color w:val="auto"/>
          <w:szCs w:val="24"/>
        </w:rPr>
        <w:t xml:space="preserve"> </w:t>
      </w:r>
      <w:r w:rsidR="00FC4F65">
        <w:rPr>
          <w:color w:val="auto"/>
          <w:szCs w:val="24"/>
        </w:rPr>
        <w:t>an average of approximately</w:t>
      </w:r>
      <w:r>
        <w:rPr>
          <w:color w:val="auto"/>
          <w:szCs w:val="24"/>
        </w:rPr>
        <w:t xml:space="preserve"> $23</w:t>
      </w:r>
      <w:r w:rsidR="00FC4F65">
        <w:rPr>
          <w:color w:val="auto"/>
          <w:szCs w:val="24"/>
        </w:rPr>
        <w:t> </w:t>
      </w:r>
      <w:r>
        <w:rPr>
          <w:color w:val="auto"/>
          <w:szCs w:val="24"/>
        </w:rPr>
        <w:t>billion in the four years since 2013</w:t>
      </w:r>
      <w:r w:rsidR="00CD7E4F">
        <w:rPr>
          <w:color w:val="auto"/>
          <w:szCs w:val="24"/>
        </w:rPr>
        <w:t>–</w:t>
      </w:r>
      <w:r>
        <w:rPr>
          <w:color w:val="auto"/>
          <w:szCs w:val="24"/>
        </w:rPr>
        <w:t>14</w:t>
      </w:r>
      <w:r w:rsidRPr="00797680">
        <w:rPr>
          <w:color w:val="auto"/>
          <w:szCs w:val="24"/>
        </w:rPr>
        <w:t>.</w:t>
      </w:r>
    </w:p>
    <w:p w14:paraId="4DADE80D" w14:textId="7DE06EC9" w:rsidR="00980705" w:rsidRPr="00980705" w:rsidRDefault="00FD0D0B" w:rsidP="00980705">
      <w:pPr>
        <w:pStyle w:val="TableHeading"/>
      </w:pPr>
      <w:bookmarkStart w:id="170" w:name="_1548074927"/>
      <w:bookmarkEnd w:id="170"/>
      <w:r w:rsidRPr="00980705">
        <w:t xml:space="preserve">Table </w:t>
      </w:r>
      <w:r w:rsidR="001C2112">
        <w:t>4</w:t>
      </w:r>
      <w:r w:rsidRPr="00980705">
        <w:t>.6: Mineral exploration an</w:t>
      </w:r>
      <w:r w:rsidR="001415CF">
        <w:t>d development sector approvals</w:t>
      </w:r>
      <w:proofErr w:type="gramStart"/>
      <w:r w:rsidR="001415CF">
        <w:t>:</w:t>
      </w:r>
      <w:proofErr w:type="gramEnd"/>
      <w:r w:rsidRPr="00980705">
        <w:br/>
        <w:t>201</w:t>
      </w:r>
      <w:r w:rsidR="00177AC5">
        <w:t>3</w:t>
      </w:r>
      <w:r w:rsidR="00FE56B8">
        <w:t>–</w:t>
      </w:r>
      <w:r w:rsidRPr="00980705">
        <w:t>1</w:t>
      </w:r>
      <w:r w:rsidR="00177AC5">
        <w:t>4</w:t>
      </w:r>
      <w:r w:rsidRPr="00980705">
        <w:t xml:space="preserve"> to 201</w:t>
      </w:r>
      <w:r w:rsidR="00177AC5">
        <w:t>6</w:t>
      </w:r>
      <w:r w:rsidR="00FE56B8">
        <w:t>–</w:t>
      </w:r>
      <w:r w:rsidRPr="00980705">
        <w:t>1</w:t>
      </w:r>
      <w:r w:rsidR="00177AC5">
        <w:t>7</w:t>
      </w:r>
      <w:r w:rsidR="00980705">
        <w:fldChar w:fldCharType="begin"/>
      </w:r>
      <w:r w:rsidR="00980705">
        <w:instrText xml:space="preserve"> LINK Excel.Sheet.12 "http://tweb/sites/mg/fitpd/Lfirbannualrport/2016-17/Data%20Tables/Report%20tables/Table%204.6-Mineral%20exploration%20and%20development.xlsx" "Final Table!R3C1:R16C16" \a \f 4 \h  \* MERGEFORMAT </w:instrText>
      </w:r>
      <w:r w:rsidR="00980705">
        <w:fldChar w:fldCharType="separate"/>
      </w:r>
    </w:p>
    <w:p w14:paraId="1B29BDFD" w14:textId="531B1927" w:rsidR="00FD0D0B" w:rsidRPr="00980705" w:rsidRDefault="00980705" w:rsidP="000C2486">
      <w:pPr>
        <w:pStyle w:val="TableGraphic"/>
      </w:pPr>
      <w:r>
        <w:fldChar w:fldCharType="end"/>
      </w:r>
      <w:r w:rsidR="000C2486">
        <w:object w:dxaOrig="7705" w:dyaOrig="4091" w14:anchorId="563DF304">
          <v:shape id="_x0000_i1030" type="#_x0000_t75" style="width:385.8pt;height:211.25pt" o:ole="">
            <v:imagedata r:id="rId71" o:title=""/>
            <o:lock v:ext="edit" aspectratio="f"/>
          </v:shape>
          <o:OLEObject Type="Link" ProgID="Excel.Sheet.12" ShapeID="_x0000_i1030" DrawAspect="Content" r:id="rId72" UpdateMode="Always">
            <o:LinkType>EnhancedMetaFile</o:LinkType>
            <o:LockedField/>
          </o:OLEObject>
        </w:object>
      </w:r>
    </w:p>
    <w:p w14:paraId="2B6A5FCA" w14:textId="77777777" w:rsidR="00FD0D0B" w:rsidRPr="002A2C33" w:rsidRDefault="00FD0D0B" w:rsidP="00B82F4F">
      <w:pPr>
        <w:pStyle w:val="ChartandTableFootnoteAlpha"/>
        <w:numPr>
          <w:ilvl w:val="0"/>
          <w:numId w:val="16"/>
        </w:numPr>
      </w:pPr>
      <w:r w:rsidRPr="002A2C33">
        <w:t>Comprises: exploration and other mining support services; and other non</w:t>
      </w:r>
      <w:r w:rsidRPr="002A2C33">
        <w:noBreakHyphen/>
        <w:t>metallic minerals mining and quarrying.</w:t>
      </w:r>
    </w:p>
    <w:p w14:paraId="4D863F91" w14:textId="59FB5ADB" w:rsidR="00892C26" w:rsidRPr="002A2C33" w:rsidRDefault="00FD0D0B" w:rsidP="00177AC5">
      <w:pPr>
        <w:pStyle w:val="StyleChartorTableNoteLeft0cmHanging1cm"/>
      </w:pPr>
      <w:r w:rsidRPr="002A2C33">
        <w:t>Note</w:t>
      </w:r>
      <w:r w:rsidR="001B5886" w:rsidRPr="002A2C33">
        <w:t>s</w:t>
      </w:r>
      <w:r w:rsidRPr="002A2C33">
        <w:t>:</w:t>
      </w:r>
      <w:r w:rsidRPr="002A2C33">
        <w:tab/>
        <w:t xml:space="preserve">Totals may not add due to rounding. </w:t>
      </w:r>
      <w:proofErr w:type="gramStart"/>
      <w:r w:rsidR="000D1138" w:rsidRPr="002A2C33">
        <w:t>Excludes corporate reorganisations.</w:t>
      </w:r>
      <w:proofErr w:type="gramEnd"/>
    </w:p>
    <w:p w14:paraId="5C58208A" w14:textId="7195D00A" w:rsidR="00FD0D0B" w:rsidRDefault="00FD0D0B">
      <w:pPr>
        <w:spacing w:after="200" w:line="276" w:lineRule="auto"/>
        <w:jc w:val="left"/>
        <w:rPr>
          <w:rFonts w:ascii="Arial" w:eastAsiaTheme="majorEastAsia" w:hAnsi="Arial"/>
          <w:b/>
          <w:smallCaps/>
          <w:color w:val="4F81BD" w:themeColor="accent1"/>
          <w:sz w:val="24"/>
          <w:highlight w:val="yellow"/>
        </w:rPr>
      </w:pPr>
      <w:r w:rsidDel="00892C26">
        <w:rPr>
          <w:rFonts w:eastAsiaTheme="majorEastAsia"/>
          <w:b/>
          <w:smallCaps/>
          <w:color w:val="4F81BD" w:themeColor="accent1"/>
          <w:sz w:val="24"/>
          <w:highlight w:val="yellow"/>
        </w:rPr>
        <w:br w:type="page"/>
      </w:r>
    </w:p>
    <w:p w14:paraId="3BE52846" w14:textId="77777777" w:rsidR="00FD0D0B" w:rsidRPr="009411A7" w:rsidRDefault="00FD0D0B" w:rsidP="00FD0D0B">
      <w:pPr>
        <w:pStyle w:val="Heading3"/>
        <w:spacing w:before="240"/>
        <w:rPr>
          <w:rFonts w:asciiTheme="minorHAnsi" w:hAnsiTheme="minorHAnsi"/>
          <w:smallCaps/>
        </w:rPr>
      </w:pPr>
      <w:r w:rsidRPr="009411A7">
        <w:rPr>
          <w:rFonts w:asciiTheme="minorHAnsi" w:hAnsiTheme="minorHAnsi"/>
        </w:rPr>
        <w:lastRenderedPageBreak/>
        <w:t>Services</w:t>
      </w:r>
    </w:p>
    <w:p w14:paraId="6146CC9C" w14:textId="1249DA16" w:rsidR="00FD0D0B" w:rsidRDefault="00FD0D0B" w:rsidP="00FE56B8">
      <w:pPr>
        <w:spacing w:after="600"/>
        <w:rPr>
          <w:color w:val="auto"/>
          <w:szCs w:val="24"/>
        </w:rPr>
      </w:pPr>
      <w:r w:rsidRPr="00BD4DB6">
        <w:rPr>
          <w:noProof/>
          <w:color w:val="auto"/>
        </w:rPr>
        <mc:AlternateContent>
          <mc:Choice Requires="wpc">
            <w:drawing>
              <wp:anchor distT="0" distB="0" distL="114300" distR="114300" simplePos="0" relativeHeight="251658254" behindDoc="1" locked="0" layoutInCell="1" allowOverlap="1" wp14:anchorId="5D848232" wp14:editId="72D19606">
                <wp:simplePos x="0" y="0"/>
                <wp:positionH relativeFrom="margin">
                  <wp:align>left</wp:align>
                </wp:positionH>
                <wp:positionV relativeFrom="paragraph">
                  <wp:posOffset>67310</wp:posOffset>
                </wp:positionV>
                <wp:extent cx="972000" cy="968400"/>
                <wp:effectExtent l="0" t="0" r="19050" b="3175"/>
                <wp:wrapSquare wrapText="bothSides"/>
                <wp:docPr id="27" name="Canvas 27"/>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a:ln>
                          <a:noFill/>
                        </a:ln>
                      </wpc:whole>
                      <wps:wsp>
                        <wps:cNvPr id="13" name="Oval 13"/>
                        <wps:cNvSpPr/>
                        <wps:spPr>
                          <a:xfrm>
                            <a:off x="37256" y="0"/>
                            <a:ext cx="936000" cy="936000"/>
                          </a:xfrm>
                          <a:prstGeom prst="ellipse">
                            <a:avLst/>
                          </a:prstGeom>
                          <a:solidFill>
                            <a:srgbClr val="155A76"/>
                          </a:solidFill>
                          <a:ln w="25400" cap="flat" cmpd="sng" algn="ctr">
                            <a:solidFill>
                              <a:srgbClr val="008888"/>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 name="Text Box 15"/>
                        <wps:cNvSpPr txBox="1"/>
                        <wps:spPr>
                          <a:xfrm>
                            <a:off x="37257" y="122597"/>
                            <a:ext cx="936000" cy="793679"/>
                          </a:xfrm>
                          <a:prstGeom prst="rect">
                            <a:avLst/>
                          </a:prstGeom>
                          <a:noFill/>
                          <a:ln w="6350">
                            <a:noFill/>
                          </a:ln>
                          <a:effectLst/>
                        </wps:spPr>
                        <wps:txbx>
                          <w:txbxContent>
                            <w:p w14:paraId="7C4E3673" w14:textId="77777777" w:rsidR="00AE54F4" w:rsidRPr="00D8391B" w:rsidRDefault="00AE54F4" w:rsidP="00FD0D0B">
                              <w:pPr>
                                <w:spacing w:after="0"/>
                                <w:jc w:val="center"/>
                                <w:rPr>
                                  <w:b/>
                                  <w:color w:val="FFFFFF" w:themeColor="background1"/>
                                  <w:sz w:val="24"/>
                                </w:rPr>
                              </w:pPr>
                              <w:r w:rsidRPr="00D8391B">
                                <w:rPr>
                                  <w:b/>
                                  <w:color w:val="FFFFFF" w:themeColor="background1"/>
                                  <w:sz w:val="24"/>
                                </w:rPr>
                                <w:t>$</w:t>
                              </w:r>
                              <w:r>
                                <w:rPr>
                                  <w:b/>
                                  <w:color w:val="FFFFFF" w:themeColor="background1"/>
                                  <w:sz w:val="24"/>
                                </w:rPr>
                                <w:t>54.2</w:t>
                              </w:r>
                              <w:r w:rsidRPr="00D8391B">
                                <w:rPr>
                                  <w:b/>
                                  <w:color w:val="FFFFFF" w:themeColor="background1"/>
                                  <w:sz w:val="24"/>
                                </w:rPr>
                                <w:t>b</w:t>
                              </w:r>
                            </w:p>
                            <w:p w14:paraId="5F8BE78A" w14:textId="77777777" w:rsidR="00AE54F4" w:rsidRPr="00D8391B" w:rsidRDefault="00AE54F4" w:rsidP="00FD0D0B">
                              <w:pPr>
                                <w:spacing w:after="0"/>
                                <w:jc w:val="center"/>
                                <w:rPr>
                                  <w:b/>
                                  <w:color w:val="FFFFFF" w:themeColor="background1"/>
                                  <w:sz w:val="24"/>
                                </w:rPr>
                              </w:pPr>
                              <w:proofErr w:type="gramStart"/>
                              <w:r w:rsidRPr="00D8391B">
                                <w:rPr>
                                  <w:b/>
                                  <w:color w:val="FFFFFF" w:themeColor="background1"/>
                                  <w:sz w:val="24"/>
                                </w:rPr>
                                <w:t>approved</w:t>
                              </w:r>
                              <w:proofErr w:type="gramEnd"/>
                            </w:p>
                            <w:p w14:paraId="153E8C73" w14:textId="77777777" w:rsidR="00AE54F4" w:rsidRPr="001628FF" w:rsidRDefault="00AE54F4" w:rsidP="00FD0D0B">
                              <w:pPr>
                                <w:jc w:val="center"/>
                                <w:rPr>
                                  <w:sz w:val="24"/>
                                </w:rPr>
                              </w:pPr>
                              <w:proofErr w:type="gramStart"/>
                              <w:r w:rsidRPr="00D8391B">
                                <w:rPr>
                                  <w:b/>
                                  <w:color w:val="FFFFFF" w:themeColor="background1"/>
                                  <w:sz w:val="24"/>
                                </w:rPr>
                                <w:t>investment</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c:wpc>
                  </a:graphicData>
                </a:graphic>
                <wp14:sizeRelH relativeFrom="page">
                  <wp14:pctWidth>0</wp14:pctWidth>
                </wp14:sizeRelH>
                <wp14:sizeRelV relativeFrom="page">
                  <wp14:pctHeight>0</wp14:pctHeight>
                </wp14:sizeRelV>
              </wp:anchor>
            </w:drawing>
          </mc:Choice>
          <mc:Fallback>
            <w:pict>
              <v:group id="Canvas 27" o:spid="_x0000_s1046" editas="canvas" style="position:absolute;left:0;text-align:left;margin-left:0;margin-top:5.3pt;width:76.55pt;height:76.25pt;z-index:-251658226;mso-position-horizontal:left;mso-position-horizontal-relative:margin;mso-position-vertical-relative:text" coordsize="9715,96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">
                <v:shape id="_x0000_s1047" type="#_x0000_t75" style="position:absolute;width:9715;height:9683;visibility:visible;mso-wrap-style:square">
                  <v:fill o:detectmouseclick="t"/>
                  <v:path o:connecttype="none"/>
                </v:shape>
                <v:oval id="Oval 13" o:spid="_x0000_s1048" style="position:absolute;left:372;width:9360;height:93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MDxcIA&#10;AADbAAAADwAAAGRycy9kb3ducmV2LnhtbERPyWrDMBC9F/IPYgK9lERuWkpwophQEjCllzqh58Ga&#10;2MLWyFiKl7+vCoXe5vHW2WeTbcVAvTeOFTyvExDEpdOGKwXXy3m1BeEDssbWMSmYyUN2WDzsMdVu&#10;5C8ailCJGMI+RQV1CF0qpS9rsujXriOO3M31FkOEfSV1j2MMt63cJMmbtGg4NtTY0XtNZVPcrQLz&#10;2pTX5rsbPuYnf8k/cTiZ4qbU43I67kAEmsK/+M+d6zj/BX5/iQfIw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wPFwgAAANsAAAAPAAAAAAAAAAAAAAAAAJgCAABkcnMvZG93&#10;bnJldi54bWxQSwUGAAAAAAQABAD1AAAAhwMAAAAA&#10;" fillcolor="#155a76" strokecolor="#088" strokeweight="2pt"/>
                <v:shape id="Text Box 15" o:spid="_x0000_s1049" type="#_x0000_t202" style="position:absolute;left:372;top:1225;width:9360;height:79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C5F8IA&#10;AADbAAAADwAAAGRycy9kb3ducmV2LnhtbERPS4vCMBC+L/gfwgje1nQFRbqmRQqiiHvwcfE224xt&#10;2WZSm6h1f70RBG/z8T1nlnamFldqXWVZwdcwAkGcW11xoeCwX3xOQTiPrLG2TAru5CBNeh8zjLW9&#10;8ZauO1+IEMIuRgWl900spctLMuiGtiEO3Mm2Bn2AbSF1i7cQbmo5iqKJNFhxaCixoayk/G93MQrW&#10;2eIHt78jM/2vs+XmNG/Oh+NYqUG/m3+D8NT5t/jlXukwfwzPX8IBMnk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YLkXwgAAANsAAAAPAAAAAAAAAAAAAAAAAJgCAABkcnMvZG93&#10;bnJldi54bWxQSwUGAAAAAAQABAD1AAAAhwMAAAAA&#10;" filled="f" stroked="f" strokeweight=".5pt">
                  <v:textbox>
                    <w:txbxContent>
                      <w:p w14:paraId="7C4E3673" w14:textId="77777777" w:rsidR="00AE54F4" w:rsidRPr="00D8391B" w:rsidRDefault="00AE54F4" w:rsidP="00FD0D0B">
                        <w:pPr>
                          <w:spacing w:after="0"/>
                          <w:jc w:val="center"/>
                          <w:rPr>
                            <w:b/>
                            <w:color w:val="FFFFFF" w:themeColor="background1"/>
                            <w:sz w:val="24"/>
                          </w:rPr>
                        </w:pPr>
                        <w:r w:rsidRPr="00D8391B">
                          <w:rPr>
                            <w:b/>
                            <w:color w:val="FFFFFF" w:themeColor="background1"/>
                            <w:sz w:val="24"/>
                          </w:rPr>
                          <w:t>$</w:t>
                        </w:r>
                        <w:r>
                          <w:rPr>
                            <w:b/>
                            <w:color w:val="FFFFFF" w:themeColor="background1"/>
                            <w:sz w:val="24"/>
                          </w:rPr>
                          <w:t>54.2</w:t>
                        </w:r>
                        <w:r w:rsidRPr="00D8391B">
                          <w:rPr>
                            <w:b/>
                            <w:color w:val="FFFFFF" w:themeColor="background1"/>
                            <w:sz w:val="24"/>
                          </w:rPr>
                          <w:t>b</w:t>
                        </w:r>
                      </w:p>
                      <w:p w14:paraId="5F8BE78A" w14:textId="77777777" w:rsidR="00AE54F4" w:rsidRPr="00D8391B" w:rsidRDefault="00AE54F4" w:rsidP="00FD0D0B">
                        <w:pPr>
                          <w:spacing w:after="0"/>
                          <w:jc w:val="center"/>
                          <w:rPr>
                            <w:b/>
                            <w:color w:val="FFFFFF" w:themeColor="background1"/>
                            <w:sz w:val="24"/>
                          </w:rPr>
                        </w:pPr>
                        <w:proofErr w:type="gramStart"/>
                        <w:r w:rsidRPr="00D8391B">
                          <w:rPr>
                            <w:b/>
                            <w:color w:val="FFFFFF" w:themeColor="background1"/>
                            <w:sz w:val="24"/>
                          </w:rPr>
                          <w:t>approved</w:t>
                        </w:r>
                        <w:proofErr w:type="gramEnd"/>
                      </w:p>
                      <w:p w14:paraId="153E8C73" w14:textId="77777777" w:rsidR="00AE54F4" w:rsidRPr="001628FF" w:rsidRDefault="00AE54F4" w:rsidP="00FD0D0B">
                        <w:pPr>
                          <w:jc w:val="center"/>
                          <w:rPr>
                            <w:sz w:val="24"/>
                          </w:rPr>
                        </w:pPr>
                        <w:proofErr w:type="gramStart"/>
                        <w:r w:rsidRPr="00D8391B">
                          <w:rPr>
                            <w:b/>
                            <w:color w:val="FFFFFF" w:themeColor="background1"/>
                            <w:sz w:val="24"/>
                          </w:rPr>
                          <w:t>investment</w:t>
                        </w:r>
                        <w:proofErr w:type="gramEnd"/>
                      </w:p>
                    </w:txbxContent>
                  </v:textbox>
                </v:shape>
                <w10:wrap type="square" anchorx="margin"/>
              </v:group>
            </w:pict>
          </mc:Fallback>
        </mc:AlternateContent>
      </w:r>
      <w:r w:rsidRPr="00BD4DB6">
        <w:rPr>
          <w:color w:val="auto"/>
        </w:rPr>
        <w:t>There were 208 approvals for proposed investment in the services sector in 2016</w:t>
      </w:r>
      <w:r w:rsidR="00CD7E4F">
        <w:rPr>
          <w:color w:val="auto"/>
        </w:rPr>
        <w:t>–</w:t>
      </w:r>
      <w:r w:rsidRPr="00BD4DB6">
        <w:rPr>
          <w:color w:val="auto"/>
        </w:rPr>
        <w:t>17, an increase of 46 approvals on the previous year. The value of approvals increased from $23.2 billion in 2015</w:t>
      </w:r>
      <w:r w:rsidR="00CD7E4F">
        <w:rPr>
          <w:color w:val="auto"/>
        </w:rPr>
        <w:t>–</w:t>
      </w:r>
      <w:r w:rsidRPr="00BD4DB6">
        <w:rPr>
          <w:color w:val="auto"/>
        </w:rPr>
        <w:t>16 to $</w:t>
      </w:r>
      <w:r w:rsidRPr="00BD4DB6">
        <w:rPr>
          <w:color w:val="auto"/>
          <w:szCs w:val="24"/>
        </w:rPr>
        <w:t>54.2</w:t>
      </w:r>
      <w:r w:rsidRPr="00BD4DB6">
        <w:rPr>
          <w:color w:val="auto"/>
        </w:rPr>
        <w:t> billion in 2016</w:t>
      </w:r>
      <w:r w:rsidR="00CD7E4F">
        <w:rPr>
          <w:color w:val="auto"/>
        </w:rPr>
        <w:t>–</w:t>
      </w:r>
      <w:r w:rsidRPr="00BD4DB6">
        <w:rPr>
          <w:color w:val="auto"/>
        </w:rPr>
        <w:t xml:space="preserve">17, the highest value of approvals in the services sector over the last </w:t>
      </w:r>
      <w:r w:rsidRPr="00BD4DB6">
        <w:rPr>
          <w:color w:val="auto"/>
          <w:szCs w:val="24"/>
        </w:rPr>
        <w:t>five</w:t>
      </w:r>
      <w:r w:rsidRPr="00BD4DB6">
        <w:rPr>
          <w:color w:val="auto"/>
        </w:rPr>
        <w:t xml:space="preserve"> years.</w:t>
      </w:r>
    </w:p>
    <w:p w14:paraId="74246BF0" w14:textId="69BF6ACC" w:rsidR="00FD0D0B" w:rsidRDefault="00FD0D0B" w:rsidP="00FD0D0B">
      <w:pPr>
        <w:rPr>
          <w:color w:val="auto"/>
          <w:szCs w:val="24"/>
        </w:rPr>
      </w:pPr>
      <w:r w:rsidRPr="000E22BE">
        <w:rPr>
          <w:color w:val="auto"/>
        </w:rPr>
        <w:t xml:space="preserve">The </w:t>
      </w:r>
      <w:r w:rsidRPr="000E22BE">
        <w:rPr>
          <w:color w:val="auto"/>
          <w:szCs w:val="24"/>
        </w:rPr>
        <w:t>services sector approval</w:t>
      </w:r>
      <w:r w:rsidR="00BA3522">
        <w:rPr>
          <w:color w:val="auto"/>
          <w:szCs w:val="24"/>
        </w:rPr>
        <w:t>s</w:t>
      </w:r>
      <w:r w:rsidRPr="000E22BE">
        <w:rPr>
          <w:color w:val="auto"/>
          <w:szCs w:val="24"/>
        </w:rPr>
        <w:t xml:space="preserve"> data is typically affected by large one</w:t>
      </w:r>
      <w:r w:rsidRPr="000E22BE">
        <w:rPr>
          <w:color w:val="auto"/>
          <w:szCs w:val="24"/>
        </w:rPr>
        <w:noBreakHyphen/>
        <w:t>off transactions. For example</w:t>
      </w:r>
      <w:r>
        <w:rPr>
          <w:color w:val="auto"/>
          <w:szCs w:val="24"/>
        </w:rPr>
        <w:t>, t</w:t>
      </w:r>
      <w:r w:rsidRPr="000E22BE">
        <w:rPr>
          <w:color w:val="auto"/>
          <w:szCs w:val="24"/>
        </w:rPr>
        <w:t xml:space="preserve">he </w:t>
      </w:r>
      <w:r w:rsidRPr="000E22BE">
        <w:rPr>
          <w:color w:val="auto"/>
        </w:rPr>
        <w:t xml:space="preserve">rise in the value of </w:t>
      </w:r>
      <w:r w:rsidRPr="000E22BE">
        <w:rPr>
          <w:color w:val="auto"/>
          <w:szCs w:val="24"/>
        </w:rPr>
        <w:t xml:space="preserve">proposed investment </w:t>
      </w:r>
      <w:r w:rsidRPr="000E22BE">
        <w:rPr>
          <w:color w:val="auto"/>
        </w:rPr>
        <w:t xml:space="preserve">approvals </w:t>
      </w:r>
      <w:r>
        <w:rPr>
          <w:color w:val="auto"/>
          <w:szCs w:val="24"/>
        </w:rPr>
        <w:t xml:space="preserve">in this sector </w:t>
      </w:r>
      <w:r w:rsidRPr="000E22BE">
        <w:rPr>
          <w:color w:val="auto"/>
        </w:rPr>
        <w:t xml:space="preserve">was driven by a $25.1 billion increase in the value </w:t>
      </w:r>
      <w:r w:rsidR="004603BB">
        <w:rPr>
          <w:color w:val="auto"/>
        </w:rPr>
        <w:t>of</w:t>
      </w:r>
      <w:r w:rsidRPr="000E22BE">
        <w:rPr>
          <w:color w:val="auto"/>
        </w:rPr>
        <w:t xml:space="preserve"> </w:t>
      </w:r>
      <w:r w:rsidR="001B5886">
        <w:rPr>
          <w:color w:val="auto"/>
        </w:rPr>
        <w:t xml:space="preserve">approvals in </w:t>
      </w:r>
      <w:r w:rsidRPr="000E22BE">
        <w:rPr>
          <w:color w:val="auto"/>
        </w:rPr>
        <w:t xml:space="preserve">the transport services sector, </w:t>
      </w:r>
      <w:r>
        <w:rPr>
          <w:color w:val="auto"/>
          <w:szCs w:val="24"/>
        </w:rPr>
        <w:t xml:space="preserve">largely </w:t>
      </w:r>
      <w:r w:rsidR="004603BB">
        <w:rPr>
          <w:color w:val="auto"/>
          <w:szCs w:val="24"/>
        </w:rPr>
        <w:t>attributable</w:t>
      </w:r>
      <w:r>
        <w:rPr>
          <w:color w:val="auto"/>
          <w:szCs w:val="24"/>
        </w:rPr>
        <w:t xml:space="preserve"> to</w:t>
      </w:r>
      <w:r w:rsidRPr="000E22BE">
        <w:rPr>
          <w:color w:val="auto"/>
          <w:szCs w:val="24"/>
        </w:rPr>
        <w:t xml:space="preserve"> </w:t>
      </w:r>
      <w:r w:rsidR="004603BB">
        <w:rPr>
          <w:color w:val="auto"/>
          <w:szCs w:val="24"/>
        </w:rPr>
        <w:t xml:space="preserve">the </w:t>
      </w:r>
      <w:r>
        <w:rPr>
          <w:color w:val="auto"/>
          <w:szCs w:val="24"/>
        </w:rPr>
        <w:t xml:space="preserve">proposed </w:t>
      </w:r>
      <w:r w:rsidRPr="000E22BE">
        <w:rPr>
          <w:color w:val="auto"/>
        </w:rPr>
        <w:t>lease of the Port of Melbourne. The v</w:t>
      </w:r>
      <w:r>
        <w:rPr>
          <w:color w:val="auto"/>
        </w:rPr>
        <w:t xml:space="preserve">alue of approvals also </w:t>
      </w:r>
      <w:r>
        <w:rPr>
          <w:color w:val="auto"/>
          <w:szCs w:val="24"/>
        </w:rPr>
        <w:t>increased</w:t>
      </w:r>
      <w:r w:rsidRPr="000E22BE">
        <w:rPr>
          <w:color w:val="auto"/>
        </w:rPr>
        <w:t xml:space="preserve"> in the construction, trade</w:t>
      </w:r>
      <w:r w:rsidR="001B5886">
        <w:rPr>
          <w:color w:val="auto"/>
        </w:rPr>
        <w:t>,</w:t>
      </w:r>
      <w:r w:rsidRPr="000E22BE">
        <w:rPr>
          <w:color w:val="auto"/>
        </w:rPr>
        <w:t xml:space="preserve"> and </w:t>
      </w:r>
      <w:r w:rsidR="001B5886">
        <w:rPr>
          <w:color w:val="auto"/>
        </w:rPr>
        <w:t xml:space="preserve">the </w:t>
      </w:r>
      <w:r w:rsidRPr="000E22BE">
        <w:rPr>
          <w:color w:val="auto"/>
        </w:rPr>
        <w:t>accommodation, food and beverage sectors.</w:t>
      </w:r>
    </w:p>
    <w:p w14:paraId="344DCC47" w14:textId="290C83DC" w:rsidR="00FD0D0B" w:rsidRPr="000E22BE" w:rsidRDefault="00FD0D0B" w:rsidP="00FD0D0B">
      <w:pPr>
        <w:rPr>
          <w:color w:val="auto"/>
        </w:rPr>
      </w:pPr>
      <w:r w:rsidRPr="000E22BE">
        <w:rPr>
          <w:color w:val="auto"/>
        </w:rPr>
        <w:t xml:space="preserve">The only </w:t>
      </w:r>
      <w:r w:rsidRPr="000E22BE">
        <w:rPr>
          <w:color w:val="auto"/>
          <w:szCs w:val="24"/>
        </w:rPr>
        <w:t xml:space="preserve">two </w:t>
      </w:r>
      <w:r w:rsidRPr="000E22BE">
        <w:rPr>
          <w:color w:val="auto"/>
        </w:rPr>
        <w:t xml:space="preserve">services </w:t>
      </w:r>
      <w:r w:rsidRPr="000E22BE">
        <w:rPr>
          <w:color w:val="auto"/>
          <w:szCs w:val="24"/>
        </w:rPr>
        <w:t xml:space="preserve">sectors (out of seven) </w:t>
      </w:r>
      <w:r w:rsidRPr="000E22BE">
        <w:rPr>
          <w:color w:val="auto"/>
        </w:rPr>
        <w:t xml:space="preserve">in which the value of approvals fell </w:t>
      </w:r>
      <w:r w:rsidR="004603BB">
        <w:rPr>
          <w:color w:val="auto"/>
        </w:rPr>
        <w:t>from 2015</w:t>
      </w:r>
      <w:r w:rsidR="00CD7E4F">
        <w:rPr>
          <w:color w:val="auto"/>
        </w:rPr>
        <w:t>–</w:t>
      </w:r>
      <w:r w:rsidR="004603BB">
        <w:rPr>
          <w:color w:val="auto"/>
        </w:rPr>
        <w:t xml:space="preserve">16 </w:t>
      </w:r>
      <w:r w:rsidR="001B5886">
        <w:rPr>
          <w:color w:val="auto"/>
        </w:rPr>
        <w:t xml:space="preserve">were </w:t>
      </w:r>
      <w:r w:rsidRPr="000E22BE">
        <w:rPr>
          <w:color w:val="auto"/>
        </w:rPr>
        <w:t xml:space="preserve">property and </w:t>
      </w:r>
      <w:r w:rsidRPr="000E22BE">
        <w:rPr>
          <w:color w:val="auto"/>
          <w:szCs w:val="24"/>
        </w:rPr>
        <w:t>businesses</w:t>
      </w:r>
      <w:r w:rsidRPr="000E22BE">
        <w:rPr>
          <w:color w:val="auto"/>
        </w:rPr>
        <w:t xml:space="preserve"> services</w:t>
      </w:r>
      <w:r w:rsidR="00195EAD">
        <w:rPr>
          <w:color w:val="auto"/>
          <w:szCs w:val="24"/>
        </w:rPr>
        <w:t xml:space="preserve">, </w:t>
      </w:r>
      <w:r w:rsidR="001B5886">
        <w:rPr>
          <w:color w:val="auto"/>
          <w:szCs w:val="24"/>
        </w:rPr>
        <w:t>decreasing</w:t>
      </w:r>
      <w:r w:rsidR="00C55A83">
        <w:rPr>
          <w:color w:val="auto"/>
          <w:szCs w:val="24"/>
        </w:rPr>
        <w:t xml:space="preserve"> in value </w:t>
      </w:r>
      <w:r w:rsidR="001B5886">
        <w:rPr>
          <w:color w:val="auto"/>
          <w:szCs w:val="24"/>
        </w:rPr>
        <w:t xml:space="preserve">by </w:t>
      </w:r>
      <w:r w:rsidRPr="000E22BE">
        <w:rPr>
          <w:color w:val="auto"/>
        </w:rPr>
        <w:t>$</w:t>
      </w:r>
      <w:r w:rsidRPr="000E22BE">
        <w:rPr>
          <w:color w:val="auto"/>
          <w:szCs w:val="24"/>
        </w:rPr>
        <w:t>5.5</w:t>
      </w:r>
      <w:r w:rsidRPr="000E22BE">
        <w:rPr>
          <w:color w:val="auto"/>
        </w:rPr>
        <w:t xml:space="preserve"> billion </w:t>
      </w:r>
      <w:r w:rsidR="004603BB">
        <w:rPr>
          <w:color w:val="auto"/>
        </w:rPr>
        <w:t>from</w:t>
      </w:r>
      <w:r w:rsidRPr="000E22BE">
        <w:rPr>
          <w:color w:val="auto"/>
        </w:rPr>
        <w:t xml:space="preserve"> 2015</w:t>
      </w:r>
      <w:r w:rsidR="00CD7E4F">
        <w:rPr>
          <w:color w:val="auto"/>
        </w:rPr>
        <w:t>–</w:t>
      </w:r>
      <w:r w:rsidRPr="000E22BE">
        <w:rPr>
          <w:color w:val="auto"/>
        </w:rPr>
        <w:t>16</w:t>
      </w:r>
      <w:r w:rsidR="001B5886">
        <w:rPr>
          <w:color w:val="auto"/>
          <w:szCs w:val="24"/>
        </w:rPr>
        <w:t xml:space="preserve"> (or 7 </w:t>
      </w:r>
      <w:r w:rsidR="00075C42">
        <w:rPr>
          <w:color w:val="auto"/>
          <w:szCs w:val="24"/>
        </w:rPr>
        <w:t>fewer</w:t>
      </w:r>
      <w:r w:rsidR="00FE5222">
        <w:rPr>
          <w:color w:val="auto"/>
          <w:szCs w:val="24"/>
        </w:rPr>
        <w:t xml:space="preserve"> approvals)</w:t>
      </w:r>
      <w:r w:rsidRPr="000E22BE">
        <w:rPr>
          <w:color w:val="auto"/>
          <w:szCs w:val="24"/>
        </w:rPr>
        <w:t xml:space="preserve"> and the communications sector (down </w:t>
      </w:r>
      <w:r w:rsidR="001B5886">
        <w:rPr>
          <w:color w:val="auto"/>
          <w:szCs w:val="24"/>
        </w:rPr>
        <w:t xml:space="preserve">22 approvals or </w:t>
      </w:r>
      <w:r w:rsidRPr="000E22BE">
        <w:rPr>
          <w:color w:val="auto"/>
          <w:szCs w:val="24"/>
        </w:rPr>
        <w:t>$4.9 billion</w:t>
      </w:r>
      <w:r w:rsidR="004603BB">
        <w:rPr>
          <w:color w:val="auto"/>
          <w:szCs w:val="24"/>
        </w:rPr>
        <w:t xml:space="preserve"> from 2015</w:t>
      </w:r>
      <w:r w:rsidR="00CD7E4F">
        <w:rPr>
          <w:color w:val="auto"/>
          <w:szCs w:val="24"/>
        </w:rPr>
        <w:t>–</w:t>
      </w:r>
      <w:r w:rsidR="004603BB">
        <w:rPr>
          <w:color w:val="auto"/>
          <w:szCs w:val="24"/>
        </w:rPr>
        <w:t>16</w:t>
      </w:r>
      <w:r w:rsidRPr="000E22BE">
        <w:rPr>
          <w:color w:val="auto"/>
          <w:szCs w:val="24"/>
        </w:rPr>
        <w:t>).</w:t>
      </w:r>
    </w:p>
    <w:p w14:paraId="33B8AC25" w14:textId="24EDAA54" w:rsidR="0097767B" w:rsidRDefault="001C2112" w:rsidP="001C2112">
      <w:pPr>
        <w:pStyle w:val="TableHeading"/>
      </w:pPr>
      <w:bookmarkStart w:id="171" w:name="_1548074929"/>
      <w:bookmarkEnd w:id="171"/>
      <w:r>
        <w:t>Table 4</w:t>
      </w:r>
      <w:r w:rsidR="00FD0D0B" w:rsidRPr="001C2112">
        <w:t>.7: Services (excluding tourism) sector approvals: 201</w:t>
      </w:r>
      <w:r>
        <w:t>3</w:t>
      </w:r>
      <w:r w:rsidR="00FE56B8">
        <w:t>–</w:t>
      </w:r>
      <w:r w:rsidR="00FD0D0B" w:rsidRPr="001C2112">
        <w:t>1</w:t>
      </w:r>
      <w:r>
        <w:t>4</w:t>
      </w:r>
      <w:r w:rsidR="00FD0D0B" w:rsidRPr="001C2112">
        <w:t xml:space="preserve"> to 201</w:t>
      </w:r>
      <w:r>
        <w:t>6</w:t>
      </w:r>
      <w:r w:rsidR="00FE56B8">
        <w:t>–</w:t>
      </w:r>
      <w:r w:rsidR="00FD0D0B" w:rsidRPr="001C2112">
        <w:t>1</w:t>
      </w:r>
      <w:r>
        <w:t>7</w:t>
      </w:r>
    </w:p>
    <w:p w14:paraId="78342910" w14:textId="02F86130" w:rsidR="001C2112" w:rsidRPr="001C2112" w:rsidRDefault="00AC607D" w:rsidP="00C75523">
      <w:pPr>
        <w:pStyle w:val="TableGraphic"/>
      </w:pPr>
      <w:r>
        <w:object w:dxaOrig="7593" w:dyaOrig="3911" w14:anchorId="67F76CEA">
          <v:shape id="_x0000_i1031" type="#_x0000_t75" style="width:383.75pt;height:201.05pt" o:ole="">
            <v:imagedata r:id="rId73" o:title=""/>
          </v:shape>
          <o:OLEObject Type="Link" ProgID="Excel.Sheet.12" ShapeID="_x0000_i1031" DrawAspect="Content" r:id="rId74" UpdateMode="Always">
            <o:LinkType>EnhancedMetaFile</o:LinkType>
            <o:LockedField>false</o:LockedField>
          </o:OLEObject>
        </w:object>
      </w:r>
    </w:p>
    <w:p w14:paraId="525E402E" w14:textId="77777777" w:rsidR="00FD0D0B" w:rsidRPr="002A2C33" w:rsidRDefault="00FD0D0B" w:rsidP="00B82F4F">
      <w:pPr>
        <w:pStyle w:val="ChartandTableFootnoteAlpha"/>
        <w:numPr>
          <w:ilvl w:val="0"/>
          <w:numId w:val="15"/>
        </w:numPr>
      </w:pPr>
      <w:r w:rsidRPr="002A2C33">
        <w:t>Comprises: accommodation; food and beverage services.</w:t>
      </w:r>
    </w:p>
    <w:p w14:paraId="04D0FF87" w14:textId="77777777" w:rsidR="00FD0D0B" w:rsidRPr="002A2C33" w:rsidRDefault="00FD0D0B" w:rsidP="002A2C33">
      <w:pPr>
        <w:pStyle w:val="ChartandTableFootnoteAlpha"/>
      </w:pPr>
      <w:r w:rsidRPr="002A2C33">
        <w:t>Comprises: publishing (including internet); motion picture and sound recording activities; broadcasting (including internet); and telecommunication services (including internet).</w:t>
      </w:r>
    </w:p>
    <w:p w14:paraId="60E79736" w14:textId="77777777" w:rsidR="00FD0D0B" w:rsidRPr="002A2C33" w:rsidRDefault="00FD0D0B" w:rsidP="002A2C33">
      <w:pPr>
        <w:pStyle w:val="ChartandTableFootnoteAlpha"/>
      </w:pPr>
      <w:r w:rsidRPr="002A2C33">
        <w:t>Comprises: building construction; heavy and civil engineering construction and services to construction.</w:t>
      </w:r>
    </w:p>
    <w:p w14:paraId="2FA0E329" w14:textId="77777777" w:rsidR="00FD0D0B" w:rsidRPr="002A2C33" w:rsidRDefault="00FD0D0B" w:rsidP="002A2C33">
      <w:pPr>
        <w:pStyle w:val="ChartandTableFootnoteAlpha"/>
      </w:pPr>
      <w:r w:rsidRPr="002A2C33">
        <w:t>Comprises: hospitals; medical and other health care services; residential and social assistance services.</w:t>
      </w:r>
    </w:p>
    <w:p w14:paraId="4A376EFD" w14:textId="77777777" w:rsidR="00FD0D0B" w:rsidRPr="002A2C33" w:rsidRDefault="00FD0D0B" w:rsidP="002A2C33">
      <w:pPr>
        <w:pStyle w:val="ChartandTableFootnoteAlpha"/>
      </w:pPr>
      <w:r w:rsidRPr="002A2C33">
        <w:t>Comprises: property and real estate operators; professional, scientific and technical services; computer system design services; and administrative services.</w:t>
      </w:r>
    </w:p>
    <w:p w14:paraId="4BA9CA9C" w14:textId="77777777" w:rsidR="00FD0D0B" w:rsidRPr="002A2C33" w:rsidRDefault="00FD0D0B" w:rsidP="002A2C33">
      <w:pPr>
        <w:pStyle w:val="ChartandTableFootnoteAlpha"/>
      </w:pPr>
      <w:r w:rsidRPr="002A2C33">
        <w:t xml:space="preserve">Comprises: wholesaling of basic material, machinery and equipment, grocery, liquor and tobacco products; and retailing of fuel, food and other store based retailing. </w:t>
      </w:r>
    </w:p>
    <w:p w14:paraId="4BCE8F53" w14:textId="77777777" w:rsidR="00FD0D0B" w:rsidRPr="002A2C33" w:rsidRDefault="00FD0D0B" w:rsidP="002A2C33">
      <w:pPr>
        <w:pStyle w:val="ChartandTableFootnoteAlpha"/>
      </w:pPr>
      <w:r w:rsidRPr="002A2C33">
        <w:t>Comprises: road, rail, water, air and space, postal and courier (pickup and delivery), warehousing and storage; and transport support services.</w:t>
      </w:r>
    </w:p>
    <w:p w14:paraId="4E5D3606" w14:textId="77777777" w:rsidR="00FD0D0B" w:rsidRPr="002A2C33" w:rsidRDefault="00FD0D0B" w:rsidP="002A2C33">
      <w:pPr>
        <w:pStyle w:val="ChartandTableFootnoteAlpha"/>
      </w:pPr>
      <w:r w:rsidRPr="002A2C33">
        <w:t>Comprises: repair and maintenance; public administration; defence; and education related services.</w:t>
      </w:r>
    </w:p>
    <w:p w14:paraId="3FDACFE5" w14:textId="1AEB5C84" w:rsidR="007F0876" w:rsidRPr="002A2C33" w:rsidRDefault="00FD0D0B" w:rsidP="00FE56B8">
      <w:pPr>
        <w:pStyle w:val="StyleChartorTableNoteLeft0cmHanging1cm"/>
      </w:pPr>
      <w:r w:rsidRPr="002A2C33">
        <w:t>Note:</w:t>
      </w:r>
      <w:r w:rsidRPr="002A2C33">
        <w:tab/>
        <w:t>Totals may not add due to rounding.</w:t>
      </w:r>
      <w:bookmarkStart w:id="172" w:name="_Ref348507478"/>
      <w:r w:rsidR="000D1138" w:rsidRPr="002A2C33">
        <w:t xml:space="preserve"> </w:t>
      </w:r>
      <w:proofErr w:type="gramStart"/>
      <w:r w:rsidR="00C75523" w:rsidRPr="002A2C33">
        <w:t>E</w:t>
      </w:r>
      <w:r w:rsidR="000D1138" w:rsidRPr="002A2C33">
        <w:t>xcludes corporate reorganisations.</w:t>
      </w:r>
      <w:proofErr w:type="gramEnd"/>
    </w:p>
    <w:p w14:paraId="7D7330E0" w14:textId="62800B2A" w:rsidR="00C75523" w:rsidRDefault="00FD0D0B">
      <w:pPr>
        <w:spacing w:after="200" w:line="276" w:lineRule="auto"/>
        <w:jc w:val="left"/>
        <w:rPr>
          <w:rFonts w:ascii="Calibri" w:hAnsi="Calibri" w:cs="Arial"/>
          <w:b/>
          <w:bCs/>
          <w:color w:val="4F81BD"/>
          <w:sz w:val="22"/>
          <w:szCs w:val="26"/>
        </w:rPr>
      </w:pPr>
      <w:r w:rsidRPr="0025623B">
        <w:rPr>
          <w:noProof/>
        </w:rPr>
        <w:lastRenderedPageBreak/>
        <mc:AlternateContent>
          <mc:Choice Requires="wps">
            <w:drawing>
              <wp:anchor distT="0" distB="0" distL="114300" distR="114300" simplePos="0" relativeHeight="251658245" behindDoc="0" locked="0" layoutInCell="1" allowOverlap="1" wp14:anchorId="3A712A7D" wp14:editId="3F50E87D">
                <wp:simplePos x="0" y="0"/>
                <wp:positionH relativeFrom="column">
                  <wp:posOffset>-3810</wp:posOffset>
                </wp:positionH>
                <wp:positionV relativeFrom="paragraph">
                  <wp:posOffset>176530</wp:posOffset>
                </wp:positionV>
                <wp:extent cx="4882515" cy="7616825"/>
                <wp:effectExtent l="0" t="0" r="0" b="3175"/>
                <wp:wrapTopAndBottom/>
                <wp:docPr id="6" name="Snip and Round Single Corner Rectangle 6"/>
                <wp:cNvGraphicFramePr/>
                <a:graphic xmlns:a="http://schemas.openxmlformats.org/drawingml/2006/main">
                  <a:graphicData uri="http://schemas.microsoft.com/office/word/2010/wordprocessingShape">
                    <wps:wsp>
                      <wps:cNvSpPr/>
                      <wps:spPr>
                        <a:xfrm>
                          <a:off x="0" y="0"/>
                          <a:ext cx="4882515" cy="7616825"/>
                        </a:xfrm>
                        <a:prstGeom prst="snipRoundRect">
                          <a:avLst>
                            <a:gd name="adj1" fmla="val 5350"/>
                            <a:gd name="adj2" fmla="val 10562"/>
                          </a:avLst>
                        </a:prstGeom>
                        <a:solidFill>
                          <a:srgbClr val="155A76"/>
                        </a:solidFill>
                        <a:ln w="25400" cap="flat" cmpd="sng" algn="ctr">
                          <a:noFill/>
                          <a:prstDash val="solid"/>
                        </a:ln>
                        <a:effectLst/>
                      </wps:spPr>
                      <wps:txbx>
                        <w:txbxContent>
                          <w:p w14:paraId="28DB9533" w14:textId="650C5606" w:rsidR="00AE54F4" w:rsidRDefault="00AE54F4" w:rsidP="008E38DF">
                            <w:pPr>
                              <w:pStyle w:val="BoxHeading"/>
                            </w:pPr>
                            <w:r>
                              <w:t>Case Study: Port of Melbourne</w:t>
                            </w:r>
                          </w:p>
                          <w:p w14:paraId="7C28C3E1" w14:textId="12FAE31A" w:rsidR="00AE54F4" w:rsidRDefault="00AE54F4" w:rsidP="008E38DF">
                            <w:pPr>
                              <w:pStyle w:val="BoxText"/>
                            </w:pPr>
                            <w:r>
                              <w:t>During 2016–2017, the FIRB considered applications to acquire the 50</w:t>
                            </w:r>
                            <w:r>
                              <w:noBreakHyphen/>
                              <w:t>year lease for the Port of Melbourne. Through early engagement with the relevant Australian Government agencies and the Victorian Government, the privatisation process was completed with the sale ultimately going ahead for a price of $9.7 billion, well above initial forecasts.</w:t>
                            </w:r>
                          </w:p>
                          <w:p w14:paraId="6FB08B48" w14:textId="3CCDB21F" w:rsidR="00AE54F4" w:rsidRDefault="00AE54F4" w:rsidP="008E38DF">
                            <w:pPr>
                              <w:pStyle w:val="BoxText"/>
                            </w:pPr>
                            <w:r>
                              <w:t xml:space="preserve">Close engagement with the Victorian Government supported the implementation of intergovernmental arrangements addressing key national interest issues such as separation and oversight of key port functions and security of port facilities. </w:t>
                            </w:r>
                          </w:p>
                          <w:p w14:paraId="62DC3234" w14:textId="56D05AA4" w:rsidR="00AE54F4" w:rsidRDefault="00AE54F4" w:rsidP="008E38DF">
                            <w:pPr>
                              <w:pStyle w:val="BoxText"/>
                            </w:pPr>
                            <w:r>
                              <w:t>The successful bidder was the Lonsdale Consortium, comprising Australian and foreign interests including the Australian Future Fund, China Investment Corporation, the Canadian-owned Pension Fund OMERS, and pension funds from a variety of countries.</w:t>
                            </w:r>
                          </w:p>
                          <w:p w14:paraId="47673DE8" w14:textId="5356E983" w:rsidR="00AE54F4" w:rsidRDefault="00AE54F4" w:rsidP="008E38DF">
                            <w:pPr>
                              <w:pStyle w:val="BoxText"/>
                            </w:pPr>
                            <w:r>
                              <w:t>The Port of Melbourne is Australia’s largest container port, accounting for 13.3 per cent of Australia’s $3 billion a year port industry and expected to grow at an above-average 8.5 per cent annually. The sale has added significant value for the Victorian and Australian Governments and for the consortium that is expected to invest $6 billion into upgrading the facility over the life of the 50</w:t>
                            </w:r>
                            <w:r>
                              <w:noBreakHyphen/>
                              <w:t xml:space="preserve">year lease. </w:t>
                            </w:r>
                          </w:p>
                          <w:p w14:paraId="039941E6" w14:textId="2B55F63B" w:rsidR="00AE54F4" w:rsidRDefault="00AE54F4" w:rsidP="008E38DF">
                            <w:pPr>
                              <w:pStyle w:val="BoxText"/>
                            </w:pPr>
                            <w:r>
                              <w:t>The lease is expected to make the Port of Melbourne more efficient, more competitive and will reinforce Victoria’s position in the Australian freight and logistics market. Benefits are expected to flow to producers and manufacturers who export all over the world.</w:t>
                            </w:r>
                          </w:p>
                          <w:p w14:paraId="196C8B60" w14:textId="53DFDE72" w:rsidR="00AE54F4" w:rsidRDefault="00AE54F4" w:rsidP="006F33C8">
                            <w:pPr>
                              <w:pStyle w:val="ChartGraphic"/>
                            </w:pPr>
                            <w:r>
                              <w:rPr>
                                <w:noProof/>
                              </w:rPr>
                              <w:drawing>
                                <wp:inline distT="0" distB="0" distL="0" distR="0" wp14:anchorId="7E106E48" wp14:editId="731A529A">
                                  <wp:extent cx="3824605" cy="2552065"/>
                                  <wp:effectExtent l="0" t="0" r="4445" b="635"/>
                                  <wp:docPr id="49" name="Picture 49" descr="\\romulus\csg_h$\MCD\Publishing\Graphic Design Services Team\Digital_Assets\Photography\_ISTOCK Purchased\_ISTOCK_Images and people photos\iStock-6474778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romulus\csg_h$\MCD\Publishing\Graphic Design Services Team\Digital_Assets\Photography\_ISTOCK Purchased\_ISTOCK_Images and people photos\iStock-647477894.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824605" cy="255206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Snip and Round Single Corner Rectangle 6" o:spid="_x0000_s1050" style="position:absolute;margin-left:-.3pt;margin-top:13.9pt;width:384.45pt;height:599.75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coordsize="4882515,7616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" adj="-11796480,,5400" path="m261215,l4366824,r515691,515691l4882515,7616825,,7616825,,261215c,116950,116950,,261215,xe" fillcolor="#155a76" stroked="f" strokeweight="2pt">
                <v:stroke joinstyle="miter"/>
                <v:formulas/>
                <v:path arrowok="t" o:connecttype="custom" o:connectlocs="261215,0;4366824,0;4882515,515691;4882515,7616825;0,7616825;0,261215;261215,0" o:connectangles="0,0,0,0,0,0,0" textboxrect="0,0,4882515,7616825"/>
                <v:textbox>
                  <w:txbxContent>
                    <w:p w14:paraId="28DB9533" w14:textId="650C5606" w:rsidR="00AE54F4" w:rsidRDefault="00AE54F4" w:rsidP="008E38DF">
                      <w:pPr>
                        <w:pStyle w:val="BoxHeading"/>
                      </w:pPr>
                      <w:r>
                        <w:t>Case Study: Port of Melbourne</w:t>
                      </w:r>
                    </w:p>
                    <w:p w14:paraId="7C28C3E1" w14:textId="12FAE31A" w:rsidR="00AE54F4" w:rsidRDefault="00AE54F4" w:rsidP="008E38DF">
                      <w:pPr>
                        <w:pStyle w:val="BoxText"/>
                      </w:pPr>
                      <w:r>
                        <w:t>During 2016–2017, the FIRB considered applications to acquire the 50</w:t>
                      </w:r>
                      <w:r>
                        <w:noBreakHyphen/>
                        <w:t>year lease for the Port of Melbourne. Through early engagement with the relevant Australian Government agencies and the Victorian Government, the privatisation process was completed with the sale ultimately going ahead for a price of $9.7 billion, well above initial forecasts.</w:t>
                      </w:r>
                    </w:p>
                    <w:p w14:paraId="6FB08B48" w14:textId="3CCDB21F" w:rsidR="00AE54F4" w:rsidRDefault="00AE54F4" w:rsidP="008E38DF">
                      <w:pPr>
                        <w:pStyle w:val="BoxText"/>
                      </w:pPr>
                      <w:r>
                        <w:t xml:space="preserve">Close engagement with the Victorian Government supported the implementation of intergovernmental arrangements addressing key national interest issues such as separation and oversight of key port functions and security of port facilities. </w:t>
                      </w:r>
                    </w:p>
                    <w:p w14:paraId="62DC3234" w14:textId="56D05AA4" w:rsidR="00AE54F4" w:rsidRDefault="00AE54F4" w:rsidP="008E38DF">
                      <w:pPr>
                        <w:pStyle w:val="BoxText"/>
                      </w:pPr>
                      <w:r>
                        <w:t>The successful bidder was the Lonsdale Consortium, comprising Australian and foreign interests including the Australian Future Fund, China Investment Corporation, the Canadian-owned Pension Fund OMERS, and pension funds from a variety of countries.</w:t>
                      </w:r>
                    </w:p>
                    <w:p w14:paraId="47673DE8" w14:textId="5356E983" w:rsidR="00AE54F4" w:rsidRDefault="00AE54F4" w:rsidP="008E38DF">
                      <w:pPr>
                        <w:pStyle w:val="BoxText"/>
                      </w:pPr>
                      <w:r>
                        <w:t>The Port of Melbourne is Australia’s largest container port, accounting for 13.3 per cent of Australia’s $3 billion a year port industry and expected to grow at an above-average 8.5 per cent annually. The sale has added significant value for the Victorian and Australian Governments and for the consortium that is expected to invest $6 billion into upgrading the facility over the life of the 50</w:t>
                      </w:r>
                      <w:r>
                        <w:noBreakHyphen/>
                        <w:t xml:space="preserve">year lease. </w:t>
                      </w:r>
                    </w:p>
                    <w:p w14:paraId="039941E6" w14:textId="2B55F63B" w:rsidR="00AE54F4" w:rsidRDefault="00AE54F4" w:rsidP="008E38DF">
                      <w:pPr>
                        <w:pStyle w:val="BoxText"/>
                      </w:pPr>
                      <w:r>
                        <w:t>The lease is expected to make the Port of Melbourne more efficient, more competitive and will reinforce Victoria’s position in the Australian freight and logistics market. Benefits are expected to flow to producers and manufacturers who export all over the world.</w:t>
                      </w:r>
                    </w:p>
                    <w:p w14:paraId="196C8B60" w14:textId="53DFDE72" w:rsidR="00AE54F4" w:rsidRDefault="00AE54F4" w:rsidP="006F33C8">
                      <w:pPr>
                        <w:pStyle w:val="ChartGraphic"/>
                      </w:pPr>
                      <w:r>
                        <w:rPr>
                          <w:noProof/>
                        </w:rPr>
                        <w:drawing>
                          <wp:inline distT="0" distB="0" distL="0" distR="0" wp14:anchorId="7E106E48" wp14:editId="731A529A">
                            <wp:extent cx="3824605" cy="2552065"/>
                            <wp:effectExtent l="0" t="0" r="4445" b="635"/>
                            <wp:docPr id="49" name="Picture 49" descr="\\romulus\csg_h$\MCD\Publishing\Graphic Design Services Team\Digital_Assets\Photography\_ISTOCK Purchased\_ISTOCK_Images and people photos\iStock-6474778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romulus\csg_h$\MCD\Publishing\Graphic Design Services Team\Digital_Assets\Photography\_ISTOCK Purchased\_ISTOCK_Images and people photos\iStock-647477894.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824605" cy="2552065"/>
                                    </a:xfrm>
                                    <a:prstGeom prst="rect">
                                      <a:avLst/>
                                    </a:prstGeom>
                                    <a:noFill/>
                                    <a:ln>
                                      <a:noFill/>
                                    </a:ln>
                                  </pic:spPr>
                                </pic:pic>
                              </a:graphicData>
                            </a:graphic>
                          </wp:inline>
                        </w:drawing>
                      </w:r>
                    </w:p>
                  </w:txbxContent>
                </v:textbox>
                <w10:wrap type="topAndBottom"/>
              </v:shape>
            </w:pict>
          </mc:Fallback>
        </mc:AlternateContent>
      </w:r>
      <w:bookmarkEnd w:id="172"/>
      <w:r w:rsidR="00C75523">
        <w:br w:type="page"/>
      </w:r>
    </w:p>
    <w:p w14:paraId="75E88EAF" w14:textId="6FE348F7" w:rsidR="00FD0D0B" w:rsidRPr="004160D6" w:rsidRDefault="00FD0D0B" w:rsidP="00FD0D0B">
      <w:pPr>
        <w:pStyle w:val="Heading3"/>
        <w:rPr>
          <w:smallCaps/>
        </w:rPr>
      </w:pPr>
      <w:r w:rsidRPr="004160D6">
        <w:lastRenderedPageBreak/>
        <w:t>Commercial real estate</w:t>
      </w:r>
    </w:p>
    <w:p w14:paraId="75B6BE64" w14:textId="75626AFF" w:rsidR="00FD0D0B" w:rsidRPr="004160D6" w:rsidRDefault="00FD0D0B" w:rsidP="00FD0D0B">
      <w:pPr>
        <w:rPr>
          <w:color w:val="auto"/>
          <w:szCs w:val="24"/>
        </w:rPr>
      </w:pPr>
      <w:r w:rsidRPr="004160D6">
        <w:rPr>
          <w:noProof/>
          <w:color w:val="auto"/>
          <w:szCs w:val="24"/>
        </w:rPr>
        <mc:AlternateContent>
          <mc:Choice Requires="wpc">
            <w:drawing>
              <wp:anchor distT="0" distB="0" distL="114300" distR="114300" simplePos="0" relativeHeight="251658255" behindDoc="1" locked="0" layoutInCell="1" allowOverlap="1" wp14:anchorId="57629DB6" wp14:editId="13D87ABE">
                <wp:simplePos x="0" y="0"/>
                <wp:positionH relativeFrom="margin">
                  <wp:align>left</wp:align>
                </wp:positionH>
                <wp:positionV relativeFrom="paragraph">
                  <wp:posOffset>107315</wp:posOffset>
                </wp:positionV>
                <wp:extent cx="972000" cy="968400"/>
                <wp:effectExtent l="0" t="0" r="19050" b="3175"/>
                <wp:wrapSquare wrapText="bothSides"/>
                <wp:docPr id="57" name="Canvas 57"/>
                <wp:cNvGraphicFramePr>
                  <a:graphicFrameLocks xmlns:a="http://schemas.openxmlformats.org/drawingml/2006/main"/>
                </wp:cNvGraphicFramePr>
                <a:graphic xmlns:a="http://schemas.openxmlformats.org/drawingml/2006/main">
                  <a:graphicData uri="http://schemas.microsoft.com/office/word/2010/wordprocessingCanvas">
                    <wpc:wpc>
                      <wpc:bg/>
                      <wpc:whole/>
                      <wps:wsp>
                        <wps:cNvPr id="55" name="Oval 55"/>
                        <wps:cNvSpPr>
                          <a:spLocks noChangeAspect="1"/>
                        </wps:cNvSpPr>
                        <wps:spPr>
                          <a:xfrm>
                            <a:off x="37255" y="0"/>
                            <a:ext cx="936000" cy="936000"/>
                          </a:xfrm>
                          <a:prstGeom prst="ellipse">
                            <a:avLst/>
                          </a:prstGeom>
                          <a:solidFill>
                            <a:srgbClr val="155A76"/>
                          </a:solidFill>
                          <a:ln w="25400" cap="flat" cmpd="sng" algn="ctr">
                            <a:solidFill>
                              <a:srgbClr val="008888"/>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 name="Text Box 56"/>
                        <wps:cNvSpPr txBox="1"/>
                        <wps:spPr>
                          <a:xfrm>
                            <a:off x="37256" y="140811"/>
                            <a:ext cx="936000" cy="793679"/>
                          </a:xfrm>
                          <a:prstGeom prst="rect">
                            <a:avLst/>
                          </a:prstGeom>
                          <a:noFill/>
                          <a:ln w="6350">
                            <a:noFill/>
                          </a:ln>
                          <a:effectLst/>
                        </wps:spPr>
                        <wps:txbx>
                          <w:txbxContent>
                            <w:p w14:paraId="1B42C714" w14:textId="632DE1E7" w:rsidR="00AE54F4" w:rsidRPr="00D8391B" w:rsidRDefault="00AE54F4" w:rsidP="00FD0D0B">
                              <w:pPr>
                                <w:spacing w:after="0"/>
                                <w:jc w:val="center"/>
                                <w:rPr>
                                  <w:b/>
                                  <w:color w:val="FFFFFF" w:themeColor="background1"/>
                                  <w:sz w:val="24"/>
                                </w:rPr>
                              </w:pPr>
                              <w:r w:rsidRPr="00D8391B">
                                <w:rPr>
                                  <w:b/>
                                  <w:color w:val="FFFFFF" w:themeColor="background1"/>
                                  <w:sz w:val="24"/>
                                </w:rPr>
                                <w:t>$</w:t>
                              </w:r>
                              <w:r>
                                <w:rPr>
                                  <w:b/>
                                  <w:color w:val="FFFFFF" w:themeColor="background1"/>
                                  <w:sz w:val="24"/>
                                </w:rPr>
                                <w:t>43.7</w:t>
                              </w:r>
                              <w:r w:rsidRPr="00D8391B">
                                <w:rPr>
                                  <w:b/>
                                  <w:color w:val="FFFFFF" w:themeColor="background1"/>
                                  <w:sz w:val="24"/>
                                </w:rPr>
                                <w:t>b</w:t>
                              </w:r>
                            </w:p>
                            <w:p w14:paraId="6BDC1CAF" w14:textId="77777777" w:rsidR="00AE54F4" w:rsidRPr="00D8391B" w:rsidRDefault="00AE54F4" w:rsidP="00FD0D0B">
                              <w:pPr>
                                <w:spacing w:after="0"/>
                                <w:jc w:val="center"/>
                                <w:rPr>
                                  <w:b/>
                                  <w:color w:val="FFFFFF" w:themeColor="background1"/>
                                  <w:sz w:val="24"/>
                                </w:rPr>
                              </w:pPr>
                              <w:proofErr w:type="gramStart"/>
                              <w:r w:rsidRPr="00D8391B">
                                <w:rPr>
                                  <w:b/>
                                  <w:color w:val="FFFFFF" w:themeColor="background1"/>
                                  <w:sz w:val="24"/>
                                </w:rPr>
                                <w:t>approved</w:t>
                              </w:r>
                              <w:proofErr w:type="gramEnd"/>
                            </w:p>
                            <w:p w14:paraId="76455E48" w14:textId="77777777" w:rsidR="00AE54F4" w:rsidRPr="001628FF" w:rsidRDefault="00AE54F4" w:rsidP="00FD0D0B">
                              <w:pPr>
                                <w:jc w:val="center"/>
                                <w:rPr>
                                  <w:sz w:val="24"/>
                                </w:rPr>
                              </w:pPr>
                              <w:proofErr w:type="gramStart"/>
                              <w:r w:rsidRPr="00D8391B">
                                <w:rPr>
                                  <w:b/>
                                  <w:color w:val="FFFFFF" w:themeColor="background1"/>
                                  <w:sz w:val="24"/>
                                </w:rPr>
                                <w:t>investment</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c:wpc>
                  </a:graphicData>
                </a:graphic>
                <wp14:sizeRelH relativeFrom="page">
                  <wp14:pctWidth>0</wp14:pctWidth>
                </wp14:sizeRelH>
                <wp14:sizeRelV relativeFrom="page">
                  <wp14:pctHeight>0</wp14:pctHeight>
                </wp14:sizeRelV>
              </wp:anchor>
            </w:drawing>
          </mc:Choice>
          <mc:Fallback>
            <w:pict>
              <v:group id="Canvas 57" o:spid="_x0000_s1051" editas="canvas" style="position:absolute;left:0;text-align:left;margin-left:0;margin-top:8.45pt;width:76.55pt;height:76.25pt;z-index:-251658225;mso-position-horizontal:left;mso-position-horizontal-relative:margin;mso-position-vertical-relative:text" coordsize="9715,96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">
                <v:shape id="_x0000_s1052" type="#_x0000_t75" style="position:absolute;width:9715;height:9683;visibility:visible;mso-wrap-style:square">
                  <v:fill o:detectmouseclick="t"/>
                  <v:path o:connecttype="none"/>
                </v:shape>
                <v:oval id="Oval 55" o:spid="_x0000_s1053" style="position:absolute;left:372;width:9360;height:93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8NtcMA&#10;AADbAAAADwAAAGRycy9kb3ducmV2LnhtbESPQYvCMBSE74L/IbyFvYimuipSjSKisCx4sBa8Pptn&#10;W7Z5KU2q3X+/EQSPw8x8w6w2nanEnRpXWlYwHkUgiDOrS84VpOfDcAHCeWSNlWVS8EcONut+b4Wx&#10;tg8+0T3xuQgQdjEqKLyvYyldVpBBN7I1cfButjHog2xyqRt8BLip5CSK5tJgyWGhwJp2BWW/SWsU&#10;HNN2f42mafdzsdViP/Ffh0HLSn1+dNslCE+df4df7W+tYDaD55fwA+T6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38NtcMAAADbAAAADwAAAAAAAAAAAAAAAACYAgAAZHJzL2Rv&#10;d25yZXYueG1sUEsFBgAAAAAEAAQA9QAAAIgDAAAAAA==&#10;" fillcolor="#155a76" strokecolor="#088" strokeweight="2pt">
                  <v:path arrowok="t"/>
                  <o:lock v:ext="edit" aspectratio="t"/>
                </v:oval>
                <v:shape id="Text Box 56" o:spid="_x0000_s1054" type="#_x0000_t202" style="position:absolute;left:372;top:1408;width:9360;height:79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ieoMYA&#10;AADbAAAADwAAAGRycy9kb3ducmV2LnhtbESPQWvCQBSE74L/YXlCb7oxEJHUTZCAtJT2oPXS2zP7&#10;TIK7b2N2q2l/fbdQ6HGYmW+YTTlaI240+M6xguUiAUFcO91xo+D4vpuvQfiArNE4JgVf5KEsppMN&#10;5trdeU+3Q2hEhLDPUUEbQp9L6euWLPqF64mjd3aDxRDl0Eg94D3CrZFpkqykxY7jQos9VS3Vl8On&#10;VfBS7d5wf0rt+ttUT6/nbX89fmRKPczG7SOIQGP4D/+1n7WCbAW/X+IPkM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tieoMYAAADbAAAADwAAAAAAAAAAAAAAAACYAgAAZHJz&#10;L2Rvd25yZXYueG1sUEsFBgAAAAAEAAQA9QAAAIsDAAAAAA==&#10;" filled="f" stroked="f" strokeweight=".5pt">
                  <v:textbox>
                    <w:txbxContent>
                      <w:p w14:paraId="1B42C714" w14:textId="632DE1E7" w:rsidR="00AE54F4" w:rsidRPr="00D8391B" w:rsidRDefault="00AE54F4" w:rsidP="00FD0D0B">
                        <w:pPr>
                          <w:spacing w:after="0"/>
                          <w:jc w:val="center"/>
                          <w:rPr>
                            <w:b/>
                            <w:color w:val="FFFFFF" w:themeColor="background1"/>
                            <w:sz w:val="24"/>
                          </w:rPr>
                        </w:pPr>
                        <w:r w:rsidRPr="00D8391B">
                          <w:rPr>
                            <w:b/>
                            <w:color w:val="FFFFFF" w:themeColor="background1"/>
                            <w:sz w:val="24"/>
                          </w:rPr>
                          <w:t>$</w:t>
                        </w:r>
                        <w:r>
                          <w:rPr>
                            <w:b/>
                            <w:color w:val="FFFFFF" w:themeColor="background1"/>
                            <w:sz w:val="24"/>
                          </w:rPr>
                          <w:t>43.7</w:t>
                        </w:r>
                        <w:r w:rsidRPr="00D8391B">
                          <w:rPr>
                            <w:b/>
                            <w:color w:val="FFFFFF" w:themeColor="background1"/>
                            <w:sz w:val="24"/>
                          </w:rPr>
                          <w:t>b</w:t>
                        </w:r>
                      </w:p>
                      <w:p w14:paraId="6BDC1CAF" w14:textId="77777777" w:rsidR="00AE54F4" w:rsidRPr="00D8391B" w:rsidRDefault="00AE54F4" w:rsidP="00FD0D0B">
                        <w:pPr>
                          <w:spacing w:after="0"/>
                          <w:jc w:val="center"/>
                          <w:rPr>
                            <w:b/>
                            <w:color w:val="FFFFFF" w:themeColor="background1"/>
                            <w:sz w:val="24"/>
                          </w:rPr>
                        </w:pPr>
                        <w:proofErr w:type="gramStart"/>
                        <w:r w:rsidRPr="00D8391B">
                          <w:rPr>
                            <w:b/>
                            <w:color w:val="FFFFFF" w:themeColor="background1"/>
                            <w:sz w:val="24"/>
                          </w:rPr>
                          <w:t>approved</w:t>
                        </w:r>
                        <w:proofErr w:type="gramEnd"/>
                      </w:p>
                      <w:p w14:paraId="76455E48" w14:textId="77777777" w:rsidR="00AE54F4" w:rsidRPr="001628FF" w:rsidRDefault="00AE54F4" w:rsidP="00FD0D0B">
                        <w:pPr>
                          <w:jc w:val="center"/>
                          <w:rPr>
                            <w:sz w:val="24"/>
                          </w:rPr>
                        </w:pPr>
                        <w:proofErr w:type="gramStart"/>
                        <w:r w:rsidRPr="00D8391B">
                          <w:rPr>
                            <w:b/>
                            <w:color w:val="FFFFFF" w:themeColor="background1"/>
                            <w:sz w:val="24"/>
                          </w:rPr>
                          <w:t>investment</w:t>
                        </w:r>
                        <w:proofErr w:type="gramEnd"/>
                      </w:p>
                    </w:txbxContent>
                  </v:textbox>
                </v:shape>
                <w10:wrap type="square" anchorx="margin"/>
              </v:group>
            </w:pict>
          </mc:Fallback>
        </mc:AlternateContent>
      </w:r>
      <w:r w:rsidRPr="004160D6">
        <w:rPr>
          <w:color w:val="auto"/>
          <w:szCs w:val="24"/>
        </w:rPr>
        <w:t>In 2016</w:t>
      </w:r>
      <w:r w:rsidR="00CD7E4F">
        <w:rPr>
          <w:color w:val="auto"/>
          <w:szCs w:val="24"/>
        </w:rPr>
        <w:t>–</w:t>
      </w:r>
      <w:r w:rsidRPr="004160D6">
        <w:rPr>
          <w:color w:val="auto"/>
          <w:szCs w:val="24"/>
        </w:rPr>
        <w:t>17 foreign inves</w:t>
      </w:r>
      <w:r w:rsidR="00C644A9">
        <w:rPr>
          <w:color w:val="auto"/>
          <w:szCs w:val="24"/>
        </w:rPr>
        <w:t>tment approval was given for 465</w:t>
      </w:r>
      <w:r w:rsidRPr="004160D6">
        <w:rPr>
          <w:color w:val="auto"/>
          <w:szCs w:val="24"/>
        </w:rPr>
        <w:t> </w:t>
      </w:r>
      <w:r w:rsidR="00075C42">
        <w:rPr>
          <w:color w:val="auto"/>
          <w:szCs w:val="24"/>
        </w:rPr>
        <w:t>proposals</w:t>
      </w:r>
      <w:r w:rsidRPr="004160D6">
        <w:rPr>
          <w:color w:val="auto"/>
          <w:szCs w:val="24"/>
        </w:rPr>
        <w:t xml:space="preserve"> valued at $43.</w:t>
      </w:r>
      <w:r w:rsidR="00C644A9">
        <w:rPr>
          <w:color w:val="auto"/>
          <w:szCs w:val="24"/>
        </w:rPr>
        <w:t>7</w:t>
      </w:r>
      <w:r w:rsidRPr="004160D6">
        <w:rPr>
          <w:color w:val="auto"/>
          <w:szCs w:val="24"/>
        </w:rPr>
        <w:t> billion in the commercial real estate sector, down from $49.7 billion in 2015</w:t>
      </w:r>
      <w:r w:rsidR="00CD7E4F">
        <w:rPr>
          <w:color w:val="auto"/>
          <w:szCs w:val="24"/>
        </w:rPr>
        <w:t>–</w:t>
      </w:r>
      <w:r w:rsidRPr="004160D6">
        <w:rPr>
          <w:color w:val="auto"/>
          <w:szCs w:val="24"/>
        </w:rPr>
        <w:t xml:space="preserve">16. </w:t>
      </w:r>
    </w:p>
    <w:p w14:paraId="7EB2F50A" w14:textId="77B5B9B3" w:rsidR="00FD0D0B" w:rsidRPr="004160D6" w:rsidRDefault="00FD0D0B" w:rsidP="00FD0D0B">
      <w:pPr>
        <w:rPr>
          <w:color w:val="auto"/>
          <w:szCs w:val="24"/>
        </w:rPr>
      </w:pPr>
      <w:r w:rsidRPr="004160D6">
        <w:rPr>
          <w:color w:val="auto"/>
          <w:szCs w:val="24"/>
        </w:rPr>
        <w:t xml:space="preserve">The </w:t>
      </w:r>
      <w:r w:rsidR="00075C42">
        <w:rPr>
          <w:color w:val="auto"/>
          <w:szCs w:val="24"/>
        </w:rPr>
        <w:t>decline in value</w:t>
      </w:r>
      <w:r w:rsidRPr="004160D6">
        <w:rPr>
          <w:color w:val="auto"/>
          <w:szCs w:val="24"/>
        </w:rPr>
        <w:t xml:space="preserve"> was largely due to a significant decrease in approvals </w:t>
      </w:r>
      <w:r w:rsidR="00744EEE">
        <w:rPr>
          <w:color w:val="auto"/>
          <w:szCs w:val="24"/>
        </w:rPr>
        <w:t xml:space="preserve">for </w:t>
      </w:r>
      <w:r w:rsidRPr="004160D6">
        <w:rPr>
          <w:color w:val="auto"/>
          <w:szCs w:val="24"/>
        </w:rPr>
        <w:t xml:space="preserve">existing commercial property. This </w:t>
      </w:r>
      <w:proofErr w:type="gramStart"/>
      <w:r w:rsidRPr="004160D6">
        <w:rPr>
          <w:color w:val="auto"/>
          <w:szCs w:val="24"/>
        </w:rPr>
        <w:t xml:space="preserve">may </w:t>
      </w:r>
      <w:r w:rsidR="00744EEE">
        <w:rPr>
          <w:color w:val="auto"/>
          <w:szCs w:val="24"/>
        </w:rPr>
        <w:t>,</w:t>
      </w:r>
      <w:proofErr w:type="gramEnd"/>
      <w:r w:rsidR="00744EEE">
        <w:rPr>
          <w:color w:val="auto"/>
          <w:szCs w:val="24"/>
        </w:rPr>
        <w:t xml:space="preserve"> in part, </w:t>
      </w:r>
      <w:proofErr w:type="spellStart"/>
      <w:r w:rsidR="00744EEE">
        <w:rPr>
          <w:color w:val="auto"/>
          <w:szCs w:val="24"/>
        </w:rPr>
        <w:t>relect</w:t>
      </w:r>
      <w:proofErr w:type="spellEnd"/>
      <w:r w:rsidR="00744EEE">
        <w:rPr>
          <w:color w:val="auto"/>
          <w:szCs w:val="24"/>
        </w:rPr>
        <w:t xml:space="preserve"> </w:t>
      </w:r>
      <w:r w:rsidRPr="004160D6">
        <w:rPr>
          <w:color w:val="auto"/>
          <w:szCs w:val="24"/>
        </w:rPr>
        <w:t>a</w:t>
      </w:r>
      <w:r w:rsidR="00FC4F65">
        <w:rPr>
          <w:color w:val="auto"/>
          <w:szCs w:val="24"/>
        </w:rPr>
        <w:t xml:space="preserve"> higher</w:t>
      </w:r>
      <w:r w:rsidRPr="004160D6">
        <w:rPr>
          <w:color w:val="auto"/>
          <w:szCs w:val="24"/>
        </w:rPr>
        <w:t xml:space="preserve"> </w:t>
      </w:r>
      <w:r w:rsidR="00744EEE">
        <w:rPr>
          <w:color w:val="auto"/>
          <w:szCs w:val="24"/>
        </w:rPr>
        <w:t xml:space="preserve">foreign investment </w:t>
      </w:r>
      <w:r w:rsidRPr="004160D6">
        <w:rPr>
          <w:color w:val="auto"/>
          <w:szCs w:val="24"/>
        </w:rPr>
        <w:t>screening threshold for Chinese investors as a result of the China</w:t>
      </w:r>
      <w:r w:rsidR="00744EEE">
        <w:rPr>
          <w:color w:val="auto"/>
          <w:szCs w:val="24"/>
        </w:rPr>
        <w:noBreakHyphen/>
      </w:r>
      <w:r w:rsidRPr="004160D6">
        <w:rPr>
          <w:color w:val="auto"/>
          <w:szCs w:val="24"/>
        </w:rPr>
        <w:t>Australia Free Trade Agreement (</w:t>
      </w:r>
      <w:proofErr w:type="spellStart"/>
      <w:r w:rsidRPr="004160D6">
        <w:rPr>
          <w:color w:val="auto"/>
          <w:szCs w:val="24"/>
        </w:rPr>
        <w:t>ChAFTA</w:t>
      </w:r>
      <w:proofErr w:type="spellEnd"/>
      <w:r w:rsidRPr="004160D6">
        <w:rPr>
          <w:color w:val="auto"/>
          <w:szCs w:val="24"/>
        </w:rPr>
        <w:t>) which came into force on 20</w:t>
      </w:r>
      <w:r w:rsidR="00FC4F65">
        <w:rPr>
          <w:color w:val="auto"/>
          <w:szCs w:val="24"/>
        </w:rPr>
        <w:t> </w:t>
      </w:r>
      <w:r w:rsidRPr="004160D6">
        <w:rPr>
          <w:color w:val="auto"/>
          <w:szCs w:val="24"/>
        </w:rPr>
        <w:t xml:space="preserve">December 2015. </w:t>
      </w:r>
      <w:r w:rsidR="00744EEE">
        <w:rPr>
          <w:color w:val="auto"/>
          <w:szCs w:val="24"/>
        </w:rPr>
        <w:t xml:space="preserve">Under the </w:t>
      </w:r>
      <w:proofErr w:type="spellStart"/>
      <w:r w:rsidR="00744EEE">
        <w:rPr>
          <w:color w:val="auto"/>
          <w:szCs w:val="24"/>
        </w:rPr>
        <w:t>ChAFTA</w:t>
      </w:r>
      <w:proofErr w:type="spellEnd"/>
      <w:r w:rsidR="00744EEE">
        <w:rPr>
          <w:color w:val="auto"/>
          <w:szCs w:val="24"/>
        </w:rPr>
        <w:t xml:space="preserve">, </w:t>
      </w:r>
      <w:r w:rsidRPr="004160D6">
        <w:rPr>
          <w:color w:val="auto"/>
          <w:szCs w:val="24"/>
        </w:rPr>
        <w:t xml:space="preserve">Chinese investors are </w:t>
      </w:r>
      <w:r>
        <w:rPr>
          <w:color w:val="auto"/>
          <w:szCs w:val="24"/>
        </w:rPr>
        <w:t xml:space="preserve">only </w:t>
      </w:r>
      <w:r w:rsidRPr="004160D6">
        <w:rPr>
          <w:color w:val="auto"/>
          <w:szCs w:val="24"/>
        </w:rPr>
        <w:t xml:space="preserve">required to obtain </w:t>
      </w:r>
      <w:r w:rsidR="00744EEE">
        <w:rPr>
          <w:color w:val="auto"/>
          <w:szCs w:val="24"/>
        </w:rPr>
        <w:t xml:space="preserve">investment </w:t>
      </w:r>
      <w:r w:rsidRPr="004160D6">
        <w:rPr>
          <w:color w:val="auto"/>
          <w:szCs w:val="24"/>
        </w:rPr>
        <w:t>approval before purchasing developed commercial</w:t>
      </w:r>
      <w:r w:rsidR="00744EEE">
        <w:rPr>
          <w:color w:val="auto"/>
          <w:szCs w:val="24"/>
        </w:rPr>
        <w:t xml:space="preserve"> property valued at $1,094 </w:t>
      </w:r>
      <w:r w:rsidRPr="004160D6">
        <w:rPr>
          <w:color w:val="auto"/>
          <w:szCs w:val="24"/>
        </w:rPr>
        <w:t xml:space="preserve">million </w:t>
      </w:r>
      <w:r>
        <w:rPr>
          <w:color w:val="auto"/>
          <w:szCs w:val="24"/>
        </w:rPr>
        <w:t xml:space="preserve">or above </w:t>
      </w:r>
      <w:r w:rsidRPr="004160D6">
        <w:rPr>
          <w:color w:val="auto"/>
          <w:szCs w:val="24"/>
        </w:rPr>
        <w:t>(previously $252 million).</w:t>
      </w:r>
      <w:r w:rsidR="004603BB">
        <w:rPr>
          <w:color w:val="auto"/>
          <w:szCs w:val="24"/>
        </w:rPr>
        <w:t xml:space="preserve"> This is consistent with screening thresholds for many other foreign investors from countries with which Australia has </w:t>
      </w:r>
      <w:r w:rsidR="007824DC">
        <w:rPr>
          <w:color w:val="auto"/>
          <w:szCs w:val="24"/>
        </w:rPr>
        <w:t>established</w:t>
      </w:r>
      <w:r w:rsidR="004603BB">
        <w:rPr>
          <w:color w:val="auto"/>
          <w:szCs w:val="24"/>
        </w:rPr>
        <w:t xml:space="preserve"> free trade agreements.</w:t>
      </w:r>
    </w:p>
    <w:p w14:paraId="326F846F" w14:textId="295CB4FC" w:rsidR="00FD0D0B" w:rsidRPr="004160D6" w:rsidRDefault="00FD0D0B" w:rsidP="00FD0D0B">
      <w:pPr>
        <w:rPr>
          <w:color w:val="auto"/>
          <w:szCs w:val="24"/>
        </w:rPr>
      </w:pPr>
      <w:r w:rsidRPr="004160D6">
        <w:rPr>
          <w:color w:val="auto"/>
          <w:szCs w:val="24"/>
        </w:rPr>
        <w:t xml:space="preserve">The decrease in </w:t>
      </w:r>
      <w:r w:rsidR="00FC4F65">
        <w:rPr>
          <w:color w:val="auto"/>
          <w:szCs w:val="24"/>
        </w:rPr>
        <w:t>the number of</w:t>
      </w:r>
      <w:r w:rsidRPr="004160D6">
        <w:rPr>
          <w:color w:val="auto"/>
          <w:szCs w:val="24"/>
        </w:rPr>
        <w:t xml:space="preserve"> commercial real estate approvals also reflects a shift toward the use of exemption certificates for commercial real estate purchases. </w:t>
      </w:r>
      <w:r w:rsidR="004603BB">
        <w:rPr>
          <w:color w:val="auto"/>
          <w:szCs w:val="24"/>
        </w:rPr>
        <w:t>E</w:t>
      </w:r>
      <w:r w:rsidRPr="004160D6">
        <w:rPr>
          <w:color w:val="auto"/>
          <w:szCs w:val="24"/>
        </w:rPr>
        <w:t xml:space="preserve">xemption </w:t>
      </w:r>
      <w:r>
        <w:rPr>
          <w:color w:val="auto"/>
          <w:szCs w:val="24"/>
        </w:rPr>
        <w:t>cer</w:t>
      </w:r>
      <w:r w:rsidRPr="004160D6">
        <w:rPr>
          <w:color w:val="auto"/>
          <w:szCs w:val="24"/>
        </w:rPr>
        <w:t xml:space="preserve">tificates </w:t>
      </w:r>
      <w:r w:rsidR="007824DC">
        <w:rPr>
          <w:color w:val="auto"/>
          <w:szCs w:val="24"/>
        </w:rPr>
        <w:t>streamline regulatory requirements</w:t>
      </w:r>
      <w:r w:rsidR="007824DC" w:rsidRPr="004160D6">
        <w:rPr>
          <w:color w:val="auto"/>
          <w:szCs w:val="24"/>
        </w:rPr>
        <w:t xml:space="preserve"> and </w:t>
      </w:r>
      <w:r w:rsidR="007824DC">
        <w:rPr>
          <w:color w:val="auto"/>
          <w:szCs w:val="24"/>
        </w:rPr>
        <w:t>reduc</w:t>
      </w:r>
      <w:r w:rsidR="000B61A5">
        <w:rPr>
          <w:color w:val="auto"/>
          <w:szCs w:val="24"/>
        </w:rPr>
        <w:t>e</w:t>
      </w:r>
      <w:r w:rsidR="007824DC" w:rsidRPr="004160D6">
        <w:rPr>
          <w:color w:val="auto"/>
          <w:szCs w:val="24"/>
        </w:rPr>
        <w:t xml:space="preserve"> application fees</w:t>
      </w:r>
      <w:r w:rsidR="007824DC">
        <w:rPr>
          <w:color w:val="auto"/>
          <w:szCs w:val="24"/>
        </w:rPr>
        <w:t xml:space="preserve"> by facilitating</w:t>
      </w:r>
      <w:r w:rsidR="004603BB">
        <w:rPr>
          <w:color w:val="auto"/>
          <w:szCs w:val="24"/>
        </w:rPr>
        <w:t xml:space="preserve"> approval for a program of investments (i</w:t>
      </w:r>
      <w:r w:rsidR="007824DC">
        <w:rPr>
          <w:color w:val="auto"/>
          <w:szCs w:val="24"/>
        </w:rPr>
        <w:t>.</w:t>
      </w:r>
      <w:r w:rsidR="004603BB">
        <w:rPr>
          <w:color w:val="auto"/>
          <w:szCs w:val="24"/>
        </w:rPr>
        <w:t>e. multiple</w:t>
      </w:r>
      <w:r w:rsidRPr="004160D6">
        <w:rPr>
          <w:color w:val="auto"/>
          <w:szCs w:val="24"/>
        </w:rPr>
        <w:t xml:space="preserve"> acquisitions</w:t>
      </w:r>
      <w:r w:rsidR="004603BB">
        <w:rPr>
          <w:color w:val="auto"/>
          <w:szCs w:val="24"/>
        </w:rPr>
        <w:t xml:space="preserve">) through </w:t>
      </w:r>
      <w:r w:rsidR="00FC4F65">
        <w:rPr>
          <w:color w:val="auto"/>
          <w:szCs w:val="24"/>
        </w:rPr>
        <w:t>a single</w:t>
      </w:r>
      <w:r w:rsidR="004603BB">
        <w:rPr>
          <w:color w:val="auto"/>
          <w:szCs w:val="24"/>
        </w:rPr>
        <w:t xml:space="preserve"> application</w:t>
      </w:r>
      <w:r w:rsidRPr="004160D6">
        <w:rPr>
          <w:color w:val="auto"/>
          <w:szCs w:val="24"/>
        </w:rPr>
        <w:t xml:space="preserve">. Exemption certificates </w:t>
      </w:r>
      <w:r w:rsidR="007824DC">
        <w:rPr>
          <w:color w:val="auto"/>
          <w:szCs w:val="24"/>
        </w:rPr>
        <w:t xml:space="preserve">provide </w:t>
      </w:r>
      <w:r w:rsidRPr="004160D6">
        <w:rPr>
          <w:color w:val="auto"/>
          <w:szCs w:val="24"/>
        </w:rPr>
        <w:t xml:space="preserve">pre-approval for purchases within agreed categories, value </w:t>
      </w:r>
      <w:r w:rsidR="007824DC">
        <w:rPr>
          <w:color w:val="auto"/>
          <w:szCs w:val="24"/>
        </w:rPr>
        <w:t xml:space="preserve">parameters </w:t>
      </w:r>
      <w:r w:rsidRPr="004160D6">
        <w:rPr>
          <w:color w:val="auto"/>
          <w:szCs w:val="24"/>
        </w:rPr>
        <w:t xml:space="preserve">and time limits. Exemption certificates </w:t>
      </w:r>
      <w:r w:rsidR="007824DC">
        <w:rPr>
          <w:color w:val="auto"/>
          <w:szCs w:val="24"/>
        </w:rPr>
        <w:t xml:space="preserve">also </w:t>
      </w:r>
      <w:r w:rsidRPr="004160D6">
        <w:rPr>
          <w:color w:val="auto"/>
          <w:szCs w:val="24"/>
        </w:rPr>
        <w:t>contain conditions (for example, development requirements) in line with standard approvals.</w:t>
      </w:r>
    </w:p>
    <w:p w14:paraId="41CF30CF" w14:textId="3F27091A" w:rsidR="001C2112" w:rsidRPr="00DD127F" w:rsidRDefault="00FD0D0B" w:rsidP="001C2112">
      <w:pPr>
        <w:pStyle w:val="TableHeading"/>
      </w:pPr>
      <w:bookmarkStart w:id="173" w:name="_1548074931"/>
      <w:bookmarkEnd w:id="173"/>
      <w:r w:rsidRPr="00DD127F">
        <w:t xml:space="preserve">Table </w:t>
      </w:r>
      <w:r w:rsidR="00DD127F" w:rsidRPr="00DD127F">
        <w:t>4</w:t>
      </w:r>
      <w:r w:rsidRPr="00DD127F">
        <w:t xml:space="preserve">.8: </w:t>
      </w:r>
      <w:r w:rsidR="007824DC">
        <w:t>C</w:t>
      </w:r>
      <w:r w:rsidRPr="00DD127F">
        <w:t xml:space="preserve">ommercial real estate </w:t>
      </w:r>
      <w:r w:rsidR="007824DC">
        <w:t xml:space="preserve">approvals, </w:t>
      </w:r>
      <w:r w:rsidRPr="00DD127F">
        <w:t>by type: 201</w:t>
      </w:r>
      <w:r w:rsidR="00DD127F" w:rsidRPr="00DD127F">
        <w:t>3</w:t>
      </w:r>
      <w:r w:rsidR="00CD7E4F">
        <w:t>–</w:t>
      </w:r>
      <w:r w:rsidRPr="00DD127F">
        <w:t>1</w:t>
      </w:r>
      <w:r w:rsidR="00DD127F" w:rsidRPr="00DD127F">
        <w:t>4</w:t>
      </w:r>
      <w:r w:rsidRPr="00DD127F">
        <w:t xml:space="preserve"> to 201</w:t>
      </w:r>
      <w:r w:rsidR="00DD127F" w:rsidRPr="00DD127F">
        <w:t>6</w:t>
      </w:r>
      <w:r w:rsidR="00CD7E4F">
        <w:t>–</w:t>
      </w:r>
      <w:r w:rsidRPr="00DD127F">
        <w:t>1</w:t>
      </w:r>
      <w:r w:rsidR="00DD127F" w:rsidRPr="00DD127F">
        <w:t>7</w:t>
      </w:r>
      <w:r w:rsidR="001C2112" w:rsidRPr="00DD127F">
        <w:fldChar w:fldCharType="begin"/>
      </w:r>
      <w:r w:rsidR="001C2112" w:rsidRPr="00DD127F">
        <w:instrText xml:space="preserve"> LINK </w:instrText>
      </w:r>
      <w:r w:rsidR="00EB76C5">
        <w:instrText xml:space="preserve">Excel.Sheet.12 http://tweb/sites/mg/fitpd/Lfirbannualrport/2016-17/Data%20Tables/Report%20tables/Table%204.8-CRE%20by%20type%20and%20number.xlsx "Final Table!R3C1:R14C15" </w:instrText>
      </w:r>
      <w:r w:rsidR="001C2112" w:rsidRPr="00DD127F">
        <w:instrText xml:space="preserve">\a \f 4 \h  \* MERGEFORMAT </w:instrText>
      </w:r>
      <w:r w:rsidR="001C2112" w:rsidRPr="00DD127F">
        <w:fldChar w:fldCharType="separate"/>
      </w:r>
    </w:p>
    <w:p w14:paraId="3F22E4EA" w14:textId="3747A304" w:rsidR="003077ED" w:rsidRPr="003077ED" w:rsidRDefault="001C2112" w:rsidP="003077ED">
      <w:pPr>
        <w:pStyle w:val="TableGraphic"/>
      </w:pPr>
      <w:r w:rsidRPr="00DD127F">
        <w:fldChar w:fldCharType="end"/>
      </w:r>
      <w:r w:rsidR="003077ED">
        <w:object w:dxaOrig="8268" w:dyaOrig="3510" w14:anchorId="5039C166">
          <v:shape id="_x0000_i1032" type="#_x0000_t75" style="width:385.8pt;height:180.7pt" o:ole="">
            <v:imagedata r:id="rId76" o:title=""/>
          </v:shape>
          <o:OLEObject Type="Link" ProgID="Excel.Sheet.12" ShapeID="_x0000_i1032" DrawAspect="Content" r:id="rId77" UpdateMode="Always">
            <o:LinkType>EnhancedMetaFile</o:LinkType>
            <o:LockedField/>
          </o:OLEObject>
        </w:object>
      </w:r>
    </w:p>
    <w:p w14:paraId="051A721D" w14:textId="59BE51EC" w:rsidR="00D86D24" w:rsidRPr="003077ED" w:rsidRDefault="00FD0D0B" w:rsidP="00B82F4F">
      <w:pPr>
        <w:pStyle w:val="ChartandTableFootnoteAlpha"/>
        <w:numPr>
          <w:ilvl w:val="0"/>
          <w:numId w:val="32"/>
        </w:numPr>
      </w:pPr>
      <w:r w:rsidRPr="003077ED">
        <w:t xml:space="preserve">From 1 December 2015, annual programs under the new provisions in the Act are known as </w:t>
      </w:r>
      <w:r w:rsidR="004133A8" w:rsidRPr="003077ED">
        <w:t>E</w:t>
      </w:r>
      <w:r w:rsidRPr="003077ED">
        <w:t xml:space="preserve">xemption </w:t>
      </w:r>
      <w:r w:rsidR="004133A8" w:rsidRPr="003077ED">
        <w:t>C</w:t>
      </w:r>
      <w:r w:rsidRPr="003077ED">
        <w:t>ertificates.</w:t>
      </w:r>
    </w:p>
    <w:p w14:paraId="540D03F7" w14:textId="443AF586" w:rsidR="007824DC" w:rsidRPr="002A2C33" w:rsidRDefault="00D86D24" w:rsidP="00D86D24">
      <w:pPr>
        <w:pStyle w:val="StyleChartorTableNoteLeft0cmHanging1cm"/>
      </w:pPr>
      <w:r w:rsidRPr="00D86D24">
        <w:t>Notes:</w:t>
      </w:r>
      <w:r w:rsidR="00FD0D0B" w:rsidRPr="002A2C33">
        <w:tab/>
        <w:t>Totals may not add due to rounding.</w:t>
      </w:r>
    </w:p>
    <w:p w14:paraId="4E5D4200" w14:textId="129C5344" w:rsidR="000D1138" w:rsidRPr="002A2C33" w:rsidRDefault="007824DC" w:rsidP="00FD0D0B">
      <w:pPr>
        <w:pStyle w:val="StyleChartorTableNoteLeft0cmHanging1cm"/>
      </w:pPr>
      <w:r w:rsidRPr="002A2C33">
        <w:tab/>
      </w:r>
      <w:proofErr w:type="gramStart"/>
      <w:r w:rsidR="000D1138" w:rsidRPr="002A2C33">
        <w:t>Excludes corporate reorganisations.</w:t>
      </w:r>
      <w:proofErr w:type="gramEnd"/>
    </w:p>
    <w:p w14:paraId="01674954" w14:textId="6AB9E718" w:rsidR="00FD0D0B" w:rsidRDefault="00FD0D0B" w:rsidP="00FD0D0B">
      <w:pPr>
        <w:pStyle w:val="StyleChartorTableNoteLeft0cmHanging1cm"/>
        <w:rPr>
          <w:color w:val="003E74"/>
        </w:rPr>
      </w:pPr>
      <w:r>
        <w:br w:type="page"/>
      </w:r>
    </w:p>
    <w:p w14:paraId="7274C5FF" w14:textId="0B0E937B" w:rsidR="00FD0D0B" w:rsidRPr="006A6448" w:rsidRDefault="00FD0D0B" w:rsidP="00FD0D0B">
      <w:pPr>
        <w:pStyle w:val="TableHeading"/>
      </w:pPr>
      <w:r w:rsidRPr="006A6448">
        <w:lastRenderedPageBreak/>
        <w:t xml:space="preserve">Table </w:t>
      </w:r>
      <w:r w:rsidR="00BC0479">
        <w:t>4</w:t>
      </w:r>
      <w:r>
        <w:t>.9</w:t>
      </w:r>
      <w:r w:rsidRPr="006A6448">
        <w:t>: State and territory distribution of proposed investment in commercial real estate in 201</w:t>
      </w:r>
      <w:r w:rsidR="00BC0479">
        <w:t>6</w:t>
      </w:r>
      <w:r w:rsidR="00CD7E4F">
        <w:t>–</w:t>
      </w:r>
      <w:r w:rsidRPr="006A6448">
        <w:t>1</w:t>
      </w:r>
      <w:r w:rsidR="00BC0479">
        <w:t>7</w:t>
      </w:r>
    </w:p>
    <w:bookmarkStart w:id="174" w:name="_1548074932"/>
    <w:bookmarkEnd w:id="174"/>
    <w:p w14:paraId="04DCC778" w14:textId="2BB4E664" w:rsidR="00FD0D0B" w:rsidRDefault="003B5FB2" w:rsidP="003B5FB2">
      <w:pPr>
        <w:pStyle w:val="TableGraphic"/>
      </w:pPr>
      <w:r>
        <w:object w:dxaOrig="7569" w:dyaOrig="3800" w14:anchorId="77DEDE8C">
          <v:shape id="_x0000_i1033" type="#_x0000_t75" style="width:385.15pt;height:195.6pt" o:ole="">
            <v:imagedata r:id="rId78" o:title=""/>
            <o:lock v:ext="edit" aspectratio="f"/>
          </v:shape>
          <o:OLEObject Type="Link" ProgID="Excel.Sheet.12" ShapeID="_x0000_i1033" DrawAspect="Content" r:id="rId79" UpdateMode="Always">
            <o:LinkType>EnhancedMetaFile</o:LinkType>
            <o:LockedField/>
          </o:OLEObject>
        </w:object>
      </w:r>
    </w:p>
    <w:p w14:paraId="24DD00F7" w14:textId="04E0842A" w:rsidR="00FD0D0B" w:rsidRPr="002A2C33" w:rsidRDefault="00FD0D0B" w:rsidP="00B82F4F">
      <w:pPr>
        <w:pStyle w:val="ChartandTableFootnoteAlpha"/>
        <w:numPr>
          <w:ilvl w:val="0"/>
          <w:numId w:val="29"/>
        </w:numPr>
      </w:pPr>
      <w:r w:rsidRPr="002A2C33">
        <w:t>Comprises approved proposals where the proposed investment is to be undertaken in more than one state or territory.</w:t>
      </w:r>
    </w:p>
    <w:p w14:paraId="5116F34D" w14:textId="6FE96245" w:rsidR="00ED1922" w:rsidRDefault="00FD0D0B" w:rsidP="00FD0D0B">
      <w:pPr>
        <w:pStyle w:val="StyleChartorTableNoteLeft0cmHanging1cm"/>
      </w:pPr>
      <w:r w:rsidRPr="007824DC">
        <w:t>Note</w:t>
      </w:r>
      <w:r w:rsidR="007824DC">
        <w:t>s</w:t>
      </w:r>
      <w:r w:rsidRPr="007824DC">
        <w:t>:</w:t>
      </w:r>
      <w:r w:rsidRPr="007824DC">
        <w:tab/>
        <w:t>Totals may not add due to rounding.</w:t>
      </w:r>
    </w:p>
    <w:p w14:paraId="4D7ACA50" w14:textId="2118CF58" w:rsidR="00FD0D0B" w:rsidRPr="007824DC" w:rsidRDefault="00ED1922" w:rsidP="00FD0D0B">
      <w:pPr>
        <w:pStyle w:val="StyleChartorTableNoteLeft0cmHanging1cm"/>
      </w:pPr>
      <w:r>
        <w:tab/>
      </w:r>
      <w:r w:rsidR="000D1138" w:rsidRPr="007824DC">
        <w:t xml:space="preserve">Excludes corporate reorganisations, but includes </w:t>
      </w:r>
      <w:r w:rsidR="007824DC" w:rsidRPr="007824DC">
        <w:t>exemption c</w:t>
      </w:r>
      <w:r w:rsidR="000D1138" w:rsidRPr="007824DC">
        <w:t>ertificates.</w:t>
      </w:r>
    </w:p>
    <w:p w14:paraId="7AB03CF2" w14:textId="77777777" w:rsidR="00FD0D0B" w:rsidRPr="007824DC" w:rsidRDefault="00FD0D0B" w:rsidP="00FD0D0B">
      <w:pPr>
        <w:pStyle w:val="StyleChartorTableNoteLeft0cmHanging1cm"/>
      </w:pPr>
      <w:r w:rsidRPr="007824DC">
        <w:tab/>
        <w:t>‘</w:t>
      </w:r>
      <w:r w:rsidRPr="007824DC">
        <w:noBreakHyphen/>
      </w:r>
      <w:proofErr w:type="gramStart"/>
      <w:r w:rsidRPr="007824DC">
        <w:t>‘ indicates</w:t>
      </w:r>
      <w:proofErr w:type="gramEnd"/>
      <w:r w:rsidRPr="007824DC">
        <w:t xml:space="preserve"> a figure of zero or a figure less than $10 million.</w:t>
      </w:r>
    </w:p>
    <w:p w14:paraId="561F009B" w14:textId="77777777" w:rsidR="00FD0D0B" w:rsidRPr="007824DC" w:rsidRDefault="00FD0D0B" w:rsidP="00FD0D0B">
      <w:pPr>
        <w:pStyle w:val="StyleChartorTableNoteLeft0cmHanging1cm"/>
      </w:pPr>
      <w:r w:rsidRPr="007824DC">
        <w:tab/>
        <w:t>‘*’ indicates between 1 and 9 approvals.</w:t>
      </w:r>
    </w:p>
    <w:p w14:paraId="5490BB0F" w14:textId="77777777" w:rsidR="00FD0D0B" w:rsidRPr="003840CD" w:rsidRDefault="00FD0D0B" w:rsidP="00FD0D0B">
      <w:pPr>
        <w:pStyle w:val="Heading3"/>
      </w:pPr>
      <w:r w:rsidRPr="006A6448">
        <w:t>Residential real estate</w:t>
      </w:r>
    </w:p>
    <w:p w14:paraId="6774ABFF" w14:textId="4478059F" w:rsidR="000D5A66" w:rsidRDefault="00FD0D0B" w:rsidP="00FD0D0B">
      <w:pPr>
        <w:rPr>
          <w:color w:val="auto"/>
          <w:szCs w:val="24"/>
        </w:rPr>
      </w:pPr>
      <w:r>
        <w:rPr>
          <w:noProof/>
        </w:rPr>
        <mc:AlternateContent>
          <mc:Choice Requires="wpc">
            <w:drawing>
              <wp:anchor distT="0" distB="0" distL="114300" distR="114300" simplePos="0" relativeHeight="251658256" behindDoc="0" locked="0" layoutInCell="1" allowOverlap="1" wp14:anchorId="7CDCF7D7" wp14:editId="116F60CF">
                <wp:simplePos x="0" y="0"/>
                <wp:positionH relativeFrom="margin">
                  <wp:align>left</wp:align>
                </wp:positionH>
                <wp:positionV relativeFrom="paragraph">
                  <wp:posOffset>81915</wp:posOffset>
                </wp:positionV>
                <wp:extent cx="972000" cy="979200"/>
                <wp:effectExtent l="0" t="0" r="19050" b="11430"/>
                <wp:wrapSquare wrapText="bothSides"/>
                <wp:docPr id="28" name="Canvas 28"/>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17" name="Oval 17"/>
                        <wps:cNvSpPr>
                          <a:spLocks noChangeAspect="1"/>
                        </wps:cNvSpPr>
                        <wps:spPr>
                          <a:xfrm>
                            <a:off x="37255" y="31433"/>
                            <a:ext cx="936000" cy="936000"/>
                          </a:xfrm>
                          <a:prstGeom prst="ellipse">
                            <a:avLst/>
                          </a:prstGeom>
                          <a:solidFill>
                            <a:srgbClr val="155A76"/>
                          </a:solidFill>
                          <a:ln>
                            <a:solidFill>
                              <a:srgbClr val="008888"/>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 name="Text Box 18"/>
                        <wps:cNvSpPr txBox="1"/>
                        <wps:spPr>
                          <a:xfrm>
                            <a:off x="37255" y="176756"/>
                            <a:ext cx="936000" cy="79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D6FE400" w14:textId="77777777" w:rsidR="00AE54F4" w:rsidRPr="00273FBF" w:rsidRDefault="00AE54F4" w:rsidP="00FD0D0B">
                              <w:pPr>
                                <w:jc w:val="center"/>
                                <w:rPr>
                                  <w:b/>
                                  <w:color w:val="FFFFFF" w:themeColor="background1"/>
                                  <w:sz w:val="24"/>
                                </w:rPr>
                              </w:pPr>
                              <w:r w:rsidRPr="00BD4923">
                                <w:rPr>
                                  <w:b/>
                                  <w:color w:val="FFFFFF" w:themeColor="background1"/>
                                  <w:sz w:val="24"/>
                                </w:rPr>
                                <w:t>$</w:t>
                              </w:r>
                              <w:r>
                                <w:rPr>
                                  <w:b/>
                                  <w:color w:val="FFFFFF" w:themeColor="background1"/>
                                  <w:sz w:val="24"/>
                                </w:rPr>
                                <w:t>25.2</w:t>
                              </w:r>
                              <w:r w:rsidRPr="00BD4923">
                                <w:rPr>
                                  <w:b/>
                                  <w:color w:val="FFFFFF" w:themeColor="background1"/>
                                  <w:sz w:val="24"/>
                                </w:rPr>
                                <w:t>b approved investment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c:wpc>
                  </a:graphicData>
                </a:graphic>
                <wp14:sizeRelH relativeFrom="page">
                  <wp14:pctWidth>0</wp14:pctWidth>
                </wp14:sizeRelH>
                <wp14:sizeRelV relativeFrom="page">
                  <wp14:pctHeight>0</wp14:pctHeight>
                </wp14:sizeRelV>
              </wp:anchor>
            </w:drawing>
          </mc:Choice>
          <mc:Fallback>
            <w:pict>
              <v:group id="Canvas 28" o:spid="_x0000_s1055" editas="canvas" style="position:absolute;left:0;text-align:left;margin-left:0;margin-top:6.45pt;width:76.55pt;height:77.1pt;z-index:251658256;mso-position-horizontal:left;mso-position-horizontal-relative:margin;mso-position-vertical-relative:text" coordsize="9715,97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">
                <v:shape id="_x0000_s1056" type="#_x0000_t75" style="position:absolute;width:9715;height:9791;visibility:visible;mso-wrap-style:square">
                  <v:fill o:detectmouseclick="t"/>
                  <v:path o:connecttype="none"/>
                </v:shape>
                <v:oval id="Oval 17" o:spid="_x0000_s1057" style="position:absolute;left:372;top:314;width:9360;height:93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uPmcEA&#10;AADbAAAADwAAAGRycy9kb3ducmV2LnhtbERPTYvCMBC9C/6HMMJeRFNdWaUaRRYFWfCwteB1bMa2&#10;2ExKk2r995sFwds83uesNp2pxJ0aV1pWMBlHIIgzq0vOFaSn/WgBwnlkjZVlUvAkB5t1v7fCWNsH&#10;/9I98bkIIexiVFB4X8dSuqwgg25sa+LAXW1j0AfY5FI3+AjhppLTKPqSBksODQXW9F1Qdktao+CY&#10;trtLNEu7n7OtFrup/9wPW1bqY9BtlyA8df4tfrkPOsyfw/8v4QC5/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qLj5nBAAAA2wAAAA8AAAAAAAAAAAAAAAAAmAIAAGRycy9kb3du&#10;cmV2LnhtbFBLBQYAAAAABAAEAPUAAACGAwAAAAA=&#10;" fillcolor="#155a76" strokecolor="#088" strokeweight="2pt">
                  <v:path arrowok="t"/>
                  <o:lock v:ext="edit" aspectratio="t"/>
                </v:oval>
                <v:shape id="Text Box 18" o:spid="_x0000_s1058" type="#_x0000_t202" style="position:absolute;left:372;top:1767;width:9360;height:79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EWicUA&#10;AADbAAAADwAAAGRycy9kb3ducmV2LnhtbESPT2vCQBDF7wW/wzKCt7pRUCS6igSkRdqDfy7exuyY&#10;BLOzMbtq2k/vHAq9zfDevPebxapztXpQGyrPBkbDBBRx7m3FhYHjYfM+AxUissXaMxn4oQCrZe9t&#10;gan1T97RYx8LJSEcUjRQxtikWoe8JIdh6Bti0S6+dRhlbQttW3xKuKv1OEmm2mHF0lBiQ1lJ+XV/&#10;dwa22eYbd+exm/3W2cfXZd3cjqeJMYN+t56DitTFf/Pf9acVfIGVX2QAvX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YRaJxQAAANsAAAAPAAAAAAAAAAAAAAAAAJgCAABkcnMv&#10;ZG93bnJldi54bWxQSwUGAAAAAAQABAD1AAAAigMAAAAA&#10;" filled="f" stroked="f" strokeweight=".5pt">
                  <v:textbox>
                    <w:txbxContent>
                      <w:p w14:paraId="2D6FE400" w14:textId="77777777" w:rsidR="00AE54F4" w:rsidRPr="00273FBF" w:rsidRDefault="00AE54F4" w:rsidP="00FD0D0B">
                        <w:pPr>
                          <w:jc w:val="center"/>
                          <w:rPr>
                            <w:b/>
                            <w:color w:val="FFFFFF" w:themeColor="background1"/>
                            <w:sz w:val="24"/>
                          </w:rPr>
                        </w:pPr>
                        <w:r w:rsidRPr="00BD4923">
                          <w:rPr>
                            <w:b/>
                            <w:color w:val="FFFFFF" w:themeColor="background1"/>
                            <w:sz w:val="24"/>
                          </w:rPr>
                          <w:t>$</w:t>
                        </w:r>
                        <w:r>
                          <w:rPr>
                            <w:b/>
                            <w:color w:val="FFFFFF" w:themeColor="background1"/>
                            <w:sz w:val="24"/>
                          </w:rPr>
                          <w:t>25.2</w:t>
                        </w:r>
                        <w:r w:rsidRPr="00BD4923">
                          <w:rPr>
                            <w:b/>
                            <w:color w:val="FFFFFF" w:themeColor="background1"/>
                            <w:sz w:val="24"/>
                          </w:rPr>
                          <w:t>b approved investment</w:t>
                        </w:r>
                      </w:p>
                    </w:txbxContent>
                  </v:textbox>
                </v:shape>
                <w10:wrap type="square" anchorx="margin"/>
              </v:group>
            </w:pict>
          </mc:Fallback>
        </mc:AlternateContent>
      </w:r>
      <w:r w:rsidRPr="006A6448">
        <w:rPr>
          <w:color w:val="auto"/>
          <w:szCs w:val="24"/>
        </w:rPr>
        <w:t>In 201</w:t>
      </w:r>
      <w:r>
        <w:rPr>
          <w:color w:val="auto"/>
          <w:szCs w:val="24"/>
        </w:rPr>
        <w:t>6</w:t>
      </w:r>
      <w:r w:rsidR="00CD7E4F">
        <w:rPr>
          <w:color w:val="auto"/>
          <w:szCs w:val="24"/>
        </w:rPr>
        <w:t>–</w:t>
      </w:r>
      <w:r w:rsidRPr="006A6448">
        <w:rPr>
          <w:color w:val="auto"/>
          <w:szCs w:val="24"/>
        </w:rPr>
        <w:t>1</w:t>
      </w:r>
      <w:r>
        <w:rPr>
          <w:color w:val="auto"/>
          <w:szCs w:val="24"/>
        </w:rPr>
        <w:t>7</w:t>
      </w:r>
      <w:r w:rsidRPr="006A6448">
        <w:rPr>
          <w:color w:val="auto"/>
          <w:szCs w:val="24"/>
        </w:rPr>
        <w:t xml:space="preserve">, a total of </w:t>
      </w:r>
      <w:r>
        <w:rPr>
          <w:color w:val="auto"/>
          <w:szCs w:val="24"/>
        </w:rPr>
        <w:t xml:space="preserve">13,198 </w:t>
      </w:r>
      <w:r w:rsidRPr="006A6448">
        <w:rPr>
          <w:color w:val="auto"/>
          <w:szCs w:val="24"/>
        </w:rPr>
        <w:t>residential real estate applications were approved for proposed investment worth $</w:t>
      </w:r>
      <w:r>
        <w:rPr>
          <w:color w:val="auto"/>
          <w:szCs w:val="24"/>
        </w:rPr>
        <w:t>25.2</w:t>
      </w:r>
      <w:r w:rsidRPr="006A6448">
        <w:rPr>
          <w:color w:val="auto"/>
          <w:szCs w:val="24"/>
        </w:rPr>
        <w:t> billion.</w:t>
      </w:r>
      <w:r>
        <w:rPr>
          <w:color w:val="auto"/>
          <w:szCs w:val="24"/>
        </w:rPr>
        <w:t xml:space="preserve"> </w:t>
      </w:r>
      <w:r w:rsidR="00BF3A23">
        <w:rPr>
          <w:color w:val="auto"/>
          <w:szCs w:val="24"/>
        </w:rPr>
        <w:t>This represents</w:t>
      </w:r>
      <w:r>
        <w:rPr>
          <w:color w:val="auto"/>
          <w:szCs w:val="24"/>
        </w:rPr>
        <w:t xml:space="preserve"> a </w:t>
      </w:r>
      <w:r w:rsidR="00BF3A23">
        <w:rPr>
          <w:color w:val="auto"/>
          <w:szCs w:val="24"/>
        </w:rPr>
        <w:t xml:space="preserve">decrease in the number of approvals </w:t>
      </w:r>
      <w:r w:rsidR="00ED1922">
        <w:rPr>
          <w:color w:val="auto"/>
          <w:szCs w:val="24"/>
        </w:rPr>
        <w:t>of</w:t>
      </w:r>
      <w:r w:rsidR="00BF3A23">
        <w:rPr>
          <w:color w:val="auto"/>
          <w:szCs w:val="24"/>
        </w:rPr>
        <w:t xml:space="preserve"> 26,95</w:t>
      </w:r>
      <w:r w:rsidR="003026E6">
        <w:rPr>
          <w:color w:val="auto"/>
          <w:szCs w:val="24"/>
        </w:rPr>
        <w:t>1</w:t>
      </w:r>
      <w:r w:rsidR="00BF3A23">
        <w:rPr>
          <w:color w:val="auto"/>
          <w:szCs w:val="24"/>
        </w:rPr>
        <w:t xml:space="preserve"> and $</w:t>
      </w:r>
      <w:r w:rsidR="00272173">
        <w:rPr>
          <w:color w:val="auto"/>
          <w:szCs w:val="24"/>
        </w:rPr>
        <w:t>47</w:t>
      </w:r>
      <w:r w:rsidR="00BF3A23">
        <w:rPr>
          <w:color w:val="auto"/>
          <w:szCs w:val="24"/>
        </w:rPr>
        <w:t>.2 billion from 2015</w:t>
      </w:r>
      <w:r w:rsidR="00CD7E4F">
        <w:rPr>
          <w:color w:val="auto"/>
          <w:szCs w:val="24"/>
        </w:rPr>
        <w:t>–</w:t>
      </w:r>
      <w:r w:rsidR="00BF3A23">
        <w:rPr>
          <w:color w:val="auto"/>
          <w:szCs w:val="24"/>
        </w:rPr>
        <w:t xml:space="preserve">16. </w:t>
      </w:r>
      <w:r w:rsidR="00FE1C90">
        <w:rPr>
          <w:color w:val="auto"/>
          <w:szCs w:val="24"/>
        </w:rPr>
        <w:t xml:space="preserve">However, </w:t>
      </w:r>
      <w:r w:rsidR="00C05477">
        <w:rPr>
          <w:color w:val="auto"/>
          <w:szCs w:val="24"/>
        </w:rPr>
        <w:t xml:space="preserve">approvals </w:t>
      </w:r>
      <w:r w:rsidR="00FE1C90">
        <w:rPr>
          <w:color w:val="auto"/>
          <w:szCs w:val="24"/>
        </w:rPr>
        <w:t>are indicative of potential</w:t>
      </w:r>
      <w:r w:rsidR="000D5A66">
        <w:rPr>
          <w:color w:val="auto"/>
          <w:szCs w:val="24"/>
        </w:rPr>
        <w:t xml:space="preserve"> rather than </w:t>
      </w:r>
      <w:r w:rsidR="00FE1C90">
        <w:rPr>
          <w:color w:val="auto"/>
          <w:szCs w:val="24"/>
        </w:rPr>
        <w:t xml:space="preserve">actual investment. </w:t>
      </w:r>
    </w:p>
    <w:p w14:paraId="75DE63CE" w14:textId="510FB93D" w:rsidR="00FD0D0B" w:rsidRDefault="00FE1C90" w:rsidP="00FD0D0B">
      <w:pPr>
        <w:rPr>
          <w:color w:val="auto"/>
          <w:szCs w:val="24"/>
        </w:rPr>
      </w:pPr>
      <w:r>
        <w:rPr>
          <w:color w:val="auto"/>
          <w:szCs w:val="24"/>
        </w:rPr>
        <w:t xml:space="preserve">A significant factor contributing to the </w:t>
      </w:r>
      <w:r w:rsidR="00BF3A23">
        <w:rPr>
          <w:color w:val="auto"/>
          <w:szCs w:val="24"/>
        </w:rPr>
        <w:t>reduction</w:t>
      </w:r>
      <w:r w:rsidR="00FD0D0B">
        <w:rPr>
          <w:color w:val="auto"/>
          <w:szCs w:val="24"/>
        </w:rPr>
        <w:t xml:space="preserve"> </w:t>
      </w:r>
      <w:r>
        <w:rPr>
          <w:color w:val="auto"/>
          <w:szCs w:val="24"/>
        </w:rPr>
        <w:t xml:space="preserve">applications for the reporting period was </w:t>
      </w:r>
      <w:r w:rsidR="00FD0D0B">
        <w:rPr>
          <w:color w:val="auto"/>
          <w:szCs w:val="24"/>
        </w:rPr>
        <w:t>the introduction of application fees from 1 December 2015</w:t>
      </w:r>
      <w:r w:rsidR="009377AF">
        <w:rPr>
          <w:color w:val="auto"/>
          <w:szCs w:val="24"/>
        </w:rPr>
        <w:t xml:space="preserve">. The introduction of fees </w:t>
      </w:r>
      <w:r w:rsidR="00272173">
        <w:t>resulted in investors only applying for properties they intend</w:t>
      </w:r>
      <w:r w:rsidR="009377AF">
        <w:t xml:space="preserve"> to </w:t>
      </w:r>
      <w:r w:rsidR="00272173">
        <w:t>purchase</w:t>
      </w:r>
      <w:r w:rsidR="00F346E9">
        <w:t>.</w:t>
      </w:r>
      <w:r w:rsidR="009377AF">
        <w:rPr>
          <w:color w:val="auto"/>
          <w:szCs w:val="24"/>
        </w:rPr>
        <w:t xml:space="preserve"> </w:t>
      </w:r>
      <w:r w:rsidR="00BF3A23">
        <w:rPr>
          <w:color w:val="auto"/>
          <w:szCs w:val="24"/>
        </w:rPr>
        <w:t xml:space="preserve">Other factors </w:t>
      </w:r>
      <w:r w:rsidR="000D5A66">
        <w:rPr>
          <w:color w:val="auto"/>
          <w:szCs w:val="24"/>
        </w:rPr>
        <w:t xml:space="preserve">which may </w:t>
      </w:r>
      <w:r w:rsidR="00BF3A23">
        <w:rPr>
          <w:color w:val="auto"/>
          <w:szCs w:val="24"/>
        </w:rPr>
        <w:t>explain the decrease include; Chinese capital controls and the introduction of state based taxes on foreign investors.</w:t>
      </w:r>
    </w:p>
    <w:p w14:paraId="6FA7CF24" w14:textId="03453DC9" w:rsidR="00FD0D0B" w:rsidRDefault="00FD0D0B" w:rsidP="00FD0D0B">
      <w:pPr>
        <w:rPr>
          <w:color w:val="auto"/>
          <w:szCs w:val="24"/>
        </w:rPr>
      </w:pPr>
      <w:r>
        <w:rPr>
          <w:color w:val="auto"/>
          <w:szCs w:val="24"/>
        </w:rPr>
        <w:t>The proportion o</w:t>
      </w:r>
      <w:r w:rsidRPr="006A6448">
        <w:rPr>
          <w:color w:val="auto"/>
          <w:szCs w:val="24"/>
        </w:rPr>
        <w:t xml:space="preserve">f all residential real estate approvals for development </w:t>
      </w:r>
      <w:r>
        <w:rPr>
          <w:color w:val="auto"/>
          <w:szCs w:val="24"/>
        </w:rPr>
        <w:t xml:space="preserve">remained relatively stable in comparison to the previous year and represents </w:t>
      </w:r>
      <w:r w:rsidR="00E573C0">
        <w:rPr>
          <w:color w:val="auto"/>
          <w:szCs w:val="24"/>
        </w:rPr>
        <w:t>around 8</w:t>
      </w:r>
      <w:r w:rsidR="00EF06B4">
        <w:rPr>
          <w:color w:val="auto"/>
          <w:szCs w:val="24"/>
        </w:rPr>
        <w:t>8</w:t>
      </w:r>
      <w:r w:rsidRPr="006A6448">
        <w:rPr>
          <w:color w:val="auto"/>
          <w:szCs w:val="24"/>
        </w:rPr>
        <w:t xml:space="preserve"> per cent of</w:t>
      </w:r>
      <w:r w:rsidR="00EF06B4">
        <w:rPr>
          <w:color w:val="auto"/>
          <w:szCs w:val="24"/>
        </w:rPr>
        <w:t xml:space="preserve"> the value </w:t>
      </w:r>
      <w:r w:rsidRPr="006A6448">
        <w:rPr>
          <w:color w:val="auto"/>
          <w:szCs w:val="24"/>
        </w:rPr>
        <w:t xml:space="preserve">of </w:t>
      </w:r>
      <w:r>
        <w:rPr>
          <w:color w:val="auto"/>
          <w:szCs w:val="24"/>
        </w:rPr>
        <w:t xml:space="preserve">all </w:t>
      </w:r>
      <w:r w:rsidRPr="006A6448">
        <w:rPr>
          <w:color w:val="auto"/>
          <w:szCs w:val="24"/>
        </w:rPr>
        <w:t>residential approvals in 201</w:t>
      </w:r>
      <w:r>
        <w:rPr>
          <w:color w:val="auto"/>
          <w:szCs w:val="24"/>
        </w:rPr>
        <w:t>6</w:t>
      </w:r>
      <w:r w:rsidR="00CD7E4F">
        <w:rPr>
          <w:color w:val="auto"/>
          <w:szCs w:val="24"/>
        </w:rPr>
        <w:t>–</w:t>
      </w:r>
      <w:r>
        <w:rPr>
          <w:color w:val="auto"/>
          <w:szCs w:val="24"/>
        </w:rPr>
        <w:t>17. Approvals</w:t>
      </w:r>
      <w:r w:rsidRPr="006A6448">
        <w:rPr>
          <w:color w:val="auto"/>
          <w:szCs w:val="24"/>
        </w:rPr>
        <w:t xml:space="preserve"> for development include approvals for new dwellings, vacant land and </w:t>
      </w:r>
      <w:r>
        <w:rPr>
          <w:color w:val="auto"/>
          <w:szCs w:val="24"/>
        </w:rPr>
        <w:t>redevelopment of existing residential property that increases the housing stock</w:t>
      </w:r>
      <w:r w:rsidRPr="006A6448">
        <w:rPr>
          <w:color w:val="auto"/>
          <w:szCs w:val="24"/>
        </w:rPr>
        <w:t>. This aligns with Australia</w:t>
      </w:r>
      <w:r>
        <w:rPr>
          <w:color w:val="auto"/>
          <w:szCs w:val="24"/>
        </w:rPr>
        <w:t>’</w:t>
      </w:r>
      <w:r w:rsidRPr="006A6448">
        <w:rPr>
          <w:color w:val="auto"/>
          <w:szCs w:val="24"/>
        </w:rPr>
        <w:t>s foreign investment policy</w:t>
      </w:r>
      <w:r>
        <w:rPr>
          <w:color w:val="auto"/>
          <w:szCs w:val="24"/>
        </w:rPr>
        <w:t>,</w:t>
      </w:r>
      <w:r w:rsidRPr="006A6448">
        <w:rPr>
          <w:color w:val="auto"/>
          <w:szCs w:val="24"/>
        </w:rPr>
        <w:t xml:space="preserve"> which </w:t>
      </w:r>
      <w:r>
        <w:rPr>
          <w:color w:val="auto"/>
          <w:szCs w:val="24"/>
        </w:rPr>
        <w:t>seeks</w:t>
      </w:r>
      <w:r w:rsidRPr="006A6448">
        <w:rPr>
          <w:color w:val="auto"/>
          <w:szCs w:val="24"/>
        </w:rPr>
        <w:t xml:space="preserve"> to attract investment that increases the housing stock</w:t>
      </w:r>
      <w:r>
        <w:rPr>
          <w:color w:val="auto"/>
          <w:szCs w:val="24"/>
        </w:rPr>
        <w:t>.</w:t>
      </w:r>
    </w:p>
    <w:p w14:paraId="13C29B48" w14:textId="6B9509C5" w:rsidR="00FD0D0B" w:rsidRDefault="00FD0D0B" w:rsidP="00FD0D0B">
      <w:pPr>
        <w:pStyle w:val="ChartMainHeading"/>
      </w:pPr>
      <w:r>
        <w:lastRenderedPageBreak/>
        <w:t xml:space="preserve">Chart </w:t>
      </w:r>
      <w:r w:rsidR="004E7C13">
        <w:t>4</w:t>
      </w:r>
      <w:r w:rsidR="004D445B">
        <w:t>.3</w:t>
      </w:r>
      <w:r>
        <w:t xml:space="preserve">: </w:t>
      </w:r>
      <w:r w:rsidR="007835DC">
        <w:t xml:space="preserve">Proportion </w:t>
      </w:r>
      <w:r>
        <w:t xml:space="preserve">of </w:t>
      </w:r>
      <w:r w:rsidR="007835DC">
        <w:t xml:space="preserve">residential real estate </w:t>
      </w:r>
      <w:r>
        <w:t xml:space="preserve">approvals </w:t>
      </w:r>
      <w:r w:rsidR="00753565">
        <w:t>by s</w:t>
      </w:r>
      <w:r>
        <w:t xml:space="preserve">tate </w:t>
      </w:r>
      <w:r w:rsidR="00753565">
        <w:t>and t</w:t>
      </w:r>
      <w:r>
        <w:t>erritory</w:t>
      </w:r>
      <w:r w:rsidR="00753565">
        <w:t xml:space="preserve"> in 2016</w:t>
      </w:r>
      <w:r w:rsidR="00CD7E4F">
        <w:t>–</w:t>
      </w:r>
      <w:r w:rsidR="00753565">
        <w:t>17</w:t>
      </w:r>
    </w:p>
    <w:p w14:paraId="2BCBCEBB" w14:textId="59A9576C" w:rsidR="00FD0D0B" w:rsidRDefault="00BC7F7B" w:rsidP="001753FA">
      <w:pPr>
        <w:pStyle w:val="ChartGraphic"/>
      </w:pPr>
      <w:bookmarkStart w:id="175" w:name="_1548074934"/>
      <w:bookmarkEnd w:id="175"/>
      <w:r>
        <w:rPr>
          <w:noProof/>
        </w:rPr>
        <w:drawing>
          <wp:inline distT="0" distB="0" distL="0" distR="0" wp14:anchorId="508B9F34" wp14:editId="2C6AB9FF">
            <wp:extent cx="4899804" cy="3717985"/>
            <wp:effectExtent l="0" t="0" r="0" b="0"/>
            <wp:docPr id="54" name="Chart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06E59072" w14:textId="6AD7A82E" w:rsidR="00FD0D0B" w:rsidRDefault="00FD0D0B" w:rsidP="00FE56B8">
      <w:pPr>
        <w:spacing w:before="240"/>
        <w:rPr>
          <w:rFonts w:eastAsiaTheme="majorEastAsia" w:cstheme="majorBidi"/>
          <w:b/>
          <w:bCs/>
          <w:smallCaps/>
          <w:color w:val="4F81BD" w:themeColor="accent1"/>
          <w:sz w:val="24"/>
        </w:rPr>
      </w:pPr>
      <w:r>
        <w:rPr>
          <w:color w:val="auto"/>
        </w:rPr>
        <w:t>Nearly three</w:t>
      </w:r>
      <w:r>
        <w:rPr>
          <w:color w:val="auto"/>
        </w:rPr>
        <w:noBreakHyphen/>
        <w:t xml:space="preserve">quarters </w:t>
      </w:r>
      <w:r w:rsidRPr="00637250">
        <w:rPr>
          <w:color w:val="auto"/>
          <w:szCs w:val="24"/>
        </w:rPr>
        <w:t xml:space="preserve">of </w:t>
      </w:r>
      <w:r>
        <w:rPr>
          <w:color w:val="auto"/>
          <w:szCs w:val="24"/>
        </w:rPr>
        <w:t xml:space="preserve">all </w:t>
      </w:r>
      <w:r w:rsidRPr="00637250">
        <w:rPr>
          <w:color w:val="auto"/>
          <w:szCs w:val="24"/>
        </w:rPr>
        <w:t xml:space="preserve">residential real estate approvals were for purchases in Victoria </w:t>
      </w:r>
      <w:r w:rsidR="00753565">
        <w:rPr>
          <w:color w:val="auto"/>
          <w:szCs w:val="24"/>
        </w:rPr>
        <w:t>or</w:t>
      </w:r>
      <w:r w:rsidRPr="00637250">
        <w:rPr>
          <w:color w:val="auto"/>
          <w:szCs w:val="24"/>
        </w:rPr>
        <w:t xml:space="preserve"> New South Wales. This is consistent with recent years and reflects strong </w:t>
      </w:r>
      <w:r>
        <w:rPr>
          <w:color w:val="auto"/>
          <w:szCs w:val="24"/>
        </w:rPr>
        <w:t>demand</w:t>
      </w:r>
      <w:r w:rsidRPr="00637250">
        <w:rPr>
          <w:color w:val="auto"/>
          <w:szCs w:val="24"/>
        </w:rPr>
        <w:t xml:space="preserve"> </w:t>
      </w:r>
      <w:r>
        <w:rPr>
          <w:color w:val="auto"/>
          <w:szCs w:val="24"/>
        </w:rPr>
        <w:t xml:space="preserve">for residential property </w:t>
      </w:r>
      <w:r w:rsidRPr="00637250">
        <w:rPr>
          <w:color w:val="auto"/>
          <w:szCs w:val="24"/>
        </w:rPr>
        <w:t>in Sydney and Melbourne.</w:t>
      </w:r>
      <w:r>
        <w:rPr>
          <w:smallCaps/>
          <w:sz w:val="24"/>
        </w:rPr>
        <w:br w:type="page"/>
      </w:r>
    </w:p>
    <w:p w14:paraId="5778C755" w14:textId="4407CFAA" w:rsidR="00FD0D0B" w:rsidRPr="00FD0D0B" w:rsidRDefault="00FD0D0B">
      <w:pPr>
        <w:spacing w:after="200" w:line="276" w:lineRule="auto"/>
        <w:jc w:val="left"/>
      </w:pPr>
      <w:r w:rsidRPr="0025623B">
        <w:rPr>
          <w:noProof/>
        </w:rPr>
        <w:lastRenderedPageBreak/>
        <mc:AlternateContent>
          <mc:Choice Requires="wps">
            <w:drawing>
              <wp:anchor distT="0" distB="0" distL="114300" distR="114300" simplePos="0" relativeHeight="251658249" behindDoc="0" locked="0" layoutInCell="1" allowOverlap="1" wp14:anchorId="4DCFB0E7" wp14:editId="6CC7339C">
                <wp:simplePos x="0" y="0"/>
                <wp:positionH relativeFrom="column">
                  <wp:posOffset>21590</wp:posOffset>
                </wp:positionH>
                <wp:positionV relativeFrom="paragraph">
                  <wp:posOffset>-65405</wp:posOffset>
                </wp:positionV>
                <wp:extent cx="4865370" cy="7633970"/>
                <wp:effectExtent l="0" t="0" r="0" b="5080"/>
                <wp:wrapTopAndBottom/>
                <wp:docPr id="25" name="Snip and Round Single Corner Rectangle 25"/>
                <wp:cNvGraphicFramePr/>
                <a:graphic xmlns:a="http://schemas.openxmlformats.org/drawingml/2006/main">
                  <a:graphicData uri="http://schemas.microsoft.com/office/word/2010/wordprocessingShape">
                    <wps:wsp>
                      <wps:cNvSpPr/>
                      <wps:spPr>
                        <a:xfrm>
                          <a:off x="0" y="0"/>
                          <a:ext cx="4865370" cy="7633970"/>
                        </a:xfrm>
                        <a:prstGeom prst="snipRoundRect">
                          <a:avLst>
                            <a:gd name="adj1" fmla="val 4788"/>
                            <a:gd name="adj2" fmla="val 10461"/>
                          </a:avLst>
                        </a:prstGeom>
                        <a:solidFill>
                          <a:srgbClr val="155A76"/>
                        </a:solidFill>
                        <a:ln w="25400" cap="flat" cmpd="sng" algn="ctr">
                          <a:noFill/>
                          <a:prstDash val="solid"/>
                        </a:ln>
                        <a:effectLst/>
                      </wps:spPr>
                      <wps:txbx>
                        <w:txbxContent>
                          <w:p w14:paraId="6342B7EE" w14:textId="77777777" w:rsidR="00AE54F4" w:rsidRDefault="00AE54F4" w:rsidP="00FD0D0B">
                            <w:pPr>
                              <w:pStyle w:val="BoxHeading"/>
                            </w:pPr>
                            <w:r>
                              <w:t>A closer look at residential real estate</w:t>
                            </w:r>
                          </w:p>
                          <w:p w14:paraId="119706A5" w14:textId="2FFB74C1" w:rsidR="00AE54F4" w:rsidRDefault="00AE54F4" w:rsidP="00FD0D0B">
                            <w:pPr>
                              <w:pStyle w:val="BoxText"/>
                            </w:pPr>
                            <w:r w:rsidRPr="00337D60">
                              <w:t xml:space="preserve">Government policy aims to increase Australia’s housing stock by channelling foreign investment into new dwellings. Budget measures </w:t>
                            </w:r>
                            <w:r>
                              <w:t xml:space="preserve">announced in 2017-18 </w:t>
                            </w:r>
                            <w:r w:rsidRPr="00337D60">
                              <w:t xml:space="preserve">build on the package of reforms the Government introduced in 2015 </w:t>
                            </w:r>
                            <w:r>
                              <w:t xml:space="preserve">which </w:t>
                            </w:r>
                            <w:r w:rsidRPr="00337D60">
                              <w:t>strengthened the rules around foreign investment in residential real estate. In 2016-17, approximately 85 per cent of approved proposals for residential real estate were investment</w:t>
                            </w:r>
                            <w:r>
                              <w:t>s</w:t>
                            </w:r>
                            <w:r w:rsidRPr="00337D60">
                              <w:t xml:space="preserve"> into new dwellings or vacant land for development, adding to Australia’s total housing stock.</w:t>
                            </w:r>
                          </w:p>
                          <w:p w14:paraId="69E6B1F8" w14:textId="39FF201A" w:rsidR="00AE54F4" w:rsidRDefault="00AE54F4" w:rsidP="00FD0D0B">
                            <w:pPr>
                              <w:pStyle w:val="BoxText"/>
                            </w:pPr>
                            <w:r w:rsidRPr="00337D60">
                              <w:t xml:space="preserve">Following strong growth in foreign investment applications through 2014 and 2015, FIRB </w:t>
                            </w:r>
                            <w:r>
                              <w:t>approvals</w:t>
                            </w:r>
                            <w:r w:rsidRPr="00337D60">
                              <w:t xml:space="preserve"> to purchase residential real estate have </w:t>
                            </w:r>
                            <w:r>
                              <w:t>decreased in 2016-17</w:t>
                            </w:r>
                            <w:r w:rsidRPr="00337D60">
                              <w:t xml:space="preserve">. The </w:t>
                            </w:r>
                            <w:r>
                              <w:t>reduction</w:t>
                            </w:r>
                            <w:r w:rsidRPr="00337D60">
                              <w:t xml:space="preserve"> in </w:t>
                            </w:r>
                            <w:r>
                              <w:t>approvals</w:t>
                            </w:r>
                            <w:r w:rsidRPr="00337D60">
                              <w:t xml:space="preserve"> </w:t>
                            </w:r>
                            <w:r>
                              <w:t xml:space="preserve">reflects investor reaction </w:t>
                            </w:r>
                            <w:r w:rsidRPr="00337D60">
                              <w:t>to the introduction of FIRB application fees in 2015</w:t>
                            </w:r>
                            <w:r>
                              <w:t>, which has changed investor behaviour by encouraging applications only for properties they intend to acquire</w:t>
                            </w:r>
                            <w:r w:rsidRPr="00337D60">
                              <w:t xml:space="preserve">. Investors now have an incentive to apply </w:t>
                            </w:r>
                            <w:r>
                              <w:t xml:space="preserve">only </w:t>
                            </w:r>
                            <w:r w:rsidRPr="00337D60">
                              <w:t>when they have a high certainty of purchasing.</w:t>
                            </w:r>
                          </w:p>
                          <w:p w14:paraId="62B36874" w14:textId="27C189B8" w:rsidR="00AE54F4" w:rsidRPr="00586CF1" w:rsidRDefault="00AE54F4" w:rsidP="007B137D">
                            <w:pPr>
                              <w:spacing w:after="0"/>
                              <w:rPr>
                                <w:rFonts w:ascii="Calibri" w:hAnsi="Calibri"/>
                                <w:b/>
                                <w:color w:val="FFFFFF" w:themeColor="background1"/>
                                <w:sz w:val="22"/>
                                <w:szCs w:val="22"/>
                              </w:rPr>
                            </w:pPr>
                            <w:r>
                              <w:rPr>
                                <w:rFonts w:ascii="Calibri" w:hAnsi="Calibri"/>
                                <w:b/>
                                <w:color w:val="FFFFFF" w:themeColor="background1"/>
                                <w:sz w:val="22"/>
                                <w:szCs w:val="22"/>
                              </w:rPr>
                              <w:t xml:space="preserve">Chart 4.4: Residential real estate approvals by year </w:t>
                            </w:r>
                          </w:p>
                          <w:p w14:paraId="5246629D" w14:textId="27C5880D" w:rsidR="00AE54F4" w:rsidRPr="00337D60" w:rsidRDefault="00AE54F4" w:rsidP="00F91618">
                            <w:pPr>
                              <w:pStyle w:val="ChartGraphic"/>
                              <w:spacing w:after="240"/>
                            </w:pPr>
                            <w:r>
                              <w:rPr>
                                <w:noProof/>
                              </w:rPr>
                              <w:drawing>
                                <wp:inline distT="0" distB="0" distL="0" distR="0" wp14:anchorId="6001262C" wp14:editId="0BA9BEA7">
                                  <wp:extent cx="4433978" cy="2579298"/>
                                  <wp:effectExtent l="0" t="0" r="0" b="0"/>
                                  <wp:docPr id="51" name="Chart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714213F9" w14:textId="50C4197F" w:rsidR="00AE54F4" w:rsidRPr="00337D60" w:rsidRDefault="00AE54F4" w:rsidP="00FD0D0B">
                            <w:pPr>
                              <w:pStyle w:val="BoxText"/>
                            </w:pPr>
                            <w:r w:rsidRPr="00337D60">
                              <w:t>Prior to the introduction of fees</w:t>
                            </w:r>
                            <w:r>
                              <w:t xml:space="preserve"> in December 2015</w:t>
                            </w:r>
                            <w:r w:rsidRPr="00337D60">
                              <w:t xml:space="preserve">, individuals often made </w:t>
                            </w:r>
                            <w:r>
                              <w:t>several</w:t>
                            </w:r>
                            <w:r w:rsidRPr="00337D60">
                              <w:t xml:space="preserve"> applications earlier in the process when considering multiple properties</w:t>
                            </w:r>
                            <w:r>
                              <w:t xml:space="preserve">, </w:t>
                            </w:r>
                            <w:r w:rsidRPr="00C61967">
                              <w:t>even though they might have only ended up purchasing a single property.</w:t>
                            </w:r>
                            <w:r>
                              <w:t xml:space="preserve"> This</w:t>
                            </w:r>
                            <w:r w:rsidDel="00657A3A">
                              <w:t xml:space="preserve"> </w:t>
                            </w:r>
                            <w:r>
                              <w:t>suggests that the resulting reduction in approvals may not imply a corresponding a reduction in actual investment in residential real estate. That is, the actual decline is likely to be lower than implied by the data.</w:t>
                            </w:r>
                          </w:p>
                          <w:p w14:paraId="510B943D" w14:textId="4074131D" w:rsidR="00AE54F4" w:rsidRDefault="00AE54F4" w:rsidP="00FD0D0B">
                            <w:pPr>
                              <w:pStyle w:val="BoxText"/>
                            </w:pPr>
                            <w:r>
                              <w:t>T</w:t>
                            </w:r>
                            <w:r w:rsidRPr="00153C0E">
                              <w:t>he</w:t>
                            </w:r>
                            <w:r>
                              <w:t xml:space="preserve"> actual</w:t>
                            </w:r>
                            <w:r w:rsidRPr="00153C0E">
                              <w:t xml:space="preserve"> slowdown also potentially reflects a weakening in underlying foreign demand. Factors affecting foreign </w:t>
                            </w:r>
                            <w:r>
                              <w:t xml:space="preserve">investment </w:t>
                            </w:r>
                            <w:r w:rsidRPr="00153C0E">
                              <w:t>include tightening of bank lending to foreigners, tighter Chinese capital controls (</w:t>
                            </w:r>
                            <w:r>
                              <w:t>where Chinese investors made up 40 per cent of applications</w:t>
                            </w:r>
                            <w:r w:rsidRPr="00153C0E">
                              <w:t>), weaker market conditions and additional taxes imposed on foreign inve</w:t>
                            </w:r>
                            <w:r>
                              <w:t>stor purchases in Victoria, New </w:t>
                            </w:r>
                            <w:r w:rsidRPr="00153C0E">
                              <w:t>South Wales and Queensland.</w:t>
                            </w:r>
                          </w:p>
                          <w:p w14:paraId="4442D33C" w14:textId="77777777" w:rsidR="00AE54F4" w:rsidRDefault="00AE54F4" w:rsidP="00FD0D0B">
                            <w:pPr>
                              <w:pStyle w:val="BoxText"/>
                            </w:pPr>
                          </w:p>
                          <w:p w14:paraId="52AE6DED" w14:textId="77777777" w:rsidR="00AE54F4" w:rsidRDefault="00AE54F4" w:rsidP="00FD0D0B">
                            <w:pPr>
                              <w:pStyle w:val="BoxText"/>
                            </w:pPr>
                          </w:p>
                          <w:p w14:paraId="08BC01BB" w14:textId="77777777" w:rsidR="00AE54F4" w:rsidRDefault="00AE54F4" w:rsidP="00FD0D0B">
                            <w:pPr>
                              <w:pStyle w:val="BoxText"/>
                            </w:pPr>
                          </w:p>
                          <w:p w14:paraId="2F9B143D" w14:textId="77777777" w:rsidR="00AE54F4" w:rsidRDefault="00AE54F4" w:rsidP="00FD0D0B">
                            <w:pPr>
                              <w:pStyle w:val="BoxText"/>
                            </w:pPr>
                          </w:p>
                          <w:p w14:paraId="6B642F91" w14:textId="77777777" w:rsidR="00AE54F4" w:rsidRDefault="00AE54F4" w:rsidP="00FD0D0B">
                            <w:pPr>
                              <w:pStyle w:val="BoxText"/>
                            </w:pPr>
                          </w:p>
                          <w:p w14:paraId="7D81AB7C" w14:textId="77777777" w:rsidR="00AE54F4" w:rsidRDefault="00AE54F4" w:rsidP="00FD0D0B">
                            <w:pPr>
                              <w:pStyle w:val="BoxText"/>
                            </w:pPr>
                          </w:p>
                          <w:p w14:paraId="729C9DC5" w14:textId="77777777" w:rsidR="00AE54F4" w:rsidRDefault="00AE54F4" w:rsidP="00FD0D0B">
                            <w:pPr>
                              <w:pStyle w:val="BoxText"/>
                            </w:pPr>
                          </w:p>
                          <w:p w14:paraId="7D5D73CB" w14:textId="77777777" w:rsidR="00AE54F4" w:rsidRDefault="00AE54F4" w:rsidP="00FD0D0B">
                            <w:pPr>
                              <w:pStyle w:val="BoxText"/>
                            </w:pPr>
                          </w:p>
                          <w:p w14:paraId="05301BE0" w14:textId="77777777" w:rsidR="00AE54F4" w:rsidRDefault="00AE54F4" w:rsidP="00FD0D0B">
                            <w:pPr>
                              <w:pStyle w:val="BoxText"/>
                            </w:pPr>
                          </w:p>
                          <w:p w14:paraId="21AA0DDC" w14:textId="77777777" w:rsidR="00AE54F4" w:rsidRDefault="00AE54F4" w:rsidP="00FD0D0B">
                            <w:pPr>
                              <w:pStyle w:val="BoxText"/>
                            </w:pPr>
                          </w:p>
                          <w:p w14:paraId="13E26E37" w14:textId="77777777" w:rsidR="00AE54F4" w:rsidRDefault="00AE54F4" w:rsidP="00FD0D0B">
                            <w:pPr>
                              <w:pStyle w:val="BoxText"/>
                            </w:pPr>
                          </w:p>
                          <w:p w14:paraId="70AAFDC8" w14:textId="77777777" w:rsidR="00AE54F4" w:rsidRDefault="00AE54F4" w:rsidP="00FD0D0B">
                            <w:pPr>
                              <w:pStyle w:val="BoxText"/>
                            </w:pPr>
                          </w:p>
                          <w:p w14:paraId="6AD6DEA2" w14:textId="77777777" w:rsidR="00AE54F4" w:rsidRDefault="00AE54F4" w:rsidP="00FD0D0B">
                            <w:pPr>
                              <w:pStyle w:val="BoxText"/>
                            </w:pPr>
                          </w:p>
                          <w:p w14:paraId="5027EC27" w14:textId="77777777" w:rsidR="00AE54F4" w:rsidRPr="007A115B" w:rsidRDefault="00AE54F4" w:rsidP="00FD0D0B">
                            <w:pPr>
                              <w:pStyle w:val="BoxText"/>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Snip and Round Single Corner Rectangle 25" o:spid="_x0000_s1059" style="position:absolute;margin-left:1.7pt;margin-top:-5.15pt;width:383.1pt;height:601.1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coordsize="4865370,763397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" adj="-11796480,,5400" path="m232954,l4356404,r508966,508966l4865370,7633970,,7633970,,232954c,104297,104297,,232954,xe" fillcolor="#155a76" stroked="f" strokeweight="2pt">
                <v:stroke joinstyle="miter"/>
                <v:formulas/>
                <v:path arrowok="t" o:connecttype="custom" o:connectlocs="232954,0;4356404,0;4865370,508966;4865370,7633970;0,7633970;0,232954;232954,0" o:connectangles="0,0,0,0,0,0,0" textboxrect="0,0,4865370,7633970"/>
                <v:textbox>
                  <w:txbxContent>
                    <w:p w14:paraId="6342B7EE" w14:textId="77777777" w:rsidR="00AE54F4" w:rsidRDefault="00AE54F4" w:rsidP="00FD0D0B">
                      <w:pPr>
                        <w:pStyle w:val="BoxHeading"/>
                      </w:pPr>
                      <w:r>
                        <w:t>A closer look at residential real estate</w:t>
                      </w:r>
                    </w:p>
                    <w:p w14:paraId="119706A5" w14:textId="2FFB74C1" w:rsidR="00AE54F4" w:rsidRDefault="00AE54F4" w:rsidP="00FD0D0B">
                      <w:pPr>
                        <w:pStyle w:val="BoxText"/>
                      </w:pPr>
                      <w:r w:rsidRPr="00337D60">
                        <w:t xml:space="preserve">Government policy aims to increase Australia’s housing stock by channelling foreign investment into new dwellings. Budget measures </w:t>
                      </w:r>
                      <w:r>
                        <w:t xml:space="preserve">announced in 2017-18 </w:t>
                      </w:r>
                      <w:r w:rsidRPr="00337D60">
                        <w:t xml:space="preserve">build on the package of reforms the Government introduced in 2015 </w:t>
                      </w:r>
                      <w:r>
                        <w:t xml:space="preserve">which </w:t>
                      </w:r>
                      <w:r w:rsidRPr="00337D60">
                        <w:t>strengthened the rules around foreign investment in residential real estate. In 2016-17, approximately 85 per cent of approved proposals for residential real estate were investment</w:t>
                      </w:r>
                      <w:r>
                        <w:t>s</w:t>
                      </w:r>
                      <w:r w:rsidRPr="00337D60">
                        <w:t xml:space="preserve"> into new dwellings or vacant land for development, adding to Australia’s total housing stock.</w:t>
                      </w:r>
                    </w:p>
                    <w:p w14:paraId="69E6B1F8" w14:textId="39FF201A" w:rsidR="00AE54F4" w:rsidRDefault="00AE54F4" w:rsidP="00FD0D0B">
                      <w:pPr>
                        <w:pStyle w:val="BoxText"/>
                      </w:pPr>
                      <w:r w:rsidRPr="00337D60">
                        <w:t xml:space="preserve">Following strong growth in foreign investment applications through 2014 and 2015, FIRB </w:t>
                      </w:r>
                      <w:r>
                        <w:t>approvals</w:t>
                      </w:r>
                      <w:r w:rsidRPr="00337D60">
                        <w:t xml:space="preserve"> to purchase residential real estate have </w:t>
                      </w:r>
                      <w:r>
                        <w:t>decreased in 2016-17</w:t>
                      </w:r>
                      <w:r w:rsidRPr="00337D60">
                        <w:t xml:space="preserve">. The </w:t>
                      </w:r>
                      <w:r>
                        <w:t>reduction</w:t>
                      </w:r>
                      <w:r w:rsidRPr="00337D60">
                        <w:t xml:space="preserve"> in </w:t>
                      </w:r>
                      <w:r>
                        <w:t>approvals</w:t>
                      </w:r>
                      <w:r w:rsidRPr="00337D60">
                        <w:t xml:space="preserve"> </w:t>
                      </w:r>
                      <w:r>
                        <w:t xml:space="preserve">reflects investor reaction </w:t>
                      </w:r>
                      <w:r w:rsidRPr="00337D60">
                        <w:t>to the introduction of FIRB application fees in 2015</w:t>
                      </w:r>
                      <w:r>
                        <w:t>, which has changed investor behaviour by encouraging applications only for properties they intend to acquire</w:t>
                      </w:r>
                      <w:r w:rsidRPr="00337D60">
                        <w:t xml:space="preserve">. Investors now have an incentive to apply </w:t>
                      </w:r>
                      <w:r>
                        <w:t xml:space="preserve">only </w:t>
                      </w:r>
                      <w:r w:rsidRPr="00337D60">
                        <w:t>when they have a high certainty of purchasing.</w:t>
                      </w:r>
                    </w:p>
                    <w:p w14:paraId="62B36874" w14:textId="27C189B8" w:rsidR="00AE54F4" w:rsidRPr="00586CF1" w:rsidRDefault="00AE54F4" w:rsidP="007B137D">
                      <w:pPr>
                        <w:spacing w:after="0"/>
                        <w:rPr>
                          <w:rFonts w:ascii="Calibri" w:hAnsi="Calibri"/>
                          <w:b/>
                          <w:color w:val="FFFFFF" w:themeColor="background1"/>
                          <w:sz w:val="22"/>
                          <w:szCs w:val="22"/>
                        </w:rPr>
                      </w:pPr>
                      <w:r>
                        <w:rPr>
                          <w:rFonts w:ascii="Calibri" w:hAnsi="Calibri"/>
                          <w:b/>
                          <w:color w:val="FFFFFF" w:themeColor="background1"/>
                          <w:sz w:val="22"/>
                          <w:szCs w:val="22"/>
                        </w:rPr>
                        <w:t xml:space="preserve">Chart 4.4: Residential real estate approvals by year </w:t>
                      </w:r>
                    </w:p>
                    <w:p w14:paraId="5246629D" w14:textId="27C5880D" w:rsidR="00AE54F4" w:rsidRPr="00337D60" w:rsidRDefault="00AE54F4" w:rsidP="00F91618">
                      <w:pPr>
                        <w:pStyle w:val="ChartGraphic"/>
                        <w:spacing w:after="240"/>
                      </w:pPr>
                      <w:r>
                        <w:rPr>
                          <w:noProof/>
                        </w:rPr>
                        <w:drawing>
                          <wp:inline distT="0" distB="0" distL="0" distR="0" wp14:anchorId="6001262C" wp14:editId="0BA9BEA7">
                            <wp:extent cx="4433978" cy="2579298"/>
                            <wp:effectExtent l="0" t="0" r="0" b="0"/>
                            <wp:docPr id="51" name="Chart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714213F9" w14:textId="50C4197F" w:rsidR="00AE54F4" w:rsidRPr="00337D60" w:rsidRDefault="00AE54F4" w:rsidP="00FD0D0B">
                      <w:pPr>
                        <w:pStyle w:val="BoxText"/>
                      </w:pPr>
                      <w:r w:rsidRPr="00337D60">
                        <w:t>Prior to the introduction of fees</w:t>
                      </w:r>
                      <w:r>
                        <w:t xml:space="preserve"> in December 2015</w:t>
                      </w:r>
                      <w:r w:rsidRPr="00337D60">
                        <w:t xml:space="preserve">, individuals often made </w:t>
                      </w:r>
                      <w:r>
                        <w:t>several</w:t>
                      </w:r>
                      <w:r w:rsidRPr="00337D60">
                        <w:t xml:space="preserve"> applications earlier in the process when considering multiple properties</w:t>
                      </w:r>
                      <w:r>
                        <w:t xml:space="preserve">, </w:t>
                      </w:r>
                      <w:r w:rsidRPr="00C61967">
                        <w:t>even though they might have only ended up purchasing a single property.</w:t>
                      </w:r>
                      <w:r>
                        <w:t xml:space="preserve"> This</w:t>
                      </w:r>
                      <w:r w:rsidDel="00657A3A">
                        <w:t xml:space="preserve"> </w:t>
                      </w:r>
                      <w:r>
                        <w:t>suggests that the resulting reduction in approvals may not imply a corresponding a reduction in actual investment in residential real estate. That is, the actual decline is likely to be lower than implied by the data.</w:t>
                      </w:r>
                    </w:p>
                    <w:p w14:paraId="510B943D" w14:textId="4074131D" w:rsidR="00AE54F4" w:rsidRDefault="00AE54F4" w:rsidP="00FD0D0B">
                      <w:pPr>
                        <w:pStyle w:val="BoxText"/>
                      </w:pPr>
                      <w:r>
                        <w:t>T</w:t>
                      </w:r>
                      <w:r w:rsidRPr="00153C0E">
                        <w:t>he</w:t>
                      </w:r>
                      <w:r>
                        <w:t xml:space="preserve"> actual</w:t>
                      </w:r>
                      <w:r w:rsidRPr="00153C0E">
                        <w:t xml:space="preserve"> slowdown also potentially reflects a weakening in underlying foreign demand. Factors affecting foreign </w:t>
                      </w:r>
                      <w:r>
                        <w:t xml:space="preserve">investment </w:t>
                      </w:r>
                      <w:r w:rsidRPr="00153C0E">
                        <w:t>include tightening of bank lending to foreigners, tighter Chinese capital controls (</w:t>
                      </w:r>
                      <w:r>
                        <w:t>where Chinese investors made up 40 per cent of applications</w:t>
                      </w:r>
                      <w:r w:rsidRPr="00153C0E">
                        <w:t>), weaker market conditions and additional taxes imposed on foreign inve</w:t>
                      </w:r>
                      <w:r>
                        <w:t>stor purchases in Victoria, New </w:t>
                      </w:r>
                      <w:r w:rsidRPr="00153C0E">
                        <w:t>South Wales and Queensland.</w:t>
                      </w:r>
                    </w:p>
                    <w:p w14:paraId="4442D33C" w14:textId="77777777" w:rsidR="00AE54F4" w:rsidRDefault="00AE54F4" w:rsidP="00FD0D0B">
                      <w:pPr>
                        <w:pStyle w:val="BoxText"/>
                      </w:pPr>
                    </w:p>
                    <w:p w14:paraId="52AE6DED" w14:textId="77777777" w:rsidR="00AE54F4" w:rsidRDefault="00AE54F4" w:rsidP="00FD0D0B">
                      <w:pPr>
                        <w:pStyle w:val="BoxText"/>
                      </w:pPr>
                    </w:p>
                    <w:p w14:paraId="08BC01BB" w14:textId="77777777" w:rsidR="00AE54F4" w:rsidRDefault="00AE54F4" w:rsidP="00FD0D0B">
                      <w:pPr>
                        <w:pStyle w:val="BoxText"/>
                      </w:pPr>
                    </w:p>
                    <w:p w14:paraId="2F9B143D" w14:textId="77777777" w:rsidR="00AE54F4" w:rsidRDefault="00AE54F4" w:rsidP="00FD0D0B">
                      <w:pPr>
                        <w:pStyle w:val="BoxText"/>
                      </w:pPr>
                    </w:p>
                    <w:p w14:paraId="6B642F91" w14:textId="77777777" w:rsidR="00AE54F4" w:rsidRDefault="00AE54F4" w:rsidP="00FD0D0B">
                      <w:pPr>
                        <w:pStyle w:val="BoxText"/>
                      </w:pPr>
                    </w:p>
                    <w:p w14:paraId="7D81AB7C" w14:textId="77777777" w:rsidR="00AE54F4" w:rsidRDefault="00AE54F4" w:rsidP="00FD0D0B">
                      <w:pPr>
                        <w:pStyle w:val="BoxText"/>
                      </w:pPr>
                    </w:p>
                    <w:p w14:paraId="729C9DC5" w14:textId="77777777" w:rsidR="00AE54F4" w:rsidRDefault="00AE54F4" w:rsidP="00FD0D0B">
                      <w:pPr>
                        <w:pStyle w:val="BoxText"/>
                      </w:pPr>
                    </w:p>
                    <w:p w14:paraId="7D5D73CB" w14:textId="77777777" w:rsidR="00AE54F4" w:rsidRDefault="00AE54F4" w:rsidP="00FD0D0B">
                      <w:pPr>
                        <w:pStyle w:val="BoxText"/>
                      </w:pPr>
                    </w:p>
                    <w:p w14:paraId="05301BE0" w14:textId="77777777" w:rsidR="00AE54F4" w:rsidRDefault="00AE54F4" w:rsidP="00FD0D0B">
                      <w:pPr>
                        <w:pStyle w:val="BoxText"/>
                      </w:pPr>
                    </w:p>
                    <w:p w14:paraId="21AA0DDC" w14:textId="77777777" w:rsidR="00AE54F4" w:rsidRDefault="00AE54F4" w:rsidP="00FD0D0B">
                      <w:pPr>
                        <w:pStyle w:val="BoxText"/>
                      </w:pPr>
                    </w:p>
                    <w:p w14:paraId="13E26E37" w14:textId="77777777" w:rsidR="00AE54F4" w:rsidRDefault="00AE54F4" w:rsidP="00FD0D0B">
                      <w:pPr>
                        <w:pStyle w:val="BoxText"/>
                      </w:pPr>
                    </w:p>
                    <w:p w14:paraId="70AAFDC8" w14:textId="77777777" w:rsidR="00AE54F4" w:rsidRDefault="00AE54F4" w:rsidP="00FD0D0B">
                      <w:pPr>
                        <w:pStyle w:val="BoxText"/>
                      </w:pPr>
                    </w:p>
                    <w:p w14:paraId="6AD6DEA2" w14:textId="77777777" w:rsidR="00AE54F4" w:rsidRDefault="00AE54F4" w:rsidP="00FD0D0B">
                      <w:pPr>
                        <w:pStyle w:val="BoxText"/>
                      </w:pPr>
                    </w:p>
                    <w:p w14:paraId="5027EC27" w14:textId="77777777" w:rsidR="00AE54F4" w:rsidRPr="007A115B" w:rsidRDefault="00AE54F4" w:rsidP="00FD0D0B">
                      <w:pPr>
                        <w:pStyle w:val="BoxText"/>
                      </w:pPr>
                    </w:p>
                  </w:txbxContent>
                </v:textbox>
                <w10:wrap type="topAndBottom"/>
              </v:shape>
            </w:pict>
          </mc:Fallback>
        </mc:AlternateContent>
      </w:r>
      <w:r>
        <w:br w:type="page"/>
      </w:r>
    </w:p>
    <w:p w14:paraId="2FE31B4A" w14:textId="4E7722B7" w:rsidR="00FD0D0B" w:rsidRPr="00637250" w:rsidRDefault="00532672" w:rsidP="00FD0D0B">
      <w:pPr>
        <w:pStyle w:val="Heading3noTOC"/>
      </w:pPr>
      <w:r>
        <w:lastRenderedPageBreak/>
        <w:t>Established residential dwellings</w:t>
      </w:r>
    </w:p>
    <w:p w14:paraId="369AB05D" w14:textId="6E2876CB" w:rsidR="00FD0D0B" w:rsidRPr="00637250" w:rsidRDefault="00FD0D0B" w:rsidP="00FD0D0B">
      <w:pPr>
        <w:rPr>
          <w:color w:val="auto"/>
          <w:szCs w:val="24"/>
        </w:rPr>
      </w:pPr>
      <w:r w:rsidRPr="00637250">
        <w:rPr>
          <w:color w:val="auto"/>
          <w:szCs w:val="24"/>
        </w:rPr>
        <w:t>In 201</w:t>
      </w:r>
      <w:r w:rsidR="00EB761B">
        <w:rPr>
          <w:color w:val="auto"/>
          <w:szCs w:val="24"/>
        </w:rPr>
        <w:t>6–</w:t>
      </w:r>
      <w:r>
        <w:rPr>
          <w:color w:val="auto"/>
          <w:szCs w:val="24"/>
        </w:rPr>
        <w:t>17</w:t>
      </w:r>
      <w:r w:rsidRPr="00637250">
        <w:rPr>
          <w:color w:val="auto"/>
          <w:szCs w:val="24"/>
        </w:rPr>
        <w:t xml:space="preserve"> </w:t>
      </w:r>
      <w:r>
        <w:rPr>
          <w:color w:val="auto"/>
          <w:szCs w:val="24"/>
        </w:rPr>
        <w:t>2,008</w:t>
      </w:r>
      <w:r w:rsidRPr="00637250">
        <w:rPr>
          <w:color w:val="auto"/>
          <w:szCs w:val="24"/>
        </w:rPr>
        <w:t xml:space="preserve"> approvals were given for established </w:t>
      </w:r>
      <w:r w:rsidR="00EC3032">
        <w:rPr>
          <w:color w:val="auto"/>
          <w:szCs w:val="24"/>
        </w:rPr>
        <w:t xml:space="preserve">residential </w:t>
      </w:r>
      <w:r w:rsidRPr="00637250">
        <w:rPr>
          <w:color w:val="auto"/>
          <w:szCs w:val="24"/>
        </w:rPr>
        <w:t>dwellings</w:t>
      </w:r>
      <w:r>
        <w:rPr>
          <w:color w:val="auto"/>
          <w:szCs w:val="24"/>
        </w:rPr>
        <w:t xml:space="preserve">. </w:t>
      </w:r>
      <w:r w:rsidRPr="00637250">
        <w:rPr>
          <w:color w:val="auto"/>
          <w:szCs w:val="24"/>
        </w:rPr>
        <w:t>Established dwellings</w:t>
      </w:r>
      <w:r>
        <w:rPr>
          <w:color w:val="auto"/>
          <w:szCs w:val="24"/>
        </w:rPr>
        <w:t xml:space="preserve"> (or developed residential premises)</w:t>
      </w:r>
      <w:r w:rsidRPr="00637250">
        <w:rPr>
          <w:color w:val="auto"/>
          <w:szCs w:val="24"/>
        </w:rPr>
        <w:t xml:space="preserve"> can generally only be purchased by temporary residents for use as their home </w:t>
      </w:r>
      <w:r>
        <w:rPr>
          <w:color w:val="auto"/>
          <w:szCs w:val="24"/>
        </w:rPr>
        <w:t xml:space="preserve">while they remain </w:t>
      </w:r>
      <w:r w:rsidRPr="00637250">
        <w:rPr>
          <w:color w:val="auto"/>
          <w:szCs w:val="24"/>
        </w:rPr>
        <w:t>in Australia. A small number of approvals are given for foreign persons that operate a substantial Australian business to acquire an established dwe</w:t>
      </w:r>
      <w:r w:rsidR="00901A4F">
        <w:rPr>
          <w:color w:val="auto"/>
          <w:szCs w:val="24"/>
        </w:rPr>
        <w:t>lling to house their Australian-</w:t>
      </w:r>
      <w:r w:rsidRPr="00637250">
        <w:rPr>
          <w:color w:val="auto"/>
          <w:szCs w:val="24"/>
        </w:rPr>
        <w:t>based staff.</w:t>
      </w:r>
    </w:p>
    <w:p w14:paraId="676CA863" w14:textId="1972B0DD" w:rsidR="00FD0D0B" w:rsidRPr="00637250" w:rsidRDefault="00FD0D0B" w:rsidP="00FD0D0B">
      <w:pPr>
        <w:rPr>
          <w:color w:val="auto"/>
          <w:szCs w:val="24"/>
        </w:rPr>
      </w:pPr>
      <w:r>
        <w:rPr>
          <w:color w:val="auto"/>
          <w:szCs w:val="24"/>
        </w:rPr>
        <w:t>Es</w:t>
      </w:r>
      <w:r w:rsidRPr="00127D2F">
        <w:rPr>
          <w:color w:val="auto"/>
        </w:rPr>
        <w:t>tablished dwelling exemption certificate</w:t>
      </w:r>
      <w:r>
        <w:rPr>
          <w:color w:val="auto"/>
        </w:rPr>
        <w:t xml:space="preserve">s comprised a quarter of all established dwelling approvals. These certificates </w:t>
      </w:r>
      <w:r w:rsidRPr="00127D2F">
        <w:rPr>
          <w:color w:val="auto"/>
        </w:rPr>
        <w:t>enable foreign persons to receive pre</w:t>
      </w:r>
      <w:r>
        <w:rPr>
          <w:color w:val="auto"/>
        </w:rPr>
        <w:noBreakHyphen/>
      </w:r>
      <w:r w:rsidRPr="00127D2F">
        <w:rPr>
          <w:color w:val="auto"/>
        </w:rPr>
        <w:t xml:space="preserve">approval to purchase a single established dwelling and notify </w:t>
      </w:r>
      <w:r w:rsidR="00532672">
        <w:rPr>
          <w:color w:val="auto"/>
        </w:rPr>
        <w:t>the details of the property</w:t>
      </w:r>
      <w:r w:rsidRPr="00127D2F">
        <w:rPr>
          <w:color w:val="auto"/>
        </w:rPr>
        <w:t xml:space="preserve"> once </w:t>
      </w:r>
      <w:r w:rsidRPr="00127D2F">
        <w:rPr>
          <w:color w:val="auto"/>
          <w:szCs w:val="24"/>
        </w:rPr>
        <w:t>purchased,</w:t>
      </w:r>
      <w:r w:rsidRPr="00127D2F">
        <w:rPr>
          <w:color w:val="auto"/>
        </w:rPr>
        <w:t xml:space="preserve"> rather than requiring the person to seek individual approvals for each dwelling they may be </w:t>
      </w:r>
      <w:r>
        <w:rPr>
          <w:color w:val="auto"/>
        </w:rPr>
        <w:t>considering</w:t>
      </w:r>
      <w:r w:rsidRPr="00127D2F">
        <w:rPr>
          <w:color w:val="auto"/>
        </w:rPr>
        <w:t xml:space="preserve"> </w:t>
      </w:r>
      <w:r>
        <w:rPr>
          <w:color w:val="auto"/>
        </w:rPr>
        <w:t>purchasing</w:t>
      </w:r>
      <w:r w:rsidRPr="00127D2F">
        <w:rPr>
          <w:color w:val="auto"/>
        </w:rPr>
        <w:t>.</w:t>
      </w:r>
      <w:r w:rsidRPr="00127D2F">
        <w:rPr>
          <w:color w:val="auto"/>
          <w:szCs w:val="24"/>
        </w:rPr>
        <w:t xml:space="preserve"> </w:t>
      </w:r>
      <w:r>
        <w:rPr>
          <w:color w:val="auto"/>
          <w:szCs w:val="24"/>
        </w:rPr>
        <w:t>In 2016</w:t>
      </w:r>
      <w:r w:rsidR="00CD7E4F">
        <w:rPr>
          <w:color w:val="auto"/>
          <w:szCs w:val="24"/>
        </w:rPr>
        <w:t>–</w:t>
      </w:r>
      <w:r>
        <w:rPr>
          <w:color w:val="auto"/>
          <w:szCs w:val="24"/>
        </w:rPr>
        <w:t xml:space="preserve">17, </w:t>
      </w:r>
      <w:r w:rsidR="00901A4F">
        <w:rPr>
          <w:color w:val="auto"/>
          <w:szCs w:val="24"/>
        </w:rPr>
        <w:t xml:space="preserve">exemption </w:t>
      </w:r>
      <w:r>
        <w:rPr>
          <w:color w:val="auto"/>
          <w:szCs w:val="24"/>
        </w:rPr>
        <w:t xml:space="preserve">certificates were broadened to allow foreign persons to acquire a dwelling through any purchase method, </w:t>
      </w:r>
      <w:r w:rsidR="00E83A6C">
        <w:rPr>
          <w:color w:val="auto"/>
          <w:szCs w:val="24"/>
        </w:rPr>
        <w:t xml:space="preserve">whereas </w:t>
      </w:r>
      <w:r>
        <w:rPr>
          <w:color w:val="auto"/>
          <w:szCs w:val="24"/>
        </w:rPr>
        <w:t>previously these certificates were limited to purchases through an auction process only.</w:t>
      </w:r>
    </w:p>
    <w:p w14:paraId="4E84DE8B" w14:textId="77777777" w:rsidR="00FD0D0B" w:rsidRPr="00637250" w:rsidRDefault="00FD0D0B" w:rsidP="00FD0D0B">
      <w:pPr>
        <w:pStyle w:val="Heading3noTOC"/>
      </w:pPr>
      <w:r w:rsidRPr="00637250">
        <w:t>For development</w:t>
      </w:r>
    </w:p>
    <w:p w14:paraId="5A5A48A5" w14:textId="10B4824E" w:rsidR="00FD0D0B" w:rsidRPr="00637250" w:rsidRDefault="00FD0D0B" w:rsidP="00FD0D0B">
      <w:pPr>
        <w:rPr>
          <w:color w:val="auto"/>
          <w:szCs w:val="24"/>
        </w:rPr>
      </w:pPr>
      <w:r w:rsidRPr="00637250">
        <w:rPr>
          <w:color w:val="auto"/>
          <w:szCs w:val="24"/>
        </w:rPr>
        <w:t>Australia</w:t>
      </w:r>
      <w:r>
        <w:rPr>
          <w:color w:val="auto"/>
          <w:szCs w:val="24"/>
        </w:rPr>
        <w:t>’</w:t>
      </w:r>
      <w:r w:rsidRPr="00637250">
        <w:rPr>
          <w:color w:val="auto"/>
          <w:szCs w:val="24"/>
        </w:rPr>
        <w:t xml:space="preserve">s foreign investment policy encourages </w:t>
      </w:r>
      <w:r w:rsidR="00901A4F">
        <w:rPr>
          <w:color w:val="auto"/>
          <w:szCs w:val="24"/>
        </w:rPr>
        <w:t xml:space="preserve">foreign </w:t>
      </w:r>
      <w:r w:rsidRPr="00637250">
        <w:rPr>
          <w:color w:val="auto"/>
          <w:szCs w:val="24"/>
        </w:rPr>
        <w:t>investment in the residential real estate sector</w:t>
      </w:r>
      <w:r w:rsidR="006A70FE">
        <w:rPr>
          <w:color w:val="auto"/>
          <w:szCs w:val="24"/>
        </w:rPr>
        <w:t>,</w:t>
      </w:r>
      <w:r w:rsidRPr="00637250">
        <w:rPr>
          <w:color w:val="auto"/>
          <w:szCs w:val="24"/>
        </w:rPr>
        <w:t xml:space="preserve"> which </w:t>
      </w:r>
      <w:r w:rsidR="006A70FE">
        <w:rPr>
          <w:color w:val="auto"/>
          <w:szCs w:val="24"/>
        </w:rPr>
        <w:t>is expected</w:t>
      </w:r>
      <w:r w:rsidR="00901A4F">
        <w:rPr>
          <w:color w:val="auto"/>
          <w:szCs w:val="24"/>
        </w:rPr>
        <w:t xml:space="preserve"> </w:t>
      </w:r>
      <w:r w:rsidRPr="00637250">
        <w:rPr>
          <w:color w:val="auto"/>
          <w:szCs w:val="24"/>
        </w:rPr>
        <w:t xml:space="preserve">help build </w:t>
      </w:r>
      <w:r w:rsidR="007510D1">
        <w:rPr>
          <w:color w:val="auto"/>
          <w:szCs w:val="24"/>
        </w:rPr>
        <w:t xml:space="preserve">new </w:t>
      </w:r>
      <w:r w:rsidRPr="00637250">
        <w:rPr>
          <w:color w:val="auto"/>
          <w:szCs w:val="24"/>
        </w:rPr>
        <w:t xml:space="preserve">supply. </w:t>
      </w:r>
      <w:r w:rsidR="00EB761B">
        <w:rPr>
          <w:color w:val="auto"/>
          <w:szCs w:val="24"/>
        </w:rPr>
        <w:t>During 2016–</w:t>
      </w:r>
      <w:r w:rsidR="00901A4F">
        <w:rPr>
          <w:color w:val="auto"/>
          <w:szCs w:val="24"/>
        </w:rPr>
        <w:t>17</w:t>
      </w:r>
      <w:r w:rsidR="006A70FE">
        <w:rPr>
          <w:color w:val="auto"/>
          <w:szCs w:val="24"/>
        </w:rPr>
        <w:t>,</w:t>
      </w:r>
      <w:r w:rsidR="00901A4F">
        <w:rPr>
          <w:color w:val="auto"/>
          <w:szCs w:val="24"/>
        </w:rPr>
        <w:t xml:space="preserve"> </w:t>
      </w:r>
      <w:r>
        <w:rPr>
          <w:color w:val="auto"/>
          <w:szCs w:val="24"/>
        </w:rPr>
        <w:t>11,190</w:t>
      </w:r>
      <w:r w:rsidRPr="00637250">
        <w:rPr>
          <w:color w:val="auto"/>
          <w:szCs w:val="24"/>
        </w:rPr>
        <w:t xml:space="preserve"> approvals for development </w:t>
      </w:r>
      <w:r w:rsidR="00901A4F">
        <w:rPr>
          <w:color w:val="auto"/>
          <w:szCs w:val="24"/>
        </w:rPr>
        <w:t xml:space="preserve">were given </w:t>
      </w:r>
      <w:r w:rsidRPr="00637250">
        <w:rPr>
          <w:color w:val="auto"/>
          <w:szCs w:val="24"/>
        </w:rPr>
        <w:t>includ</w:t>
      </w:r>
      <w:r w:rsidR="00F61725">
        <w:rPr>
          <w:color w:val="auto"/>
          <w:szCs w:val="24"/>
        </w:rPr>
        <w:t>ing</w:t>
      </w:r>
      <w:r w:rsidRPr="00637250">
        <w:rPr>
          <w:color w:val="auto"/>
          <w:szCs w:val="24"/>
        </w:rPr>
        <w:t xml:space="preserve"> approvals for new dwellings, vacant land and other residential property for development.</w:t>
      </w:r>
    </w:p>
    <w:p w14:paraId="5E45BB74" w14:textId="41498B0F" w:rsidR="00FD0D0B" w:rsidRDefault="00FD0D0B" w:rsidP="0092134E">
      <w:pPr>
        <w:rPr>
          <w:sz w:val="24"/>
        </w:rPr>
      </w:pPr>
      <w:r w:rsidRPr="00637250">
        <w:rPr>
          <w:color w:val="auto"/>
          <w:szCs w:val="24"/>
        </w:rPr>
        <w:t xml:space="preserve">The </w:t>
      </w:r>
      <w:bookmarkStart w:id="176" w:name="OLE_LINK54"/>
      <w:bookmarkStart w:id="177" w:name="OLE_LINK55"/>
      <w:r w:rsidRPr="00465D47">
        <w:rPr>
          <w:color w:val="auto"/>
          <w:szCs w:val="24"/>
        </w:rPr>
        <w:t>new dwelling exemption certificate</w:t>
      </w:r>
      <w:r w:rsidRPr="00637250">
        <w:rPr>
          <w:color w:val="auto"/>
          <w:szCs w:val="24"/>
        </w:rPr>
        <w:t xml:space="preserve"> </w:t>
      </w:r>
      <w:bookmarkEnd w:id="176"/>
      <w:bookmarkEnd w:id="177"/>
      <w:r w:rsidRPr="00637250">
        <w:rPr>
          <w:color w:val="auto"/>
          <w:szCs w:val="24"/>
        </w:rPr>
        <w:t>allows developers to receive pre</w:t>
      </w:r>
      <w:r>
        <w:rPr>
          <w:color w:val="auto"/>
          <w:szCs w:val="24"/>
        </w:rPr>
        <w:noBreakHyphen/>
      </w:r>
      <w:r w:rsidRPr="00637250">
        <w:rPr>
          <w:color w:val="auto"/>
          <w:szCs w:val="24"/>
        </w:rPr>
        <w:t xml:space="preserve">approval for foreign investors to purchase new residences </w:t>
      </w:r>
      <w:r w:rsidR="00901A4F">
        <w:rPr>
          <w:color w:val="auto"/>
          <w:szCs w:val="24"/>
        </w:rPr>
        <w:t xml:space="preserve">up to a cumulative value of </w:t>
      </w:r>
      <w:r>
        <w:rPr>
          <w:color w:val="auto"/>
          <w:szCs w:val="24"/>
        </w:rPr>
        <w:t>$3 million</w:t>
      </w:r>
      <w:r w:rsidRPr="00637250">
        <w:rPr>
          <w:color w:val="auto"/>
          <w:szCs w:val="24"/>
        </w:rPr>
        <w:t xml:space="preserve"> in a development. </w:t>
      </w:r>
      <w:r w:rsidR="00F61725">
        <w:rPr>
          <w:color w:val="auto"/>
          <w:szCs w:val="24"/>
        </w:rPr>
        <w:t>In</w:t>
      </w:r>
      <w:r>
        <w:rPr>
          <w:color w:val="auto"/>
          <w:szCs w:val="24"/>
        </w:rPr>
        <w:t xml:space="preserve"> the 2017</w:t>
      </w:r>
      <w:r w:rsidR="00CD7E4F">
        <w:rPr>
          <w:color w:val="auto"/>
          <w:szCs w:val="24"/>
        </w:rPr>
        <w:t>–</w:t>
      </w:r>
      <w:r>
        <w:rPr>
          <w:color w:val="auto"/>
          <w:szCs w:val="24"/>
        </w:rPr>
        <w:t>18 Budget</w:t>
      </w:r>
      <w:r w:rsidR="00F61725">
        <w:rPr>
          <w:color w:val="auto"/>
          <w:szCs w:val="24"/>
        </w:rPr>
        <w:t xml:space="preserve"> a new rule was introduced for </w:t>
      </w:r>
      <w:r w:rsidR="00C619DC">
        <w:rPr>
          <w:color w:val="auto"/>
          <w:szCs w:val="24"/>
        </w:rPr>
        <w:t xml:space="preserve">new dwelling </w:t>
      </w:r>
      <w:r w:rsidR="00F61725">
        <w:rPr>
          <w:color w:val="auto"/>
          <w:szCs w:val="24"/>
        </w:rPr>
        <w:t>exemption certificates that restricted</w:t>
      </w:r>
      <w:r>
        <w:rPr>
          <w:color w:val="auto"/>
          <w:szCs w:val="24"/>
        </w:rPr>
        <w:t xml:space="preserve"> the </w:t>
      </w:r>
      <w:r w:rsidR="00F61725">
        <w:rPr>
          <w:color w:val="auto"/>
          <w:szCs w:val="24"/>
        </w:rPr>
        <w:t xml:space="preserve">number of dwellings a </w:t>
      </w:r>
      <w:r>
        <w:rPr>
          <w:color w:val="auto"/>
          <w:szCs w:val="24"/>
        </w:rPr>
        <w:t xml:space="preserve">developer </w:t>
      </w:r>
      <w:r w:rsidR="00F61725">
        <w:rPr>
          <w:color w:val="auto"/>
          <w:szCs w:val="24"/>
        </w:rPr>
        <w:t xml:space="preserve">can </w:t>
      </w:r>
      <w:r>
        <w:rPr>
          <w:color w:val="auto"/>
          <w:szCs w:val="24"/>
        </w:rPr>
        <w:t xml:space="preserve">sell </w:t>
      </w:r>
      <w:r w:rsidR="00F61725">
        <w:rPr>
          <w:color w:val="auto"/>
          <w:szCs w:val="24"/>
        </w:rPr>
        <w:t xml:space="preserve">to a foreign person to </w:t>
      </w:r>
      <w:r>
        <w:rPr>
          <w:color w:val="auto"/>
          <w:szCs w:val="24"/>
        </w:rPr>
        <w:t xml:space="preserve">50 per cent of </w:t>
      </w:r>
      <w:r w:rsidR="00F61725">
        <w:rPr>
          <w:color w:val="auto"/>
          <w:szCs w:val="24"/>
        </w:rPr>
        <w:t>all</w:t>
      </w:r>
      <w:r>
        <w:rPr>
          <w:color w:val="auto"/>
          <w:szCs w:val="24"/>
        </w:rPr>
        <w:t xml:space="preserve"> dwellings in the development</w:t>
      </w:r>
      <w:r w:rsidR="00F61725">
        <w:rPr>
          <w:color w:val="auto"/>
          <w:szCs w:val="24"/>
        </w:rPr>
        <w:t>.</w:t>
      </w:r>
      <w:r>
        <w:rPr>
          <w:color w:val="auto"/>
          <w:szCs w:val="24"/>
        </w:rPr>
        <w:t xml:space="preserve"> </w:t>
      </w:r>
      <w:r w:rsidRPr="00637250">
        <w:rPr>
          <w:color w:val="auto"/>
          <w:szCs w:val="24"/>
        </w:rPr>
        <w:t xml:space="preserve">The developer is </w:t>
      </w:r>
      <w:r>
        <w:rPr>
          <w:color w:val="auto"/>
          <w:szCs w:val="24"/>
        </w:rPr>
        <w:t xml:space="preserve">also </w:t>
      </w:r>
      <w:r w:rsidRPr="00637250">
        <w:rPr>
          <w:color w:val="auto"/>
          <w:szCs w:val="24"/>
        </w:rPr>
        <w:t xml:space="preserve">required to market the dwellings locally and must report on all purchases made by foreign persons. As the value of the investment reported </w:t>
      </w:r>
      <w:r w:rsidR="00901A4F">
        <w:rPr>
          <w:color w:val="auto"/>
          <w:szCs w:val="24"/>
        </w:rPr>
        <w:t xml:space="preserve">in the FIRB data </w:t>
      </w:r>
      <w:r w:rsidRPr="00637250">
        <w:rPr>
          <w:color w:val="auto"/>
          <w:szCs w:val="24"/>
        </w:rPr>
        <w:t xml:space="preserve">against </w:t>
      </w:r>
      <w:r w:rsidR="00901A4F">
        <w:rPr>
          <w:color w:val="auto"/>
          <w:szCs w:val="24"/>
        </w:rPr>
        <w:t xml:space="preserve">these </w:t>
      </w:r>
      <w:r w:rsidRPr="00637250">
        <w:rPr>
          <w:color w:val="auto"/>
          <w:szCs w:val="24"/>
        </w:rPr>
        <w:t>exemption certificate</w:t>
      </w:r>
      <w:r w:rsidR="00901A4F">
        <w:rPr>
          <w:color w:val="auto"/>
          <w:szCs w:val="24"/>
        </w:rPr>
        <w:t>s</w:t>
      </w:r>
      <w:r w:rsidRPr="00637250">
        <w:rPr>
          <w:color w:val="auto"/>
          <w:szCs w:val="24"/>
        </w:rPr>
        <w:t xml:space="preserve"> represents the maximum amount foreign persons may acquire under the certificate, the approved investment figure may overstate the exte</w:t>
      </w:r>
      <w:r>
        <w:rPr>
          <w:color w:val="auto"/>
          <w:szCs w:val="24"/>
        </w:rPr>
        <w:t>nt of actual foreign purchases.</w:t>
      </w:r>
      <w:r>
        <w:rPr>
          <w:sz w:val="24"/>
        </w:rPr>
        <w:br w:type="page"/>
      </w:r>
    </w:p>
    <w:p w14:paraId="343531A6" w14:textId="4BF31EDE" w:rsidR="00FD0D0B" w:rsidRPr="00637250" w:rsidRDefault="00FD0D0B" w:rsidP="00FD0D0B">
      <w:pPr>
        <w:pStyle w:val="TableHeading"/>
      </w:pPr>
      <w:r w:rsidRPr="00637250">
        <w:lastRenderedPageBreak/>
        <w:t xml:space="preserve">Table </w:t>
      </w:r>
      <w:r w:rsidR="00D01980">
        <w:t>4</w:t>
      </w:r>
      <w:r>
        <w:t>.10</w:t>
      </w:r>
      <w:r w:rsidRPr="00637250">
        <w:t>: Investment in residential real estate</w:t>
      </w:r>
      <w:r w:rsidR="00901A4F">
        <w:t>,</w:t>
      </w:r>
      <w:r w:rsidRPr="00637250">
        <w:t xml:space="preserve"> by type of approval: 201</w:t>
      </w:r>
      <w:r w:rsidR="002A137D">
        <w:t>3</w:t>
      </w:r>
      <w:r w:rsidR="0092134E">
        <w:t>–</w:t>
      </w:r>
      <w:r w:rsidRPr="00637250">
        <w:t>1</w:t>
      </w:r>
      <w:r w:rsidR="002A137D">
        <w:t>4</w:t>
      </w:r>
      <w:r w:rsidRPr="00637250">
        <w:t xml:space="preserve"> to 201</w:t>
      </w:r>
      <w:r w:rsidR="002A137D">
        <w:t>6</w:t>
      </w:r>
      <w:r w:rsidR="0092134E">
        <w:t>–</w:t>
      </w:r>
      <w:r w:rsidRPr="00637250">
        <w:t>1</w:t>
      </w:r>
      <w:r w:rsidR="002A137D">
        <w:t>7</w:t>
      </w:r>
    </w:p>
    <w:p w14:paraId="77BE8558" w14:textId="16F9C7C6" w:rsidR="00FD0D0B" w:rsidRPr="00377834" w:rsidRDefault="00FD0D0B" w:rsidP="00FD0D0B">
      <w:pPr>
        <w:pStyle w:val="TableGraphic"/>
        <w:rPr>
          <w:sz w:val="2"/>
        </w:rPr>
      </w:pPr>
      <w:bookmarkStart w:id="178" w:name="_1548074936"/>
      <w:bookmarkEnd w:id="178"/>
    </w:p>
    <w:p w14:paraId="53D05E26" w14:textId="7A956267" w:rsidR="001753FA" w:rsidRDefault="00C10BCD" w:rsidP="00C10BCD">
      <w:pPr>
        <w:pStyle w:val="TableGraphic"/>
      </w:pPr>
      <w:r>
        <w:object w:dxaOrig="8591" w:dyaOrig="6418" w14:anchorId="75C9554D">
          <v:shape id="_x0000_i1034" type="#_x0000_t75" style="width:385.15pt;height:330.8pt" o:ole="">
            <v:imagedata r:id="rId82" o:title=""/>
            <o:lock v:ext="edit" aspectratio="f"/>
          </v:shape>
          <o:OLEObject Type="Link" ProgID="Excel.Sheet.12" ShapeID="_x0000_i1034" DrawAspect="Content" r:id="rId83" UpdateMode="Always">
            <o:LinkType>EnhancedMetaFile</o:LinkType>
            <o:LockedField/>
          </o:OLEObject>
        </w:object>
      </w:r>
    </w:p>
    <w:p w14:paraId="549B3D31" w14:textId="0E8B9329" w:rsidR="00EC4C4A" w:rsidRPr="00A35DCB" w:rsidRDefault="00EC4C4A" w:rsidP="00B82F4F">
      <w:pPr>
        <w:pStyle w:val="ChartandTableFootnoteAlpha"/>
        <w:numPr>
          <w:ilvl w:val="0"/>
          <w:numId w:val="33"/>
        </w:numPr>
      </w:pPr>
      <w:r w:rsidRPr="00A35DCB">
        <w:t xml:space="preserve">Established dwelling emption certificates were introduced </w:t>
      </w:r>
      <w:r>
        <w:t xml:space="preserve">from </w:t>
      </w:r>
      <w:r w:rsidRPr="00A35DCB">
        <w:t>1 December 2015.</w:t>
      </w:r>
    </w:p>
    <w:p w14:paraId="466657A7" w14:textId="53FCEA00" w:rsidR="00EC4C4A" w:rsidRPr="00EC4C4A" w:rsidRDefault="00EC4C4A" w:rsidP="00EC4C4A">
      <w:pPr>
        <w:pStyle w:val="ChartandTableFootnoteAlpha"/>
      </w:pPr>
      <w:r w:rsidRPr="00A35DCB">
        <w:t xml:space="preserve">From 1 December 2015, </w:t>
      </w:r>
      <w:r>
        <w:t>A</w:t>
      </w:r>
      <w:r w:rsidRPr="00A35DCB">
        <w:t xml:space="preserve">nnual </w:t>
      </w:r>
      <w:r>
        <w:t>P</w:t>
      </w:r>
      <w:r w:rsidRPr="00A35DCB">
        <w:t>rograms</w:t>
      </w:r>
      <w:r>
        <w:t>,</w:t>
      </w:r>
      <w:r w:rsidRPr="00A35DCB">
        <w:t xml:space="preserve"> under the new provisions in the Act are k</w:t>
      </w:r>
      <w:r>
        <w:t>nown as exemption certificates.</w:t>
      </w:r>
    </w:p>
    <w:p w14:paraId="56D24275" w14:textId="5F3D7AC2" w:rsidR="00FD0D0B" w:rsidRPr="00A35DCB" w:rsidRDefault="00FD0D0B" w:rsidP="00EC4C4A">
      <w:pPr>
        <w:pStyle w:val="StyleChartorTableNoteLeft0cmHanging1cm"/>
        <w:rPr>
          <w:szCs w:val="16"/>
        </w:rPr>
      </w:pPr>
      <w:r w:rsidRPr="00A35DCB">
        <w:t>Note</w:t>
      </w:r>
      <w:r w:rsidR="00A35DCB" w:rsidRPr="00A35DCB">
        <w:rPr>
          <w:szCs w:val="16"/>
        </w:rPr>
        <w:t>s</w:t>
      </w:r>
      <w:r w:rsidRPr="00A35DCB">
        <w:rPr>
          <w:szCs w:val="16"/>
        </w:rPr>
        <w:t>:</w:t>
      </w:r>
      <w:r w:rsidRPr="00A35DCB">
        <w:rPr>
          <w:szCs w:val="16"/>
        </w:rPr>
        <w:tab/>
        <w:t>Totals may not add due to rounding.</w:t>
      </w:r>
      <w:r w:rsidR="006A70FE">
        <w:rPr>
          <w:szCs w:val="16"/>
        </w:rPr>
        <w:t xml:space="preserve"> EC refers to Exemption Certificates.</w:t>
      </w:r>
    </w:p>
    <w:p w14:paraId="5B4C560C" w14:textId="72B24904" w:rsidR="00FD0D0B" w:rsidRPr="00A35DCB" w:rsidRDefault="002A2C33" w:rsidP="002A2C33">
      <w:pPr>
        <w:pStyle w:val="StyleChartorTableNoteLeft0cmHanging1cm"/>
        <w:rPr>
          <w:szCs w:val="16"/>
        </w:rPr>
      </w:pPr>
      <w:r>
        <w:tab/>
      </w:r>
      <w:r w:rsidR="00FD0D0B" w:rsidRPr="00A35DCB">
        <w:t>The 2015</w:t>
      </w:r>
      <w:r w:rsidR="00CD7E4F">
        <w:t>–</w:t>
      </w:r>
      <w:r w:rsidR="00FD0D0B" w:rsidRPr="00A35DCB">
        <w:t>16 figures were impacted by the 1 December 2015 reforms, which may affect data comparability.</w:t>
      </w:r>
    </w:p>
    <w:p w14:paraId="40C7D477" w14:textId="15710A07" w:rsidR="00811869" w:rsidRPr="00A35DCB" w:rsidRDefault="002A2C33" w:rsidP="002A2C33">
      <w:pPr>
        <w:pStyle w:val="StyleChartorTableNoteLeft0cmHanging1cm"/>
        <w:rPr>
          <w:szCs w:val="16"/>
        </w:rPr>
      </w:pPr>
      <w:r>
        <w:tab/>
      </w:r>
      <w:r w:rsidR="00377834" w:rsidRPr="00A35DCB">
        <w:t xml:space="preserve">The value ascribed to a new dwelling ECs is the total value of the development </w:t>
      </w:r>
      <w:r w:rsidR="00A35DCB">
        <w:rPr>
          <w:szCs w:val="16"/>
        </w:rPr>
        <w:t xml:space="preserve">available for purchase by foreign investors, </w:t>
      </w:r>
      <w:r w:rsidR="00377834" w:rsidRPr="00A35DCB">
        <w:rPr>
          <w:szCs w:val="16"/>
        </w:rPr>
        <w:t>as provided by the applicant. From the 2017</w:t>
      </w:r>
      <w:r w:rsidR="00CD7E4F">
        <w:rPr>
          <w:szCs w:val="16"/>
        </w:rPr>
        <w:t>–</w:t>
      </w:r>
      <w:r w:rsidR="00377834" w:rsidRPr="00A35DCB">
        <w:rPr>
          <w:szCs w:val="16"/>
        </w:rPr>
        <w:t xml:space="preserve">18 </w:t>
      </w:r>
      <w:proofErr w:type="gramStart"/>
      <w:r w:rsidR="00377834" w:rsidRPr="00A35DCB">
        <w:rPr>
          <w:szCs w:val="16"/>
        </w:rPr>
        <w:t>Budget</w:t>
      </w:r>
      <w:proofErr w:type="gramEnd"/>
      <w:r w:rsidR="00377834" w:rsidRPr="00A35DCB">
        <w:rPr>
          <w:szCs w:val="16"/>
        </w:rPr>
        <w:t xml:space="preserve"> onwards approved new dwelling </w:t>
      </w:r>
      <w:r w:rsidR="00A35DCB">
        <w:rPr>
          <w:szCs w:val="16"/>
        </w:rPr>
        <w:t xml:space="preserve">exemption certificates </w:t>
      </w:r>
      <w:r w:rsidR="00377834" w:rsidRPr="00A35DCB">
        <w:rPr>
          <w:szCs w:val="16"/>
        </w:rPr>
        <w:t>will only allow developers to sell a maximum of 50 per cent of dwellings in a development to foreign persons.</w:t>
      </w:r>
    </w:p>
    <w:p w14:paraId="1A8DF882" w14:textId="6F34A783" w:rsidR="00FD0D0B" w:rsidRDefault="00811869" w:rsidP="00FD0D0B">
      <w:pPr>
        <w:spacing w:after="200" w:line="276" w:lineRule="auto"/>
        <w:jc w:val="left"/>
        <w:rPr>
          <w:rFonts w:ascii="Calibri" w:hAnsi="Calibri"/>
          <w:b/>
          <w:bCs/>
          <w:color w:val="003E74"/>
          <w:sz w:val="22"/>
          <w:szCs w:val="22"/>
        </w:rPr>
      </w:pPr>
      <w:r>
        <w:br w:type="page"/>
      </w:r>
    </w:p>
    <w:p w14:paraId="53834727" w14:textId="6A5C582E" w:rsidR="00FD0D0B" w:rsidRPr="00637250" w:rsidRDefault="00FD0D0B" w:rsidP="00A80414">
      <w:pPr>
        <w:pStyle w:val="TableHeading"/>
        <w:spacing w:after="0"/>
      </w:pPr>
      <w:r w:rsidRPr="00637250">
        <w:lastRenderedPageBreak/>
        <w:t xml:space="preserve">Table </w:t>
      </w:r>
      <w:r w:rsidR="00634FFB">
        <w:t>4</w:t>
      </w:r>
      <w:r w:rsidRPr="007972DE">
        <w:t>.11</w:t>
      </w:r>
      <w:r w:rsidRPr="00637250">
        <w:t xml:space="preserve">: State and territory distribution of proposed investment in </w:t>
      </w:r>
      <w:r>
        <w:t xml:space="preserve">residential </w:t>
      </w:r>
      <w:r w:rsidRPr="00637250">
        <w:t>real estate in 201</w:t>
      </w:r>
      <w:r w:rsidR="00634FFB">
        <w:t>6</w:t>
      </w:r>
      <w:r w:rsidR="0092134E">
        <w:t>–</w:t>
      </w:r>
      <w:r w:rsidRPr="00637250">
        <w:t>1</w:t>
      </w:r>
      <w:r w:rsidR="00634FFB">
        <w:t>7</w:t>
      </w:r>
    </w:p>
    <w:bookmarkStart w:id="179" w:name="_1548074937"/>
    <w:bookmarkEnd w:id="179"/>
    <w:p w14:paraId="6E4D7849" w14:textId="4482D614" w:rsidR="00FD0D0B" w:rsidRDefault="00B57B71" w:rsidP="00B57B71">
      <w:pPr>
        <w:pStyle w:val="TableGraphic"/>
      </w:pPr>
      <w:r>
        <w:object w:dxaOrig="7569" w:dyaOrig="3800" w14:anchorId="7544207D">
          <v:shape id="_x0000_i1035" type="#_x0000_t75" style="width:385.15pt;height:195.6pt" o:ole="">
            <v:imagedata r:id="rId84" o:title=""/>
            <o:lock v:ext="edit" aspectratio="f"/>
          </v:shape>
          <o:OLEObject Type="Link" ProgID="Excel.Sheet.12" ShapeID="_x0000_i1035" DrawAspect="Content" r:id="rId85" UpdateMode="Always">
            <o:LinkType>EnhancedMetaFile</o:LinkType>
            <o:LockedField/>
          </o:OLEObject>
        </w:object>
      </w:r>
    </w:p>
    <w:p w14:paraId="2D0C6F8C" w14:textId="11F1441A" w:rsidR="00FD0D0B" w:rsidRPr="00A80414" w:rsidRDefault="00FD0D0B" w:rsidP="00B82F4F">
      <w:pPr>
        <w:pStyle w:val="ChartandTableFootnoteAlpha"/>
        <w:numPr>
          <w:ilvl w:val="0"/>
          <w:numId w:val="30"/>
        </w:numPr>
        <w:rPr>
          <w:rFonts w:asciiTheme="minorHAnsi" w:hAnsiTheme="minorHAnsi"/>
        </w:rPr>
      </w:pPr>
      <w:r w:rsidRPr="002A2C33">
        <w:t>Comprises approved proposals where the proposed investment is to be undertaken in more than one state or territory.</w:t>
      </w:r>
    </w:p>
    <w:p w14:paraId="65A45BF3" w14:textId="77F79CC2" w:rsidR="007835DC" w:rsidRDefault="00FD0D0B" w:rsidP="002A2C33">
      <w:pPr>
        <w:pStyle w:val="StyleChartorTableNoteLeft0cmHanging1cm"/>
        <w:rPr>
          <w:rFonts w:asciiTheme="minorHAnsi" w:hAnsiTheme="minorHAnsi"/>
          <w:szCs w:val="16"/>
        </w:rPr>
      </w:pPr>
      <w:r w:rsidRPr="007835DC">
        <w:t>Note</w:t>
      </w:r>
      <w:r w:rsidR="007835DC" w:rsidRPr="002A2D92">
        <w:t>s</w:t>
      </w:r>
      <w:r w:rsidRPr="007835DC">
        <w:rPr>
          <w:rFonts w:asciiTheme="minorHAnsi" w:hAnsiTheme="minorHAnsi"/>
          <w:szCs w:val="16"/>
        </w:rPr>
        <w:t xml:space="preserve">: </w:t>
      </w:r>
      <w:r w:rsidRPr="007835DC">
        <w:rPr>
          <w:rFonts w:asciiTheme="minorHAnsi" w:hAnsiTheme="minorHAnsi"/>
          <w:szCs w:val="16"/>
        </w:rPr>
        <w:tab/>
        <w:t>Totals may not add due to rounding.</w:t>
      </w:r>
    </w:p>
    <w:p w14:paraId="51201E68" w14:textId="5B6DFC56" w:rsidR="00FD0D0B" w:rsidRPr="007835DC" w:rsidRDefault="007835DC" w:rsidP="002A2C33">
      <w:pPr>
        <w:pStyle w:val="StyleChartorTableNoteLeft0cmHanging1cm"/>
        <w:rPr>
          <w:rFonts w:asciiTheme="minorHAnsi" w:hAnsiTheme="minorHAnsi"/>
          <w:szCs w:val="16"/>
        </w:rPr>
      </w:pPr>
      <w:r>
        <w:tab/>
      </w:r>
      <w:proofErr w:type="gramStart"/>
      <w:r w:rsidR="00E66653" w:rsidRPr="007835DC">
        <w:rPr>
          <w:rFonts w:asciiTheme="minorHAnsi" w:hAnsiTheme="minorHAnsi"/>
          <w:szCs w:val="16"/>
        </w:rPr>
        <w:t xml:space="preserve">Includes </w:t>
      </w:r>
      <w:r w:rsidR="007824DC" w:rsidRPr="007835DC">
        <w:rPr>
          <w:rFonts w:asciiTheme="minorHAnsi" w:hAnsiTheme="minorHAnsi"/>
          <w:szCs w:val="16"/>
        </w:rPr>
        <w:t>e</w:t>
      </w:r>
      <w:r w:rsidR="00E66653" w:rsidRPr="007835DC">
        <w:rPr>
          <w:rFonts w:asciiTheme="minorHAnsi" w:hAnsiTheme="minorHAnsi"/>
          <w:szCs w:val="16"/>
        </w:rPr>
        <w:t xml:space="preserve">xemption </w:t>
      </w:r>
      <w:r w:rsidR="007824DC" w:rsidRPr="007835DC">
        <w:rPr>
          <w:rFonts w:asciiTheme="minorHAnsi" w:hAnsiTheme="minorHAnsi"/>
          <w:szCs w:val="16"/>
        </w:rPr>
        <w:t>c</w:t>
      </w:r>
      <w:r w:rsidR="00E66653" w:rsidRPr="007835DC">
        <w:rPr>
          <w:rFonts w:asciiTheme="minorHAnsi" w:hAnsiTheme="minorHAnsi"/>
          <w:szCs w:val="16"/>
        </w:rPr>
        <w:t>ertificates.</w:t>
      </w:r>
      <w:proofErr w:type="gramEnd"/>
    </w:p>
    <w:p w14:paraId="583B5FBC" w14:textId="7077D802" w:rsidR="00FD0D0B" w:rsidRDefault="00FD0D0B" w:rsidP="002A2C33">
      <w:pPr>
        <w:pStyle w:val="StyleChartorTableNoteLeft0cmHanging1cm"/>
        <w:rPr>
          <w:rFonts w:asciiTheme="minorHAnsi" w:hAnsiTheme="minorHAnsi"/>
          <w:szCs w:val="16"/>
        </w:rPr>
      </w:pPr>
      <w:r>
        <w:tab/>
      </w:r>
      <w:r w:rsidRPr="007835DC">
        <w:rPr>
          <w:rFonts w:asciiTheme="minorHAnsi" w:hAnsiTheme="minorHAnsi"/>
          <w:szCs w:val="16"/>
        </w:rPr>
        <w:t>‘</w:t>
      </w:r>
      <w:r w:rsidRPr="007835DC">
        <w:rPr>
          <w:rFonts w:asciiTheme="minorHAnsi" w:hAnsiTheme="minorHAnsi"/>
          <w:szCs w:val="16"/>
        </w:rPr>
        <w:noBreakHyphen/>
      </w:r>
      <w:proofErr w:type="gramStart"/>
      <w:r w:rsidRPr="007835DC">
        <w:rPr>
          <w:rFonts w:asciiTheme="minorHAnsi" w:hAnsiTheme="minorHAnsi"/>
          <w:szCs w:val="16"/>
        </w:rPr>
        <w:t>‘ indicates</w:t>
      </w:r>
      <w:proofErr w:type="gramEnd"/>
      <w:r w:rsidRPr="007835DC">
        <w:rPr>
          <w:rFonts w:asciiTheme="minorHAnsi" w:hAnsiTheme="minorHAnsi"/>
          <w:szCs w:val="16"/>
        </w:rPr>
        <w:t xml:space="preserve"> a figure of zero or a figure less than $10 million.</w:t>
      </w:r>
    </w:p>
    <w:p w14:paraId="62372924" w14:textId="77777777" w:rsidR="00B57B71" w:rsidRPr="00B57B71" w:rsidRDefault="00A252C3" w:rsidP="00B57B71">
      <w:pPr>
        <w:pStyle w:val="StyleChartorTableNoteLeft0cmHanging1cm"/>
        <w:ind w:firstLine="0"/>
        <w:rPr>
          <w:rFonts w:asciiTheme="minorHAnsi" w:hAnsiTheme="minorHAnsi"/>
          <w:szCs w:val="16"/>
        </w:rPr>
      </w:pPr>
      <w:r w:rsidRPr="00A252C3">
        <w:rPr>
          <w:rFonts w:asciiTheme="minorHAnsi" w:hAnsiTheme="minorHAnsi"/>
          <w:szCs w:val="16"/>
        </w:rPr>
        <w:t>‘*’ indic</w:t>
      </w:r>
      <w:r w:rsidR="00B57B71">
        <w:rPr>
          <w:rFonts w:asciiTheme="minorHAnsi" w:hAnsiTheme="minorHAnsi"/>
          <w:szCs w:val="16"/>
        </w:rPr>
        <w:t>ates between 1 and 9 approvals.</w:t>
      </w:r>
    </w:p>
    <w:p w14:paraId="0E6400F5" w14:textId="2576675B" w:rsidR="00FD0D0B" w:rsidRPr="00637250" w:rsidRDefault="00FD0D0B" w:rsidP="00FD0D0B">
      <w:pPr>
        <w:pStyle w:val="TableHeading"/>
      </w:pPr>
      <w:r w:rsidRPr="00637250">
        <w:t xml:space="preserve">Table </w:t>
      </w:r>
      <w:r w:rsidR="002A137D">
        <w:t>4</w:t>
      </w:r>
      <w:r>
        <w:t>.12</w:t>
      </w:r>
      <w:r w:rsidRPr="00637250">
        <w:t>: State and territory distribution of proposed investment in residential real estate</w:t>
      </w:r>
      <w:r w:rsidR="007835DC">
        <w:t>,</w:t>
      </w:r>
      <w:r w:rsidRPr="00637250">
        <w:t xml:space="preserve"> by industry subtype in 201</w:t>
      </w:r>
      <w:r w:rsidR="002A137D">
        <w:t>6</w:t>
      </w:r>
      <w:r w:rsidR="0092134E">
        <w:t>–</w:t>
      </w:r>
      <w:r w:rsidRPr="00637250">
        <w:t>1</w:t>
      </w:r>
      <w:r w:rsidR="002A137D">
        <w:t>7</w:t>
      </w:r>
    </w:p>
    <w:bookmarkStart w:id="180" w:name="_1548074939"/>
    <w:bookmarkEnd w:id="180"/>
    <w:p w14:paraId="2D856B15" w14:textId="3EDD6514" w:rsidR="00FD0D0B" w:rsidRDefault="009D2FA9" w:rsidP="009D2FA9">
      <w:pPr>
        <w:pStyle w:val="TableGraphic"/>
      </w:pPr>
      <w:r>
        <w:object w:dxaOrig="7885" w:dyaOrig="3755" w14:anchorId="3227D421">
          <v:shape id="_x0000_i1036" type="#_x0000_t75" style="width:384.45pt;height:193.6pt" o:ole="">
            <v:imagedata r:id="rId86" o:title=""/>
            <o:lock v:ext="edit" aspectratio="f"/>
          </v:shape>
          <o:OLEObject Type="Link" ProgID="Excel.Sheet.12" ShapeID="_x0000_i1036" DrawAspect="Content" r:id="rId87" UpdateMode="Always">
            <o:LinkType>EnhancedMetaFile</o:LinkType>
            <o:LockedField/>
          </o:OLEObject>
        </w:object>
      </w:r>
    </w:p>
    <w:p w14:paraId="7269C151" w14:textId="1E78BB27" w:rsidR="00FD0D0B" w:rsidRDefault="00FD0D0B" w:rsidP="00B82F4F">
      <w:pPr>
        <w:pStyle w:val="ChartandTableFootnoteAlpha"/>
        <w:numPr>
          <w:ilvl w:val="0"/>
          <w:numId w:val="31"/>
        </w:numPr>
      </w:pPr>
      <w:r w:rsidRPr="002A2C33">
        <w:t>Comprises approved proposals where the proposed investment is to be undertaken in more than one state or territory.</w:t>
      </w:r>
    </w:p>
    <w:p w14:paraId="41B60E3F" w14:textId="5C5E37A8" w:rsidR="003279D4" w:rsidRPr="009D2FA9" w:rsidRDefault="00AE54F4" w:rsidP="00B82F4F">
      <w:pPr>
        <w:pStyle w:val="ChartandTableFootnoteAlpha"/>
        <w:numPr>
          <w:ilvl w:val="0"/>
          <w:numId w:val="31"/>
        </w:numPr>
      </w:pPr>
      <w:r>
        <w:t>‘</w:t>
      </w:r>
      <w:r w:rsidR="003279D4" w:rsidRPr="009D2FA9">
        <w:t>Developer</w:t>
      </w:r>
      <w:r>
        <w:t>’</w:t>
      </w:r>
      <w:r w:rsidR="003279D4" w:rsidRPr="009D2FA9">
        <w:t xml:space="preserve"> includes new dwelling exemption certificate approvals provided to real estate developers (previously off</w:t>
      </w:r>
      <w:r w:rsidR="003279D4" w:rsidRPr="009D2FA9">
        <w:noBreakHyphen/>
        <w:t>the</w:t>
      </w:r>
      <w:r w:rsidR="003279D4" w:rsidRPr="009D2FA9">
        <w:noBreakHyphen/>
        <w:t>plan approvals).</w:t>
      </w:r>
    </w:p>
    <w:p w14:paraId="4606A9EE" w14:textId="45916DE6" w:rsidR="007835DC" w:rsidRDefault="00FD0D0B" w:rsidP="002A2C33">
      <w:pPr>
        <w:pStyle w:val="StyleChartorTableNoteLeft0cmHanging1cm"/>
      </w:pPr>
      <w:r w:rsidRPr="007835DC">
        <w:t>Note</w:t>
      </w:r>
      <w:r w:rsidR="007835DC">
        <w:t>s</w:t>
      </w:r>
      <w:r w:rsidRPr="007835DC">
        <w:t>:</w:t>
      </w:r>
      <w:r w:rsidRPr="007835DC">
        <w:tab/>
        <w:t>Totals may not add due to rounding.</w:t>
      </w:r>
    </w:p>
    <w:p w14:paraId="16BBE9B4" w14:textId="55DDE57A" w:rsidR="00FD0D0B" w:rsidRPr="007835DC" w:rsidRDefault="007835DC" w:rsidP="002A2C33">
      <w:pPr>
        <w:pStyle w:val="StyleChartorTableNoteLeft0cmHanging1cm"/>
      </w:pPr>
      <w:r>
        <w:tab/>
      </w:r>
      <w:r w:rsidR="00EF06B4">
        <w:t>This table e</w:t>
      </w:r>
      <w:r w:rsidR="00FD0D0B" w:rsidRPr="007835DC">
        <w:t xml:space="preserve">xcludes </w:t>
      </w:r>
      <w:r w:rsidR="00EF06B4">
        <w:t>developed</w:t>
      </w:r>
      <w:r w:rsidR="00171BBA">
        <w:t xml:space="preserve">, </w:t>
      </w:r>
      <w:r w:rsidR="00AE54F4">
        <w:t xml:space="preserve">and </w:t>
      </w:r>
      <w:r w:rsidR="00171BBA">
        <w:t>for-development</w:t>
      </w:r>
      <w:r w:rsidR="00B6311D" w:rsidRPr="007835DC">
        <w:t xml:space="preserve"> </w:t>
      </w:r>
      <w:r w:rsidR="00FD0D0B" w:rsidRPr="007835DC">
        <w:t>exemption certificates</w:t>
      </w:r>
      <w:r w:rsidR="00171BBA">
        <w:t xml:space="preserve"> in Table 4.10</w:t>
      </w:r>
      <w:r w:rsidR="00FD0D0B" w:rsidRPr="007835DC">
        <w:t>.</w:t>
      </w:r>
    </w:p>
    <w:p w14:paraId="48245E05" w14:textId="10B541CE" w:rsidR="00FD0D0B" w:rsidRPr="007835DC" w:rsidRDefault="002A2C33" w:rsidP="002A2C33">
      <w:pPr>
        <w:pStyle w:val="StyleChartorTableNoteLeft0cmHanging1cm"/>
      </w:pPr>
      <w:r>
        <w:tab/>
      </w:r>
      <w:r w:rsidR="00FD0D0B" w:rsidRPr="007835DC">
        <w:tab/>
        <w:t>‘</w:t>
      </w:r>
      <w:r w:rsidR="00FD0D0B" w:rsidRPr="007835DC">
        <w:noBreakHyphen/>
      </w:r>
      <w:proofErr w:type="gramStart"/>
      <w:r w:rsidR="00FD0D0B" w:rsidRPr="007835DC">
        <w:t>‘ indicates</w:t>
      </w:r>
      <w:proofErr w:type="gramEnd"/>
      <w:r w:rsidR="00FD0D0B" w:rsidRPr="007835DC">
        <w:t xml:space="preserve"> a figure of zero or a figure less than $10 million.</w:t>
      </w:r>
    </w:p>
    <w:p w14:paraId="3637AFB2" w14:textId="77777777" w:rsidR="00FD0D0B" w:rsidRPr="007835DC" w:rsidRDefault="00FD0D0B" w:rsidP="002A2C33">
      <w:pPr>
        <w:pStyle w:val="StyleChartorTableNoteLeft0cmHanging1cm"/>
      </w:pPr>
      <w:r w:rsidRPr="007835DC">
        <w:tab/>
        <w:t>‘*’ indicates between 1 and 9 approvals.</w:t>
      </w:r>
    </w:p>
    <w:p w14:paraId="115C1D41" w14:textId="77777777" w:rsidR="00FD0D0B" w:rsidRPr="00637250" w:rsidRDefault="00FD0D0B" w:rsidP="0092134E">
      <w:pPr>
        <w:pStyle w:val="Heading2noTOC"/>
      </w:pPr>
      <w:r w:rsidRPr="00637250">
        <w:lastRenderedPageBreak/>
        <w:t xml:space="preserve">Investor </w:t>
      </w:r>
      <w:r w:rsidRPr="00115593">
        <w:t>countries</w:t>
      </w:r>
    </w:p>
    <w:p w14:paraId="15DAF512" w14:textId="3A4D4460" w:rsidR="00FD0D0B" w:rsidRDefault="006F23CD" w:rsidP="00FD0D0B">
      <w:r>
        <w:t>China and the United States continued to be the two top sources of foreign investment proposals by value in 2016</w:t>
      </w:r>
      <w:r w:rsidR="00CD7E4F">
        <w:t>–</w:t>
      </w:r>
      <w:r>
        <w:t>17</w:t>
      </w:r>
      <w:r w:rsidR="00FD0D0B">
        <w:rPr>
          <w:rStyle w:val="FootnoteReference"/>
        </w:rPr>
        <w:footnoteReference w:id="3"/>
      </w:r>
      <w:r>
        <w:t>.</w:t>
      </w:r>
    </w:p>
    <w:p w14:paraId="0BF87EB2" w14:textId="0D4948DA" w:rsidR="00FD0D0B" w:rsidRDefault="00FD0D0B" w:rsidP="00FD0D0B">
      <w:pPr>
        <w:rPr>
          <w:color w:val="auto"/>
          <w:szCs w:val="24"/>
        </w:rPr>
      </w:pPr>
      <w:r>
        <w:t xml:space="preserve">Chinese investors were again the largest source of foreign investment approvals by both value </w:t>
      </w:r>
      <w:r w:rsidRPr="00F77CA3">
        <w:t>($38.9 billion)</w:t>
      </w:r>
      <w:r>
        <w:t xml:space="preserve"> and number (</w:t>
      </w:r>
      <w:r w:rsidRPr="00F77CA3">
        <w:t>9,</w:t>
      </w:r>
      <w:r w:rsidR="00CB07F6">
        <w:t>714</w:t>
      </w:r>
      <w:r>
        <w:t>)</w:t>
      </w:r>
      <w:r w:rsidR="000C08EC">
        <w:t xml:space="preserve"> in 2016</w:t>
      </w:r>
      <w:r w:rsidR="00CD7E4F">
        <w:t>–</w:t>
      </w:r>
      <w:r w:rsidR="000C08EC">
        <w:t>17</w:t>
      </w:r>
      <w:r>
        <w:t xml:space="preserve">. Key sectors of interest for Chinese investors included </w:t>
      </w:r>
      <w:r>
        <w:rPr>
          <w:color w:val="auto"/>
          <w:szCs w:val="24"/>
        </w:rPr>
        <w:t>mineral exploration and development</w:t>
      </w:r>
      <w:r w:rsidR="00D064D2">
        <w:rPr>
          <w:color w:val="auto"/>
          <w:szCs w:val="24"/>
        </w:rPr>
        <w:t xml:space="preserve"> (</w:t>
      </w:r>
      <w:r w:rsidR="00D064D2" w:rsidRPr="00F77CA3">
        <w:rPr>
          <w:color w:val="auto"/>
        </w:rPr>
        <w:t xml:space="preserve">for example </w:t>
      </w:r>
      <w:proofErr w:type="spellStart"/>
      <w:r w:rsidR="00D064D2" w:rsidRPr="00F77CA3">
        <w:rPr>
          <w:color w:val="auto"/>
          <w:szCs w:val="24"/>
        </w:rPr>
        <w:t>Yancoal</w:t>
      </w:r>
      <w:r w:rsidR="00F77CA3" w:rsidRPr="00F77CA3">
        <w:rPr>
          <w:color w:val="auto"/>
          <w:szCs w:val="24"/>
        </w:rPr>
        <w:t>’s</w:t>
      </w:r>
      <w:proofErr w:type="spellEnd"/>
      <w:r w:rsidR="00F77CA3" w:rsidRPr="00F77CA3">
        <w:rPr>
          <w:color w:val="auto"/>
          <w:szCs w:val="24"/>
        </w:rPr>
        <w:t xml:space="preserve"> acquisition</w:t>
      </w:r>
      <w:r w:rsidR="00F77CA3">
        <w:rPr>
          <w:color w:val="auto"/>
          <w:szCs w:val="24"/>
        </w:rPr>
        <w:t xml:space="preserve"> of Coal &amp; Allied Industries</w:t>
      </w:r>
      <w:r w:rsidR="00D064D2">
        <w:rPr>
          <w:color w:val="auto"/>
          <w:szCs w:val="24"/>
        </w:rPr>
        <w:t>)</w:t>
      </w:r>
      <w:r>
        <w:rPr>
          <w:color w:val="auto"/>
          <w:szCs w:val="24"/>
        </w:rPr>
        <w:t xml:space="preserve">, followed by manufacturing, electricity and gas and commercial real estate. </w:t>
      </w:r>
      <w:r>
        <w:rPr>
          <w:color w:val="auto"/>
        </w:rPr>
        <w:t xml:space="preserve">China was </w:t>
      </w:r>
      <w:r w:rsidR="000C08EC">
        <w:rPr>
          <w:color w:val="auto"/>
        </w:rPr>
        <w:t xml:space="preserve">continued to be </w:t>
      </w:r>
      <w:r w:rsidRPr="00685A9B">
        <w:rPr>
          <w:color w:val="auto"/>
        </w:rPr>
        <w:t xml:space="preserve">the largest source of foreign investment </w:t>
      </w:r>
      <w:r w:rsidR="000C08EC">
        <w:rPr>
          <w:color w:val="auto"/>
        </w:rPr>
        <w:t xml:space="preserve">associated with </w:t>
      </w:r>
      <w:r w:rsidRPr="00685A9B">
        <w:rPr>
          <w:color w:val="auto"/>
        </w:rPr>
        <w:t xml:space="preserve">approvals </w:t>
      </w:r>
      <w:r>
        <w:rPr>
          <w:color w:val="auto"/>
        </w:rPr>
        <w:t>for residential real estate</w:t>
      </w:r>
      <w:r w:rsidR="00D064D2">
        <w:rPr>
          <w:color w:val="auto"/>
        </w:rPr>
        <w:t>,</w:t>
      </w:r>
      <w:r>
        <w:rPr>
          <w:color w:val="auto"/>
        </w:rPr>
        <w:t xml:space="preserve"> </w:t>
      </w:r>
      <w:r>
        <w:rPr>
          <w:color w:val="auto"/>
          <w:szCs w:val="24"/>
        </w:rPr>
        <w:t xml:space="preserve">although the </w:t>
      </w:r>
      <w:r w:rsidR="00E83A6C">
        <w:rPr>
          <w:color w:val="auto"/>
          <w:szCs w:val="24"/>
        </w:rPr>
        <w:t>numbers</w:t>
      </w:r>
      <w:r>
        <w:rPr>
          <w:color w:val="auto"/>
          <w:szCs w:val="24"/>
        </w:rPr>
        <w:t xml:space="preserve"> were impacted by </w:t>
      </w:r>
      <w:r w:rsidR="00E83A6C">
        <w:rPr>
          <w:color w:val="auto"/>
          <w:szCs w:val="24"/>
        </w:rPr>
        <w:t>a range of factors as</w:t>
      </w:r>
      <w:r>
        <w:rPr>
          <w:color w:val="auto"/>
          <w:szCs w:val="24"/>
        </w:rPr>
        <w:t xml:space="preserve"> described above.</w:t>
      </w:r>
    </w:p>
    <w:p w14:paraId="57212D42" w14:textId="1842D4CD" w:rsidR="00FD0D0B" w:rsidRDefault="00FD0D0B" w:rsidP="00FD0D0B">
      <w:r>
        <w:t>The U</w:t>
      </w:r>
      <w:r w:rsidR="006F23CD">
        <w:t>nited States was the second</w:t>
      </w:r>
      <w:r>
        <w:t xml:space="preserve"> largest </w:t>
      </w:r>
      <w:r w:rsidR="006F23CD">
        <w:t>source of approvals by value</w:t>
      </w:r>
      <w:r w:rsidR="000C08EC">
        <w:t>,</w:t>
      </w:r>
      <w:r w:rsidR="006F23CD">
        <w:t xml:space="preserve"> </w:t>
      </w:r>
      <w:r w:rsidR="006F23CD" w:rsidRPr="00F77CA3">
        <w:t xml:space="preserve">with </w:t>
      </w:r>
      <w:r w:rsidRPr="00F77CA3">
        <w:t>$26.5 billion</w:t>
      </w:r>
      <w:r>
        <w:t xml:space="preserve"> worth of </w:t>
      </w:r>
      <w:r w:rsidR="006F23CD">
        <w:t>approved applications</w:t>
      </w:r>
      <w:r>
        <w:t xml:space="preserve">. </w:t>
      </w:r>
      <w:r>
        <w:rPr>
          <w:color w:val="auto"/>
          <w:szCs w:val="24"/>
        </w:rPr>
        <w:t xml:space="preserve">US investors registered strong interest in </w:t>
      </w:r>
      <w:r w:rsidR="00E91EB9">
        <w:rPr>
          <w:color w:val="auto"/>
          <w:szCs w:val="24"/>
        </w:rPr>
        <w:t xml:space="preserve">the </w:t>
      </w:r>
      <w:r>
        <w:rPr>
          <w:color w:val="auto"/>
          <w:szCs w:val="24"/>
        </w:rPr>
        <w:t xml:space="preserve">services </w:t>
      </w:r>
      <w:r w:rsidR="00E91EB9">
        <w:rPr>
          <w:color w:val="auto"/>
          <w:szCs w:val="24"/>
        </w:rPr>
        <w:t xml:space="preserve">sector </w:t>
      </w:r>
      <w:r>
        <w:rPr>
          <w:color w:val="auto"/>
          <w:szCs w:val="24"/>
        </w:rPr>
        <w:t>(</w:t>
      </w:r>
      <w:r w:rsidRPr="00BE18F7">
        <w:rPr>
          <w:color w:val="auto"/>
          <w:szCs w:val="24"/>
        </w:rPr>
        <w:t xml:space="preserve">for example, the </w:t>
      </w:r>
      <w:r w:rsidR="000C08EC">
        <w:rPr>
          <w:color w:val="auto"/>
          <w:szCs w:val="24"/>
        </w:rPr>
        <w:t>transactions</w:t>
      </w:r>
      <w:r w:rsidR="000C08EC" w:rsidRPr="00BE18F7">
        <w:rPr>
          <w:color w:val="auto"/>
          <w:szCs w:val="24"/>
        </w:rPr>
        <w:t xml:space="preserve"> </w:t>
      </w:r>
      <w:r w:rsidR="000C08EC">
        <w:rPr>
          <w:color w:val="auto"/>
          <w:szCs w:val="24"/>
        </w:rPr>
        <w:t xml:space="preserve">related to the </w:t>
      </w:r>
      <w:r w:rsidRPr="00BE18F7">
        <w:rPr>
          <w:color w:val="auto"/>
          <w:szCs w:val="24"/>
        </w:rPr>
        <w:t xml:space="preserve">Port of Melbourne consortium and the ports and rail group </w:t>
      </w:r>
      <w:proofErr w:type="spellStart"/>
      <w:r w:rsidRPr="00BE18F7">
        <w:rPr>
          <w:color w:val="auto"/>
          <w:szCs w:val="24"/>
        </w:rPr>
        <w:t>Asciano</w:t>
      </w:r>
      <w:proofErr w:type="spellEnd"/>
      <w:r>
        <w:rPr>
          <w:color w:val="auto"/>
          <w:szCs w:val="24"/>
        </w:rPr>
        <w:t>), along with commercial real estate and mineral exploration and development.</w:t>
      </w:r>
    </w:p>
    <w:p w14:paraId="2ED21877" w14:textId="0821A56F" w:rsidR="00FD0D0B" w:rsidRDefault="00FD0D0B" w:rsidP="00FD0D0B">
      <w:r>
        <w:t>Canadian investors were a</w:t>
      </w:r>
      <w:r w:rsidR="00B200C7">
        <w:t>lso</w:t>
      </w:r>
      <w:r>
        <w:t xml:space="preserve"> prominent and received approvals totalling </w:t>
      </w:r>
      <w:r w:rsidRPr="00F77CA3">
        <w:t>$23 billion</w:t>
      </w:r>
      <w:r>
        <w:t xml:space="preserve">. The most significant sector of interest to </w:t>
      </w:r>
      <w:r>
        <w:rPr>
          <w:color w:val="auto"/>
          <w:szCs w:val="24"/>
        </w:rPr>
        <w:t>Canadian investors was services, followed by commercial real estate and manufacturing, electricity and gas (</w:t>
      </w:r>
      <w:r w:rsidRPr="00BE18F7">
        <w:rPr>
          <w:color w:val="auto"/>
          <w:szCs w:val="24"/>
        </w:rPr>
        <w:t>for example, the Endeavour Energy transaction</w:t>
      </w:r>
      <w:r>
        <w:rPr>
          <w:color w:val="auto"/>
          <w:szCs w:val="24"/>
        </w:rPr>
        <w:t>).</w:t>
      </w:r>
    </w:p>
    <w:p w14:paraId="4D015EC1" w14:textId="39E6EC6A" w:rsidR="00FD0D0B" w:rsidRDefault="00FD0D0B" w:rsidP="00FD0D0B">
      <w:pPr>
        <w:rPr>
          <w:color w:val="auto"/>
          <w:szCs w:val="24"/>
        </w:rPr>
      </w:pPr>
      <w:r>
        <w:rPr>
          <w:color w:val="auto"/>
          <w:szCs w:val="24"/>
        </w:rPr>
        <w:t>The next three top source countries for proposed investment by value were Hong Kong (</w:t>
      </w:r>
      <w:r w:rsidR="00E91EB9">
        <w:rPr>
          <w:color w:val="auto"/>
          <w:szCs w:val="24"/>
        </w:rPr>
        <w:t xml:space="preserve">with interest in the </w:t>
      </w:r>
      <w:r>
        <w:rPr>
          <w:color w:val="auto"/>
          <w:szCs w:val="24"/>
        </w:rPr>
        <w:t xml:space="preserve">manufacturing, electricity and gas </w:t>
      </w:r>
      <w:r w:rsidR="00E91EB9">
        <w:rPr>
          <w:color w:val="auto"/>
          <w:szCs w:val="24"/>
        </w:rPr>
        <w:t xml:space="preserve">sector </w:t>
      </w:r>
      <w:r>
        <w:rPr>
          <w:color w:val="auto"/>
          <w:szCs w:val="24"/>
        </w:rPr>
        <w:t xml:space="preserve">– </w:t>
      </w:r>
      <w:r w:rsidRPr="00BE18F7">
        <w:rPr>
          <w:color w:val="auto"/>
          <w:szCs w:val="24"/>
        </w:rPr>
        <w:t>for example, the energy utility operator Duet Group consortium</w:t>
      </w:r>
      <w:r>
        <w:rPr>
          <w:color w:val="auto"/>
          <w:szCs w:val="24"/>
        </w:rPr>
        <w:t xml:space="preserve"> transaction), Singapore and Japan (both </w:t>
      </w:r>
      <w:r w:rsidR="00E91EB9">
        <w:rPr>
          <w:color w:val="auto"/>
          <w:szCs w:val="24"/>
        </w:rPr>
        <w:t xml:space="preserve">with interest in the </w:t>
      </w:r>
      <w:r>
        <w:rPr>
          <w:color w:val="auto"/>
          <w:szCs w:val="24"/>
        </w:rPr>
        <w:t>commercial real estate</w:t>
      </w:r>
      <w:r w:rsidR="00E91EB9">
        <w:rPr>
          <w:color w:val="auto"/>
          <w:szCs w:val="24"/>
        </w:rPr>
        <w:t xml:space="preserve"> sector</w:t>
      </w:r>
      <w:r>
        <w:rPr>
          <w:color w:val="auto"/>
          <w:szCs w:val="24"/>
        </w:rPr>
        <w:t>).</w:t>
      </w:r>
    </w:p>
    <w:p w14:paraId="489CDD91" w14:textId="7AA2BF7C" w:rsidR="00FD0D0B" w:rsidRPr="00637250" w:rsidRDefault="00FD0D0B" w:rsidP="00FD0D0B">
      <w:pPr>
        <w:rPr>
          <w:color w:val="auto"/>
          <w:szCs w:val="24"/>
        </w:rPr>
      </w:pPr>
      <w:r>
        <w:rPr>
          <w:color w:val="auto"/>
        </w:rPr>
        <w:t xml:space="preserve">Proposed investment in </w:t>
      </w:r>
      <w:r>
        <w:rPr>
          <w:color w:val="auto"/>
          <w:szCs w:val="24"/>
        </w:rPr>
        <w:t>2016</w:t>
      </w:r>
      <w:r w:rsidR="00CD7E4F">
        <w:rPr>
          <w:color w:val="auto"/>
          <w:szCs w:val="24"/>
        </w:rPr>
        <w:t>–</w:t>
      </w:r>
      <w:r>
        <w:rPr>
          <w:color w:val="auto"/>
          <w:szCs w:val="24"/>
        </w:rPr>
        <w:t>17</w:t>
      </w:r>
      <w:r w:rsidRPr="00685A9B">
        <w:rPr>
          <w:color w:val="auto"/>
        </w:rPr>
        <w:t xml:space="preserve">, disaggregated by sector, </w:t>
      </w:r>
      <w:r w:rsidR="00DE3927">
        <w:rPr>
          <w:color w:val="auto"/>
        </w:rPr>
        <w:t>for the top 18 counties (</w:t>
      </w:r>
      <w:r w:rsidRPr="00685A9B">
        <w:rPr>
          <w:color w:val="auto"/>
        </w:rPr>
        <w:t>by</w:t>
      </w:r>
      <w:r w:rsidR="00DE3927">
        <w:rPr>
          <w:color w:val="auto"/>
        </w:rPr>
        <w:t xml:space="preserve"> value)</w:t>
      </w:r>
      <w:r w:rsidRPr="00685A9B">
        <w:rPr>
          <w:color w:val="auto"/>
        </w:rPr>
        <w:t xml:space="preserve"> is shown in</w:t>
      </w:r>
      <w:r>
        <w:rPr>
          <w:color w:val="auto"/>
        </w:rPr>
        <w:t> </w:t>
      </w:r>
      <w:r w:rsidRPr="009D6EE3">
        <w:rPr>
          <w:color w:val="auto"/>
        </w:rPr>
        <w:t xml:space="preserve">Table </w:t>
      </w:r>
      <w:r>
        <w:rPr>
          <w:color w:val="auto"/>
        </w:rPr>
        <w:t>4</w:t>
      </w:r>
      <w:r w:rsidRPr="009D6EE3">
        <w:rPr>
          <w:color w:val="auto"/>
        </w:rPr>
        <w:t>.13</w:t>
      </w:r>
      <w:r w:rsidRPr="00685A9B">
        <w:rPr>
          <w:color w:val="auto"/>
        </w:rPr>
        <w:t>.</w:t>
      </w:r>
    </w:p>
    <w:p w14:paraId="44ECDA25" w14:textId="77777777" w:rsidR="00FD0D0B" w:rsidRPr="008275CC" w:rsidRDefault="00FD0D0B" w:rsidP="00FD0D0B">
      <w:pPr>
        <w:jc w:val="left"/>
        <w:rPr>
          <w:color w:val="00B050"/>
        </w:rPr>
        <w:sectPr w:rsidR="00FD0D0B" w:rsidRPr="008275CC" w:rsidSect="004A3335">
          <w:headerReference w:type="default" r:id="rId88"/>
          <w:type w:val="oddPage"/>
          <w:pgSz w:w="11907" w:h="16840" w:code="9"/>
          <w:pgMar w:top="2466" w:right="2098" w:bottom="2466" w:left="2098" w:header="1899" w:footer="1899" w:gutter="0"/>
          <w:cols w:space="720"/>
          <w:titlePg/>
          <w:docGrid w:linePitch="360"/>
        </w:sectPr>
      </w:pPr>
    </w:p>
    <w:p w14:paraId="4D798872" w14:textId="16B7E997" w:rsidR="00FD0D0B" w:rsidRDefault="00FD0D0B" w:rsidP="00FD0D0B">
      <w:pPr>
        <w:pStyle w:val="TableHeading"/>
      </w:pPr>
      <w:r w:rsidRPr="00637250">
        <w:lastRenderedPageBreak/>
        <w:t xml:space="preserve">Table </w:t>
      </w:r>
      <w:r>
        <w:t>4.13</w:t>
      </w:r>
      <w:r w:rsidRPr="00637250">
        <w:t>: Approvals by country of investor</w:t>
      </w:r>
      <w:r w:rsidR="00E91EB9">
        <w:t>,</w:t>
      </w:r>
      <w:r w:rsidRPr="00637250">
        <w:t xml:space="preserve"> by industry sector in 201</w:t>
      </w:r>
      <w:r>
        <w:t>6</w:t>
      </w:r>
      <w:r w:rsidR="00CD7E4F">
        <w:t>–</w:t>
      </w:r>
      <w:r>
        <w:t>17</w:t>
      </w:r>
    </w:p>
    <w:bookmarkStart w:id="181" w:name="_1548074941"/>
    <w:bookmarkEnd w:id="181"/>
    <w:p w14:paraId="68EC2F56" w14:textId="1C7865A4" w:rsidR="00403267" w:rsidRDefault="00F54B5B" w:rsidP="00F54B5B">
      <w:pPr>
        <w:pStyle w:val="TableGraphic"/>
      </w:pPr>
      <w:r>
        <w:object w:dxaOrig="14371" w:dyaOrig="7946" w14:anchorId="30A285A4">
          <v:shape id="_x0000_i1037" type="#_x0000_t75" style="width:596.4pt;height:364.1pt;mso-position-vertical:absolute" o:ole="">
            <v:imagedata r:id="rId89" o:title=""/>
          </v:shape>
          <o:OLEObject Type="Link" ProgID="Excel.Sheet.12" ShapeID="_x0000_i1037" DrawAspect="Content" r:id="rId90" UpdateMode="Always">
            <o:LinkType>EnhancedMetaFile</o:LinkType>
            <o:LockedField/>
          </o:OLEObject>
        </w:object>
      </w:r>
    </w:p>
    <w:p w14:paraId="5B0F67DB" w14:textId="77777777" w:rsidR="00FD0D0B" w:rsidRPr="00841976" w:rsidRDefault="00FD0D0B" w:rsidP="00FD0D0B">
      <w:pPr>
        <w:pStyle w:val="SingleParagraph"/>
        <w:spacing w:line="240" w:lineRule="auto"/>
        <w:rPr>
          <w:sz w:val="2"/>
          <w:szCs w:val="8"/>
        </w:rPr>
        <w:sectPr w:rsidR="00FD0D0B" w:rsidRPr="00841976" w:rsidSect="00204E29">
          <w:headerReference w:type="first" r:id="rId91"/>
          <w:footerReference w:type="first" r:id="rId92"/>
          <w:pgSz w:w="16840" w:h="11907" w:orient="landscape" w:code="9"/>
          <w:pgMar w:top="2098" w:right="2466" w:bottom="2098" w:left="2466" w:header="1871" w:footer="1899" w:gutter="0"/>
          <w:cols w:space="720"/>
          <w:titlePg/>
          <w:docGrid w:linePitch="360"/>
        </w:sectPr>
      </w:pPr>
    </w:p>
    <w:p w14:paraId="7910356A" w14:textId="723B5E9B" w:rsidR="00FD0D0B" w:rsidRPr="00637250" w:rsidRDefault="00FD0D0B" w:rsidP="00FD0D0B">
      <w:pPr>
        <w:pStyle w:val="TableMainHeadingContd"/>
        <w:spacing w:after="240"/>
      </w:pPr>
      <w:r w:rsidRPr="00637250">
        <w:lastRenderedPageBreak/>
        <w:t xml:space="preserve">Notes applying to Table </w:t>
      </w:r>
      <w:r w:rsidR="003C2E91">
        <w:t>4</w:t>
      </w:r>
      <w:r w:rsidRPr="00637250">
        <w:t>.1</w:t>
      </w:r>
      <w:r>
        <w:t>3</w:t>
      </w:r>
    </w:p>
    <w:p w14:paraId="58790F9D" w14:textId="77777777" w:rsidR="00FD0D0B" w:rsidRPr="00F77CA3" w:rsidRDefault="00FD0D0B" w:rsidP="00B82F4F">
      <w:pPr>
        <w:pStyle w:val="ChartandTableFootnoteAlpha"/>
        <w:numPr>
          <w:ilvl w:val="0"/>
          <w:numId w:val="17"/>
        </w:numPr>
      </w:pPr>
      <w:r w:rsidRPr="00F77CA3">
        <w:t>Includes overseas territories.</w:t>
      </w:r>
    </w:p>
    <w:p w14:paraId="3758CC9B" w14:textId="77777777" w:rsidR="00FD0D0B" w:rsidRPr="00F77CA3" w:rsidRDefault="00FD0D0B" w:rsidP="002A2C33">
      <w:pPr>
        <w:pStyle w:val="ChartandTableFootnoteAlpha"/>
      </w:pPr>
      <w:r w:rsidRPr="00F77CA3">
        <w:t>China excludes Special Administrative Regions and Taiwan.</w:t>
      </w:r>
    </w:p>
    <w:p w14:paraId="64AE3697" w14:textId="0FBB596D" w:rsidR="00FD0D0B" w:rsidRPr="00F77CA3" w:rsidRDefault="00B101A7" w:rsidP="002A2C33">
      <w:pPr>
        <w:pStyle w:val="ChartandTableFootnoteAlpha"/>
      </w:pPr>
      <w:r w:rsidRPr="00F77CA3">
        <w:t>‘</w:t>
      </w:r>
      <w:r w:rsidR="00FD0D0B" w:rsidRPr="00F77CA3">
        <w:t>Other</w:t>
      </w:r>
      <w:r w:rsidRPr="00F77CA3">
        <w:t>’</w:t>
      </w:r>
      <w:r w:rsidR="00FD0D0B" w:rsidRPr="00F77CA3">
        <w:t xml:space="preserve"> comprises all other</w:t>
      </w:r>
      <w:r w:rsidR="00334CC6">
        <w:t xml:space="preserve"> countries not in the largest 18</w:t>
      </w:r>
      <w:r w:rsidR="00FD0D0B" w:rsidRPr="00F77CA3">
        <w:t xml:space="preserve"> countries based on total</w:t>
      </w:r>
      <w:r w:rsidR="00E91EB9">
        <w:t xml:space="preserve"> value of</w:t>
      </w:r>
      <w:r w:rsidR="00FD0D0B" w:rsidRPr="00F77CA3">
        <w:t xml:space="preserve"> proposed investment approved.</w:t>
      </w:r>
    </w:p>
    <w:p w14:paraId="0A71285C" w14:textId="77777777" w:rsidR="00FD0D0B" w:rsidRPr="00F77CA3" w:rsidRDefault="00FD0D0B" w:rsidP="002A2C33">
      <w:pPr>
        <w:pStyle w:val="ChartandTableFootnoteAlpha"/>
      </w:pPr>
      <w:r w:rsidRPr="00F77CA3">
        <w:t>One new dwelling exemption certificate (previously advanced ‘off</w:t>
      </w:r>
      <w:r w:rsidRPr="00F77CA3">
        <w:noBreakHyphen/>
        <w:t>the</w:t>
      </w:r>
      <w:r w:rsidRPr="00F77CA3">
        <w:noBreakHyphen/>
        <w:t>plan’ certificate) equates to one approval in terms of the number of approvals but the entire value of the proposed development is included in the value columns.</w:t>
      </w:r>
      <w:r w:rsidRPr="00F77CA3" w:rsidDel="00AD239D">
        <w:t xml:space="preserve"> </w:t>
      </w:r>
      <w:r w:rsidRPr="00F77CA3">
        <w:t xml:space="preserve">Further details are provided in the section on real estate. </w:t>
      </w:r>
    </w:p>
    <w:p w14:paraId="3225FB4F" w14:textId="77777777" w:rsidR="00FD0D0B" w:rsidRPr="00F77CA3" w:rsidRDefault="00FD0D0B" w:rsidP="002A2C33">
      <w:pPr>
        <w:pStyle w:val="ChartandTableFootnoteAlpha"/>
      </w:pPr>
      <w:r w:rsidRPr="00F77CA3">
        <w:t>Comprises proposals where an Australian controlled investment manager acting on behalf of an investor operates independently of the interest holders in the investor, or an Australian investor(s) jointly intends to make a proposed investment with a foreign investor, or jointly establish a new business with a foreign government investor.</w:t>
      </w:r>
    </w:p>
    <w:p w14:paraId="2F15BEBB" w14:textId="599705C3" w:rsidR="008B6006" w:rsidRDefault="00FD0D0B" w:rsidP="002A2C33">
      <w:pPr>
        <w:pStyle w:val="ChartandTableFootnoteAlpha"/>
      </w:pPr>
      <w:r w:rsidRPr="00F77CA3">
        <w:t xml:space="preserve">These figures indicate the total number of proposals in which investors from the particular country have an interest. </w:t>
      </w:r>
      <w:r w:rsidR="00D37120" w:rsidRPr="00D37120">
        <w:t>Proposals</w:t>
      </w:r>
      <w:r w:rsidRPr="00F77CA3">
        <w:t xml:space="preserve"> involving investment originating from more than one country </w:t>
      </w:r>
      <w:r w:rsidR="00D37120" w:rsidRPr="00D37120">
        <w:t>are generally counted</w:t>
      </w:r>
      <w:r w:rsidRPr="00F77CA3">
        <w:t xml:space="preserve"> as one proposal for each of the countries concerned</w:t>
      </w:r>
      <w:r w:rsidR="00712DA9" w:rsidRPr="00F77CA3">
        <w:t xml:space="preserve"> </w:t>
      </w:r>
      <w:r w:rsidR="00D37120" w:rsidRPr="00D37120">
        <w:t>where</w:t>
      </w:r>
      <w:r w:rsidR="00712DA9" w:rsidRPr="00F77CA3">
        <w:t xml:space="preserve"> they include investment from foreign government investors</w:t>
      </w:r>
      <w:r w:rsidR="00D37120" w:rsidRPr="00D37120">
        <w:t xml:space="preserve"> </w:t>
      </w:r>
      <w:r w:rsidR="00382544">
        <w:t>greater than 5 per cent</w:t>
      </w:r>
      <w:r w:rsidR="00382544" w:rsidRPr="00D37120">
        <w:t xml:space="preserve"> </w:t>
      </w:r>
      <w:r w:rsidR="00D37120" w:rsidRPr="00D37120">
        <w:t>or where there is shared control</w:t>
      </w:r>
      <w:r w:rsidRPr="00F77CA3">
        <w:t>.</w:t>
      </w:r>
    </w:p>
    <w:p w14:paraId="4A61EBED" w14:textId="77777777" w:rsidR="00E91EB9" w:rsidRPr="00E91EB9" w:rsidRDefault="00E91EB9" w:rsidP="00E91EB9">
      <w:pPr>
        <w:pStyle w:val="ChartandTableFootnoteAlpha"/>
        <w:numPr>
          <w:ilvl w:val="0"/>
          <w:numId w:val="0"/>
        </w:numPr>
        <w:ind w:left="283"/>
        <w:rPr>
          <w:sz w:val="4"/>
          <w:szCs w:val="4"/>
        </w:rPr>
      </w:pPr>
    </w:p>
    <w:p w14:paraId="4A423780" w14:textId="77777777" w:rsidR="00E91EB9" w:rsidRPr="00F77CA3" w:rsidRDefault="00E91EB9" w:rsidP="00E91EB9">
      <w:pPr>
        <w:pStyle w:val="StyleChartorTableNoteLeft0cmHanging1cm"/>
      </w:pPr>
      <w:r w:rsidRPr="00F77CA3">
        <w:t>Note</w:t>
      </w:r>
      <w:r>
        <w:t>s</w:t>
      </w:r>
      <w:r w:rsidRPr="00F77CA3">
        <w:t>:</w:t>
      </w:r>
      <w:r w:rsidRPr="00F77CA3">
        <w:tab/>
        <w:t xml:space="preserve">Totals may not add due to rounding. </w:t>
      </w:r>
      <w:proofErr w:type="gramStart"/>
      <w:r>
        <w:t>In</w:t>
      </w:r>
      <w:r w:rsidRPr="007945DC">
        <w:t xml:space="preserve">cludes corporate reorganisations </w:t>
      </w:r>
      <w:r>
        <w:t>and exemption certificates</w:t>
      </w:r>
      <w:r w:rsidRPr="007945DC">
        <w:t>.</w:t>
      </w:r>
      <w:proofErr w:type="gramEnd"/>
    </w:p>
    <w:p w14:paraId="695802F6" w14:textId="77777777" w:rsidR="00E91EB9" w:rsidRDefault="00E91EB9" w:rsidP="00E91EB9">
      <w:pPr>
        <w:pStyle w:val="StyleChartorTableNoteLeft0cmHanging1cm"/>
      </w:pPr>
      <w:r w:rsidRPr="00F77CA3">
        <w:tab/>
        <w:t>‘</w:t>
      </w:r>
      <w:r w:rsidRPr="00F77CA3">
        <w:noBreakHyphen/>
      </w:r>
      <w:proofErr w:type="gramStart"/>
      <w:r w:rsidRPr="00F77CA3">
        <w:t>‘ indicates</w:t>
      </w:r>
      <w:proofErr w:type="gramEnd"/>
      <w:r w:rsidRPr="00F77CA3">
        <w:t xml:space="preserve"> a figure of $10 million or less.</w:t>
      </w:r>
    </w:p>
    <w:p w14:paraId="28495106" w14:textId="5503305D" w:rsidR="00E91EB9" w:rsidRDefault="00E91EB9" w:rsidP="002A2C33">
      <w:pPr>
        <w:pStyle w:val="StyleChartorTableNoteLeft0cmHanging1cm"/>
        <w:ind w:firstLine="0"/>
      </w:pPr>
      <w:r w:rsidRPr="007945DC">
        <w:t xml:space="preserve">Total number of approvals in </w:t>
      </w:r>
      <w:r>
        <w:t>this table</w:t>
      </w:r>
      <w:r w:rsidRPr="007945DC">
        <w:t xml:space="preserve"> may be greater than or equal to the</w:t>
      </w:r>
      <w:r>
        <w:t xml:space="preserve"> total</w:t>
      </w:r>
      <w:r w:rsidRPr="007945DC">
        <w:t xml:space="preserve"> number of approvals in Tables </w:t>
      </w:r>
      <w:r>
        <w:t>4.1,</w:t>
      </w:r>
      <w:r w:rsidRPr="007945DC">
        <w:t xml:space="preserve"> </w:t>
      </w:r>
      <w:r>
        <w:t>4</w:t>
      </w:r>
      <w:r w:rsidRPr="007945DC">
        <w:t>.3</w:t>
      </w:r>
      <w:r>
        <w:t>, and 4.4</w:t>
      </w:r>
      <w:r w:rsidRPr="007945DC">
        <w:t xml:space="preserve"> as </w:t>
      </w:r>
      <w:r>
        <w:t xml:space="preserve">the data is recorded by </w:t>
      </w:r>
      <w:r w:rsidRPr="007945DC">
        <w:t xml:space="preserve">target, </w:t>
      </w:r>
      <w:r>
        <w:t xml:space="preserve">which </w:t>
      </w:r>
      <w:r w:rsidRPr="007945DC">
        <w:t>includ</w:t>
      </w:r>
      <w:r>
        <w:t>es both</w:t>
      </w:r>
      <w:r w:rsidRPr="007945DC">
        <w:t xml:space="preserve"> industry sectors</w:t>
      </w:r>
      <w:r>
        <w:t xml:space="preserve"> and investor countries</w:t>
      </w:r>
      <w:r w:rsidRPr="007945DC">
        <w:t>.</w:t>
      </w:r>
      <w:r>
        <w:t xml:space="preserve"> F</w:t>
      </w:r>
      <w:r w:rsidRPr="007945DC">
        <w:t xml:space="preserve">or </w:t>
      </w:r>
      <w:r>
        <w:t>instance,</w:t>
      </w:r>
      <w:r w:rsidRPr="007945DC">
        <w:t xml:space="preserve"> one proposal</w:t>
      </w:r>
      <w:r>
        <w:t xml:space="preserve"> from two investor countries</w:t>
      </w:r>
      <w:r w:rsidRPr="007945DC">
        <w:t xml:space="preserve"> to acquire two targets that operate in separate sectors will appear as one approval per sector</w:t>
      </w:r>
      <w:r>
        <w:t>, per country</w:t>
      </w:r>
      <w:r w:rsidR="00BE405F">
        <w:t xml:space="preserve"> (that is, it will be reflected as 4 approvals)</w:t>
      </w:r>
      <w:r>
        <w:t>.</w:t>
      </w:r>
    </w:p>
    <w:p w14:paraId="4944B629" w14:textId="20954811" w:rsidR="007E1A4D" w:rsidRPr="008237F9" w:rsidRDefault="007E1A4D" w:rsidP="008B6006">
      <w:r>
        <w:br w:type="page"/>
      </w:r>
      <w:bookmarkStart w:id="182" w:name="_Toc482100708"/>
      <w:bookmarkEnd w:id="182"/>
    </w:p>
    <w:p w14:paraId="615CB277" w14:textId="77777777" w:rsidR="00204E29" w:rsidRDefault="00204E29">
      <w:pPr>
        <w:sectPr w:rsidR="00204E29" w:rsidSect="00294A97">
          <w:headerReference w:type="even" r:id="rId93"/>
          <w:headerReference w:type="first" r:id="rId94"/>
          <w:footerReference w:type="first" r:id="rId95"/>
          <w:pgSz w:w="11907" w:h="16840" w:code="9"/>
          <w:pgMar w:top="2466" w:right="2098" w:bottom="2466" w:left="2098" w:header="1899" w:footer="1899" w:gutter="0"/>
          <w:cols w:space="708"/>
          <w:titlePg/>
          <w:docGrid w:linePitch="360"/>
        </w:sectPr>
      </w:pPr>
    </w:p>
    <w:p w14:paraId="3CD49FDD" w14:textId="0FE7EDCA" w:rsidR="00EB761B" w:rsidRDefault="00EB761B" w:rsidP="00EB761B">
      <w:pPr>
        <w:pStyle w:val="ChartGraphic"/>
        <w:spacing w:after="360"/>
      </w:pPr>
      <w:r>
        <w:rPr>
          <w:noProof/>
        </w:rPr>
        <w:lastRenderedPageBreak/>
        <w:drawing>
          <wp:inline distT="0" distB="0" distL="0" distR="0" wp14:anchorId="4F9A2929" wp14:editId="2BAAA29B">
            <wp:extent cx="4895088" cy="3060192"/>
            <wp:effectExtent l="0" t="0" r="1270" b="698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RB part page5.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4895088" cy="3060192"/>
                    </a:xfrm>
                    <a:prstGeom prst="rect">
                      <a:avLst/>
                    </a:prstGeom>
                  </pic:spPr>
                </pic:pic>
              </a:graphicData>
            </a:graphic>
          </wp:inline>
        </w:drawing>
      </w:r>
    </w:p>
    <w:p w14:paraId="4A2B0CFC" w14:textId="7209E007" w:rsidR="00851CDC" w:rsidRDefault="00851CDC" w:rsidP="00851CDC">
      <w:pPr>
        <w:pStyle w:val="Heading1"/>
      </w:pPr>
      <w:bookmarkStart w:id="183" w:name="_Toc514924639"/>
      <w:r>
        <w:t>Chapter 5: F</w:t>
      </w:r>
      <w:r w:rsidRPr="00851CDC">
        <w:t>oreign investment compliance</w:t>
      </w:r>
      <w:bookmarkEnd w:id="183"/>
    </w:p>
    <w:p w14:paraId="44E7FBFD" w14:textId="0E189B00" w:rsidR="00FA481C" w:rsidRDefault="00FA481C" w:rsidP="00FA481C">
      <w:r>
        <w:t xml:space="preserve">The Australian Government </w:t>
      </w:r>
      <w:r w:rsidR="00B101A7">
        <w:t xml:space="preserve">and the FIRB </w:t>
      </w:r>
      <w:r>
        <w:t xml:space="preserve">support the </w:t>
      </w:r>
      <w:r w:rsidRPr="007E79D7">
        <w:t xml:space="preserve">foreign investment </w:t>
      </w:r>
      <w:r>
        <w:t>regime through</w:t>
      </w:r>
      <w:r w:rsidRPr="007E79D7">
        <w:t xml:space="preserve"> education and promotion of the framework, rigorous screening practices and a robust compliance program.</w:t>
      </w:r>
    </w:p>
    <w:p w14:paraId="12BAEDE2" w14:textId="55383ADA" w:rsidR="00FA481C" w:rsidRPr="00E03EB9" w:rsidRDefault="00FA481C" w:rsidP="00EB761B">
      <w:pPr>
        <w:pStyle w:val="Heading2"/>
        <w:rPr>
          <w:rFonts w:eastAsiaTheme="minorHAnsi"/>
          <w:lang w:eastAsia="en-US"/>
        </w:rPr>
      </w:pPr>
      <w:bookmarkStart w:id="184" w:name="_Toc514924640"/>
      <w:r w:rsidRPr="00E03EB9">
        <w:rPr>
          <w:rFonts w:eastAsiaTheme="minorHAnsi"/>
          <w:lang w:eastAsia="en-US"/>
        </w:rPr>
        <w:t>Education and promotion</w:t>
      </w:r>
      <w:bookmarkEnd w:id="184"/>
    </w:p>
    <w:p w14:paraId="2844A9D4" w14:textId="54C8FF54" w:rsidR="00FA481C" w:rsidRPr="00306C43" w:rsidRDefault="00FA481C" w:rsidP="00FA481C">
      <w:pPr>
        <w:rPr>
          <w:rFonts w:ascii="Calibri" w:hAnsi="Calibri" w:cs="Calibri"/>
        </w:rPr>
      </w:pPr>
      <w:r w:rsidRPr="00E03EB9">
        <w:rPr>
          <w:rFonts w:ascii="Calibri" w:hAnsi="Calibri" w:cs="Calibri"/>
        </w:rPr>
        <w:t xml:space="preserve">The </w:t>
      </w:r>
      <w:r w:rsidR="007F72FF">
        <w:rPr>
          <w:rFonts w:ascii="Calibri" w:hAnsi="Calibri" w:cs="Calibri"/>
        </w:rPr>
        <w:t>FIRB</w:t>
      </w:r>
      <w:r w:rsidRPr="00E03EB9">
        <w:rPr>
          <w:rFonts w:ascii="Calibri" w:hAnsi="Calibri" w:cs="Calibri"/>
        </w:rPr>
        <w:t xml:space="preserve"> and its </w:t>
      </w:r>
      <w:r w:rsidR="00341C8A">
        <w:rPr>
          <w:rFonts w:ascii="Calibri" w:hAnsi="Calibri" w:cs="Calibri"/>
        </w:rPr>
        <w:t>officials</w:t>
      </w:r>
      <w:r w:rsidR="00D31804">
        <w:rPr>
          <w:rFonts w:ascii="Calibri" w:hAnsi="Calibri" w:cs="Calibri"/>
        </w:rPr>
        <w:t xml:space="preserve"> in </w:t>
      </w:r>
      <w:r w:rsidR="004A0E81">
        <w:rPr>
          <w:rFonts w:ascii="Calibri" w:hAnsi="Calibri" w:cs="Calibri"/>
        </w:rPr>
        <w:t xml:space="preserve">the </w:t>
      </w:r>
      <w:r w:rsidR="00D31804">
        <w:rPr>
          <w:rFonts w:ascii="Calibri" w:hAnsi="Calibri" w:cs="Calibri"/>
        </w:rPr>
        <w:t>Treasury and the ATO</w:t>
      </w:r>
      <w:r w:rsidR="00341C8A" w:rsidRPr="00E03EB9">
        <w:rPr>
          <w:rFonts w:ascii="Calibri" w:hAnsi="Calibri" w:cs="Calibri"/>
        </w:rPr>
        <w:t xml:space="preserve"> </w:t>
      </w:r>
      <w:r w:rsidRPr="00E03EB9">
        <w:rPr>
          <w:rFonts w:ascii="Calibri" w:hAnsi="Calibri" w:cs="Calibri"/>
        </w:rPr>
        <w:t xml:space="preserve">undertake numerous activities to educate and provide information to individuals and organisations affected directly and indirectly by the foreign investment </w:t>
      </w:r>
      <w:r w:rsidR="00D064D2">
        <w:rPr>
          <w:rFonts w:ascii="Calibri" w:hAnsi="Calibri" w:cs="Calibri"/>
        </w:rPr>
        <w:t>rules</w:t>
      </w:r>
      <w:r w:rsidRPr="00306C43">
        <w:rPr>
          <w:rFonts w:ascii="Calibri" w:hAnsi="Calibri" w:cs="Calibri"/>
        </w:rPr>
        <w:t xml:space="preserve">. These activities </w:t>
      </w:r>
      <w:r w:rsidR="00D064D2">
        <w:rPr>
          <w:rFonts w:ascii="Calibri" w:hAnsi="Calibri" w:cs="Calibri"/>
        </w:rPr>
        <w:t xml:space="preserve">are directed at </w:t>
      </w:r>
      <w:r w:rsidRPr="00306C43">
        <w:rPr>
          <w:rFonts w:ascii="Calibri" w:hAnsi="Calibri" w:cs="Calibri"/>
        </w:rPr>
        <w:t>ensur</w:t>
      </w:r>
      <w:r w:rsidR="00D064D2">
        <w:rPr>
          <w:rFonts w:ascii="Calibri" w:hAnsi="Calibri" w:cs="Calibri"/>
        </w:rPr>
        <w:t>ing</w:t>
      </w:r>
      <w:r w:rsidRPr="00306C43">
        <w:rPr>
          <w:rFonts w:ascii="Calibri" w:hAnsi="Calibri" w:cs="Calibri"/>
        </w:rPr>
        <w:t xml:space="preserve"> investors and related parties are aware of their obligations under the foreign investment </w:t>
      </w:r>
      <w:r w:rsidR="00BE405F">
        <w:rPr>
          <w:rFonts w:ascii="Calibri" w:hAnsi="Calibri" w:cs="Calibri"/>
        </w:rPr>
        <w:t>framework</w:t>
      </w:r>
      <w:r w:rsidRPr="00306C43">
        <w:rPr>
          <w:rFonts w:ascii="Calibri" w:hAnsi="Calibri" w:cs="Calibri"/>
        </w:rPr>
        <w:t>.</w:t>
      </w:r>
    </w:p>
    <w:p w14:paraId="6D3402BA" w14:textId="63E014E5" w:rsidR="00FA481C" w:rsidRPr="00306C43" w:rsidRDefault="00FA481C" w:rsidP="00FA481C">
      <w:pPr>
        <w:rPr>
          <w:rFonts w:ascii="Calibri" w:hAnsi="Calibri" w:cs="Calibri"/>
        </w:rPr>
      </w:pPr>
      <w:r>
        <w:rPr>
          <w:rFonts w:ascii="Calibri" w:hAnsi="Calibri" w:cs="Calibri"/>
        </w:rPr>
        <w:t>Education</w:t>
      </w:r>
      <w:r w:rsidRPr="00306C43">
        <w:rPr>
          <w:rFonts w:ascii="Calibri" w:hAnsi="Calibri" w:cs="Calibri"/>
        </w:rPr>
        <w:t xml:space="preserve"> activities include regular meetings with key stakeholders, presenting at industry forums and seminars, </w:t>
      </w:r>
      <w:r w:rsidR="00341C8A">
        <w:rPr>
          <w:rFonts w:ascii="Calibri" w:hAnsi="Calibri" w:cs="Calibri"/>
        </w:rPr>
        <w:t>publishing guidance material</w:t>
      </w:r>
      <w:r w:rsidRPr="00306C43">
        <w:rPr>
          <w:rFonts w:ascii="Calibri" w:hAnsi="Calibri" w:cs="Calibri"/>
        </w:rPr>
        <w:t xml:space="preserve"> on the </w:t>
      </w:r>
      <w:r w:rsidR="007F72FF">
        <w:rPr>
          <w:rFonts w:ascii="Calibri" w:hAnsi="Calibri" w:cs="Calibri"/>
        </w:rPr>
        <w:t>FIRB</w:t>
      </w:r>
      <w:r w:rsidRPr="00306C43">
        <w:rPr>
          <w:rFonts w:ascii="Calibri" w:hAnsi="Calibri" w:cs="Calibri"/>
        </w:rPr>
        <w:t>’s website</w:t>
      </w:r>
      <w:r w:rsidRPr="00D50629">
        <w:rPr>
          <w:rFonts w:ascii="Calibri" w:hAnsi="Calibri" w:cs="Calibri"/>
        </w:rPr>
        <w:t>,</w:t>
      </w:r>
      <w:r w:rsidRPr="003771AD">
        <w:rPr>
          <w:rFonts w:ascii="Calibri" w:hAnsi="Calibri" w:cs="Calibri"/>
        </w:rPr>
        <w:t xml:space="preserve"> responding to written enquiries an</w:t>
      </w:r>
      <w:r w:rsidRPr="00E7249F">
        <w:rPr>
          <w:rFonts w:ascii="Calibri" w:hAnsi="Calibri" w:cs="Calibri"/>
        </w:rPr>
        <w:t>d providing information through the general enquiries helpline and the compliance hotline.</w:t>
      </w:r>
    </w:p>
    <w:p w14:paraId="7F3C14ED" w14:textId="2AE31744" w:rsidR="00EB761B" w:rsidRDefault="00FA481C" w:rsidP="00EB761B">
      <w:pPr>
        <w:rPr>
          <w:rFonts w:ascii="Calibri" w:hAnsi="Calibri" w:cs="Calibri"/>
        </w:rPr>
      </w:pPr>
      <w:r w:rsidRPr="00306C43">
        <w:rPr>
          <w:rFonts w:ascii="Calibri" w:hAnsi="Calibri" w:cs="Calibri"/>
        </w:rPr>
        <w:t xml:space="preserve">For further information on the </w:t>
      </w:r>
      <w:r w:rsidR="007F72FF">
        <w:rPr>
          <w:rFonts w:ascii="Calibri" w:hAnsi="Calibri" w:cs="Calibri"/>
        </w:rPr>
        <w:t>FIRB</w:t>
      </w:r>
      <w:r w:rsidRPr="00306C43">
        <w:rPr>
          <w:rFonts w:ascii="Calibri" w:hAnsi="Calibri" w:cs="Calibri"/>
        </w:rPr>
        <w:t xml:space="preserve">’s engagement activities see the section on Stakeholder Engagement </w:t>
      </w:r>
      <w:r w:rsidR="001E7AC8">
        <w:rPr>
          <w:rFonts w:ascii="Calibri" w:hAnsi="Calibri" w:cs="Calibri"/>
        </w:rPr>
        <w:t>in Chapter 2</w:t>
      </w:r>
      <w:r w:rsidRPr="00306C43">
        <w:rPr>
          <w:rFonts w:ascii="Calibri" w:hAnsi="Calibri" w:cs="Calibri"/>
        </w:rPr>
        <w:t xml:space="preserve"> of </w:t>
      </w:r>
      <w:r w:rsidR="009C2376">
        <w:rPr>
          <w:rFonts w:ascii="Calibri" w:hAnsi="Calibri" w:cs="Calibri"/>
        </w:rPr>
        <w:t>this</w:t>
      </w:r>
      <w:r w:rsidR="00BF1BE0">
        <w:rPr>
          <w:rFonts w:ascii="Calibri" w:hAnsi="Calibri" w:cs="Calibri"/>
        </w:rPr>
        <w:t xml:space="preserve"> report</w:t>
      </w:r>
      <w:r w:rsidRPr="0097600E">
        <w:rPr>
          <w:rFonts w:ascii="Calibri" w:hAnsi="Calibri" w:cs="Calibri"/>
        </w:rPr>
        <w:t xml:space="preserve"> and the </w:t>
      </w:r>
      <w:r w:rsidRPr="00353E9A">
        <w:rPr>
          <w:rFonts w:ascii="Calibri" w:hAnsi="Calibri"/>
        </w:rPr>
        <w:t>2016</w:t>
      </w:r>
      <w:r w:rsidR="00CD7E4F">
        <w:rPr>
          <w:rFonts w:ascii="Calibri" w:hAnsi="Calibri"/>
        </w:rPr>
        <w:t>–</w:t>
      </w:r>
      <w:r w:rsidRPr="00353E9A">
        <w:rPr>
          <w:rFonts w:ascii="Calibri" w:hAnsi="Calibri"/>
        </w:rPr>
        <w:t xml:space="preserve">17 FIRB Regulator Performance Framework Report, available on the </w:t>
      </w:r>
      <w:r w:rsidR="007F72FF">
        <w:rPr>
          <w:rFonts w:ascii="Calibri" w:hAnsi="Calibri" w:cs="Calibri"/>
        </w:rPr>
        <w:t>FIRB</w:t>
      </w:r>
      <w:r w:rsidRPr="001E7AC8">
        <w:rPr>
          <w:rFonts w:ascii="Calibri" w:hAnsi="Calibri" w:cs="Calibri"/>
        </w:rPr>
        <w:t>’s</w:t>
      </w:r>
      <w:r w:rsidRPr="00353E9A">
        <w:rPr>
          <w:rFonts w:ascii="Calibri" w:hAnsi="Calibri"/>
        </w:rPr>
        <w:t xml:space="preserve"> website</w:t>
      </w:r>
      <w:r w:rsidRPr="008E645B">
        <w:rPr>
          <w:rFonts w:ascii="Calibri" w:hAnsi="Calibri" w:cs="Calibri"/>
        </w:rPr>
        <w:t>.</w:t>
      </w:r>
      <w:r w:rsidR="00EB761B">
        <w:rPr>
          <w:rFonts w:ascii="Calibri" w:hAnsi="Calibri" w:cs="Calibri"/>
        </w:rPr>
        <w:br w:type="page"/>
      </w:r>
    </w:p>
    <w:p w14:paraId="31153CB8" w14:textId="2EF7C358" w:rsidR="00FA481C" w:rsidRPr="00E03EB9" w:rsidRDefault="00FA481C" w:rsidP="00EB761B">
      <w:pPr>
        <w:pStyle w:val="Heading2"/>
        <w:rPr>
          <w:rFonts w:eastAsiaTheme="minorHAnsi"/>
          <w:lang w:eastAsia="en-US"/>
        </w:rPr>
      </w:pPr>
      <w:bookmarkStart w:id="185" w:name="_Toc514924641"/>
      <w:r w:rsidRPr="00E03EB9">
        <w:rPr>
          <w:rFonts w:eastAsiaTheme="minorHAnsi"/>
          <w:lang w:eastAsia="en-US"/>
        </w:rPr>
        <w:lastRenderedPageBreak/>
        <w:t>Compliance progra</w:t>
      </w:r>
      <w:r w:rsidR="00EB761B">
        <w:rPr>
          <w:rFonts w:eastAsiaTheme="minorHAnsi"/>
          <w:lang w:eastAsia="en-US"/>
        </w:rPr>
        <w:t>m</w:t>
      </w:r>
      <w:bookmarkEnd w:id="185"/>
    </w:p>
    <w:p w14:paraId="16C72940" w14:textId="72A228A3" w:rsidR="00FA481C" w:rsidRPr="00E03EB9" w:rsidRDefault="00FA481C" w:rsidP="00284ECA">
      <w:pPr>
        <w:spacing w:after="120"/>
        <w:rPr>
          <w:rFonts w:ascii="Calibri" w:hAnsi="Calibri" w:cs="Calibri"/>
        </w:rPr>
      </w:pPr>
      <w:r w:rsidRPr="00E03EB9">
        <w:rPr>
          <w:rFonts w:ascii="Calibri" w:hAnsi="Calibri" w:cs="Calibri"/>
        </w:rPr>
        <w:t>General compliance and monitoring work inc</w:t>
      </w:r>
      <w:r w:rsidR="00EB761B">
        <w:rPr>
          <w:rFonts w:ascii="Calibri" w:hAnsi="Calibri" w:cs="Calibri"/>
        </w:rPr>
        <w:t>ludes the following activities:</w:t>
      </w:r>
    </w:p>
    <w:p w14:paraId="71863DE2" w14:textId="26B9C9E5" w:rsidR="00FA481C" w:rsidRPr="0014043A" w:rsidRDefault="00FA481C" w:rsidP="00C27882">
      <w:pPr>
        <w:pStyle w:val="FIRBBulletpoint"/>
        <w:rPr>
          <w:rFonts w:eastAsiaTheme="minorHAnsi"/>
        </w:rPr>
      </w:pPr>
      <w:proofErr w:type="gramStart"/>
      <w:r w:rsidRPr="0014043A">
        <w:rPr>
          <w:rFonts w:eastAsiaTheme="minorHAnsi"/>
        </w:rPr>
        <w:t>investigations</w:t>
      </w:r>
      <w:proofErr w:type="gramEnd"/>
      <w:r w:rsidRPr="0014043A">
        <w:rPr>
          <w:rFonts w:eastAsiaTheme="minorHAnsi"/>
        </w:rPr>
        <w:t xml:space="preserve"> triggered by data matching and interpretation of trends. These investigations can include analysis of case histories, reviews of shareholding structures among listed Australian companies and regular monitoring of property market leasing and sales activity;</w:t>
      </w:r>
    </w:p>
    <w:p w14:paraId="46010BCD" w14:textId="4BF25A6A" w:rsidR="00FA481C" w:rsidRPr="0014043A" w:rsidRDefault="00FA481C" w:rsidP="00C27882">
      <w:pPr>
        <w:pStyle w:val="FIRBBulletpoint"/>
        <w:rPr>
          <w:rFonts w:eastAsiaTheme="minorHAnsi"/>
        </w:rPr>
      </w:pPr>
      <w:r w:rsidRPr="0014043A">
        <w:rPr>
          <w:rFonts w:eastAsiaTheme="minorHAnsi"/>
        </w:rPr>
        <w:t>investigations triggered by information recei</w:t>
      </w:r>
      <w:r w:rsidR="00EB761B" w:rsidRPr="0014043A">
        <w:rPr>
          <w:rFonts w:eastAsiaTheme="minorHAnsi"/>
        </w:rPr>
        <w:t>ved from members of the public;</w:t>
      </w:r>
    </w:p>
    <w:p w14:paraId="312E8553" w14:textId="1B71424E" w:rsidR="00FA481C" w:rsidRPr="0014043A" w:rsidRDefault="00FA481C" w:rsidP="00C27882">
      <w:pPr>
        <w:pStyle w:val="FIRBBulletpoint"/>
        <w:rPr>
          <w:rFonts w:eastAsiaTheme="minorHAnsi"/>
        </w:rPr>
      </w:pPr>
      <w:r w:rsidRPr="0014043A">
        <w:rPr>
          <w:rFonts w:eastAsiaTheme="minorHAnsi"/>
        </w:rPr>
        <w:t>monitoring to ensure that foreign persons are complying with the conditions attached to, or</w:t>
      </w:r>
      <w:r w:rsidR="00EB761B" w:rsidRPr="0014043A">
        <w:rPr>
          <w:rFonts w:eastAsiaTheme="minorHAnsi"/>
        </w:rPr>
        <w:t xml:space="preserve"> scope of, their approvals; and</w:t>
      </w:r>
    </w:p>
    <w:p w14:paraId="737379B9" w14:textId="1F8B2122" w:rsidR="00951CED" w:rsidRPr="0014043A" w:rsidRDefault="00FA481C" w:rsidP="00C27882">
      <w:pPr>
        <w:pStyle w:val="FIRBBulletpoint"/>
        <w:rPr>
          <w:rFonts w:eastAsiaTheme="minorHAnsi"/>
        </w:rPr>
      </w:pPr>
      <w:proofErr w:type="gramStart"/>
      <w:r w:rsidRPr="0014043A">
        <w:rPr>
          <w:rFonts w:eastAsiaTheme="minorHAnsi"/>
        </w:rPr>
        <w:t>liaising</w:t>
      </w:r>
      <w:proofErr w:type="gramEnd"/>
      <w:r w:rsidRPr="0014043A">
        <w:rPr>
          <w:rFonts w:eastAsiaTheme="minorHAnsi"/>
        </w:rPr>
        <w:t xml:space="preserve"> with a range of government agencies including relevant national security agencies, the Department of Immigration and Border Protection</w:t>
      </w:r>
      <w:r w:rsidR="003227E6" w:rsidRPr="0014043A">
        <w:rPr>
          <w:rFonts w:eastAsiaTheme="minorHAnsi"/>
        </w:rPr>
        <w:t xml:space="preserve"> (now known as the Department of Home Affairs)</w:t>
      </w:r>
      <w:r w:rsidRPr="0014043A">
        <w:rPr>
          <w:rFonts w:eastAsiaTheme="minorHAnsi"/>
        </w:rPr>
        <w:t>, the Australian Securities and Investments Commission, the Australian Criminal Intelligence Commission, the Australian Federal Police and state and</w:t>
      </w:r>
      <w:r w:rsidR="00EB761B" w:rsidRPr="0014043A">
        <w:rPr>
          <w:rFonts w:eastAsiaTheme="minorHAnsi"/>
        </w:rPr>
        <w:t xml:space="preserve"> territory industry regulators.</w:t>
      </w:r>
    </w:p>
    <w:p w14:paraId="3F5AF8C8" w14:textId="64263953" w:rsidR="003227E6" w:rsidRDefault="003227E6" w:rsidP="003227E6">
      <w:pPr>
        <w:rPr>
          <w:rFonts w:ascii="Calibri" w:hAnsi="Calibri" w:cs="Calibri"/>
          <w:sz w:val="18"/>
          <w:szCs w:val="18"/>
        </w:rPr>
      </w:pPr>
      <w:r w:rsidRPr="00E03EB9">
        <w:rPr>
          <w:rFonts w:ascii="Calibri" w:hAnsi="Calibri" w:cs="Calibri"/>
        </w:rPr>
        <w:t xml:space="preserve">When screening new applications, the applicant’s past compliance with the foreign investment regime is considered. This includes reviewing whether past transactions have been correctly notified and </w:t>
      </w:r>
      <w:r w:rsidRPr="00306C43">
        <w:rPr>
          <w:rFonts w:ascii="Calibri" w:hAnsi="Calibri" w:cs="Calibri"/>
        </w:rPr>
        <w:t>ensuring conditions relating to past proposals are met. Instances of non</w:t>
      </w:r>
      <w:r>
        <w:rPr>
          <w:rFonts w:ascii="Calibri" w:hAnsi="Calibri" w:cs="Calibri"/>
        </w:rPr>
        <w:noBreakHyphen/>
      </w:r>
      <w:r w:rsidRPr="00306C43">
        <w:rPr>
          <w:rFonts w:ascii="Calibri" w:hAnsi="Calibri" w:cs="Calibri"/>
        </w:rPr>
        <w:t xml:space="preserve">compliance may result in more stringent conditions being imposed on future approvals or even </w:t>
      </w:r>
      <w:r w:rsidR="00D31804">
        <w:rPr>
          <w:rFonts w:ascii="Calibri" w:hAnsi="Calibri" w:cs="Calibri"/>
        </w:rPr>
        <w:t>prohibition of proposed investments</w:t>
      </w:r>
      <w:r w:rsidRPr="00306C43">
        <w:rPr>
          <w:rFonts w:ascii="Calibri" w:hAnsi="Calibri" w:cs="Calibri"/>
        </w:rPr>
        <w:t xml:space="preserve">. The application screening process is outlined in </w:t>
      </w:r>
      <w:r w:rsidRPr="00CC2CDC">
        <w:rPr>
          <w:rFonts w:ascii="Calibri" w:hAnsi="Calibri" w:cs="Calibri"/>
        </w:rPr>
        <w:t xml:space="preserve">Appendix </w:t>
      </w:r>
      <w:r w:rsidR="008C475C">
        <w:rPr>
          <w:rFonts w:ascii="Calibri" w:hAnsi="Calibri" w:cs="Calibri"/>
        </w:rPr>
        <w:t>C</w:t>
      </w:r>
      <w:r w:rsidRPr="00CC2CDC">
        <w:rPr>
          <w:rFonts w:ascii="Calibri" w:hAnsi="Calibri" w:cs="Calibri"/>
        </w:rPr>
        <w:t xml:space="preserve"> of this</w:t>
      </w:r>
      <w:r>
        <w:rPr>
          <w:rFonts w:ascii="Calibri" w:hAnsi="Calibri" w:cs="Calibri"/>
        </w:rPr>
        <w:t xml:space="preserve"> report.</w:t>
      </w:r>
    </w:p>
    <w:p w14:paraId="22DA71B9" w14:textId="47B1ECF8" w:rsidR="00FA481C" w:rsidRPr="00E03EB9" w:rsidRDefault="00FA481C" w:rsidP="00EB761B">
      <w:pPr>
        <w:pStyle w:val="Heading2"/>
        <w:rPr>
          <w:rFonts w:eastAsiaTheme="minorHAnsi"/>
          <w:lang w:eastAsia="en-US"/>
        </w:rPr>
      </w:pPr>
      <w:bookmarkStart w:id="186" w:name="_Toc514924642"/>
      <w:r w:rsidRPr="00E03EB9">
        <w:rPr>
          <w:rFonts w:eastAsiaTheme="minorHAnsi"/>
          <w:lang w:eastAsia="en-US"/>
        </w:rPr>
        <w:t>P</w:t>
      </w:r>
      <w:r w:rsidR="00EB761B">
        <w:rPr>
          <w:rFonts w:eastAsiaTheme="minorHAnsi"/>
          <w:lang w:eastAsia="en-US"/>
        </w:rPr>
        <w:t>enalties and enforcement powers</w:t>
      </w:r>
      <w:bookmarkEnd w:id="186"/>
    </w:p>
    <w:p w14:paraId="314985F9" w14:textId="526ED8B4" w:rsidR="00FA481C" w:rsidRPr="00E03EB9" w:rsidRDefault="00FA481C" w:rsidP="00FA481C">
      <w:pPr>
        <w:rPr>
          <w:rFonts w:ascii="Calibri" w:hAnsi="Calibri" w:cs="Calibri"/>
        </w:rPr>
      </w:pPr>
      <w:r w:rsidRPr="00E03EB9">
        <w:rPr>
          <w:rFonts w:ascii="Calibri" w:hAnsi="Calibri" w:cs="Calibri"/>
        </w:rPr>
        <w:t xml:space="preserve">The Act provides a number of powers to enforce the foreign investment rules. Criminal and civil penalties may be applied for breaches of the Act, including where a foreign person takes an action that has not received prior foreign investment approval or breaches a condition of a foreign investment approval. For more significant breaches, an investor may be ordered to divest (by requiring the parties to sell shares, assets or property). Civil penalties can also be applied to third parties who knowingly assist foreign investors to </w:t>
      </w:r>
      <w:r w:rsidR="00892CD9">
        <w:rPr>
          <w:rFonts w:ascii="Calibri" w:hAnsi="Calibri" w:cs="Calibri"/>
        </w:rPr>
        <w:t>breach</w:t>
      </w:r>
      <w:r w:rsidR="00892CD9" w:rsidRPr="00E03EB9">
        <w:rPr>
          <w:rFonts w:ascii="Calibri" w:hAnsi="Calibri" w:cs="Calibri"/>
        </w:rPr>
        <w:t xml:space="preserve"> </w:t>
      </w:r>
      <w:r w:rsidR="00EB761B">
        <w:rPr>
          <w:rFonts w:ascii="Calibri" w:hAnsi="Calibri" w:cs="Calibri"/>
        </w:rPr>
        <w:t>the rules.</w:t>
      </w:r>
    </w:p>
    <w:p w14:paraId="6CA56B09" w14:textId="5E49BF79" w:rsidR="00FA481C" w:rsidRPr="00E03EB9" w:rsidRDefault="00FA481C" w:rsidP="00284ECA">
      <w:pPr>
        <w:spacing w:after="120"/>
        <w:rPr>
          <w:rFonts w:ascii="Calibri" w:hAnsi="Calibri" w:cs="Calibri"/>
        </w:rPr>
      </w:pPr>
      <w:r w:rsidRPr="00E03EB9">
        <w:rPr>
          <w:rFonts w:ascii="Calibri" w:hAnsi="Calibri" w:cs="Calibri"/>
        </w:rPr>
        <w:t xml:space="preserve">There are additional civil penalties in relation to residential land, including requiring an investor to forfeit capital gains made on divestment of a property. Less significant breaches of the foreign investment rules in relation to residential real estate may be addressed by way of an infringement notice (instead of a higher civil penalty). Less serious </w:t>
      </w:r>
      <w:r w:rsidR="00892CD9">
        <w:rPr>
          <w:rFonts w:ascii="Calibri" w:hAnsi="Calibri" w:cs="Calibri"/>
        </w:rPr>
        <w:t>breaches</w:t>
      </w:r>
      <w:r w:rsidRPr="00E03EB9">
        <w:rPr>
          <w:rFonts w:ascii="Calibri" w:hAnsi="Calibri" w:cs="Calibri"/>
        </w:rPr>
        <w:t xml:space="preserve"> </w:t>
      </w:r>
      <w:r w:rsidR="001A28CE">
        <w:rPr>
          <w:rFonts w:ascii="Calibri" w:hAnsi="Calibri" w:cs="Calibri"/>
        </w:rPr>
        <w:t>may</w:t>
      </w:r>
      <w:r w:rsidRPr="00E03EB9">
        <w:rPr>
          <w:rFonts w:ascii="Calibri" w:hAnsi="Calibri" w:cs="Calibri"/>
        </w:rPr>
        <w:t xml:space="preserve"> involve circumstances where:</w:t>
      </w:r>
    </w:p>
    <w:p w14:paraId="21082059" w14:textId="4D496037" w:rsidR="00FA481C" w:rsidRPr="0014043A" w:rsidRDefault="00FA481C" w:rsidP="00C27882">
      <w:pPr>
        <w:pStyle w:val="FIRBBulletpoint"/>
        <w:rPr>
          <w:rFonts w:eastAsiaTheme="minorHAnsi"/>
        </w:rPr>
      </w:pPr>
      <w:r w:rsidRPr="0014043A">
        <w:rPr>
          <w:rFonts w:eastAsiaTheme="minorHAnsi"/>
        </w:rPr>
        <w:t>the investor makes a full disclosure of th</w:t>
      </w:r>
      <w:r w:rsidR="00EB761B" w:rsidRPr="0014043A">
        <w:rPr>
          <w:rFonts w:eastAsiaTheme="minorHAnsi"/>
        </w:rPr>
        <w:t>e breach before it is detected;</w:t>
      </w:r>
    </w:p>
    <w:p w14:paraId="4FCDB559" w14:textId="570DD8FD" w:rsidR="00FA481C" w:rsidRPr="0014043A" w:rsidRDefault="00FA481C" w:rsidP="00C27882">
      <w:pPr>
        <w:pStyle w:val="FIRBBulletpoint"/>
        <w:rPr>
          <w:rFonts w:eastAsiaTheme="minorHAnsi"/>
        </w:rPr>
      </w:pPr>
      <w:r w:rsidRPr="0014043A">
        <w:rPr>
          <w:rFonts w:eastAsiaTheme="minorHAnsi"/>
        </w:rPr>
        <w:t xml:space="preserve">a breach occurs, and approval would have been granted </w:t>
      </w:r>
      <w:r w:rsidR="00EB761B" w:rsidRPr="0014043A">
        <w:rPr>
          <w:rFonts w:eastAsiaTheme="minorHAnsi"/>
        </w:rPr>
        <w:t>had they given prior notice; or</w:t>
      </w:r>
    </w:p>
    <w:p w14:paraId="38E49679" w14:textId="0F7F208B" w:rsidR="00FA481C" w:rsidRPr="00264BB4" w:rsidRDefault="00FA481C" w:rsidP="00C27882">
      <w:pPr>
        <w:pStyle w:val="FIRBBulletpoint"/>
        <w:rPr>
          <w:rFonts w:eastAsiaTheme="minorHAnsi"/>
          <w:lang w:eastAsia="en-US"/>
        </w:rPr>
      </w:pPr>
      <w:proofErr w:type="gramStart"/>
      <w:r w:rsidRPr="0014043A">
        <w:rPr>
          <w:rFonts w:eastAsiaTheme="minorHAnsi"/>
        </w:rPr>
        <w:t>the</w:t>
      </w:r>
      <w:proofErr w:type="gramEnd"/>
      <w:r w:rsidRPr="0014043A">
        <w:rPr>
          <w:rFonts w:eastAsiaTheme="minorHAnsi"/>
        </w:rPr>
        <w:t xml:space="preserve"> person has inadvertently breached a condition of an existing foreign investment approval, but would have received approval had they applied to have those conditions varied.</w:t>
      </w:r>
      <w:r w:rsidRPr="00264BB4">
        <w:rPr>
          <w:rFonts w:eastAsiaTheme="minorHAnsi"/>
          <w:lang w:eastAsia="en-US"/>
        </w:rPr>
        <w:br w:type="page"/>
      </w:r>
    </w:p>
    <w:p w14:paraId="2BC1D22E" w14:textId="09669ED0" w:rsidR="00264BB4" w:rsidRPr="00284ECA" w:rsidRDefault="00FA481C" w:rsidP="00C27882">
      <w:r w:rsidRPr="0025623B">
        <w:rPr>
          <w:rFonts w:eastAsiaTheme="minorHAnsi"/>
          <w:noProof/>
        </w:rPr>
        <w:lastRenderedPageBreak/>
        <mc:AlternateContent>
          <mc:Choice Requires="wps">
            <w:drawing>
              <wp:anchor distT="0" distB="0" distL="114300" distR="114300" simplePos="0" relativeHeight="251658241" behindDoc="0" locked="0" layoutInCell="1" allowOverlap="1" wp14:anchorId="5C3BE479" wp14:editId="7F391985">
                <wp:simplePos x="0" y="0"/>
                <wp:positionH relativeFrom="column">
                  <wp:posOffset>13335</wp:posOffset>
                </wp:positionH>
                <wp:positionV relativeFrom="paragraph">
                  <wp:posOffset>-30480</wp:posOffset>
                </wp:positionV>
                <wp:extent cx="4866005" cy="6750050"/>
                <wp:effectExtent l="0" t="0" r="0" b="0"/>
                <wp:wrapTopAndBottom/>
                <wp:docPr id="8" name="Snip and Round Single Corner Rectangle 8"/>
                <wp:cNvGraphicFramePr/>
                <a:graphic xmlns:a="http://schemas.openxmlformats.org/drawingml/2006/main">
                  <a:graphicData uri="http://schemas.microsoft.com/office/word/2010/wordprocessingShape">
                    <wps:wsp>
                      <wps:cNvSpPr/>
                      <wps:spPr>
                        <a:xfrm>
                          <a:off x="0" y="0"/>
                          <a:ext cx="4866005" cy="6750050"/>
                        </a:xfrm>
                        <a:prstGeom prst="snipRoundRect">
                          <a:avLst>
                            <a:gd name="adj1" fmla="val 5531"/>
                            <a:gd name="adj2" fmla="val 10817"/>
                          </a:avLst>
                        </a:prstGeom>
                        <a:solidFill>
                          <a:srgbClr val="155A76"/>
                        </a:solidFill>
                        <a:ln w="25400" cap="flat" cmpd="sng" algn="ctr">
                          <a:noFill/>
                          <a:prstDash val="solid"/>
                        </a:ln>
                        <a:effectLst/>
                      </wps:spPr>
                      <wps:txbx>
                        <w:txbxContent>
                          <w:p w14:paraId="686B5811" w14:textId="77777777" w:rsidR="00AE54F4" w:rsidRPr="00264BB4" w:rsidRDefault="00AE54F4" w:rsidP="00264BB4">
                            <w:pPr>
                              <w:pStyle w:val="BoxHeading"/>
                            </w:pPr>
                            <w:r w:rsidRPr="00264BB4">
                              <w:t>Strengthening commercial compliance</w:t>
                            </w:r>
                          </w:p>
                          <w:p w14:paraId="4EA3386D" w14:textId="318332BA" w:rsidR="00AE54F4" w:rsidRDefault="00AE54F4" w:rsidP="00264BB4">
                            <w:pPr>
                              <w:pStyle w:val="BoxText"/>
                            </w:pPr>
                            <w:r w:rsidRPr="003227E6">
                              <w:t>Ensuring there is strong compliance with Australia’s foreign investment laws is a priority for the Australian Government</w:t>
                            </w:r>
                            <w:r>
                              <w:t>.</w:t>
                            </w:r>
                          </w:p>
                          <w:p w14:paraId="791E7C95" w14:textId="1CB279A9" w:rsidR="00AE54F4" w:rsidRPr="00264BB4" w:rsidRDefault="00AE54F4" w:rsidP="00264BB4">
                            <w:pPr>
                              <w:pStyle w:val="BoxText"/>
                            </w:pPr>
                            <w:r w:rsidRPr="00264BB4">
                              <w:t xml:space="preserve">Recent years have seen a significant change in the foreign investment environment, including the size of commercial investments being undertaken and the sectors in which investments are focussed. This has led to a higher proportion of applications being subject to conditions to ensure they are able to proceed without being contrary to the national interest. </w:t>
                            </w:r>
                            <w:r>
                              <w:t>Chapter</w:t>
                            </w:r>
                            <w:r w:rsidRPr="00264BB4">
                              <w:t xml:space="preserve"> 2</w:t>
                            </w:r>
                            <w:r w:rsidRPr="001E7AC8">
                              <w:t xml:space="preserve"> outlines the foreign investment framework and </w:t>
                            </w:r>
                            <w:r w:rsidRPr="00264BB4">
                              <w:t xml:space="preserve">detail regarding </w:t>
                            </w:r>
                            <w:r>
                              <w:t>the management of national interest factors</w:t>
                            </w:r>
                            <w:r w:rsidRPr="00264BB4">
                              <w:t>.</w:t>
                            </w:r>
                          </w:p>
                          <w:p w14:paraId="219E5C5D" w14:textId="254DC82D" w:rsidR="00AE54F4" w:rsidRPr="00264BB4" w:rsidRDefault="00AE54F4" w:rsidP="00264BB4">
                            <w:pPr>
                              <w:pStyle w:val="BoxText"/>
                            </w:pPr>
                            <w:r w:rsidRPr="00264BB4">
                              <w:t xml:space="preserve">All commercial foreign investment approvals with conditions attached require regular reporting to the </w:t>
                            </w:r>
                            <w:r>
                              <w:t>FIRB</w:t>
                            </w:r>
                            <w:r w:rsidRPr="00264BB4">
                              <w:t xml:space="preserve"> regarding compliance with those conditions. </w:t>
                            </w:r>
                            <w:r>
                              <w:t>Non</w:t>
                            </w:r>
                            <w:r>
                              <w:noBreakHyphen/>
                              <w:t xml:space="preserve">compliance with conditions is treated seriously and a range of mechanisms, including </w:t>
                            </w:r>
                            <w:r w:rsidRPr="00264BB4">
                              <w:t>penalties and divestment orders</w:t>
                            </w:r>
                            <w:r>
                              <w:t>,</w:t>
                            </w:r>
                            <w:r w:rsidRPr="000A1EDC">
                              <w:t xml:space="preserve"> </w:t>
                            </w:r>
                            <w:r>
                              <w:t>are</w:t>
                            </w:r>
                            <w:r w:rsidRPr="00264BB4">
                              <w:t xml:space="preserve"> available.</w:t>
                            </w:r>
                          </w:p>
                          <w:p w14:paraId="534A1567" w14:textId="66D91F3D" w:rsidR="00AE54F4" w:rsidRPr="00264BB4" w:rsidRDefault="00AE54F4" w:rsidP="00264BB4">
                            <w:pPr>
                              <w:pStyle w:val="BoxText"/>
                            </w:pPr>
                            <w:r w:rsidRPr="00264BB4">
                              <w:t xml:space="preserve">As more complex and sophisticated conditions are attached to foreign investment approvals to address changing risks, so too have </w:t>
                            </w:r>
                            <w:r>
                              <w:t>Treasury’s</w:t>
                            </w:r>
                            <w:r w:rsidRPr="00264BB4">
                              <w:t xml:space="preserve"> compliance auditing, assurance and reporting become more sophisticated over 2016-17.</w:t>
                            </w:r>
                          </w:p>
                          <w:p w14:paraId="155E7FB6" w14:textId="314CB3DD" w:rsidR="00AE54F4" w:rsidRDefault="00AE54F4" w:rsidP="003227E6">
                            <w:pPr>
                              <w:rPr>
                                <w:color w:val="FFFFFF" w:themeColor="background1"/>
                              </w:rPr>
                            </w:pPr>
                            <w:r w:rsidRPr="003E3126">
                              <w:rPr>
                                <w:color w:val="FFFFFF" w:themeColor="background1"/>
                              </w:rPr>
                              <w:t>Further work is underway to enhance compliance arrangements, including strengthening compliance activities and rolling out a comprehensive audit program.</w:t>
                            </w:r>
                          </w:p>
                          <w:p w14:paraId="4553F3C6" w14:textId="72E53D00" w:rsidR="00AE54F4" w:rsidRDefault="00AE54F4" w:rsidP="003227E6">
                            <w:pPr>
                              <w:rPr>
                                <w:color w:val="FFFFFF" w:themeColor="background1"/>
                              </w:rPr>
                            </w:pPr>
                            <w:r>
                              <w:rPr>
                                <w:color w:val="FFFFFF" w:themeColor="background1"/>
                              </w:rPr>
                              <w:t xml:space="preserve">Information about the enhanced compliance arrangements was published on the FIRB website in July 2017. Treasury implemented the audit program in the second half of 2017 and is aiming to </w:t>
                            </w:r>
                            <w:r w:rsidRPr="00807669">
                              <w:rPr>
                                <w:color w:val="FFFFFF" w:themeColor="background1"/>
                              </w:rPr>
                              <w:t xml:space="preserve">conduct </w:t>
                            </w:r>
                            <w:r w:rsidRPr="00343126">
                              <w:rPr>
                                <w:color w:val="FFFFFF" w:themeColor="background1"/>
                              </w:rPr>
                              <w:t>up to 20</w:t>
                            </w:r>
                            <w:r w:rsidRPr="00807669">
                              <w:rPr>
                                <w:color w:val="FFFFFF" w:themeColor="background1"/>
                              </w:rPr>
                              <w:t xml:space="preserve"> audits per year</w:t>
                            </w:r>
                            <w:r>
                              <w:rPr>
                                <w:color w:val="FFFFFF" w:themeColor="background1"/>
                              </w:rPr>
                              <w:t>.</w:t>
                            </w:r>
                          </w:p>
                          <w:p w14:paraId="10EA665A" w14:textId="299061F0" w:rsidR="00AE54F4" w:rsidRPr="003E3126" w:rsidRDefault="00AE54F4" w:rsidP="003227E6">
                            <w:pPr>
                              <w:rPr>
                                <w:color w:val="FFFFFF" w:themeColor="background1"/>
                              </w:rPr>
                            </w:pPr>
                            <w:r w:rsidRPr="003E3126">
                              <w:rPr>
                                <w:color w:val="FFFFFF" w:themeColor="background1"/>
                              </w:rPr>
                              <w:t>The objective of this work is to support voluntary compliance with the foreign investment regime, while providing a disincentive for non-compliance by using the penalties available under the regime.</w:t>
                            </w:r>
                            <w:r>
                              <w:rPr>
                                <w:color w:val="FFFFFF" w:themeColor="background1"/>
                              </w:rPr>
                              <w:t xml:space="preserve"> Future annual performance reports will report on the outcomes of the audit program and any associated enforcement action.</w:t>
                            </w:r>
                          </w:p>
                          <w:p w14:paraId="4C1F3628" w14:textId="4FA9118B" w:rsidR="00AE54F4" w:rsidRPr="00D064D2" w:rsidRDefault="00AE54F4" w:rsidP="00D064D2">
                            <w:pPr>
                              <w:rPr>
                                <w:color w:val="FFFFFF" w:themeColor="background1"/>
                              </w:rPr>
                            </w:pPr>
                            <w:r w:rsidRPr="003E3126">
                              <w:rPr>
                                <w:color w:val="FFFFFF" w:themeColor="background1"/>
                              </w:rPr>
                              <w:t>It also enables Treasury to collect valuable information on foreign</w:t>
                            </w:r>
                            <w:r>
                              <w:rPr>
                                <w:color w:val="FFFFFF" w:themeColor="background1"/>
                              </w:rPr>
                              <w:t xml:space="preserve"> investment risks and processes,</w:t>
                            </w:r>
                            <w:r w:rsidRPr="003E3126">
                              <w:rPr>
                                <w:color w:val="FFFFFF" w:themeColor="background1"/>
                              </w:rPr>
                              <w:t xml:space="preserve"> including the use of conditions, as part of a commitment to continuous improvement and delivering best-practice regulation.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Snip and Round Single Corner Rectangle 8" o:spid="_x0000_s1060" style="position:absolute;left:0;text-align:left;margin-left:1.05pt;margin-top:-2.4pt;width:383.15pt;height:531.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coordsize="4866005,67500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" adj="-11796480,,5400" path="m269139,l4339649,r526356,526356l4866005,6750050,,6750050,,269139c,120498,120498,,269139,xe" fillcolor="#155a76" stroked="f" strokeweight="2pt">
                <v:stroke joinstyle="miter"/>
                <v:formulas/>
                <v:path arrowok="t" o:connecttype="custom" o:connectlocs="269139,0;4339649,0;4866005,526356;4866005,6750050;0,6750050;0,269139;269139,0" o:connectangles="0,0,0,0,0,0,0" textboxrect="0,0,4866005,6750050"/>
                <v:textbox>
                  <w:txbxContent>
                    <w:p w14:paraId="686B5811" w14:textId="77777777" w:rsidR="00AE54F4" w:rsidRPr="00264BB4" w:rsidRDefault="00AE54F4" w:rsidP="00264BB4">
                      <w:pPr>
                        <w:pStyle w:val="BoxHeading"/>
                      </w:pPr>
                      <w:r w:rsidRPr="00264BB4">
                        <w:t>Strengthening commercial compliance</w:t>
                      </w:r>
                    </w:p>
                    <w:p w14:paraId="4EA3386D" w14:textId="318332BA" w:rsidR="00AE54F4" w:rsidRDefault="00AE54F4" w:rsidP="00264BB4">
                      <w:pPr>
                        <w:pStyle w:val="BoxText"/>
                      </w:pPr>
                      <w:r w:rsidRPr="003227E6">
                        <w:t>Ensuring there is strong compliance with Australia’s foreign investment laws is a priority for the Australian Government</w:t>
                      </w:r>
                      <w:r>
                        <w:t>.</w:t>
                      </w:r>
                    </w:p>
                    <w:p w14:paraId="791E7C95" w14:textId="1CB279A9" w:rsidR="00AE54F4" w:rsidRPr="00264BB4" w:rsidRDefault="00AE54F4" w:rsidP="00264BB4">
                      <w:pPr>
                        <w:pStyle w:val="BoxText"/>
                      </w:pPr>
                      <w:r w:rsidRPr="00264BB4">
                        <w:t xml:space="preserve">Recent years have seen a significant change in the foreign investment environment, including the size of commercial investments being undertaken and the sectors in which investments are focussed. This has led to a higher proportion of applications being subject to conditions to ensure they are able to proceed without being contrary to the national interest. </w:t>
                      </w:r>
                      <w:r>
                        <w:t>Chapter</w:t>
                      </w:r>
                      <w:r w:rsidRPr="00264BB4">
                        <w:t xml:space="preserve"> 2</w:t>
                      </w:r>
                      <w:r w:rsidRPr="001E7AC8">
                        <w:t xml:space="preserve"> outlines the foreign investment framework and </w:t>
                      </w:r>
                      <w:r w:rsidRPr="00264BB4">
                        <w:t xml:space="preserve">detail regarding </w:t>
                      </w:r>
                      <w:r>
                        <w:t>the management of national interest factors</w:t>
                      </w:r>
                      <w:r w:rsidRPr="00264BB4">
                        <w:t>.</w:t>
                      </w:r>
                    </w:p>
                    <w:p w14:paraId="219E5C5D" w14:textId="254DC82D" w:rsidR="00AE54F4" w:rsidRPr="00264BB4" w:rsidRDefault="00AE54F4" w:rsidP="00264BB4">
                      <w:pPr>
                        <w:pStyle w:val="BoxText"/>
                      </w:pPr>
                      <w:r w:rsidRPr="00264BB4">
                        <w:t xml:space="preserve">All commercial foreign investment approvals with conditions attached require regular reporting to the </w:t>
                      </w:r>
                      <w:r>
                        <w:t>FIRB</w:t>
                      </w:r>
                      <w:r w:rsidRPr="00264BB4">
                        <w:t xml:space="preserve"> regarding compliance with those conditions. </w:t>
                      </w:r>
                      <w:r>
                        <w:t>Non</w:t>
                      </w:r>
                      <w:r>
                        <w:noBreakHyphen/>
                        <w:t xml:space="preserve">compliance with conditions is treated seriously and a range of mechanisms, including </w:t>
                      </w:r>
                      <w:r w:rsidRPr="00264BB4">
                        <w:t>penalties and divestment orders</w:t>
                      </w:r>
                      <w:r>
                        <w:t>,</w:t>
                      </w:r>
                      <w:r w:rsidRPr="000A1EDC">
                        <w:t xml:space="preserve"> </w:t>
                      </w:r>
                      <w:r>
                        <w:t>are</w:t>
                      </w:r>
                      <w:r w:rsidRPr="00264BB4">
                        <w:t xml:space="preserve"> available.</w:t>
                      </w:r>
                    </w:p>
                    <w:p w14:paraId="534A1567" w14:textId="66D91F3D" w:rsidR="00AE54F4" w:rsidRPr="00264BB4" w:rsidRDefault="00AE54F4" w:rsidP="00264BB4">
                      <w:pPr>
                        <w:pStyle w:val="BoxText"/>
                      </w:pPr>
                      <w:r w:rsidRPr="00264BB4">
                        <w:t xml:space="preserve">As more complex and sophisticated conditions are attached to foreign investment approvals to address changing risks, so too have </w:t>
                      </w:r>
                      <w:r>
                        <w:t>Treasury’s</w:t>
                      </w:r>
                      <w:r w:rsidRPr="00264BB4">
                        <w:t xml:space="preserve"> compliance auditing, assurance and reporting become more sophisticated over 2016-17.</w:t>
                      </w:r>
                    </w:p>
                    <w:p w14:paraId="155E7FB6" w14:textId="314CB3DD" w:rsidR="00AE54F4" w:rsidRDefault="00AE54F4" w:rsidP="003227E6">
                      <w:pPr>
                        <w:rPr>
                          <w:color w:val="FFFFFF" w:themeColor="background1"/>
                        </w:rPr>
                      </w:pPr>
                      <w:r w:rsidRPr="003E3126">
                        <w:rPr>
                          <w:color w:val="FFFFFF" w:themeColor="background1"/>
                        </w:rPr>
                        <w:t>Further work is underway to enhance compliance arrangements, including strengthening compliance activities and rolling out a comprehensive audit program.</w:t>
                      </w:r>
                    </w:p>
                    <w:p w14:paraId="4553F3C6" w14:textId="72E53D00" w:rsidR="00AE54F4" w:rsidRDefault="00AE54F4" w:rsidP="003227E6">
                      <w:pPr>
                        <w:rPr>
                          <w:color w:val="FFFFFF" w:themeColor="background1"/>
                        </w:rPr>
                      </w:pPr>
                      <w:r>
                        <w:rPr>
                          <w:color w:val="FFFFFF" w:themeColor="background1"/>
                        </w:rPr>
                        <w:t xml:space="preserve">Information about the enhanced compliance arrangements was published on the FIRB website in July 2017. Treasury implemented the audit program in the second half of 2017 and is aiming to </w:t>
                      </w:r>
                      <w:r w:rsidRPr="00807669">
                        <w:rPr>
                          <w:color w:val="FFFFFF" w:themeColor="background1"/>
                        </w:rPr>
                        <w:t xml:space="preserve">conduct </w:t>
                      </w:r>
                      <w:r w:rsidRPr="00343126">
                        <w:rPr>
                          <w:color w:val="FFFFFF" w:themeColor="background1"/>
                        </w:rPr>
                        <w:t>up to 20</w:t>
                      </w:r>
                      <w:r w:rsidRPr="00807669">
                        <w:rPr>
                          <w:color w:val="FFFFFF" w:themeColor="background1"/>
                        </w:rPr>
                        <w:t xml:space="preserve"> audits per year</w:t>
                      </w:r>
                      <w:r>
                        <w:rPr>
                          <w:color w:val="FFFFFF" w:themeColor="background1"/>
                        </w:rPr>
                        <w:t>.</w:t>
                      </w:r>
                    </w:p>
                    <w:p w14:paraId="10EA665A" w14:textId="299061F0" w:rsidR="00AE54F4" w:rsidRPr="003E3126" w:rsidRDefault="00AE54F4" w:rsidP="003227E6">
                      <w:pPr>
                        <w:rPr>
                          <w:color w:val="FFFFFF" w:themeColor="background1"/>
                        </w:rPr>
                      </w:pPr>
                      <w:r w:rsidRPr="003E3126">
                        <w:rPr>
                          <w:color w:val="FFFFFF" w:themeColor="background1"/>
                        </w:rPr>
                        <w:t>The objective of this work is to support voluntary compliance with the foreign investment regime, while providing a disincentive for non-compliance by using the penalties available under the regime.</w:t>
                      </w:r>
                      <w:r>
                        <w:rPr>
                          <w:color w:val="FFFFFF" w:themeColor="background1"/>
                        </w:rPr>
                        <w:t xml:space="preserve"> Future annual performance reports will report on the outcomes of the audit program and any associated enforcement action.</w:t>
                      </w:r>
                    </w:p>
                    <w:p w14:paraId="4C1F3628" w14:textId="4FA9118B" w:rsidR="00AE54F4" w:rsidRPr="00D064D2" w:rsidRDefault="00AE54F4" w:rsidP="00D064D2">
                      <w:pPr>
                        <w:rPr>
                          <w:color w:val="FFFFFF" w:themeColor="background1"/>
                        </w:rPr>
                      </w:pPr>
                      <w:r w:rsidRPr="003E3126">
                        <w:rPr>
                          <w:color w:val="FFFFFF" w:themeColor="background1"/>
                        </w:rPr>
                        <w:t>It also enables Treasury to collect valuable information on foreign</w:t>
                      </w:r>
                      <w:r>
                        <w:rPr>
                          <w:color w:val="FFFFFF" w:themeColor="background1"/>
                        </w:rPr>
                        <w:t xml:space="preserve"> investment risks and processes,</w:t>
                      </w:r>
                      <w:r w:rsidRPr="003E3126">
                        <w:rPr>
                          <w:color w:val="FFFFFF" w:themeColor="background1"/>
                        </w:rPr>
                        <w:t xml:space="preserve"> including the use of conditions, as part of a commitment to continuous improvement and delivering best-practice regulation.</w:t>
                      </w:r>
                    </w:p>
                  </w:txbxContent>
                </v:textbox>
                <w10:wrap type="topAndBottom"/>
              </v:shape>
            </w:pict>
          </mc:Fallback>
        </mc:AlternateContent>
      </w:r>
      <w:bookmarkStart w:id="187" w:name="_Toc497163064"/>
      <w:r w:rsidR="00264BB4">
        <w:br w:type="page"/>
      </w:r>
    </w:p>
    <w:p w14:paraId="12BB27F7" w14:textId="0848BC20" w:rsidR="00FA481C" w:rsidRPr="001C739A" w:rsidRDefault="00FA481C" w:rsidP="001C739A">
      <w:pPr>
        <w:pStyle w:val="Heading2"/>
      </w:pPr>
      <w:bookmarkStart w:id="188" w:name="_Toc512259066"/>
      <w:bookmarkStart w:id="189" w:name="_Toc512523488"/>
      <w:bookmarkStart w:id="190" w:name="_Toc512524857"/>
      <w:bookmarkStart w:id="191" w:name="_Toc513021746"/>
      <w:bookmarkStart w:id="192" w:name="_Toc513122764"/>
      <w:bookmarkStart w:id="193" w:name="_Toc513131334"/>
      <w:bookmarkStart w:id="194" w:name="_Toc513456067"/>
      <w:bookmarkStart w:id="195" w:name="_Toc513457313"/>
      <w:bookmarkStart w:id="196" w:name="_Toc513557391"/>
      <w:bookmarkStart w:id="197" w:name="_Toc513559407"/>
      <w:bookmarkStart w:id="198" w:name="_Toc514924643"/>
      <w:r w:rsidRPr="001C739A">
        <w:lastRenderedPageBreak/>
        <w:t xml:space="preserve">Residential </w:t>
      </w:r>
      <w:r w:rsidR="00871F60">
        <w:t xml:space="preserve">real estate </w:t>
      </w:r>
      <w:r w:rsidRPr="001C739A">
        <w:t>compliance investigations and outcomes</w:t>
      </w:r>
      <w:bookmarkEnd w:id="187"/>
      <w:bookmarkEnd w:id="188"/>
      <w:bookmarkEnd w:id="189"/>
      <w:bookmarkEnd w:id="190"/>
      <w:bookmarkEnd w:id="191"/>
      <w:bookmarkEnd w:id="192"/>
      <w:bookmarkEnd w:id="193"/>
      <w:bookmarkEnd w:id="194"/>
      <w:bookmarkEnd w:id="195"/>
      <w:bookmarkEnd w:id="196"/>
      <w:bookmarkEnd w:id="197"/>
      <w:bookmarkEnd w:id="198"/>
    </w:p>
    <w:p w14:paraId="30F8F8B0" w14:textId="1A34028C" w:rsidR="00FA481C" w:rsidRDefault="00FA481C" w:rsidP="001C739A">
      <w:r>
        <w:t xml:space="preserve">The data reported in this section is based on residential real estate compliance investigations </w:t>
      </w:r>
      <w:r w:rsidR="002247BF">
        <w:t xml:space="preserve">undertaken by the ATO </w:t>
      </w:r>
      <w:r>
        <w:t xml:space="preserve">from 1 July 2016 to 30 June 2017. </w:t>
      </w:r>
      <w:r w:rsidR="00EA1291">
        <w:t xml:space="preserve">As noted </w:t>
      </w:r>
      <w:r w:rsidR="00C34A63">
        <w:t>earlier in this report</w:t>
      </w:r>
      <w:r w:rsidR="00EA1291">
        <w:t xml:space="preserve">, responsibility for </w:t>
      </w:r>
      <w:r w:rsidR="00C34A63">
        <w:t>administ</w:t>
      </w:r>
      <w:r w:rsidR="002E489A">
        <w:t>ering</w:t>
      </w:r>
      <w:r w:rsidR="00C34A63">
        <w:t xml:space="preserve">, </w:t>
      </w:r>
      <w:r w:rsidR="00EA1291">
        <w:t>monitoring and enforcing compliance with residential real</w:t>
      </w:r>
      <w:r w:rsidR="00C34A63">
        <w:t xml:space="preserve"> </w:t>
      </w:r>
      <w:r w:rsidR="00EA1291">
        <w:t xml:space="preserve">estate rules was transferred to the ATO in December 2015, along with </w:t>
      </w:r>
      <w:r w:rsidR="00EB761B">
        <w:t>additional enforcement powers.</w:t>
      </w:r>
    </w:p>
    <w:p w14:paraId="5A693620" w14:textId="763F70BB" w:rsidR="00FA481C" w:rsidRDefault="00C34A63" w:rsidP="001C739A">
      <w:r>
        <w:t>During 2016</w:t>
      </w:r>
      <w:r w:rsidR="00CD7E4F">
        <w:t>–</w:t>
      </w:r>
      <w:r>
        <w:t xml:space="preserve">17 </w:t>
      </w:r>
      <w:r w:rsidR="00FA481C">
        <w:t>1,669 cases were identified for investigation</w:t>
      </w:r>
      <w:r w:rsidR="003D772C">
        <w:t xml:space="preserve"> (down from </w:t>
      </w:r>
      <w:r w:rsidR="009337DA">
        <w:t>2,104 cases in 2015</w:t>
      </w:r>
      <w:r w:rsidR="00CD7E4F">
        <w:noBreakHyphen/>
      </w:r>
      <w:r w:rsidR="009337DA">
        <w:t>16)</w:t>
      </w:r>
      <w:r w:rsidR="00FA481C">
        <w:t>. Of these, 1,409 investigations were completed</w:t>
      </w:r>
      <w:r w:rsidR="009337DA">
        <w:t xml:space="preserve"> (1,637 in 2015</w:t>
      </w:r>
      <w:r w:rsidR="00CD7E4F">
        <w:t>–</w:t>
      </w:r>
      <w:r w:rsidR="009337DA">
        <w:t>16)</w:t>
      </w:r>
      <w:r w:rsidR="00FA481C">
        <w:t xml:space="preserve">, </w:t>
      </w:r>
      <w:r>
        <w:t xml:space="preserve">which identified </w:t>
      </w:r>
      <w:r w:rsidR="00FA481C">
        <w:t>549</w:t>
      </w:r>
      <w:r w:rsidR="00D6158A">
        <w:t> </w:t>
      </w:r>
      <w:r w:rsidR="00FA481C">
        <w:t>properties acquired in breach of Australia’s foreign investment rules</w:t>
      </w:r>
      <w:r w:rsidR="009337DA">
        <w:t xml:space="preserve"> (up from 260</w:t>
      </w:r>
      <w:r w:rsidR="002247BF">
        <w:t>)</w:t>
      </w:r>
      <w:r w:rsidR="00FA481C">
        <w:t xml:space="preserve">. There were 96 residential properties divested by foreign persons </w:t>
      </w:r>
      <w:r w:rsidR="002247BF">
        <w:t>(up from 54 in 2015</w:t>
      </w:r>
      <w:r w:rsidR="00CD7E4F">
        <w:t>–</w:t>
      </w:r>
      <w:r w:rsidR="002247BF">
        <w:t xml:space="preserve">16) </w:t>
      </w:r>
      <w:r w:rsidR="00FA481C">
        <w:t xml:space="preserve">totalling </w:t>
      </w:r>
      <w:r w:rsidR="00F62BCC">
        <w:t>nearly $97</w:t>
      </w:r>
      <w:r w:rsidR="00D6158A">
        <w:t xml:space="preserve"> </w:t>
      </w:r>
      <w:r w:rsidR="00FA481C">
        <w:t>m</w:t>
      </w:r>
      <w:r w:rsidR="00D6158A">
        <w:t>illion</w:t>
      </w:r>
      <w:r w:rsidR="00FA481C">
        <w:t>.</w:t>
      </w:r>
      <w:r w:rsidR="00FA481C">
        <w:rPr>
          <w:vertAlign w:val="superscript"/>
        </w:rPr>
        <w:footnoteReference w:id="4"/>
      </w:r>
    </w:p>
    <w:p w14:paraId="114E60B0" w14:textId="43D6933C" w:rsidR="00FA481C" w:rsidRDefault="00FA481C" w:rsidP="00284ECA">
      <w:pPr>
        <w:spacing w:after="120"/>
      </w:pPr>
      <w:r>
        <w:t xml:space="preserve">Compliance investigations involved a broad range of residential property and </w:t>
      </w:r>
      <w:r w:rsidR="00C34A63">
        <w:t xml:space="preserve">identified </w:t>
      </w:r>
      <w:r>
        <w:t xml:space="preserve">varying severity of breaches. </w:t>
      </w:r>
      <w:r w:rsidR="00694B56">
        <w:t>Identified b</w:t>
      </w:r>
      <w:r>
        <w:t>reaches include:</w:t>
      </w:r>
    </w:p>
    <w:p w14:paraId="06E00B78" w14:textId="77777777" w:rsidR="00FA481C" w:rsidRPr="002229CB" w:rsidRDefault="00FA481C" w:rsidP="00C27882">
      <w:pPr>
        <w:pStyle w:val="FIRBBulletpoint"/>
      </w:pPr>
      <w:r w:rsidRPr="002229CB">
        <w:t>failure to seek approval before the purchase of a property;</w:t>
      </w:r>
    </w:p>
    <w:p w14:paraId="5C24B1AA" w14:textId="77777777" w:rsidR="00FA481C" w:rsidRPr="002229CB" w:rsidRDefault="00FA481C" w:rsidP="00C27882">
      <w:pPr>
        <w:pStyle w:val="FIRBBulletpoint"/>
      </w:pPr>
      <w:r w:rsidRPr="002229CB">
        <w:t>failure to sell an established property once the owner’s temporary resident visa expires;</w:t>
      </w:r>
    </w:p>
    <w:p w14:paraId="06C0B402" w14:textId="77777777" w:rsidR="00FA481C" w:rsidRPr="002229CB" w:rsidRDefault="00FA481C" w:rsidP="00C27882">
      <w:pPr>
        <w:pStyle w:val="FIRBBulletpoint"/>
      </w:pPr>
      <w:r w:rsidRPr="002229CB">
        <w:t>temporary resident visa holders owning more than one established property;</w:t>
      </w:r>
    </w:p>
    <w:p w14:paraId="29C65DC3" w14:textId="77777777" w:rsidR="00FA481C" w:rsidRPr="002229CB" w:rsidRDefault="00FA481C" w:rsidP="00C27882">
      <w:pPr>
        <w:pStyle w:val="FIRBBulletpoint"/>
      </w:pPr>
      <w:r w:rsidRPr="002229CB">
        <w:t>Australian companies and trusts controlled by foreign persons owning established properties;</w:t>
      </w:r>
    </w:p>
    <w:p w14:paraId="3A07BBAF" w14:textId="7345EF30" w:rsidR="00FA481C" w:rsidRPr="002229CB" w:rsidRDefault="00FA481C" w:rsidP="00C27882">
      <w:pPr>
        <w:pStyle w:val="FIRBBulletpoint"/>
      </w:pPr>
      <w:r w:rsidRPr="002229CB">
        <w:t xml:space="preserve">failure to comply with the conditions of an approval, such as not </w:t>
      </w:r>
      <w:r w:rsidR="00694B56" w:rsidRPr="002229CB">
        <w:t xml:space="preserve">adhering to </w:t>
      </w:r>
      <w:r w:rsidR="001A28CE" w:rsidRPr="002229CB">
        <w:t>the</w:t>
      </w:r>
      <w:r w:rsidR="00694B56" w:rsidRPr="002229CB">
        <w:t xml:space="preserve"> requirement to </w:t>
      </w:r>
      <w:r w:rsidRPr="002229CB">
        <w:t>us</w:t>
      </w:r>
      <w:r w:rsidR="00694B56" w:rsidRPr="002229CB">
        <w:t>e</w:t>
      </w:r>
      <w:r w:rsidRPr="002229CB">
        <w:t xml:space="preserve"> a property as a principal place of residence, renting out a dwelling or failing to commence construction or to redevelop the property within specified timeframes; and</w:t>
      </w:r>
    </w:p>
    <w:p w14:paraId="55B80B1B" w14:textId="029F7361" w:rsidR="00FA481C" w:rsidRPr="002229CB" w:rsidRDefault="00FA481C" w:rsidP="00C27882">
      <w:pPr>
        <w:pStyle w:val="FIRBBulletpoint"/>
      </w:pPr>
      <w:proofErr w:type="gramStart"/>
      <w:r w:rsidRPr="002229CB">
        <w:t>failure</w:t>
      </w:r>
      <w:proofErr w:type="gramEnd"/>
      <w:r w:rsidRPr="002229CB">
        <w:t xml:space="preserve"> to </w:t>
      </w:r>
      <w:r w:rsidR="002247BF" w:rsidRPr="002229CB">
        <w:t>undertake</w:t>
      </w:r>
      <w:r w:rsidRPr="002229CB">
        <w:t xml:space="preserve"> certain actions within a specified period.</w:t>
      </w:r>
    </w:p>
    <w:p w14:paraId="15124576" w14:textId="78BB88F9" w:rsidR="00694B56" w:rsidRDefault="00694B56" w:rsidP="00694B56">
      <w:pPr>
        <w:spacing w:after="200" w:line="276" w:lineRule="auto"/>
        <w:jc w:val="left"/>
      </w:pPr>
      <w:r>
        <w:t>Outcomes of investigations that identified breaches include divestments, retrospective approvals and variations of conditions. In some circumstances an infringement notice may have also been applied. Infringement notice data is reported separately. Table 5.1 provides detail on these outcomes.</w:t>
      </w:r>
    </w:p>
    <w:p w14:paraId="7AD0D23E" w14:textId="1399F9D6" w:rsidR="00694B56" w:rsidRDefault="00694B56">
      <w:pPr>
        <w:spacing w:after="200" w:line="276" w:lineRule="auto"/>
        <w:jc w:val="left"/>
        <w:rPr>
          <w:rFonts w:ascii="Calibri" w:hAnsi="Calibri"/>
          <w:b/>
          <w:bCs/>
          <w:color w:val="003E74"/>
          <w:sz w:val="22"/>
          <w:szCs w:val="22"/>
        </w:rPr>
      </w:pPr>
      <w:r>
        <w:br w:type="page"/>
      </w:r>
    </w:p>
    <w:p w14:paraId="108EDF2E" w14:textId="6781719B" w:rsidR="00FA481C" w:rsidRDefault="00FA481C" w:rsidP="00FA481C">
      <w:pPr>
        <w:pStyle w:val="TableHeading"/>
      </w:pPr>
      <w:r>
        <w:lastRenderedPageBreak/>
        <w:t xml:space="preserve">Table </w:t>
      </w:r>
      <w:r w:rsidR="005E0008">
        <w:t>5</w:t>
      </w:r>
      <w:r>
        <w:t xml:space="preserve">.1: Outcomes of </w:t>
      </w:r>
      <w:r w:rsidR="00871F60">
        <w:t>r</w:t>
      </w:r>
      <w:r w:rsidR="00871F60" w:rsidRPr="00637250">
        <w:t>esidential real estate</w:t>
      </w:r>
      <w:r w:rsidR="00871F60">
        <w:t xml:space="preserve"> </w:t>
      </w:r>
      <w:r>
        <w:t>investigations t</w:t>
      </w:r>
      <w:r w:rsidR="00EB761B">
        <w:t>hat identified breaches in 2016–</w:t>
      </w:r>
      <w:r>
        <w:t>17</w:t>
      </w:r>
    </w:p>
    <w:tbl>
      <w:tblPr>
        <w:tblW w:w="7877" w:type="dxa"/>
        <w:tblBorders>
          <w:top w:val="single" w:sz="12" w:space="0" w:color="000000"/>
          <w:bottom w:val="single" w:sz="12" w:space="0" w:color="000000"/>
        </w:tblBorders>
        <w:tblCellMar>
          <w:top w:w="28" w:type="dxa"/>
          <w:bottom w:w="28" w:type="dxa"/>
        </w:tblCellMar>
        <w:tblLook w:val="04A0" w:firstRow="1" w:lastRow="0" w:firstColumn="1" w:lastColumn="0" w:noHBand="0" w:noVBand="1"/>
      </w:tblPr>
      <w:tblGrid>
        <w:gridCol w:w="4219"/>
        <w:gridCol w:w="1985"/>
        <w:gridCol w:w="1673"/>
      </w:tblGrid>
      <w:tr w:rsidR="00FA481C" w14:paraId="36DE5A49" w14:textId="77777777" w:rsidTr="002E55E3">
        <w:trPr>
          <w:trHeight w:val="20"/>
        </w:trPr>
        <w:tc>
          <w:tcPr>
            <w:tcW w:w="4219" w:type="dxa"/>
            <w:tcBorders>
              <w:top w:val="dotted" w:sz="4" w:space="0" w:color="auto"/>
              <w:left w:val="nil"/>
              <w:bottom w:val="dotted" w:sz="4" w:space="0" w:color="auto"/>
              <w:right w:val="nil"/>
            </w:tcBorders>
            <w:hideMark/>
          </w:tcPr>
          <w:p w14:paraId="5414AF6B" w14:textId="15800FC8" w:rsidR="00FA481C" w:rsidRDefault="00FA481C" w:rsidP="001C739A">
            <w:pPr>
              <w:spacing w:before="60" w:after="60" w:line="240" w:lineRule="auto"/>
              <w:rPr>
                <w:rFonts w:ascii="Arial" w:hAnsi="Arial" w:cs="Arial"/>
                <w:bCs/>
                <w:iCs/>
                <w:sz w:val="16"/>
                <w:szCs w:val="16"/>
              </w:rPr>
            </w:pPr>
            <w:r>
              <w:rPr>
                <w:rFonts w:ascii="Arial" w:hAnsi="Arial" w:cs="Arial"/>
                <w:bCs/>
                <w:iCs/>
                <w:sz w:val="16"/>
                <w:szCs w:val="16"/>
              </w:rPr>
              <w:t>Compliance outcome</w:t>
            </w:r>
          </w:p>
        </w:tc>
        <w:tc>
          <w:tcPr>
            <w:tcW w:w="1985" w:type="dxa"/>
            <w:tcBorders>
              <w:top w:val="dotted" w:sz="4" w:space="0" w:color="auto"/>
              <w:left w:val="nil"/>
              <w:bottom w:val="dotted" w:sz="4" w:space="0" w:color="auto"/>
              <w:right w:val="nil"/>
            </w:tcBorders>
            <w:hideMark/>
          </w:tcPr>
          <w:p w14:paraId="389A6F31" w14:textId="77777777" w:rsidR="00FA481C" w:rsidRDefault="00FA481C" w:rsidP="001C739A">
            <w:pPr>
              <w:spacing w:before="60" w:after="60" w:line="240" w:lineRule="auto"/>
              <w:jc w:val="right"/>
              <w:rPr>
                <w:rFonts w:ascii="Arial" w:hAnsi="Arial" w:cs="Arial"/>
                <w:bCs/>
                <w:iCs/>
                <w:sz w:val="16"/>
                <w:szCs w:val="16"/>
              </w:rPr>
            </w:pPr>
            <w:r>
              <w:rPr>
                <w:rFonts w:ascii="Arial" w:hAnsi="Arial" w:cs="Arial"/>
                <w:bCs/>
                <w:iCs/>
                <w:sz w:val="16"/>
                <w:szCs w:val="16"/>
              </w:rPr>
              <w:t>Number of investigations</w:t>
            </w:r>
          </w:p>
        </w:tc>
        <w:tc>
          <w:tcPr>
            <w:tcW w:w="1673" w:type="dxa"/>
            <w:tcBorders>
              <w:top w:val="dotted" w:sz="4" w:space="0" w:color="auto"/>
              <w:left w:val="nil"/>
              <w:bottom w:val="dotted" w:sz="4" w:space="0" w:color="auto"/>
              <w:right w:val="nil"/>
            </w:tcBorders>
            <w:hideMark/>
          </w:tcPr>
          <w:p w14:paraId="17A8840B" w14:textId="77777777" w:rsidR="00FA481C" w:rsidRDefault="00FA481C" w:rsidP="001C739A">
            <w:pPr>
              <w:spacing w:before="60" w:after="60" w:line="240" w:lineRule="auto"/>
              <w:jc w:val="right"/>
              <w:rPr>
                <w:rFonts w:ascii="Arial" w:hAnsi="Arial" w:cs="Arial"/>
                <w:bCs/>
                <w:iCs/>
                <w:sz w:val="16"/>
                <w:szCs w:val="16"/>
              </w:rPr>
            </w:pPr>
            <w:r>
              <w:rPr>
                <w:rFonts w:ascii="Arial" w:hAnsi="Arial" w:cs="Arial"/>
                <w:bCs/>
                <w:iCs/>
                <w:sz w:val="16"/>
                <w:szCs w:val="16"/>
              </w:rPr>
              <w:t>Percentage of total</w:t>
            </w:r>
          </w:p>
        </w:tc>
      </w:tr>
      <w:tr w:rsidR="00FA481C" w14:paraId="0E0D1996" w14:textId="77777777" w:rsidTr="002E55E3">
        <w:trPr>
          <w:trHeight w:val="20"/>
        </w:trPr>
        <w:tc>
          <w:tcPr>
            <w:tcW w:w="4219" w:type="dxa"/>
            <w:tcBorders>
              <w:top w:val="dotted" w:sz="4" w:space="0" w:color="auto"/>
              <w:left w:val="nil"/>
              <w:bottom w:val="nil"/>
              <w:right w:val="nil"/>
            </w:tcBorders>
            <w:hideMark/>
          </w:tcPr>
          <w:p w14:paraId="0B3A7685" w14:textId="77777777" w:rsidR="00FA481C" w:rsidRDefault="00FA481C" w:rsidP="001C739A">
            <w:pPr>
              <w:spacing w:before="60" w:after="60" w:line="240" w:lineRule="auto"/>
              <w:rPr>
                <w:rFonts w:ascii="Arial" w:hAnsi="Arial" w:cs="Arial"/>
                <w:sz w:val="16"/>
                <w:szCs w:val="16"/>
              </w:rPr>
            </w:pPr>
            <w:r>
              <w:rPr>
                <w:rFonts w:ascii="Arial" w:hAnsi="Arial" w:cs="Arial"/>
                <w:sz w:val="16"/>
                <w:szCs w:val="16"/>
              </w:rPr>
              <w:t>Concessional divestment (a)</w:t>
            </w:r>
          </w:p>
        </w:tc>
        <w:tc>
          <w:tcPr>
            <w:tcW w:w="1985" w:type="dxa"/>
            <w:tcBorders>
              <w:top w:val="dotted" w:sz="4" w:space="0" w:color="auto"/>
              <w:left w:val="nil"/>
              <w:bottom w:val="nil"/>
              <w:right w:val="nil"/>
            </w:tcBorders>
            <w:hideMark/>
          </w:tcPr>
          <w:p w14:paraId="5CE1712E" w14:textId="77777777" w:rsidR="00FA481C" w:rsidRDefault="00FA481C" w:rsidP="001C739A">
            <w:pPr>
              <w:spacing w:before="60" w:after="60" w:line="240" w:lineRule="auto"/>
              <w:jc w:val="right"/>
              <w:rPr>
                <w:rFonts w:ascii="Arial" w:hAnsi="Arial" w:cs="Arial"/>
                <w:sz w:val="16"/>
                <w:szCs w:val="16"/>
              </w:rPr>
            </w:pPr>
            <w:r>
              <w:rPr>
                <w:rFonts w:ascii="Arial" w:hAnsi="Arial" w:cs="Arial"/>
                <w:sz w:val="16"/>
                <w:szCs w:val="16"/>
              </w:rPr>
              <w:t>9</w:t>
            </w:r>
          </w:p>
        </w:tc>
        <w:tc>
          <w:tcPr>
            <w:tcW w:w="1673" w:type="dxa"/>
            <w:tcBorders>
              <w:top w:val="dotted" w:sz="4" w:space="0" w:color="auto"/>
              <w:left w:val="nil"/>
              <w:bottom w:val="nil"/>
              <w:right w:val="nil"/>
            </w:tcBorders>
            <w:hideMark/>
          </w:tcPr>
          <w:p w14:paraId="4FBFD9A3" w14:textId="77777777" w:rsidR="00FA481C" w:rsidRDefault="00FA481C" w:rsidP="001C739A">
            <w:pPr>
              <w:spacing w:before="60" w:after="60" w:line="240" w:lineRule="auto"/>
              <w:jc w:val="right"/>
              <w:rPr>
                <w:rFonts w:ascii="Arial" w:hAnsi="Arial" w:cs="Arial"/>
                <w:sz w:val="16"/>
                <w:szCs w:val="16"/>
              </w:rPr>
            </w:pPr>
            <w:r>
              <w:rPr>
                <w:rFonts w:ascii="Arial" w:hAnsi="Arial" w:cs="Arial"/>
                <w:sz w:val="16"/>
                <w:szCs w:val="16"/>
              </w:rPr>
              <w:t>1.6</w:t>
            </w:r>
          </w:p>
        </w:tc>
      </w:tr>
      <w:tr w:rsidR="00FA481C" w14:paraId="5D5614F3" w14:textId="77777777" w:rsidTr="002E55E3">
        <w:trPr>
          <w:trHeight w:val="20"/>
        </w:trPr>
        <w:tc>
          <w:tcPr>
            <w:tcW w:w="4219" w:type="dxa"/>
            <w:tcBorders>
              <w:top w:val="nil"/>
              <w:left w:val="nil"/>
              <w:bottom w:val="nil"/>
              <w:right w:val="nil"/>
            </w:tcBorders>
            <w:hideMark/>
          </w:tcPr>
          <w:p w14:paraId="279B3B07" w14:textId="77777777" w:rsidR="00FA481C" w:rsidRDefault="00FA481C" w:rsidP="001C739A">
            <w:pPr>
              <w:spacing w:before="60" w:after="60" w:line="240" w:lineRule="auto"/>
              <w:rPr>
                <w:rFonts w:ascii="Arial" w:hAnsi="Arial" w:cs="Arial"/>
                <w:sz w:val="16"/>
                <w:szCs w:val="16"/>
              </w:rPr>
            </w:pPr>
            <w:r>
              <w:rPr>
                <w:rFonts w:ascii="Arial" w:hAnsi="Arial" w:cs="Arial"/>
                <w:sz w:val="16"/>
                <w:szCs w:val="16"/>
              </w:rPr>
              <w:t>Formal divestment (b)</w:t>
            </w:r>
          </w:p>
        </w:tc>
        <w:tc>
          <w:tcPr>
            <w:tcW w:w="1985" w:type="dxa"/>
            <w:tcBorders>
              <w:top w:val="nil"/>
              <w:left w:val="nil"/>
              <w:bottom w:val="nil"/>
              <w:right w:val="nil"/>
            </w:tcBorders>
            <w:hideMark/>
          </w:tcPr>
          <w:p w14:paraId="0934437A" w14:textId="77777777" w:rsidR="00FA481C" w:rsidRDefault="00FA481C" w:rsidP="001C739A">
            <w:pPr>
              <w:spacing w:before="60" w:after="60" w:line="240" w:lineRule="auto"/>
              <w:jc w:val="right"/>
              <w:rPr>
                <w:rFonts w:ascii="Arial" w:hAnsi="Arial" w:cs="Arial"/>
                <w:sz w:val="16"/>
                <w:szCs w:val="16"/>
              </w:rPr>
            </w:pPr>
            <w:r>
              <w:rPr>
                <w:rFonts w:ascii="Arial" w:hAnsi="Arial" w:cs="Arial"/>
                <w:sz w:val="16"/>
                <w:szCs w:val="16"/>
              </w:rPr>
              <w:t>21</w:t>
            </w:r>
          </w:p>
        </w:tc>
        <w:tc>
          <w:tcPr>
            <w:tcW w:w="1673" w:type="dxa"/>
            <w:tcBorders>
              <w:top w:val="nil"/>
              <w:left w:val="nil"/>
              <w:bottom w:val="nil"/>
              <w:right w:val="nil"/>
            </w:tcBorders>
            <w:hideMark/>
          </w:tcPr>
          <w:p w14:paraId="350D612F" w14:textId="77777777" w:rsidR="00FA481C" w:rsidRDefault="00FA481C" w:rsidP="001C739A">
            <w:pPr>
              <w:spacing w:before="60" w:after="60" w:line="240" w:lineRule="auto"/>
              <w:jc w:val="right"/>
              <w:rPr>
                <w:rFonts w:ascii="Arial" w:hAnsi="Arial" w:cs="Arial"/>
                <w:sz w:val="16"/>
                <w:szCs w:val="16"/>
              </w:rPr>
            </w:pPr>
            <w:r>
              <w:rPr>
                <w:rFonts w:ascii="Arial" w:hAnsi="Arial" w:cs="Arial"/>
                <w:sz w:val="16"/>
                <w:szCs w:val="16"/>
              </w:rPr>
              <w:t>3.8</w:t>
            </w:r>
          </w:p>
        </w:tc>
      </w:tr>
      <w:tr w:rsidR="00FA481C" w14:paraId="22D999E7" w14:textId="77777777" w:rsidTr="002E55E3">
        <w:trPr>
          <w:trHeight w:val="20"/>
        </w:trPr>
        <w:tc>
          <w:tcPr>
            <w:tcW w:w="4219" w:type="dxa"/>
            <w:tcBorders>
              <w:top w:val="nil"/>
              <w:left w:val="nil"/>
              <w:bottom w:val="nil"/>
              <w:right w:val="nil"/>
            </w:tcBorders>
            <w:hideMark/>
          </w:tcPr>
          <w:p w14:paraId="4A6E960D" w14:textId="77777777" w:rsidR="00FA481C" w:rsidRDefault="00FA481C" w:rsidP="001C739A">
            <w:pPr>
              <w:spacing w:before="60" w:after="60" w:line="240" w:lineRule="auto"/>
              <w:rPr>
                <w:rFonts w:ascii="Arial" w:hAnsi="Arial" w:cs="Arial"/>
                <w:sz w:val="16"/>
                <w:szCs w:val="16"/>
              </w:rPr>
            </w:pPr>
            <w:r>
              <w:rPr>
                <w:rFonts w:ascii="Arial" w:hAnsi="Arial" w:cs="Arial"/>
                <w:sz w:val="16"/>
                <w:szCs w:val="16"/>
              </w:rPr>
              <w:t>Self-divestment (c)</w:t>
            </w:r>
          </w:p>
        </w:tc>
        <w:tc>
          <w:tcPr>
            <w:tcW w:w="1985" w:type="dxa"/>
            <w:tcBorders>
              <w:top w:val="nil"/>
              <w:left w:val="nil"/>
              <w:bottom w:val="nil"/>
              <w:right w:val="nil"/>
            </w:tcBorders>
            <w:hideMark/>
          </w:tcPr>
          <w:p w14:paraId="0F7F6085" w14:textId="77777777" w:rsidR="00FA481C" w:rsidRDefault="00FA481C" w:rsidP="001C739A">
            <w:pPr>
              <w:spacing w:before="60" w:after="60" w:line="240" w:lineRule="auto"/>
              <w:jc w:val="right"/>
              <w:rPr>
                <w:rFonts w:ascii="Arial" w:hAnsi="Arial" w:cs="Arial"/>
                <w:sz w:val="16"/>
                <w:szCs w:val="16"/>
              </w:rPr>
            </w:pPr>
            <w:r>
              <w:rPr>
                <w:rFonts w:ascii="Arial" w:hAnsi="Arial" w:cs="Arial"/>
                <w:sz w:val="16"/>
                <w:szCs w:val="16"/>
              </w:rPr>
              <w:t>66</w:t>
            </w:r>
          </w:p>
        </w:tc>
        <w:tc>
          <w:tcPr>
            <w:tcW w:w="1673" w:type="dxa"/>
            <w:tcBorders>
              <w:top w:val="nil"/>
              <w:left w:val="nil"/>
              <w:bottom w:val="nil"/>
              <w:right w:val="nil"/>
            </w:tcBorders>
            <w:hideMark/>
          </w:tcPr>
          <w:p w14:paraId="24A68218" w14:textId="77777777" w:rsidR="00FA481C" w:rsidRDefault="00FA481C" w:rsidP="001C739A">
            <w:pPr>
              <w:spacing w:before="60" w:after="60" w:line="240" w:lineRule="auto"/>
              <w:jc w:val="right"/>
              <w:rPr>
                <w:rFonts w:ascii="Arial" w:hAnsi="Arial" w:cs="Arial"/>
                <w:sz w:val="16"/>
                <w:szCs w:val="16"/>
              </w:rPr>
            </w:pPr>
            <w:r>
              <w:rPr>
                <w:rFonts w:ascii="Arial" w:hAnsi="Arial" w:cs="Arial"/>
                <w:sz w:val="16"/>
                <w:szCs w:val="16"/>
              </w:rPr>
              <w:t>12.0</w:t>
            </w:r>
          </w:p>
        </w:tc>
      </w:tr>
      <w:tr w:rsidR="00FA481C" w14:paraId="77663D90" w14:textId="77777777" w:rsidTr="002E55E3">
        <w:trPr>
          <w:trHeight w:val="20"/>
        </w:trPr>
        <w:tc>
          <w:tcPr>
            <w:tcW w:w="4219" w:type="dxa"/>
            <w:tcBorders>
              <w:top w:val="nil"/>
              <w:left w:val="nil"/>
              <w:bottom w:val="nil"/>
              <w:right w:val="nil"/>
            </w:tcBorders>
            <w:hideMark/>
          </w:tcPr>
          <w:p w14:paraId="10F1FBD4" w14:textId="77777777" w:rsidR="00FA481C" w:rsidRDefault="00FA481C" w:rsidP="001C739A">
            <w:pPr>
              <w:spacing w:before="60" w:after="60" w:line="240" w:lineRule="auto"/>
              <w:rPr>
                <w:rFonts w:ascii="Arial" w:hAnsi="Arial" w:cs="Arial"/>
                <w:sz w:val="16"/>
                <w:szCs w:val="16"/>
              </w:rPr>
            </w:pPr>
            <w:r>
              <w:rPr>
                <w:rFonts w:ascii="Arial" w:hAnsi="Arial" w:cs="Arial"/>
                <w:sz w:val="16"/>
                <w:szCs w:val="16"/>
              </w:rPr>
              <w:t>Retrospective approval</w:t>
            </w:r>
          </w:p>
        </w:tc>
        <w:tc>
          <w:tcPr>
            <w:tcW w:w="1985" w:type="dxa"/>
            <w:tcBorders>
              <w:top w:val="nil"/>
              <w:left w:val="nil"/>
              <w:bottom w:val="nil"/>
              <w:right w:val="nil"/>
            </w:tcBorders>
            <w:hideMark/>
          </w:tcPr>
          <w:p w14:paraId="2E569D61" w14:textId="77777777" w:rsidR="00FA481C" w:rsidRDefault="00FA481C" w:rsidP="001C739A">
            <w:pPr>
              <w:spacing w:before="60" w:after="60" w:line="240" w:lineRule="auto"/>
              <w:jc w:val="right"/>
              <w:rPr>
                <w:rFonts w:ascii="Arial" w:hAnsi="Arial" w:cs="Arial"/>
                <w:sz w:val="16"/>
                <w:szCs w:val="16"/>
              </w:rPr>
            </w:pPr>
            <w:r>
              <w:rPr>
                <w:rFonts w:ascii="Arial" w:hAnsi="Arial" w:cs="Arial"/>
                <w:sz w:val="16"/>
                <w:szCs w:val="16"/>
              </w:rPr>
              <w:t>133</w:t>
            </w:r>
          </w:p>
        </w:tc>
        <w:tc>
          <w:tcPr>
            <w:tcW w:w="1673" w:type="dxa"/>
            <w:tcBorders>
              <w:top w:val="nil"/>
              <w:left w:val="nil"/>
              <w:bottom w:val="nil"/>
              <w:right w:val="nil"/>
            </w:tcBorders>
            <w:hideMark/>
          </w:tcPr>
          <w:p w14:paraId="4BE04FE7" w14:textId="77777777" w:rsidR="00FA481C" w:rsidRDefault="00FA481C" w:rsidP="001C739A">
            <w:pPr>
              <w:spacing w:before="60" w:after="60" w:line="240" w:lineRule="auto"/>
              <w:jc w:val="right"/>
              <w:rPr>
                <w:rFonts w:ascii="Arial" w:hAnsi="Arial" w:cs="Arial"/>
                <w:sz w:val="16"/>
                <w:szCs w:val="16"/>
              </w:rPr>
            </w:pPr>
            <w:r>
              <w:rPr>
                <w:rFonts w:ascii="Arial" w:hAnsi="Arial" w:cs="Arial"/>
                <w:sz w:val="16"/>
                <w:szCs w:val="16"/>
              </w:rPr>
              <w:t>24.2</w:t>
            </w:r>
          </w:p>
        </w:tc>
      </w:tr>
      <w:tr w:rsidR="00FA481C" w14:paraId="0D2AD898" w14:textId="77777777" w:rsidTr="002E55E3">
        <w:trPr>
          <w:trHeight w:val="20"/>
        </w:trPr>
        <w:tc>
          <w:tcPr>
            <w:tcW w:w="4219" w:type="dxa"/>
            <w:tcBorders>
              <w:top w:val="nil"/>
              <w:left w:val="nil"/>
              <w:bottom w:val="dotted" w:sz="4" w:space="0" w:color="auto"/>
              <w:right w:val="nil"/>
            </w:tcBorders>
            <w:hideMark/>
          </w:tcPr>
          <w:p w14:paraId="2854A5B0" w14:textId="77777777" w:rsidR="00FA481C" w:rsidRDefault="00FA481C" w:rsidP="001C739A">
            <w:pPr>
              <w:spacing w:before="60" w:after="60" w:line="240" w:lineRule="auto"/>
              <w:rPr>
                <w:rFonts w:ascii="Arial" w:hAnsi="Arial" w:cs="Arial"/>
                <w:sz w:val="16"/>
                <w:szCs w:val="16"/>
              </w:rPr>
            </w:pPr>
            <w:r>
              <w:rPr>
                <w:rFonts w:ascii="Arial" w:hAnsi="Arial" w:cs="Arial"/>
                <w:sz w:val="16"/>
                <w:szCs w:val="16"/>
              </w:rPr>
              <w:t>Change of conditions</w:t>
            </w:r>
          </w:p>
        </w:tc>
        <w:tc>
          <w:tcPr>
            <w:tcW w:w="1985" w:type="dxa"/>
            <w:tcBorders>
              <w:top w:val="nil"/>
              <w:left w:val="nil"/>
              <w:bottom w:val="dotted" w:sz="4" w:space="0" w:color="auto"/>
              <w:right w:val="nil"/>
            </w:tcBorders>
            <w:hideMark/>
          </w:tcPr>
          <w:p w14:paraId="52652BD3" w14:textId="77777777" w:rsidR="00FA481C" w:rsidRDefault="00FA481C" w:rsidP="001C739A">
            <w:pPr>
              <w:spacing w:before="60" w:after="60" w:line="240" w:lineRule="auto"/>
              <w:jc w:val="right"/>
              <w:rPr>
                <w:rFonts w:ascii="Arial" w:hAnsi="Arial" w:cs="Arial"/>
                <w:sz w:val="16"/>
                <w:szCs w:val="16"/>
              </w:rPr>
            </w:pPr>
            <w:r>
              <w:rPr>
                <w:rFonts w:ascii="Arial" w:hAnsi="Arial" w:cs="Arial"/>
                <w:sz w:val="16"/>
                <w:szCs w:val="16"/>
              </w:rPr>
              <w:t>93</w:t>
            </w:r>
          </w:p>
        </w:tc>
        <w:tc>
          <w:tcPr>
            <w:tcW w:w="1673" w:type="dxa"/>
            <w:tcBorders>
              <w:top w:val="nil"/>
              <w:left w:val="nil"/>
              <w:bottom w:val="dotted" w:sz="4" w:space="0" w:color="auto"/>
              <w:right w:val="nil"/>
            </w:tcBorders>
            <w:hideMark/>
          </w:tcPr>
          <w:p w14:paraId="0E4F2428" w14:textId="77777777" w:rsidR="00FA481C" w:rsidRDefault="00FA481C" w:rsidP="001C739A">
            <w:pPr>
              <w:spacing w:before="60" w:after="60" w:line="240" w:lineRule="auto"/>
              <w:jc w:val="right"/>
              <w:rPr>
                <w:rFonts w:ascii="Arial" w:hAnsi="Arial" w:cs="Arial"/>
                <w:sz w:val="16"/>
                <w:szCs w:val="16"/>
              </w:rPr>
            </w:pPr>
            <w:r>
              <w:rPr>
                <w:rFonts w:ascii="Arial" w:hAnsi="Arial" w:cs="Arial"/>
                <w:sz w:val="16"/>
                <w:szCs w:val="16"/>
              </w:rPr>
              <w:t>16.9</w:t>
            </w:r>
          </w:p>
        </w:tc>
      </w:tr>
      <w:tr w:rsidR="00FA481C" w14:paraId="72FB67D7" w14:textId="77777777" w:rsidTr="002E55E3">
        <w:trPr>
          <w:trHeight w:val="20"/>
        </w:trPr>
        <w:tc>
          <w:tcPr>
            <w:tcW w:w="4219" w:type="dxa"/>
            <w:tcBorders>
              <w:top w:val="nil"/>
              <w:left w:val="nil"/>
              <w:bottom w:val="dotted" w:sz="4" w:space="0" w:color="auto"/>
              <w:right w:val="nil"/>
            </w:tcBorders>
          </w:tcPr>
          <w:p w14:paraId="3FC3EC53" w14:textId="77777777" w:rsidR="00FA481C" w:rsidRPr="0097600E" w:rsidRDefault="00FA481C" w:rsidP="001C739A">
            <w:pPr>
              <w:spacing w:before="60" w:after="60" w:line="240" w:lineRule="auto"/>
              <w:rPr>
                <w:rFonts w:ascii="Arial" w:hAnsi="Arial" w:cs="Arial"/>
                <w:sz w:val="16"/>
                <w:szCs w:val="16"/>
                <w:highlight w:val="yellow"/>
              </w:rPr>
            </w:pPr>
            <w:r w:rsidRPr="0097600E">
              <w:rPr>
                <w:rFonts w:ascii="Arial" w:hAnsi="Arial" w:cs="Arial"/>
                <w:sz w:val="16"/>
                <w:szCs w:val="16"/>
              </w:rPr>
              <w:t>Retrospective approval during FIRB consideration (d)</w:t>
            </w:r>
          </w:p>
        </w:tc>
        <w:tc>
          <w:tcPr>
            <w:tcW w:w="1985" w:type="dxa"/>
            <w:tcBorders>
              <w:top w:val="nil"/>
              <w:left w:val="nil"/>
              <w:bottom w:val="dotted" w:sz="4" w:space="0" w:color="auto"/>
              <w:right w:val="nil"/>
            </w:tcBorders>
          </w:tcPr>
          <w:p w14:paraId="5A4E1354" w14:textId="77777777" w:rsidR="00FA481C" w:rsidDel="0056217D" w:rsidRDefault="00FA481C" w:rsidP="001C739A">
            <w:pPr>
              <w:spacing w:before="60" w:after="60" w:line="240" w:lineRule="auto"/>
              <w:jc w:val="right"/>
              <w:rPr>
                <w:rFonts w:ascii="Arial" w:hAnsi="Arial" w:cs="Arial"/>
                <w:sz w:val="16"/>
                <w:szCs w:val="16"/>
              </w:rPr>
            </w:pPr>
            <w:r>
              <w:rPr>
                <w:rFonts w:ascii="Arial" w:hAnsi="Arial" w:cs="Arial"/>
                <w:sz w:val="16"/>
                <w:szCs w:val="16"/>
              </w:rPr>
              <w:t>227</w:t>
            </w:r>
          </w:p>
        </w:tc>
        <w:tc>
          <w:tcPr>
            <w:tcW w:w="1673" w:type="dxa"/>
            <w:tcBorders>
              <w:top w:val="nil"/>
              <w:left w:val="nil"/>
              <w:bottom w:val="dotted" w:sz="4" w:space="0" w:color="auto"/>
              <w:right w:val="nil"/>
            </w:tcBorders>
          </w:tcPr>
          <w:p w14:paraId="00485BEE" w14:textId="77777777" w:rsidR="00FA481C" w:rsidDel="0056217D" w:rsidRDefault="00FA481C" w:rsidP="001C739A">
            <w:pPr>
              <w:spacing w:before="60" w:after="60" w:line="240" w:lineRule="auto"/>
              <w:jc w:val="right"/>
              <w:rPr>
                <w:rFonts w:ascii="Arial" w:hAnsi="Arial" w:cs="Arial"/>
                <w:sz w:val="16"/>
                <w:szCs w:val="16"/>
              </w:rPr>
            </w:pPr>
            <w:r>
              <w:rPr>
                <w:rFonts w:ascii="Arial" w:hAnsi="Arial" w:cs="Arial"/>
                <w:sz w:val="16"/>
                <w:szCs w:val="16"/>
              </w:rPr>
              <w:t>41.3</w:t>
            </w:r>
          </w:p>
        </w:tc>
      </w:tr>
      <w:tr w:rsidR="00FA481C" w14:paraId="3083048D" w14:textId="77777777" w:rsidTr="002E55E3">
        <w:trPr>
          <w:trHeight w:val="20"/>
        </w:trPr>
        <w:tc>
          <w:tcPr>
            <w:tcW w:w="4219" w:type="dxa"/>
            <w:tcBorders>
              <w:top w:val="dotted" w:sz="4" w:space="0" w:color="auto"/>
              <w:left w:val="nil"/>
              <w:bottom w:val="dotted" w:sz="4" w:space="0" w:color="auto"/>
              <w:right w:val="nil"/>
            </w:tcBorders>
            <w:hideMark/>
          </w:tcPr>
          <w:p w14:paraId="31CB8DA8" w14:textId="77777777" w:rsidR="00FA481C" w:rsidRDefault="00FA481C" w:rsidP="001C739A">
            <w:pPr>
              <w:spacing w:before="60" w:after="60" w:line="240" w:lineRule="auto"/>
              <w:rPr>
                <w:rFonts w:ascii="Arial" w:hAnsi="Arial" w:cs="Arial"/>
                <w:bCs/>
                <w:sz w:val="16"/>
                <w:szCs w:val="16"/>
              </w:rPr>
            </w:pPr>
            <w:r>
              <w:rPr>
                <w:rFonts w:ascii="Arial" w:hAnsi="Arial" w:cs="Arial"/>
                <w:bCs/>
                <w:sz w:val="16"/>
                <w:szCs w:val="16"/>
              </w:rPr>
              <w:t xml:space="preserve">Total outcomes </w:t>
            </w:r>
          </w:p>
        </w:tc>
        <w:tc>
          <w:tcPr>
            <w:tcW w:w="1985" w:type="dxa"/>
            <w:tcBorders>
              <w:top w:val="dotted" w:sz="4" w:space="0" w:color="auto"/>
              <w:left w:val="nil"/>
              <w:bottom w:val="dotted" w:sz="4" w:space="0" w:color="auto"/>
              <w:right w:val="nil"/>
            </w:tcBorders>
            <w:hideMark/>
          </w:tcPr>
          <w:p w14:paraId="69063321" w14:textId="77777777" w:rsidR="00FA481C" w:rsidRDefault="00FA481C" w:rsidP="001C739A">
            <w:pPr>
              <w:spacing w:before="60" w:after="60" w:line="240" w:lineRule="auto"/>
              <w:jc w:val="right"/>
              <w:rPr>
                <w:rFonts w:ascii="Arial" w:hAnsi="Arial" w:cs="Arial"/>
                <w:sz w:val="16"/>
                <w:szCs w:val="16"/>
              </w:rPr>
            </w:pPr>
            <w:r>
              <w:rPr>
                <w:rFonts w:ascii="Arial" w:hAnsi="Arial" w:cs="Arial"/>
                <w:sz w:val="16"/>
                <w:szCs w:val="16"/>
              </w:rPr>
              <w:t>549</w:t>
            </w:r>
          </w:p>
        </w:tc>
        <w:tc>
          <w:tcPr>
            <w:tcW w:w="1673" w:type="dxa"/>
            <w:tcBorders>
              <w:top w:val="dotted" w:sz="4" w:space="0" w:color="auto"/>
              <w:left w:val="nil"/>
              <w:bottom w:val="dotted" w:sz="4" w:space="0" w:color="auto"/>
              <w:right w:val="nil"/>
            </w:tcBorders>
            <w:hideMark/>
          </w:tcPr>
          <w:p w14:paraId="2DE475AC" w14:textId="77777777" w:rsidR="00FA481C" w:rsidRDefault="00FA481C" w:rsidP="001C739A">
            <w:pPr>
              <w:spacing w:before="60" w:after="60" w:line="240" w:lineRule="auto"/>
              <w:jc w:val="right"/>
              <w:rPr>
                <w:rFonts w:ascii="Arial" w:hAnsi="Arial" w:cs="Arial"/>
                <w:sz w:val="16"/>
                <w:szCs w:val="16"/>
              </w:rPr>
            </w:pPr>
            <w:r>
              <w:rPr>
                <w:rFonts w:ascii="Arial" w:hAnsi="Arial" w:cs="Arial"/>
                <w:sz w:val="16"/>
                <w:szCs w:val="16"/>
              </w:rPr>
              <w:t>100.0</w:t>
            </w:r>
          </w:p>
        </w:tc>
      </w:tr>
    </w:tbl>
    <w:p w14:paraId="7B0C9E16" w14:textId="77777777" w:rsidR="001F2469" w:rsidRPr="00CB3F09" w:rsidRDefault="001F2469" w:rsidP="00B82F4F">
      <w:pPr>
        <w:pStyle w:val="ChartandTableFootnoteAlpha"/>
        <w:numPr>
          <w:ilvl w:val="0"/>
          <w:numId w:val="18"/>
        </w:numPr>
      </w:pPr>
      <w:r w:rsidRPr="00CB3F09">
        <w:t>Concessional divestments are for self-disclosed breaches from investors during the reduced penalty period between 2 May 2015 and 30 November 2015.</w:t>
      </w:r>
    </w:p>
    <w:p w14:paraId="2E199978" w14:textId="77777777" w:rsidR="001F2469" w:rsidRPr="00CB3F09" w:rsidRDefault="001F2469" w:rsidP="00CB3F09">
      <w:pPr>
        <w:pStyle w:val="ChartandTableFootnoteAlpha"/>
      </w:pPr>
      <w:r w:rsidRPr="00CB3F09">
        <w:t>Formal divestments are those where a formal disposal order was issued under the Act.</w:t>
      </w:r>
    </w:p>
    <w:p w14:paraId="27216497" w14:textId="77777777" w:rsidR="001F2469" w:rsidRPr="00CB3F09" w:rsidRDefault="001F2469" w:rsidP="00CB3F09">
      <w:pPr>
        <w:pStyle w:val="ChartandTableFootnoteAlpha"/>
      </w:pPr>
      <w:r w:rsidRPr="00CB3F09">
        <w:t>Self-divestments are where an investor disposes of a property during an investigation.</w:t>
      </w:r>
    </w:p>
    <w:p w14:paraId="7EC66394" w14:textId="1E1A11D7" w:rsidR="001F2469" w:rsidRPr="00CB3F09" w:rsidRDefault="001F2469" w:rsidP="00CB3F09">
      <w:pPr>
        <w:pStyle w:val="ChartandTableFootnoteAlpha"/>
      </w:pPr>
      <w:r w:rsidRPr="00CB3F09">
        <w:t xml:space="preserve">Refers to breaches identified during the FIRB screening process where foreign persons have </w:t>
      </w:r>
      <w:r w:rsidR="001A28CE" w:rsidRPr="00CB3F09">
        <w:t xml:space="preserve">previously </w:t>
      </w:r>
      <w:r w:rsidRPr="00CB3F09">
        <w:t>acquired an interest in residential real estate prior to receiving approval.</w:t>
      </w:r>
    </w:p>
    <w:p w14:paraId="059E7712" w14:textId="77777777" w:rsidR="00694B56" w:rsidRPr="001A28CE" w:rsidRDefault="00694B56" w:rsidP="00694B56">
      <w:pPr>
        <w:pStyle w:val="ChartandTableFootnoteAlpha"/>
        <w:numPr>
          <w:ilvl w:val="0"/>
          <w:numId w:val="0"/>
        </w:numPr>
        <w:ind w:left="283"/>
        <w:rPr>
          <w:rFonts w:asciiTheme="minorHAnsi" w:hAnsiTheme="minorHAnsi"/>
          <w:sz w:val="4"/>
          <w:szCs w:val="4"/>
        </w:rPr>
      </w:pPr>
    </w:p>
    <w:p w14:paraId="23B66C5C" w14:textId="4FCAF318" w:rsidR="00FA481C" w:rsidRDefault="00E76DF8" w:rsidP="00FA481C">
      <w:pPr>
        <w:pStyle w:val="Heading3"/>
        <w:spacing w:before="240"/>
        <w:rPr>
          <w:rFonts w:asciiTheme="minorHAnsi" w:hAnsiTheme="minorHAnsi"/>
          <w:smallCaps/>
        </w:rPr>
      </w:pPr>
      <w:r>
        <w:rPr>
          <w:rFonts w:asciiTheme="minorHAnsi" w:hAnsiTheme="minorHAnsi"/>
        </w:rPr>
        <w:t>B</w:t>
      </w:r>
      <w:r w:rsidR="00FA481C">
        <w:rPr>
          <w:rFonts w:asciiTheme="minorHAnsi" w:hAnsiTheme="minorHAnsi"/>
        </w:rPr>
        <w:t>reaches by location</w:t>
      </w:r>
    </w:p>
    <w:p w14:paraId="2867DAC4" w14:textId="07E1073E" w:rsidR="00FA481C" w:rsidRDefault="00FA481C" w:rsidP="00FA481C">
      <w:r>
        <w:t xml:space="preserve">More than half </w:t>
      </w:r>
      <w:r w:rsidR="00694B56">
        <w:t xml:space="preserve">the </w:t>
      </w:r>
      <w:r>
        <w:t>breaches identified by compliance investigations related to residential property purchased in Victoria</w:t>
      </w:r>
      <w:r w:rsidR="002247BF">
        <w:t>, while o</w:t>
      </w:r>
      <w:r>
        <w:t>ne</w:t>
      </w:r>
      <w:r>
        <w:noBreakHyphen/>
        <w:t>fifth related to property in New South Wales. Chart</w:t>
      </w:r>
      <w:r w:rsidR="007D1A7A">
        <w:t> 5</w:t>
      </w:r>
      <w:r>
        <w:t>.1</w:t>
      </w:r>
      <w:r w:rsidRPr="00E03EB9">
        <w:t xml:space="preserve"> </w:t>
      </w:r>
      <w:r>
        <w:t>shows the geographic distribution of the properties that were found to have been purchased in breach of the for</w:t>
      </w:r>
      <w:r w:rsidR="00EB761B">
        <w:t>eign investment rules in 2016–</w:t>
      </w:r>
      <w:r>
        <w:t>17.</w:t>
      </w:r>
    </w:p>
    <w:p w14:paraId="705C4950" w14:textId="667316C2" w:rsidR="005E0008" w:rsidRDefault="005E0008" w:rsidP="005E0008">
      <w:pPr>
        <w:pStyle w:val="TableHeading"/>
      </w:pPr>
      <w:r>
        <w:t xml:space="preserve">Chart 5.1: </w:t>
      </w:r>
      <w:r w:rsidR="009B564C">
        <w:t xml:space="preserve">Location of </w:t>
      </w:r>
      <w:r w:rsidR="00694B56">
        <w:t xml:space="preserve">residential real estate </w:t>
      </w:r>
      <w:r w:rsidR="009B564C">
        <w:t>breaches</w:t>
      </w:r>
      <w:r w:rsidR="00C03DC7">
        <w:t xml:space="preserve"> </w:t>
      </w:r>
      <w:r w:rsidR="00E76DF8">
        <w:t xml:space="preserve">identified </w:t>
      </w:r>
      <w:r w:rsidR="0037496B">
        <w:t>in 2016–</w:t>
      </w:r>
      <w:r w:rsidR="009B564C">
        <w:t>17</w:t>
      </w:r>
    </w:p>
    <w:p w14:paraId="70D0B89C" w14:textId="15D5C8FD" w:rsidR="00DE41BF" w:rsidRPr="00DE41BF" w:rsidRDefault="00BD75C4" w:rsidP="00DE41BF">
      <w:pPr>
        <w:pStyle w:val="ChartGraphic"/>
      </w:pPr>
      <w:r>
        <w:rPr>
          <w:noProof/>
        </w:rPr>
        <w:drawing>
          <wp:inline distT="0" distB="0" distL="0" distR="0" wp14:anchorId="458C5A37" wp14:editId="059F5A6E">
            <wp:extent cx="4896485" cy="3018750"/>
            <wp:effectExtent l="0" t="0" r="0" b="0"/>
            <wp:docPr id="58" name="Chart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14:paraId="2C230F42" w14:textId="77777777" w:rsidR="00FA481C" w:rsidRDefault="00FA481C" w:rsidP="00FA481C">
      <w:pPr>
        <w:pStyle w:val="Heading3"/>
      </w:pPr>
      <w:r>
        <w:lastRenderedPageBreak/>
        <w:t>Investigations by source</w:t>
      </w:r>
    </w:p>
    <w:p w14:paraId="580D2BA5" w14:textId="4EC65E2A" w:rsidR="00FA481C" w:rsidRDefault="00FA481C" w:rsidP="00FA481C">
      <w:r>
        <w:t>The 1,669 cases identified for investigation in 2016</w:t>
      </w:r>
      <w:r w:rsidR="00CD7E4F">
        <w:t>–</w:t>
      </w:r>
      <w:r>
        <w:t>17 came from a range of sources including community information, data matching and self</w:t>
      </w:r>
      <w:r>
        <w:noBreakHyphen/>
        <w:t xml:space="preserve">disclosures. Table </w:t>
      </w:r>
      <w:r w:rsidR="007D1A7A">
        <w:t>5</w:t>
      </w:r>
      <w:r>
        <w:t>.2 provides a breakdown of the source of investigations.</w:t>
      </w:r>
    </w:p>
    <w:p w14:paraId="7C487740" w14:textId="367C4277" w:rsidR="00651EDB" w:rsidRDefault="00651EDB" w:rsidP="00651EDB">
      <w:r>
        <w:t xml:space="preserve">ATO data matching is an increasingly important source of information used in compliance investigations. Data matching made up over 65 per cent of the </w:t>
      </w:r>
      <w:r w:rsidR="00871F60">
        <w:t>cases</w:t>
      </w:r>
      <w:r>
        <w:t xml:space="preserve"> </w:t>
      </w:r>
      <w:r w:rsidR="00871F60">
        <w:t xml:space="preserve">identified </w:t>
      </w:r>
      <w:r>
        <w:t>for investigation in 2016</w:t>
      </w:r>
      <w:r w:rsidR="00CD7E4F">
        <w:t>–</w:t>
      </w:r>
      <w:r>
        <w:t>17, up from just 17.8 per cent in 2015</w:t>
      </w:r>
      <w:r w:rsidR="00CD7E4F">
        <w:t>–</w:t>
      </w:r>
      <w:r>
        <w:t xml:space="preserve">16. Although community </w:t>
      </w:r>
      <w:r w:rsidR="00871F60">
        <w:t>‘</w:t>
      </w:r>
      <w:r>
        <w:t>dob</w:t>
      </w:r>
      <w:r w:rsidR="00CD7E4F">
        <w:noBreakHyphen/>
      </w:r>
      <w:r>
        <w:t>ins</w:t>
      </w:r>
      <w:r w:rsidR="00871F60">
        <w:t>’</w:t>
      </w:r>
      <w:r>
        <w:t xml:space="preserve"> are a valuable source of intelligence for the ATO, only a small proportion of investigations arising from community information actually involved a breach of the Act. In most cases, the owners of the properties reported by community members were determined to be Australian citizens or permanent residents and are therefore exempt from the Act.</w:t>
      </w:r>
    </w:p>
    <w:p w14:paraId="0C503C86" w14:textId="431784A1" w:rsidR="00FA481C" w:rsidRDefault="00FA481C" w:rsidP="00FA481C">
      <w:pPr>
        <w:pStyle w:val="TableHeading"/>
      </w:pPr>
      <w:r>
        <w:t xml:space="preserve">Table </w:t>
      </w:r>
      <w:r w:rsidR="005E0008">
        <w:t>5</w:t>
      </w:r>
      <w:r>
        <w:t xml:space="preserve">.2: Source of </w:t>
      </w:r>
      <w:r w:rsidR="00871F60">
        <w:t>r</w:t>
      </w:r>
      <w:r w:rsidR="00871F60" w:rsidRPr="00637250">
        <w:t>esidential real estate</w:t>
      </w:r>
      <w:r w:rsidR="00871F60">
        <w:t xml:space="preserve"> </w:t>
      </w:r>
      <w:r>
        <w:t>investigations in 2016</w:t>
      </w:r>
      <w:r w:rsidR="00CD7E4F">
        <w:t>–</w:t>
      </w:r>
      <w:r>
        <w:t>17</w:t>
      </w:r>
    </w:p>
    <w:tbl>
      <w:tblPr>
        <w:tblW w:w="7877" w:type="dxa"/>
        <w:tblBorders>
          <w:top w:val="single" w:sz="12" w:space="0" w:color="000000"/>
          <w:bottom w:val="single" w:sz="12" w:space="0" w:color="000000"/>
        </w:tblBorders>
        <w:tblLook w:val="04A0" w:firstRow="1" w:lastRow="0" w:firstColumn="1" w:lastColumn="0" w:noHBand="0" w:noVBand="1"/>
      </w:tblPr>
      <w:tblGrid>
        <w:gridCol w:w="1864"/>
        <w:gridCol w:w="920"/>
        <w:gridCol w:w="1293"/>
        <w:gridCol w:w="3800"/>
      </w:tblGrid>
      <w:tr w:rsidR="00FA481C" w14:paraId="270A4764" w14:textId="77777777" w:rsidTr="001C739A">
        <w:trPr>
          <w:trHeight w:val="393"/>
        </w:trPr>
        <w:tc>
          <w:tcPr>
            <w:tcW w:w="1864" w:type="dxa"/>
            <w:tcBorders>
              <w:top w:val="dotted" w:sz="4" w:space="0" w:color="auto"/>
              <w:left w:val="nil"/>
              <w:bottom w:val="dotted" w:sz="4" w:space="0" w:color="auto"/>
              <w:right w:val="nil"/>
            </w:tcBorders>
            <w:hideMark/>
          </w:tcPr>
          <w:p w14:paraId="7D2EA383" w14:textId="77777777" w:rsidR="00FA481C" w:rsidRDefault="00FA481C" w:rsidP="001C739A">
            <w:pPr>
              <w:spacing w:before="60" w:after="60" w:line="240" w:lineRule="auto"/>
              <w:rPr>
                <w:rFonts w:ascii="Arial" w:hAnsi="Arial" w:cs="Arial"/>
                <w:bCs/>
                <w:iCs/>
                <w:sz w:val="16"/>
                <w:szCs w:val="16"/>
              </w:rPr>
            </w:pPr>
            <w:r>
              <w:rPr>
                <w:rFonts w:ascii="Arial" w:hAnsi="Arial" w:cs="Arial"/>
                <w:bCs/>
                <w:iCs/>
                <w:sz w:val="16"/>
                <w:szCs w:val="16"/>
              </w:rPr>
              <w:t xml:space="preserve">Source of Case </w:t>
            </w:r>
          </w:p>
        </w:tc>
        <w:tc>
          <w:tcPr>
            <w:tcW w:w="920" w:type="dxa"/>
            <w:tcBorders>
              <w:top w:val="dotted" w:sz="4" w:space="0" w:color="auto"/>
              <w:left w:val="nil"/>
              <w:bottom w:val="dotted" w:sz="4" w:space="0" w:color="auto"/>
              <w:right w:val="nil"/>
            </w:tcBorders>
            <w:hideMark/>
          </w:tcPr>
          <w:p w14:paraId="0143D9B2" w14:textId="77777777" w:rsidR="00FA481C" w:rsidRDefault="00FA481C" w:rsidP="001C739A">
            <w:pPr>
              <w:spacing w:before="60" w:after="60" w:line="240" w:lineRule="auto"/>
              <w:jc w:val="center"/>
              <w:rPr>
                <w:rFonts w:ascii="Arial" w:hAnsi="Arial" w:cs="Arial"/>
                <w:bCs/>
                <w:iCs/>
                <w:sz w:val="16"/>
                <w:szCs w:val="16"/>
              </w:rPr>
            </w:pPr>
            <w:r>
              <w:rPr>
                <w:rFonts w:ascii="Arial" w:hAnsi="Arial" w:cs="Arial"/>
                <w:bCs/>
                <w:iCs/>
                <w:sz w:val="16"/>
                <w:szCs w:val="16"/>
              </w:rPr>
              <w:t xml:space="preserve">No. </w:t>
            </w:r>
          </w:p>
        </w:tc>
        <w:tc>
          <w:tcPr>
            <w:tcW w:w="1293" w:type="dxa"/>
            <w:tcBorders>
              <w:top w:val="dotted" w:sz="4" w:space="0" w:color="auto"/>
              <w:left w:val="nil"/>
              <w:bottom w:val="dotted" w:sz="4" w:space="0" w:color="auto"/>
              <w:right w:val="nil"/>
            </w:tcBorders>
            <w:hideMark/>
          </w:tcPr>
          <w:p w14:paraId="230333F1" w14:textId="77777777" w:rsidR="00FA481C" w:rsidRDefault="00FA481C" w:rsidP="001C739A">
            <w:pPr>
              <w:spacing w:before="60" w:after="60" w:line="240" w:lineRule="auto"/>
              <w:jc w:val="center"/>
              <w:rPr>
                <w:rFonts w:ascii="Arial" w:hAnsi="Arial" w:cs="Arial"/>
                <w:bCs/>
                <w:iCs/>
                <w:sz w:val="16"/>
                <w:szCs w:val="16"/>
              </w:rPr>
            </w:pPr>
            <w:r>
              <w:rPr>
                <w:rFonts w:ascii="Arial" w:hAnsi="Arial" w:cs="Arial"/>
                <w:bCs/>
                <w:iCs/>
                <w:sz w:val="16"/>
                <w:szCs w:val="16"/>
              </w:rPr>
              <w:t xml:space="preserve">Percentage </w:t>
            </w:r>
          </w:p>
        </w:tc>
        <w:tc>
          <w:tcPr>
            <w:tcW w:w="3800" w:type="dxa"/>
            <w:tcBorders>
              <w:top w:val="dotted" w:sz="4" w:space="0" w:color="auto"/>
              <w:left w:val="nil"/>
              <w:bottom w:val="dotted" w:sz="4" w:space="0" w:color="auto"/>
              <w:right w:val="nil"/>
            </w:tcBorders>
            <w:hideMark/>
          </w:tcPr>
          <w:p w14:paraId="4CEC79D2" w14:textId="2167F926" w:rsidR="00FA481C" w:rsidRDefault="00FA481C" w:rsidP="001C739A">
            <w:pPr>
              <w:spacing w:before="60" w:after="60" w:line="240" w:lineRule="auto"/>
              <w:rPr>
                <w:rFonts w:ascii="Arial" w:hAnsi="Arial" w:cs="Arial"/>
                <w:bCs/>
                <w:iCs/>
                <w:sz w:val="16"/>
                <w:szCs w:val="16"/>
              </w:rPr>
            </w:pPr>
            <w:r>
              <w:rPr>
                <w:rFonts w:ascii="Arial" w:hAnsi="Arial" w:cs="Arial"/>
                <w:bCs/>
                <w:iCs/>
                <w:sz w:val="16"/>
                <w:szCs w:val="16"/>
              </w:rPr>
              <w:t>Description</w:t>
            </w:r>
            <w:r w:rsidR="006B70F2">
              <w:rPr>
                <w:rFonts w:ascii="Arial" w:hAnsi="Arial" w:cs="Arial"/>
                <w:bCs/>
                <w:iCs/>
                <w:sz w:val="16"/>
                <w:szCs w:val="16"/>
              </w:rPr>
              <w:t xml:space="preserve"> </w:t>
            </w:r>
          </w:p>
        </w:tc>
      </w:tr>
      <w:tr w:rsidR="00FA481C" w14:paraId="4840606A" w14:textId="77777777" w:rsidTr="001C739A">
        <w:tc>
          <w:tcPr>
            <w:tcW w:w="1864" w:type="dxa"/>
            <w:tcBorders>
              <w:top w:val="dotted" w:sz="4" w:space="0" w:color="auto"/>
              <w:left w:val="nil"/>
              <w:bottom w:val="nil"/>
              <w:right w:val="nil"/>
            </w:tcBorders>
            <w:hideMark/>
          </w:tcPr>
          <w:p w14:paraId="50619E3F" w14:textId="77777777" w:rsidR="00FA481C" w:rsidRDefault="00FA481C" w:rsidP="001C739A">
            <w:pPr>
              <w:spacing w:before="60" w:after="0" w:line="240" w:lineRule="auto"/>
              <w:rPr>
                <w:rFonts w:ascii="Arial" w:hAnsi="Arial" w:cs="Arial"/>
                <w:sz w:val="16"/>
                <w:szCs w:val="16"/>
              </w:rPr>
            </w:pPr>
            <w:r>
              <w:rPr>
                <w:rFonts w:ascii="Arial" w:hAnsi="Arial" w:cs="Arial"/>
                <w:sz w:val="16"/>
                <w:szCs w:val="16"/>
              </w:rPr>
              <w:t>Self</w:t>
            </w:r>
            <w:r>
              <w:rPr>
                <w:rFonts w:ascii="Arial" w:hAnsi="Arial" w:cs="Arial"/>
                <w:sz w:val="16"/>
                <w:szCs w:val="16"/>
              </w:rPr>
              <w:noBreakHyphen/>
              <w:t xml:space="preserve">disclosure </w:t>
            </w:r>
          </w:p>
        </w:tc>
        <w:tc>
          <w:tcPr>
            <w:tcW w:w="920" w:type="dxa"/>
            <w:tcBorders>
              <w:top w:val="dotted" w:sz="4" w:space="0" w:color="auto"/>
              <w:left w:val="nil"/>
              <w:bottom w:val="nil"/>
              <w:right w:val="nil"/>
            </w:tcBorders>
            <w:noWrap/>
            <w:hideMark/>
          </w:tcPr>
          <w:p w14:paraId="4C00A556" w14:textId="77777777" w:rsidR="00FA481C" w:rsidRDefault="00FA481C" w:rsidP="001C739A">
            <w:pPr>
              <w:spacing w:before="60" w:after="0" w:line="240" w:lineRule="auto"/>
              <w:jc w:val="center"/>
              <w:rPr>
                <w:rFonts w:ascii="Arial" w:hAnsi="Arial" w:cs="Arial"/>
                <w:sz w:val="16"/>
                <w:szCs w:val="16"/>
              </w:rPr>
            </w:pPr>
            <w:r>
              <w:rPr>
                <w:rFonts w:ascii="Arial" w:hAnsi="Arial" w:cs="Arial"/>
                <w:sz w:val="16"/>
                <w:szCs w:val="16"/>
              </w:rPr>
              <w:t>100</w:t>
            </w:r>
          </w:p>
        </w:tc>
        <w:tc>
          <w:tcPr>
            <w:tcW w:w="1293" w:type="dxa"/>
            <w:tcBorders>
              <w:top w:val="dotted" w:sz="4" w:space="0" w:color="auto"/>
              <w:left w:val="nil"/>
              <w:bottom w:val="nil"/>
              <w:right w:val="nil"/>
            </w:tcBorders>
            <w:noWrap/>
            <w:hideMark/>
          </w:tcPr>
          <w:p w14:paraId="4FD3B4E6" w14:textId="77777777" w:rsidR="00FA481C" w:rsidRDefault="00FA481C" w:rsidP="001C739A">
            <w:pPr>
              <w:spacing w:before="60" w:after="0" w:line="240" w:lineRule="auto"/>
              <w:jc w:val="center"/>
              <w:rPr>
                <w:rFonts w:ascii="Arial" w:hAnsi="Arial" w:cs="Arial"/>
                <w:sz w:val="16"/>
                <w:szCs w:val="16"/>
              </w:rPr>
            </w:pPr>
            <w:r>
              <w:rPr>
                <w:rFonts w:ascii="Arial" w:hAnsi="Arial" w:cs="Arial"/>
                <w:sz w:val="16"/>
                <w:szCs w:val="16"/>
              </w:rPr>
              <w:t>6.0</w:t>
            </w:r>
          </w:p>
        </w:tc>
        <w:tc>
          <w:tcPr>
            <w:tcW w:w="3800" w:type="dxa"/>
            <w:tcBorders>
              <w:top w:val="dotted" w:sz="4" w:space="0" w:color="auto"/>
              <w:left w:val="nil"/>
              <w:bottom w:val="nil"/>
              <w:right w:val="nil"/>
            </w:tcBorders>
            <w:hideMark/>
          </w:tcPr>
          <w:p w14:paraId="07CFC189" w14:textId="77777777" w:rsidR="00FA481C" w:rsidRDefault="00FA481C" w:rsidP="001C739A">
            <w:pPr>
              <w:spacing w:before="60" w:after="0" w:line="240" w:lineRule="auto"/>
              <w:rPr>
                <w:rFonts w:ascii="Arial" w:hAnsi="Arial" w:cs="Arial"/>
                <w:sz w:val="16"/>
                <w:szCs w:val="16"/>
              </w:rPr>
            </w:pPr>
            <w:r>
              <w:rPr>
                <w:rFonts w:ascii="Arial" w:hAnsi="Arial" w:cs="Arial"/>
                <w:sz w:val="16"/>
                <w:szCs w:val="16"/>
              </w:rPr>
              <w:t>Self</w:t>
            </w:r>
            <w:r>
              <w:rPr>
                <w:rFonts w:ascii="Arial" w:hAnsi="Arial" w:cs="Arial"/>
                <w:sz w:val="16"/>
                <w:szCs w:val="16"/>
              </w:rPr>
              <w:noBreakHyphen/>
              <w:t xml:space="preserve">disclosures made from 2 May 2015 to 30 June 2016 </w:t>
            </w:r>
          </w:p>
        </w:tc>
      </w:tr>
      <w:tr w:rsidR="00FA481C" w14:paraId="765FA73B" w14:textId="77777777" w:rsidTr="001C739A">
        <w:tc>
          <w:tcPr>
            <w:tcW w:w="1864" w:type="dxa"/>
            <w:tcBorders>
              <w:top w:val="nil"/>
              <w:left w:val="nil"/>
              <w:bottom w:val="nil"/>
              <w:right w:val="nil"/>
            </w:tcBorders>
            <w:hideMark/>
          </w:tcPr>
          <w:p w14:paraId="68BF8C76" w14:textId="77777777" w:rsidR="00FA481C" w:rsidRDefault="00FA481C" w:rsidP="001C739A">
            <w:pPr>
              <w:spacing w:before="60" w:after="60" w:line="240" w:lineRule="auto"/>
              <w:rPr>
                <w:rFonts w:ascii="Arial" w:hAnsi="Arial" w:cs="Arial"/>
                <w:sz w:val="16"/>
                <w:szCs w:val="16"/>
              </w:rPr>
            </w:pPr>
            <w:r>
              <w:rPr>
                <w:rFonts w:ascii="Arial" w:hAnsi="Arial" w:cs="Arial"/>
                <w:sz w:val="16"/>
                <w:szCs w:val="16"/>
              </w:rPr>
              <w:t>Community information</w:t>
            </w:r>
          </w:p>
        </w:tc>
        <w:tc>
          <w:tcPr>
            <w:tcW w:w="920" w:type="dxa"/>
            <w:tcBorders>
              <w:top w:val="nil"/>
              <w:left w:val="nil"/>
              <w:bottom w:val="nil"/>
              <w:right w:val="nil"/>
            </w:tcBorders>
            <w:noWrap/>
            <w:hideMark/>
          </w:tcPr>
          <w:p w14:paraId="177C6F6C" w14:textId="77777777" w:rsidR="00FA481C" w:rsidRDefault="00FA481C" w:rsidP="001C739A">
            <w:pPr>
              <w:spacing w:before="60" w:after="60" w:line="240" w:lineRule="auto"/>
              <w:jc w:val="center"/>
              <w:rPr>
                <w:rFonts w:ascii="Arial" w:hAnsi="Arial" w:cs="Arial"/>
                <w:sz w:val="16"/>
                <w:szCs w:val="16"/>
              </w:rPr>
            </w:pPr>
            <w:r>
              <w:rPr>
                <w:rFonts w:ascii="Arial" w:hAnsi="Arial" w:cs="Arial"/>
                <w:sz w:val="16"/>
                <w:szCs w:val="16"/>
              </w:rPr>
              <w:t>349</w:t>
            </w:r>
          </w:p>
        </w:tc>
        <w:tc>
          <w:tcPr>
            <w:tcW w:w="1293" w:type="dxa"/>
            <w:tcBorders>
              <w:top w:val="nil"/>
              <w:left w:val="nil"/>
              <w:bottom w:val="nil"/>
              <w:right w:val="nil"/>
            </w:tcBorders>
            <w:noWrap/>
            <w:hideMark/>
          </w:tcPr>
          <w:p w14:paraId="1BCB52EF" w14:textId="77777777" w:rsidR="00FA481C" w:rsidRDefault="00FA481C" w:rsidP="001C739A">
            <w:pPr>
              <w:spacing w:before="60" w:after="60" w:line="240" w:lineRule="auto"/>
              <w:jc w:val="center"/>
              <w:rPr>
                <w:rFonts w:ascii="Arial" w:hAnsi="Arial" w:cs="Arial"/>
                <w:sz w:val="16"/>
                <w:szCs w:val="16"/>
              </w:rPr>
            </w:pPr>
            <w:r>
              <w:rPr>
                <w:rFonts w:ascii="Arial" w:hAnsi="Arial" w:cs="Arial"/>
                <w:sz w:val="16"/>
                <w:szCs w:val="16"/>
              </w:rPr>
              <w:t>20.9</w:t>
            </w:r>
          </w:p>
          <w:p w14:paraId="6239665A" w14:textId="77777777" w:rsidR="00FA481C" w:rsidRDefault="00FA481C" w:rsidP="001C739A">
            <w:pPr>
              <w:spacing w:before="60" w:after="60" w:line="240" w:lineRule="auto"/>
              <w:jc w:val="center"/>
              <w:rPr>
                <w:rFonts w:ascii="Arial" w:hAnsi="Arial" w:cs="Arial"/>
                <w:sz w:val="16"/>
                <w:szCs w:val="16"/>
              </w:rPr>
            </w:pPr>
          </w:p>
        </w:tc>
        <w:tc>
          <w:tcPr>
            <w:tcW w:w="3800" w:type="dxa"/>
            <w:tcBorders>
              <w:top w:val="nil"/>
              <w:left w:val="nil"/>
              <w:bottom w:val="nil"/>
              <w:right w:val="nil"/>
            </w:tcBorders>
            <w:hideMark/>
          </w:tcPr>
          <w:p w14:paraId="4F186821" w14:textId="77777777" w:rsidR="00FA481C" w:rsidRDefault="00FA481C" w:rsidP="001C739A">
            <w:pPr>
              <w:spacing w:before="60" w:after="60" w:line="240" w:lineRule="auto"/>
              <w:rPr>
                <w:rFonts w:ascii="Arial" w:hAnsi="Arial" w:cs="Arial"/>
                <w:sz w:val="16"/>
                <w:szCs w:val="16"/>
              </w:rPr>
            </w:pPr>
            <w:r>
              <w:rPr>
                <w:rFonts w:ascii="Arial" w:hAnsi="Arial" w:cs="Arial"/>
                <w:sz w:val="16"/>
                <w:szCs w:val="16"/>
              </w:rPr>
              <w:t xml:space="preserve">Information received from ‘dob ins’ made by the community </w:t>
            </w:r>
          </w:p>
        </w:tc>
      </w:tr>
      <w:tr w:rsidR="00FA481C" w14:paraId="35418151" w14:textId="77777777" w:rsidTr="001C739A">
        <w:tc>
          <w:tcPr>
            <w:tcW w:w="1864" w:type="dxa"/>
            <w:tcBorders>
              <w:top w:val="nil"/>
              <w:left w:val="nil"/>
              <w:bottom w:val="nil"/>
              <w:right w:val="nil"/>
            </w:tcBorders>
            <w:hideMark/>
          </w:tcPr>
          <w:p w14:paraId="4E9F7C31" w14:textId="77777777" w:rsidR="00FA481C" w:rsidRDefault="00FA481C" w:rsidP="001C739A">
            <w:pPr>
              <w:spacing w:before="60" w:after="60" w:line="240" w:lineRule="auto"/>
              <w:rPr>
                <w:rFonts w:ascii="Arial" w:hAnsi="Arial" w:cs="Arial"/>
                <w:sz w:val="16"/>
                <w:szCs w:val="16"/>
              </w:rPr>
            </w:pPr>
            <w:r>
              <w:rPr>
                <w:rFonts w:ascii="Arial" w:hAnsi="Arial" w:cs="Arial"/>
                <w:sz w:val="16"/>
                <w:szCs w:val="16"/>
              </w:rPr>
              <w:t>Other referrals</w:t>
            </w:r>
          </w:p>
        </w:tc>
        <w:tc>
          <w:tcPr>
            <w:tcW w:w="920" w:type="dxa"/>
            <w:tcBorders>
              <w:top w:val="nil"/>
              <w:left w:val="nil"/>
              <w:bottom w:val="nil"/>
              <w:right w:val="nil"/>
            </w:tcBorders>
            <w:noWrap/>
            <w:hideMark/>
          </w:tcPr>
          <w:p w14:paraId="576C4415" w14:textId="77777777" w:rsidR="00FA481C" w:rsidRDefault="00FA481C" w:rsidP="001C739A">
            <w:pPr>
              <w:spacing w:before="60" w:after="60" w:line="240" w:lineRule="auto"/>
              <w:jc w:val="center"/>
              <w:rPr>
                <w:rFonts w:ascii="Arial" w:hAnsi="Arial" w:cs="Arial"/>
                <w:sz w:val="16"/>
                <w:szCs w:val="16"/>
              </w:rPr>
            </w:pPr>
            <w:r>
              <w:rPr>
                <w:rFonts w:ascii="Arial" w:hAnsi="Arial" w:cs="Arial"/>
                <w:sz w:val="16"/>
                <w:szCs w:val="16"/>
              </w:rPr>
              <w:t>127</w:t>
            </w:r>
          </w:p>
        </w:tc>
        <w:tc>
          <w:tcPr>
            <w:tcW w:w="1293" w:type="dxa"/>
            <w:tcBorders>
              <w:top w:val="nil"/>
              <w:left w:val="nil"/>
              <w:bottom w:val="nil"/>
              <w:right w:val="nil"/>
            </w:tcBorders>
            <w:noWrap/>
            <w:hideMark/>
          </w:tcPr>
          <w:p w14:paraId="6F7CC320" w14:textId="77777777" w:rsidR="00FA481C" w:rsidRDefault="00FA481C" w:rsidP="001C739A">
            <w:pPr>
              <w:spacing w:before="60" w:after="60" w:line="240" w:lineRule="auto"/>
              <w:jc w:val="center"/>
              <w:rPr>
                <w:rFonts w:ascii="Arial" w:hAnsi="Arial" w:cs="Arial"/>
                <w:sz w:val="16"/>
                <w:szCs w:val="16"/>
              </w:rPr>
            </w:pPr>
            <w:r>
              <w:rPr>
                <w:rFonts w:ascii="Arial" w:hAnsi="Arial" w:cs="Arial"/>
                <w:sz w:val="16"/>
                <w:szCs w:val="16"/>
              </w:rPr>
              <w:t>7.6</w:t>
            </w:r>
          </w:p>
        </w:tc>
        <w:tc>
          <w:tcPr>
            <w:tcW w:w="3800" w:type="dxa"/>
            <w:tcBorders>
              <w:top w:val="nil"/>
              <w:left w:val="nil"/>
              <w:bottom w:val="nil"/>
              <w:right w:val="nil"/>
            </w:tcBorders>
            <w:hideMark/>
          </w:tcPr>
          <w:p w14:paraId="2056993D" w14:textId="77777777" w:rsidR="00FA481C" w:rsidRDefault="00FA481C" w:rsidP="001C739A">
            <w:pPr>
              <w:spacing w:before="60" w:after="60" w:line="240" w:lineRule="auto"/>
              <w:rPr>
                <w:rFonts w:ascii="Arial" w:hAnsi="Arial" w:cs="Arial"/>
                <w:sz w:val="16"/>
                <w:szCs w:val="16"/>
              </w:rPr>
            </w:pPr>
            <w:r>
              <w:rPr>
                <w:rFonts w:ascii="Arial" w:hAnsi="Arial" w:cs="Arial"/>
                <w:sz w:val="16"/>
                <w:szCs w:val="16"/>
              </w:rPr>
              <w:t>Internal ATO referrals and referrals received from other Government agencies, media reports</w:t>
            </w:r>
          </w:p>
        </w:tc>
      </w:tr>
      <w:tr w:rsidR="00FA481C" w14:paraId="7EBF5E15" w14:textId="77777777" w:rsidTr="001C739A">
        <w:trPr>
          <w:trHeight w:val="398"/>
        </w:trPr>
        <w:tc>
          <w:tcPr>
            <w:tcW w:w="1864" w:type="dxa"/>
            <w:tcBorders>
              <w:top w:val="nil"/>
              <w:left w:val="nil"/>
              <w:bottom w:val="dotted" w:sz="4" w:space="0" w:color="auto"/>
              <w:right w:val="nil"/>
            </w:tcBorders>
            <w:hideMark/>
          </w:tcPr>
          <w:p w14:paraId="2D0AD732" w14:textId="77777777" w:rsidR="00FA481C" w:rsidRDefault="00FA481C" w:rsidP="001C739A">
            <w:pPr>
              <w:spacing w:before="60" w:after="60" w:line="240" w:lineRule="auto"/>
              <w:rPr>
                <w:rFonts w:ascii="Arial" w:hAnsi="Arial" w:cs="Arial"/>
                <w:sz w:val="16"/>
                <w:szCs w:val="16"/>
              </w:rPr>
            </w:pPr>
            <w:r>
              <w:rPr>
                <w:rFonts w:ascii="Arial" w:hAnsi="Arial" w:cs="Arial"/>
                <w:sz w:val="16"/>
                <w:szCs w:val="16"/>
              </w:rPr>
              <w:t>Data matched</w:t>
            </w:r>
          </w:p>
        </w:tc>
        <w:tc>
          <w:tcPr>
            <w:tcW w:w="920" w:type="dxa"/>
            <w:tcBorders>
              <w:top w:val="nil"/>
              <w:left w:val="nil"/>
              <w:bottom w:val="dotted" w:sz="4" w:space="0" w:color="auto"/>
              <w:right w:val="nil"/>
            </w:tcBorders>
            <w:noWrap/>
            <w:hideMark/>
          </w:tcPr>
          <w:p w14:paraId="13EE59AE" w14:textId="77777777" w:rsidR="00FA481C" w:rsidRDefault="00FA481C" w:rsidP="001C739A">
            <w:pPr>
              <w:spacing w:before="60" w:after="60" w:line="240" w:lineRule="auto"/>
              <w:jc w:val="center"/>
              <w:rPr>
                <w:rFonts w:ascii="Arial" w:hAnsi="Arial" w:cs="Arial"/>
                <w:sz w:val="16"/>
                <w:szCs w:val="16"/>
              </w:rPr>
            </w:pPr>
            <w:r>
              <w:rPr>
                <w:rFonts w:ascii="Arial" w:hAnsi="Arial" w:cs="Arial"/>
                <w:sz w:val="16"/>
                <w:szCs w:val="16"/>
              </w:rPr>
              <w:t>1093</w:t>
            </w:r>
          </w:p>
        </w:tc>
        <w:tc>
          <w:tcPr>
            <w:tcW w:w="1293" w:type="dxa"/>
            <w:tcBorders>
              <w:top w:val="nil"/>
              <w:left w:val="nil"/>
              <w:bottom w:val="dotted" w:sz="4" w:space="0" w:color="auto"/>
              <w:right w:val="nil"/>
            </w:tcBorders>
            <w:noWrap/>
            <w:hideMark/>
          </w:tcPr>
          <w:p w14:paraId="39F32ABF" w14:textId="77777777" w:rsidR="00FA481C" w:rsidRDefault="00FA481C" w:rsidP="001C739A">
            <w:pPr>
              <w:spacing w:before="60" w:after="60" w:line="240" w:lineRule="auto"/>
              <w:jc w:val="center"/>
              <w:rPr>
                <w:rFonts w:ascii="Arial" w:hAnsi="Arial" w:cs="Arial"/>
                <w:sz w:val="16"/>
                <w:szCs w:val="16"/>
              </w:rPr>
            </w:pPr>
            <w:r>
              <w:rPr>
                <w:rFonts w:ascii="Arial" w:hAnsi="Arial" w:cs="Arial"/>
                <w:sz w:val="16"/>
                <w:szCs w:val="16"/>
              </w:rPr>
              <w:t>65.5</w:t>
            </w:r>
          </w:p>
        </w:tc>
        <w:tc>
          <w:tcPr>
            <w:tcW w:w="3800" w:type="dxa"/>
            <w:tcBorders>
              <w:top w:val="nil"/>
              <w:left w:val="nil"/>
              <w:bottom w:val="dotted" w:sz="4" w:space="0" w:color="auto"/>
              <w:right w:val="nil"/>
            </w:tcBorders>
            <w:hideMark/>
          </w:tcPr>
          <w:p w14:paraId="40BBC69D" w14:textId="77777777" w:rsidR="00FA481C" w:rsidRDefault="00FA481C" w:rsidP="001C739A">
            <w:pPr>
              <w:spacing w:before="60" w:after="60" w:line="240" w:lineRule="auto"/>
              <w:rPr>
                <w:rFonts w:ascii="Arial" w:hAnsi="Arial" w:cs="Arial"/>
                <w:sz w:val="16"/>
                <w:szCs w:val="16"/>
              </w:rPr>
            </w:pPr>
            <w:r>
              <w:rPr>
                <w:rFonts w:ascii="Arial" w:hAnsi="Arial" w:cs="Arial"/>
                <w:sz w:val="16"/>
                <w:szCs w:val="16"/>
              </w:rPr>
              <w:t>ATO data matching sources</w:t>
            </w:r>
          </w:p>
        </w:tc>
      </w:tr>
      <w:tr w:rsidR="00FA481C" w14:paraId="1B07D898" w14:textId="77777777" w:rsidTr="001C739A">
        <w:trPr>
          <w:trHeight w:val="330"/>
        </w:trPr>
        <w:tc>
          <w:tcPr>
            <w:tcW w:w="1864" w:type="dxa"/>
            <w:tcBorders>
              <w:top w:val="dotted" w:sz="4" w:space="0" w:color="auto"/>
              <w:left w:val="nil"/>
              <w:bottom w:val="dotted" w:sz="4" w:space="0" w:color="auto"/>
              <w:right w:val="nil"/>
            </w:tcBorders>
            <w:hideMark/>
          </w:tcPr>
          <w:p w14:paraId="0E893ECC" w14:textId="77777777" w:rsidR="00FA481C" w:rsidRDefault="00FA481C" w:rsidP="001C739A">
            <w:pPr>
              <w:spacing w:before="60" w:after="60" w:line="240" w:lineRule="auto"/>
              <w:rPr>
                <w:rFonts w:ascii="Arial" w:hAnsi="Arial" w:cs="Arial"/>
                <w:bCs/>
                <w:sz w:val="16"/>
                <w:szCs w:val="16"/>
              </w:rPr>
            </w:pPr>
            <w:r>
              <w:rPr>
                <w:rFonts w:ascii="Arial" w:hAnsi="Arial" w:cs="Arial"/>
                <w:bCs/>
                <w:sz w:val="16"/>
                <w:szCs w:val="16"/>
              </w:rPr>
              <w:t>Total received</w:t>
            </w:r>
          </w:p>
        </w:tc>
        <w:tc>
          <w:tcPr>
            <w:tcW w:w="920" w:type="dxa"/>
            <w:tcBorders>
              <w:top w:val="dotted" w:sz="4" w:space="0" w:color="auto"/>
              <w:left w:val="nil"/>
              <w:bottom w:val="dotted" w:sz="4" w:space="0" w:color="auto"/>
              <w:right w:val="nil"/>
            </w:tcBorders>
            <w:noWrap/>
            <w:hideMark/>
          </w:tcPr>
          <w:p w14:paraId="423AD2A1" w14:textId="77777777" w:rsidR="00FA481C" w:rsidRDefault="00FA481C" w:rsidP="001C739A">
            <w:pPr>
              <w:spacing w:before="60" w:after="60" w:line="240" w:lineRule="auto"/>
              <w:jc w:val="center"/>
              <w:rPr>
                <w:rFonts w:ascii="Arial" w:hAnsi="Arial" w:cs="Arial"/>
                <w:sz w:val="16"/>
                <w:szCs w:val="16"/>
              </w:rPr>
            </w:pPr>
            <w:r>
              <w:rPr>
                <w:rFonts w:ascii="Arial" w:hAnsi="Arial" w:cs="Arial"/>
                <w:sz w:val="16"/>
                <w:szCs w:val="16"/>
              </w:rPr>
              <w:t>1,669</w:t>
            </w:r>
          </w:p>
        </w:tc>
        <w:tc>
          <w:tcPr>
            <w:tcW w:w="1293" w:type="dxa"/>
            <w:tcBorders>
              <w:top w:val="dotted" w:sz="4" w:space="0" w:color="auto"/>
              <w:left w:val="nil"/>
              <w:bottom w:val="dotted" w:sz="4" w:space="0" w:color="auto"/>
              <w:right w:val="nil"/>
            </w:tcBorders>
            <w:noWrap/>
            <w:hideMark/>
          </w:tcPr>
          <w:p w14:paraId="65AF3F01" w14:textId="77777777" w:rsidR="00FA481C" w:rsidRDefault="00FA481C" w:rsidP="001C739A">
            <w:pPr>
              <w:spacing w:before="60" w:after="60" w:line="240" w:lineRule="auto"/>
              <w:jc w:val="center"/>
              <w:rPr>
                <w:rFonts w:ascii="Arial" w:hAnsi="Arial" w:cs="Arial"/>
                <w:sz w:val="16"/>
                <w:szCs w:val="16"/>
              </w:rPr>
            </w:pPr>
            <w:r>
              <w:rPr>
                <w:rFonts w:ascii="Arial" w:hAnsi="Arial" w:cs="Arial"/>
                <w:sz w:val="16"/>
                <w:szCs w:val="16"/>
              </w:rPr>
              <w:t>100.0%</w:t>
            </w:r>
          </w:p>
        </w:tc>
        <w:tc>
          <w:tcPr>
            <w:tcW w:w="3800" w:type="dxa"/>
            <w:tcBorders>
              <w:top w:val="dotted" w:sz="4" w:space="0" w:color="auto"/>
              <w:left w:val="nil"/>
              <w:bottom w:val="dotted" w:sz="4" w:space="0" w:color="auto"/>
              <w:right w:val="nil"/>
            </w:tcBorders>
            <w:hideMark/>
          </w:tcPr>
          <w:p w14:paraId="0F11055F" w14:textId="77777777" w:rsidR="00FA481C" w:rsidRDefault="00FA481C" w:rsidP="001C739A">
            <w:pPr>
              <w:spacing w:after="0"/>
            </w:pPr>
          </w:p>
        </w:tc>
      </w:tr>
    </w:tbl>
    <w:p w14:paraId="67875869" w14:textId="79302DF6" w:rsidR="00FA481C" w:rsidRPr="00E14DC9" w:rsidRDefault="00FA481C" w:rsidP="00E14DC9">
      <w:pPr>
        <w:pStyle w:val="TableHeading"/>
      </w:pPr>
      <w:r w:rsidRPr="00E14DC9">
        <w:t xml:space="preserve">Table </w:t>
      </w:r>
      <w:r w:rsidR="005E0008" w:rsidRPr="00E14DC9">
        <w:t>5</w:t>
      </w:r>
      <w:r w:rsidRPr="00E14DC9">
        <w:t xml:space="preserve">.3: Outcomes of completed </w:t>
      </w:r>
      <w:r w:rsidR="00871F60" w:rsidRPr="00E14DC9">
        <w:t xml:space="preserve">residential real estate </w:t>
      </w:r>
      <w:r w:rsidRPr="00E14DC9">
        <w:t>investigations in 2016</w:t>
      </w:r>
      <w:r w:rsidR="00CD7E4F" w:rsidRPr="00E14DC9">
        <w:t>–</w:t>
      </w:r>
      <w:r w:rsidRPr="00E14DC9">
        <w:t>17</w:t>
      </w:r>
      <w:r w:rsidR="00871F60" w:rsidRPr="00E14DC9">
        <w:t>,</w:t>
      </w:r>
      <w:r w:rsidRPr="00E14DC9">
        <w:t xml:space="preserve"> by source (a)</w:t>
      </w:r>
    </w:p>
    <w:tbl>
      <w:tblPr>
        <w:tblW w:w="7905" w:type="dxa"/>
        <w:tblBorders>
          <w:top w:val="single" w:sz="12" w:space="0" w:color="000000"/>
          <w:bottom w:val="single" w:sz="12" w:space="0" w:color="000000"/>
        </w:tblBorders>
        <w:tblLook w:val="04A0" w:firstRow="1" w:lastRow="0" w:firstColumn="1" w:lastColumn="0" w:noHBand="0" w:noVBand="1"/>
      </w:tblPr>
      <w:tblGrid>
        <w:gridCol w:w="4503"/>
        <w:gridCol w:w="2126"/>
        <w:gridCol w:w="1276"/>
      </w:tblGrid>
      <w:tr w:rsidR="00FA481C" w14:paraId="55EADBF0" w14:textId="77777777" w:rsidTr="001C739A">
        <w:trPr>
          <w:trHeight w:val="300"/>
        </w:trPr>
        <w:tc>
          <w:tcPr>
            <w:tcW w:w="4503" w:type="dxa"/>
            <w:tcBorders>
              <w:top w:val="dotted" w:sz="4" w:space="0" w:color="auto"/>
              <w:left w:val="single" w:sz="4" w:space="0" w:color="FFFFFF" w:themeColor="background1"/>
              <w:bottom w:val="dotted" w:sz="4" w:space="0" w:color="auto"/>
              <w:right w:val="nil"/>
            </w:tcBorders>
            <w:noWrap/>
            <w:hideMark/>
          </w:tcPr>
          <w:p w14:paraId="4E57A97B" w14:textId="77777777" w:rsidR="00FA481C" w:rsidRDefault="00FA481C" w:rsidP="001C739A">
            <w:pPr>
              <w:spacing w:before="60" w:after="60" w:line="240" w:lineRule="auto"/>
              <w:rPr>
                <w:rFonts w:ascii="Arial" w:hAnsi="Arial" w:cs="Arial"/>
                <w:bCs/>
                <w:iCs/>
                <w:sz w:val="16"/>
                <w:szCs w:val="16"/>
              </w:rPr>
            </w:pPr>
            <w:r>
              <w:rPr>
                <w:rFonts w:ascii="Arial" w:hAnsi="Arial" w:cs="Arial"/>
                <w:bCs/>
                <w:iCs/>
                <w:sz w:val="16"/>
                <w:szCs w:val="16"/>
              </w:rPr>
              <w:t xml:space="preserve">Source </w:t>
            </w:r>
          </w:p>
        </w:tc>
        <w:tc>
          <w:tcPr>
            <w:tcW w:w="2126" w:type="dxa"/>
            <w:tcBorders>
              <w:top w:val="dotted" w:sz="4" w:space="0" w:color="auto"/>
              <w:left w:val="nil"/>
              <w:bottom w:val="dotted" w:sz="4" w:space="0" w:color="auto"/>
              <w:right w:val="nil"/>
            </w:tcBorders>
            <w:noWrap/>
            <w:hideMark/>
          </w:tcPr>
          <w:p w14:paraId="140DBEC2" w14:textId="77777777" w:rsidR="00FA481C" w:rsidRDefault="00FA481C" w:rsidP="001C739A">
            <w:pPr>
              <w:spacing w:before="60" w:after="60" w:line="240" w:lineRule="auto"/>
              <w:jc w:val="right"/>
              <w:rPr>
                <w:rFonts w:ascii="Arial" w:hAnsi="Arial" w:cs="Arial"/>
                <w:bCs/>
                <w:iCs/>
                <w:sz w:val="16"/>
                <w:szCs w:val="16"/>
              </w:rPr>
            </w:pPr>
            <w:r>
              <w:rPr>
                <w:rFonts w:ascii="Arial" w:hAnsi="Arial" w:cs="Arial"/>
                <w:bCs/>
                <w:iCs/>
                <w:sz w:val="16"/>
                <w:szCs w:val="16"/>
              </w:rPr>
              <w:t>No. of completed investigations</w:t>
            </w:r>
          </w:p>
        </w:tc>
        <w:tc>
          <w:tcPr>
            <w:tcW w:w="1276" w:type="dxa"/>
            <w:tcBorders>
              <w:top w:val="dotted" w:sz="4" w:space="0" w:color="auto"/>
              <w:left w:val="nil"/>
              <w:bottom w:val="dotted" w:sz="4" w:space="0" w:color="auto"/>
              <w:right w:val="single" w:sz="4" w:space="0" w:color="FFFFFF" w:themeColor="background1"/>
            </w:tcBorders>
            <w:noWrap/>
            <w:hideMark/>
          </w:tcPr>
          <w:p w14:paraId="6E5BE19B" w14:textId="77777777" w:rsidR="00FA481C" w:rsidRDefault="00FA481C" w:rsidP="001C739A">
            <w:pPr>
              <w:spacing w:before="60" w:after="60" w:line="240" w:lineRule="auto"/>
              <w:jc w:val="right"/>
              <w:rPr>
                <w:rFonts w:ascii="Arial" w:hAnsi="Arial" w:cs="Arial"/>
                <w:bCs/>
                <w:iCs/>
                <w:sz w:val="16"/>
                <w:szCs w:val="16"/>
              </w:rPr>
            </w:pPr>
            <w:r>
              <w:rPr>
                <w:rFonts w:ascii="Arial" w:hAnsi="Arial" w:cs="Arial"/>
                <w:bCs/>
                <w:iCs/>
                <w:sz w:val="16"/>
                <w:szCs w:val="16"/>
              </w:rPr>
              <w:t>No. of breaches</w:t>
            </w:r>
          </w:p>
        </w:tc>
      </w:tr>
      <w:tr w:rsidR="00FA481C" w14:paraId="44B4CE22" w14:textId="77777777" w:rsidTr="001C739A">
        <w:trPr>
          <w:trHeight w:val="300"/>
        </w:trPr>
        <w:tc>
          <w:tcPr>
            <w:tcW w:w="4503" w:type="dxa"/>
            <w:tcBorders>
              <w:top w:val="dotted" w:sz="4" w:space="0" w:color="auto"/>
              <w:left w:val="nil"/>
              <w:bottom w:val="nil"/>
              <w:right w:val="nil"/>
            </w:tcBorders>
            <w:noWrap/>
            <w:hideMark/>
          </w:tcPr>
          <w:p w14:paraId="2E045DEE" w14:textId="77777777" w:rsidR="00FA481C" w:rsidRDefault="00FA481C" w:rsidP="001C739A">
            <w:pPr>
              <w:spacing w:before="60" w:after="60" w:line="240" w:lineRule="auto"/>
              <w:rPr>
                <w:rFonts w:ascii="Arial" w:hAnsi="Arial" w:cs="Arial"/>
                <w:bCs/>
                <w:sz w:val="16"/>
                <w:szCs w:val="16"/>
              </w:rPr>
            </w:pPr>
            <w:r>
              <w:rPr>
                <w:rFonts w:ascii="Arial" w:hAnsi="Arial" w:cs="Arial"/>
                <w:bCs/>
                <w:sz w:val="16"/>
                <w:szCs w:val="16"/>
              </w:rPr>
              <w:t xml:space="preserve">Community information </w:t>
            </w:r>
          </w:p>
        </w:tc>
        <w:tc>
          <w:tcPr>
            <w:tcW w:w="2126" w:type="dxa"/>
            <w:tcBorders>
              <w:top w:val="dotted" w:sz="4" w:space="0" w:color="auto"/>
              <w:left w:val="nil"/>
              <w:bottom w:val="nil"/>
              <w:right w:val="nil"/>
            </w:tcBorders>
            <w:noWrap/>
            <w:hideMark/>
          </w:tcPr>
          <w:p w14:paraId="789441D5" w14:textId="77777777" w:rsidR="00FA481C" w:rsidRDefault="00FA481C" w:rsidP="001C739A">
            <w:pPr>
              <w:spacing w:before="60" w:after="60" w:line="240" w:lineRule="auto"/>
              <w:jc w:val="right"/>
              <w:rPr>
                <w:rFonts w:ascii="Arial" w:hAnsi="Arial" w:cs="Arial"/>
                <w:bCs/>
                <w:sz w:val="16"/>
                <w:szCs w:val="16"/>
              </w:rPr>
            </w:pPr>
            <w:r>
              <w:rPr>
                <w:rFonts w:ascii="Arial" w:hAnsi="Arial" w:cs="Arial"/>
                <w:bCs/>
                <w:sz w:val="16"/>
                <w:szCs w:val="16"/>
              </w:rPr>
              <w:t>303</w:t>
            </w:r>
          </w:p>
        </w:tc>
        <w:tc>
          <w:tcPr>
            <w:tcW w:w="1276" w:type="dxa"/>
            <w:tcBorders>
              <w:top w:val="dotted" w:sz="4" w:space="0" w:color="auto"/>
              <w:left w:val="nil"/>
              <w:bottom w:val="nil"/>
              <w:right w:val="nil"/>
            </w:tcBorders>
            <w:noWrap/>
            <w:hideMark/>
          </w:tcPr>
          <w:p w14:paraId="6AAE886E" w14:textId="77777777" w:rsidR="00FA481C" w:rsidRDefault="00FA481C" w:rsidP="001C739A">
            <w:pPr>
              <w:spacing w:before="60" w:after="60" w:line="240" w:lineRule="auto"/>
              <w:jc w:val="right"/>
              <w:rPr>
                <w:rFonts w:ascii="Arial" w:hAnsi="Arial" w:cs="Arial"/>
                <w:bCs/>
                <w:sz w:val="16"/>
                <w:szCs w:val="16"/>
              </w:rPr>
            </w:pPr>
            <w:r>
              <w:rPr>
                <w:rFonts w:ascii="Arial" w:hAnsi="Arial" w:cs="Arial"/>
                <w:bCs/>
                <w:sz w:val="16"/>
                <w:szCs w:val="16"/>
              </w:rPr>
              <w:t>34</w:t>
            </w:r>
          </w:p>
        </w:tc>
      </w:tr>
      <w:tr w:rsidR="00FA481C" w14:paraId="6D582480" w14:textId="77777777" w:rsidTr="001C739A">
        <w:trPr>
          <w:trHeight w:val="300"/>
        </w:trPr>
        <w:tc>
          <w:tcPr>
            <w:tcW w:w="4503" w:type="dxa"/>
            <w:tcBorders>
              <w:top w:val="nil"/>
              <w:left w:val="nil"/>
              <w:bottom w:val="nil"/>
              <w:right w:val="nil"/>
            </w:tcBorders>
            <w:noWrap/>
            <w:hideMark/>
          </w:tcPr>
          <w:p w14:paraId="6754D6F3" w14:textId="77777777" w:rsidR="00FA481C" w:rsidRDefault="00FA481C" w:rsidP="001C739A">
            <w:pPr>
              <w:spacing w:before="60" w:after="60" w:line="240" w:lineRule="auto"/>
              <w:rPr>
                <w:rFonts w:ascii="Arial" w:hAnsi="Arial" w:cs="Arial"/>
                <w:bCs/>
                <w:sz w:val="16"/>
                <w:szCs w:val="16"/>
              </w:rPr>
            </w:pPr>
            <w:proofErr w:type="spellStart"/>
            <w:r>
              <w:rPr>
                <w:rFonts w:ascii="Arial" w:hAnsi="Arial" w:cs="Arial"/>
                <w:bCs/>
                <w:sz w:val="16"/>
                <w:szCs w:val="16"/>
              </w:rPr>
              <w:t>Self disclosure</w:t>
            </w:r>
            <w:proofErr w:type="spellEnd"/>
            <w:r>
              <w:rPr>
                <w:rFonts w:ascii="Arial" w:hAnsi="Arial" w:cs="Arial"/>
                <w:bCs/>
                <w:sz w:val="16"/>
                <w:szCs w:val="16"/>
              </w:rPr>
              <w:t xml:space="preserve"> </w:t>
            </w:r>
          </w:p>
        </w:tc>
        <w:tc>
          <w:tcPr>
            <w:tcW w:w="2126" w:type="dxa"/>
            <w:tcBorders>
              <w:top w:val="nil"/>
              <w:left w:val="nil"/>
              <w:bottom w:val="nil"/>
              <w:right w:val="nil"/>
            </w:tcBorders>
            <w:noWrap/>
            <w:hideMark/>
          </w:tcPr>
          <w:p w14:paraId="3CC717FF" w14:textId="77777777" w:rsidR="00FA481C" w:rsidRDefault="00FA481C" w:rsidP="001C739A">
            <w:pPr>
              <w:spacing w:before="60" w:after="60" w:line="240" w:lineRule="auto"/>
              <w:jc w:val="right"/>
              <w:rPr>
                <w:rFonts w:ascii="Arial" w:hAnsi="Arial" w:cs="Arial"/>
                <w:bCs/>
                <w:sz w:val="16"/>
                <w:szCs w:val="16"/>
              </w:rPr>
            </w:pPr>
            <w:r>
              <w:rPr>
                <w:rFonts w:ascii="Arial" w:hAnsi="Arial" w:cs="Arial"/>
                <w:bCs/>
                <w:sz w:val="16"/>
                <w:szCs w:val="16"/>
              </w:rPr>
              <w:t>79</w:t>
            </w:r>
          </w:p>
        </w:tc>
        <w:tc>
          <w:tcPr>
            <w:tcW w:w="1276" w:type="dxa"/>
            <w:tcBorders>
              <w:top w:val="nil"/>
              <w:left w:val="nil"/>
              <w:bottom w:val="nil"/>
              <w:right w:val="nil"/>
            </w:tcBorders>
            <w:noWrap/>
            <w:hideMark/>
          </w:tcPr>
          <w:p w14:paraId="3CF064CF" w14:textId="77777777" w:rsidR="00FA481C" w:rsidRDefault="00FA481C" w:rsidP="001C739A">
            <w:pPr>
              <w:spacing w:before="60" w:after="60" w:line="240" w:lineRule="auto"/>
              <w:jc w:val="right"/>
              <w:rPr>
                <w:rFonts w:ascii="Arial" w:hAnsi="Arial" w:cs="Arial"/>
                <w:bCs/>
                <w:sz w:val="16"/>
                <w:szCs w:val="16"/>
              </w:rPr>
            </w:pPr>
            <w:r>
              <w:rPr>
                <w:rFonts w:ascii="Arial" w:hAnsi="Arial" w:cs="Arial"/>
                <w:bCs/>
                <w:sz w:val="16"/>
                <w:szCs w:val="16"/>
              </w:rPr>
              <w:t>74</w:t>
            </w:r>
          </w:p>
        </w:tc>
      </w:tr>
      <w:tr w:rsidR="00FA481C" w14:paraId="323BCA48" w14:textId="77777777" w:rsidTr="001C739A">
        <w:trPr>
          <w:trHeight w:val="300"/>
        </w:trPr>
        <w:tc>
          <w:tcPr>
            <w:tcW w:w="4503" w:type="dxa"/>
            <w:tcBorders>
              <w:top w:val="nil"/>
              <w:left w:val="nil"/>
              <w:bottom w:val="dotted" w:sz="4" w:space="0" w:color="auto"/>
              <w:right w:val="nil"/>
            </w:tcBorders>
            <w:noWrap/>
          </w:tcPr>
          <w:p w14:paraId="697D3164" w14:textId="77777777" w:rsidR="00FA481C" w:rsidRDefault="00FA481C" w:rsidP="001C739A">
            <w:pPr>
              <w:spacing w:before="60" w:after="60" w:line="240" w:lineRule="auto"/>
              <w:rPr>
                <w:rFonts w:ascii="Arial" w:hAnsi="Arial" w:cs="Arial"/>
                <w:bCs/>
                <w:sz w:val="16"/>
                <w:szCs w:val="16"/>
              </w:rPr>
            </w:pPr>
            <w:r>
              <w:rPr>
                <w:rFonts w:ascii="Arial" w:hAnsi="Arial" w:cs="Arial"/>
                <w:bCs/>
                <w:sz w:val="16"/>
                <w:szCs w:val="16"/>
              </w:rPr>
              <w:t xml:space="preserve">Data matching </w:t>
            </w:r>
          </w:p>
        </w:tc>
        <w:tc>
          <w:tcPr>
            <w:tcW w:w="2126" w:type="dxa"/>
            <w:tcBorders>
              <w:top w:val="nil"/>
              <w:left w:val="nil"/>
              <w:bottom w:val="dotted" w:sz="4" w:space="0" w:color="auto"/>
              <w:right w:val="nil"/>
            </w:tcBorders>
            <w:noWrap/>
          </w:tcPr>
          <w:p w14:paraId="02DCC2F1" w14:textId="77777777" w:rsidR="00FA481C" w:rsidDel="002E7DD0" w:rsidRDefault="00FA481C" w:rsidP="001C739A">
            <w:pPr>
              <w:spacing w:before="60" w:after="60" w:line="240" w:lineRule="auto"/>
              <w:jc w:val="right"/>
              <w:rPr>
                <w:rFonts w:ascii="Arial" w:hAnsi="Arial" w:cs="Arial"/>
                <w:bCs/>
                <w:sz w:val="16"/>
                <w:szCs w:val="16"/>
              </w:rPr>
            </w:pPr>
            <w:r>
              <w:rPr>
                <w:rFonts w:ascii="Arial" w:hAnsi="Arial" w:cs="Arial"/>
                <w:bCs/>
                <w:sz w:val="16"/>
                <w:szCs w:val="16"/>
              </w:rPr>
              <w:t>929</w:t>
            </w:r>
          </w:p>
        </w:tc>
        <w:tc>
          <w:tcPr>
            <w:tcW w:w="1276" w:type="dxa"/>
            <w:tcBorders>
              <w:top w:val="nil"/>
              <w:left w:val="nil"/>
              <w:bottom w:val="dotted" w:sz="4" w:space="0" w:color="auto"/>
              <w:right w:val="nil"/>
            </w:tcBorders>
            <w:noWrap/>
          </w:tcPr>
          <w:p w14:paraId="6A2F4375" w14:textId="77777777" w:rsidR="00FA481C" w:rsidRDefault="00FA481C" w:rsidP="001C739A">
            <w:pPr>
              <w:spacing w:before="60" w:after="60" w:line="240" w:lineRule="auto"/>
              <w:jc w:val="right"/>
              <w:rPr>
                <w:rFonts w:ascii="Arial" w:hAnsi="Arial" w:cs="Arial"/>
                <w:bCs/>
                <w:sz w:val="16"/>
                <w:szCs w:val="16"/>
              </w:rPr>
            </w:pPr>
            <w:r>
              <w:rPr>
                <w:rFonts w:ascii="Arial" w:hAnsi="Arial" w:cs="Arial"/>
                <w:bCs/>
                <w:sz w:val="16"/>
                <w:szCs w:val="16"/>
              </w:rPr>
              <w:t>430</w:t>
            </w:r>
          </w:p>
        </w:tc>
      </w:tr>
      <w:tr w:rsidR="00FA481C" w14:paraId="102B5730" w14:textId="77777777" w:rsidTr="001C739A">
        <w:trPr>
          <w:trHeight w:val="300"/>
        </w:trPr>
        <w:tc>
          <w:tcPr>
            <w:tcW w:w="4503" w:type="dxa"/>
            <w:tcBorders>
              <w:top w:val="nil"/>
              <w:left w:val="nil"/>
              <w:bottom w:val="dotted" w:sz="4" w:space="0" w:color="auto"/>
              <w:right w:val="nil"/>
            </w:tcBorders>
            <w:noWrap/>
            <w:hideMark/>
          </w:tcPr>
          <w:p w14:paraId="3ACBF06B" w14:textId="77777777" w:rsidR="00FA481C" w:rsidRDefault="00FA481C" w:rsidP="001C739A">
            <w:pPr>
              <w:spacing w:before="60" w:after="60" w:line="240" w:lineRule="auto"/>
              <w:rPr>
                <w:rFonts w:ascii="Arial" w:hAnsi="Arial" w:cs="Arial"/>
                <w:bCs/>
                <w:sz w:val="16"/>
                <w:szCs w:val="16"/>
              </w:rPr>
            </w:pPr>
            <w:r>
              <w:rPr>
                <w:rFonts w:ascii="Arial" w:hAnsi="Arial" w:cs="Arial"/>
                <w:bCs/>
                <w:sz w:val="16"/>
                <w:szCs w:val="16"/>
              </w:rPr>
              <w:t xml:space="preserve">Other referrals </w:t>
            </w:r>
          </w:p>
        </w:tc>
        <w:tc>
          <w:tcPr>
            <w:tcW w:w="2126" w:type="dxa"/>
            <w:tcBorders>
              <w:top w:val="nil"/>
              <w:left w:val="nil"/>
              <w:bottom w:val="dotted" w:sz="4" w:space="0" w:color="auto"/>
              <w:right w:val="nil"/>
            </w:tcBorders>
            <w:noWrap/>
            <w:hideMark/>
          </w:tcPr>
          <w:p w14:paraId="3CD2FE8E" w14:textId="77777777" w:rsidR="00FA481C" w:rsidRDefault="00FA481C" w:rsidP="001C739A">
            <w:pPr>
              <w:spacing w:before="60" w:after="60" w:line="240" w:lineRule="auto"/>
              <w:jc w:val="right"/>
              <w:rPr>
                <w:rFonts w:ascii="Arial" w:hAnsi="Arial" w:cs="Arial"/>
                <w:bCs/>
                <w:sz w:val="16"/>
                <w:szCs w:val="16"/>
              </w:rPr>
            </w:pPr>
            <w:r>
              <w:rPr>
                <w:rFonts w:ascii="Arial" w:hAnsi="Arial" w:cs="Arial"/>
                <w:bCs/>
                <w:sz w:val="16"/>
                <w:szCs w:val="16"/>
              </w:rPr>
              <w:t>98</w:t>
            </w:r>
          </w:p>
        </w:tc>
        <w:tc>
          <w:tcPr>
            <w:tcW w:w="1276" w:type="dxa"/>
            <w:tcBorders>
              <w:top w:val="nil"/>
              <w:left w:val="nil"/>
              <w:bottom w:val="dotted" w:sz="4" w:space="0" w:color="auto"/>
              <w:right w:val="nil"/>
            </w:tcBorders>
            <w:noWrap/>
            <w:hideMark/>
          </w:tcPr>
          <w:p w14:paraId="057C6495" w14:textId="77777777" w:rsidR="00FA481C" w:rsidRDefault="00FA481C" w:rsidP="001C739A">
            <w:pPr>
              <w:spacing w:before="60" w:after="60" w:line="240" w:lineRule="auto"/>
              <w:jc w:val="right"/>
              <w:rPr>
                <w:rFonts w:ascii="Arial" w:hAnsi="Arial" w:cs="Arial"/>
                <w:bCs/>
                <w:sz w:val="16"/>
                <w:szCs w:val="16"/>
              </w:rPr>
            </w:pPr>
            <w:r>
              <w:rPr>
                <w:rFonts w:ascii="Arial" w:hAnsi="Arial" w:cs="Arial"/>
                <w:bCs/>
                <w:sz w:val="16"/>
                <w:szCs w:val="16"/>
              </w:rPr>
              <w:t>11</w:t>
            </w:r>
          </w:p>
        </w:tc>
      </w:tr>
      <w:tr w:rsidR="00FA481C" w14:paraId="0763D28C" w14:textId="77777777" w:rsidTr="001C739A">
        <w:trPr>
          <w:trHeight w:val="300"/>
        </w:trPr>
        <w:tc>
          <w:tcPr>
            <w:tcW w:w="4503" w:type="dxa"/>
            <w:tcBorders>
              <w:top w:val="dotted" w:sz="4" w:space="0" w:color="auto"/>
              <w:left w:val="nil"/>
              <w:bottom w:val="dotted" w:sz="4" w:space="0" w:color="auto"/>
              <w:right w:val="nil"/>
            </w:tcBorders>
            <w:noWrap/>
            <w:hideMark/>
          </w:tcPr>
          <w:p w14:paraId="69BC829C" w14:textId="77777777" w:rsidR="00FA481C" w:rsidRDefault="00FA481C" w:rsidP="001C739A">
            <w:pPr>
              <w:spacing w:before="60" w:after="60" w:line="240" w:lineRule="auto"/>
              <w:rPr>
                <w:rFonts w:ascii="Arial" w:hAnsi="Arial" w:cs="Arial"/>
                <w:bCs/>
                <w:sz w:val="16"/>
                <w:szCs w:val="16"/>
              </w:rPr>
            </w:pPr>
            <w:r>
              <w:rPr>
                <w:rFonts w:ascii="Arial" w:hAnsi="Arial" w:cs="Arial"/>
                <w:bCs/>
                <w:sz w:val="16"/>
                <w:szCs w:val="16"/>
              </w:rPr>
              <w:t xml:space="preserve">Total </w:t>
            </w:r>
          </w:p>
        </w:tc>
        <w:tc>
          <w:tcPr>
            <w:tcW w:w="2126" w:type="dxa"/>
            <w:tcBorders>
              <w:top w:val="dotted" w:sz="4" w:space="0" w:color="auto"/>
              <w:left w:val="nil"/>
              <w:bottom w:val="dotted" w:sz="4" w:space="0" w:color="auto"/>
              <w:right w:val="nil"/>
            </w:tcBorders>
            <w:noWrap/>
            <w:hideMark/>
          </w:tcPr>
          <w:p w14:paraId="7FEB8105" w14:textId="77777777" w:rsidR="00FA481C" w:rsidRDefault="00FA481C" w:rsidP="001C739A">
            <w:pPr>
              <w:spacing w:before="60" w:after="60" w:line="240" w:lineRule="auto"/>
              <w:jc w:val="right"/>
              <w:rPr>
                <w:rFonts w:ascii="Arial" w:hAnsi="Arial" w:cs="Arial"/>
                <w:bCs/>
                <w:sz w:val="16"/>
                <w:szCs w:val="16"/>
              </w:rPr>
            </w:pPr>
            <w:r>
              <w:rPr>
                <w:rFonts w:ascii="Arial" w:hAnsi="Arial" w:cs="Arial"/>
                <w:bCs/>
                <w:sz w:val="16"/>
                <w:szCs w:val="16"/>
              </w:rPr>
              <w:t>1,409</w:t>
            </w:r>
          </w:p>
        </w:tc>
        <w:tc>
          <w:tcPr>
            <w:tcW w:w="1276" w:type="dxa"/>
            <w:tcBorders>
              <w:top w:val="dotted" w:sz="4" w:space="0" w:color="auto"/>
              <w:left w:val="nil"/>
              <w:bottom w:val="dotted" w:sz="4" w:space="0" w:color="auto"/>
              <w:right w:val="nil"/>
            </w:tcBorders>
            <w:noWrap/>
            <w:hideMark/>
          </w:tcPr>
          <w:p w14:paraId="08C1A1AB" w14:textId="77777777" w:rsidR="00FA481C" w:rsidRDefault="00FA481C" w:rsidP="001C739A">
            <w:pPr>
              <w:spacing w:before="60" w:after="60" w:line="240" w:lineRule="auto"/>
              <w:jc w:val="right"/>
              <w:rPr>
                <w:rFonts w:ascii="Arial" w:hAnsi="Arial" w:cs="Arial"/>
                <w:bCs/>
                <w:sz w:val="16"/>
                <w:szCs w:val="16"/>
              </w:rPr>
            </w:pPr>
            <w:r>
              <w:rPr>
                <w:rFonts w:ascii="Arial" w:hAnsi="Arial" w:cs="Arial"/>
                <w:bCs/>
                <w:sz w:val="16"/>
                <w:szCs w:val="16"/>
              </w:rPr>
              <w:t>549</w:t>
            </w:r>
          </w:p>
        </w:tc>
      </w:tr>
    </w:tbl>
    <w:p w14:paraId="1B910BE5" w14:textId="566A647C" w:rsidR="00FA481C" w:rsidRPr="00CB3F09" w:rsidRDefault="00A83C30" w:rsidP="00B82F4F">
      <w:pPr>
        <w:pStyle w:val="ChartandTableFootnoteAlpha"/>
        <w:numPr>
          <w:ilvl w:val="0"/>
          <w:numId w:val="34"/>
        </w:numPr>
      </w:pPr>
      <w:bookmarkStart w:id="199" w:name="_Toc497163065"/>
      <w:r w:rsidRPr="00CB3F09">
        <w:t>T</w:t>
      </w:r>
      <w:r w:rsidR="00FA481C" w:rsidRPr="00CB3F09">
        <w:t xml:space="preserve">he number of completed investigations and the number of breaches are not directly comparable. The number of breaches is reported by residential property and the number of completed investigations by case. There may be multiple properties involved in </w:t>
      </w:r>
      <w:r w:rsidR="009B564C" w:rsidRPr="00CB3F09">
        <w:t>a</w:t>
      </w:r>
      <w:r w:rsidR="00FA481C" w:rsidRPr="00CB3F09">
        <w:t xml:space="preserve"> case or m</w:t>
      </w:r>
      <w:r w:rsidR="009B564C" w:rsidRPr="00CB3F09">
        <w:t>ultiple</w:t>
      </w:r>
      <w:r w:rsidR="00FA481C" w:rsidRPr="00CB3F09">
        <w:t xml:space="preserve"> case</w:t>
      </w:r>
      <w:r w:rsidR="009B564C" w:rsidRPr="00CB3F09">
        <w:t>s</w:t>
      </w:r>
      <w:r w:rsidR="00FA481C" w:rsidRPr="00CB3F09">
        <w:t xml:space="preserve"> per property in the event of joint owners.</w:t>
      </w:r>
      <w:bookmarkEnd w:id="199"/>
    </w:p>
    <w:p w14:paraId="72B4CB64" w14:textId="77777777" w:rsidR="00077290" w:rsidRDefault="00077290">
      <w:pPr>
        <w:spacing w:after="200" w:line="276" w:lineRule="auto"/>
        <w:jc w:val="left"/>
        <w:rPr>
          <w:rFonts w:ascii="Calibri" w:hAnsi="Calibri"/>
          <w:b/>
          <w:bCs/>
          <w:color w:val="003E74"/>
          <w:sz w:val="22"/>
          <w:szCs w:val="22"/>
        </w:rPr>
      </w:pPr>
      <w:r>
        <w:br w:type="page"/>
      </w:r>
    </w:p>
    <w:p w14:paraId="1AA235A3" w14:textId="2EA44A94" w:rsidR="00FA481C" w:rsidRDefault="00FA481C" w:rsidP="00077290">
      <w:pPr>
        <w:pStyle w:val="TableHeading"/>
        <w:spacing w:before="240"/>
      </w:pPr>
      <w:r>
        <w:lastRenderedPageBreak/>
        <w:t xml:space="preserve">Table </w:t>
      </w:r>
      <w:r w:rsidR="005E0008">
        <w:t>5.</w:t>
      </w:r>
      <w:r>
        <w:t xml:space="preserve">4: </w:t>
      </w:r>
      <w:r w:rsidR="00022A27" w:rsidRPr="004A5FC1">
        <w:t>Infringement notices</w:t>
      </w:r>
      <w:r w:rsidRPr="004A5FC1">
        <w:t xml:space="preserve"> issued </w:t>
      </w:r>
      <w:r w:rsidR="00A83C30">
        <w:t>in relation to r</w:t>
      </w:r>
      <w:r w:rsidR="00A83C30" w:rsidRPr="00637250">
        <w:t>esidential real estate</w:t>
      </w:r>
      <w:r w:rsidR="00A83C30">
        <w:t xml:space="preserve">, </w:t>
      </w:r>
      <w:r w:rsidRPr="004A5FC1">
        <w:t>2016</w:t>
      </w:r>
      <w:r w:rsidR="00CD7E4F">
        <w:t>–</w:t>
      </w:r>
      <w:r w:rsidRPr="004A5FC1">
        <w:t>17</w:t>
      </w:r>
    </w:p>
    <w:tbl>
      <w:tblPr>
        <w:tblW w:w="7763" w:type="dxa"/>
        <w:tblBorders>
          <w:top w:val="single" w:sz="12" w:space="0" w:color="000000"/>
          <w:bottom w:val="single" w:sz="12" w:space="0" w:color="000000"/>
        </w:tblBorders>
        <w:tblCellMar>
          <w:top w:w="28" w:type="dxa"/>
          <w:bottom w:w="28" w:type="dxa"/>
        </w:tblCellMar>
        <w:tblLook w:val="04A0" w:firstRow="1" w:lastRow="0" w:firstColumn="1" w:lastColumn="0" w:noHBand="0" w:noVBand="1"/>
      </w:tblPr>
      <w:tblGrid>
        <w:gridCol w:w="5495"/>
        <w:gridCol w:w="992"/>
        <w:gridCol w:w="1276"/>
      </w:tblGrid>
      <w:tr w:rsidR="00FA481C" w14:paraId="06D7DFF3" w14:textId="77777777" w:rsidTr="001C739A">
        <w:trPr>
          <w:trHeight w:val="255"/>
        </w:trPr>
        <w:tc>
          <w:tcPr>
            <w:tcW w:w="5495" w:type="dxa"/>
            <w:tcBorders>
              <w:top w:val="dotted" w:sz="4" w:space="0" w:color="auto"/>
              <w:left w:val="nil"/>
              <w:bottom w:val="dotted" w:sz="4" w:space="0" w:color="auto"/>
              <w:right w:val="nil"/>
            </w:tcBorders>
            <w:noWrap/>
            <w:hideMark/>
          </w:tcPr>
          <w:p w14:paraId="5BF06EF4" w14:textId="77777777" w:rsidR="00FA481C" w:rsidRPr="009B1434" w:rsidRDefault="00FA481C" w:rsidP="001C739A">
            <w:pPr>
              <w:pStyle w:val="TableTextLeft"/>
              <w:spacing w:line="276" w:lineRule="auto"/>
              <w:rPr>
                <w:rFonts w:ascii="Arial" w:hAnsi="Arial"/>
                <w:lang w:eastAsia="en-US"/>
              </w:rPr>
            </w:pPr>
            <w:r w:rsidRPr="009B1434">
              <w:rPr>
                <w:rFonts w:ascii="Arial" w:hAnsi="Arial"/>
                <w:lang w:eastAsia="en-US"/>
              </w:rPr>
              <w:t>Penalty type</w:t>
            </w:r>
          </w:p>
        </w:tc>
        <w:tc>
          <w:tcPr>
            <w:tcW w:w="992" w:type="dxa"/>
            <w:tcBorders>
              <w:top w:val="dotted" w:sz="4" w:space="0" w:color="auto"/>
              <w:left w:val="nil"/>
              <w:bottom w:val="dotted" w:sz="4" w:space="0" w:color="auto"/>
              <w:right w:val="nil"/>
            </w:tcBorders>
            <w:noWrap/>
            <w:hideMark/>
          </w:tcPr>
          <w:p w14:paraId="31DD5E15" w14:textId="77777777" w:rsidR="00FA481C" w:rsidRPr="009B1434" w:rsidRDefault="00FA481C" w:rsidP="001C739A">
            <w:pPr>
              <w:pStyle w:val="TableTextRight"/>
              <w:spacing w:line="276" w:lineRule="auto"/>
              <w:rPr>
                <w:rFonts w:ascii="Arial" w:hAnsi="Arial"/>
                <w:lang w:eastAsia="en-US"/>
              </w:rPr>
            </w:pPr>
            <w:r w:rsidRPr="009B1434">
              <w:rPr>
                <w:rFonts w:ascii="Arial" w:hAnsi="Arial"/>
                <w:lang w:eastAsia="en-US"/>
              </w:rPr>
              <w:t xml:space="preserve">No. </w:t>
            </w:r>
          </w:p>
        </w:tc>
        <w:tc>
          <w:tcPr>
            <w:tcW w:w="1276" w:type="dxa"/>
            <w:tcBorders>
              <w:top w:val="dotted" w:sz="4" w:space="0" w:color="auto"/>
              <w:left w:val="nil"/>
              <w:bottom w:val="dotted" w:sz="4" w:space="0" w:color="auto"/>
              <w:right w:val="nil"/>
            </w:tcBorders>
            <w:noWrap/>
            <w:hideMark/>
          </w:tcPr>
          <w:p w14:paraId="146F247F" w14:textId="14A956B7" w:rsidR="00FA481C" w:rsidRPr="009B1434" w:rsidRDefault="001A28CE" w:rsidP="001C739A">
            <w:pPr>
              <w:pStyle w:val="TableTextRight"/>
              <w:spacing w:line="276" w:lineRule="auto"/>
              <w:rPr>
                <w:rFonts w:ascii="Arial" w:hAnsi="Arial"/>
                <w:lang w:eastAsia="en-US"/>
              </w:rPr>
            </w:pPr>
            <w:r>
              <w:rPr>
                <w:rFonts w:ascii="Arial" w:hAnsi="Arial"/>
                <w:lang w:eastAsia="en-US"/>
              </w:rPr>
              <w:t xml:space="preserve">Total </w:t>
            </w:r>
            <w:r w:rsidR="00FA481C" w:rsidRPr="009B1434">
              <w:rPr>
                <w:rFonts w:ascii="Arial" w:hAnsi="Arial"/>
                <w:lang w:eastAsia="en-US"/>
              </w:rPr>
              <w:t>Value $</w:t>
            </w:r>
          </w:p>
        </w:tc>
      </w:tr>
      <w:tr w:rsidR="00FA481C" w14:paraId="2A245F51" w14:textId="77777777" w:rsidTr="001C739A">
        <w:trPr>
          <w:trHeight w:val="255"/>
        </w:trPr>
        <w:tc>
          <w:tcPr>
            <w:tcW w:w="5495" w:type="dxa"/>
            <w:tcBorders>
              <w:top w:val="dotted" w:sz="4" w:space="0" w:color="auto"/>
              <w:left w:val="nil"/>
              <w:bottom w:val="dotted" w:sz="4" w:space="0" w:color="auto"/>
              <w:right w:val="nil"/>
            </w:tcBorders>
            <w:noWrap/>
            <w:hideMark/>
          </w:tcPr>
          <w:p w14:paraId="22B72F84" w14:textId="77777777" w:rsidR="00FA481C" w:rsidRPr="009B1434" w:rsidRDefault="00FA481C" w:rsidP="001C739A">
            <w:pPr>
              <w:pStyle w:val="TableTextLeft"/>
              <w:spacing w:line="276" w:lineRule="auto"/>
              <w:rPr>
                <w:rFonts w:ascii="Arial" w:hAnsi="Arial"/>
                <w:lang w:eastAsia="en-US"/>
              </w:rPr>
            </w:pPr>
            <w:r w:rsidRPr="009B1434">
              <w:rPr>
                <w:rFonts w:ascii="Arial" w:hAnsi="Arial"/>
                <w:lang w:eastAsia="en-US"/>
              </w:rPr>
              <w:t>Tier 1 infringement</w:t>
            </w:r>
          </w:p>
        </w:tc>
        <w:tc>
          <w:tcPr>
            <w:tcW w:w="992" w:type="dxa"/>
            <w:tcBorders>
              <w:top w:val="dotted" w:sz="4" w:space="0" w:color="auto"/>
              <w:left w:val="nil"/>
              <w:bottom w:val="dotted" w:sz="4" w:space="0" w:color="auto"/>
              <w:right w:val="nil"/>
            </w:tcBorders>
            <w:noWrap/>
            <w:hideMark/>
          </w:tcPr>
          <w:p w14:paraId="68A6A44E" w14:textId="77777777" w:rsidR="00FA481C" w:rsidRPr="009B1434" w:rsidRDefault="00FA481C" w:rsidP="001C739A">
            <w:pPr>
              <w:pStyle w:val="TableTextRight"/>
              <w:spacing w:line="276" w:lineRule="auto"/>
              <w:rPr>
                <w:rFonts w:ascii="Arial" w:hAnsi="Arial"/>
                <w:lang w:eastAsia="en-US"/>
              </w:rPr>
            </w:pPr>
            <w:r w:rsidRPr="009B1434">
              <w:rPr>
                <w:rFonts w:ascii="Arial" w:hAnsi="Arial"/>
                <w:lang w:eastAsia="en-US"/>
              </w:rPr>
              <w:t>349</w:t>
            </w:r>
          </w:p>
        </w:tc>
        <w:tc>
          <w:tcPr>
            <w:tcW w:w="1276" w:type="dxa"/>
            <w:tcBorders>
              <w:top w:val="dotted" w:sz="4" w:space="0" w:color="auto"/>
              <w:left w:val="nil"/>
              <w:bottom w:val="dotted" w:sz="4" w:space="0" w:color="auto"/>
              <w:right w:val="nil"/>
            </w:tcBorders>
            <w:noWrap/>
            <w:hideMark/>
          </w:tcPr>
          <w:p w14:paraId="5BFA3DDE" w14:textId="77777777" w:rsidR="00FA481C" w:rsidRPr="009B1434" w:rsidRDefault="00FA481C" w:rsidP="001C739A">
            <w:pPr>
              <w:pStyle w:val="TableTextRight"/>
              <w:spacing w:line="276" w:lineRule="auto"/>
              <w:rPr>
                <w:rFonts w:ascii="Arial" w:hAnsi="Arial"/>
                <w:lang w:eastAsia="en-US"/>
              </w:rPr>
            </w:pPr>
            <w:r w:rsidRPr="009B1434">
              <w:rPr>
                <w:rFonts w:ascii="Arial" w:hAnsi="Arial"/>
                <w:lang w:eastAsia="en-US"/>
              </w:rPr>
              <w:t>924,540</w:t>
            </w:r>
          </w:p>
        </w:tc>
      </w:tr>
      <w:tr w:rsidR="00FA481C" w14:paraId="42A17E17" w14:textId="77777777" w:rsidTr="001C739A">
        <w:trPr>
          <w:trHeight w:val="255"/>
        </w:trPr>
        <w:tc>
          <w:tcPr>
            <w:tcW w:w="5495" w:type="dxa"/>
            <w:tcBorders>
              <w:top w:val="dotted" w:sz="4" w:space="0" w:color="auto"/>
              <w:left w:val="nil"/>
              <w:bottom w:val="dotted" w:sz="4" w:space="0" w:color="auto"/>
              <w:right w:val="nil"/>
            </w:tcBorders>
            <w:noWrap/>
            <w:hideMark/>
          </w:tcPr>
          <w:p w14:paraId="50696EF5" w14:textId="77777777" w:rsidR="00FA481C" w:rsidRPr="009B1434" w:rsidRDefault="00FA481C" w:rsidP="001C739A">
            <w:pPr>
              <w:pStyle w:val="TableTextLeft"/>
              <w:spacing w:line="276" w:lineRule="auto"/>
              <w:rPr>
                <w:rFonts w:ascii="Arial" w:hAnsi="Arial"/>
                <w:lang w:eastAsia="en-US"/>
              </w:rPr>
            </w:pPr>
            <w:r w:rsidRPr="009B1434">
              <w:rPr>
                <w:rFonts w:ascii="Arial" w:hAnsi="Arial"/>
                <w:lang w:eastAsia="en-US"/>
              </w:rPr>
              <w:t>Tier 2 infringement</w:t>
            </w:r>
          </w:p>
        </w:tc>
        <w:tc>
          <w:tcPr>
            <w:tcW w:w="992" w:type="dxa"/>
            <w:tcBorders>
              <w:top w:val="dotted" w:sz="4" w:space="0" w:color="auto"/>
              <w:left w:val="nil"/>
              <w:bottom w:val="dotted" w:sz="4" w:space="0" w:color="auto"/>
              <w:right w:val="nil"/>
            </w:tcBorders>
            <w:noWrap/>
            <w:hideMark/>
          </w:tcPr>
          <w:p w14:paraId="77D2803F" w14:textId="77777777" w:rsidR="00FA481C" w:rsidRPr="009B1434" w:rsidRDefault="00FA481C" w:rsidP="001C739A">
            <w:pPr>
              <w:pStyle w:val="TableTextRight"/>
              <w:spacing w:line="276" w:lineRule="auto"/>
              <w:rPr>
                <w:rFonts w:ascii="Arial" w:hAnsi="Arial"/>
                <w:lang w:eastAsia="en-US"/>
              </w:rPr>
            </w:pPr>
            <w:r w:rsidRPr="009B1434">
              <w:rPr>
                <w:rFonts w:ascii="Arial" w:hAnsi="Arial"/>
                <w:lang w:eastAsia="en-US"/>
              </w:rPr>
              <w:t>68</w:t>
            </w:r>
          </w:p>
        </w:tc>
        <w:tc>
          <w:tcPr>
            <w:tcW w:w="1276" w:type="dxa"/>
            <w:tcBorders>
              <w:top w:val="dotted" w:sz="4" w:space="0" w:color="auto"/>
              <w:left w:val="nil"/>
              <w:bottom w:val="dotted" w:sz="4" w:space="0" w:color="auto"/>
              <w:right w:val="nil"/>
            </w:tcBorders>
            <w:noWrap/>
            <w:hideMark/>
          </w:tcPr>
          <w:p w14:paraId="618EE985" w14:textId="77777777" w:rsidR="00FA481C" w:rsidRPr="009B1434" w:rsidRDefault="00FA481C" w:rsidP="001C739A">
            <w:pPr>
              <w:pStyle w:val="TableTextRight"/>
              <w:spacing w:line="276" w:lineRule="auto"/>
              <w:rPr>
                <w:rFonts w:ascii="Arial" w:hAnsi="Arial"/>
                <w:lang w:eastAsia="en-US"/>
              </w:rPr>
            </w:pPr>
            <w:r w:rsidRPr="009B1434">
              <w:rPr>
                <w:rFonts w:ascii="Arial" w:hAnsi="Arial"/>
                <w:lang w:eastAsia="en-US"/>
              </w:rPr>
              <w:t>820,800</w:t>
            </w:r>
          </w:p>
        </w:tc>
      </w:tr>
      <w:tr w:rsidR="00FA481C" w14:paraId="15060554" w14:textId="77777777" w:rsidTr="001C739A">
        <w:trPr>
          <w:trHeight w:val="255"/>
        </w:trPr>
        <w:tc>
          <w:tcPr>
            <w:tcW w:w="5495" w:type="dxa"/>
            <w:tcBorders>
              <w:top w:val="dotted" w:sz="4" w:space="0" w:color="auto"/>
              <w:left w:val="nil"/>
              <w:bottom w:val="dotted" w:sz="4" w:space="0" w:color="auto"/>
              <w:right w:val="nil"/>
            </w:tcBorders>
            <w:noWrap/>
            <w:hideMark/>
          </w:tcPr>
          <w:p w14:paraId="5C6E73E4" w14:textId="77777777" w:rsidR="00FA481C" w:rsidRPr="009B1434" w:rsidRDefault="00FA481C" w:rsidP="001C739A">
            <w:pPr>
              <w:pStyle w:val="TableTextLeft"/>
              <w:spacing w:line="276" w:lineRule="auto"/>
              <w:rPr>
                <w:rFonts w:ascii="Arial" w:hAnsi="Arial"/>
                <w:lang w:eastAsia="en-US"/>
              </w:rPr>
            </w:pPr>
            <w:r w:rsidRPr="009B1434">
              <w:rPr>
                <w:rFonts w:ascii="Arial" w:hAnsi="Arial"/>
                <w:lang w:eastAsia="en-US"/>
              </w:rPr>
              <w:t xml:space="preserve">Total </w:t>
            </w:r>
          </w:p>
        </w:tc>
        <w:tc>
          <w:tcPr>
            <w:tcW w:w="992" w:type="dxa"/>
            <w:tcBorders>
              <w:top w:val="dotted" w:sz="4" w:space="0" w:color="auto"/>
              <w:left w:val="nil"/>
              <w:bottom w:val="dotted" w:sz="4" w:space="0" w:color="auto"/>
              <w:right w:val="nil"/>
            </w:tcBorders>
            <w:noWrap/>
            <w:hideMark/>
          </w:tcPr>
          <w:p w14:paraId="1460EB11" w14:textId="3234B516" w:rsidR="00FA481C" w:rsidRPr="009B1434" w:rsidRDefault="00AA18F4" w:rsidP="001C739A">
            <w:pPr>
              <w:pStyle w:val="TableTextRight"/>
              <w:spacing w:line="276" w:lineRule="auto"/>
              <w:rPr>
                <w:rFonts w:ascii="Arial" w:hAnsi="Arial"/>
                <w:lang w:eastAsia="en-US"/>
              </w:rPr>
            </w:pPr>
            <w:r>
              <w:rPr>
                <w:rFonts w:ascii="Arial" w:hAnsi="Arial"/>
                <w:lang w:eastAsia="en-US"/>
              </w:rPr>
              <w:t>417</w:t>
            </w:r>
          </w:p>
        </w:tc>
        <w:tc>
          <w:tcPr>
            <w:tcW w:w="1276" w:type="dxa"/>
            <w:tcBorders>
              <w:top w:val="dotted" w:sz="4" w:space="0" w:color="auto"/>
              <w:left w:val="nil"/>
              <w:bottom w:val="dotted" w:sz="4" w:space="0" w:color="auto"/>
              <w:right w:val="nil"/>
            </w:tcBorders>
            <w:noWrap/>
            <w:hideMark/>
          </w:tcPr>
          <w:p w14:paraId="65269A9A" w14:textId="1AF24468" w:rsidR="00FA481C" w:rsidRPr="009B1434" w:rsidRDefault="00AA18F4" w:rsidP="001C739A">
            <w:pPr>
              <w:pStyle w:val="TableTextRight"/>
              <w:spacing w:line="276" w:lineRule="auto"/>
              <w:rPr>
                <w:rFonts w:ascii="Arial" w:hAnsi="Arial"/>
                <w:lang w:eastAsia="en-US"/>
              </w:rPr>
            </w:pPr>
            <w:r>
              <w:rPr>
                <w:rFonts w:ascii="Arial" w:hAnsi="Arial"/>
                <w:lang w:eastAsia="en-US"/>
              </w:rPr>
              <w:t>1</w:t>
            </w:r>
            <w:r w:rsidR="00FA481C" w:rsidRPr="009B1434">
              <w:rPr>
                <w:rFonts w:ascii="Arial" w:hAnsi="Arial"/>
                <w:lang w:eastAsia="en-US"/>
              </w:rPr>
              <w:t>,</w:t>
            </w:r>
            <w:r>
              <w:rPr>
                <w:rFonts w:ascii="Arial" w:hAnsi="Arial"/>
                <w:lang w:eastAsia="en-US"/>
              </w:rPr>
              <w:t>745</w:t>
            </w:r>
            <w:r w:rsidR="00FA481C" w:rsidRPr="009B1434">
              <w:rPr>
                <w:rFonts w:ascii="Arial" w:hAnsi="Arial"/>
                <w:lang w:eastAsia="en-US"/>
              </w:rPr>
              <w:t>,</w:t>
            </w:r>
            <w:r>
              <w:rPr>
                <w:rFonts w:ascii="Arial" w:hAnsi="Arial"/>
                <w:lang w:eastAsia="en-US"/>
              </w:rPr>
              <w:t>340</w:t>
            </w:r>
          </w:p>
        </w:tc>
      </w:tr>
    </w:tbl>
    <w:p w14:paraId="71EB16AC" w14:textId="29F140A4" w:rsidR="002700A7" w:rsidRDefault="002700A7" w:rsidP="00CB3F09">
      <w:pPr>
        <w:pStyle w:val="StyleChartorTableNoteLeft0cmHanging1cm"/>
      </w:pPr>
      <w:r>
        <w:t xml:space="preserve">Notes: </w:t>
      </w:r>
      <w:r w:rsidR="00BD0041" w:rsidRPr="00BD0041">
        <w:t>Tier 1 infringement notice</w:t>
      </w:r>
      <w:r>
        <w:t>s</w:t>
      </w:r>
      <w:r w:rsidR="00BD0041" w:rsidRPr="00BD0041">
        <w:t xml:space="preserve"> </w:t>
      </w:r>
      <w:r>
        <w:t>are</w:t>
      </w:r>
      <w:r w:rsidR="00BD0041">
        <w:t xml:space="preserve"> </w:t>
      </w:r>
      <w:r>
        <w:t>issued where the breach is self-</w:t>
      </w:r>
      <w:r w:rsidR="00BD0041">
        <w:t>reported.</w:t>
      </w:r>
    </w:p>
    <w:p w14:paraId="52D4E62D" w14:textId="64A116B0" w:rsidR="00E0502E" w:rsidRPr="00BD0041" w:rsidRDefault="00BD0041" w:rsidP="00CB3F09">
      <w:pPr>
        <w:pStyle w:val="StyleChartorTableNoteLeft0cmHanging1cm"/>
        <w:ind w:firstLine="0"/>
      </w:pPr>
      <w:r w:rsidRPr="00BD0041">
        <w:t>Tier 2 infringement notice</w:t>
      </w:r>
      <w:r w:rsidR="002700A7">
        <w:t>s are</w:t>
      </w:r>
      <w:r w:rsidRPr="00BD0041">
        <w:t xml:space="preserve"> issued wh</w:t>
      </w:r>
      <w:r w:rsidR="002700A7">
        <w:t xml:space="preserve">ere the breach is identified by the </w:t>
      </w:r>
      <w:r w:rsidRPr="00BD0041">
        <w:t>ATO’s compliance activity.</w:t>
      </w:r>
    </w:p>
    <w:p w14:paraId="6874E420" w14:textId="77777777" w:rsidR="00487AF2" w:rsidRPr="00CB3F09" w:rsidRDefault="00487AF2" w:rsidP="00CB3F09"/>
    <w:p w14:paraId="565F8B36" w14:textId="77777777" w:rsidR="00E0502E" w:rsidRDefault="00E0502E" w:rsidP="00CB3F09">
      <w:pPr>
        <w:sectPr w:rsidR="00E0502E" w:rsidSect="0020758A">
          <w:headerReference w:type="even" r:id="rId98"/>
          <w:headerReference w:type="default" r:id="rId99"/>
          <w:headerReference w:type="first" r:id="rId100"/>
          <w:footerReference w:type="first" r:id="rId101"/>
          <w:type w:val="oddPage"/>
          <w:pgSz w:w="11907" w:h="16840" w:code="9"/>
          <w:pgMar w:top="2466" w:right="2098" w:bottom="2466" w:left="2098" w:header="1899" w:footer="1899" w:gutter="0"/>
          <w:cols w:space="708"/>
          <w:titlePg/>
          <w:docGrid w:linePitch="360"/>
        </w:sectPr>
      </w:pPr>
    </w:p>
    <w:p w14:paraId="683648FD" w14:textId="62E4C9E5" w:rsidR="00A32FF1" w:rsidRDefault="00C230ED" w:rsidP="00C3308A">
      <w:pPr>
        <w:pStyle w:val="ChartGraphic"/>
      </w:pPr>
      <w:bookmarkStart w:id="200" w:name="_Toc512259068"/>
      <w:bookmarkStart w:id="201" w:name="_Toc512523490"/>
      <w:bookmarkStart w:id="202" w:name="_Toc512524859"/>
      <w:bookmarkStart w:id="203" w:name="_Toc513021747"/>
      <w:bookmarkStart w:id="204" w:name="_Toc513122765"/>
      <w:bookmarkStart w:id="205" w:name="_Toc513131335"/>
      <w:r>
        <w:rPr>
          <w:noProof/>
        </w:rPr>
        <w:lastRenderedPageBreak/>
        <w:drawing>
          <wp:inline distT="0" distB="0" distL="0" distR="0" wp14:anchorId="7E224C6D" wp14:editId="5C58EFCA">
            <wp:extent cx="4895088" cy="3060192"/>
            <wp:effectExtent l="0" t="0" r="1270" b="698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RB part page9.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4895088" cy="3060192"/>
                    </a:xfrm>
                    <a:prstGeom prst="rect">
                      <a:avLst/>
                    </a:prstGeom>
                  </pic:spPr>
                </pic:pic>
              </a:graphicData>
            </a:graphic>
          </wp:inline>
        </w:drawing>
      </w:r>
    </w:p>
    <w:p w14:paraId="4FA70F66" w14:textId="7929B2B4" w:rsidR="00C3308A" w:rsidRDefault="00C3308A" w:rsidP="00C3308A">
      <w:pPr>
        <w:pStyle w:val="Heading1"/>
        <w:spacing w:before="120"/>
      </w:pPr>
      <w:bookmarkStart w:id="206" w:name="_Toc514924644"/>
      <w:r>
        <w:t>Appendix A: FIRB</w:t>
      </w:r>
      <w:r w:rsidRPr="00C3308A">
        <w:t xml:space="preserve"> meetings during 2016–17</w:t>
      </w:r>
      <w:bookmarkEnd w:id="206"/>
    </w:p>
    <w:p w14:paraId="23445A2A" w14:textId="4E1F2D6E" w:rsidR="001B63C7" w:rsidRPr="001B63C7" w:rsidRDefault="007757AE" w:rsidP="002A3C22">
      <w:pPr>
        <w:pStyle w:val="TableHeading"/>
      </w:pPr>
      <w:r>
        <w:t xml:space="preserve">Table A.1: </w:t>
      </w:r>
      <w:r w:rsidR="001B63C7">
        <w:t>FIRB meeti</w:t>
      </w:r>
      <w:r w:rsidR="002A3C22">
        <w:t>ng attendance during 2016–</w:t>
      </w:r>
      <w:r w:rsidR="001B63C7">
        <w:t>17</w:t>
      </w:r>
    </w:p>
    <w:tbl>
      <w:tblPr>
        <w:tblStyle w:val="TableGrid"/>
        <w:tblW w:w="0" w:type="auto"/>
        <w:tblBorders>
          <w:top w:val="dotted" w:sz="4" w:space="0" w:color="auto"/>
          <w:left w:val="none" w:sz="0" w:space="0" w:color="auto"/>
          <w:bottom w:val="dotted" w:sz="4" w:space="0" w:color="auto"/>
          <w:right w:val="none" w:sz="0" w:space="0" w:color="auto"/>
          <w:insideH w:val="dotted" w:sz="4" w:space="0" w:color="auto"/>
          <w:insideV w:val="none" w:sz="0" w:space="0" w:color="auto"/>
        </w:tblBorders>
        <w:tblLayout w:type="fixed"/>
        <w:tblLook w:val="04A0" w:firstRow="1" w:lastRow="0" w:firstColumn="1" w:lastColumn="0" w:noHBand="0" w:noVBand="1"/>
      </w:tblPr>
      <w:tblGrid>
        <w:gridCol w:w="1809"/>
        <w:gridCol w:w="1134"/>
        <w:gridCol w:w="2552"/>
        <w:gridCol w:w="2432"/>
      </w:tblGrid>
      <w:tr w:rsidR="00630FD2" w14:paraId="1B53831F" w14:textId="77777777" w:rsidTr="00CB649E">
        <w:trPr>
          <w:tblHeader/>
        </w:trPr>
        <w:tc>
          <w:tcPr>
            <w:tcW w:w="1809" w:type="dxa"/>
          </w:tcPr>
          <w:p w14:paraId="1E756A54" w14:textId="3B73A8A0" w:rsidR="00630FD2" w:rsidRPr="00A32FF1" w:rsidRDefault="007C526C" w:rsidP="00697F71">
            <w:pPr>
              <w:pStyle w:val="TableTextLeft"/>
            </w:pPr>
            <w:r w:rsidRPr="00A32FF1">
              <w:t>Date</w:t>
            </w:r>
          </w:p>
        </w:tc>
        <w:tc>
          <w:tcPr>
            <w:tcW w:w="1134" w:type="dxa"/>
          </w:tcPr>
          <w:p w14:paraId="197CD044" w14:textId="414E334C" w:rsidR="00630FD2" w:rsidRPr="00A32FF1" w:rsidRDefault="007C526C" w:rsidP="00697F71">
            <w:pPr>
              <w:pStyle w:val="TableTextLeft"/>
            </w:pPr>
            <w:r w:rsidRPr="00A32FF1">
              <w:t>Location</w:t>
            </w:r>
          </w:p>
        </w:tc>
        <w:tc>
          <w:tcPr>
            <w:tcW w:w="2552" w:type="dxa"/>
          </w:tcPr>
          <w:p w14:paraId="644E7992" w14:textId="18F0B082" w:rsidR="00630FD2" w:rsidRPr="00A32FF1" w:rsidRDefault="007C526C" w:rsidP="00697F71">
            <w:pPr>
              <w:pStyle w:val="TableTextLeft"/>
            </w:pPr>
            <w:r w:rsidRPr="00A32FF1">
              <w:t>Attendees</w:t>
            </w:r>
          </w:p>
        </w:tc>
        <w:tc>
          <w:tcPr>
            <w:tcW w:w="2432" w:type="dxa"/>
          </w:tcPr>
          <w:p w14:paraId="319AD113" w14:textId="7C0C415A" w:rsidR="00630FD2" w:rsidRPr="00A32FF1" w:rsidRDefault="007C526C" w:rsidP="00697F71">
            <w:pPr>
              <w:pStyle w:val="TableTextLeft"/>
            </w:pPr>
            <w:r w:rsidRPr="00A32FF1">
              <w:t>Apologies</w:t>
            </w:r>
          </w:p>
        </w:tc>
      </w:tr>
      <w:tr w:rsidR="00630FD2" w14:paraId="69D20657" w14:textId="77777777" w:rsidTr="00CB649E">
        <w:tc>
          <w:tcPr>
            <w:tcW w:w="1809" w:type="dxa"/>
          </w:tcPr>
          <w:p w14:paraId="6DD9FF18" w14:textId="77777777" w:rsidR="00630FD2" w:rsidRPr="00A32FF1" w:rsidRDefault="00630FD2" w:rsidP="00697F71">
            <w:pPr>
              <w:pStyle w:val="TableTextLeft"/>
            </w:pPr>
            <w:r w:rsidRPr="00A32FF1">
              <w:t>22 July 2016</w:t>
            </w:r>
          </w:p>
        </w:tc>
        <w:tc>
          <w:tcPr>
            <w:tcW w:w="1134" w:type="dxa"/>
          </w:tcPr>
          <w:p w14:paraId="5F1C3CD2" w14:textId="77777777" w:rsidR="00630FD2" w:rsidRPr="00A32FF1" w:rsidRDefault="00630FD2" w:rsidP="00697F71">
            <w:pPr>
              <w:pStyle w:val="TableTextLeft"/>
            </w:pPr>
            <w:r w:rsidRPr="00A32FF1">
              <w:t>Sydney</w:t>
            </w:r>
          </w:p>
        </w:tc>
        <w:tc>
          <w:tcPr>
            <w:tcW w:w="2552" w:type="dxa"/>
          </w:tcPr>
          <w:p w14:paraId="59561CEE" w14:textId="77777777" w:rsidR="00630FD2" w:rsidRPr="00A32FF1" w:rsidRDefault="00630FD2" w:rsidP="00697F71">
            <w:pPr>
              <w:pStyle w:val="TableTextLeft"/>
            </w:pPr>
            <w:r w:rsidRPr="00A32FF1">
              <w:t>Brian Wilson (Chair)</w:t>
            </w:r>
          </w:p>
          <w:p w14:paraId="57A0ABBA" w14:textId="69B75A8D" w:rsidR="00630FD2" w:rsidRPr="00A32FF1" w:rsidRDefault="00153D83" w:rsidP="00697F71">
            <w:pPr>
              <w:pStyle w:val="TableTextLeft"/>
            </w:pPr>
            <w:r w:rsidRPr="00A32FF1">
              <w:t>Alice Williams</w:t>
            </w:r>
          </w:p>
          <w:p w14:paraId="49E8F388" w14:textId="100CD2D8" w:rsidR="00630FD2" w:rsidRPr="00A32FF1" w:rsidRDefault="00153D83" w:rsidP="00697F71">
            <w:pPr>
              <w:pStyle w:val="TableTextLeft"/>
            </w:pPr>
            <w:r w:rsidRPr="00A32FF1">
              <w:t xml:space="preserve">Michael </w:t>
            </w:r>
            <w:proofErr w:type="spellStart"/>
            <w:r w:rsidRPr="00A32FF1">
              <w:t>D’Ascenzo</w:t>
            </w:r>
            <w:proofErr w:type="spellEnd"/>
          </w:p>
          <w:p w14:paraId="08D39701" w14:textId="29CA793D" w:rsidR="00630FD2" w:rsidRPr="00A32FF1" w:rsidRDefault="00153D83" w:rsidP="00697F71">
            <w:pPr>
              <w:pStyle w:val="TableTextLeft"/>
            </w:pPr>
            <w:r w:rsidRPr="00A32FF1">
              <w:t>Patrick Secker</w:t>
            </w:r>
          </w:p>
          <w:p w14:paraId="3854B8BC" w14:textId="3B8D5720" w:rsidR="00630FD2" w:rsidRPr="00697F71" w:rsidRDefault="00630FD2" w:rsidP="00697F71">
            <w:pPr>
              <w:pStyle w:val="TableTextLeft"/>
              <w:rPr>
                <w:rFonts w:cs="Arial"/>
                <w:szCs w:val="16"/>
              </w:rPr>
            </w:pPr>
            <w:r w:rsidRPr="00A32FF1">
              <w:t>David Irvine</w:t>
            </w:r>
          </w:p>
        </w:tc>
        <w:tc>
          <w:tcPr>
            <w:tcW w:w="2432" w:type="dxa"/>
          </w:tcPr>
          <w:p w14:paraId="253FE70E" w14:textId="2A90D81B" w:rsidR="00630FD2" w:rsidRPr="00A32FF1" w:rsidRDefault="00153D83" w:rsidP="00697F71">
            <w:pPr>
              <w:pStyle w:val="TableTextLeft"/>
            </w:pPr>
            <w:r w:rsidRPr="00A32FF1">
              <w:t xml:space="preserve">David </w:t>
            </w:r>
            <w:proofErr w:type="spellStart"/>
            <w:r w:rsidRPr="00A32FF1">
              <w:t>Peever</w:t>
            </w:r>
            <w:proofErr w:type="spellEnd"/>
          </w:p>
          <w:p w14:paraId="66131F94" w14:textId="27001097" w:rsidR="00FB02CF" w:rsidRDefault="00153D83" w:rsidP="00697F71">
            <w:pPr>
              <w:pStyle w:val="TableTextLeft"/>
              <w:rPr>
                <w:rFonts w:cs="Arial"/>
                <w:szCs w:val="16"/>
              </w:rPr>
            </w:pPr>
            <w:r w:rsidRPr="00A32FF1">
              <w:t xml:space="preserve">Rob </w:t>
            </w:r>
            <w:proofErr w:type="spellStart"/>
            <w:r w:rsidR="00697F71">
              <w:t>Donelly</w:t>
            </w:r>
            <w:proofErr w:type="spellEnd"/>
          </w:p>
          <w:p w14:paraId="1F8FC700" w14:textId="06AF4FEE" w:rsidR="00630FD2" w:rsidRPr="00A32FF1" w:rsidRDefault="00630FD2" w:rsidP="00697F71">
            <w:pPr>
              <w:pStyle w:val="TableTextLeft"/>
            </w:pPr>
            <w:r w:rsidRPr="00A32FF1">
              <w:t>(part attendance)</w:t>
            </w:r>
          </w:p>
        </w:tc>
      </w:tr>
      <w:tr w:rsidR="00630FD2" w14:paraId="2F94504C" w14:textId="77777777" w:rsidTr="00CB649E">
        <w:tc>
          <w:tcPr>
            <w:tcW w:w="1809" w:type="dxa"/>
          </w:tcPr>
          <w:p w14:paraId="394A326A" w14:textId="59D4BDBE" w:rsidR="00630FD2" w:rsidRPr="00A32FF1" w:rsidRDefault="00630FD2" w:rsidP="00697F71">
            <w:pPr>
              <w:pStyle w:val="TableTextLeft"/>
            </w:pPr>
            <w:r w:rsidRPr="00A32FF1">
              <w:t>26 August</w:t>
            </w:r>
            <w:r w:rsidR="005D7415">
              <w:t xml:space="preserve"> </w:t>
            </w:r>
            <w:r w:rsidRPr="00A32FF1">
              <w:t>2016</w:t>
            </w:r>
          </w:p>
        </w:tc>
        <w:tc>
          <w:tcPr>
            <w:tcW w:w="1134" w:type="dxa"/>
          </w:tcPr>
          <w:p w14:paraId="6E7CDB2E" w14:textId="77777777" w:rsidR="00630FD2" w:rsidRPr="00A32FF1" w:rsidRDefault="00630FD2" w:rsidP="00697F71">
            <w:pPr>
              <w:pStyle w:val="TableTextLeft"/>
            </w:pPr>
            <w:r w:rsidRPr="00A32FF1">
              <w:t>Sydney</w:t>
            </w:r>
          </w:p>
        </w:tc>
        <w:tc>
          <w:tcPr>
            <w:tcW w:w="2552" w:type="dxa"/>
          </w:tcPr>
          <w:p w14:paraId="46F16946" w14:textId="77777777" w:rsidR="00630FD2" w:rsidRPr="00A32FF1" w:rsidRDefault="00630FD2" w:rsidP="00697F71">
            <w:pPr>
              <w:pStyle w:val="TableTextLeft"/>
            </w:pPr>
            <w:r w:rsidRPr="00A32FF1">
              <w:t>Brian Wilson (Chair)</w:t>
            </w:r>
          </w:p>
          <w:p w14:paraId="36607C1F" w14:textId="745A4834" w:rsidR="00630FD2" w:rsidRPr="00A32FF1" w:rsidRDefault="00153D83" w:rsidP="00697F71">
            <w:pPr>
              <w:pStyle w:val="TableTextLeft"/>
            </w:pPr>
            <w:r w:rsidRPr="00A32FF1">
              <w:t>Alice Williams</w:t>
            </w:r>
          </w:p>
          <w:p w14:paraId="2E867500" w14:textId="32AD3C94" w:rsidR="00630FD2" w:rsidRPr="00A32FF1" w:rsidRDefault="00153D83" w:rsidP="00697F71">
            <w:pPr>
              <w:pStyle w:val="TableTextLeft"/>
            </w:pPr>
            <w:r w:rsidRPr="00A32FF1">
              <w:t xml:space="preserve">Michael </w:t>
            </w:r>
            <w:proofErr w:type="spellStart"/>
            <w:r w:rsidRPr="00A32FF1">
              <w:t>D’Ascenzo</w:t>
            </w:r>
            <w:proofErr w:type="spellEnd"/>
          </w:p>
          <w:p w14:paraId="77433C44" w14:textId="4958F861" w:rsidR="00630FD2" w:rsidRPr="00A32FF1" w:rsidRDefault="00153D83" w:rsidP="00697F71">
            <w:pPr>
              <w:pStyle w:val="TableTextLeft"/>
            </w:pPr>
            <w:r w:rsidRPr="00A32FF1">
              <w:t>Patrick Secker</w:t>
            </w:r>
          </w:p>
          <w:p w14:paraId="696BF08A" w14:textId="318351BB" w:rsidR="00630FD2" w:rsidRPr="00A32FF1" w:rsidRDefault="00153D83" w:rsidP="00697F71">
            <w:pPr>
              <w:pStyle w:val="TableTextLeft"/>
            </w:pPr>
            <w:r w:rsidRPr="00A32FF1">
              <w:t>David Irvine</w:t>
            </w:r>
          </w:p>
          <w:p w14:paraId="6CF7D74A" w14:textId="31E91959" w:rsidR="00630FD2" w:rsidRPr="00A32FF1" w:rsidRDefault="00153D83" w:rsidP="00697F71">
            <w:pPr>
              <w:pStyle w:val="TableTextLeft"/>
            </w:pPr>
            <w:r w:rsidRPr="00A32FF1">
              <w:t xml:space="preserve">David </w:t>
            </w:r>
            <w:proofErr w:type="spellStart"/>
            <w:r w:rsidRPr="00A32FF1">
              <w:t>Peever</w:t>
            </w:r>
            <w:proofErr w:type="spellEnd"/>
          </w:p>
          <w:p w14:paraId="7B0B2711" w14:textId="071B5DF4" w:rsidR="00630FD2" w:rsidRPr="00697F71" w:rsidRDefault="00630FD2" w:rsidP="00697F71">
            <w:pPr>
              <w:pStyle w:val="TableTextLeft"/>
              <w:rPr>
                <w:rFonts w:cs="Arial"/>
                <w:szCs w:val="16"/>
              </w:rPr>
            </w:pPr>
            <w:r w:rsidRPr="00A32FF1">
              <w:t xml:space="preserve">Rob </w:t>
            </w:r>
            <w:proofErr w:type="spellStart"/>
            <w:r w:rsidRPr="00A32FF1">
              <w:t>Donelly</w:t>
            </w:r>
            <w:proofErr w:type="spellEnd"/>
          </w:p>
        </w:tc>
        <w:tc>
          <w:tcPr>
            <w:tcW w:w="2432" w:type="dxa"/>
          </w:tcPr>
          <w:p w14:paraId="75E6BAAC" w14:textId="77777777" w:rsidR="00630FD2" w:rsidRPr="00A32FF1" w:rsidRDefault="00630FD2" w:rsidP="00697F71">
            <w:pPr>
              <w:pStyle w:val="TableTextLeft"/>
            </w:pPr>
          </w:p>
        </w:tc>
      </w:tr>
      <w:tr w:rsidR="00630FD2" w14:paraId="6D997A42" w14:textId="77777777" w:rsidTr="00CB649E">
        <w:tc>
          <w:tcPr>
            <w:tcW w:w="1809" w:type="dxa"/>
          </w:tcPr>
          <w:p w14:paraId="67D9382B" w14:textId="77777777" w:rsidR="00630FD2" w:rsidRPr="00A32FF1" w:rsidRDefault="00630FD2" w:rsidP="00697F71">
            <w:pPr>
              <w:pStyle w:val="TableTextLeft"/>
            </w:pPr>
            <w:r w:rsidRPr="00A32FF1">
              <w:t>30 September 2016</w:t>
            </w:r>
          </w:p>
        </w:tc>
        <w:tc>
          <w:tcPr>
            <w:tcW w:w="1134" w:type="dxa"/>
          </w:tcPr>
          <w:p w14:paraId="134CAB2E" w14:textId="77777777" w:rsidR="00630FD2" w:rsidRPr="00A32FF1" w:rsidRDefault="00630FD2" w:rsidP="00697F71">
            <w:pPr>
              <w:pStyle w:val="TableTextLeft"/>
            </w:pPr>
            <w:r w:rsidRPr="00A32FF1">
              <w:t>Sydney</w:t>
            </w:r>
          </w:p>
        </w:tc>
        <w:tc>
          <w:tcPr>
            <w:tcW w:w="2552" w:type="dxa"/>
          </w:tcPr>
          <w:p w14:paraId="7F4FCA37" w14:textId="77777777" w:rsidR="00630FD2" w:rsidRPr="00A32FF1" w:rsidRDefault="00630FD2" w:rsidP="00697F71">
            <w:pPr>
              <w:pStyle w:val="TableTextLeft"/>
            </w:pPr>
            <w:r w:rsidRPr="00A32FF1">
              <w:t>Brian Wilson (Chair)</w:t>
            </w:r>
          </w:p>
          <w:p w14:paraId="330D9D43" w14:textId="21586208" w:rsidR="00630FD2" w:rsidRPr="00A32FF1" w:rsidRDefault="00153D83" w:rsidP="00697F71">
            <w:pPr>
              <w:pStyle w:val="TableTextLeft"/>
            </w:pPr>
            <w:r w:rsidRPr="00A32FF1">
              <w:t>Alice Williams</w:t>
            </w:r>
          </w:p>
          <w:p w14:paraId="2C56E1CB" w14:textId="6BFB5E2C" w:rsidR="00630FD2" w:rsidRPr="00A32FF1" w:rsidRDefault="00153D83" w:rsidP="00697F71">
            <w:pPr>
              <w:pStyle w:val="TableTextLeft"/>
            </w:pPr>
            <w:r w:rsidRPr="00A32FF1">
              <w:t>Patrick Secker</w:t>
            </w:r>
          </w:p>
          <w:p w14:paraId="1C20E30B" w14:textId="77777777" w:rsidR="00630FD2" w:rsidRPr="00A32FF1" w:rsidRDefault="00630FD2" w:rsidP="00697F71">
            <w:pPr>
              <w:pStyle w:val="TableTextLeft"/>
            </w:pPr>
            <w:r w:rsidRPr="00A32FF1">
              <w:t>David Irvine</w:t>
            </w:r>
          </w:p>
          <w:p w14:paraId="34B2DC9C" w14:textId="1CE764F1" w:rsidR="00630FD2" w:rsidRPr="00A32FF1" w:rsidRDefault="00153D83" w:rsidP="00697F71">
            <w:pPr>
              <w:pStyle w:val="TableTextLeft"/>
            </w:pPr>
            <w:r w:rsidRPr="00A32FF1">
              <w:t xml:space="preserve">David </w:t>
            </w:r>
            <w:proofErr w:type="spellStart"/>
            <w:r w:rsidRPr="00A32FF1">
              <w:t>Peever</w:t>
            </w:r>
            <w:proofErr w:type="spellEnd"/>
          </w:p>
          <w:p w14:paraId="4CC62EAD" w14:textId="1F7E1A36" w:rsidR="00630FD2" w:rsidRPr="00697F71" w:rsidRDefault="00630FD2" w:rsidP="00697F71">
            <w:pPr>
              <w:pStyle w:val="TableTextLeft"/>
              <w:rPr>
                <w:rFonts w:cs="Arial"/>
                <w:szCs w:val="16"/>
              </w:rPr>
            </w:pPr>
            <w:r w:rsidRPr="00A32FF1">
              <w:t xml:space="preserve">Rob </w:t>
            </w:r>
            <w:proofErr w:type="spellStart"/>
            <w:r w:rsidRPr="00A32FF1">
              <w:t>Donelly</w:t>
            </w:r>
            <w:proofErr w:type="spellEnd"/>
          </w:p>
        </w:tc>
        <w:tc>
          <w:tcPr>
            <w:tcW w:w="2432" w:type="dxa"/>
          </w:tcPr>
          <w:p w14:paraId="268F96D0" w14:textId="5D430922" w:rsidR="00630FD2" w:rsidRPr="00A32FF1" w:rsidRDefault="00697F71" w:rsidP="00697F71">
            <w:pPr>
              <w:pStyle w:val="TableTextLeft"/>
            </w:pPr>
            <w:r>
              <w:t xml:space="preserve">Michael </w:t>
            </w:r>
            <w:proofErr w:type="spellStart"/>
            <w:r>
              <w:t>D’Ascenzo</w:t>
            </w:r>
            <w:proofErr w:type="spellEnd"/>
          </w:p>
        </w:tc>
      </w:tr>
      <w:tr w:rsidR="00630FD2" w14:paraId="0CB6C8AC" w14:textId="77777777" w:rsidTr="00CB649E">
        <w:tc>
          <w:tcPr>
            <w:tcW w:w="1809" w:type="dxa"/>
          </w:tcPr>
          <w:p w14:paraId="33F427DE" w14:textId="77777777" w:rsidR="00630FD2" w:rsidRPr="00A32FF1" w:rsidRDefault="00630FD2" w:rsidP="00267127">
            <w:pPr>
              <w:pStyle w:val="TableTextLeft"/>
              <w:keepNext/>
              <w:keepLines/>
            </w:pPr>
            <w:r w:rsidRPr="00A32FF1">
              <w:lastRenderedPageBreak/>
              <w:t>21 October 2016</w:t>
            </w:r>
          </w:p>
        </w:tc>
        <w:tc>
          <w:tcPr>
            <w:tcW w:w="1134" w:type="dxa"/>
          </w:tcPr>
          <w:p w14:paraId="38AA4D16" w14:textId="77777777" w:rsidR="00630FD2" w:rsidRPr="00A32FF1" w:rsidRDefault="00630FD2" w:rsidP="00267127">
            <w:pPr>
              <w:pStyle w:val="TableTextLeft"/>
              <w:keepNext/>
              <w:keepLines/>
            </w:pPr>
            <w:r w:rsidRPr="00A32FF1">
              <w:t xml:space="preserve">Sydney </w:t>
            </w:r>
          </w:p>
        </w:tc>
        <w:tc>
          <w:tcPr>
            <w:tcW w:w="2552" w:type="dxa"/>
          </w:tcPr>
          <w:p w14:paraId="785C0BDF" w14:textId="77777777" w:rsidR="00630FD2" w:rsidRPr="00A32FF1" w:rsidRDefault="00630FD2" w:rsidP="00267127">
            <w:pPr>
              <w:pStyle w:val="TableTextLeft"/>
              <w:keepNext/>
              <w:keepLines/>
            </w:pPr>
            <w:r w:rsidRPr="00A32FF1">
              <w:t>Brian Wilson (Chair)</w:t>
            </w:r>
          </w:p>
          <w:p w14:paraId="7E4063C4" w14:textId="1D7B62E8" w:rsidR="00630FD2" w:rsidRPr="00A32FF1" w:rsidRDefault="00153D83" w:rsidP="00267127">
            <w:pPr>
              <w:pStyle w:val="TableTextLeft"/>
              <w:keepNext/>
              <w:keepLines/>
            </w:pPr>
            <w:r w:rsidRPr="00A32FF1">
              <w:t>Alice Williams</w:t>
            </w:r>
          </w:p>
          <w:p w14:paraId="07405CDA" w14:textId="17335420" w:rsidR="00630FD2" w:rsidRPr="00A32FF1" w:rsidRDefault="00153D83" w:rsidP="00267127">
            <w:pPr>
              <w:pStyle w:val="TableTextLeft"/>
              <w:keepNext/>
              <w:keepLines/>
            </w:pPr>
            <w:r w:rsidRPr="00A32FF1">
              <w:t xml:space="preserve">Michael </w:t>
            </w:r>
            <w:proofErr w:type="spellStart"/>
            <w:r w:rsidRPr="00A32FF1">
              <w:t>D’Ascenzo</w:t>
            </w:r>
            <w:proofErr w:type="spellEnd"/>
          </w:p>
          <w:p w14:paraId="4B36DA68" w14:textId="03F2FD00" w:rsidR="00630FD2" w:rsidRPr="00A32FF1" w:rsidRDefault="00153D83" w:rsidP="00267127">
            <w:pPr>
              <w:pStyle w:val="TableTextLeft"/>
              <w:keepNext/>
              <w:keepLines/>
            </w:pPr>
            <w:r w:rsidRPr="00A32FF1">
              <w:t>Patrick Secker</w:t>
            </w:r>
          </w:p>
          <w:p w14:paraId="12659F00" w14:textId="77777777" w:rsidR="00630FD2" w:rsidRPr="00A32FF1" w:rsidRDefault="00630FD2" w:rsidP="00267127">
            <w:pPr>
              <w:pStyle w:val="TableTextLeft"/>
              <w:keepNext/>
              <w:keepLines/>
            </w:pPr>
            <w:r w:rsidRPr="00A32FF1">
              <w:t>David Irvine</w:t>
            </w:r>
          </w:p>
          <w:p w14:paraId="5F9186F5" w14:textId="193F4560" w:rsidR="00630FD2" w:rsidRPr="00A32FF1" w:rsidRDefault="000B7A5C" w:rsidP="00267127">
            <w:pPr>
              <w:pStyle w:val="TableTextLeft"/>
              <w:keepNext/>
              <w:keepLines/>
            </w:pPr>
            <w:r w:rsidRPr="00A32FF1">
              <w:t xml:space="preserve">David </w:t>
            </w:r>
            <w:proofErr w:type="spellStart"/>
            <w:r w:rsidRPr="00A32FF1">
              <w:t>Peever</w:t>
            </w:r>
            <w:proofErr w:type="spellEnd"/>
          </w:p>
          <w:p w14:paraId="6CF35B8A" w14:textId="509ADA1C" w:rsidR="00630FD2" w:rsidRPr="00697F71" w:rsidRDefault="00630FD2" w:rsidP="00267127">
            <w:pPr>
              <w:pStyle w:val="TableTextLeft"/>
              <w:keepNext/>
              <w:keepLines/>
              <w:rPr>
                <w:rFonts w:cs="Arial"/>
                <w:szCs w:val="16"/>
              </w:rPr>
            </w:pPr>
            <w:r w:rsidRPr="00A32FF1">
              <w:t xml:space="preserve">Rob </w:t>
            </w:r>
            <w:proofErr w:type="spellStart"/>
            <w:r w:rsidRPr="00A32FF1">
              <w:t>Donelly</w:t>
            </w:r>
            <w:proofErr w:type="spellEnd"/>
          </w:p>
        </w:tc>
        <w:tc>
          <w:tcPr>
            <w:tcW w:w="2432" w:type="dxa"/>
          </w:tcPr>
          <w:p w14:paraId="4F0BA49C" w14:textId="77777777" w:rsidR="00630FD2" w:rsidRPr="00A32FF1" w:rsidRDefault="00630FD2" w:rsidP="00267127">
            <w:pPr>
              <w:pStyle w:val="TableTextLeft"/>
              <w:keepNext/>
              <w:keepLines/>
            </w:pPr>
          </w:p>
        </w:tc>
      </w:tr>
      <w:tr w:rsidR="00630FD2" w14:paraId="7E86C5E7" w14:textId="77777777" w:rsidTr="00CB649E">
        <w:tc>
          <w:tcPr>
            <w:tcW w:w="1809" w:type="dxa"/>
          </w:tcPr>
          <w:p w14:paraId="5B3D1359" w14:textId="77777777" w:rsidR="00630FD2" w:rsidRPr="00A32FF1" w:rsidRDefault="00630FD2" w:rsidP="00697F71">
            <w:pPr>
              <w:pStyle w:val="TableTextLeft"/>
              <w:keepNext/>
              <w:keepLines/>
            </w:pPr>
            <w:r w:rsidRPr="00A32FF1">
              <w:t>17 November 2016</w:t>
            </w:r>
          </w:p>
        </w:tc>
        <w:tc>
          <w:tcPr>
            <w:tcW w:w="1134" w:type="dxa"/>
          </w:tcPr>
          <w:p w14:paraId="511C2542" w14:textId="77777777" w:rsidR="00630FD2" w:rsidRPr="00A32FF1" w:rsidRDefault="00630FD2" w:rsidP="00697F71">
            <w:pPr>
              <w:pStyle w:val="TableTextLeft"/>
              <w:keepNext/>
              <w:keepLines/>
            </w:pPr>
            <w:r w:rsidRPr="00A32FF1">
              <w:t>Canberra</w:t>
            </w:r>
          </w:p>
        </w:tc>
        <w:tc>
          <w:tcPr>
            <w:tcW w:w="2552" w:type="dxa"/>
          </w:tcPr>
          <w:p w14:paraId="3FCE2C58" w14:textId="77777777" w:rsidR="00630FD2" w:rsidRPr="00A32FF1" w:rsidRDefault="00630FD2" w:rsidP="00697F71">
            <w:pPr>
              <w:pStyle w:val="TableTextLeft"/>
              <w:keepNext/>
              <w:keepLines/>
            </w:pPr>
            <w:r w:rsidRPr="00A32FF1">
              <w:t>Brian Wilson (Chair)</w:t>
            </w:r>
          </w:p>
          <w:p w14:paraId="6387FDDD" w14:textId="13F9D6E7" w:rsidR="00630FD2" w:rsidRPr="00A32FF1" w:rsidRDefault="00153D83" w:rsidP="00697F71">
            <w:pPr>
              <w:pStyle w:val="TableTextLeft"/>
              <w:keepNext/>
              <w:keepLines/>
            </w:pPr>
            <w:r w:rsidRPr="00A32FF1">
              <w:t>Alice Williams</w:t>
            </w:r>
          </w:p>
          <w:p w14:paraId="7322F594" w14:textId="29E7CDA4" w:rsidR="00630FD2" w:rsidRPr="00A32FF1" w:rsidRDefault="00153D83" w:rsidP="00697F71">
            <w:pPr>
              <w:pStyle w:val="TableTextLeft"/>
              <w:keepNext/>
              <w:keepLines/>
            </w:pPr>
            <w:r w:rsidRPr="00A32FF1">
              <w:t xml:space="preserve">Michael </w:t>
            </w:r>
            <w:proofErr w:type="spellStart"/>
            <w:r w:rsidRPr="00A32FF1">
              <w:t>D’Ascenzo</w:t>
            </w:r>
            <w:proofErr w:type="spellEnd"/>
          </w:p>
          <w:p w14:paraId="1F3416FE" w14:textId="27CE5473" w:rsidR="00630FD2" w:rsidRPr="00A32FF1" w:rsidRDefault="00153D83" w:rsidP="00697F71">
            <w:pPr>
              <w:pStyle w:val="TableTextLeft"/>
              <w:keepNext/>
              <w:keepLines/>
            </w:pPr>
            <w:r w:rsidRPr="00A32FF1">
              <w:t>Patrick Secker</w:t>
            </w:r>
          </w:p>
          <w:p w14:paraId="2C62DB3A" w14:textId="77777777" w:rsidR="00630FD2" w:rsidRPr="00A32FF1" w:rsidRDefault="00630FD2" w:rsidP="00697F71">
            <w:pPr>
              <w:pStyle w:val="TableTextLeft"/>
              <w:keepNext/>
              <w:keepLines/>
            </w:pPr>
            <w:r w:rsidRPr="00A32FF1">
              <w:t>David Irvine</w:t>
            </w:r>
          </w:p>
          <w:p w14:paraId="67810873" w14:textId="3D1FDADA" w:rsidR="00630FD2" w:rsidRPr="00A32FF1" w:rsidRDefault="00153D83" w:rsidP="00697F71">
            <w:pPr>
              <w:pStyle w:val="TableTextLeft"/>
              <w:keepNext/>
              <w:keepLines/>
            </w:pPr>
            <w:r w:rsidRPr="00A32FF1">
              <w:t xml:space="preserve">David </w:t>
            </w:r>
            <w:proofErr w:type="spellStart"/>
            <w:r w:rsidRPr="00A32FF1">
              <w:t>Peever</w:t>
            </w:r>
            <w:proofErr w:type="spellEnd"/>
          </w:p>
          <w:p w14:paraId="5C2E0F73" w14:textId="30C3CF64" w:rsidR="00630FD2" w:rsidRPr="00697F71" w:rsidRDefault="00630FD2" w:rsidP="00697F71">
            <w:pPr>
              <w:pStyle w:val="TableTextLeft"/>
              <w:keepNext/>
              <w:keepLines/>
              <w:rPr>
                <w:rFonts w:cs="Arial"/>
                <w:szCs w:val="16"/>
              </w:rPr>
            </w:pPr>
            <w:r w:rsidRPr="00A32FF1">
              <w:t xml:space="preserve">Rob </w:t>
            </w:r>
            <w:proofErr w:type="spellStart"/>
            <w:r w:rsidRPr="00A32FF1">
              <w:t>Donelly</w:t>
            </w:r>
            <w:proofErr w:type="spellEnd"/>
          </w:p>
        </w:tc>
        <w:tc>
          <w:tcPr>
            <w:tcW w:w="2432" w:type="dxa"/>
          </w:tcPr>
          <w:p w14:paraId="6E13894A" w14:textId="77777777" w:rsidR="00630FD2" w:rsidRPr="00A32FF1" w:rsidRDefault="00630FD2" w:rsidP="00697F71">
            <w:pPr>
              <w:pStyle w:val="TableTextLeft"/>
              <w:keepNext/>
              <w:keepLines/>
            </w:pPr>
          </w:p>
        </w:tc>
      </w:tr>
      <w:tr w:rsidR="00630FD2" w14:paraId="14C63A51" w14:textId="77777777" w:rsidTr="00CB649E">
        <w:tc>
          <w:tcPr>
            <w:tcW w:w="1809" w:type="dxa"/>
          </w:tcPr>
          <w:p w14:paraId="13633006" w14:textId="648B7B32" w:rsidR="00630FD2" w:rsidRPr="00A32FF1" w:rsidRDefault="00630FD2" w:rsidP="00697F71">
            <w:pPr>
              <w:pStyle w:val="TableTextLeft"/>
            </w:pPr>
            <w:r w:rsidRPr="00A32FF1">
              <w:t>8 December 2016</w:t>
            </w:r>
          </w:p>
        </w:tc>
        <w:tc>
          <w:tcPr>
            <w:tcW w:w="1134" w:type="dxa"/>
          </w:tcPr>
          <w:p w14:paraId="5F360874" w14:textId="77777777" w:rsidR="00630FD2" w:rsidRPr="00A32FF1" w:rsidRDefault="00630FD2" w:rsidP="00697F71">
            <w:pPr>
              <w:pStyle w:val="TableTextLeft"/>
            </w:pPr>
            <w:r w:rsidRPr="00A32FF1">
              <w:t>Sydney</w:t>
            </w:r>
          </w:p>
        </w:tc>
        <w:tc>
          <w:tcPr>
            <w:tcW w:w="2552" w:type="dxa"/>
          </w:tcPr>
          <w:p w14:paraId="36EF45C6" w14:textId="77777777" w:rsidR="00630FD2" w:rsidRPr="00A32FF1" w:rsidRDefault="00630FD2" w:rsidP="00697F71">
            <w:pPr>
              <w:pStyle w:val="TableTextLeft"/>
            </w:pPr>
            <w:r w:rsidRPr="00A32FF1">
              <w:t>Brian Wilson (Chair)</w:t>
            </w:r>
          </w:p>
          <w:p w14:paraId="14548B88" w14:textId="4942A8CE" w:rsidR="00630FD2" w:rsidRPr="00A32FF1" w:rsidRDefault="00153D83" w:rsidP="00697F71">
            <w:pPr>
              <w:pStyle w:val="TableTextLeft"/>
            </w:pPr>
            <w:r w:rsidRPr="00A32FF1">
              <w:t>Alice Williams</w:t>
            </w:r>
          </w:p>
          <w:p w14:paraId="0A79A8A4" w14:textId="5B821F8B" w:rsidR="00630FD2" w:rsidRPr="00A32FF1" w:rsidRDefault="00153D83" w:rsidP="00697F71">
            <w:pPr>
              <w:pStyle w:val="TableTextLeft"/>
            </w:pPr>
            <w:r w:rsidRPr="00A32FF1">
              <w:t xml:space="preserve">Michael </w:t>
            </w:r>
            <w:proofErr w:type="spellStart"/>
            <w:r w:rsidRPr="00A32FF1">
              <w:t>D’Ascenzo</w:t>
            </w:r>
            <w:proofErr w:type="spellEnd"/>
          </w:p>
          <w:p w14:paraId="784752F2" w14:textId="211EBDA7" w:rsidR="00630FD2" w:rsidRPr="00A32FF1" w:rsidRDefault="00153D83" w:rsidP="00697F71">
            <w:pPr>
              <w:pStyle w:val="TableTextLeft"/>
            </w:pPr>
            <w:r w:rsidRPr="00A32FF1">
              <w:t>Patrick Secker</w:t>
            </w:r>
          </w:p>
          <w:p w14:paraId="63461708" w14:textId="499BCE07" w:rsidR="00630FD2" w:rsidRPr="00697F71" w:rsidRDefault="00630FD2" w:rsidP="00697F71">
            <w:pPr>
              <w:pStyle w:val="TableTextLeft"/>
              <w:rPr>
                <w:rFonts w:cs="Arial"/>
                <w:szCs w:val="16"/>
              </w:rPr>
            </w:pPr>
            <w:r w:rsidRPr="00A32FF1">
              <w:t>David Irvine</w:t>
            </w:r>
          </w:p>
        </w:tc>
        <w:tc>
          <w:tcPr>
            <w:tcW w:w="2432" w:type="dxa"/>
          </w:tcPr>
          <w:p w14:paraId="12EE772F" w14:textId="12AF9111" w:rsidR="00630FD2" w:rsidRPr="00A32FF1" w:rsidRDefault="00153D83" w:rsidP="00697F71">
            <w:pPr>
              <w:pStyle w:val="TableTextLeft"/>
            </w:pPr>
            <w:r w:rsidRPr="00A32FF1">
              <w:t xml:space="preserve">David </w:t>
            </w:r>
            <w:proofErr w:type="spellStart"/>
            <w:r w:rsidRPr="00A32FF1">
              <w:t>Peever</w:t>
            </w:r>
            <w:proofErr w:type="spellEnd"/>
          </w:p>
          <w:p w14:paraId="615F016A" w14:textId="77777777" w:rsidR="00630FD2" w:rsidRPr="00A32FF1" w:rsidRDefault="00630FD2" w:rsidP="00697F71">
            <w:pPr>
              <w:pStyle w:val="TableTextLeft"/>
            </w:pPr>
            <w:r w:rsidRPr="00A32FF1">
              <w:t xml:space="preserve">Rob </w:t>
            </w:r>
            <w:proofErr w:type="spellStart"/>
            <w:r w:rsidRPr="00A32FF1">
              <w:t>Donelly</w:t>
            </w:r>
            <w:proofErr w:type="spellEnd"/>
          </w:p>
        </w:tc>
      </w:tr>
      <w:tr w:rsidR="00630FD2" w14:paraId="051C4BE4" w14:textId="77777777" w:rsidTr="00CB649E">
        <w:tc>
          <w:tcPr>
            <w:tcW w:w="1809" w:type="dxa"/>
          </w:tcPr>
          <w:p w14:paraId="13B8041B" w14:textId="77777777" w:rsidR="00630FD2" w:rsidRPr="00A32FF1" w:rsidRDefault="00630FD2" w:rsidP="00697F71">
            <w:pPr>
              <w:pStyle w:val="TableTextLeft"/>
            </w:pPr>
            <w:r w:rsidRPr="00A32FF1">
              <w:t>23 February 2017</w:t>
            </w:r>
          </w:p>
        </w:tc>
        <w:tc>
          <w:tcPr>
            <w:tcW w:w="1134" w:type="dxa"/>
          </w:tcPr>
          <w:p w14:paraId="158228A6" w14:textId="77777777" w:rsidR="00630FD2" w:rsidRPr="00A32FF1" w:rsidRDefault="00630FD2" w:rsidP="00697F71">
            <w:pPr>
              <w:pStyle w:val="TableTextLeft"/>
            </w:pPr>
            <w:r w:rsidRPr="00A32FF1">
              <w:t>Melbourne</w:t>
            </w:r>
          </w:p>
        </w:tc>
        <w:tc>
          <w:tcPr>
            <w:tcW w:w="2552" w:type="dxa"/>
          </w:tcPr>
          <w:p w14:paraId="3D5E1B8E" w14:textId="77777777" w:rsidR="00630FD2" w:rsidRPr="00A32FF1" w:rsidRDefault="00630FD2" w:rsidP="00697F71">
            <w:pPr>
              <w:pStyle w:val="TableTextLeft"/>
            </w:pPr>
            <w:r w:rsidRPr="00A32FF1">
              <w:t>Brian Wilson (Chair)</w:t>
            </w:r>
          </w:p>
          <w:p w14:paraId="5E53F9B7" w14:textId="167E3058" w:rsidR="00630FD2" w:rsidRPr="00A32FF1" w:rsidRDefault="00153D83" w:rsidP="00697F71">
            <w:pPr>
              <w:pStyle w:val="TableTextLeft"/>
            </w:pPr>
            <w:r w:rsidRPr="00A32FF1">
              <w:t>Alice Williams</w:t>
            </w:r>
          </w:p>
          <w:p w14:paraId="569FC73B" w14:textId="2BB2062C" w:rsidR="00630FD2" w:rsidRPr="00A32FF1" w:rsidRDefault="00153D83" w:rsidP="00697F71">
            <w:pPr>
              <w:pStyle w:val="TableTextLeft"/>
            </w:pPr>
            <w:r w:rsidRPr="00A32FF1">
              <w:t xml:space="preserve">Michael </w:t>
            </w:r>
            <w:proofErr w:type="spellStart"/>
            <w:r w:rsidRPr="00A32FF1">
              <w:t>D’Ascenzo</w:t>
            </w:r>
            <w:proofErr w:type="spellEnd"/>
          </w:p>
          <w:p w14:paraId="4AAB15E6" w14:textId="60546213" w:rsidR="00630FD2" w:rsidRPr="00A32FF1" w:rsidRDefault="00630FD2" w:rsidP="00697F71">
            <w:pPr>
              <w:pStyle w:val="TableTextLeft"/>
            </w:pPr>
            <w:r w:rsidRPr="00A32FF1">
              <w:t>Patrick Secker</w:t>
            </w:r>
          </w:p>
          <w:p w14:paraId="2073EEE0" w14:textId="43CCEEC0" w:rsidR="00630FD2" w:rsidRPr="00A32FF1" w:rsidRDefault="00630FD2" w:rsidP="00697F71">
            <w:pPr>
              <w:pStyle w:val="TableTextLeft"/>
            </w:pPr>
            <w:r w:rsidRPr="00A32FF1">
              <w:t>David Irvine</w:t>
            </w:r>
          </w:p>
          <w:p w14:paraId="1A9FC472" w14:textId="212F1032" w:rsidR="00630FD2" w:rsidRPr="00A32FF1" w:rsidRDefault="00153D83" w:rsidP="00697F71">
            <w:pPr>
              <w:pStyle w:val="TableTextLeft"/>
            </w:pPr>
            <w:r w:rsidRPr="00A32FF1">
              <w:t xml:space="preserve">David </w:t>
            </w:r>
            <w:proofErr w:type="spellStart"/>
            <w:r w:rsidRPr="00A32FF1">
              <w:t>Peever</w:t>
            </w:r>
            <w:proofErr w:type="spellEnd"/>
          </w:p>
          <w:p w14:paraId="7E3FFE4F" w14:textId="5BF47279" w:rsidR="00630FD2" w:rsidRPr="00697F71" w:rsidRDefault="00630FD2" w:rsidP="00697F71">
            <w:pPr>
              <w:pStyle w:val="TableTextLeft"/>
              <w:rPr>
                <w:rFonts w:cs="Arial"/>
                <w:szCs w:val="16"/>
              </w:rPr>
            </w:pPr>
            <w:r w:rsidRPr="00A32FF1">
              <w:t xml:space="preserve">Rob </w:t>
            </w:r>
            <w:proofErr w:type="spellStart"/>
            <w:r w:rsidRPr="00A32FF1">
              <w:t>Donelly</w:t>
            </w:r>
            <w:proofErr w:type="spellEnd"/>
          </w:p>
        </w:tc>
        <w:tc>
          <w:tcPr>
            <w:tcW w:w="2432" w:type="dxa"/>
          </w:tcPr>
          <w:p w14:paraId="780C260A" w14:textId="77777777" w:rsidR="00630FD2" w:rsidRPr="00A32FF1" w:rsidRDefault="00630FD2" w:rsidP="00697F71">
            <w:pPr>
              <w:pStyle w:val="TableTextLeft"/>
            </w:pPr>
          </w:p>
        </w:tc>
      </w:tr>
      <w:tr w:rsidR="00630FD2" w14:paraId="1B1C85D2" w14:textId="77777777" w:rsidTr="00CB649E">
        <w:tc>
          <w:tcPr>
            <w:tcW w:w="1809" w:type="dxa"/>
          </w:tcPr>
          <w:p w14:paraId="29981FDA" w14:textId="77777777" w:rsidR="00630FD2" w:rsidRPr="00A32FF1" w:rsidRDefault="00630FD2" w:rsidP="00697F71">
            <w:pPr>
              <w:pStyle w:val="TableTextLeft"/>
            </w:pPr>
            <w:r w:rsidRPr="00A32FF1">
              <w:t>24 March 2017</w:t>
            </w:r>
          </w:p>
        </w:tc>
        <w:tc>
          <w:tcPr>
            <w:tcW w:w="1134" w:type="dxa"/>
          </w:tcPr>
          <w:p w14:paraId="4C0AC69C" w14:textId="77777777" w:rsidR="00630FD2" w:rsidRPr="00A32FF1" w:rsidRDefault="00630FD2" w:rsidP="00697F71">
            <w:pPr>
              <w:pStyle w:val="TableTextLeft"/>
            </w:pPr>
            <w:r w:rsidRPr="00A32FF1">
              <w:t>Sydney</w:t>
            </w:r>
          </w:p>
        </w:tc>
        <w:tc>
          <w:tcPr>
            <w:tcW w:w="2552" w:type="dxa"/>
          </w:tcPr>
          <w:p w14:paraId="54723566" w14:textId="77777777" w:rsidR="00630FD2" w:rsidRPr="00A32FF1" w:rsidRDefault="00630FD2" w:rsidP="00697F71">
            <w:pPr>
              <w:pStyle w:val="TableTextLeft"/>
            </w:pPr>
            <w:r w:rsidRPr="00A32FF1">
              <w:t>Brian Wilson (Chair)</w:t>
            </w:r>
          </w:p>
          <w:p w14:paraId="3C776505" w14:textId="66A74C69" w:rsidR="00630FD2" w:rsidRPr="00A32FF1" w:rsidRDefault="00153D83" w:rsidP="00697F71">
            <w:pPr>
              <w:pStyle w:val="TableTextLeft"/>
            </w:pPr>
            <w:r w:rsidRPr="00A32FF1">
              <w:t>Alice Williams</w:t>
            </w:r>
          </w:p>
          <w:p w14:paraId="4B6B37EC" w14:textId="29C51B42" w:rsidR="00630FD2" w:rsidRPr="00A32FF1" w:rsidRDefault="00153D83" w:rsidP="00697F71">
            <w:pPr>
              <w:pStyle w:val="TableTextLeft"/>
            </w:pPr>
            <w:r w:rsidRPr="00A32FF1">
              <w:t xml:space="preserve">Michael </w:t>
            </w:r>
            <w:proofErr w:type="spellStart"/>
            <w:r w:rsidRPr="00A32FF1">
              <w:t>D’Ascenzo</w:t>
            </w:r>
            <w:proofErr w:type="spellEnd"/>
          </w:p>
          <w:p w14:paraId="6B4D4108" w14:textId="16220BB4" w:rsidR="00630FD2" w:rsidRPr="00A32FF1" w:rsidRDefault="00153D83" w:rsidP="00697F71">
            <w:pPr>
              <w:pStyle w:val="TableTextLeft"/>
            </w:pPr>
            <w:r w:rsidRPr="00A32FF1">
              <w:t>Patrick Secker</w:t>
            </w:r>
          </w:p>
          <w:p w14:paraId="0DC4CA1E" w14:textId="58E26DD9" w:rsidR="00630FD2" w:rsidRPr="00A32FF1" w:rsidRDefault="00153D83" w:rsidP="00697F71">
            <w:pPr>
              <w:pStyle w:val="TableTextLeft"/>
            </w:pPr>
            <w:r w:rsidRPr="00A32FF1">
              <w:t>David Irvine</w:t>
            </w:r>
          </w:p>
          <w:p w14:paraId="518A9E44" w14:textId="3CD68491" w:rsidR="00630FD2" w:rsidRPr="00697F71" w:rsidRDefault="00630FD2" w:rsidP="00697F71">
            <w:pPr>
              <w:pStyle w:val="TableTextLeft"/>
              <w:rPr>
                <w:rFonts w:cs="Arial"/>
                <w:szCs w:val="16"/>
              </w:rPr>
            </w:pPr>
            <w:r w:rsidRPr="00A32FF1">
              <w:t>Roger Brake</w:t>
            </w:r>
          </w:p>
        </w:tc>
        <w:tc>
          <w:tcPr>
            <w:tcW w:w="2432" w:type="dxa"/>
          </w:tcPr>
          <w:p w14:paraId="4DE6677A" w14:textId="77777777" w:rsidR="00630FD2" w:rsidRPr="00A32FF1" w:rsidRDefault="00630FD2" w:rsidP="00697F71">
            <w:pPr>
              <w:pStyle w:val="TableTextLeft"/>
            </w:pPr>
            <w:r w:rsidRPr="00A32FF1">
              <w:t xml:space="preserve">David </w:t>
            </w:r>
            <w:proofErr w:type="spellStart"/>
            <w:r w:rsidRPr="00A32FF1">
              <w:t>Peever</w:t>
            </w:r>
            <w:proofErr w:type="spellEnd"/>
          </w:p>
        </w:tc>
      </w:tr>
      <w:tr w:rsidR="00630FD2" w14:paraId="353E531B" w14:textId="77777777" w:rsidTr="00CB649E">
        <w:tc>
          <w:tcPr>
            <w:tcW w:w="1809" w:type="dxa"/>
          </w:tcPr>
          <w:p w14:paraId="30467C3E" w14:textId="77777777" w:rsidR="00630FD2" w:rsidRPr="00A32FF1" w:rsidRDefault="00630FD2" w:rsidP="00697F71">
            <w:pPr>
              <w:pStyle w:val="TableTextLeft"/>
            </w:pPr>
            <w:r w:rsidRPr="00A32FF1">
              <w:t>21 April 2017</w:t>
            </w:r>
          </w:p>
        </w:tc>
        <w:tc>
          <w:tcPr>
            <w:tcW w:w="1134" w:type="dxa"/>
          </w:tcPr>
          <w:p w14:paraId="1B191DC8" w14:textId="77777777" w:rsidR="00630FD2" w:rsidRPr="00A32FF1" w:rsidRDefault="00630FD2" w:rsidP="00697F71">
            <w:pPr>
              <w:pStyle w:val="TableTextLeft"/>
            </w:pPr>
            <w:r w:rsidRPr="00A32FF1">
              <w:t>Sydney</w:t>
            </w:r>
          </w:p>
        </w:tc>
        <w:tc>
          <w:tcPr>
            <w:tcW w:w="2552" w:type="dxa"/>
          </w:tcPr>
          <w:p w14:paraId="2D985188" w14:textId="75FC3EFA" w:rsidR="00630FD2" w:rsidRPr="00A32FF1" w:rsidRDefault="00153D83" w:rsidP="00697F71">
            <w:pPr>
              <w:pStyle w:val="TableTextLeft"/>
            </w:pPr>
            <w:r w:rsidRPr="00A32FF1">
              <w:t>David Irvine (Chair)</w:t>
            </w:r>
          </w:p>
          <w:p w14:paraId="477C9A02" w14:textId="69262877" w:rsidR="00630FD2" w:rsidRPr="00A32FF1" w:rsidRDefault="00153D83" w:rsidP="00697F71">
            <w:pPr>
              <w:pStyle w:val="TableTextLeft"/>
            </w:pPr>
            <w:r w:rsidRPr="00A32FF1">
              <w:t>Alice Williams</w:t>
            </w:r>
            <w:r w:rsidR="00630FD2" w:rsidRPr="00A32FF1">
              <w:t xml:space="preserve"> </w:t>
            </w:r>
          </w:p>
          <w:p w14:paraId="122D2322" w14:textId="4D714851" w:rsidR="00630FD2" w:rsidRPr="00A32FF1" w:rsidRDefault="00153D83" w:rsidP="00697F71">
            <w:pPr>
              <w:pStyle w:val="TableTextLeft"/>
            </w:pPr>
            <w:r w:rsidRPr="00A32FF1">
              <w:t>Patrick Secker</w:t>
            </w:r>
            <w:r w:rsidR="00630FD2" w:rsidRPr="00A32FF1">
              <w:t xml:space="preserve"> </w:t>
            </w:r>
          </w:p>
          <w:p w14:paraId="68A9921C" w14:textId="10A4E800" w:rsidR="00630FD2" w:rsidRPr="00A32FF1" w:rsidRDefault="00153D83" w:rsidP="00697F71">
            <w:pPr>
              <w:pStyle w:val="TableTextLeft"/>
            </w:pPr>
            <w:r w:rsidRPr="00A32FF1">
              <w:t xml:space="preserve">David </w:t>
            </w:r>
            <w:proofErr w:type="spellStart"/>
            <w:r w:rsidRPr="00A32FF1">
              <w:t>Peever</w:t>
            </w:r>
            <w:proofErr w:type="spellEnd"/>
          </w:p>
          <w:p w14:paraId="4C57364E" w14:textId="55160517" w:rsidR="00630FD2" w:rsidRPr="00697F71" w:rsidRDefault="00630FD2" w:rsidP="00697F71">
            <w:pPr>
              <w:pStyle w:val="TableTextLeft"/>
              <w:rPr>
                <w:rFonts w:cs="Arial"/>
                <w:szCs w:val="16"/>
              </w:rPr>
            </w:pPr>
            <w:r w:rsidRPr="00A32FF1">
              <w:t>Roger Brake</w:t>
            </w:r>
          </w:p>
        </w:tc>
        <w:tc>
          <w:tcPr>
            <w:tcW w:w="2432" w:type="dxa"/>
          </w:tcPr>
          <w:p w14:paraId="48CB2B06" w14:textId="77777777" w:rsidR="00630FD2" w:rsidRPr="00A32FF1" w:rsidRDefault="00630FD2" w:rsidP="00697F71">
            <w:pPr>
              <w:pStyle w:val="TableTextLeft"/>
            </w:pPr>
            <w:r w:rsidRPr="00A32FF1">
              <w:t xml:space="preserve">Michael </w:t>
            </w:r>
            <w:proofErr w:type="spellStart"/>
            <w:r w:rsidRPr="00A32FF1">
              <w:t>D’Ascenzo</w:t>
            </w:r>
            <w:proofErr w:type="spellEnd"/>
          </w:p>
        </w:tc>
      </w:tr>
      <w:tr w:rsidR="00630FD2" w14:paraId="69BD02BA" w14:textId="77777777" w:rsidTr="00CB649E">
        <w:tc>
          <w:tcPr>
            <w:tcW w:w="1809" w:type="dxa"/>
          </w:tcPr>
          <w:p w14:paraId="3307090D" w14:textId="77777777" w:rsidR="00630FD2" w:rsidRPr="00A32FF1" w:rsidRDefault="00630FD2" w:rsidP="00697F71">
            <w:pPr>
              <w:pStyle w:val="TableTextLeft"/>
            </w:pPr>
            <w:r w:rsidRPr="00A32FF1">
              <w:t>15 May 2017</w:t>
            </w:r>
          </w:p>
        </w:tc>
        <w:tc>
          <w:tcPr>
            <w:tcW w:w="1134" w:type="dxa"/>
          </w:tcPr>
          <w:p w14:paraId="2FF3142F" w14:textId="77777777" w:rsidR="00630FD2" w:rsidRPr="00A32FF1" w:rsidRDefault="00630FD2" w:rsidP="00697F71">
            <w:pPr>
              <w:pStyle w:val="TableTextLeft"/>
            </w:pPr>
            <w:r w:rsidRPr="00A32FF1">
              <w:t>Canberra</w:t>
            </w:r>
          </w:p>
        </w:tc>
        <w:tc>
          <w:tcPr>
            <w:tcW w:w="2552" w:type="dxa"/>
          </w:tcPr>
          <w:p w14:paraId="1B5A2E76" w14:textId="189FA2C5" w:rsidR="00630FD2" w:rsidRPr="00A32FF1" w:rsidRDefault="00153D83" w:rsidP="00697F71">
            <w:pPr>
              <w:pStyle w:val="TableTextLeft"/>
            </w:pPr>
            <w:r w:rsidRPr="00A32FF1">
              <w:t>David Irvine (Chair)</w:t>
            </w:r>
          </w:p>
          <w:p w14:paraId="6DB5211B" w14:textId="618A162B" w:rsidR="00630FD2" w:rsidRPr="00A32FF1" w:rsidRDefault="00153D83" w:rsidP="00697F71">
            <w:pPr>
              <w:pStyle w:val="TableTextLeft"/>
            </w:pPr>
            <w:r w:rsidRPr="00A32FF1">
              <w:t>Alice Williams</w:t>
            </w:r>
          </w:p>
          <w:p w14:paraId="58C40A82" w14:textId="6BEA5A85" w:rsidR="00630FD2" w:rsidRPr="00A32FF1" w:rsidRDefault="00153D83" w:rsidP="00697F71">
            <w:pPr>
              <w:pStyle w:val="TableTextLeft"/>
            </w:pPr>
            <w:r w:rsidRPr="00A32FF1">
              <w:t xml:space="preserve">Michael </w:t>
            </w:r>
            <w:proofErr w:type="spellStart"/>
            <w:r w:rsidRPr="00A32FF1">
              <w:t>D’Ascenzo</w:t>
            </w:r>
            <w:proofErr w:type="spellEnd"/>
          </w:p>
          <w:p w14:paraId="73D4073F" w14:textId="01E06FB2" w:rsidR="00630FD2" w:rsidRPr="00C230ED" w:rsidRDefault="00630FD2" w:rsidP="00697F71">
            <w:pPr>
              <w:pStyle w:val="TableTextLeft"/>
              <w:rPr>
                <w:rFonts w:cs="Arial"/>
                <w:szCs w:val="16"/>
              </w:rPr>
            </w:pPr>
            <w:r w:rsidRPr="00A32FF1">
              <w:t xml:space="preserve">David </w:t>
            </w:r>
            <w:proofErr w:type="spellStart"/>
            <w:r w:rsidRPr="00A32FF1">
              <w:t>Peever</w:t>
            </w:r>
            <w:proofErr w:type="spellEnd"/>
          </w:p>
        </w:tc>
        <w:tc>
          <w:tcPr>
            <w:tcW w:w="2432" w:type="dxa"/>
          </w:tcPr>
          <w:p w14:paraId="2826FCEA" w14:textId="4CE60358" w:rsidR="00630FD2" w:rsidRPr="00A32FF1" w:rsidRDefault="00153D83" w:rsidP="00697F71">
            <w:pPr>
              <w:pStyle w:val="TableTextLeft"/>
            </w:pPr>
            <w:r w:rsidRPr="00A32FF1">
              <w:t>Roger Brake</w:t>
            </w:r>
          </w:p>
          <w:p w14:paraId="7AC16E9A" w14:textId="77777777" w:rsidR="00630FD2" w:rsidRPr="00A32FF1" w:rsidRDefault="00630FD2" w:rsidP="00697F71">
            <w:pPr>
              <w:pStyle w:val="TableTextLeft"/>
            </w:pPr>
            <w:r w:rsidRPr="00A32FF1">
              <w:t>Patrick Secker</w:t>
            </w:r>
          </w:p>
        </w:tc>
      </w:tr>
      <w:tr w:rsidR="00630FD2" w14:paraId="33831AD1" w14:textId="77777777" w:rsidTr="00CB649E">
        <w:tc>
          <w:tcPr>
            <w:tcW w:w="1809" w:type="dxa"/>
          </w:tcPr>
          <w:p w14:paraId="131E9248" w14:textId="77777777" w:rsidR="00630FD2" w:rsidRPr="00A32FF1" w:rsidRDefault="00630FD2" w:rsidP="00697F71">
            <w:pPr>
              <w:pStyle w:val="TableTextLeft"/>
            </w:pPr>
            <w:r w:rsidRPr="00A32FF1">
              <w:t>14 June 2017</w:t>
            </w:r>
          </w:p>
        </w:tc>
        <w:tc>
          <w:tcPr>
            <w:tcW w:w="1134" w:type="dxa"/>
          </w:tcPr>
          <w:p w14:paraId="16DE9F89" w14:textId="77777777" w:rsidR="00630FD2" w:rsidRPr="00A32FF1" w:rsidRDefault="00630FD2" w:rsidP="00697F71">
            <w:pPr>
              <w:pStyle w:val="TableTextLeft"/>
            </w:pPr>
            <w:r w:rsidRPr="00A32FF1">
              <w:t>Sydney</w:t>
            </w:r>
          </w:p>
        </w:tc>
        <w:tc>
          <w:tcPr>
            <w:tcW w:w="2552" w:type="dxa"/>
          </w:tcPr>
          <w:p w14:paraId="759B1A44" w14:textId="41E872CA" w:rsidR="00630FD2" w:rsidRPr="00A32FF1" w:rsidRDefault="00153D83" w:rsidP="00697F71">
            <w:pPr>
              <w:pStyle w:val="TableTextLeft"/>
            </w:pPr>
            <w:r w:rsidRPr="00A32FF1">
              <w:t>David Irvine (Chair)</w:t>
            </w:r>
          </w:p>
          <w:p w14:paraId="5A4B9830" w14:textId="75A16903" w:rsidR="00630FD2" w:rsidRPr="00A32FF1" w:rsidRDefault="00153D83" w:rsidP="00697F71">
            <w:pPr>
              <w:pStyle w:val="TableTextLeft"/>
            </w:pPr>
            <w:r w:rsidRPr="00A32FF1">
              <w:t>Alice Williams</w:t>
            </w:r>
          </w:p>
          <w:p w14:paraId="211A6273" w14:textId="5BC38CC6" w:rsidR="00630FD2" w:rsidRPr="00A32FF1" w:rsidRDefault="00153D83" w:rsidP="00697F71">
            <w:pPr>
              <w:pStyle w:val="TableTextLeft"/>
            </w:pPr>
            <w:r w:rsidRPr="00A32FF1">
              <w:t xml:space="preserve">Michael </w:t>
            </w:r>
            <w:proofErr w:type="spellStart"/>
            <w:r w:rsidRPr="00A32FF1">
              <w:t>D’Ascenzo</w:t>
            </w:r>
            <w:proofErr w:type="spellEnd"/>
          </w:p>
          <w:p w14:paraId="0C3F96AB" w14:textId="2DF489AE" w:rsidR="00630FD2" w:rsidRPr="00A32FF1" w:rsidRDefault="00153D83" w:rsidP="00697F71">
            <w:pPr>
              <w:pStyle w:val="TableTextLeft"/>
            </w:pPr>
            <w:r w:rsidRPr="00A32FF1">
              <w:t>Patrick Secker</w:t>
            </w:r>
          </w:p>
          <w:p w14:paraId="7E83DD22" w14:textId="31FBF9E4" w:rsidR="00630FD2" w:rsidRPr="00A32FF1" w:rsidRDefault="00153D83" w:rsidP="00697F71">
            <w:pPr>
              <w:pStyle w:val="TableTextLeft"/>
            </w:pPr>
            <w:r w:rsidRPr="00A32FF1">
              <w:t xml:space="preserve">David </w:t>
            </w:r>
            <w:proofErr w:type="spellStart"/>
            <w:r w:rsidRPr="00A32FF1">
              <w:t>Peever</w:t>
            </w:r>
            <w:proofErr w:type="spellEnd"/>
          </w:p>
          <w:p w14:paraId="23C75857" w14:textId="77777777" w:rsidR="00630FD2" w:rsidRPr="00A32FF1" w:rsidRDefault="00630FD2" w:rsidP="00697F71">
            <w:pPr>
              <w:pStyle w:val="TableTextLeft"/>
            </w:pPr>
            <w:r w:rsidRPr="00A32FF1">
              <w:t>Roger Brake</w:t>
            </w:r>
          </w:p>
        </w:tc>
        <w:tc>
          <w:tcPr>
            <w:tcW w:w="2432" w:type="dxa"/>
          </w:tcPr>
          <w:p w14:paraId="3194C62B" w14:textId="77777777" w:rsidR="00630FD2" w:rsidRPr="00A32FF1" w:rsidRDefault="00630FD2" w:rsidP="00697F71">
            <w:pPr>
              <w:pStyle w:val="TableTextLeft"/>
            </w:pPr>
          </w:p>
        </w:tc>
      </w:tr>
    </w:tbl>
    <w:bookmarkEnd w:id="200"/>
    <w:bookmarkEnd w:id="201"/>
    <w:bookmarkEnd w:id="202"/>
    <w:bookmarkEnd w:id="203"/>
    <w:bookmarkEnd w:id="204"/>
    <w:bookmarkEnd w:id="205"/>
    <w:p w14:paraId="2A5872FA" w14:textId="7291FCE0" w:rsidR="00BA03C5" w:rsidRDefault="00BA03C5" w:rsidP="00BA03C5">
      <w:pPr>
        <w:pStyle w:val="ChartGraphic"/>
        <w:spacing w:after="360"/>
      </w:pPr>
      <w:r>
        <w:rPr>
          <w:noProof/>
        </w:rPr>
        <w:lastRenderedPageBreak/>
        <w:drawing>
          <wp:inline distT="0" distB="0" distL="0" distR="0" wp14:anchorId="659EFFE7" wp14:editId="791C1D3E">
            <wp:extent cx="4895088" cy="3060192"/>
            <wp:effectExtent l="0" t="0" r="1270" b="698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RB part page6.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4895088" cy="3060192"/>
                    </a:xfrm>
                    <a:prstGeom prst="rect">
                      <a:avLst/>
                    </a:prstGeom>
                  </pic:spPr>
                </pic:pic>
              </a:graphicData>
            </a:graphic>
          </wp:inline>
        </w:drawing>
      </w:r>
    </w:p>
    <w:p w14:paraId="0FB31CBD" w14:textId="3ACD413D" w:rsidR="00350381" w:rsidRDefault="00350381" w:rsidP="00350381">
      <w:pPr>
        <w:pStyle w:val="Heading1"/>
      </w:pPr>
      <w:bookmarkStart w:id="207" w:name="_Toc514924645"/>
      <w:r>
        <w:t>Appendix B: M</w:t>
      </w:r>
      <w:r w:rsidRPr="00350381">
        <w:t>ethodological and data caveats</w:t>
      </w:r>
      <w:bookmarkEnd w:id="207"/>
    </w:p>
    <w:p w14:paraId="3638901E" w14:textId="17CA6240" w:rsidR="00264BB4" w:rsidRPr="00264BB4" w:rsidRDefault="00264BB4" w:rsidP="00264BB4">
      <w:pPr>
        <w:rPr>
          <w:sz w:val="24"/>
        </w:rPr>
      </w:pPr>
      <w:r w:rsidRPr="00264BB4">
        <w:t xml:space="preserve">This appendix provides an overview of the main methodological and data caveats that apply to </w:t>
      </w:r>
      <w:r w:rsidR="00755126">
        <w:t xml:space="preserve">investment </w:t>
      </w:r>
      <w:r w:rsidRPr="00264BB4">
        <w:t xml:space="preserve">proposal data in this Annual </w:t>
      </w:r>
      <w:r w:rsidRPr="00264BB4">
        <w:rPr>
          <w:szCs w:val="24"/>
        </w:rPr>
        <w:t>Report.</w:t>
      </w:r>
      <w:r w:rsidRPr="00264BB4">
        <w:t xml:space="preserve"> While a useful source of data on proposed foreign investment in Australia, the </w:t>
      </w:r>
      <w:r w:rsidR="007F72FF">
        <w:t>FIRB</w:t>
      </w:r>
      <w:r w:rsidRPr="00264BB4">
        <w:t xml:space="preserve"> urges caution in the use of these statistics, particularly when making comparisons with earlier years or alternate data sources on foreign investment.</w:t>
      </w:r>
    </w:p>
    <w:p w14:paraId="32FDAC7C" w14:textId="77777777" w:rsidR="00264BB4" w:rsidRPr="00264BB4" w:rsidRDefault="00264BB4" w:rsidP="00FC2447">
      <w:pPr>
        <w:pStyle w:val="Heading2noTOC"/>
        <w:rPr>
          <w:rFonts w:eastAsiaTheme="majorEastAsia" w:cstheme="majorBidi"/>
          <w:smallCaps/>
          <w:color w:val="4F81BD" w:themeColor="accent1"/>
          <w:sz w:val="24"/>
        </w:rPr>
      </w:pPr>
      <w:r w:rsidRPr="00264BB4">
        <w:rPr>
          <w:rFonts w:eastAsiaTheme="majorEastAsia"/>
        </w:rPr>
        <w:t>Methodological and data caveats</w:t>
      </w:r>
    </w:p>
    <w:p w14:paraId="48CEE5DE" w14:textId="77777777" w:rsidR="00264BB4" w:rsidRPr="00264BB4" w:rsidRDefault="00264BB4" w:rsidP="00C27882">
      <w:pPr>
        <w:pStyle w:val="FIRBBulletpoint"/>
      </w:pPr>
      <w:r w:rsidRPr="00264BB4">
        <w:t>The statistics contained in this Annual Report do not measure total foreign investment made in any year, nor do they measure changes in net foreign ownership levels in Australia. They reflect investor intentions (not actual purchases) to acquire Australian assets. They can be skewed by very large investment proposals and multiple proposals for the same target.</w:t>
      </w:r>
    </w:p>
    <w:p w14:paraId="445540CD" w14:textId="77777777" w:rsidR="00264BB4" w:rsidRPr="00264BB4" w:rsidRDefault="00264BB4" w:rsidP="00C27882">
      <w:pPr>
        <w:pStyle w:val="FIRBBulletpoint"/>
      </w:pPr>
      <w:r w:rsidRPr="00264BB4">
        <w:t>There are substantial differences between these statistics on proposed investments and actual investment flows. The latter are more reliably captured by the Australian Bureau of Statistics, which seeks to reflect more comprehensively investment transactions between residents of Australia and non</w:t>
      </w:r>
      <w:r w:rsidRPr="00264BB4">
        <w:noBreakHyphen/>
        <w:t>residents.</w:t>
      </w:r>
    </w:p>
    <w:p w14:paraId="15A3D96F" w14:textId="0CF1F399" w:rsidR="00264BB4" w:rsidRPr="00264BB4" w:rsidRDefault="00264BB4" w:rsidP="00C27882">
      <w:pPr>
        <w:pStyle w:val="FIRBBulletpoint"/>
      </w:pPr>
      <w:r w:rsidRPr="00264BB4">
        <w:t xml:space="preserve">Data capture, systems and reporting methodologies change over time and from </w:t>
      </w:r>
      <w:r w:rsidR="008E645B">
        <w:t>the 2015</w:t>
      </w:r>
      <w:r w:rsidR="0075073F">
        <w:noBreakHyphen/>
      </w:r>
      <w:r w:rsidR="008E645B">
        <w:t>16</w:t>
      </w:r>
      <w:r w:rsidR="008E645B" w:rsidRPr="00264BB4">
        <w:t xml:space="preserve"> </w:t>
      </w:r>
      <w:r w:rsidRPr="00264BB4">
        <w:t>Annual Report onwards much of the data is an aggregation of separate data captured by Treasury and the ATO</w:t>
      </w:r>
      <w:r w:rsidRPr="00264BB4" w:rsidDel="0064640E">
        <w:t>.</w:t>
      </w:r>
    </w:p>
    <w:p w14:paraId="0FF09A6E" w14:textId="5C951A01" w:rsidR="00264BB4" w:rsidRPr="00264BB4" w:rsidRDefault="00264BB4" w:rsidP="00C27882">
      <w:pPr>
        <w:pStyle w:val="FIRBBulletpoint"/>
      </w:pPr>
      <w:r w:rsidRPr="00264BB4">
        <w:t>Data presented for earlier years may also have been revised since last published</w:t>
      </w:r>
      <w:r w:rsidR="00830BF7">
        <w:t>.</w:t>
      </w:r>
    </w:p>
    <w:p w14:paraId="1C611E11" w14:textId="77777777" w:rsidR="00264BB4" w:rsidRPr="00264BB4" w:rsidRDefault="00264BB4" w:rsidP="00C27882">
      <w:pPr>
        <w:pStyle w:val="FIRBBulletpoint"/>
      </w:pPr>
      <w:r w:rsidRPr="00264BB4">
        <w:lastRenderedPageBreak/>
        <w:t>The figures are based on the assumption that investment funds will be sourced from overseas. The extent to which approved investment proposals will actually be funded from outside of Australia and result in foreign capital inflows depends not only upon whether they are implemented, but also upon the proportion that is financed from foreign sources. The proposed funds to be invested may be contributed by Australians, for example, where they are in partnership with foreign interests, or where the investment is financed from existing Australian operations.</w:t>
      </w:r>
    </w:p>
    <w:p w14:paraId="4F8978C7" w14:textId="0FD1A8CF" w:rsidR="00D37120" w:rsidRPr="00D37120" w:rsidRDefault="00D37120" w:rsidP="00C27882">
      <w:pPr>
        <w:pStyle w:val="FIRBBulletpoint"/>
      </w:pPr>
      <w:r w:rsidRPr="00D37120">
        <w:t xml:space="preserve">The source of proposed investment identified in the FIRB statistics does not necessarily reflect all countries involved in a foreign investment transaction. The general approach is for the investment to be attributed to a controlling investor on the basis of value of investment, and also acknowledge the involvement of foreign government investors </w:t>
      </w:r>
      <w:r w:rsidR="00382544">
        <w:t>greater than 5 per cent</w:t>
      </w:r>
      <w:r w:rsidR="00382544" w:rsidRPr="00D37120">
        <w:t xml:space="preserve"> </w:t>
      </w:r>
      <w:r w:rsidRPr="00D37120">
        <w:t>in approval numbers and as a notional investment value. For example, the source may be attributed to a company’s single substantial shareholder, or if a company’s shares are widely held, the country of domicile or incorporation may be recorded.</w:t>
      </w:r>
    </w:p>
    <w:p w14:paraId="71AEDC40" w14:textId="250DD93C" w:rsidR="005F1347" w:rsidRPr="00264BB4" w:rsidRDefault="005F1347" w:rsidP="00C27882">
      <w:pPr>
        <w:pStyle w:val="FIRBDash"/>
      </w:pPr>
      <w:r w:rsidRPr="00D37120">
        <w:t xml:space="preserve">For </w:t>
      </w:r>
      <w:r w:rsidRPr="002D620D">
        <w:rPr>
          <w:color w:val="auto"/>
        </w:rPr>
        <w:t>consortium</w:t>
      </w:r>
      <w:r w:rsidRPr="00D37120">
        <w:t xml:space="preserve"> proposals, or where there is </w:t>
      </w:r>
      <w:r w:rsidR="00D37120" w:rsidRPr="00D37120">
        <w:t>relatively</w:t>
      </w:r>
      <w:r w:rsidRPr="00D37120">
        <w:t xml:space="preserve"> shared control, the proposed investment may </w:t>
      </w:r>
      <w:proofErr w:type="gramStart"/>
      <w:r w:rsidR="00D37120" w:rsidRPr="00D37120">
        <w:t>counted</w:t>
      </w:r>
      <w:proofErr w:type="gramEnd"/>
      <w:r w:rsidR="00D37120" w:rsidRPr="00D37120">
        <w:t xml:space="preserve"> against a number of countries with the investment value</w:t>
      </w:r>
      <w:r w:rsidRPr="00D37120">
        <w:t xml:space="preserve"> pro-rated between </w:t>
      </w:r>
      <w:r w:rsidR="00D37120" w:rsidRPr="00D37120">
        <w:t>those countries involved</w:t>
      </w:r>
      <w:r w:rsidRPr="00D37120">
        <w:t>.</w:t>
      </w:r>
    </w:p>
    <w:p w14:paraId="13F6E0BC" w14:textId="4E87F60B" w:rsidR="00264BB4" w:rsidRPr="002229CB" w:rsidRDefault="00264BB4" w:rsidP="00C27882">
      <w:pPr>
        <w:pStyle w:val="FIRBBulletpoint"/>
      </w:pPr>
      <w:r w:rsidRPr="002229CB">
        <w:t>The data do</w:t>
      </w:r>
      <w:r w:rsidR="002238CD" w:rsidRPr="002229CB">
        <w:t>es</w:t>
      </w:r>
      <w:r w:rsidRPr="002229CB">
        <w:t xml:space="preserve"> not necessarily reflect a change </w:t>
      </w:r>
      <w:r w:rsidR="002238CD" w:rsidRPr="002229CB">
        <w:t>from domestic to</w:t>
      </w:r>
      <w:r w:rsidRPr="002229CB">
        <w:t xml:space="preserve"> foreign ownership as in some cases both the target and the purchaser are foreign persons.</w:t>
      </w:r>
    </w:p>
    <w:p w14:paraId="011849AB" w14:textId="7FCAC9FE" w:rsidR="00264BB4" w:rsidRPr="002229CB" w:rsidRDefault="00264BB4" w:rsidP="00C27882">
      <w:pPr>
        <w:pStyle w:val="FIRBBulletpoint"/>
      </w:pPr>
      <w:r w:rsidRPr="002229CB">
        <w:t xml:space="preserve">The </w:t>
      </w:r>
      <w:r w:rsidR="002238CD" w:rsidRPr="002229CB">
        <w:t xml:space="preserve">value ascribed to a </w:t>
      </w:r>
      <w:r w:rsidRPr="002229CB">
        <w:t xml:space="preserve">proposed investment </w:t>
      </w:r>
      <w:r w:rsidR="002238CD" w:rsidRPr="002229CB">
        <w:t>which has received approval</w:t>
      </w:r>
      <w:r w:rsidRPr="002229CB">
        <w:t xml:space="preserve"> is the amount advised by the applicant or the best estimate based on the available information. It represents an estimate of the expected proposed investment in the 12 months from the approval unless the approval is granted for a longer period (if the proposal is implemented).</w:t>
      </w:r>
    </w:p>
    <w:p w14:paraId="1BCECF88" w14:textId="77777777" w:rsidR="00264BB4" w:rsidRPr="00264BB4" w:rsidRDefault="00264BB4" w:rsidP="00C27882">
      <w:pPr>
        <w:pStyle w:val="FIRBDash"/>
      </w:pPr>
      <w:r w:rsidRPr="00264BB4">
        <w:t>Where an approved acquisition is a part of an offshore acquisition, the proposed investment figure is calculated based on the share attributable to the approved acquisition in Australia.</w:t>
      </w:r>
    </w:p>
    <w:p w14:paraId="67FC66E7" w14:textId="77777777" w:rsidR="00264BB4" w:rsidRPr="00264BB4" w:rsidRDefault="00264BB4" w:rsidP="00C27882">
      <w:pPr>
        <w:pStyle w:val="FIRBDash"/>
      </w:pPr>
      <w:r w:rsidRPr="00264BB4">
        <w:t>Where amounts are in a foreign currency, this is converted to Australian dollars based on the exchange rate at the time of the decision.</w:t>
      </w:r>
    </w:p>
    <w:p w14:paraId="590490BC" w14:textId="77777777" w:rsidR="00264BB4" w:rsidRPr="00264BB4" w:rsidRDefault="00264BB4" w:rsidP="00C27882">
      <w:pPr>
        <w:pStyle w:val="FIRBDash"/>
      </w:pPr>
      <w:r w:rsidRPr="00264BB4">
        <w:t>There are some approved proposals for which proposed investment is treated as nil. Examples of this include internal corporate reorganisations, financing arrangements and where foreign government investor lenders take security interests, but do not have approval to retain ownership after any enforcement of such security interests.</w:t>
      </w:r>
    </w:p>
    <w:p w14:paraId="1F31523E" w14:textId="77777777" w:rsidR="00264BB4" w:rsidRPr="00264BB4" w:rsidRDefault="00264BB4" w:rsidP="00C27882">
      <w:pPr>
        <w:pStyle w:val="FIRBBulletpoint"/>
      </w:pPr>
      <w:r w:rsidRPr="00264BB4">
        <w:t>The statistics may include some transactions that do not actually proceed. They include:</w:t>
      </w:r>
    </w:p>
    <w:p w14:paraId="422CD51D" w14:textId="77777777" w:rsidR="00264BB4" w:rsidRPr="00C27882" w:rsidRDefault="00264BB4" w:rsidP="00C27882">
      <w:pPr>
        <w:pStyle w:val="FIRBDash"/>
      </w:pPr>
      <w:r w:rsidRPr="00C27882">
        <w:t>proposals that are approved in a given year but which are not actually implemented in that year or at all;</w:t>
      </w:r>
    </w:p>
    <w:p w14:paraId="4CF8830A" w14:textId="77777777" w:rsidR="00264BB4" w:rsidRPr="00C27882" w:rsidRDefault="00264BB4" w:rsidP="00C27882">
      <w:pPr>
        <w:pStyle w:val="FIRBDash"/>
      </w:pPr>
      <w:r w:rsidRPr="00C27882">
        <w:t>approvals for multiple potential acquirers of the same target (including for potential consortium participants that are yet to determine their final maximum percentage interest); and</w:t>
      </w:r>
    </w:p>
    <w:p w14:paraId="74C7F7BD" w14:textId="77777777" w:rsidR="00264BB4" w:rsidRPr="00264BB4" w:rsidRDefault="00264BB4" w:rsidP="00C27882">
      <w:pPr>
        <w:pStyle w:val="FIRBDash"/>
      </w:pPr>
      <w:proofErr w:type="gramStart"/>
      <w:r w:rsidRPr="00264BB4">
        <w:lastRenderedPageBreak/>
        <w:t>approvals</w:t>
      </w:r>
      <w:proofErr w:type="gramEnd"/>
      <w:r w:rsidRPr="00264BB4">
        <w:t xml:space="preserve"> for shares or units where only a portion of the intended shares or units may be acquired.</w:t>
      </w:r>
    </w:p>
    <w:p w14:paraId="3677F716" w14:textId="09D318B0" w:rsidR="00264BB4" w:rsidRPr="002229CB" w:rsidRDefault="00264BB4" w:rsidP="00C27882">
      <w:pPr>
        <w:pStyle w:val="FIRBBulletpoint"/>
      </w:pPr>
      <w:r w:rsidRPr="002229CB">
        <w:t>Acquisitions of diversified company groups are classified into a single industry sector according to the major activity of the group, such as in a diversified mining company with interests in various minerals. Acquisitions of real estate to be used for purposes incidental to the main business activity of the purchaser are classified according to that activity.</w:t>
      </w:r>
      <w:r w:rsidRPr="002229CB">
        <w:rPr>
          <w:rStyle w:val="FootnoteReference"/>
          <w:vertAlign w:val="baseline"/>
        </w:rPr>
        <w:footnoteReference w:id="5"/>
      </w:r>
    </w:p>
    <w:p w14:paraId="334ED059" w14:textId="32D62AA0" w:rsidR="00264BB4" w:rsidRPr="00264BB4" w:rsidRDefault="00264BB4" w:rsidP="00264BB4">
      <w:pPr>
        <w:keepNext/>
        <w:spacing w:before="120" w:after="60"/>
        <w:outlineLvl w:val="2"/>
        <w:rPr>
          <w:rFonts w:ascii="Calibri" w:hAnsi="Calibri" w:cs="Arial"/>
          <w:iCs/>
          <w:smallCaps/>
          <w:color w:val="4F81BD"/>
          <w:szCs w:val="26"/>
        </w:rPr>
      </w:pPr>
      <w:r w:rsidRPr="00264BB4">
        <w:rPr>
          <w:rFonts w:ascii="Calibri" w:hAnsi="Calibri" w:cs="Arial"/>
          <w:b/>
          <w:bCs/>
          <w:color w:val="4F81BD"/>
          <w:szCs w:val="26"/>
        </w:rPr>
        <w:t>Policy scope and changes</w:t>
      </w:r>
    </w:p>
    <w:p w14:paraId="719BB980" w14:textId="5CF44BF0" w:rsidR="00264BB4" w:rsidRPr="00264BB4" w:rsidRDefault="00264BB4" w:rsidP="00264BB4">
      <w:r w:rsidRPr="00264BB4">
        <w:t>The breadth of the data reflects the requirements of Government policy at the time. The</w:t>
      </w:r>
      <w:r w:rsidRPr="00264BB4">
        <w:rPr>
          <w:szCs w:val="24"/>
        </w:rPr>
        <w:t> </w:t>
      </w:r>
      <w:r w:rsidRPr="00264BB4">
        <w:t>data do not cover foreign investments below the various screening thresholds that apply under the Act. Nor does the data cover follow</w:t>
      </w:r>
      <w:r w:rsidRPr="00264BB4">
        <w:noBreakHyphen/>
        <w:t>on investments to expand the capital stock of existing foreign</w:t>
      </w:r>
      <w:r w:rsidRPr="00264BB4">
        <w:noBreakHyphen/>
        <w:t>owned businesses (both in existing areas and into related areas).</w:t>
      </w:r>
    </w:p>
    <w:p w14:paraId="7E28552A" w14:textId="3A3A3D27" w:rsidR="00264BB4" w:rsidRPr="00264BB4" w:rsidRDefault="00264BB4" w:rsidP="002229CB">
      <w:r w:rsidRPr="00264BB4">
        <w:t>Furthermore, policy and legislative change can have a considerable impact on the continuity of data. For instance, changes in the Policy since the mid</w:t>
      </w:r>
      <w:r w:rsidRPr="00264BB4">
        <w:noBreakHyphen/>
        <w:t>1980s have affected the number of some types of proposals, limiting comparability over time. These changes include:</w:t>
      </w:r>
    </w:p>
    <w:p w14:paraId="001E4928" w14:textId="6CE62609" w:rsidR="0090461D" w:rsidRPr="00264BB4" w:rsidRDefault="0090461D" w:rsidP="00C27882">
      <w:pPr>
        <w:pStyle w:val="FIRBBulletpoint"/>
      </w:pPr>
      <w:r>
        <w:t xml:space="preserve">changes to the thresholds above which an acquisition requires foreign investment approval, both through free trade agreements and general policy changes (for example, </w:t>
      </w:r>
      <w:r w:rsidRPr="00264BB4">
        <w:t>the lowering of the general agricultural land screening threshold from $252 million to $15 million (cumulative) from 1 March 2015</w:t>
      </w:r>
      <w:r>
        <w:t>)</w:t>
      </w:r>
      <w:r w:rsidRPr="00264BB4">
        <w:t xml:space="preserve">; </w:t>
      </w:r>
    </w:p>
    <w:p w14:paraId="55904DB9" w14:textId="77777777" w:rsidR="00264BB4" w:rsidRPr="00264BB4" w:rsidRDefault="00264BB4" w:rsidP="00C27882">
      <w:pPr>
        <w:pStyle w:val="FIRBBulletpoint"/>
      </w:pPr>
      <w:r w:rsidRPr="00264BB4">
        <w:t>the revised definition of foreign government investor introduced in March 2013;</w:t>
      </w:r>
    </w:p>
    <w:p w14:paraId="1C02926B" w14:textId="59EFC5CB" w:rsidR="00264BB4" w:rsidRPr="00264BB4" w:rsidRDefault="00264BB4" w:rsidP="00C27882">
      <w:pPr>
        <w:pStyle w:val="FIRBBulletpoint"/>
      </w:pPr>
      <w:r w:rsidRPr="00264BB4">
        <w:t>the introduction of changes in 2009 and 2010 to the screening arrangements for temporary residents purchasing residential real estate</w:t>
      </w:r>
      <w:r w:rsidR="0090461D">
        <w:t xml:space="preserve">, as well as changes </w:t>
      </w:r>
      <w:r w:rsidR="0090461D" w:rsidRPr="00264BB4">
        <w:t>in immigration policies that control the number of temporary resident visa holders</w:t>
      </w:r>
      <w:r w:rsidRPr="00264BB4">
        <w:t>;</w:t>
      </w:r>
    </w:p>
    <w:p w14:paraId="70ACA329" w14:textId="52E1144B" w:rsidR="00264BB4" w:rsidRPr="00264BB4" w:rsidRDefault="006B70F2" w:rsidP="00C27882">
      <w:pPr>
        <w:pStyle w:val="FIRBBulletpoint"/>
      </w:pPr>
      <w:r>
        <w:t xml:space="preserve"> </w:t>
      </w:r>
      <w:r w:rsidR="00264BB4" w:rsidRPr="00264BB4">
        <w:t>the significant 1 December 2015 reforms which included:</w:t>
      </w:r>
    </w:p>
    <w:p w14:paraId="29FC428C" w14:textId="77777777" w:rsidR="00264BB4" w:rsidRPr="00264BB4" w:rsidRDefault="00264BB4" w:rsidP="00C27882">
      <w:pPr>
        <w:pStyle w:val="FIRBDash"/>
      </w:pPr>
      <w:r w:rsidRPr="00264BB4">
        <w:t>the introduction of fees for foreign investment applications;</w:t>
      </w:r>
    </w:p>
    <w:p w14:paraId="4D91C8DA" w14:textId="77777777" w:rsidR="00264BB4" w:rsidRPr="00264BB4" w:rsidRDefault="00264BB4" w:rsidP="00C27882">
      <w:pPr>
        <w:pStyle w:val="FIRBDash"/>
      </w:pPr>
      <w:r w:rsidRPr="00264BB4">
        <w:t xml:space="preserve">the introduction of a $55 million threshold for direct investments in agribusiness; </w:t>
      </w:r>
    </w:p>
    <w:p w14:paraId="6CD344C9" w14:textId="77777777" w:rsidR="00264BB4" w:rsidRPr="00264BB4" w:rsidRDefault="00264BB4" w:rsidP="00C27882">
      <w:pPr>
        <w:pStyle w:val="FIRBDash"/>
      </w:pPr>
      <w:r w:rsidRPr="00264BB4">
        <w:t xml:space="preserve">the shift of many requirements from Policy into legislation; </w:t>
      </w:r>
    </w:p>
    <w:p w14:paraId="0002BAF3" w14:textId="77777777" w:rsidR="00264BB4" w:rsidRPr="00264BB4" w:rsidRDefault="00264BB4" w:rsidP="00C27882">
      <w:pPr>
        <w:pStyle w:val="FIRBDash"/>
      </w:pPr>
      <w:r w:rsidRPr="00264BB4">
        <w:t>modernisation of the foreign investment legislation including changes to exemptions and the substantial interest threshold;</w:t>
      </w:r>
    </w:p>
    <w:p w14:paraId="03CAAD5C" w14:textId="3D674C25" w:rsidR="00264BB4" w:rsidRPr="00264BB4" w:rsidRDefault="00264BB4" w:rsidP="00C27882">
      <w:pPr>
        <w:pStyle w:val="FIRBDash"/>
      </w:pPr>
      <w:r w:rsidRPr="00264BB4">
        <w:lastRenderedPageBreak/>
        <w:t xml:space="preserve">changes to </w:t>
      </w:r>
      <w:r w:rsidR="007824DC">
        <w:t>e</w:t>
      </w:r>
      <w:r w:rsidRPr="00264BB4">
        <w:t xml:space="preserve">xemption </w:t>
      </w:r>
      <w:r w:rsidR="007824DC">
        <w:t>c</w:t>
      </w:r>
      <w:r w:rsidRPr="00264BB4">
        <w:t>ertificates; and</w:t>
      </w:r>
    </w:p>
    <w:p w14:paraId="116954EE" w14:textId="77777777" w:rsidR="00264BB4" w:rsidRPr="00264BB4" w:rsidRDefault="00264BB4" w:rsidP="00C27882">
      <w:pPr>
        <w:pStyle w:val="FIRBDash"/>
      </w:pPr>
      <w:proofErr w:type="gramStart"/>
      <w:r w:rsidRPr="00264BB4">
        <w:t>the</w:t>
      </w:r>
      <w:proofErr w:type="gramEnd"/>
      <w:r w:rsidRPr="00264BB4">
        <w:t xml:space="preserve"> increase in the monetary threshold for commercial developed land that is not sensitive from $55 million to $252 million.</w:t>
      </w:r>
    </w:p>
    <w:p w14:paraId="10EBD9BF" w14:textId="77777777" w:rsidR="00264BB4" w:rsidRPr="00264BB4" w:rsidRDefault="00264BB4" w:rsidP="00264BB4">
      <w:pPr>
        <w:keepNext/>
        <w:spacing w:before="120" w:after="60"/>
        <w:outlineLvl w:val="2"/>
        <w:rPr>
          <w:rFonts w:ascii="Calibri" w:hAnsi="Calibri" w:cs="Arial"/>
          <w:iCs/>
          <w:smallCaps/>
          <w:color w:val="4F81BD"/>
          <w:szCs w:val="26"/>
        </w:rPr>
      </w:pPr>
      <w:r w:rsidRPr="00264BB4">
        <w:rPr>
          <w:rFonts w:ascii="Calibri" w:hAnsi="Calibri" w:cs="Arial"/>
          <w:b/>
          <w:bCs/>
          <w:color w:val="4F81BD"/>
          <w:szCs w:val="26"/>
        </w:rPr>
        <w:t>Administrative practices</w:t>
      </w:r>
    </w:p>
    <w:p w14:paraId="430D2004" w14:textId="77777777" w:rsidR="00264BB4" w:rsidRPr="00264BB4" w:rsidRDefault="00264BB4" w:rsidP="002229CB">
      <w:r w:rsidRPr="00264BB4">
        <w:t>Changes in administrative practice (for example, data collection and record keeping) and foreign investment application requirements have also impacted on year</w:t>
      </w:r>
      <w:r w:rsidRPr="00264BB4">
        <w:noBreakHyphen/>
        <w:t>to</w:t>
      </w:r>
      <w:r w:rsidRPr="00264BB4">
        <w:noBreakHyphen/>
        <w:t>year data comparability. Examples of this include the following:</w:t>
      </w:r>
    </w:p>
    <w:p w14:paraId="69920080" w14:textId="6C34EBAB" w:rsidR="00264BB4" w:rsidRPr="00264BB4" w:rsidRDefault="00264BB4" w:rsidP="00C27882">
      <w:pPr>
        <w:pStyle w:val="FIRBBulletpoint"/>
      </w:pPr>
      <w:r w:rsidRPr="00264BB4">
        <w:t>The implementation of a new case management system and a user</w:t>
      </w:r>
      <w:r w:rsidRPr="00264BB4">
        <w:noBreakHyphen/>
        <w:t>based web portal for lodging foreign investment applications in November 2013 significantly improved data collection capabilities and processing efficiency for proposals in residential real estate. Data capture and reporting procedures for non</w:t>
      </w:r>
      <w:r w:rsidRPr="00264BB4">
        <w:noBreakHyphen/>
        <w:t>residential real estate proposals transitioned to the new case management system f</w:t>
      </w:r>
      <w:r w:rsidR="002229CB">
        <w:t>rom 1 July 2014.</w:t>
      </w:r>
    </w:p>
    <w:p w14:paraId="212A2E54" w14:textId="57960102" w:rsidR="00264BB4" w:rsidRPr="00CC2CDC" w:rsidRDefault="00264BB4" w:rsidP="00C27882">
      <w:pPr>
        <w:pStyle w:val="FIRBBulletpoint"/>
      </w:pPr>
      <w:r w:rsidRPr="00264BB4">
        <w:t xml:space="preserve">The most recent Australian and New Zealand Standard Industrial Classification (ANZSIC 2006) was adopted for </w:t>
      </w:r>
      <w:r w:rsidRPr="00353E9A">
        <w:t>data recording and reporting purposes as part of the new case management system. Year</w:t>
      </w:r>
      <w:r w:rsidRPr="00CC2CDC">
        <w:t xml:space="preserve"> to year comparability of pre 2014</w:t>
      </w:r>
      <w:r w:rsidR="0075073F">
        <w:t>–</w:t>
      </w:r>
      <w:r w:rsidRPr="00CC2CDC">
        <w:t>15 data may be limited.</w:t>
      </w:r>
    </w:p>
    <w:p w14:paraId="767C1D8D" w14:textId="28B70FD6" w:rsidR="00264BB4" w:rsidRPr="002229CB" w:rsidRDefault="00264BB4" w:rsidP="00C27882">
      <w:pPr>
        <w:pStyle w:val="FIRBBulletpoint"/>
      </w:pPr>
      <w:r w:rsidRPr="002229CB">
        <w:t xml:space="preserve">The </w:t>
      </w:r>
      <w:r w:rsidR="0090461D" w:rsidRPr="002229CB">
        <w:t>transfer of screening of</w:t>
      </w:r>
      <w:r w:rsidRPr="002229CB">
        <w:t xml:space="preserve"> residential real estate cases to the ATO from 1 December 2015</w:t>
      </w:r>
      <w:r w:rsidR="0090461D" w:rsidRPr="002229CB">
        <w:t xml:space="preserve"> and of non-sensitive commercial real estate and internal reorganisation (restructure) foreign investment applications from 1 April 2017</w:t>
      </w:r>
      <w:r w:rsidRPr="002229CB">
        <w:t>.</w:t>
      </w:r>
    </w:p>
    <w:p w14:paraId="6F69B0AD" w14:textId="77777777" w:rsidR="002229CB" w:rsidRPr="002238CD" w:rsidRDefault="002229CB" w:rsidP="00C27882">
      <w:pPr>
        <w:pStyle w:val="FIRBBulletpoint"/>
        <w:sectPr w:rsidR="002229CB" w:rsidRPr="002238CD" w:rsidSect="0020758A">
          <w:headerReference w:type="default" r:id="rId104"/>
          <w:type w:val="oddPage"/>
          <w:pgSz w:w="11907" w:h="16840" w:code="9"/>
          <w:pgMar w:top="2466" w:right="2098" w:bottom="2466" w:left="2098" w:header="1899" w:footer="1899" w:gutter="0"/>
          <w:cols w:space="708"/>
          <w:titlePg/>
          <w:docGrid w:linePitch="360"/>
        </w:sectPr>
      </w:pPr>
    </w:p>
    <w:p w14:paraId="6F0E3418" w14:textId="7641497B" w:rsidR="00FC2447" w:rsidRDefault="00FC2447" w:rsidP="00FC2447">
      <w:pPr>
        <w:pStyle w:val="ChartGraphic"/>
        <w:spacing w:after="360"/>
      </w:pPr>
      <w:r>
        <w:rPr>
          <w:noProof/>
        </w:rPr>
        <w:lastRenderedPageBreak/>
        <w:drawing>
          <wp:inline distT="0" distB="0" distL="0" distR="0" wp14:anchorId="41ACF3BC" wp14:editId="1F81AD32">
            <wp:extent cx="4895088" cy="3060192"/>
            <wp:effectExtent l="0" t="0" r="1270" b="698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RB part page7.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4895088" cy="3060192"/>
                    </a:xfrm>
                    <a:prstGeom prst="rect">
                      <a:avLst/>
                    </a:prstGeom>
                  </pic:spPr>
                </pic:pic>
              </a:graphicData>
            </a:graphic>
          </wp:inline>
        </w:drawing>
      </w:r>
    </w:p>
    <w:p w14:paraId="1280A995" w14:textId="6459A57B" w:rsidR="00350381" w:rsidRDefault="00350381" w:rsidP="00350381">
      <w:pPr>
        <w:pStyle w:val="Heading1"/>
      </w:pPr>
      <w:bookmarkStart w:id="208" w:name="_Toc514924646"/>
      <w:r>
        <w:t>Appendix C: E</w:t>
      </w:r>
      <w:r w:rsidRPr="00350381">
        <w:t>xamination and approval process</w:t>
      </w:r>
      <w:bookmarkEnd w:id="208"/>
    </w:p>
    <w:p w14:paraId="3ECDA2BD" w14:textId="77777777" w:rsidR="00264BB4" w:rsidRPr="00264BB4" w:rsidRDefault="00264BB4" w:rsidP="00264BB4">
      <w:r w:rsidRPr="00264BB4">
        <w:t>The examination of foreign investment proposals is rigorous. The assessment process seeks to ensure that particular proposals are not contrary to Australia’s national interest. In fulfilling this objective, proposals are examined with a view to identifying any sensitivity regarding the national interest and determining whether these sensitivities can be mitigated or managed.</w:t>
      </w:r>
    </w:p>
    <w:p w14:paraId="71E8F1D1" w14:textId="31E21F37" w:rsidR="00264BB4" w:rsidRPr="00264BB4" w:rsidRDefault="007F72FF" w:rsidP="00FC2447">
      <w:pPr>
        <w:pStyle w:val="Heading2"/>
        <w:rPr>
          <w:smallCaps/>
        </w:rPr>
      </w:pPr>
      <w:bookmarkStart w:id="209" w:name="_Toc514924647"/>
      <w:r>
        <w:t>FIRB</w:t>
      </w:r>
      <w:r w:rsidR="00264BB4" w:rsidRPr="00264BB4">
        <w:t xml:space="preserve"> involvement</w:t>
      </w:r>
      <w:bookmarkEnd w:id="209"/>
    </w:p>
    <w:p w14:paraId="1091D1DE" w14:textId="0FB9C89C" w:rsidR="00264BB4" w:rsidRPr="00264BB4" w:rsidRDefault="00264BB4" w:rsidP="00264BB4">
      <w:r w:rsidRPr="00264BB4">
        <w:t xml:space="preserve">The </w:t>
      </w:r>
      <w:r w:rsidR="007F72FF">
        <w:t>FIRB</w:t>
      </w:r>
      <w:r w:rsidRPr="00264BB4">
        <w:t xml:space="preserve"> provides advice on the application of the foreign investment framework across the range of proposals received and on foreign investment policy issues. It provides specific advice on the more significant applications received and also reviews the general handling of other applications. The </w:t>
      </w:r>
      <w:r w:rsidR="007F72FF">
        <w:t>FIRB</w:t>
      </w:r>
      <w:r w:rsidRPr="00264BB4">
        <w:t xml:space="preserve"> performs this role with the benefit of weekly reports on proposals received and through regular meetings and discussions with the Executive Member and </w:t>
      </w:r>
      <w:r w:rsidR="00736A49">
        <w:t>Treasury or ATO</w:t>
      </w:r>
      <w:r w:rsidRPr="00264BB4">
        <w:t xml:space="preserve"> officers. Formal Board meetings are generally held monthly, with telephone discussions taking place in the intervening weeks. The </w:t>
      </w:r>
      <w:r w:rsidR="007F72FF">
        <w:t>FIRB</w:t>
      </w:r>
      <w:r w:rsidRPr="00264BB4">
        <w:t xml:space="preserve"> members draw on their considerable collective and individual professional and commercial experience in discharging their advisory role.</w:t>
      </w:r>
    </w:p>
    <w:p w14:paraId="452CFD8D" w14:textId="77777777" w:rsidR="00264BB4" w:rsidRPr="00264BB4" w:rsidRDefault="00264BB4" w:rsidP="00FC2447">
      <w:pPr>
        <w:pStyle w:val="Heading2"/>
        <w:rPr>
          <w:smallCaps/>
        </w:rPr>
      </w:pPr>
      <w:bookmarkStart w:id="210" w:name="_Toc514924648"/>
      <w:r w:rsidRPr="00264BB4">
        <w:t>Handling of commercially sensitive and personal information</w:t>
      </w:r>
      <w:bookmarkEnd w:id="210"/>
    </w:p>
    <w:p w14:paraId="6A07E422" w14:textId="30579EA5" w:rsidR="00264BB4" w:rsidRPr="00264BB4" w:rsidRDefault="00264BB4" w:rsidP="00264BB4">
      <w:r w:rsidRPr="00264BB4">
        <w:t xml:space="preserve">The </w:t>
      </w:r>
      <w:r w:rsidR="007F72FF">
        <w:t>FIRB</w:t>
      </w:r>
      <w:r w:rsidRPr="00264BB4">
        <w:t xml:space="preserve"> recognises that much of the information required to assess a proposal will be commercially sensitive or of a private or confidential nature. Consequently, appropriate measures are in place to ensure that confidentiality is protected.</w:t>
      </w:r>
    </w:p>
    <w:p w14:paraId="4BC7EB5B" w14:textId="50F6E75A" w:rsidR="00264BB4" w:rsidRPr="00264BB4" w:rsidRDefault="00264BB4" w:rsidP="00264BB4">
      <w:r w:rsidRPr="00264BB4">
        <w:lastRenderedPageBreak/>
        <w:t>In the event that access to confidential information is sought for purposes other than the assessment of an application, the Act contains explicit provisions on the circumstances in which information may be used or disclosed. This can include the administration of specified Commonwealth statutes, information disclosed to certain law enforcement bodies and information provided with written consent. Unauthorised disclosure of protected information under the Act is an offence subject to a maximum of two years imprisonment, a $</w:t>
      </w:r>
      <w:r w:rsidR="00830AFF">
        <w:t>25,00</w:t>
      </w:r>
      <w:r w:rsidR="00C03DC7">
        <w:t>0</w:t>
      </w:r>
      <w:r w:rsidRPr="00264BB4">
        <w:t xml:space="preserve"> fine, or both.</w:t>
      </w:r>
    </w:p>
    <w:p w14:paraId="4F9CD754" w14:textId="77777777" w:rsidR="00264BB4" w:rsidRPr="001C739A" w:rsidRDefault="00264BB4" w:rsidP="001C739A">
      <w:pPr>
        <w:pStyle w:val="Heading2"/>
      </w:pPr>
      <w:bookmarkStart w:id="211" w:name="_Toc512259070"/>
      <w:bookmarkStart w:id="212" w:name="_Toc512523492"/>
      <w:bookmarkStart w:id="213" w:name="_Toc512524861"/>
      <w:bookmarkStart w:id="214" w:name="_Toc513021749"/>
      <w:bookmarkStart w:id="215" w:name="_Toc513122767"/>
      <w:bookmarkStart w:id="216" w:name="_Toc513131337"/>
      <w:bookmarkStart w:id="217" w:name="_Toc513456071"/>
      <w:bookmarkStart w:id="218" w:name="_Toc513457317"/>
      <w:bookmarkStart w:id="219" w:name="_Toc513557395"/>
      <w:bookmarkStart w:id="220" w:name="_Toc513559411"/>
      <w:bookmarkStart w:id="221" w:name="_Toc514924649"/>
      <w:r w:rsidRPr="001C739A">
        <w:t>Application Screening Process</w:t>
      </w:r>
      <w:bookmarkEnd w:id="211"/>
      <w:bookmarkEnd w:id="212"/>
      <w:bookmarkEnd w:id="213"/>
      <w:bookmarkEnd w:id="214"/>
      <w:bookmarkEnd w:id="215"/>
      <w:bookmarkEnd w:id="216"/>
      <w:bookmarkEnd w:id="217"/>
      <w:bookmarkEnd w:id="218"/>
      <w:bookmarkEnd w:id="219"/>
      <w:bookmarkEnd w:id="220"/>
      <w:bookmarkEnd w:id="221"/>
    </w:p>
    <w:p w14:paraId="4EFD801D" w14:textId="4B33DDF2" w:rsidR="00264BB4" w:rsidRPr="00264BB4" w:rsidRDefault="00264BB4" w:rsidP="00264BB4">
      <w:r w:rsidRPr="00264BB4">
        <w:t xml:space="preserve">Key elements of the </w:t>
      </w:r>
      <w:r w:rsidR="00F02FBF">
        <w:t xml:space="preserve">application screening process </w:t>
      </w:r>
      <w:r w:rsidRPr="00264BB4">
        <w:t>are outlined below</w:t>
      </w:r>
      <w:r w:rsidR="00EA6672">
        <w:t xml:space="preserve">, and </w:t>
      </w:r>
      <w:r w:rsidR="00A83C69">
        <w:t>summarised</w:t>
      </w:r>
      <w:r w:rsidR="00EA6672">
        <w:t xml:space="preserve"> in </w:t>
      </w:r>
      <w:r w:rsidR="007757AE" w:rsidRPr="007757AE">
        <w:t>Figure C.1</w:t>
      </w:r>
      <w:r w:rsidRPr="00264BB4">
        <w:t>.</w:t>
      </w:r>
    </w:p>
    <w:p w14:paraId="6E28C720" w14:textId="77777777" w:rsidR="00264BB4" w:rsidRPr="00264BB4" w:rsidRDefault="00264BB4" w:rsidP="00FC2447">
      <w:pPr>
        <w:pStyle w:val="Heading3"/>
        <w:rPr>
          <w:iCs/>
          <w:smallCaps/>
        </w:rPr>
      </w:pPr>
      <w:r w:rsidRPr="00264BB4">
        <w:t>Initial examination</w:t>
      </w:r>
    </w:p>
    <w:p w14:paraId="2D6C1ABA" w14:textId="0C91CBAA" w:rsidR="00264BB4" w:rsidRPr="00264BB4" w:rsidRDefault="00264BB4" w:rsidP="00264BB4">
      <w:r w:rsidRPr="00264BB4">
        <w:t xml:space="preserve">The initial examination seeks to determine whether an application meets the notification requirements for a proposal in so far as the Act applies, whether the application contains sufficient detail and that the correct application fee has been paid. Timing is also considered, including deadlines that are commercially important to the applicant. The </w:t>
      </w:r>
      <w:r w:rsidR="007F72FF">
        <w:t>FIRB</w:t>
      </w:r>
      <w:r w:rsidRPr="00264BB4">
        <w:t xml:space="preserve"> has direct and early involvement in significant or sensiti</w:t>
      </w:r>
      <w:r w:rsidR="00FC2447">
        <w:t>ve applications.</w:t>
      </w:r>
    </w:p>
    <w:p w14:paraId="274A0E0A" w14:textId="77777777" w:rsidR="00264BB4" w:rsidRPr="00264BB4" w:rsidRDefault="00264BB4" w:rsidP="00FC2447">
      <w:pPr>
        <w:pStyle w:val="Heading3"/>
        <w:rPr>
          <w:iCs/>
          <w:smallCaps/>
        </w:rPr>
      </w:pPr>
      <w:r w:rsidRPr="00264BB4">
        <w:t>Consultation arrangements</w:t>
      </w:r>
    </w:p>
    <w:p w14:paraId="5F095F83" w14:textId="5D65C02A" w:rsidR="00264BB4" w:rsidRPr="00264BB4" w:rsidRDefault="00264BB4" w:rsidP="00264BB4">
      <w:r w:rsidRPr="00264BB4">
        <w:t xml:space="preserve">For significant proposals, consultations are undertaken with Australian </w:t>
      </w:r>
      <w:r w:rsidR="00D772F4">
        <w:t>G</w:t>
      </w:r>
      <w:r w:rsidRPr="00264BB4">
        <w:t xml:space="preserve">overnment departments, state and territory government departments, national security agencies and authorities with responsibilities relevant to the proposals. Advice and comments provided by such agencies are important in assessing the implications of proposals and in particular, in determining whether they raise any national interest issues. The </w:t>
      </w:r>
      <w:r w:rsidR="007F72FF">
        <w:t>FIRB</w:t>
      </w:r>
      <w:r w:rsidRPr="00264BB4">
        <w:t xml:space="preserve"> may also receive unsolicited submissions from third parties.</w:t>
      </w:r>
    </w:p>
    <w:p w14:paraId="05A2022E" w14:textId="77777777" w:rsidR="00264BB4" w:rsidRPr="00264BB4" w:rsidRDefault="00264BB4" w:rsidP="00FC2447">
      <w:pPr>
        <w:pStyle w:val="Heading3"/>
        <w:rPr>
          <w:iCs/>
          <w:smallCaps/>
        </w:rPr>
      </w:pPr>
      <w:r w:rsidRPr="00264BB4">
        <w:t>National interest factors</w:t>
      </w:r>
    </w:p>
    <w:p w14:paraId="333A4D2B" w14:textId="77777777" w:rsidR="00264BB4" w:rsidRPr="00264BB4" w:rsidRDefault="00264BB4" w:rsidP="002C2A56">
      <w:r w:rsidRPr="00264BB4">
        <w:t>The Act empowers the Treasurer to prohibit an investment if satisfied it would be contrary to the national interest. However, the general presumption is that foreign investment is beneficial, given the important role it plays in Australia’s economy.</w:t>
      </w:r>
    </w:p>
    <w:p w14:paraId="5EAF35C6" w14:textId="77777777" w:rsidR="00264BB4" w:rsidRPr="00264BB4" w:rsidRDefault="00264BB4" w:rsidP="002C2A56">
      <w:r w:rsidRPr="00264BB4">
        <w:t>The national interest, and what would be contrary to it, is not defined in the Act. Instead, the Treasurer can decide in each case whether the investment would be contrary to the national interest. Across all proposals the Government typically considers the following factors:</w:t>
      </w:r>
    </w:p>
    <w:p w14:paraId="02AECDE4" w14:textId="77777777" w:rsidR="00264BB4" w:rsidRPr="00264BB4" w:rsidRDefault="00264BB4" w:rsidP="00C27882">
      <w:pPr>
        <w:pStyle w:val="FIRBBulletpoint"/>
      </w:pPr>
      <w:r w:rsidRPr="00264BB4">
        <w:t>national security;</w:t>
      </w:r>
    </w:p>
    <w:p w14:paraId="071D58F5" w14:textId="77777777" w:rsidR="00264BB4" w:rsidRPr="00264BB4" w:rsidRDefault="00264BB4" w:rsidP="00C27882">
      <w:pPr>
        <w:pStyle w:val="FIRBBulletpoint"/>
      </w:pPr>
      <w:r w:rsidRPr="00264BB4">
        <w:t>competition;</w:t>
      </w:r>
    </w:p>
    <w:p w14:paraId="0BEA5A2B" w14:textId="77777777" w:rsidR="00264BB4" w:rsidRPr="00264BB4" w:rsidRDefault="00264BB4" w:rsidP="00C27882">
      <w:pPr>
        <w:pStyle w:val="FIRBBulletpoint"/>
      </w:pPr>
      <w:r w:rsidRPr="00264BB4">
        <w:t>other Government policies (including taxation);</w:t>
      </w:r>
    </w:p>
    <w:p w14:paraId="3891DFB4" w14:textId="77777777" w:rsidR="00264BB4" w:rsidRPr="00264BB4" w:rsidRDefault="00264BB4" w:rsidP="00C27882">
      <w:pPr>
        <w:pStyle w:val="FIRBBulletpoint"/>
      </w:pPr>
      <w:r w:rsidRPr="00264BB4">
        <w:t>impact on the economy and the community; and</w:t>
      </w:r>
    </w:p>
    <w:p w14:paraId="4F3FE0E6" w14:textId="77777777" w:rsidR="00264BB4" w:rsidRPr="00264BB4" w:rsidRDefault="00264BB4" w:rsidP="00C27882">
      <w:pPr>
        <w:pStyle w:val="FIRBBulletpoint"/>
      </w:pPr>
      <w:proofErr w:type="gramStart"/>
      <w:r w:rsidRPr="00264BB4">
        <w:t>the</w:t>
      </w:r>
      <w:proofErr w:type="gramEnd"/>
      <w:r w:rsidRPr="00264BB4">
        <w:t xml:space="preserve"> character of the investor.</w:t>
      </w:r>
    </w:p>
    <w:p w14:paraId="60A3A8B3" w14:textId="77777777" w:rsidR="00264BB4" w:rsidRPr="00264BB4" w:rsidRDefault="00264BB4" w:rsidP="00350381">
      <w:pPr>
        <w:keepNext/>
        <w:keepLines/>
      </w:pPr>
      <w:r w:rsidRPr="00264BB4">
        <w:lastRenderedPageBreak/>
        <w:t>Recognising their significance, additional factors are considered as part of the national interest test for proposed investments in the agricultural sector and for residential land as well as for applications made by foreign government investors. General guidance on the national interest factors is published in Australia’s Foreign Investment Policy.</w:t>
      </w:r>
    </w:p>
    <w:p w14:paraId="018BD05F" w14:textId="77777777" w:rsidR="00264BB4" w:rsidRPr="00264BB4" w:rsidRDefault="00264BB4" w:rsidP="00FC2447">
      <w:pPr>
        <w:pStyle w:val="Heading3"/>
        <w:rPr>
          <w:iCs/>
          <w:smallCaps/>
        </w:rPr>
      </w:pPr>
      <w:r w:rsidRPr="00264BB4">
        <w:t>Extending the statutory timeframe</w:t>
      </w:r>
    </w:p>
    <w:p w14:paraId="6BC56ADB" w14:textId="77777777" w:rsidR="00264BB4" w:rsidRPr="00264BB4" w:rsidRDefault="00264BB4" w:rsidP="00264BB4">
      <w:r w:rsidRPr="00264BB4">
        <w:t>The Act requires a decision to be made within 30 calendar days of the correct fee being paid and provides a further 10 calendar days for the applicant to be notified of the decision. If a decision is not made within this time or the applicant has not been advised, the application is deemed to be ‘approved’ since ‘no objection’ to the proposal has been made.</w:t>
      </w:r>
    </w:p>
    <w:p w14:paraId="0FA1430E" w14:textId="77777777" w:rsidR="00264BB4" w:rsidRPr="00264BB4" w:rsidRDefault="00264BB4" w:rsidP="00264BB4">
      <w:r w:rsidRPr="00264BB4">
        <w:t>If a proposal cannot be decided within 30 days, because the proposal is complex or further information is needed to properly assess it, the Treasurer can issue an Interim Order extending the timeframe up to a further 90 days. Alternatively, the applicant can voluntarily extend the decision period where it is clear that more time will be required.</w:t>
      </w:r>
    </w:p>
    <w:p w14:paraId="389639E4" w14:textId="77777777" w:rsidR="00264BB4" w:rsidRPr="00264BB4" w:rsidRDefault="00264BB4" w:rsidP="00FC2447">
      <w:pPr>
        <w:pStyle w:val="Heading3"/>
        <w:rPr>
          <w:iCs/>
          <w:smallCaps/>
        </w:rPr>
      </w:pPr>
      <w:r w:rsidRPr="00264BB4">
        <w:t>Approvals and Conditions</w:t>
      </w:r>
    </w:p>
    <w:p w14:paraId="7637B671" w14:textId="78EA6A87" w:rsidR="00264BB4" w:rsidRPr="00264BB4" w:rsidRDefault="00264BB4" w:rsidP="00264BB4">
      <w:r w:rsidRPr="00264BB4">
        <w:t xml:space="preserve">When assessing more significant proposals, the </w:t>
      </w:r>
      <w:r w:rsidR="007F72FF">
        <w:t>FIRB</w:t>
      </w:r>
      <w:r w:rsidR="002238CD">
        <w:t>, Treasury and the ATO</w:t>
      </w:r>
      <w:r w:rsidRPr="00264BB4">
        <w:t xml:space="preserve"> work closely with applicants</w:t>
      </w:r>
      <w:r w:rsidR="007E1783">
        <w:t>, and in some cases, vendors</w:t>
      </w:r>
      <w:r w:rsidRPr="00264BB4">
        <w:t>. If a foreign investment proposal raises potential national interest concerns, these concerns are discussed with the applicant and the applicant is provided an opportunity to comment. If the applicant proposes mitigating actions, these will also be taken into account.</w:t>
      </w:r>
    </w:p>
    <w:p w14:paraId="525F0C5A" w14:textId="45D9970F" w:rsidR="007757AE" w:rsidRDefault="00264BB4" w:rsidP="00264BB4">
      <w:r w:rsidRPr="00264BB4">
        <w:t xml:space="preserve">Where the Treasurer considers that an application raises no national interest concerns or that any concerns are adequately addressed by conditions, the applicant is notified in writing of no objection or no objection subject to conditions. Once an applicant receives a no objection or no objection subject to condition notification, the applicant may proceed with the proposal. If national interest concerns remain and may not be able to be addressed, the proposal may be </w:t>
      </w:r>
      <w:r w:rsidR="00AE7926">
        <w:t>prohibited</w:t>
      </w:r>
      <w:r w:rsidR="00AE7926" w:rsidRPr="00264BB4">
        <w:t xml:space="preserve"> </w:t>
      </w:r>
      <w:r w:rsidRPr="00264BB4">
        <w:t>by the Treasurer.</w:t>
      </w:r>
    </w:p>
    <w:p w14:paraId="4784FB1B" w14:textId="77777777" w:rsidR="007757AE" w:rsidRDefault="007757AE">
      <w:pPr>
        <w:spacing w:after="200" w:line="276" w:lineRule="auto"/>
        <w:jc w:val="left"/>
      </w:pPr>
      <w:r>
        <w:br w:type="page"/>
      </w:r>
    </w:p>
    <w:p w14:paraId="15697705" w14:textId="3C7A2935" w:rsidR="007757AE" w:rsidRDefault="007757AE" w:rsidP="007757AE">
      <w:pPr>
        <w:pStyle w:val="ChartMainHeading"/>
      </w:pPr>
      <w:r>
        <w:lastRenderedPageBreak/>
        <w:t xml:space="preserve">Figure C.1: </w:t>
      </w:r>
      <w:r>
        <w:rPr>
          <w:color w:val="1F497D"/>
        </w:rPr>
        <w:t>FIRB application screening process</w:t>
      </w:r>
    </w:p>
    <w:p w14:paraId="2369C9EA" w14:textId="30181974" w:rsidR="00264BB4" w:rsidRPr="00264BB4" w:rsidRDefault="00736A49" w:rsidP="0095724F">
      <w:pPr>
        <w:pStyle w:val="ChartGraphic"/>
      </w:pPr>
      <w:r w:rsidRPr="0095724F">
        <w:rPr>
          <w:noProof/>
        </w:rPr>
        <w:drawing>
          <wp:inline distT="0" distB="0" distL="0" distR="0" wp14:anchorId="67A240B5" wp14:editId="265BFB78">
            <wp:extent cx="4880047" cy="6186630"/>
            <wp:effectExtent l="0" t="0" r="0"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4880047" cy="6186630"/>
                    </a:xfrm>
                    <a:prstGeom prst="rect">
                      <a:avLst/>
                    </a:prstGeom>
                  </pic:spPr>
                </pic:pic>
              </a:graphicData>
            </a:graphic>
          </wp:inline>
        </w:drawing>
      </w:r>
    </w:p>
    <w:p w14:paraId="2C73DB18" w14:textId="77777777" w:rsidR="00264BB4" w:rsidRPr="00264BB4" w:rsidRDefault="00264BB4" w:rsidP="00264BB4"/>
    <w:p w14:paraId="73A8ED53" w14:textId="77777777" w:rsidR="00264BB4" w:rsidRPr="00264BB4" w:rsidRDefault="00264BB4" w:rsidP="00264BB4">
      <w:pPr>
        <w:sectPr w:rsidR="00264BB4" w:rsidRPr="00264BB4" w:rsidSect="0020758A">
          <w:headerReference w:type="default" r:id="rId107"/>
          <w:type w:val="oddPage"/>
          <w:pgSz w:w="11907" w:h="16840" w:code="9"/>
          <w:pgMar w:top="2466" w:right="2098" w:bottom="2466" w:left="2098" w:header="1899" w:footer="1899" w:gutter="0"/>
          <w:cols w:space="708"/>
          <w:titlePg/>
          <w:docGrid w:linePitch="360"/>
        </w:sectPr>
      </w:pPr>
    </w:p>
    <w:p w14:paraId="28384A9E" w14:textId="75FC3740" w:rsidR="00FC2447" w:rsidRDefault="00FC2447" w:rsidP="00FC2447">
      <w:pPr>
        <w:pStyle w:val="ChartGraphic"/>
        <w:spacing w:after="360"/>
      </w:pPr>
      <w:r>
        <w:rPr>
          <w:noProof/>
        </w:rPr>
        <w:lastRenderedPageBreak/>
        <w:drawing>
          <wp:inline distT="0" distB="0" distL="0" distR="0" wp14:anchorId="67E09C44" wp14:editId="27DB5DA1">
            <wp:extent cx="4895088" cy="3060192"/>
            <wp:effectExtent l="0" t="0" r="1270" b="698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RB part page8.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4895088" cy="3060192"/>
                    </a:xfrm>
                    <a:prstGeom prst="rect">
                      <a:avLst/>
                    </a:prstGeom>
                  </pic:spPr>
                </pic:pic>
              </a:graphicData>
            </a:graphic>
          </wp:inline>
        </w:drawing>
      </w:r>
    </w:p>
    <w:p w14:paraId="674483DB" w14:textId="720C8F8E" w:rsidR="00350381" w:rsidRPr="00FC2447" w:rsidRDefault="00350381" w:rsidP="00350381">
      <w:pPr>
        <w:pStyle w:val="Heading1"/>
      </w:pPr>
      <w:bookmarkStart w:id="222" w:name="_Toc514924650"/>
      <w:r>
        <w:t>A</w:t>
      </w:r>
      <w:r w:rsidRPr="00350381">
        <w:t>ppendix D: Glossary</w:t>
      </w:r>
      <w:bookmarkEnd w:id="222"/>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7"/>
        <w:gridCol w:w="5692"/>
      </w:tblGrid>
      <w:tr w:rsidR="00264BB4" w:rsidRPr="00264BB4" w14:paraId="508E1E86" w14:textId="77777777" w:rsidTr="005B7002">
        <w:tc>
          <w:tcPr>
            <w:tcW w:w="2127" w:type="dxa"/>
          </w:tcPr>
          <w:p w14:paraId="023A0D1F" w14:textId="77777777" w:rsidR="00264BB4" w:rsidRPr="00CB3F09" w:rsidRDefault="00264BB4" w:rsidP="00FC2447">
            <w:pPr>
              <w:pStyle w:val="TableTextLeft"/>
              <w:rPr>
                <w:rFonts w:asciiTheme="minorHAnsi" w:hAnsiTheme="minorHAnsi"/>
                <w:sz w:val="20"/>
              </w:rPr>
            </w:pPr>
            <w:r w:rsidRPr="00CB3F09">
              <w:rPr>
                <w:rFonts w:asciiTheme="minorHAnsi" w:hAnsiTheme="minorHAnsi"/>
                <w:sz w:val="20"/>
              </w:rPr>
              <w:t>Act</w:t>
            </w:r>
          </w:p>
        </w:tc>
        <w:tc>
          <w:tcPr>
            <w:tcW w:w="5692" w:type="dxa"/>
          </w:tcPr>
          <w:p w14:paraId="005D8239" w14:textId="77777777" w:rsidR="00EA6672" w:rsidRDefault="00264BB4" w:rsidP="00FC2447">
            <w:pPr>
              <w:pStyle w:val="TableTextLeft"/>
              <w:rPr>
                <w:rFonts w:asciiTheme="minorHAnsi" w:hAnsiTheme="minorHAnsi"/>
                <w:sz w:val="20"/>
              </w:rPr>
            </w:pPr>
            <w:r w:rsidRPr="00CB3F09">
              <w:rPr>
                <w:rFonts w:asciiTheme="minorHAnsi" w:hAnsiTheme="minorHAnsi"/>
                <w:sz w:val="20"/>
              </w:rPr>
              <w:t xml:space="preserve">The </w:t>
            </w:r>
            <w:r w:rsidRPr="00EA6672">
              <w:rPr>
                <w:rFonts w:asciiTheme="minorHAnsi" w:hAnsiTheme="minorHAnsi"/>
                <w:i/>
                <w:sz w:val="20"/>
              </w:rPr>
              <w:t>Foreign Acquisitions and Takeovers Act 1975</w:t>
            </w:r>
            <w:r w:rsidR="003E24F6">
              <w:rPr>
                <w:rFonts w:asciiTheme="minorHAnsi" w:hAnsiTheme="minorHAnsi"/>
                <w:sz w:val="20"/>
              </w:rPr>
              <w:t xml:space="preserve"> </w:t>
            </w:r>
          </w:p>
          <w:p w14:paraId="08160A19" w14:textId="1E596F45" w:rsidR="00264BB4" w:rsidRPr="00CB3F09" w:rsidRDefault="003E24F6" w:rsidP="00FC2447">
            <w:pPr>
              <w:pStyle w:val="TableTextLeft"/>
              <w:rPr>
                <w:rFonts w:asciiTheme="minorHAnsi" w:hAnsiTheme="minorHAnsi"/>
                <w:sz w:val="20"/>
              </w:rPr>
            </w:pPr>
            <w:r w:rsidRPr="00CB3F09">
              <w:rPr>
                <w:rFonts w:asciiTheme="minorHAnsi" w:hAnsiTheme="minorHAnsi"/>
                <w:sz w:val="20"/>
              </w:rPr>
              <w:t>(as in force during 2016–</w:t>
            </w:r>
            <w:r w:rsidR="00264BB4" w:rsidRPr="00CB3F09">
              <w:rPr>
                <w:rFonts w:asciiTheme="minorHAnsi" w:hAnsiTheme="minorHAnsi"/>
                <w:sz w:val="20"/>
              </w:rPr>
              <w:t>17)</w:t>
            </w:r>
          </w:p>
        </w:tc>
      </w:tr>
      <w:tr w:rsidR="00264BB4" w:rsidRPr="00264BB4" w14:paraId="762D20AE" w14:textId="77777777" w:rsidTr="005B7002">
        <w:tc>
          <w:tcPr>
            <w:tcW w:w="2127" w:type="dxa"/>
          </w:tcPr>
          <w:p w14:paraId="7735E969" w14:textId="77777777" w:rsidR="00264BB4" w:rsidRPr="00CB3F09" w:rsidRDefault="00264BB4" w:rsidP="00FC2447">
            <w:pPr>
              <w:pStyle w:val="TableTextLeft"/>
              <w:rPr>
                <w:rFonts w:asciiTheme="minorHAnsi" w:hAnsiTheme="minorHAnsi"/>
                <w:sz w:val="20"/>
              </w:rPr>
            </w:pPr>
            <w:r w:rsidRPr="00CB3F09">
              <w:rPr>
                <w:rFonts w:asciiTheme="minorHAnsi" w:hAnsiTheme="minorHAnsi"/>
                <w:sz w:val="20"/>
              </w:rPr>
              <w:t>Agricultural land</w:t>
            </w:r>
          </w:p>
        </w:tc>
        <w:tc>
          <w:tcPr>
            <w:tcW w:w="5692" w:type="dxa"/>
          </w:tcPr>
          <w:p w14:paraId="6A4863E4" w14:textId="77777777" w:rsidR="00264BB4" w:rsidRPr="00CB3F09" w:rsidRDefault="00264BB4" w:rsidP="00FC2447">
            <w:pPr>
              <w:pStyle w:val="TableTextLeft"/>
              <w:rPr>
                <w:rFonts w:asciiTheme="minorHAnsi" w:hAnsiTheme="minorHAnsi"/>
                <w:sz w:val="20"/>
              </w:rPr>
            </w:pPr>
            <w:r w:rsidRPr="00CB3F09">
              <w:rPr>
                <w:rFonts w:asciiTheme="minorHAnsi" w:hAnsiTheme="minorHAnsi"/>
                <w:sz w:val="20"/>
              </w:rPr>
              <w:t>Land in Australia that is used, or that could reasonably be used, for a primary production business. The regulations may provide that land of a specified kind is not agricultural land.</w:t>
            </w:r>
          </w:p>
        </w:tc>
      </w:tr>
      <w:tr w:rsidR="00264BB4" w:rsidRPr="00264BB4" w14:paraId="4894583F" w14:textId="77777777" w:rsidTr="005B7002">
        <w:tc>
          <w:tcPr>
            <w:tcW w:w="2127" w:type="dxa"/>
          </w:tcPr>
          <w:p w14:paraId="3C4BA0E8" w14:textId="77777777" w:rsidR="00264BB4" w:rsidRPr="00CB3F09" w:rsidRDefault="00264BB4" w:rsidP="00FC2447">
            <w:pPr>
              <w:pStyle w:val="TableTextLeft"/>
              <w:rPr>
                <w:rFonts w:asciiTheme="minorHAnsi" w:hAnsiTheme="minorHAnsi"/>
                <w:sz w:val="20"/>
              </w:rPr>
            </w:pPr>
            <w:r w:rsidRPr="00CB3F09">
              <w:rPr>
                <w:rFonts w:asciiTheme="minorHAnsi" w:hAnsiTheme="minorHAnsi"/>
                <w:sz w:val="20"/>
              </w:rPr>
              <w:t>Commercial land</w:t>
            </w:r>
          </w:p>
        </w:tc>
        <w:tc>
          <w:tcPr>
            <w:tcW w:w="5692" w:type="dxa"/>
          </w:tcPr>
          <w:p w14:paraId="3C68BB20" w14:textId="77777777" w:rsidR="00264BB4" w:rsidRPr="00CB3F09" w:rsidRDefault="00264BB4" w:rsidP="00FC2447">
            <w:pPr>
              <w:pStyle w:val="TableTextLeft"/>
              <w:rPr>
                <w:rFonts w:asciiTheme="minorHAnsi" w:hAnsiTheme="minorHAnsi"/>
                <w:sz w:val="20"/>
              </w:rPr>
            </w:pPr>
            <w:r w:rsidRPr="00CB3F09">
              <w:rPr>
                <w:rFonts w:asciiTheme="minorHAnsi" w:hAnsiTheme="minorHAnsi"/>
                <w:sz w:val="20"/>
              </w:rPr>
              <w:t>Land in Australia or the seabed of the offshore area, other than land:</w:t>
            </w:r>
          </w:p>
          <w:p w14:paraId="18DF821C" w14:textId="77777777" w:rsidR="00264BB4" w:rsidRPr="00CB3F09" w:rsidRDefault="00264BB4" w:rsidP="00B82F4F">
            <w:pPr>
              <w:pStyle w:val="TableTextLeft"/>
              <w:numPr>
                <w:ilvl w:val="0"/>
                <w:numId w:val="28"/>
              </w:numPr>
              <w:rPr>
                <w:rFonts w:asciiTheme="minorHAnsi" w:hAnsiTheme="minorHAnsi"/>
                <w:sz w:val="20"/>
              </w:rPr>
            </w:pPr>
            <w:r w:rsidRPr="00CB3F09">
              <w:rPr>
                <w:rFonts w:asciiTheme="minorHAnsi" w:hAnsiTheme="minorHAnsi"/>
                <w:sz w:val="20"/>
              </w:rPr>
              <w:t>used wholly and exclusively for a primary production business; or</w:t>
            </w:r>
          </w:p>
          <w:p w14:paraId="518F2A96" w14:textId="77777777" w:rsidR="00264BB4" w:rsidRPr="00CB3F09" w:rsidRDefault="00264BB4" w:rsidP="00B82F4F">
            <w:pPr>
              <w:pStyle w:val="TableTextLeft"/>
              <w:numPr>
                <w:ilvl w:val="0"/>
                <w:numId w:val="28"/>
              </w:numPr>
              <w:rPr>
                <w:rFonts w:asciiTheme="minorHAnsi" w:hAnsiTheme="minorHAnsi"/>
                <w:sz w:val="20"/>
              </w:rPr>
            </w:pPr>
            <w:r w:rsidRPr="00CB3F09">
              <w:rPr>
                <w:rFonts w:asciiTheme="minorHAnsi" w:hAnsiTheme="minorHAnsi"/>
                <w:sz w:val="20"/>
              </w:rPr>
              <w:t>on which there is at least one dwelling (except commercial residential premises); or</w:t>
            </w:r>
          </w:p>
          <w:p w14:paraId="7C61A217" w14:textId="02995E66" w:rsidR="00264BB4" w:rsidRPr="00CB3F09" w:rsidRDefault="00264BB4" w:rsidP="00B82F4F">
            <w:pPr>
              <w:pStyle w:val="TableTextLeft"/>
              <w:numPr>
                <w:ilvl w:val="0"/>
                <w:numId w:val="28"/>
              </w:numPr>
              <w:rPr>
                <w:rFonts w:asciiTheme="minorHAnsi" w:hAnsiTheme="minorHAnsi"/>
                <w:sz w:val="20"/>
              </w:rPr>
            </w:pPr>
            <w:proofErr w:type="gramStart"/>
            <w:r w:rsidRPr="00CB3F09">
              <w:rPr>
                <w:rFonts w:asciiTheme="minorHAnsi" w:hAnsiTheme="minorHAnsi"/>
                <w:sz w:val="20"/>
              </w:rPr>
              <w:t>on</w:t>
            </w:r>
            <w:proofErr w:type="gramEnd"/>
            <w:r w:rsidRPr="00CB3F09">
              <w:rPr>
                <w:rFonts w:asciiTheme="minorHAnsi" w:hAnsiTheme="minorHAnsi"/>
                <w:sz w:val="20"/>
              </w:rPr>
              <w:t xml:space="preserve"> which the number of dwellings (except commercial residential premises) that could reasonably be built is less than the number prescribed by t</w:t>
            </w:r>
            <w:r w:rsidR="003E24F6" w:rsidRPr="00CB3F09">
              <w:rPr>
                <w:rFonts w:asciiTheme="minorHAnsi" w:hAnsiTheme="minorHAnsi"/>
                <w:sz w:val="20"/>
              </w:rPr>
              <w:t>he regulations (10, during 2016</w:t>
            </w:r>
            <w:r w:rsidR="00A617A2">
              <w:rPr>
                <w:rFonts w:asciiTheme="minorHAnsi" w:hAnsiTheme="minorHAnsi"/>
                <w:sz w:val="20"/>
              </w:rPr>
              <w:noBreakHyphen/>
            </w:r>
            <w:r w:rsidRPr="00CB3F09">
              <w:rPr>
                <w:rFonts w:asciiTheme="minorHAnsi" w:hAnsiTheme="minorHAnsi"/>
                <w:sz w:val="20"/>
              </w:rPr>
              <w:t>17).</w:t>
            </w:r>
          </w:p>
        </w:tc>
      </w:tr>
      <w:tr w:rsidR="00264BB4" w:rsidRPr="00264BB4" w14:paraId="5B86BBEA" w14:textId="77777777" w:rsidTr="005B7002">
        <w:tc>
          <w:tcPr>
            <w:tcW w:w="2127" w:type="dxa"/>
          </w:tcPr>
          <w:p w14:paraId="7E0A4785" w14:textId="77777777" w:rsidR="00264BB4" w:rsidRPr="00CB3F09" w:rsidRDefault="00264BB4" w:rsidP="00FC2447">
            <w:pPr>
              <w:pStyle w:val="TableTextLeft"/>
              <w:rPr>
                <w:rFonts w:asciiTheme="minorHAnsi" w:hAnsiTheme="minorHAnsi"/>
                <w:sz w:val="20"/>
              </w:rPr>
            </w:pPr>
            <w:r w:rsidRPr="00CB3F09">
              <w:rPr>
                <w:rFonts w:asciiTheme="minorHAnsi" w:hAnsiTheme="minorHAnsi"/>
                <w:sz w:val="20"/>
              </w:rPr>
              <w:t>Established dwelling</w:t>
            </w:r>
          </w:p>
        </w:tc>
        <w:tc>
          <w:tcPr>
            <w:tcW w:w="5692" w:type="dxa"/>
          </w:tcPr>
          <w:p w14:paraId="6B66A2F7" w14:textId="77777777" w:rsidR="00264BB4" w:rsidRPr="00CB3F09" w:rsidRDefault="00264BB4" w:rsidP="00FC2447">
            <w:pPr>
              <w:pStyle w:val="TableTextLeft"/>
              <w:rPr>
                <w:rFonts w:asciiTheme="minorHAnsi" w:hAnsiTheme="minorHAnsi"/>
                <w:sz w:val="20"/>
              </w:rPr>
            </w:pPr>
            <w:r w:rsidRPr="00CB3F09">
              <w:rPr>
                <w:rFonts w:asciiTheme="minorHAnsi" w:hAnsiTheme="minorHAnsi"/>
                <w:sz w:val="20"/>
              </w:rPr>
              <w:t>A dwelling (except commercial residential premises) on residential land that is not a new dwelling.</w:t>
            </w:r>
          </w:p>
        </w:tc>
      </w:tr>
      <w:tr w:rsidR="00264BB4" w:rsidRPr="00264BB4" w14:paraId="321F771B" w14:textId="77777777" w:rsidTr="005B7002">
        <w:tc>
          <w:tcPr>
            <w:tcW w:w="2127" w:type="dxa"/>
          </w:tcPr>
          <w:p w14:paraId="5AE3E649" w14:textId="15307C2C" w:rsidR="00264BB4" w:rsidRPr="00CB3F09" w:rsidRDefault="00264BB4" w:rsidP="00B26711">
            <w:pPr>
              <w:pStyle w:val="TableTextLeft"/>
              <w:keepNext/>
              <w:keepLines/>
              <w:rPr>
                <w:rFonts w:asciiTheme="minorHAnsi" w:hAnsiTheme="minorHAnsi"/>
                <w:sz w:val="20"/>
              </w:rPr>
            </w:pPr>
            <w:r w:rsidRPr="00CB3F09">
              <w:rPr>
                <w:rFonts w:asciiTheme="minorHAnsi" w:hAnsiTheme="minorHAnsi"/>
                <w:sz w:val="20"/>
              </w:rPr>
              <w:lastRenderedPageBreak/>
              <w:t xml:space="preserve">Exemption certificates </w:t>
            </w:r>
          </w:p>
        </w:tc>
        <w:tc>
          <w:tcPr>
            <w:tcW w:w="5692" w:type="dxa"/>
          </w:tcPr>
          <w:p w14:paraId="74065608" w14:textId="1C5091C1" w:rsidR="00264BB4" w:rsidRPr="00CB3F09" w:rsidRDefault="000A64AB" w:rsidP="00B26711">
            <w:pPr>
              <w:pStyle w:val="TableTextLeft"/>
              <w:keepNext/>
              <w:keepLines/>
              <w:rPr>
                <w:rFonts w:asciiTheme="minorHAnsi" w:hAnsiTheme="minorHAnsi"/>
                <w:sz w:val="20"/>
              </w:rPr>
            </w:pPr>
            <w:r w:rsidRPr="00CB3F09">
              <w:rPr>
                <w:rFonts w:asciiTheme="minorHAnsi" w:hAnsiTheme="minorHAnsi"/>
                <w:sz w:val="20"/>
              </w:rPr>
              <w:t>Advance approval to allow foreign persons to undertake a program of acquisitions of land and/or business and entities. These are granted with a specified monetary limit within a defined region or sector and generally include conditions requiring the foreign person to report actual acquisitions and any other conditions that would normally be applied for the type of land and/or business and entity to be acquired. Business exemption certificates were introduced on 1 July 2017. Prior to 1</w:t>
            </w:r>
            <w:r w:rsidR="00736A49" w:rsidRPr="00CB3F09">
              <w:rPr>
                <w:rFonts w:asciiTheme="minorHAnsi" w:hAnsiTheme="minorHAnsi"/>
                <w:sz w:val="20"/>
              </w:rPr>
              <w:t> </w:t>
            </w:r>
            <w:r w:rsidRPr="00CB3F09">
              <w:rPr>
                <w:rFonts w:asciiTheme="minorHAnsi" w:hAnsiTheme="minorHAnsi"/>
                <w:sz w:val="20"/>
              </w:rPr>
              <w:t xml:space="preserve">December 2015, the equivalent to land exemption certificates </w:t>
            </w:r>
            <w:r w:rsidR="00C03DC7" w:rsidRPr="00CB3F09">
              <w:rPr>
                <w:rFonts w:asciiTheme="minorHAnsi" w:hAnsiTheme="minorHAnsi"/>
                <w:sz w:val="20"/>
              </w:rPr>
              <w:t>was</w:t>
            </w:r>
            <w:r w:rsidRPr="00CB3F09">
              <w:rPr>
                <w:rFonts w:asciiTheme="minorHAnsi" w:hAnsiTheme="minorHAnsi"/>
                <w:sz w:val="20"/>
              </w:rPr>
              <w:t xml:space="preserve"> known as </w:t>
            </w:r>
            <w:r w:rsidR="00C03DC7" w:rsidRPr="00CB3F09">
              <w:rPr>
                <w:rFonts w:asciiTheme="minorHAnsi" w:hAnsiTheme="minorHAnsi"/>
                <w:sz w:val="20"/>
              </w:rPr>
              <w:t xml:space="preserve">an </w:t>
            </w:r>
            <w:r w:rsidRPr="00CB3F09">
              <w:rPr>
                <w:rFonts w:asciiTheme="minorHAnsi" w:hAnsiTheme="minorHAnsi"/>
                <w:sz w:val="20"/>
              </w:rPr>
              <w:t xml:space="preserve">annual </w:t>
            </w:r>
            <w:r w:rsidR="00C03DC7" w:rsidRPr="00CB3F09">
              <w:rPr>
                <w:rFonts w:asciiTheme="minorHAnsi" w:hAnsiTheme="minorHAnsi"/>
                <w:sz w:val="20"/>
              </w:rPr>
              <w:t>program</w:t>
            </w:r>
            <w:r w:rsidR="00264BB4" w:rsidRPr="00CB3F09">
              <w:rPr>
                <w:rFonts w:asciiTheme="minorHAnsi" w:hAnsiTheme="minorHAnsi"/>
                <w:sz w:val="20"/>
              </w:rPr>
              <w:t>.</w:t>
            </w:r>
          </w:p>
        </w:tc>
      </w:tr>
      <w:tr w:rsidR="00264BB4" w:rsidRPr="00264BB4" w14:paraId="198E92FE" w14:textId="77777777" w:rsidTr="005B7002">
        <w:tc>
          <w:tcPr>
            <w:tcW w:w="2127" w:type="dxa"/>
          </w:tcPr>
          <w:p w14:paraId="7C290692" w14:textId="77777777" w:rsidR="00264BB4" w:rsidRPr="00CB3F09" w:rsidRDefault="00264BB4" w:rsidP="00CB3F09">
            <w:pPr>
              <w:pStyle w:val="TableTextLeft"/>
              <w:rPr>
                <w:rFonts w:asciiTheme="minorHAnsi" w:hAnsiTheme="minorHAnsi"/>
                <w:sz w:val="20"/>
              </w:rPr>
            </w:pPr>
            <w:r w:rsidRPr="00CB3F09">
              <w:rPr>
                <w:rFonts w:asciiTheme="minorHAnsi" w:hAnsiTheme="minorHAnsi"/>
                <w:sz w:val="20"/>
              </w:rPr>
              <w:t>Foreign government investor</w:t>
            </w:r>
          </w:p>
        </w:tc>
        <w:tc>
          <w:tcPr>
            <w:tcW w:w="5692" w:type="dxa"/>
          </w:tcPr>
          <w:p w14:paraId="4CEDFEFB" w14:textId="77777777" w:rsidR="00264BB4" w:rsidRPr="00CB3F09" w:rsidRDefault="00264BB4" w:rsidP="003E24F6">
            <w:pPr>
              <w:pStyle w:val="TableTextLeft"/>
              <w:keepNext/>
              <w:keepLines/>
              <w:rPr>
                <w:rFonts w:asciiTheme="minorHAnsi" w:hAnsiTheme="minorHAnsi"/>
                <w:sz w:val="20"/>
              </w:rPr>
            </w:pPr>
            <w:r w:rsidRPr="00CB3F09">
              <w:rPr>
                <w:rFonts w:asciiTheme="minorHAnsi" w:hAnsiTheme="minorHAnsi"/>
                <w:sz w:val="20"/>
              </w:rPr>
              <w:t>A foreign government investor includes:</w:t>
            </w:r>
          </w:p>
          <w:p w14:paraId="615BCB42" w14:textId="77777777" w:rsidR="00264BB4" w:rsidRPr="00CB3F09" w:rsidRDefault="00264BB4" w:rsidP="00B82F4F">
            <w:pPr>
              <w:pStyle w:val="TableTextLeft"/>
              <w:keepNext/>
              <w:keepLines/>
              <w:numPr>
                <w:ilvl w:val="0"/>
                <w:numId w:val="23"/>
              </w:numPr>
              <w:rPr>
                <w:rFonts w:asciiTheme="minorHAnsi" w:hAnsiTheme="minorHAnsi"/>
                <w:sz w:val="20"/>
              </w:rPr>
            </w:pPr>
            <w:r w:rsidRPr="00CB3F09">
              <w:rPr>
                <w:rFonts w:asciiTheme="minorHAnsi" w:hAnsiTheme="minorHAnsi"/>
                <w:sz w:val="20"/>
              </w:rPr>
              <w:t>a foreign government or separate government entity;</w:t>
            </w:r>
          </w:p>
          <w:p w14:paraId="19918848" w14:textId="77777777" w:rsidR="00264BB4" w:rsidRPr="00CB3F09" w:rsidRDefault="00264BB4" w:rsidP="00B82F4F">
            <w:pPr>
              <w:pStyle w:val="TableTextLeft"/>
              <w:keepNext/>
              <w:keepLines/>
              <w:numPr>
                <w:ilvl w:val="0"/>
                <w:numId w:val="23"/>
              </w:numPr>
              <w:rPr>
                <w:rFonts w:asciiTheme="minorHAnsi" w:hAnsiTheme="minorHAnsi"/>
                <w:sz w:val="20"/>
              </w:rPr>
            </w:pPr>
            <w:r w:rsidRPr="00CB3F09">
              <w:rPr>
                <w:rFonts w:asciiTheme="minorHAnsi" w:hAnsiTheme="minorHAnsi"/>
                <w:sz w:val="20"/>
              </w:rPr>
              <w:t>a corporation or trustee of a trust in which:</w:t>
            </w:r>
          </w:p>
          <w:p w14:paraId="7F25FBCF" w14:textId="77777777" w:rsidR="00264BB4" w:rsidRPr="00CB3F09" w:rsidRDefault="00264BB4" w:rsidP="00B82F4F">
            <w:pPr>
              <w:pStyle w:val="TableTextLeft"/>
              <w:keepNext/>
              <w:keepLines/>
              <w:numPr>
                <w:ilvl w:val="0"/>
                <w:numId w:val="26"/>
              </w:numPr>
              <w:rPr>
                <w:rFonts w:asciiTheme="minorHAnsi" w:hAnsiTheme="minorHAnsi"/>
                <w:sz w:val="20"/>
              </w:rPr>
            </w:pPr>
            <w:r w:rsidRPr="00CB3F09">
              <w:rPr>
                <w:rFonts w:asciiTheme="minorHAnsi" w:hAnsiTheme="minorHAnsi"/>
                <w:sz w:val="20"/>
              </w:rPr>
              <w:t>a foreign government or separate government entity, alone or together with one or more associates, holds a substantial interest (that is, an interest of at least 20 per cent); or</w:t>
            </w:r>
          </w:p>
          <w:p w14:paraId="6F3A233E" w14:textId="77777777" w:rsidR="00264BB4" w:rsidRPr="00CB3F09" w:rsidRDefault="00264BB4" w:rsidP="00B82F4F">
            <w:pPr>
              <w:pStyle w:val="TableTextLeft"/>
              <w:keepNext/>
              <w:keepLines/>
              <w:numPr>
                <w:ilvl w:val="0"/>
                <w:numId w:val="26"/>
              </w:numPr>
              <w:rPr>
                <w:rFonts w:asciiTheme="minorHAnsi" w:hAnsiTheme="minorHAnsi"/>
                <w:sz w:val="20"/>
              </w:rPr>
            </w:pPr>
            <w:r w:rsidRPr="00CB3F09">
              <w:rPr>
                <w:rFonts w:asciiTheme="minorHAnsi" w:hAnsiTheme="minorHAnsi"/>
                <w:sz w:val="20"/>
              </w:rPr>
              <w:t>foreign governments or separate government entities of more than one foreign country (or parts of more than one foreign country), together with any one or more associates, hold an aggregate substantial interest (that is, an interest of at least 40 per cent);</w:t>
            </w:r>
          </w:p>
          <w:p w14:paraId="2466E2B5" w14:textId="3686C06C" w:rsidR="00264BB4" w:rsidRPr="00CB3F09" w:rsidRDefault="00264BB4" w:rsidP="00B82F4F">
            <w:pPr>
              <w:pStyle w:val="TableTextLeft"/>
              <w:keepNext/>
              <w:keepLines/>
              <w:numPr>
                <w:ilvl w:val="0"/>
                <w:numId w:val="24"/>
              </w:numPr>
              <w:rPr>
                <w:rFonts w:asciiTheme="minorHAnsi" w:hAnsiTheme="minorHAnsi"/>
                <w:sz w:val="20"/>
              </w:rPr>
            </w:pPr>
            <w:r w:rsidRPr="00CB3F09">
              <w:rPr>
                <w:rFonts w:asciiTheme="minorHAnsi" w:hAnsiTheme="minorHAnsi"/>
                <w:sz w:val="20"/>
              </w:rPr>
              <w:t>a general partner of a limited partnership in whi</w:t>
            </w:r>
            <w:r w:rsidR="00FC2447" w:rsidRPr="00CB3F09">
              <w:rPr>
                <w:rFonts w:asciiTheme="minorHAnsi" w:hAnsiTheme="minorHAnsi"/>
                <w:sz w:val="20"/>
              </w:rPr>
              <w:t>ch:</w:t>
            </w:r>
          </w:p>
          <w:p w14:paraId="1A1403DC" w14:textId="77777777" w:rsidR="00264BB4" w:rsidRPr="00CB3F09" w:rsidRDefault="00264BB4" w:rsidP="00B82F4F">
            <w:pPr>
              <w:pStyle w:val="TableTextLeft"/>
              <w:keepNext/>
              <w:keepLines/>
              <w:numPr>
                <w:ilvl w:val="0"/>
                <w:numId w:val="27"/>
              </w:numPr>
              <w:rPr>
                <w:rFonts w:asciiTheme="minorHAnsi" w:hAnsiTheme="minorHAnsi"/>
                <w:sz w:val="20"/>
              </w:rPr>
            </w:pPr>
            <w:r w:rsidRPr="00CB3F09">
              <w:rPr>
                <w:rFonts w:asciiTheme="minorHAnsi" w:hAnsiTheme="minorHAnsi"/>
                <w:sz w:val="20"/>
              </w:rPr>
              <w:t>a foreign government or separate government entity, alone or together with one or more associates, holds an interest of at least 20 per cent; or</w:t>
            </w:r>
          </w:p>
          <w:p w14:paraId="0CE4DB0D" w14:textId="77777777" w:rsidR="00264BB4" w:rsidRPr="00CB3F09" w:rsidRDefault="00264BB4" w:rsidP="00B82F4F">
            <w:pPr>
              <w:pStyle w:val="TableTextLeft"/>
              <w:keepNext/>
              <w:keepLines/>
              <w:numPr>
                <w:ilvl w:val="0"/>
                <w:numId w:val="27"/>
              </w:numPr>
              <w:rPr>
                <w:rFonts w:asciiTheme="minorHAnsi" w:hAnsiTheme="minorHAnsi"/>
                <w:sz w:val="20"/>
              </w:rPr>
            </w:pPr>
            <w:r w:rsidRPr="00CB3F09">
              <w:rPr>
                <w:rFonts w:asciiTheme="minorHAnsi" w:hAnsiTheme="minorHAnsi"/>
                <w:sz w:val="20"/>
              </w:rPr>
              <w:t>foreign governments or separate government entities of more than one foreign country (or parts of more than one foreign country), together with any one or more associates, hold an aggregate interest of 40 per cent or more;</w:t>
            </w:r>
          </w:p>
          <w:p w14:paraId="42B44A2E" w14:textId="77777777" w:rsidR="00264BB4" w:rsidRPr="00CB3F09" w:rsidRDefault="00264BB4" w:rsidP="00B82F4F">
            <w:pPr>
              <w:pStyle w:val="TableTextLeft"/>
              <w:keepNext/>
              <w:keepLines/>
              <w:numPr>
                <w:ilvl w:val="0"/>
                <w:numId w:val="25"/>
              </w:numPr>
              <w:rPr>
                <w:rFonts w:asciiTheme="minorHAnsi" w:hAnsiTheme="minorHAnsi"/>
                <w:sz w:val="20"/>
              </w:rPr>
            </w:pPr>
            <w:r w:rsidRPr="00CB3F09">
              <w:rPr>
                <w:rFonts w:asciiTheme="minorHAnsi" w:hAnsiTheme="minorHAnsi"/>
                <w:sz w:val="20"/>
              </w:rPr>
              <w:t>a corporation, trustee or general partner of a kind described in the two dot points above, assuming the references to foreign government (or foreign governments) in those dot points include references to a foreign government investor (or foreign government investors) within the meaning of those dot points.</w:t>
            </w:r>
          </w:p>
        </w:tc>
      </w:tr>
      <w:tr w:rsidR="00264BB4" w:rsidRPr="00264BB4" w14:paraId="0A0856D6" w14:textId="77777777" w:rsidTr="005B7002">
        <w:tc>
          <w:tcPr>
            <w:tcW w:w="2127" w:type="dxa"/>
          </w:tcPr>
          <w:p w14:paraId="0DA9CA4E" w14:textId="77777777" w:rsidR="00264BB4" w:rsidRPr="00CB3F09" w:rsidRDefault="00264BB4" w:rsidP="00B26711">
            <w:pPr>
              <w:pStyle w:val="TableTextLeft"/>
              <w:keepNext/>
              <w:keepLines/>
              <w:rPr>
                <w:rFonts w:asciiTheme="minorHAnsi" w:hAnsiTheme="minorHAnsi"/>
                <w:sz w:val="20"/>
              </w:rPr>
            </w:pPr>
            <w:r w:rsidRPr="00CB3F09">
              <w:rPr>
                <w:rFonts w:asciiTheme="minorHAnsi" w:hAnsiTheme="minorHAnsi"/>
                <w:sz w:val="20"/>
              </w:rPr>
              <w:lastRenderedPageBreak/>
              <w:t>Foreign person</w:t>
            </w:r>
          </w:p>
        </w:tc>
        <w:tc>
          <w:tcPr>
            <w:tcW w:w="5692" w:type="dxa"/>
          </w:tcPr>
          <w:p w14:paraId="45C2D65F" w14:textId="77777777" w:rsidR="00264BB4" w:rsidRPr="00CB3F09" w:rsidRDefault="00264BB4" w:rsidP="00B26711">
            <w:pPr>
              <w:pStyle w:val="TableTextLeft"/>
              <w:keepNext/>
              <w:keepLines/>
              <w:rPr>
                <w:rFonts w:asciiTheme="minorHAnsi" w:hAnsiTheme="minorHAnsi"/>
                <w:sz w:val="20"/>
              </w:rPr>
            </w:pPr>
            <w:r w:rsidRPr="00CB3F09">
              <w:rPr>
                <w:rFonts w:asciiTheme="minorHAnsi" w:hAnsiTheme="minorHAnsi"/>
                <w:sz w:val="20"/>
              </w:rPr>
              <w:t>Foreign person means:</w:t>
            </w:r>
          </w:p>
          <w:p w14:paraId="5EA6D1A7" w14:textId="77777777" w:rsidR="00264BB4" w:rsidRPr="00CB3F09" w:rsidRDefault="00264BB4" w:rsidP="00B82F4F">
            <w:pPr>
              <w:pStyle w:val="TableTextLeft"/>
              <w:keepNext/>
              <w:keepLines/>
              <w:numPr>
                <w:ilvl w:val="0"/>
                <w:numId w:val="22"/>
              </w:numPr>
              <w:rPr>
                <w:rFonts w:asciiTheme="minorHAnsi" w:hAnsiTheme="minorHAnsi"/>
                <w:sz w:val="20"/>
              </w:rPr>
            </w:pPr>
            <w:r w:rsidRPr="00CB3F09">
              <w:rPr>
                <w:rFonts w:asciiTheme="minorHAnsi" w:hAnsiTheme="minorHAnsi"/>
                <w:sz w:val="20"/>
              </w:rPr>
              <w:t>an individual not ordinarily resident in Australia; or</w:t>
            </w:r>
          </w:p>
          <w:p w14:paraId="40C5D706" w14:textId="77777777" w:rsidR="00264BB4" w:rsidRPr="00CB3F09" w:rsidRDefault="00264BB4" w:rsidP="00B82F4F">
            <w:pPr>
              <w:pStyle w:val="TableTextLeft"/>
              <w:keepNext/>
              <w:keepLines/>
              <w:numPr>
                <w:ilvl w:val="0"/>
                <w:numId w:val="22"/>
              </w:numPr>
              <w:rPr>
                <w:rFonts w:asciiTheme="minorHAnsi" w:hAnsiTheme="minorHAnsi"/>
                <w:sz w:val="20"/>
              </w:rPr>
            </w:pPr>
            <w:r w:rsidRPr="00CB3F09">
              <w:rPr>
                <w:rFonts w:asciiTheme="minorHAnsi" w:hAnsiTheme="minorHAnsi"/>
                <w:sz w:val="20"/>
              </w:rPr>
              <w:t>a corporation in which an individual not ordinarily resident in Australia, a foreign corporation or a foreign government holds a substantial interest ; or</w:t>
            </w:r>
          </w:p>
          <w:p w14:paraId="00D6D57A" w14:textId="77777777" w:rsidR="00264BB4" w:rsidRPr="00CB3F09" w:rsidRDefault="00264BB4" w:rsidP="00B82F4F">
            <w:pPr>
              <w:pStyle w:val="TableTextLeft"/>
              <w:keepNext/>
              <w:keepLines/>
              <w:numPr>
                <w:ilvl w:val="0"/>
                <w:numId w:val="22"/>
              </w:numPr>
              <w:rPr>
                <w:rFonts w:asciiTheme="minorHAnsi" w:hAnsiTheme="minorHAnsi"/>
                <w:sz w:val="20"/>
              </w:rPr>
            </w:pPr>
            <w:r w:rsidRPr="00CB3F09">
              <w:rPr>
                <w:rFonts w:asciiTheme="minorHAnsi" w:hAnsiTheme="minorHAnsi"/>
                <w:sz w:val="20"/>
              </w:rPr>
              <w:t>a corporation in which two or more persons, each of whom is an individual not ordinarily resident in Australia, a foreign corporation or a foreign government, hold an aggregate substantial interest ; or</w:t>
            </w:r>
          </w:p>
          <w:p w14:paraId="4CC86A0F" w14:textId="77777777" w:rsidR="00264BB4" w:rsidRPr="00CB3F09" w:rsidRDefault="00264BB4" w:rsidP="00B82F4F">
            <w:pPr>
              <w:pStyle w:val="TableTextLeft"/>
              <w:keepNext/>
              <w:keepLines/>
              <w:numPr>
                <w:ilvl w:val="0"/>
                <w:numId w:val="22"/>
              </w:numPr>
              <w:rPr>
                <w:rFonts w:asciiTheme="minorHAnsi" w:hAnsiTheme="minorHAnsi"/>
                <w:sz w:val="20"/>
              </w:rPr>
            </w:pPr>
            <w:r w:rsidRPr="00CB3F09">
              <w:rPr>
                <w:rFonts w:asciiTheme="minorHAnsi" w:hAnsiTheme="minorHAnsi"/>
                <w:sz w:val="20"/>
              </w:rPr>
              <w:t>the trustee of a trust in which an individual not ordinarily resident in Australia, a foreign corporation or a foreign government holds a substantial interest ; or</w:t>
            </w:r>
          </w:p>
          <w:p w14:paraId="3F9998E4" w14:textId="77777777" w:rsidR="00264BB4" w:rsidRPr="00CB3F09" w:rsidRDefault="00264BB4" w:rsidP="00B82F4F">
            <w:pPr>
              <w:pStyle w:val="TableTextLeft"/>
              <w:keepNext/>
              <w:keepLines/>
              <w:numPr>
                <w:ilvl w:val="0"/>
                <w:numId w:val="22"/>
              </w:numPr>
              <w:rPr>
                <w:rFonts w:asciiTheme="minorHAnsi" w:hAnsiTheme="minorHAnsi"/>
                <w:sz w:val="20"/>
              </w:rPr>
            </w:pPr>
            <w:r w:rsidRPr="00CB3F09">
              <w:rPr>
                <w:rFonts w:asciiTheme="minorHAnsi" w:hAnsiTheme="minorHAnsi"/>
                <w:sz w:val="20"/>
              </w:rPr>
              <w:t>the trustee of a trust in which two or more persons, each of whom is an individual not ordinarily resident in Australia, a foreign corporation or a foreign government, hold an aggregate substantial interest; or</w:t>
            </w:r>
          </w:p>
          <w:p w14:paraId="028B4729" w14:textId="77777777" w:rsidR="00264BB4" w:rsidRPr="00CB3F09" w:rsidRDefault="00264BB4" w:rsidP="00B82F4F">
            <w:pPr>
              <w:pStyle w:val="TableTextLeft"/>
              <w:keepNext/>
              <w:keepLines/>
              <w:numPr>
                <w:ilvl w:val="0"/>
                <w:numId w:val="22"/>
              </w:numPr>
              <w:rPr>
                <w:rFonts w:asciiTheme="minorHAnsi" w:hAnsiTheme="minorHAnsi"/>
                <w:sz w:val="20"/>
              </w:rPr>
            </w:pPr>
            <w:r w:rsidRPr="00CB3F09">
              <w:rPr>
                <w:rFonts w:asciiTheme="minorHAnsi" w:hAnsiTheme="minorHAnsi"/>
                <w:sz w:val="20"/>
              </w:rPr>
              <w:t>a foreign government; or</w:t>
            </w:r>
          </w:p>
          <w:p w14:paraId="3435ABB0" w14:textId="77777777" w:rsidR="00264BB4" w:rsidRPr="00CB3F09" w:rsidRDefault="00264BB4" w:rsidP="00B82F4F">
            <w:pPr>
              <w:pStyle w:val="TableTextLeft"/>
              <w:keepNext/>
              <w:keepLines/>
              <w:numPr>
                <w:ilvl w:val="0"/>
                <w:numId w:val="22"/>
              </w:numPr>
              <w:rPr>
                <w:rFonts w:asciiTheme="minorHAnsi" w:hAnsiTheme="minorHAnsi"/>
                <w:sz w:val="20"/>
              </w:rPr>
            </w:pPr>
            <w:proofErr w:type="gramStart"/>
            <w:r w:rsidRPr="00CB3F09">
              <w:rPr>
                <w:rFonts w:asciiTheme="minorHAnsi" w:hAnsiTheme="minorHAnsi"/>
                <w:sz w:val="20"/>
              </w:rPr>
              <w:t>any</w:t>
            </w:r>
            <w:proofErr w:type="gramEnd"/>
            <w:r w:rsidRPr="00CB3F09">
              <w:rPr>
                <w:rFonts w:asciiTheme="minorHAnsi" w:hAnsiTheme="minorHAnsi"/>
                <w:sz w:val="20"/>
              </w:rPr>
              <w:t xml:space="preserve"> other person, or any other person that meets the conditions, prescribed by the regulations.</w:t>
            </w:r>
          </w:p>
        </w:tc>
      </w:tr>
      <w:tr w:rsidR="00264BB4" w:rsidRPr="00264BB4" w14:paraId="3F09C3F3" w14:textId="77777777" w:rsidTr="005B7002">
        <w:tc>
          <w:tcPr>
            <w:tcW w:w="2127" w:type="dxa"/>
          </w:tcPr>
          <w:p w14:paraId="7CF7F654" w14:textId="77777777" w:rsidR="00264BB4" w:rsidRPr="00CB3F09" w:rsidRDefault="00264BB4" w:rsidP="00FC2447">
            <w:pPr>
              <w:pStyle w:val="TableTextLeft"/>
              <w:rPr>
                <w:rFonts w:asciiTheme="minorHAnsi" w:hAnsiTheme="minorHAnsi"/>
                <w:sz w:val="20"/>
              </w:rPr>
            </w:pPr>
            <w:r w:rsidRPr="00CB3F09">
              <w:rPr>
                <w:rFonts w:asciiTheme="minorHAnsi" w:hAnsiTheme="minorHAnsi"/>
                <w:sz w:val="20"/>
              </w:rPr>
              <w:t>New dwelling</w:t>
            </w:r>
          </w:p>
        </w:tc>
        <w:tc>
          <w:tcPr>
            <w:tcW w:w="5692" w:type="dxa"/>
          </w:tcPr>
          <w:p w14:paraId="4FB1E342" w14:textId="77777777" w:rsidR="00264BB4" w:rsidRPr="00CB3F09" w:rsidRDefault="00264BB4" w:rsidP="00FC2447">
            <w:pPr>
              <w:pStyle w:val="TableTextLeft"/>
              <w:rPr>
                <w:rFonts w:asciiTheme="minorHAnsi" w:hAnsiTheme="minorHAnsi"/>
                <w:sz w:val="20"/>
              </w:rPr>
            </w:pPr>
            <w:r w:rsidRPr="00CB3F09">
              <w:rPr>
                <w:rFonts w:asciiTheme="minorHAnsi" w:hAnsiTheme="minorHAnsi"/>
                <w:sz w:val="20"/>
              </w:rPr>
              <w:t>A dwelling (except commercial residential premises) that will be, is being or has been built on residential land and that:</w:t>
            </w:r>
          </w:p>
          <w:p w14:paraId="766846A5" w14:textId="77777777" w:rsidR="00264BB4" w:rsidRPr="00CB3F09" w:rsidRDefault="00264BB4" w:rsidP="00B82F4F">
            <w:pPr>
              <w:pStyle w:val="TableTextLeft"/>
              <w:numPr>
                <w:ilvl w:val="0"/>
                <w:numId w:val="21"/>
              </w:numPr>
              <w:rPr>
                <w:rFonts w:asciiTheme="minorHAnsi" w:hAnsiTheme="minorHAnsi"/>
                <w:sz w:val="20"/>
              </w:rPr>
            </w:pPr>
            <w:r w:rsidRPr="00CB3F09">
              <w:rPr>
                <w:rFonts w:asciiTheme="minorHAnsi" w:hAnsiTheme="minorHAnsi"/>
                <w:sz w:val="20"/>
              </w:rPr>
              <w:t>has not been previously sold as a dwelling; and</w:t>
            </w:r>
          </w:p>
          <w:p w14:paraId="196B28D2" w14:textId="38E1FA89" w:rsidR="00264BB4" w:rsidRPr="00CB3F09" w:rsidRDefault="00264BB4" w:rsidP="00B82F4F">
            <w:pPr>
              <w:pStyle w:val="TableTextLeft"/>
              <w:numPr>
                <w:ilvl w:val="0"/>
                <w:numId w:val="21"/>
              </w:numPr>
              <w:rPr>
                <w:rFonts w:asciiTheme="minorHAnsi" w:hAnsiTheme="minorHAnsi"/>
                <w:sz w:val="20"/>
              </w:rPr>
            </w:pPr>
            <w:proofErr w:type="gramStart"/>
            <w:r w:rsidRPr="00CB3F09">
              <w:rPr>
                <w:rFonts w:asciiTheme="minorHAnsi" w:hAnsiTheme="minorHAnsi"/>
                <w:sz w:val="20"/>
              </w:rPr>
              <w:t>either</w:t>
            </w:r>
            <w:proofErr w:type="gramEnd"/>
            <w:r w:rsidRPr="00CB3F09">
              <w:rPr>
                <w:rFonts w:asciiTheme="minorHAnsi" w:hAnsiTheme="minorHAnsi"/>
                <w:sz w:val="20"/>
              </w:rPr>
              <w:t xml:space="preserve"> has not been previously occupied; or if the dwelling is contained in a development and the dwelling was sold by the developer of the development — has not been previously occupied for more than 12 months total.</w:t>
            </w:r>
          </w:p>
        </w:tc>
      </w:tr>
      <w:tr w:rsidR="00264BB4" w:rsidRPr="00264BB4" w14:paraId="5B5F314C" w14:textId="77777777" w:rsidTr="005B7002">
        <w:tc>
          <w:tcPr>
            <w:tcW w:w="2127" w:type="dxa"/>
          </w:tcPr>
          <w:p w14:paraId="74AF1BF0" w14:textId="77777777" w:rsidR="00264BB4" w:rsidRPr="00CB3F09" w:rsidRDefault="00264BB4" w:rsidP="00CB3F09">
            <w:pPr>
              <w:pStyle w:val="TableTextLeft"/>
              <w:rPr>
                <w:rFonts w:asciiTheme="minorHAnsi" w:hAnsiTheme="minorHAnsi"/>
                <w:sz w:val="20"/>
              </w:rPr>
            </w:pPr>
            <w:r w:rsidRPr="00CB3F09">
              <w:rPr>
                <w:rFonts w:asciiTheme="minorHAnsi" w:hAnsiTheme="minorHAnsi"/>
                <w:sz w:val="20"/>
              </w:rPr>
              <w:t>Ordinarily resident</w:t>
            </w:r>
          </w:p>
        </w:tc>
        <w:tc>
          <w:tcPr>
            <w:tcW w:w="5692" w:type="dxa"/>
          </w:tcPr>
          <w:p w14:paraId="7CCFBE25" w14:textId="024D4915" w:rsidR="00264BB4" w:rsidRPr="00CB3F09" w:rsidRDefault="00264BB4" w:rsidP="003E24F6">
            <w:pPr>
              <w:pStyle w:val="TableTextLeft"/>
              <w:keepNext/>
              <w:keepLines/>
              <w:rPr>
                <w:rFonts w:asciiTheme="minorHAnsi" w:hAnsiTheme="minorHAnsi"/>
                <w:sz w:val="20"/>
              </w:rPr>
            </w:pPr>
            <w:r w:rsidRPr="00CB3F09">
              <w:rPr>
                <w:rFonts w:asciiTheme="minorHAnsi" w:hAnsiTheme="minorHAnsi"/>
                <w:sz w:val="20"/>
              </w:rPr>
              <w:t>1.</w:t>
            </w:r>
            <w:r w:rsidRPr="00CB3F09">
              <w:rPr>
                <w:rFonts w:asciiTheme="minorHAnsi" w:hAnsiTheme="minorHAnsi"/>
                <w:sz w:val="20"/>
              </w:rPr>
              <w:tab/>
              <w:t>An individual who is not an Australian citizen is ordinarily resident in Australia at a particular time if and only if:</w:t>
            </w:r>
          </w:p>
          <w:p w14:paraId="48BE8A4D" w14:textId="2BB29E28" w:rsidR="00264BB4" w:rsidRPr="00CB3F09" w:rsidRDefault="006B70F2" w:rsidP="003E24F6">
            <w:pPr>
              <w:pStyle w:val="TableTextLeft"/>
              <w:keepNext/>
              <w:keepLines/>
              <w:ind w:left="720"/>
              <w:rPr>
                <w:rFonts w:asciiTheme="minorHAnsi" w:hAnsiTheme="minorHAnsi"/>
                <w:sz w:val="20"/>
              </w:rPr>
            </w:pPr>
            <w:r w:rsidRPr="00CB3F09">
              <w:rPr>
                <w:rFonts w:asciiTheme="minorHAnsi" w:hAnsiTheme="minorHAnsi"/>
                <w:sz w:val="20"/>
              </w:rPr>
              <w:t xml:space="preserve"> </w:t>
            </w:r>
            <w:r w:rsidR="00264BB4" w:rsidRPr="00CB3F09">
              <w:rPr>
                <w:rFonts w:asciiTheme="minorHAnsi" w:hAnsiTheme="minorHAnsi"/>
                <w:sz w:val="20"/>
              </w:rPr>
              <w:t>a. the individual has actually been in Australia during 200 or more days in the period of 12 months immediately preceding that time; and</w:t>
            </w:r>
          </w:p>
          <w:p w14:paraId="50CC855D" w14:textId="7322A81A" w:rsidR="00264BB4" w:rsidRPr="00CB3F09" w:rsidRDefault="006B70F2" w:rsidP="003E24F6">
            <w:pPr>
              <w:pStyle w:val="TableTextLeft"/>
              <w:keepNext/>
              <w:keepLines/>
              <w:ind w:left="720"/>
              <w:rPr>
                <w:rFonts w:asciiTheme="minorHAnsi" w:hAnsiTheme="minorHAnsi"/>
                <w:sz w:val="20"/>
              </w:rPr>
            </w:pPr>
            <w:r w:rsidRPr="00CB3F09">
              <w:rPr>
                <w:rFonts w:asciiTheme="minorHAnsi" w:hAnsiTheme="minorHAnsi"/>
                <w:sz w:val="20"/>
              </w:rPr>
              <w:t xml:space="preserve"> </w:t>
            </w:r>
            <w:r w:rsidR="00FC2447" w:rsidRPr="00CB3F09">
              <w:rPr>
                <w:rFonts w:asciiTheme="minorHAnsi" w:hAnsiTheme="minorHAnsi"/>
                <w:sz w:val="20"/>
              </w:rPr>
              <w:t>b. at that time:</w:t>
            </w:r>
          </w:p>
          <w:p w14:paraId="51250F02" w14:textId="77777777" w:rsidR="00264BB4" w:rsidRPr="00CB3F09" w:rsidRDefault="00264BB4" w:rsidP="003E24F6">
            <w:pPr>
              <w:pStyle w:val="TableTextLeft"/>
              <w:keepNext/>
              <w:keepLines/>
              <w:ind w:left="1440"/>
              <w:rPr>
                <w:rFonts w:asciiTheme="minorHAnsi" w:hAnsiTheme="minorHAnsi"/>
                <w:sz w:val="20"/>
              </w:rPr>
            </w:pPr>
            <w:proofErr w:type="spellStart"/>
            <w:r w:rsidRPr="00CB3F09">
              <w:rPr>
                <w:rFonts w:asciiTheme="minorHAnsi" w:hAnsiTheme="minorHAnsi"/>
                <w:sz w:val="20"/>
              </w:rPr>
              <w:t>i</w:t>
            </w:r>
            <w:proofErr w:type="spellEnd"/>
            <w:r w:rsidRPr="00CB3F09">
              <w:rPr>
                <w:rFonts w:asciiTheme="minorHAnsi" w:hAnsiTheme="minorHAnsi"/>
                <w:sz w:val="20"/>
              </w:rPr>
              <w:t>. the individual is in Australia and the individual’s continued presence in Australia is not subject to any limitation as to time imposed by law; or</w:t>
            </w:r>
          </w:p>
          <w:p w14:paraId="15BDB1D8" w14:textId="77777777" w:rsidR="00264BB4" w:rsidRPr="00CB3F09" w:rsidRDefault="00264BB4" w:rsidP="003E24F6">
            <w:pPr>
              <w:pStyle w:val="TableTextLeft"/>
              <w:keepNext/>
              <w:keepLines/>
              <w:ind w:left="1440"/>
              <w:rPr>
                <w:rFonts w:asciiTheme="minorHAnsi" w:hAnsiTheme="minorHAnsi"/>
                <w:sz w:val="20"/>
              </w:rPr>
            </w:pPr>
            <w:r w:rsidRPr="00CB3F09">
              <w:rPr>
                <w:rFonts w:asciiTheme="minorHAnsi" w:hAnsiTheme="minorHAnsi"/>
                <w:sz w:val="20"/>
              </w:rPr>
              <w:t xml:space="preserve">ii. </w:t>
            </w:r>
            <w:proofErr w:type="gramStart"/>
            <w:r w:rsidRPr="00CB3F09">
              <w:rPr>
                <w:rFonts w:asciiTheme="minorHAnsi" w:hAnsiTheme="minorHAnsi"/>
                <w:sz w:val="20"/>
              </w:rPr>
              <w:t>the</w:t>
            </w:r>
            <w:proofErr w:type="gramEnd"/>
            <w:r w:rsidRPr="00CB3F09">
              <w:rPr>
                <w:rFonts w:asciiTheme="minorHAnsi" w:hAnsiTheme="minorHAnsi"/>
                <w:sz w:val="20"/>
              </w:rPr>
              <w:t xml:space="preserve"> individual is not in Australia but, immediately before the individual’s most recent departure from Australia, the individual’s continued presence in Australia was not subject to any limitation as to time imposed by law.</w:t>
            </w:r>
          </w:p>
          <w:p w14:paraId="295C7773" w14:textId="77777777" w:rsidR="00264BB4" w:rsidRPr="00CB3F09" w:rsidRDefault="00264BB4" w:rsidP="003E24F6">
            <w:pPr>
              <w:pStyle w:val="TableTextLeft"/>
              <w:keepNext/>
              <w:keepLines/>
              <w:rPr>
                <w:rFonts w:asciiTheme="minorHAnsi" w:hAnsiTheme="minorHAnsi"/>
                <w:sz w:val="20"/>
              </w:rPr>
            </w:pPr>
            <w:r w:rsidRPr="00CB3F09">
              <w:rPr>
                <w:rFonts w:asciiTheme="minorHAnsi" w:hAnsiTheme="minorHAnsi"/>
                <w:sz w:val="20"/>
              </w:rPr>
              <w:t>2.</w:t>
            </w:r>
            <w:r w:rsidRPr="00CB3F09">
              <w:rPr>
                <w:rFonts w:asciiTheme="minorHAnsi" w:hAnsiTheme="minorHAnsi"/>
                <w:sz w:val="20"/>
              </w:rPr>
              <w:tab/>
              <w:t>Without limiting paragraph (1</w:t>
            </w:r>
            <w:proofErr w:type="gramStart"/>
            <w:r w:rsidRPr="00CB3F09">
              <w:rPr>
                <w:rFonts w:asciiTheme="minorHAnsi" w:hAnsiTheme="minorHAnsi"/>
                <w:sz w:val="20"/>
              </w:rPr>
              <w:t>)(</w:t>
            </w:r>
            <w:proofErr w:type="gramEnd"/>
            <w:r w:rsidRPr="00CB3F09">
              <w:rPr>
                <w:rFonts w:asciiTheme="minorHAnsi" w:hAnsiTheme="minorHAnsi"/>
                <w:sz w:val="20"/>
              </w:rPr>
              <w:t>b), an individual’s continued presence in Australia is subject to a limitation as to time imposed by law if the individual is an unlawful non</w:t>
            </w:r>
            <w:r w:rsidRPr="00CB3F09">
              <w:rPr>
                <w:rFonts w:asciiTheme="minorHAnsi" w:hAnsiTheme="minorHAnsi"/>
                <w:sz w:val="20"/>
              </w:rPr>
              <w:noBreakHyphen/>
              <w:t xml:space="preserve">citizen within the meaning of the </w:t>
            </w:r>
            <w:r w:rsidRPr="00CB3F09">
              <w:rPr>
                <w:rFonts w:asciiTheme="minorHAnsi" w:hAnsiTheme="minorHAnsi"/>
                <w:i/>
                <w:sz w:val="20"/>
              </w:rPr>
              <w:t>Migration Act 1958.</w:t>
            </w:r>
          </w:p>
        </w:tc>
      </w:tr>
      <w:tr w:rsidR="00264BB4" w:rsidRPr="00264BB4" w14:paraId="68ED3D18" w14:textId="77777777" w:rsidTr="005B7002">
        <w:tc>
          <w:tcPr>
            <w:tcW w:w="2127" w:type="dxa"/>
          </w:tcPr>
          <w:p w14:paraId="6DF30520" w14:textId="77777777" w:rsidR="00264BB4" w:rsidRPr="00CB3F09" w:rsidRDefault="00264BB4" w:rsidP="008B78A6">
            <w:pPr>
              <w:pStyle w:val="TableTextLeft"/>
              <w:keepNext/>
              <w:keepLines/>
              <w:rPr>
                <w:rFonts w:asciiTheme="minorHAnsi" w:hAnsiTheme="minorHAnsi"/>
                <w:sz w:val="20"/>
              </w:rPr>
            </w:pPr>
            <w:r w:rsidRPr="00CB3F09">
              <w:rPr>
                <w:rFonts w:asciiTheme="minorHAnsi" w:hAnsiTheme="minorHAnsi"/>
                <w:sz w:val="20"/>
              </w:rPr>
              <w:lastRenderedPageBreak/>
              <w:t>Residential land</w:t>
            </w:r>
          </w:p>
        </w:tc>
        <w:tc>
          <w:tcPr>
            <w:tcW w:w="5692" w:type="dxa"/>
          </w:tcPr>
          <w:p w14:paraId="1F1898A2" w14:textId="192FD97C" w:rsidR="00264BB4" w:rsidRPr="00CB3F09" w:rsidRDefault="00FC2447" w:rsidP="008B78A6">
            <w:pPr>
              <w:pStyle w:val="TableTextLeft"/>
              <w:keepNext/>
              <w:keepLines/>
              <w:rPr>
                <w:rFonts w:asciiTheme="minorHAnsi" w:hAnsiTheme="minorHAnsi"/>
                <w:sz w:val="20"/>
              </w:rPr>
            </w:pPr>
            <w:r w:rsidRPr="00CB3F09">
              <w:rPr>
                <w:rFonts w:asciiTheme="minorHAnsi" w:hAnsiTheme="minorHAnsi"/>
                <w:sz w:val="20"/>
              </w:rPr>
              <w:t>Land in Australia if:</w:t>
            </w:r>
          </w:p>
          <w:p w14:paraId="0DA44A02" w14:textId="77777777" w:rsidR="00264BB4" w:rsidRPr="00CB3F09" w:rsidRDefault="00264BB4" w:rsidP="00B82F4F">
            <w:pPr>
              <w:pStyle w:val="TableTextLeft"/>
              <w:keepNext/>
              <w:keepLines/>
              <w:numPr>
                <w:ilvl w:val="0"/>
                <w:numId w:val="20"/>
              </w:numPr>
              <w:rPr>
                <w:rFonts w:asciiTheme="minorHAnsi" w:hAnsiTheme="minorHAnsi"/>
                <w:sz w:val="20"/>
              </w:rPr>
            </w:pPr>
            <w:r w:rsidRPr="00CB3F09">
              <w:rPr>
                <w:rFonts w:asciiTheme="minorHAnsi" w:hAnsiTheme="minorHAnsi"/>
                <w:sz w:val="20"/>
              </w:rPr>
              <w:t>there is at least one dwelling on the land; or</w:t>
            </w:r>
          </w:p>
          <w:p w14:paraId="72B7E951" w14:textId="282D5F87" w:rsidR="00264BB4" w:rsidRPr="00CB3F09" w:rsidRDefault="00264BB4" w:rsidP="00B82F4F">
            <w:pPr>
              <w:pStyle w:val="TableTextLeft"/>
              <w:keepNext/>
              <w:keepLines/>
              <w:numPr>
                <w:ilvl w:val="0"/>
                <w:numId w:val="20"/>
              </w:numPr>
              <w:rPr>
                <w:rFonts w:asciiTheme="minorHAnsi" w:hAnsiTheme="minorHAnsi"/>
                <w:sz w:val="20"/>
              </w:rPr>
            </w:pPr>
            <w:r w:rsidRPr="00CB3F09">
              <w:rPr>
                <w:rFonts w:asciiTheme="minorHAnsi" w:hAnsiTheme="minorHAnsi"/>
                <w:sz w:val="20"/>
              </w:rPr>
              <w:t>the number of dwellings that could reasonably be built on the land is less than the number prescribed by the regulations (10 in 2016</w:t>
            </w:r>
            <w:r w:rsidR="0075073F">
              <w:rPr>
                <w:rFonts w:asciiTheme="minorHAnsi" w:hAnsiTheme="minorHAnsi"/>
                <w:sz w:val="20"/>
              </w:rPr>
              <w:t>–</w:t>
            </w:r>
            <w:r w:rsidRPr="00CB3F09">
              <w:rPr>
                <w:rFonts w:asciiTheme="minorHAnsi" w:hAnsiTheme="minorHAnsi"/>
                <w:sz w:val="20"/>
              </w:rPr>
              <w:t>17); and</w:t>
            </w:r>
          </w:p>
          <w:p w14:paraId="147ECA48" w14:textId="77777777" w:rsidR="00264BB4" w:rsidRPr="00CB3F09" w:rsidRDefault="00264BB4" w:rsidP="00B82F4F">
            <w:pPr>
              <w:pStyle w:val="TableTextLeft"/>
              <w:keepNext/>
              <w:keepLines/>
              <w:numPr>
                <w:ilvl w:val="0"/>
                <w:numId w:val="20"/>
              </w:numPr>
              <w:rPr>
                <w:rFonts w:asciiTheme="minorHAnsi" w:hAnsiTheme="minorHAnsi"/>
                <w:sz w:val="20"/>
              </w:rPr>
            </w:pPr>
            <w:r w:rsidRPr="00CB3F09">
              <w:rPr>
                <w:rFonts w:asciiTheme="minorHAnsi" w:hAnsiTheme="minorHAnsi"/>
                <w:sz w:val="20"/>
              </w:rPr>
              <w:t xml:space="preserve">does not include land: </w:t>
            </w:r>
          </w:p>
          <w:p w14:paraId="5F22D763" w14:textId="77777777" w:rsidR="00264BB4" w:rsidRPr="00CB3F09" w:rsidRDefault="00264BB4" w:rsidP="00B82F4F">
            <w:pPr>
              <w:pStyle w:val="TableTextLeft"/>
              <w:keepNext/>
              <w:keepLines/>
              <w:numPr>
                <w:ilvl w:val="0"/>
                <w:numId w:val="20"/>
              </w:numPr>
              <w:rPr>
                <w:rFonts w:asciiTheme="minorHAnsi" w:hAnsiTheme="minorHAnsi"/>
                <w:sz w:val="20"/>
              </w:rPr>
            </w:pPr>
            <w:r w:rsidRPr="00CB3F09">
              <w:rPr>
                <w:rFonts w:asciiTheme="minorHAnsi" w:hAnsiTheme="minorHAnsi"/>
                <w:sz w:val="20"/>
              </w:rPr>
              <w:t>used wholly and exclusively for a primary production business; or</w:t>
            </w:r>
          </w:p>
          <w:p w14:paraId="56ADE9C0" w14:textId="77777777" w:rsidR="00264BB4" w:rsidRPr="00CB3F09" w:rsidRDefault="00264BB4" w:rsidP="00B82F4F">
            <w:pPr>
              <w:pStyle w:val="TableTextLeft"/>
              <w:keepNext/>
              <w:keepLines/>
              <w:numPr>
                <w:ilvl w:val="0"/>
                <w:numId w:val="20"/>
              </w:numPr>
              <w:rPr>
                <w:rFonts w:asciiTheme="minorHAnsi" w:hAnsiTheme="minorHAnsi"/>
                <w:sz w:val="20"/>
              </w:rPr>
            </w:pPr>
            <w:proofErr w:type="gramStart"/>
            <w:r w:rsidRPr="00CB3F09">
              <w:rPr>
                <w:rFonts w:asciiTheme="minorHAnsi" w:hAnsiTheme="minorHAnsi"/>
                <w:sz w:val="20"/>
              </w:rPr>
              <w:t>on</w:t>
            </w:r>
            <w:proofErr w:type="gramEnd"/>
            <w:r w:rsidRPr="00CB3F09">
              <w:rPr>
                <w:rFonts w:asciiTheme="minorHAnsi" w:hAnsiTheme="minorHAnsi"/>
                <w:sz w:val="20"/>
              </w:rPr>
              <w:t xml:space="preserve"> which the only dwellings are commercial residential premises.</w:t>
            </w:r>
          </w:p>
        </w:tc>
      </w:tr>
      <w:tr w:rsidR="00264BB4" w:rsidRPr="00264BB4" w14:paraId="5B5C7FEA" w14:textId="77777777" w:rsidTr="005B7002">
        <w:tc>
          <w:tcPr>
            <w:tcW w:w="2127" w:type="dxa"/>
          </w:tcPr>
          <w:p w14:paraId="704DB375" w14:textId="77777777" w:rsidR="00264BB4" w:rsidRPr="00CB3F09" w:rsidRDefault="00264BB4" w:rsidP="00FC2447">
            <w:pPr>
              <w:pStyle w:val="TableTextLeft"/>
              <w:rPr>
                <w:rFonts w:asciiTheme="minorHAnsi" w:hAnsiTheme="minorHAnsi"/>
                <w:sz w:val="20"/>
              </w:rPr>
            </w:pPr>
            <w:r w:rsidRPr="00CB3F09">
              <w:rPr>
                <w:rFonts w:asciiTheme="minorHAnsi" w:hAnsiTheme="minorHAnsi"/>
                <w:sz w:val="20"/>
              </w:rPr>
              <w:t>Substantial interest</w:t>
            </w:r>
          </w:p>
        </w:tc>
        <w:tc>
          <w:tcPr>
            <w:tcW w:w="5692" w:type="dxa"/>
          </w:tcPr>
          <w:p w14:paraId="6FEA855D" w14:textId="77777777" w:rsidR="00264BB4" w:rsidRPr="00CB3F09" w:rsidRDefault="00264BB4" w:rsidP="00FC2447">
            <w:pPr>
              <w:pStyle w:val="TableTextLeft"/>
              <w:rPr>
                <w:rFonts w:asciiTheme="minorHAnsi" w:hAnsiTheme="minorHAnsi"/>
                <w:sz w:val="20"/>
              </w:rPr>
            </w:pPr>
            <w:r w:rsidRPr="00CB3F09">
              <w:rPr>
                <w:rFonts w:asciiTheme="minorHAnsi" w:hAnsiTheme="minorHAnsi"/>
                <w:sz w:val="20"/>
              </w:rPr>
              <w:t>A person holds a substantial interest in an entity or trust if:</w:t>
            </w:r>
          </w:p>
          <w:p w14:paraId="130B365A" w14:textId="2E68600B" w:rsidR="00264BB4" w:rsidRPr="00CB3F09" w:rsidRDefault="00264BB4" w:rsidP="00B82F4F">
            <w:pPr>
              <w:pStyle w:val="TableTextLeft"/>
              <w:numPr>
                <w:ilvl w:val="0"/>
                <w:numId w:val="19"/>
              </w:numPr>
              <w:rPr>
                <w:rFonts w:asciiTheme="minorHAnsi" w:hAnsiTheme="minorHAnsi"/>
                <w:sz w:val="20"/>
              </w:rPr>
            </w:pPr>
            <w:r w:rsidRPr="00CB3F09">
              <w:rPr>
                <w:rFonts w:asciiTheme="minorHAnsi" w:hAnsiTheme="minorHAnsi"/>
                <w:sz w:val="20"/>
              </w:rPr>
              <w:t>for an entity</w:t>
            </w:r>
            <w:r w:rsidR="0075073F">
              <w:rPr>
                <w:rFonts w:asciiTheme="minorHAnsi" w:hAnsiTheme="minorHAnsi"/>
                <w:sz w:val="20"/>
              </w:rPr>
              <w:t xml:space="preserve"> — </w:t>
            </w:r>
            <w:r w:rsidRPr="00CB3F09">
              <w:rPr>
                <w:rFonts w:asciiTheme="minorHAnsi" w:hAnsiTheme="minorHAnsi"/>
                <w:sz w:val="20"/>
              </w:rPr>
              <w:t>the person holds an interest o</w:t>
            </w:r>
            <w:bookmarkStart w:id="223" w:name="tempbookmark"/>
            <w:bookmarkEnd w:id="223"/>
            <w:r w:rsidRPr="00CB3F09">
              <w:rPr>
                <w:rFonts w:asciiTheme="minorHAnsi" w:hAnsiTheme="minorHAnsi"/>
                <w:sz w:val="20"/>
              </w:rPr>
              <w:t>f at least 20 per cent in the entity; or</w:t>
            </w:r>
          </w:p>
          <w:p w14:paraId="3030CE06" w14:textId="33669A34" w:rsidR="00264BB4" w:rsidRPr="00CB3F09" w:rsidRDefault="00264BB4" w:rsidP="00B82F4F">
            <w:pPr>
              <w:pStyle w:val="TableTextLeft"/>
              <w:numPr>
                <w:ilvl w:val="0"/>
                <w:numId w:val="19"/>
              </w:numPr>
              <w:rPr>
                <w:rFonts w:asciiTheme="minorHAnsi" w:hAnsiTheme="minorHAnsi"/>
                <w:sz w:val="20"/>
              </w:rPr>
            </w:pPr>
            <w:proofErr w:type="gramStart"/>
            <w:r w:rsidRPr="00CB3F09">
              <w:rPr>
                <w:rFonts w:asciiTheme="minorHAnsi" w:hAnsiTheme="minorHAnsi"/>
                <w:sz w:val="20"/>
              </w:rPr>
              <w:t>for</w:t>
            </w:r>
            <w:proofErr w:type="gramEnd"/>
            <w:r w:rsidRPr="00CB3F09">
              <w:rPr>
                <w:rFonts w:asciiTheme="minorHAnsi" w:hAnsiTheme="minorHAnsi"/>
                <w:sz w:val="20"/>
              </w:rPr>
              <w:t xml:space="preserve"> a trust (including a unit trust)</w:t>
            </w:r>
            <w:r w:rsidR="0075073F">
              <w:rPr>
                <w:rFonts w:asciiTheme="minorHAnsi" w:hAnsiTheme="minorHAnsi"/>
                <w:sz w:val="20"/>
              </w:rPr>
              <w:t xml:space="preserve"> — </w:t>
            </w:r>
            <w:r w:rsidRPr="00CB3F09">
              <w:rPr>
                <w:rFonts w:asciiTheme="minorHAnsi" w:hAnsiTheme="minorHAnsi"/>
                <w:sz w:val="20"/>
              </w:rPr>
              <w:t>the person, together with any one or more associates, holds a beneficial interest in at least 20 per cent of the income or property of the trust.</w:t>
            </w:r>
          </w:p>
        </w:tc>
      </w:tr>
      <w:tr w:rsidR="00264BB4" w:rsidRPr="00264BB4" w14:paraId="0414ECE0" w14:textId="77777777" w:rsidTr="005B7002">
        <w:tc>
          <w:tcPr>
            <w:tcW w:w="2127" w:type="dxa"/>
          </w:tcPr>
          <w:p w14:paraId="06A415A5" w14:textId="6EAEF837" w:rsidR="00264BB4" w:rsidRPr="00CB3F09" w:rsidRDefault="00264BB4" w:rsidP="00FC2447">
            <w:pPr>
              <w:pStyle w:val="TableTextLeft"/>
              <w:rPr>
                <w:rFonts w:asciiTheme="minorHAnsi" w:hAnsiTheme="minorHAnsi"/>
                <w:sz w:val="20"/>
              </w:rPr>
            </w:pPr>
            <w:r w:rsidRPr="00CB3F09">
              <w:rPr>
                <w:rFonts w:asciiTheme="minorHAnsi" w:hAnsiTheme="minorHAnsi"/>
                <w:sz w:val="20"/>
              </w:rPr>
              <w:t>Temporary resident</w:t>
            </w:r>
          </w:p>
        </w:tc>
        <w:tc>
          <w:tcPr>
            <w:tcW w:w="5692" w:type="dxa"/>
          </w:tcPr>
          <w:p w14:paraId="5FDF020D" w14:textId="77777777" w:rsidR="00264BB4" w:rsidRPr="00CB3F09" w:rsidRDefault="00264BB4" w:rsidP="00FC2447">
            <w:pPr>
              <w:pStyle w:val="TableTextLeft"/>
              <w:rPr>
                <w:rFonts w:asciiTheme="minorHAnsi" w:hAnsiTheme="minorHAnsi"/>
                <w:sz w:val="20"/>
              </w:rPr>
            </w:pPr>
            <w:r w:rsidRPr="00CB3F09">
              <w:rPr>
                <w:rFonts w:asciiTheme="minorHAnsi" w:hAnsiTheme="minorHAnsi"/>
                <w:sz w:val="20"/>
              </w:rPr>
              <w:t>An individual who:</w:t>
            </w:r>
          </w:p>
          <w:p w14:paraId="095EA5E3" w14:textId="77777777" w:rsidR="00264BB4" w:rsidRPr="00CB3F09" w:rsidRDefault="00264BB4" w:rsidP="00FC2447">
            <w:pPr>
              <w:pStyle w:val="TableTextLeft"/>
              <w:rPr>
                <w:rFonts w:asciiTheme="minorHAnsi" w:hAnsiTheme="minorHAnsi"/>
                <w:sz w:val="20"/>
              </w:rPr>
            </w:pPr>
            <w:r w:rsidRPr="00CB3F09">
              <w:rPr>
                <w:rFonts w:asciiTheme="minorHAnsi" w:hAnsiTheme="minorHAnsi"/>
                <w:sz w:val="20"/>
              </w:rPr>
              <w:t xml:space="preserve">1. holds a temporary visa under the </w:t>
            </w:r>
            <w:r w:rsidRPr="00CB3F09">
              <w:rPr>
                <w:rFonts w:asciiTheme="minorHAnsi" w:hAnsiTheme="minorHAnsi"/>
                <w:i/>
                <w:sz w:val="20"/>
              </w:rPr>
              <w:t>Migration Act 1958</w:t>
            </w:r>
            <w:r w:rsidRPr="00CB3F09">
              <w:rPr>
                <w:rFonts w:asciiTheme="minorHAnsi" w:hAnsiTheme="minorHAnsi"/>
                <w:sz w:val="20"/>
              </w:rPr>
              <w:t xml:space="preserve"> that allows the individual to remain in Australia for a continuous period of more than 12 months (disregarding the amount of that period remaining); or</w:t>
            </w:r>
          </w:p>
          <w:p w14:paraId="0F0E9DEE" w14:textId="1F41F97D" w:rsidR="00264BB4" w:rsidRPr="00CB3F09" w:rsidRDefault="00264BB4" w:rsidP="00FC2447">
            <w:pPr>
              <w:pStyle w:val="TableTextLeft"/>
              <w:rPr>
                <w:rFonts w:asciiTheme="minorHAnsi" w:hAnsiTheme="minorHAnsi"/>
                <w:sz w:val="20"/>
              </w:rPr>
            </w:pPr>
            <w:r w:rsidRPr="00CB3F09">
              <w:rPr>
                <w:rFonts w:asciiTheme="minorHAnsi" w:hAnsiTheme="minorHAnsi"/>
                <w:sz w:val="20"/>
              </w:rPr>
              <w:t xml:space="preserve">2. </w:t>
            </w:r>
            <w:r w:rsidR="003E24F6" w:rsidRPr="00CB3F09">
              <w:rPr>
                <w:rFonts w:asciiTheme="minorHAnsi" w:hAnsiTheme="minorHAnsi"/>
                <w:sz w:val="20"/>
              </w:rPr>
              <w:t>meets the following conditions:</w:t>
            </w:r>
          </w:p>
          <w:p w14:paraId="3ECD6A3C" w14:textId="77777777" w:rsidR="00264BB4" w:rsidRPr="00CB3F09" w:rsidRDefault="00264BB4" w:rsidP="00FC2447">
            <w:pPr>
              <w:pStyle w:val="TableTextLeft"/>
              <w:ind w:left="720"/>
              <w:rPr>
                <w:rFonts w:asciiTheme="minorHAnsi" w:hAnsiTheme="minorHAnsi"/>
                <w:sz w:val="20"/>
              </w:rPr>
            </w:pPr>
            <w:r w:rsidRPr="00CB3F09">
              <w:rPr>
                <w:rFonts w:asciiTheme="minorHAnsi" w:hAnsiTheme="minorHAnsi"/>
                <w:sz w:val="20"/>
              </w:rPr>
              <w:t xml:space="preserve"> </w:t>
            </w:r>
            <w:proofErr w:type="spellStart"/>
            <w:r w:rsidRPr="00CB3F09">
              <w:rPr>
                <w:rFonts w:asciiTheme="minorHAnsi" w:hAnsiTheme="minorHAnsi"/>
                <w:sz w:val="20"/>
              </w:rPr>
              <w:t>i</w:t>
            </w:r>
            <w:proofErr w:type="spellEnd"/>
            <w:r w:rsidRPr="00CB3F09">
              <w:rPr>
                <w:rFonts w:asciiTheme="minorHAnsi" w:hAnsiTheme="minorHAnsi"/>
                <w:sz w:val="20"/>
              </w:rPr>
              <w:t>. the individual is residing in Australia;</w:t>
            </w:r>
          </w:p>
          <w:p w14:paraId="6971512B" w14:textId="77777777" w:rsidR="00264BB4" w:rsidRPr="00CB3F09" w:rsidRDefault="00264BB4" w:rsidP="00FC2447">
            <w:pPr>
              <w:pStyle w:val="TableTextLeft"/>
              <w:ind w:left="720"/>
              <w:rPr>
                <w:rFonts w:asciiTheme="minorHAnsi" w:hAnsiTheme="minorHAnsi"/>
                <w:sz w:val="20"/>
              </w:rPr>
            </w:pPr>
            <w:r w:rsidRPr="00CB3F09">
              <w:rPr>
                <w:rFonts w:asciiTheme="minorHAnsi" w:hAnsiTheme="minorHAnsi"/>
                <w:sz w:val="20"/>
              </w:rPr>
              <w:t xml:space="preserve">ii. the individual has applied for a permanent visa under the </w:t>
            </w:r>
            <w:r w:rsidRPr="00CB3F09">
              <w:rPr>
                <w:rFonts w:asciiTheme="minorHAnsi" w:hAnsiTheme="minorHAnsi"/>
                <w:i/>
                <w:sz w:val="20"/>
              </w:rPr>
              <w:t>Migration Act 1958</w:t>
            </w:r>
            <w:r w:rsidRPr="00CB3F09">
              <w:rPr>
                <w:rFonts w:asciiTheme="minorHAnsi" w:hAnsiTheme="minorHAnsi"/>
                <w:sz w:val="20"/>
              </w:rPr>
              <w:t>;</w:t>
            </w:r>
          </w:p>
          <w:p w14:paraId="3B43C280" w14:textId="77777777" w:rsidR="00264BB4" w:rsidRPr="00CB3F09" w:rsidRDefault="00264BB4" w:rsidP="00FC2447">
            <w:pPr>
              <w:pStyle w:val="TableTextLeft"/>
              <w:ind w:left="720"/>
              <w:rPr>
                <w:rFonts w:asciiTheme="minorHAnsi" w:hAnsiTheme="minorHAnsi"/>
                <w:sz w:val="20"/>
              </w:rPr>
            </w:pPr>
            <w:r w:rsidRPr="00CB3F09">
              <w:rPr>
                <w:rFonts w:asciiTheme="minorHAnsi" w:hAnsiTheme="minorHAnsi"/>
                <w:sz w:val="20"/>
              </w:rPr>
              <w:t>iii. the individual holds a bridging visa under that Act that allows the individual to remain in Australia until the application has been finally determined; or</w:t>
            </w:r>
          </w:p>
          <w:p w14:paraId="31898736" w14:textId="77777777" w:rsidR="00264BB4" w:rsidRPr="00CB3F09" w:rsidRDefault="00264BB4" w:rsidP="00FC2447">
            <w:pPr>
              <w:pStyle w:val="TableTextLeft"/>
              <w:rPr>
                <w:rFonts w:asciiTheme="minorHAnsi" w:hAnsiTheme="minorHAnsi"/>
                <w:sz w:val="20"/>
              </w:rPr>
            </w:pPr>
            <w:r w:rsidRPr="00CB3F09">
              <w:rPr>
                <w:rFonts w:asciiTheme="minorHAnsi" w:hAnsiTheme="minorHAnsi"/>
                <w:sz w:val="20"/>
              </w:rPr>
              <w:t xml:space="preserve">3. </w:t>
            </w:r>
            <w:proofErr w:type="gramStart"/>
            <w:r w:rsidRPr="00CB3F09">
              <w:rPr>
                <w:rFonts w:asciiTheme="minorHAnsi" w:hAnsiTheme="minorHAnsi"/>
                <w:sz w:val="20"/>
              </w:rPr>
              <w:t>meets</w:t>
            </w:r>
            <w:proofErr w:type="gramEnd"/>
            <w:r w:rsidRPr="00CB3F09">
              <w:rPr>
                <w:rFonts w:asciiTheme="minorHAnsi" w:hAnsiTheme="minorHAnsi"/>
                <w:sz w:val="20"/>
              </w:rPr>
              <w:t xml:space="preserve"> the conditions prescribed by the regulations.</w:t>
            </w:r>
          </w:p>
        </w:tc>
      </w:tr>
      <w:tr w:rsidR="00264BB4" w:rsidRPr="00264BB4" w14:paraId="323F67B6" w14:textId="77777777" w:rsidTr="005B7002">
        <w:tc>
          <w:tcPr>
            <w:tcW w:w="2127" w:type="dxa"/>
          </w:tcPr>
          <w:p w14:paraId="31D00114" w14:textId="77777777" w:rsidR="00264BB4" w:rsidRPr="00CB3F09" w:rsidRDefault="00264BB4" w:rsidP="00FC2447">
            <w:pPr>
              <w:pStyle w:val="TableTextLeft"/>
              <w:rPr>
                <w:rFonts w:asciiTheme="minorHAnsi" w:hAnsiTheme="minorHAnsi"/>
                <w:sz w:val="20"/>
              </w:rPr>
            </w:pPr>
            <w:r w:rsidRPr="00CB3F09">
              <w:rPr>
                <w:rFonts w:asciiTheme="minorHAnsi" w:hAnsiTheme="minorHAnsi"/>
                <w:sz w:val="20"/>
              </w:rPr>
              <w:t>Vacant land</w:t>
            </w:r>
          </w:p>
        </w:tc>
        <w:tc>
          <w:tcPr>
            <w:tcW w:w="5692" w:type="dxa"/>
          </w:tcPr>
          <w:p w14:paraId="13C61C7B" w14:textId="77777777" w:rsidR="00264BB4" w:rsidRPr="00CB3F09" w:rsidRDefault="00264BB4" w:rsidP="00FC2447">
            <w:pPr>
              <w:pStyle w:val="TableTextLeft"/>
              <w:rPr>
                <w:rFonts w:asciiTheme="minorHAnsi" w:hAnsiTheme="minorHAnsi"/>
                <w:sz w:val="20"/>
              </w:rPr>
            </w:pPr>
            <w:r w:rsidRPr="00CB3F09">
              <w:rPr>
                <w:rFonts w:asciiTheme="minorHAnsi" w:hAnsiTheme="minorHAnsi"/>
                <w:sz w:val="20"/>
              </w:rPr>
              <w:t>Land is vacant if there is no substantive permanent building on the land that can be lawfully occupied by persons, goods or livestock.</w:t>
            </w:r>
          </w:p>
        </w:tc>
      </w:tr>
    </w:tbl>
    <w:p w14:paraId="166510A0" w14:textId="77777777" w:rsidR="00204E29" w:rsidRDefault="00204E29">
      <w:pPr>
        <w:sectPr w:rsidR="00204E29" w:rsidSect="0020758A">
          <w:headerReference w:type="default" r:id="rId109"/>
          <w:type w:val="oddPage"/>
          <w:pgSz w:w="11907" w:h="16840" w:code="9"/>
          <w:pgMar w:top="2466" w:right="2098" w:bottom="2466" w:left="2098" w:header="1899" w:footer="1899" w:gutter="0"/>
          <w:cols w:space="708"/>
          <w:titlePg/>
          <w:docGrid w:linePitch="360"/>
        </w:sectPr>
      </w:pPr>
    </w:p>
    <w:p w14:paraId="7CC76A59" w14:textId="77777777" w:rsidR="00A06890" w:rsidRPr="003E24F6" w:rsidRDefault="00A06890" w:rsidP="003E24F6"/>
    <w:sectPr w:rsidR="00A06890" w:rsidRPr="003E24F6" w:rsidSect="0020758A">
      <w:headerReference w:type="default" r:id="rId110"/>
      <w:type w:val="oddPage"/>
      <w:pgSz w:w="11907" w:h="16840" w:code="9"/>
      <w:pgMar w:top="2466" w:right="2098" w:bottom="2466" w:left="2098" w:header="1899" w:footer="189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9E6C1BE" w14:textId="77777777" w:rsidR="00AE54F4" w:rsidRDefault="00AE54F4" w:rsidP="008B6006">
      <w:pPr>
        <w:spacing w:after="0" w:line="240" w:lineRule="auto"/>
      </w:pPr>
      <w:r>
        <w:separator/>
      </w:r>
    </w:p>
  </w:endnote>
  <w:endnote w:type="continuationSeparator" w:id="0">
    <w:p w14:paraId="38ABF523" w14:textId="77777777" w:rsidR="00AE54F4" w:rsidRDefault="00AE54F4" w:rsidP="008B6006">
      <w:pPr>
        <w:spacing w:after="0" w:line="240" w:lineRule="auto"/>
      </w:pPr>
      <w:r>
        <w:continuationSeparator/>
      </w:r>
    </w:p>
  </w:endnote>
  <w:endnote w:type="continuationNotice" w:id="1">
    <w:p w14:paraId="5C40843E" w14:textId="77777777" w:rsidR="00AE54F4" w:rsidRDefault="00AE54F4">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Helvetica">
    <w:panose1 w:val="020B0604020202020204"/>
    <w:charset w:val="00"/>
    <w:family w:val="swiss"/>
    <w:pitch w:val="variable"/>
    <w:sig w:usb0="E0002AFF" w:usb1="C0007843" w:usb2="00000009" w:usb3="00000000" w:csb0="000001FF" w:csb1="00000000"/>
  </w:font>
  <w:font w:name="Arial Bold">
    <w:panose1 w:val="020B0704020202020204"/>
    <w:charset w:val="00"/>
    <w:family w:val="roman"/>
    <w:notTrueType/>
    <w:pitch w:val="default"/>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Swiss 721 BT">
    <w:altName w:val="Swiss 721 BT"/>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812766" w14:textId="77777777" w:rsidR="00AE54F4" w:rsidRDefault="00AE54F4">
    <w:pPr>
      <w:pStyle w:val="FooterEven"/>
    </w:pPr>
    <w:r>
      <w:fldChar w:fldCharType="begin"/>
    </w:r>
    <w:r>
      <w:instrText xml:space="preserve"> PAGE  \* MERGEFORMAT </w:instrText>
    </w:r>
    <w:r>
      <w:fldChar w:fldCharType="separate"/>
    </w:r>
    <w:r>
      <w:rPr>
        <w:noProof/>
      </w:rPr>
      <w:t>ix</w:t>
    </w:r>
    <w:r>
      <w:rPr>
        <w:noProof/>
      </w:rPr>
      <w:fldChar w:fldCharType="end"/>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07B05D5" w14:textId="77777777" w:rsidR="00AE54F4" w:rsidRPr="00D657CE" w:rsidRDefault="00AE54F4" w:rsidP="00BE0FAD">
    <w:pPr>
      <w:pStyle w:val="Footer"/>
    </w:pPr>
    <w:r>
      <w:fldChar w:fldCharType="begin"/>
    </w:r>
    <w:r>
      <w:instrText xml:space="preserve"> PAGE   \* MERGEFORMAT </w:instrText>
    </w:r>
    <w:r>
      <w:fldChar w:fldCharType="separate"/>
    </w:r>
    <w:r w:rsidR="000E3D1D">
      <w:rPr>
        <w:noProof/>
      </w:rPr>
      <w:t>41</w:t>
    </w:r>
    <w:r>
      <w:rPr>
        <w:noProof/>
      </w:rPr>
      <w:fldChar w:fldCharType="end"/>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65D1FD" w14:textId="77777777" w:rsidR="00AE54F4" w:rsidRPr="00D657CE" w:rsidRDefault="00AE54F4" w:rsidP="009F6F13">
    <w:pPr>
      <w:pStyle w:val="Footer"/>
      <w:jc w:val="right"/>
    </w:pPr>
    <w:r>
      <w:fldChar w:fldCharType="begin"/>
    </w:r>
    <w:r>
      <w:instrText xml:space="preserve"> PAGE   \* MERGEFORMAT </w:instrText>
    </w:r>
    <w:r>
      <w:fldChar w:fldCharType="separate"/>
    </w:r>
    <w:r w:rsidR="000E3D1D">
      <w:rPr>
        <w:noProof/>
      </w:rPr>
      <w:t>65</w:t>
    </w:r>
    <w:r>
      <w:rPr>
        <w:noProof/>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949ACF" w14:textId="78752352" w:rsidR="00AE54F4" w:rsidRDefault="00AE54F4">
    <w:pPr>
      <w:pStyle w:val="Footer"/>
      <w:jc w:val="right"/>
    </w:pPr>
  </w:p>
  <w:p w14:paraId="0F3889D6" w14:textId="53878D08" w:rsidR="00AE54F4" w:rsidRDefault="00AE54F4">
    <w:pPr>
      <w:pStyle w:val="FooterOdd"/>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A8C3A78" w14:textId="7569F4A8" w:rsidR="00AE54F4" w:rsidRDefault="00AE54F4">
    <w:pPr>
      <w:pStyle w:val="FooterEven"/>
    </w:pPr>
    <w:r>
      <w:fldChar w:fldCharType="begin"/>
    </w:r>
    <w:r>
      <w:instrText xml:space="preserve"> PAGE   \* MERGEFORMAT </w:instrText>
    </w:r>
    <w:r>
      <w:fldChar w:fldCharType="separate"/>
    </w:r>
    <w:r w:rsidR="000E3D1D">
      <w:rPr>
        <w:noProof/>
      </w:rPr>
      <w:t>2</w:t>
    </w:r>
    <w:r>
      <w:rPr>
        <w:noProof/>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76854929"/>
      <w:docPartObj>
        <w:docPartGallery w:val="Page Numbers (Bottom of Page)"/>
        <w:docPartUnique/>
      </w:docPartObj>
    </w:sdtPr>
    <w:sdtEndPr>
      <w:rPr>
        <w:noProof/>
      </w:rPr>
    </w:sdtEndPr>
    <w:sdtContent>
      <w:p w14:paraId="55D1F9BB" w14:textId="38B4F742" w:rsidR="00AE54F4" w:rsidRDefault="00AE54F4">
        <w:pPr>
          <w:pStyle w:val="Footer"/>
          <w:jc w:val="right"/>
        </w:pPr>
        <w:r>
          <w:fldChar w:fldCharType="begin"/>
        </w:r>
        <w:r>
          <w:instrText xml:space="preserve"> PAGE   \* MERGEFORMAT </w:instrText>
        </w:r>
        <w:r>
          <w:fldChar w:fldCharType="separate"/>
        </w:r>
        <w:r w:rsidR="000E3D1D">
          <w:rPr>
            <w:noProof/>
          </w:rPr>
          <w:t>3</w:t>
        </w:r>
        <w:r>
          <w:rPr>
            <w:noProof/>
          </w:rPr>
          <w:fldChar w:fldCharType="end"/>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09B2C53" w14:textId="16408048" w:rsidR="00AE54F4" w:rsidRPr="003711D9" w:rsidRDefault="00AE54F4" w:rsidP="003711D9">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21B07DF" w14:textId="097673EF" w:rsidR="00AE54F4" w:rsidRPr="003711D9" w:rsidRDefault="00AE54F4" w:rsidP="00074C52">
    <w:pPr>
      <w:pStyle w:val="Footer"/>
      <w:jc w:val="right"/>
    </w:pPr>
    <w:r>
      <w:fldChar w:fldCharType="begin"/>
    </w:r>
    <w:r>
      <w:instrText xml:space="preserve"> PAGE   \* MERGEFORMAT </w:instrText>
    </w:r>
    <w:r>
      <w:fldChar w:fldCharType="separate"/>
    </w:r>
    <w:r w:rsidR="000E3D1D">
      <w:rPr>
        <w:noProof/>
      </w:rPr>
      <w:t>iii</w:t>
    </w:r>
    <w:r>
      <w:rPr>
        <w:noProof/>
      </w:rP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47ACE13" w14:textId="77777777" w:rsidR="00AE54F4" w:rsidRDefault="00AE54F4" w:rsidP="002E7755">
    <w:pPr>
      <w:pStyle w:val="FooterOdd"/>
    </w:pPr>
    <w:r>
      <w:fldChar w:fldCharType="begin"/>
    </w:r>
    <w:r>
      <w:instrText xml:space="preserve"> PAGE   \* MERGEFORMAT </w:instrText>
    </w:r>
    <w:r>
      <w:fldChar w:fldCharType="separate"/>
    </w:r>
    <w:r w:rsidR="000E3D1D">
      <w:rPr>
        <w:noProof/>
      </w:rPr>
      <w:t>v</w:t>
    </w:r>
    <w:r>
      <w:rPr>
        <w:noProof/>
      </w:rP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F3832B" w14:textId="77777777" w:rsidR="00AE54F4" w:rsidRDefault="00AE54F4" w:rsidP="004A3335">
    <w:pPr>
      <w:pStyle w:val="FooterOdd"/>
    </w:pPr>
    <w:r>
      <w:fldChar w:fldCharType="begin"/>
    </w:r>
    <w:r>
      <w:instrText xml:space="preserve"> PAGE   \* MERGEFORMAT </w:instrText>
    </w:r>
    <w:r>
      <w:fldChar w:fldCharType="separate"/>
    </w:r>
    <w:r w:rsidR="000E3D1D">
      <w:rPr>
        <w:noProof/>
      </w:rPr>
      <w:t>1</w:t>
    </w:r>
    <w:r>
      <w:rPr>
        <w:noProof/>
      </w:rPr>
      <w:fldChar w:fldCharType="end"/>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B40AD48" w14:textId="77777777" w:rsidR="00AE54F4" w:rsidRPr="009A4518" w:rsidRDefault="00AE54F4" w:rsidP="00BE0FAD">
    <w:pPr>
      <w:pStyle w:val="Footer"/>
      <w:framePr w:h="346" w:hRule="exact" w:wrap="around" w:vAnchor="page" w:hAnchor="page" w:x="1981" w:y="9601" w:anchorLock="1"/>
      <w:jc w:val="both"/>
      <w:textDirection w:val="tbRl"/>
      <w:rPr>
        <w:rStyle w:val="FramedFooter"/>
        <w:rFonts w:cs="Arial"/>
      </w:rPr>
    </w:pPr>
    <w:r w:rsidRPr="009A4518">
      <w:rPr>
        <w:rStyle w:val="FramedFooter"/>
        <w:rFonts w:cs="Arial"/>
      </w:rPr>
      <w:fldChar w:fldCharType="begin"/>
    </w:r>
    <w:r w:rsidRPr="009A4518">
      <w:rPr>
        <w:rStyle w:val="FramedFooter"/>
        <w:rFonts w:cs="Arial"/>
      </w:rPr>
      <w:instrText xml:space="preserve"> PAGE  \* MERGEFORMAT </w:instrText>
    </w:r>
    <w:r w:rsidRPr="009A4518">
      <w:rPr>
        <w:rStyle w:val="FramedFooter"/>
        <w:rFonts w:cs="Arial"/>
      </w:rPr>
      <w:fldChar w:fldCharType="separate"/>
    </w:r>
    <w:r w:rsidR="000E3D1D">
      <w:rPr>
        <w:rStyle w:val="FramedFooter"/>
        <w:rFonts w:cs="Arial"/>
        <w:noProof/>
      </w:rPr>
      <w:t>40</w:t>
    </w:r>
    <w:r w:rsidRPr="009A4518">
      <w:rPr>
        <w:rStyle w:val="FramedFooter"/>
        <w:rFonts w:cs="Arial"/>
      </w:rPr>
      <w:fldChar w:fldCharType="end"/>
    </w:r>
  </w:p>
  <w:p w14:paraId="3B447C79" w14:textId="77777777" w:rsidR="00AE54F4" w:rsidRPr="00FD2033" w:rsidRDefault="00AE54F4" w:rsidP="00B74A8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976B64A" w14:textId="77777777" w:rsidR="00AE54F4" w:rsidRDefault="00AE54F4" w:rsidP="008B6006">
      <w:pPr>
        <w:spacing w:after="0" w:line="240" w:lineRule="auto"/>
      </w:pPr>
      <w:r>
        <w:separator/>
      </w:r>
    </w:p>
  </w:footnote>
  <w:footnote w:type="continuationSeparator" w:id="0">
    <w:p w14:paraId="79282DC0" w14:textId="77777777" w:rsidR="00AE54F4" w:rsidRDefault="00AE54F4" w:rsidP="008B6006">
      <w:pPr>
        <w:spacing w:after="0" w:line="240" w:lineRule="auto"/>
      </w:pPr>
      <w:r>
        <w:continuationSeparator/>
      </w:r>
    </w:p>
  </w:footnote>
  <w:footnote w:type="continuationNotice" w:id="1">
    <w:p w14:paraId="0AE456DB" w14:textId="77777777" w:rsidR="00AE54F4" w:rsidRDefault="00AE54F4">
      <w:pPr>
        <w:spacing w:after="0" w:line="240" w:lineRule="auto"/>
      </w:pPr>
    </w:p>
  </w:footnote>
  <w:footnote w:id="2">
    <w:p w14:paraId="35CECBEB" w14:textId="198D64DE" w:rsidR="00AE54F4" w:rsidRDefault="00AE54F4" w:rsidP="00231745">
      <w:pPr>
        <w:pStyle w:val="FootnoteText"/>
      </w:pPr>
      <w:r w:rsidRPr="00806753">
        <w:rPr>
          <w:rStyle w:val="FootnoteReference"/>
          <w:vertAlign w:val="baseline"/>
        </w:rPr>
        <w:footnoteRef/>
      </w:r>
      <w:r>
        <w:t xml:space="preserve"> </w:t>
      </w:r>
      <w:r>
        <w:tab/>
      </w:r>
      <w:r>
        <w:rPr>
          <w:szCs w:val="24"/>
        </w:rPr>
        <w:t>Since late 2017, the Department of Home Affairs has been responsible for the Centre.</w:t>
      </w:r>
    </w:p>
  </w:footnote>
  <w:footnote w:id="3">
    <w:p w14:paraId="22E40234" w14:textId="260A5513" w:rsidR="00AE54F4" w:rsidRDefault="00AE54F4" w:rsidP="00FD0D0B">
      <w:pPr>
        <w:pStyle w:val="FootnoteText"/>
      </w:pPr>
      <w:r w:rsidRPr="00806753">
        <w:rPr>
          <w:rStyle w:val="FootnoteReference"/>
          <w:vertAlign w:val="baseline"/>
        </w:rPr>
        <w:footnoteRef/>
      </w:r>
      <w:r>
        <w:t xml:space="preserve"> </w:t>
      </w:r>
      <w:r>
        <w:tab/>
        <w:t>An important caveat to this is that the source of proposed investment identified in Table</w:t>
      </w:r>
      <w:r w:rsidRPr="00D37120">
        <w:t xml:space="preserve"> </w:t>
      </w:r>
      <w:r>
        <w:t xml:space="preserve">4.13 may not necessarily reflect </w:t>
      </w:r>
      <w:r w:rsidRPr="00D37120">
        <w:t>all</w:t>
      </w:r>
      <w:r>
        <w:t xml:space="preserve"> countries involved in a foreign investment transaction</w:t>
      </w:r>
      <w:r w:rsidRPr="00D37120">
        <w:t>, but rather provides a guide on the source of controlling interests.</w:t>
      </w:r>
      <w:r>
        <w:t xml:space="preserve"> The general </w:t>
      </w:r>
      <w:r w:rsidRPr="00D37120">
        <w:t>approach</w:t>
      </w:r>
      <w:r>
        <w:t xml:space="preserve"> is for the investment to be attributed to the controlling investor </w:t>
      </w:r>
      <w:r w:rsidRPr="00D37120">
        <w:t xml:space="preserve">and a notional value </w:t>
      </w:r>
      <w:r>
        <w:t xml:space="preserve">recorded </w:t>
      </w:r>
      <w:r w:rsidRPr="00D37120">
        <w:t>to any other foreign government investors</w:t>
      </w:r>
      <w:r>
        <w:t xml:space="preserve"> greater than 5 per cent</w:t>
      </w:r>
      <w:r w:rsidRPr="00D37120">
        <w:t xml:space="preserve">. For </w:t>
      </w:r>
      <w:r>
        <w:t>consortium proposals</w:t>
      </w:r>
      <w:r w:rsidRPr="00D37120">
        <w:t xml:space="preserve">, the approach also considers the relative share of </w:t>
      </w:r>
      <w:r>
        <w:t xml:space="preserve">material investments </w:t>
      </w:r>
      <w:r w:rsidRPr="00D37120">
        <w:t xml:space="preserve">between the consortium parties and the value of the investment may be allocated on a proportional basis. </w:t>
      </w:r>
      <w:r>
        <w:t xml:space="preserve">For example, the source may be attributed to a company’s single substantial (or controlling) shareholder; or if a company’s shares are widely held, the country of domicile or incorporation may be recorded. The practical effect of this </w:t>
      </w:r>
      <w:r w:rsidRPr="00D37120">
        <w:t>approach</w:t>
      </w:r>
      <w:r>
        <w:t xml:space="preserve"> is that proposed investment by some countries will be overstated and for others understated.</w:t>
      </w:r>
    </w:p>
  </w:footnote>
  <w:footnote w:id="4">
    <w:p w14:paraId="554D0F6E" w14:textId="0061188D" w:rsidR="00AE54F4" w:rsidRPr="001F2469" w:rsidRDefault="00AE54F4" w:rsidP="00FA481C">
      <w:pPr>
        <w:pStyle w:val="FootnoteText"/>
        <w:rPr>
          <w:sz w:val="16"/>
        </w:rPr>
      </w:pPr>
      <w:r w:rsidRPr="00806753">
        <w:rPr>
          <w:rStyle w:val="FootnoteReference"/>
          <w:vertAlign w:val="baseline"/>
        </w:rPr>
        <w:footnoteRef/>
      </w:r>
      <w:r>
        <w:t xml:space="preserve"> </w:t>
      </w:r>
      <w:r>
        <w:tab/>
      </w:r>
      <w:r w:rsidRPr="00806753">
        <w:t>The value of properties is based on the value at the time the foreign person acquired the property.</w:t>
      </w:r>
    </w:p>
  </w:footnote>
  <w:footnote w:id="5">
    <w:p w14:paraId="1D119E2E" w14:textId="6EAEB9AC" w:rsidR="00AE54F4" w:rsidRPr="00DA3104" w:rsidRDefault="00AE54F4" w:rsidP="00264BB4">
      <w:pPr>
        <w:pStyle w:val="FootnoteText"/>
      </w:pPr>
      <w:r w:rsidRPr="00806753">
        <w:rPr>
          <w:rStyle w:val="FootnoteReference"/>
          <w:vertAlign w:val="baseline"/>
        </w:rPr>
        <w:footnoteRef/>
      </w:r>
      <w:r>
        <w:t xml:space="preserve"> </w:t>
      </w:r>
      <w:r>
        <w:tab/>
      </w:r>
      <w:r w:rsidRPr="00DA3104">
        <w:t>Data to end of 2013</w:t>
      </w:r>
      <w:r>
        <w:noBreakHyphen/>
      </w:r>
      <w:r w:rsidRPr="00DA3104">
        <w:t xml:space="preserve">14 has been compiled by reference to the </w:t>
      </w:r>
      <w:r w:rsidRPr="00806753">
        <w:t>Australian and New Zealand Standard Industrial Classification</w:t>
      </w:r>
      <w:r w:rsidRPr="00DA3104">
        <w:t xml:space="preserve"> (ANZSIC 1993), except: newspaper printing and publishing are allocated to the services industry sector (ANZSIC 1993 classifies these under manufacturing); some manufacturing activities have been grouped together as the resource processing sector (</w:t>
      </w:r>
      <w:r>
        <w:t>r</w:t>
      </w:r>
      <w:r w:rsidRPr="00DA3104">
        <w:t>esource processing included activities that, through processing, value add to natural resources. For example, cotton ginning, flour and sugar milling, smelting and refining of mineral resources, abattoirs and wood chipping); and tourism is recorded as a separate industry sector rather than being included with the other service industries. Data</w:t>
      </w:r>
      <w:r>
        <w:t> </w:t>
      </w:r>
      <w:r w:rsidRPr="00DA3104">
        <w:t>from 2014</w:t>
      </w:r>
      <w:r>
        <w:noBreakHyphen/>
      </w:r>
      <w:r w:rsidRPr="00DA3104">
        <w:t xml:space="preserve">15 </w:t>
      </w:r>
      <w:r>
        <w:t>is</w:t>
      </w:r>
      <w:r w:rsidRPr="00DA3104">
        <w:t xml:space="preserve"> compiled by reference to the </w:t>
      </w:r>
      <w:r w:rsidRPr="00806753">
        <w:t>Australian and New Zealand Standard Industrial Classification</w:t>
      </w:r>
      <w:r w:rsidRPr="00DA3104">
        <w:t xml:space="preserve"> (ANZSIC 2006) and the </w:t>
      </w:r>
      <w:r>
        <w:t>FIRB</w:t>
      </w:r>
      <w:r w:rsidRPr="00DA3104">
        <w:t xml:space="preserve"> </w:t>
      </w:r>
      <w:r>
        <w:t>is</w:t>
      </w:r>
      <w:r w:rsidRPr="00DA3104">
        <w:t xml:space="preserve"> no longer reporting on resource processing.</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963A89" w14:textId="77777777" w:rsidR="00AE54F4" w:rsidRDefault="00AE54F4">
    <w:pPr>
      <w:pStyle w:val="Header"/>
    </w:pPr>
    <w:r>
      <w:t>Contents</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55E909" w14:textId="01546461" w:rsidR="00AE54F4" w:rsidRDefault="00AE54F4" w:rsidP="00294A97">
    <w:pPr>
      <w:pStyle w:val="Header"/>
      <w:jc w:val="right"/>
    </w:pPr>
    <w:r w:rsidRPr="00D735C1">
      <w:t xml:space="preserve">Chapter </w:t>
    </w:r>
    <w:r>
      <w:t>2</w:t>
    </w:r>
    <w:r w:rsidRPr="00D735C1">
      <w:t xml:space="preserve">: The Foreign Investment </w:t>
    </w:r>
    <w:r>
      <w:t>Framework</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7DEA54" w14:textId="77777777" w:rsidR="00AE54F4" w:rsidRPr="00204E29" w:rsidRDefault="00AE54F4" w:rsidP="003711D9">
    <w:pPr>
      <w:pStyle w:val="HeaderOdd"/>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AD06344" w14:textId="2EC687F6" w:rsidR="00AE54F4" w:rsidRDefault="00AE54F4" w:rsidP="00294A97">
    <w:pPr>
      <w:pStyle w:val="Header"/>
      <w:jc w:val="right"/>
    </w:pPr>
    <w:r w:rsidRPr="00D735C1">
      <w:t xml:space="preserve">Chapter </w:t>
    </w:r>
    <w:r>
      <w:t>3</w:t>
    </w:r>
    <w:r w:rsidRPr="00D735C1">
      <w:t xml:space="preserve">: Foreign Investment </w:t>
    </w:r>
    <w:r>
      <w:t>Trends</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B1839B" w14:textId="4CAAEF25" w:rsidR="00AE54F4" w:rsidRDefault="00AE54F4" w:rsidP="00294A97">
    <w:pPr>
      <w:pStyle w:val="Header"/>
      <w:jc w:val="right"/>
    </w:pPr>
    <w:r w:rsidRPr="00D735C1">
      <w:t xml:space="preserve">Chapter </w:t>
    </w:r>
    <w:r>
      <w:t>4</w:t>
    </w:r>
    <w:r w:rsidRPr="00D735C1">
      <w:t xml:space="preserve">: Foreign Investment </w:t>
    </w:r>
    <w:r>
      <w:t>Proposals Data</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2268068" w14:textId="03F89C82" w:rsidR="00AE54F4" w:rsidRDefault="00AE54F4" w:rsidP="005670F9">
    <w:pPr>
      <w:pStyle w:val="Header"/>
      <w:framePr w:w="477" w:h="7711" w:hRule="exact" w:wrap="around" w:hAnchor="page" w:x="14460" w:yAlign="top" w:anchorLock="1"/>
      <w:jc w:val="right"/>
      <w:textDirection w:val="tbRl"/>
    </w:pPr>
    <w:r>
      <w:t>Chapter 4: Foreign Investment Proposals Data</w:t>
    </w:r>
  </w:p>
  <w:p w14:paraId="5A18F982" w14:textId="77777777" w:rsidR="00AE54F4" w:rsidRPr="00053957" w:rsidRDefault="00AE54F4" w:rsidP="00B74A83">
    <w:pPr>
      <w:pStyle w:val="HeaderEven"/>
      <w:jc w:val="right"/>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A2FD5EB" w14:textId="4D288D66" w:rsidR="00AE54F4" w:rsidRPr="00C94797" w:rsidRDefault="00AE54F4" w:rsidP="00B74A83">
    <w:pPr>
      <w:pStyle w:val="Header"/>
    </w:pPr>
    <w:r>
      <w:t>Foreign Investment Review Board Annual Report 2016-17</w: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0B099C1" w14:textId="237A5CEC" w:rsidR="00AE54F4" w:rsidRPr="00294A97" w:rsidRDefault="00AE54F4" w:rsidP="00294A97">
    <w:pPr>
      <w:pStyle w:val="Header"/>
    </w:pPr>
    <w:r>
      <w:t>Foreign Investment Review Board Annual Report 2016-17</w: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BAF1244" w14:textId="788FD2EB" w:rsidR="00AE54F4" w:rsidRPr="00C94797" w:rsidRDefault="00AE54F4" w:rsidP="00B74A83">
    <w:pPr>
      <w:pStyle w:val="Header"/>
    </w:pPr>
    <w:r>
      <w:t>Foreign Investment Review Board Annual Report 2016-17</w: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EA2F140" w14:textId="5AF963BD" w:rsidR="00AE54F4" w:rsidRPr="00204E29" w:rsidRDefault="00AE54F4" w:rsidP="00971054">
    <w:pPr>
      <w:pStyle w:val="HeaderOdd"/>
    </w:pPr>
    <w:r>
      <w:t>Chapter 5: Foreign Investment Compliance</w:t>
    </w:r>
  </w:p>
  <w:p w14:paraId="3C0DF3AD" w14:textId="77777777" w:rsidR="00AE54F4" w:rsidRDefault="00AE54F4">
    <w:pPr>
      <w:pStyle w:val="Heade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C2EB50" w14:textId="68CA4DCD" w:rsidR="00AE54F4" w:rsidRPr="00F05628" w:rsidRDefault="00AE54F4" w:rsidP="00F05628">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C0654A" w14:textId="33D7ADB7" w:rsidR="00AE54F4" w:rsidRPr="00204E29" w:rsidRDefault="00AE54F4" w:rsidP="00971054">
    <w:pPr>
      <w:pStyle w:val="HeaderOdd"/>
    </w:pPr>
    <w:r>
      <w:t>Foreign Investment Review Board Annual Report 2016-17</w:t>
    </w:r>
  </w:p>
  <w:p w14:paraId="6EF081D0" w14:textId="77777777" w:rsidR="00AE54F4" w:rsidRDefault="00AE54F4">
    <w:pPr>
      <w:pStyle w:val="Heade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4D267BE" w14:textId="1586EF09" w:rsidR="00AE54F4" w:rsidRPr="00C263DE" w:rsidRDefault="00AE54F4" w:rsidP="00971054">
    <w:pPr>
      <w:pStyle w:val="HeaderOdd"/>
    </w:pPr>
    <w:r w:rsidRPr="00C263DE">
      <w:t xml:space="preserve">Appendix </w:t>
    </w:r>
    <w:r>
      <w:t>B</w:t>
    </w:r>
    <w:r w:rsidRPr="00C263DE">
      <w:t>: Methodological and Data Caveats</w:t>
    </w:r>
  </w:p>
  <w:p w14:paraId="06E2BEC4" w14:textId="77777777" w:rsidR="00AE54F4" w:rsidRDefault="00AE54F4">
    <w:pPr>
      <w:pStyle w:val="Heade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837BF15" w14:textId="3747FDFF" w:rsidR="00AE54F4" w:rsidRPr="00204E29" w:rsidRDefault="00AE54F4" w:rsidP="00971054">
    <w:pPr>
      <w:pStyle w:val="HeaderOdd"/>
    </w:pPr>
    <w:r>
      <w:t>Appendix C: Examination and Approval Process</w:t>
    </w:r>
  </w:p>
  <w:p w14:paraId="1DAA5B5A" w14:textId="77777777" w:rsidR="00AE54F4" w:rsidRDefault="00AE54F4">
    <w:pPr>
      <w:pStyle w:val="Header"/>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308E35" w14:textId="6112B239" w:rsidR="00AE54F4" w:rsidRPr="00C263DE" w:rsidRDefault="00AE54F4" w:rsidP="00971054">
    <w:pPr>
      <w:pStyle w:val="HeaderOdd"/>
    </w:pPr>
    <w:r w:rsidRPr="00C263DE">
      <w:t xml:space="preserve">Appendix </w:t>
    </w:r>
    <w:r>
      <w:t>D</w:t>
    </w:r>
    <w:r w:rsidRPr="00C263DE">
      <w:t xml:space="preserve">: </w:t>
    </w:r>
    <w:r>
      <w:t>Glossary</w:t>
    </w:r>
  </w:p>
  <w:p w14:paraId="00CC5D80" w14:textId="77777777" w:rsidR="00AE54F4" w:rsidRDefault="00AE54F4">
    <w:pPr>
      <w:pStyle w:val="Header"/>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B78A5C4" w14:textId="6470E64A" w:rsidR="00AE54F4" w:rsidRPr="00204E29" w:rsidRDefault="00AE54F4" w:rsidP="00971054">
    <w:pPr>
      <w:pStyle w:val="HeaderOdd"/>
    </w:pPr>
    <w:r>
      <w:t>Appendix C: Glossary</w:t>
    </w:r>
  </w:p>
  <w:p w14:paraId="0E7C4924" w14:textId="77777777" w:rsidR="00AE54F4" w:rsidRDefault="00AE54F4">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3DA253" w14:textId="26C6C8BE" w:rsidR="00AE54F4" w:rsidRDefault="00AE54F4" w:rsidP="00971054">
    <w:pPr>
      <w:pStyle w:val="Header"/>
    </w:pPr>
    <w:r>
      <w:t>Foreign Investment Review Board Annual Report 2016–17</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A52401" w14:textId="77777777" w:rsidR="00AE54F4" w:rsidRDefault="00AE54F4">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C4F3F1" w14:textId="7D8B76C8" w:rsidR="00AE54F4" w:rsidRPr="00D74D35" w:rsidRDefault="00AE54F4" w:rsidP="00D74D35">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6B45111" w14:textId="7E96E2E5" w:rsidR="00AE54F4" w:rsidRPr="00204E29" w:rsidRDefault="00AE54F4" w:rsidP="00204E29">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A52527" w14:textId="1647D462" w:rsidR="00AE54F4" w:rsidRPr="00F05628" w:rsidRDefault="00AE54F4" w:rsidP="00F05628">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97226B" w14:textId="45F4EF22" w:rsidR="00AE54F4" w:rsidRDefault="00AE54F4" w:rsidP="00294A97">
    <w:pPr>
      <w:pStyle w:val="Header"/>
      <w:jc w:val="right"/>
    </w:pPr>
    <w:r w:rsidRPr="00D735C1">
      <w:t xml:space="preserve">Chapter </w:t>
    </w:r>
    <w:r>
      <w:t>1</w:t>
    </w:r>
    <w:r w:rsidRPr="00D735C1">
      <w:t xml:space="preserve">: The Foreign Investment </w:t>
    </w:r>
    <w:r>
      <w:t>Review Board</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AEA589C" w14:textId="77777777" w:rsidR="00AE54F4" w:rsidRPr="00204E29" w:rsidRDefault="00AE54F4" w:rsidP="003711D9">
    <w:pPr>
      <w:pStyle w:val="HeaderOdd"/>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B92AF1"/>
    <w:multiLevelType w:val="hybridMultilevel"/>
    <w:tmpl w:val="1E285314"/>
    <w:name w:val="AlphaChartTableFootnoteList222"/>
    <w:lvl w:ilvl="0" w:tplc="E0EA1E8E">
      <w:start w:val="1"/>
      <w:numFmt w:val="lowerLetter"/>
      <w:lvlRestart w:val="0"/>
      <w:lvlText w:val="(%1)"/>
      <w:lvlJc w:val="left"/>
      <w:pPr>
        <w:tabs>
          <w:tab w:val="num" w:pos="283"/>
        </w:tabs>
        <w:ind w:left="283" w:hanging="283"/>
      </w:pPr>
      <w:rPr>
        <w:rFonts w:ascii="Arial" w:hAnsi="Arial" w:cs="Arial" w:hint="default"/>
        <w:b w:val="0"/>
        <w:bCs w:val="0"/>
        <w:i w:val="0"/>
        <w:iCs w:val="0"/>
        <w:sz w:val="16"/>
        <w:szCs w:val="16"/>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1">
    <w:nsid w:val="11784997"/>
    <w:multiLevelType w:val="hybridMultilevel"/>
    <w:tmpl w:val="1902DE32"/>
    <w:lvl w:ilvl="0" w:tplc="A3F20A6E">
      <w:start w:val="1"/>
      <w:numFmt w:val="bullet"/>
      <w:lvlText w:val=""/>
      <w:lvlJc w:val="left"/>
      <w:pPr>
        <w:ind w:left="720" w:hanging="360"/>
      </w:pPr>
      <w:rPr>
        <w:rFonts w:ascii="Symbol" w:hAnsi="Symbol" w:hint="default"/>
        <w:sz w:val="16"/>
        <w:szCs w:val="1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nsid w:val="12CF3A7B"/>
    <w:multiLevelType w:val="hybridMultilevel"/>
    <w:tmpl w:val="A96E4CE8"/>
    <w:lvl w:ilvl="0" w:tplc="E036221E">
      <w:start w:val="1"/>
      <w:numFmt w:val="bullet"/>
      <w:pStyle w:val="Box-Pull-Bullet"/>
      <w:lvlText w:val="•"/>
      <w:lvlJc w:val="left"/>
      <w:pPr>
        <w:ind w:left="720" w:hanging="360"/>
      </w:pPr>
      <w:rPr>
        <w:rFonts w:ascii="Times New Roman" w:hAnsi="Times New Roman" w:cs="Times New Roman" w:hint="default"/>
        <w:color w:val="231E6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nsid w:val="19C960FD"/>
    <w:multiLevelType w:val="multilevel"/>
    <w:tmpl w:val="9E2A2866"/>
    <w:name w:val="OneLevelNumberedParagraphList"/>
    <w:lvl w:ilvl="0">
      <w:start w:val="1"/>
      <w:numFmt w:val="decimal"/>
      <w:lvlRestart w:val="0"/>
      <w:pStyle w:val="OneLevelNumberedParagraph"/>
      <w:lvlText w:val="%1."/>
      <w:lvlJc w:val="left"/>
      <w:pPr>
        <w:tabs>
          <w:tab w:val="num" w:pos="567"/>
        </w:tabs>
        <w:ind w:left="567" w:hanging="567"/>
      </w:pPr>
      <w:rPr>
        <w:rFonts w:ascii="Times New Roman" w:hAnsi="Times New Roman" w:cs="Times New Roman"/>
        <w:b w:val="0"/>
        <w:i w:val="0"/>
        <w:color w:val="000000"/>
      </w:rPr>
    </w:lvl>
    <w:lvl w:ilvl="1">
      <w:start w:val="1"/>
      <w:numFmt w:val="decimal"/>
      <w:lvlText w:val="%2"/>
      <w:lvlJc w:val="left"/>
      <w:pPr>
        <w:tabs>
          <w:tab w:val="num" w:pos="1134"/>
        </w:tabs>
        <w:ind w:left="1134" w:hanging="567"/>
      </w:pPr>
      <w:rPr>
        <w:rFonts w:ascii="Times New Roman" w:hAnsi="Times New Roman" w:cs="Times New Roman"/>
        <w:b w:val="0"/>
        <w:i w:val="0"/>
        <w:color w:val="000000"/>
      </w:rPr>
    </w:lvl>
    <w:lvl w:ilvl="2">
      <w:start w:val="1"/>
      <w:numFmt w:val="decimal"/>
      <w:lvlText w:val="%3"/>
      <w:lvlJc w:val="left"/>
      <w:pPr>
        <w:tabs>
          <w:tab w:val="num" w:pos="1701"/>
        </w:tabs>
        <w:ind w:left="1701" w:hanging="567"/>
      </w:pPr>
      <w:rPr>
        <w:rFonts w:ascii="Times New Roman" w:hAnsi="Times New Roman" w:cs="Times New Roman"/>
        <w:b w:val="0"/>
        <w:i w:val="0"/>
        <w:color w:val="000000"/>
      </w:rPr>
    </w:lvl>
    <w:lvl w:ilvl="3">
      <w:start w:val="1"/>
      <w:numFmt w:val="decimal"/>
      <w:lvlText w:val="%4"/>
      <w:lvlJc w:val="left"/>
      <w:pPr>
        <w:tabs>
          <w:tab w:val="num" w:pos="2268"/>
        </w:tabs>
        <w:ind w:left="2268" w:hanging="567"/>
      </w:pPr>
      <w:rPr>
        <w:rFonts w:ascii="Times New Roman" w:hAnsi="Times New Roman" w:cs="Times New Roman"/>
        <w:b w:val="0"/>
        <w:i w:val="0"/>
        <w:color w:val="000000"/>
      </w:rPr>
    </w:lvl>
    <w:lvl w:ilvl="4">
      <w:start w:val="1"/>
      <w:numFmt w:val="decimal"/>
      <w:lvlText w:val="%5"/>
      <w:lvlJc w:val="left"/>
      <w:pPr>
        <w:tabs>
          <w:tab w:val="num" w:pos="2835"/>
        </w:tabs>
        <w:ind w:left="2835" w:hanging="567"/>
      </w:pPr>
      <w:rPr>
        <w:rFonts w:ascii="Times New Roman" w:hAnsi="Times New Roman" w:cs="Times New Roman"/>
        <w:b w:val="0"/>
        <w:i w:val="0"/>
        <w:color w:val="000000"/>
      </w:rPr>
    </w:lvl>
    <w:lvl w:ilvl="5">
      <w:start w:val="1"/>
      <w:numFmt w:val="decimal"/>
      <w:lvlText w:val="%6"/>
      <w:lvlJc w:val="left"/>
      <w:pPr>
        <w:tabs>
          <w:tab w:val="num" w:pos="3402"/>
        </w:tabs>
        <w:ind w:left="3402" w:hanging="567"/>
      </w:pPr>
      <w:rPr>
        <w:rFonts w:ascii="Times New Roman" w:hAnsi="Times New Roman" w:cs="Times New Roman"/>
        <w:b w:val="0"/>
        <w:i w:val="0"/>
        <w:color w:val="000000"/>
      </w:rPr>
    </w:lvl>
    <w:lvl w:ilvl="6">
      <w:start w:val="1"/>
      <w:numFmt w:val="decimal"/>
      <w:lvlText w:val="%7"/>
      <w:lvlJc w:val="left"/>
      <w:pPr>
        <w:tabs>
          <w:tab w:val="num" w:pos="3969"/>
        </w:tabs>
        <w:ind w:left="3969" w:hanging="567"/>
      </w:pPr>
      <w:rPr>
        <w:rFonts w:ascii="Times New Roman" w:hAnsi="Times New Roman" w:cs="Times New Roman"/>
        <w:b w:val="0"/>
        <w:i w:val="0"/>
        <w:color w:val="000000"/>
      </w:rPr>
    </w:lvl>
    <w:lvl w:ilvl="7">
      <w:start w:val="1"/>
      <w:numFmt w:val="decimal"/>
      <w:lvlText w:val="%8"/>
      <w:lvlJc w:val="left"/>
      <w:pPr>
        <w:tabs>
          <w:tab w:val="num" w:pos="4536"/>
        </w:tabs>
        <w:ind w:left="4536" w:hanging="567"/>
      </w:pPr>
      <w:rPr>
        <w:rFonts w:ascii="Times New Roman" w:hAnsi="Times New Roman" w:cs="Times New Roman"/>
        <w:b w:val="0"/>
        <w:i w:val="0"/>
        <w:color w:val="000000"/>
      </w:rPr>
    </w:lvl>
    <w:lvl w:ilvl="8">
      <w:start w:val="1"/>
      <w:numFmt w:val="decimal"/>
      <w:lvlText w:val="%9"/>
      <w:lvlJc w:val="left"/>
      <w:pPr>
        <w:tabs>
          <w:tab w:val="num" w:pos="5103"/>
        </w:tabs>
        <w:ind w:left="5103" w:hanging="567"/>
      </w:pPr>
      <w:rPr>
        <w:rFonts w:ascii="Times New Roman" w:hAnsi="Times New Roman" w:cs="Times New Roman"/>
        <w:b w:val="0"/>
        <w:i w:val="0"/>
        <w:color w:val="000000"/>
      </w:rPr>
    </w:lvl>
  </w:abstractNum>
  <w:abstractNum w:abstractNumId="4">
    <w:nsid w:val="1BF702B9"/>
    <w:multiLevelType w:val="hybridMultilevel"/>
    <w:tmpl w:val="A238EB22"/>
    <w:lvl w:ilvl="0" w:tplc="1D04A7BE">
      <w:start w:val="1"/>
      <w:numFmt w:val="bullet"/>
      <w:lvlText w:val=""/>
      <w:lvlJc w:val="left"/>
      <w:pPr>
        <w:ind w:left="360" w:hanging="360"/>
      </w:pPr>
      <w:rPr>
        <w:rFonts w:ascii="Symbol" w:hAnsi="Symbol" w:hint="default"/>
        <w:sz w:val="16"/>
        <w:szCs w:val="16"/>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
    <w:nsid w:val="1EE31352"/>
    <w:multiLevelType w:val="hybridMultilevel"/>
    <w:tmpl w:val="6714D246"/>
    <w:lvl w:ilvl="0" w:tplc="585630F4">
      <w:start w:val="1"/>
      <w:numFmt w:val="bullet"/>
      <w:lvlText w:val=""/>
      <w:lvlJc w:val="left"/>
      <w:pPr>
        <w:ind w:left="720" w:hanging="360"/>
      </w:pPr>
      <w:rPr>
        <w:rFonts w:ascii="Symbol" w:hAnsi="Symbol" w:hint="default"/>
        <w:sz w:val="16"/>
        <w:szCs w:val="1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nsid w:val="244237C5"/>
    <w:multiLevelType w:val="multilevel"/>
    <w:tmpl w:val="F0BE3518"/>
    <w:name w:val="StandardNumberedList"/>
    <w:lvl w:ilvl="0">
      <w:start w:val="1"/>
      <w:numFmt w:val="decimal"/>
      <w:lvlRestart w:val="0"/>
      <w:pStyle w:val="OutlineNumbered1"/>
      <w:lvlText w:val="%1."/>
      <w:lvlJc w:val="left"/>
      <w:pPr>
        <w:tabs>
          <w:tab w:val="num" w:pos="567"/>
        </w:tabs>
        <w:ind w:left="567" w:hanging="567"/>
      </w:pPr>
      <w:rPr>
        <w:b w:val="0"/>
        <w:i w:val="0"/>
      </w:rPr>
    </w:lvl>
    <w:lvl w:ilvl="1">
      <w:start w:val="1"/>
      <w:numFmt w:val="decimal"/>
      <w:pStyle w:val="OutlineNumbered2"/>
      <w:lvlText w:val="%1.%2."/>
      <w:lvlJc w:val="left"/>
      <w:pPr>
        <w:tabs>
          <w:tab w:val="num" w:pos="1134"/>
        </w:tabs>
        <w:ind w:left="1134" w:hanging="567"/>
      </w:pPr>
      <w:rPr>
        <w:b w:val="0"/>
        <w:i w:val="0"/>
      </w:rPr>
    </w:lvl>
    <w:lvl w:ilvl="2">
      <w:start w:val="1"/>
      <w:numFmt w:val="decimal"/>
      <w:pStyle w:val="OutlineNumbered3"/>
      <w:lvlText w:val="%1.%2.%3."/>
      <w:lvlJc w:val="left"/>
      <w:pPr>
        <w:tabs>
          <w:tab w:val="num" w:pos="1701"/>
        </w:tabs>
        <w:ind w:left="1701" w:hanging="567"/>
      </w:pPr>
      <w:rPr>
        <w:b w:val="0"/>
        <w:i w:val="0"/>
      </w:rPr>
    </w:lvl>
    <w:lvl w:ilvl="3">
      <w:start w:val="1"/>
      <w:numFmt w:val="decimal"/>
      <w:lvlText w:val="(%4)"/>
      <w:lvlJc w:val="left"/>
      <w:pPr>
        <w:tabs>
          <w:tab w:val="num" w:pos="1440"/>
        </w:tabs>
        <w:ind w:left="1440" w:hanging="360"/>
      </w:pPr>
      <w:rPr>
        <w:b w:val="0"/>
        <w:i w:val="0"/>
      </w:rPr>
    </w:lvl>
    <w:lvl w:ilvl="4">
      <w:start w:val="1"/>
      <w:numFmt w:val="lowerLetter"/>
      <w:lvlText w:val="(%5)"/>
      <w:lvlJc w:val="left"/>
      <w:pPr>
        <w:tabs>
          <w:tab w:val="num" w:pos="1800"/>
        </w:tabs>
        <w:ind w:left="1800" w:hanging="360"/>
      </w:pPr>
      <w:rPr>
        <w:b w:val="0"/>
        <w:i w:val="0"/>
      </w:rPr>
    </w:lvl>
    <w:lvl w:ilvl="5">
      <w:start w:val="1"/>
      <w:numFmt w:val="lowerRoman"/>
      <w:lvlText w:val="(%6)"/>
      <w:lvlJc w:val="left"/>
      <w:pPr>
        <w:tabs>
          <w:tab w:val="num" w:pos="2160"/>
        </w:tabs>
        <w:ind w:left="2160" w:hanging="360"/>
      </w:pPr>
      <w:rPr>
        <w:b w:val="0"/>
        <w:i w:val="0"/>
      </w:rPr>
    </w:lvl>
    <w:lvl w:ilvl="6">
      <w:start w:val="1"/>
      <w:numFmt w:val="decimal"/>
      <w:lvlText w:val="%7."/>
      <w:lvlJc w:val="left"/>
      <w:pPr>
        <w:tabs>
          <w:tab w:val="num" w:pos="2520"/>
        </w:tabs>
        <w:ind w:left="2520" w:hanging="360"/>
      </w:pPr>
      <w:rPr>
        <w:b w:val="0"/>
        <w:i w:val="0"/>
      </w:rPr>
    </w:lvl>
    <w:lvl w:ilvl="7">
      <w:start w:val="1"/>
      <w:numFmt w:val="lowerLetter"/>
      <w:lvlText w:val="%8."/>
      <w:lvlJc w:val="left"/>
      <w:pPr>
        <w:tabs>
          <w:tab w:val="num" w:pos="2880"/>
        </w:tabs>
        <w:ind w:left="2880" w:hanging="360"/>
      </w:pPr>
      <w:rPr>
        <w:b w:val="0"/>
        <w:i w:val="0"/>
      </w:rPr>
    </w:lvl>
    <w:lvl w:ilvl="8">
      <w:start w:val="1"/>
      <w:numFmt w:val="lowerRoman"/>
      <w:lvlText w:val="%9."/>
      <w:lvlJc w:val="left"/>
      <w:pPr>
        <w:tabs>
          <w:tab w:val="num" w:pos="3240"/>
        </w:tabs>
        <w:ind w:left="3240" w:hanging="360"/>
      </w:pPr>
      <w:rPr>
        <w:b w:val="0"/>
        <w:i w:val="0"/>
      </w:rPr>
    </w:lvl>
  </w:abstractNum>
  <w:abstractNum w:abstractNumId="7">
    <w:nsid w:val="27440C8B"/>
    <w:multiLevelType w:val="multilevel"/>
    <w:tmpl w:val="9560F99E"/>
    <w:name w:val="StandardBulletedList_"/>
    <w:lvl w:ilvl="0">
      <w:start w:val="1"/>
      <w:numFmt w:val="bullet"/>
      <w:lvlRestart w:val="0"/>
      <w:pStyle w:val="Bullet"/>
      <w:lvlText w:val="•"/>
      <w:lvlJc w:val="left"/>
      <w:pPr>
        <w:tabs>
          <w:tab w:val="num" w:pos="283"/>
        </w:tabs>
        <w:ind w:left="283" w:hanging="283"/>
      </w:pPr>
      <w:rPr>
        <w:rFonts w:ascii="Times New Roman" w:hAnsi="Times New Roman" w:cs="Times New Roman"/>
        <w:b w:val="0"/>
        <w:i w:val="0"/>
      </w:rPr>
    </w:lvl>
    <w:lvl w:ilvl="1">
      <w:start w:val="1"/>
      <w:numFmt w:val="bullet"/>
      <w:pStyle w:val="Dash"/>
      <w:lvlText w:val="–"/>
      <w:lvlJc w:val="left"/>
      <w:pPr>
        <w:tabs>
          <w:tab w:val="num" w:pos="567"/>
        </w:tabs>
        <w:ind w:left="567" w:hanging="284"/>
      </w:pPr>
      <w:rPr>
        <w:rFonts w:ascii="Times New Roman" w:hAnsi="Times New Roman" w:cs="Times New Roman"/>
        <w:b w:val="0"/>
        <w:i w:val="0"/>
      </w:rPr>
    </w:lvl>
    <w:lvl w:ilvl="2">
      <w:start w:val="1"/>
      <w:numFmt w:val="bullet"/>
      <w:pStyle w:val="DoubleDot"/>
      <w:lvlText w:val=":"/>
      <w:lvlJc w:val="left"/>
      <w:pPr>
        <w:tabs>
          <w:tab w:val="num" w:pos="850"/>
        </w:tabs>
        <w:ind w:left="850" w:hanging="283"/>
      </w:pPr>
      <w:rPr>
        <w:rFonts w:ascii="Times New Roman" w:hAnsi="Times New Roman" w:cs="Times New Roman"/>
        <w:b w:val="0"/>
        <w:i w:val="0"/>
      </w:rPr>
    </w:lvl>
    <w:lvl w:ilvl="3">
      <w:start w:val="1"/>
      <w:numFmt w:val="decimal"/>
      <w:lvlText w:val="(%4)"/>
      <w:lvlJc w:val="left"/>
      <w:pPr>
        <w:tabs>
          <w:tab w:val="num" w:pos="1440"/>
        </w:tabs>
        <w:ind w:left="1440" w:hanging="360"/>
      </w:pPr>
      <w:rPr>
        <w:b w:val="0"/>
        <w:i w:val="0"/>
      </w:rPr>
    </w:lvl>
    <w:lvl w:ilvl="4">
      <w:start w:val="1"/>
      <w:numFmt w:val="lowerLetter"/>
      <w:lvlText w:val="(%5)"/>
      <w:lvlJc w:val="left"/>
      <w:pPr>
        <w:tabs>
          <w:tab w:val="num" w:pos="1800"/>
        </w:tabs>
        <w:ind w:left="1800" w:hanging="360"/>
      </w:pPr>
      <w:rPr>
        <w:b w:val="0"/>
        <w:i w:val="0"/>
      </w:rPr>
    </w:lvl>
    <w:lvl w:ilvl="5">
      <w:start w:val="1"/>
      <w:numFmt w:val="lowerRoman"/>
      <w:lvlText w:val="(%6)"/>
      <w:lvlJc w:val="left"/>
      <w:pPr>
        <w:tabs>
          <w:tab w:val="num" w:pos="2160"/>
        </w:tabs>
        <w:ind w:left="2160" w:hanging="360"/>
      </w:pPr>
      <w:rPr>
        <w:b w:val="0"/>
        <w:i w:val="0"/>
      </w:rPr>
    </w:lvl>
    <w:lvl w:ilvl="6">
      <w:start w:val="1"/>
      <w:numFmt w:val="decimal"/>
      <w:lvlText w:val="%7."/>
      <w:lvlJc w:val="left"/>
      <w:pPr>
        <w:tabs>
          <w:tab w:val="num" w:pos="2520"/>
        </w:tabs>
        <w:ind w:left="2520" w:hanging="360"/>
      </w:pPr>
      <w:rPr>
        <w:b w:val="0"/>
        <w:i w:val="0"/>
      </w:rPr>
    </w:lvl>
    <w:lvl w:ilvl="7">
      <w:start w:val="1"/>
      <w:numFmt w:val="lowerLetter"/>
      <w:lvlText w:val="%8."/>
      <w:lvlJc w:val="left"/>
      <w:pPr>
        <w:tabs>
          <w:tab w:val="num" w:pos="2880"/>
        </w:tabs>
        <w:ind w:left="2880" w:hanging="360"/>
      </w:pPr>
      <w:rPr>
        <w:b w:val="0"/>
        <w:i w:val="0"/>
      </w:rPr>
    </w:lvl>
    <w:lvl w:ilvl="8">
      <w:start w:val="1"/>
      <w:numFmt w:val="lowerRoman"/>
      <w:lvlText w:val="%9."/>
      <w:lvlJc w:val="left"/>
      <w:pPr>
        <w:tabs>
          <w:tab w:val="num" w:pos="3240"/>
        </w:tabs>
        <w:ind w:left="3240" w:hanging="360"/>
      </w:pPr>
      <w:rPr>
        <w:b w:val="0"/>
        <w:i w:val="0"/>
      </w:rPr>
    </w:lvl>
  </w:abstractNum>
  <w:abstractNum w:abstractNumId="8">
    <w:nsid w:val="2BEA786A"/>
    <w:multiLevelType w:val="multilevel"/>
    <w:tmpl w:val="C2664A28"/>
    <w:name w:val="AppendixAHeadingsNoItalics"/>
    <w:lvl w:ilvl="0">
      <w:start w:val="1"/>
      <w:numFmt w:val="decimal"/>
      <w:lvlRestart w:val="0"/>
      <w:pStyle w:val="AppendixAHeading3NotItalic"/>
      <w:lvlText w:val="%1."/>
      <w:lvlJc w:val="left"/>
      <w:pPr>
        <w:tabs>
          <w:tab w:val="num" w:pos="567"/>
        </w:tabs>
        <w:ind w:left="567" w:hanging="567"/>
      </w:pPr>
      <w:rPr>
        <w:rFonts w:cs="Times New Roman"/>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upperLetter"/>
      <w:pStyle w:val="AppendixAHeading4"/>
      <w:lvlText w:val="%2"/>
      <w:lvlJc w:val="left"/>
      <w:pPr>
        <w:tabs>
          <w:tab w:val="num" w:pos="567"/>
        </w:tabs>
        <w:ind w:left="0" w:firstLine="0"/>
      </w:pPr>
      <w:rPr>
        <w:rFonts w:cs="Times New Roman"/>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9">
    <w:nsid w:val="2C723F30"/>
    <w:multiLevelType w:val="singleLevel"/>
    <w:tmpl w:val="1430D9F2"/>
    <w:name w:val="StandardNumberedParagraphList"/>
    <w:lvl w:ilvl="0">
      <w:start w:val="2"/>
      <w:numFmt w:val="decimal"/>
      <w:pStyle w:val="NumberedParagraph"/>
      <w:lvlText w:val="%1."/>
      <w:lvlJc w:val="left"/>
      <w:pPr>
        <w:tabs>
          <w:tab w:val="num" w:pos="567"/>
        </w:tabs>
        <w:ind w:left="0" w:firstLine="0"/>
      </w:pPr>
    </w:lvl>
  </w:abstractNum>
  <w:abstractNum w:abstractNumId="10">
    <w:nsid w:val="2D665DFA"/>
    <w:multiLevelType w:val="singleLevel"/>
    <w:tmpl w:val="106079EE"/>
    <w:lvl w:ilvl="0">
      <w:start w:val="1"/>
      <w:numFmt w:val="lowerLetter"/>
      <w:lvlRestart w:val="0"/>
      <w:pStyle w:val="AlphaParagraph"/>
      <w:lvlText w:val="(%1)"/>
      <w:lvlJc w:val="left"/>
      <w:pPr>
        <w:tabs>
          <w:tab w:val="num" w:pos="1134"/>
        </w:tabs>
        <w:ind w:left="1134" w:hanging="567"/>
      </w:pPr>
      <w:rPr>
        <w:rFonts w:ascii="Book Antiqua" w:hAnsi="Book Antiqua"/>
        <w:b w:val="0"/>
        <w:i w:val="0"/>
        <w:sz w:val="20"/>
      </w:rPr>
    </w:lvl>
  </w:abstractNum>
  <w:abstractNum w:abstractNumId="11">
    <w:nsid w:val="2EBB668F"/>
    <w:multiLevelType w:val="hybridMultilevel"/>
    <w:tmpl w:val="88464E74"/>
    <w:lvl w:ilvl="0" w:tplc="ED824DDC">
      <w:start w:val="1"/>
      <w:numFmt w:val="bullet"/>
      <w:pStyle w:val="FootnoteTextBullet"/>
      <w:lvlText w:val=""/>
      <w:lvlJc w:val="left"/>
      <w:pPr>
        <w:ind w:left="720" w:hanging="360"/>
      </w:pPr>
      <w:rPr>
        <w:rFonts w:ascii="Wingdings 2" w:hAnsi="Wingdings 2"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nsid w:val="312C1B26"/>
    <w:multiLevelType w:val="multilevel"/>
    <w:tmpl w:val="C25AB2AE"/>
    <w:name w:val="AppendixAHeading3"/>
    <w:lvl w:ilvl="0">
      <w:start w:val="1"/>
      <w:numFmt w:val="decimal"/>
      <w:lvlRestart w:val="0"/>
      <w:pStyle w:val="AppendixAHeading3"/>
      <w:lvlText w:val="%1."/>
      <w:lvlJc w:val="left"/>
      <w:pPr>
        <w:tabs>
          <w:tab w:val="num" w:pos="567"/>
        </w:tabs>
        <w:ind w:left="567" w:hanging="567"/>
      </w:pPr>
      <w:rPr>
        <w:rFonts w:cs="Times New Roman"/>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2"/>
      <w:lvlJc w:val="left"/>
      <w:pPr>
        <w:tabs>
          <w:tab w:val="num" w:pos="1134"/>
        </w:tabs>
        <w:ind w:left="1134" w:hanging="567"/>
      </w:pPr>
      <w:rPr>
        <w:b w:val="0"/>
        <w:i w:val="0"/>
        <w:color w:val="00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13">
    <w:nsid w:val="36382E81"/>
    <w:multiLevelType w:val="hybridMultilevel"/>
    <w:tmpl w:val="4FDCFEAA"/>
    <w:lvl w:ilvl="0" w:tplc="4EAC743E">
      <w:start w:val="1"/>
      <w:numFmt w:val="bullet"/>
      <w:lvlText w:val=""/>
      <w:lvlJc w:val="left"/>
      <w:pPr>
        <w:ind w:left="360" w:hanging="360"/>
      </w:pPr>
      <w:rPr>
        <w:rFonts w:ascii="Symbol" w:hAnsi="Symbol" w:hint="default"/>
        <w:sz w:val="16"/>
        <w:szCs w:val="16"/>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4">
    <w:nsid w:val="3C554A3D"/>
    <w:multiLevelType w:val="multilevel"/>
    <w:tmpl w:val="B79A3C48"/>
    <w:name w:val="StandardBulletedList"/>
    <w:lvl w:ilvl="0">
      <w:start w:val="1"/>
      <w:numFmt w:val="bullet"/>
      <w:lvlText w:val="•"/>
      <w:lvlJc w:val="left"/>
      <w:pPr>
        <w:tabs>
          <w:tab w:val="num" w:pos="472"/>
        </w:tabs>
        <w:ind w:left="472" w:hanging="472"/>
      </w:pPr>
      <w:rPr>
        <w:rFonts w:ascii="Times New Roman" w:hAnsi="Times New Roman" w:cs="Times New Roman"/>
      </w:rPr>
    </w:lvl>
    <w:lvl w:ilvl="1">
      <w:start w:val="1"/>
      <w:numFmt w:val="bullet"/>
      <w:lvlText w:val="–"/>
      <w:lvlJc w:val="left"/>
      <w:pPr>
        <w:tabs>
          <w:tab w:val="num" w:pos="944"/>
        </w:tabs>
        <w:ind w:left="944" w:hanging="472"/>
      </w:pPr>
      <w:rPr>
        <w:rFonts w:ascii="Times New Roman" w:hAnsi="Times New Roman" w:cs="Times New Roman"/>
      </w:rPr>
    </w:lvl>
    <w:lvl w:ilvl="2">
      <w:start w:val="1"/>
      <w:numFmt w:val="bullet"/>
      <w:lvlText w:val=":"/>
      <w:lvlJc w:val="left"/>
      <w:pPr>
        <w:tabs>
          <w:tab w:val="num" w:pos="1416"/>
        </w:tabs>
        <w:ind w:left="1416" w:hanging="472"/>
      </w:pPr>
      <w:rPr>
        <w:rFonts w:ascii="Times New Roman" w:hAnsi="Times New Roman" w:cs="Times New Roman"/>
      </w:r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
    <w:nsid w:val="3C857931"/>
    <w:multiLevelType w:val="singleLevel"/>
    <w:tmpl w:val="64462D2E"/>
    <w:lvl w:ilvl="0">
      <w:start w:val="1"/>
      <w:numFmt w:val="upperRoman"/>
      <w:lvlRestart w:val="0"/>
      <w:pStyle w:val="AppendixGHeading3"/>
      <w:lvlText w:val="%1."/>
      <w:lvlJc w:val="left"/>
      <w:pPr>
        <w:tabs>
          <w:tab w:val="num" w:pos="567"/>
        </w:tabs>
        <w:ind w:left="567" w:hanging="567"/>
      </w:pPr>
      <w:rPr>
        <w:rFonts w:ascii="Arial" w:hAnsi="Arial" w:cs="Arial"/>
        <w:b/>
        <w:i w:val="0"/>
        <w:sz w:val="22"/>
      </w:rPr>
    </w:lvl>
  </w:abstractNum>
  <w:abstractNum w:abstractNumId="16">
    <w:nsid w:val="3F6A12C5"/>
    <w:multiLevelType w:val="hybridMultilevel"/>
    <w:tmpl w:val="D1F8A91E"/>
    <w:lvl w:ilvl="0" w:tplc="52D426D0">
      <w:start w:val="1"/>
      <w:numFmt w:val="bullet"/>
      <w:lvlText w:val=""/>
      <w:lvlJc w:val="left"/>
      <w:pPr>
        <w:ind w:left="360" w:hanging="360"/>
      </w:pPr>
      <w:rPr>
        <w:rFonts w:ascii="Symbol" w:hAnsi="Symbol" w:hint="default"/>
        <w:sz w:val="16"/>
        <w:szCs w:val="16"/>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7">
    <w:nsid w:val="4CE06931"/>
    <w:multiLevelType w:val="singleLevel"/>
    <w:tmpl w:val="4366EF18"/>
    <w:lvl w:ilvl="0">
      <w:start w:val="1"/>
      <w:numFmt w:val="lowerLetter"/>
      <w:lvlRestart w:val="0"/>
      <w:pStyle w:val="ChartandTableFootnoteAlpha"/>
      <w:lvlText w:val="(%1)"/>
      <w:lvlJc w:val="left"/>
      <w:pPr>
        <w:tabs>
          <w:tab w:val="num" w:pos="283"/>
        </w:tabs>
        <w:ind w:left="283" w:hanging="283"/>
      </w:pPr>
      <w:rPr>
        <w:rFonts w:ascii="Arial" w:hAnsi="Arial" w:cs="Arial" w:hint="default"/>
        <w:b w:val="0"/>
        <w:i w:val="0"/>
        <w:sz w:val="16"/>
      </w:rPr>
    </w:lvl>
  </w:abstractNum>
  <w:abstractNum w:abstractNumId="18">
    <w:nsid w:val="50B6175A"/>
    <w:multiLevelType w:val="hybridMultilevel"/>
    <w:tmpl w:val="069865EC"/>
    <w:name w:val="ChartTableFootnoteAlpha"/>
    <w:lvl w:ilvl="0" w:tplc="FFFFFFFF">
      <w:start w:val="1"/>
      <w:numFmt w:val="lowerLetter"/>
      <w:lvlRestart w:val="0"/>
      <w:lvlText w:val="(%1)"/>
      <w:lvlJc w:val="left"/>
      <w:pPr>
        <w:tabs>
          <w:tab w:val="num" w:pos="283"/>
        </w:tabs>
        <w:ind w:left="283" w:hanging="283"/>
      </w:pPr>
      <w:rPr>
        <w:rFonts w:ascii="Arial" w:hAnsi="Arial" w:cs="Arial" w:hint="default"/>
        <w:b w:val="0"/>
        <w:bCs w:val="0"/>
        <w:i w:val="0"/>
        <w:iCs w:val="0"/>
        <w:sz w:val="16"/>
        <w:szCs w:val="16"/>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9">
    <w:nsid w:val="58101827"/>
    <w:multiLevelType w:val="multilevel"/>
    <w:tmpl w:val="072C6E52"/>
    <w:name w:val="BoxBulletedList"/>
    <w:lvl w:ilvl="0">
      <w:start w:val="1"/>
      <w:numFmt w:val="bullet"/>
      <w:lvlRestart w:val="0"/>
      <w:pStyle w:val="BoxBullet"/>
      <w:lvlText w:val="•"/>
      <w:lvlJc w:val="left"/>
      <w:pPr>
        <w:tabs>
          <w:tab w:val="num" w:pos="283"/>
        </w:tabs>
        <w:ind w:left="283" w:hanging="283"/>
      </w:pPr>
      <w:rPr>
        <w:rFonts w:ascii="Times New Roman" w:hAnsi="Times New Roman" w:cs="Times New Roman"/>
        <w:b w:val="0"/>
        <w:i w:val="0"/>
        <w:sz w:val="20"/>
      </w:rPr>
    </w:lvl>
    <w:lvl w:ilvl="1">
      <w:start w:val="1"/>
      <w:numFmt w:val="bullet"/>
      <w:pStyle w:val="BoxDash"/>
      <w:lvlText w:val="–"/>
      <w:lvlJc w:val="left"/>
      <w:pPr>
        <w:tabs>
          <w:tab w:val="num" w:pos="567"/>
        </w:tabs>
        <w:ind w:left="567" w:hanging="284"/>
      </w:pPr>
      <w:rPr>
        <w:b w:val="0"/>
        <w:i w:val="0"/>
      </w:rPr>
    </w:lvl>
    <w:lvl w:ilvl="2">
      <w:start w:val="1"/>
      <w:numFmt w:val="bullet"/>
      <w:pStyle w:val="BoxDoubleDot"/>
      <w:lvlText w:val=":"/>
      <w:lvlJc w:val="left"/>
      <w:pPr>
        <w:tabs>
          <w:tab w:val="num" w:pos="850"/>
        </w:tabs>
        <w:ind w:left="850" w:hanging="283"/>
      </w:pPr>
      <w:rPr>
        <w:b w:val="0"/>
        <w:i w:val="0"/>
      </w:rPr>
    </w:lvl>
    <w:lvl w:ilvl="3">
      <w:start w:val="1"/>
      <w:numFmt w:val="decimal"/>
      <w:lvlText w:val="(%4)"/>
      <w:lvlJc w:val="left"/>
      <w:pPr>
        <w:tabs>
          <w:tab w:val="num" w:pos="1440"/>
        </w:tabs>
        <w:ind w:left="1440" w:hanging="360"/>
      </w:pPr>
      <w:rPr>
        <w:b w:val="0"/>
        <w:i w:val="0"/>
      </w:rPr>
    </w:lvl>
    <w:lvl w:ilvl="4">
      <w:start w:val="1"/>
      <w:numFmt w:val="lowerLetter"/>
      <w:lvlText w:val="(%5)"/>
      <w:lvlJc w:val="left"/>
      <w:pPr>
        <w:tabs>
          <w:tab w:val="num" w:pos="1800"/>
        </w:tabs>
        <w:ind w:left="1800" w:hanging="360"/>
      </w:pPr>
      <w:rPr>
        <w:b w:val="0"/>
        <w:i w:val="0"/>
      </w:rPr>
    </w:lvl>
    <w:lvl w:ilvl="5">
      <w:start w:val="1"/>
      <w:numFmt w:val="lowerRoman"/>
      <w:lvlText w:val="(%6)"/>
      <w:lvlJc w:val="left"/>
      <w:pPr>
        <w:tabs>
          <w:tab w:val="num" w:pos="2160"/>
        </w:tabs>
        <w:ind w:left="2160" w:hanging="360"/>
      </w:pPr>
      <w:rPr>
        <w:b w:val="0"/>
        <w:i w:val="0"/>
      </w:rPr>
    </w:lvl>
    <w:lvl w:ilvl="6">
      <w:start w:val="1"/>
      <w:numFmt w:val="decimal"/>
      <w:lvlText w:val="%7."/>
      <w:lvlJc w:val="left"/>
      <w:pPr>
        <w:tabs>
          <w:tab w:val="num" w:pos="2520"/>
        </w:tabs>
        <w:ind w:left="2520" w:hanging="360"/>
      </w:pPr>
      <w:rPr>
        <w:b w:val="0"/>
        <w:i w:val="0"/>
      </w:rPr>
    </w:lvl>
    <w:lvl w:ilvl="7">
      <w:start w:val="1"/>
      <w:numFmt w:val="lowerLetter"/>
      <w:lvlText w:val="%8."/>
      <w:lvlJc w:val="left"/>
      <w:pPr>
        <w:tabs>
          <w:tab w:val="num" w:pos="2880"/>
        </w:tabs>
        <w:ind w:left="2880" w:hanging="360"/>
      </w:pPr>
      <w:rPr>
        <w:b w:val="0"/>
        <w:i w:val="0"/>
      </w:rPr>
    </w:lvl>
    <w:lvl w:ilvl="8">
      <w:start w:val="1"/>
      <w:numFmt w:val="lowerRoman"/>
      <w:lvlText w:val="%9."/>
      <w:lvlJc w:val="left"/>
      <w:pPr>
        <w:tabs>
          <w:tab w:val="num" w:pos="3240"/>
        </w:tabs>
        <w:ind w:left="3240" w:hanging="360"/>
      </w:pPr>
      <w:rPr>
        <w:b w:val="0"/>
        <w:i w:val="0"/>
      </w:rPr>
    </w:lvl>
  </w:abstractNum>
  <w:abstractNum w:abstractNumId="20">
    <w:nsid w:val="5831240B"/>
    <w:multiLevelType w:val="hybridMultilevel"/>
    <w:tmpl w:val="5BB4A2C6"/>
    <w:lvl w:ilvl="0" w:tplc="095697B8">
      <w:start w:val="1"/>
      <w:numFmt w:val="bullet"/>
      <w:lvlText w:val=""/>
      <w:lvlJc w:val="left"/>
      <w:pPr>
        <w:ind w:left="360" w:hanging="360"/>
      </w:pPr>
      <w:rPr>
        <w:rFonts w:ascii="Symbol" w:hAnsi="Symbol" w:hint="default"/>
        <w:sz w:val="16"/>
        <w:szCs w:val="16"/>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1">
    <w:nsid w:val="58493575"/>
    <w:multiLevelType w:val="hybridMultilevel"/>
    <w:tmpl w:val="64F0BF70"/>
    <w:lvl w:ilvl="0" w:tplc="A16C3018">
      <w:start w:val="1"/>
      <w:numFmt w:val="bullet"/>
      <w:lvlText w:val=""/>
      <w:lvlJc w:val="left"/>
      <w:pPr>
        <w:ind w:left="360" w:hanging="360"/>
      </w:pPr>
      <w:rPr>
        <w:rFonts w:ascii="Symbol" w:hAnsi="Symbol" w:hint="default"/>
        <w:sz w:val="16"/>
        <w:szCs w:val="16"/>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2">
    <w:nsid w:val="5E0A6F8D"/>
    <w:multiLevelType w:val="multilevel"/>
    <w:tmpl w:val="51941ED6"/>
    <w:lvl w:ilvl="0">
      <w:start w:val="1"/>
      <w:numFmt w:val="bullet"/>
      <w:lvlRestart w:val="0"/>
      <w:pStyle w:val="RecommendationBullet"/>
      <w:lvlText w:val="•"/>
      <w:lvlJc w:val="left"/>
      <w:pPr>
        <w:tabs>
          <w:tab w:val="num" w:pos="283"/>
        </w:tabs>
        <w:ind w:left="283" w:hanging="283"/>
      </w:pPr>
      <w:rPr>
        <w:b w:val="0"/>
        <w:i w:val="0"/>
      </w:rPr>
    </w:lvl>
    <w:lvl w:ilvl="1">
      <w:start w:val="1"/>
      <w:numFmt w:val="bullet"/>
      <w:pStyle w:val="RecommendationDash"/>
      <w:lvlText w:val="–"/>
      <w:lvlJc w:val="left"/>
      <w:pPr>
        <w:tabs>
          <w:tab w:val="num" w:pos="567"/>
        </w:tabs>
        <w:ind w:left="567" w:hanging="284"/>
      </w:pPr>
      <w:rPr>
        <w:b w:val="0"/>
        <w:i w:val="0"/>
      </w:rPr>
    </w:lvl>
    <w:lvl w:ilvl="2">
      <w:start w:val="1"/>
      <w:numFmt w:val="bullet"/>
      <w:pStyle w:val="RecommendationDoubleDot"/>
      <w:lvlText w:val=":"/>
      <w:lvlJc w:val="left"/>
      <w:pPr>
        <w:tabs>
          <w:tab w:val="num" w:pos="850"/>
        </w:tabs>
        <w:ind w:left="850" w:hanging="283"/>
      </w:pPr>
      <w:rPr>
        <w:b w:val="0"/>
        <w:i w:val="0"/>
      </w:rPr>
    </w:lvl>
    <w:lvl w:ilvl="3">
      <w:start w:val="1"/>
      <w:numFmt w:val="decimal"/>
      <w:lvlText w:val="(%4)"/>
      <w:lvlJc w:val="left"/>
      <w:pPr>
        <w:tabs>
          <w:tab w:val="num" w:pos="1440"/>
        </w:tabs>
        <w:ind w:left="1440" w:hanging="360"/>
      </w:pPr>
      <w:rPr>
        <w:b w:val="0"/>
        <w:i w:val="0"/>
      </w:rPr>
    </w:lvl>
    <w:lvl w:ilvl="4">
      <w:start w:val="1"/>
      <w:numFmt w:val="lowerLetter"/>
      <w:lvlText w:val="(%5)"/>
      <w:lvlJc w:val="left"/>
      <w:pPr>
        <w:tabs>
          <w:tab w:val="num" w:pos="1800"/>
        </w:tabs>
        <w:ind w:left="1800" w:hanging="360"/>
      </w:pPr>
      <w:rPr>
        <w:b w:val="0"/>
        <w:i w:val="0"/>
      </w:rPr>
    </w:lvl>
    <w:lvl w:ilvl="5">
      <w:start w:val="1"/>
      <w:numFmt w:val="lowerRoman"/>
      <w:lvlText w:val="(%6)"/>
      <w:lvlJc w:val="left"/>
      <w:pPr>
        <w:tabs>
          <w:tab w:val="num" w:pos="2160"/>
        </w:tabs>
        <w:ind w:left="2160" w:hanging="360"/>
      </w:pPr>
      <w:rPr>
        <w:b w:val="0"/>
        <w:i w:val="0"/>
      </w:rPr>
    </w:lvl>
    <w:lvl w:ilvl="6">
      <w:start w:val="1"/>
      <w:numFmt w:val="decimal"/>
      <w:lvlText w:val="%7."/>
      <w:lvlJc w:val="left"/>
      <w:pPr>
        <w:tabs>
          <w:tab w:val="num" w:pos="2520"/>
        </w:tabs>
        <w:ind w:left="2520" w:hanging="360"/>
      </w:pPr>
      <w:rPr>
        <w:b w:val="0"/>
        <w:i w:val="0"/>
      </w:rPr>
    </w:lvl>
    <w:lvl w:ilvl="7">
      <w:start w:val="1"/>
      <w:numFmt w:val="lowerLetter"/>
      <w:lvlText w:val="%8."/>
      <w:lvlJc w:val="left"/>
      <w:pPr>
        <w:tabs>
          <w:tab w:val="num" w:pos="2880"/>
        </w:tabs>
        <w:ind w:left="2880" w:hanging="360"/>
      </w:pPr>
      <w:rPr>
        <w:b w:val="0"/>
        <w:i w:val="0"/>
      </w:rPr>
    </w:lvl>
    <w:lvl w:ilvl="8">
      <w:start w:val="1"/>
      <w:numFmt w:val="lowerRoman"/>
      <w:lvlText w:val="%9."/>
      <w:lvlJc w:val="left"/>
      <w:pPr>
        <w:tabs>
          <w:tab w:val="num" w:pos="3240"/>
        </w:tabs>
        <w:ind w:left="3240" w:hanging="360"/>
      </w:pPr>
      <w:rPr>
        <w:b w:val="0"/>
        <w:i w:val="0"/>
      </w:rPr>
    </w:lvl>
  </w:abstractNum>
  <w:abstractNum w:abstractNumId="23">
    <w:nsid w:val="636E437E"/>
    <w:multiLevelType w:val="multilevel"/>
    <w:tmpl w:val="93F232DE"/>
    <w:name w:val="RecommendationBulletedList"/>
    <w:lvl w:ilvl="0">
      <w:start w:val="1"/>
      <w:numFmt w:val="lowerLetter"/>
      <w:lvlRestart w:val="0"/>
      <w:lvlText w:val="(%1)"/>
      <w:lvlJc w:val="left"/>
      <w:pPr>
        <w:tabs>
          <w:tab w:val="num" w:pos="283"/>
        </w:tabs>
        <w:ind w:left="283" w:hanging="283"/>
      </w:pPr>
      <w:rPr>
        <w:rFonts w:ascii="Arial" w:hAnsi="Arial" w:cs="Arial" w:hint="default"/>
        <w:b w:val="0"/>
        <w:bCs w:val="0"/>
        <w:i w:val="0"/>
        <w:iCs w:val="0"/>
        <w:sz w:val="16"/>
        <w:szCs w:val="16"/>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4">
    <w:nsid w:val="63767456"/>
    <w:multiLevelType w:val="hybridMultilevel"/>
    <w:tmpl w:val="DC88C6A0"/>
    <w:lvl w:ilvl="0" w:tplc="8996CF84">
      <w:start w:val="1"/>
      <w:numFmt w:val="bullet"/>
      <w:lvlText w:val=""/>
      <w:lvlJc w:val="left"/>
      <w:pPr>
        <w:ind w:left="360" w:hanging="360"/>
      </w:pPr>
      <w:rPr>
        <w:rFonts w:ascii="Symbol" w:hAnsi="Symbol" w:hint="default"/>
        <w:sz w:val="16"/>
        <w:szCs w:val="16"/>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5">
    <w:nsid w:val="6BC663E4"/>
    <w:multiLevelType w:val="multilevel"/>
    <w:tmpl w:val="E196B898"/>
    <w:name w:val="AlphaChartTableFootnoteList"/>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6BC774A1"/>
    <w:multiLevelType w:val="hybridMultilevel"/>
    <w:tmpl w:val="0EC28E6A"/>
    <w:lvl w:ilvl="0" w:tplc="FA80842E">
      <w:start w:val="1"/>
      <w:numFmt w:val="bullet"/>
      <w:lvlText w:val=""/>
      <w:lvlJc w:val="left"/>
      <w:pPr>
        <w:ind w:left="360" w:hanging="360"/>
      </w:pPr>
      <w:rPr>
        <w:rFonts w:ascii="Symbol" w:hAnsi="Symbol" w:hint="default"/>
        <w:sz w:val="16"/>
        <w:szCs w:val="16"/>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7">
    <w:nsid w:val="76DA5A14"/>
    <w:multiLevelType w:val="hybridMultilevel"/>
    <w:tmpl w:val="363E4632"/>
    <w:lvl w:ilvl="0" w:tplc="72A20E5C">
      <w:start w:val="1"/>
      <w:numFmt w:val="bullet"/>
      <w:lvlText w:val=""/>
      <w:lvlJc w:val="left"/>
      <w:pPr>
        <w:ind w:left="360" w:hanging="360"/>
      </w:pPr>
      <w:rPr>
        <w:rFonts w:ascii="Symbol" w:hAnsi="Symbol" w:hint="default"/>
        <w:sz w:val="16"/>
        <w:szCs w:val="16"/>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num w:numId="1">
    <w:abstractNumId w:val="7"/>
  </w:num>
  <w:num w:numId="2">
    <w:abstractNumId w:val="6"/>
  </w:num>
  <w:num w:numId="3">
    <w:abstractNumId w:val="2"/>
  </w:num>
  <w:num w:numId="4">
    <w:abstractNumId w:val="10"/>
  </w:num>
  <w:num w:numId="5">
    <w:abstractNumId w:val="17"/>
  </w:num>
  <w:num w:numId="6">
    <w:abstractNumId w:val="19"/>
  </w:num>
  <w:num w:numId="7">
    <w:abstractNumId w:val="3"/>
  </w:num>
  <w:num w:numId="8">
    <w:abstractNumId w:val="22"/>
  </w:num>
  <w:num w:numId="9">
    <w:abstractNumId w:val="9"/>
  </w:num>
  <w:num w:numId="10">
    <w:abstractNumId w:val="15"/>
  </w:num>
  <w:num w:numId="11">
    <w:abstractNumId w:val="12"/>
  </w:num>
  <w:num w:numId="12">
    <w:abstractNumId w:val="8"/>
  </w:num>
  <w:num w:numId="13">
    <w:abstractNumId w:val="11"/>
  </w:num>
  <w:num w:numId="14">
    <w:abstractNumId w:val="17"/>
    <w:lvlOverride w:ilvl="0">
      <w:startOverride w:val="1"/>
    </w:lvlOverride>
  </w:num>
  <w:num w:numId="15">
    <w:abstractNumId w:val="17"/>
    <w:lvlOverride w:ilvl="0">
      <w:startOverride w:val="1"/>
    </w:lvlOverride>
  </w:num>
  <w:num w:numId="16">
    <w:abstractNumId w:val="17"/>
    <w:lvlOverride w:ilvl="0">
      <w:startOverride w:val="1"/>
    </w:lvlOverride>
  </w:num>
  <w:num w:numId="17">
    <w:abstractNumId w:val="17"/>
    <w:lvlOverride w:ilvl="0">
      <w:startOverride w:val="1"/>
    </w:lvlOverride>
  </w:num>
  <w:num w:numId="18">
    <w:abstractNumId w:val="17"/>
    <w:lvlOverride w:ilvl="0">
      <w:startOverride w:val="1"/>
    </w:lvlOverride>
  </w:num>
  <w:num w:numId="19">
    <w:abstractNumId w:val="24"/>
  </w:num>
  <w:num w:numId="20">
    <w:abstractNumId w:val="13"/>
  </w:num>
  <w:num w:numId="21">
    <w:abstractNumId w:val="21"/>
  </w:num>
  <w:num w:numId="22">
    <w:abstractNumId w:val="26"/>
  </w:num>
  <w:num w:numId="23">
    <w:abstractNumId w:val="27"/>
  </w:num>
  <w:num w:numId="24">
    <w:abstractNumId w:val="4"/>
  </w:num>
  <w:num w:numId="25">
    <w:abstractNumId w:val="16"/>
  </w:num>
  <w:num w:numId="26">
    <w:abstractNumId w:val="5"/>
  </w:num>
  <w:num w:numId="27">
    <w:abstractNumId w:val="1"/>
  </w:num>
  <w:num w:numId="28">
    <w:abstractNumId w:val="20"/>
  </w:num>
  <w:num w:numId="29">
    <w:abstractNumId w:val="17"/>
    <w:lvlOverride w:ilvl="0">
      <w:startOverride w:val="1"/>
    </w:lvlOverride>
  </w:num>
  <w:num w:numId="30">
    <w:abstractNumId w:val="17"/>
    <w:lvlOverride w:ilvl="0">
      <w:startOverride w:val="1"/>
    </w:lvlOverride>
  </w:num>
  <w:num w:numId="31">
    <w:abstractNumId w:val="17"/>
    <w:lvlOverride w:ilvl="0">
      <w:startOverride w:val="1"/>
    </w:lvlOverride>
  </w:num>
  <w:num w:numId="32">
    <w:abstractNumId w:val="17"/>
    <w:lvlOverride w:ilvl="0">
      <w:startOverride w:val="1"/>
    </w:lvlOverride>
  </w:num>
  <w:num w:numId="33">
    <w:abstractNumId w:val="17"/>
    <w:lvlOverride w:ilvl="0">
      <w:startOverride w:val="1"/>
    </w:lvlOverride>
  </w:num>
  <w:num w:numId="34">
    <w:abstractNumId w:val="17"/>
    <w:lvlOverride w:ilvl="0">
      <w:startOverride w:val="1"/>
    </w:lvlOverride>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hideSpellingErrors/>
  <w:hideGrammaticalErrors/>
  <w:proofState w:spelling="clean" w:grammar="clean"/>
  <w:attachedTemplate r:id="rId1"/>
  <w:linkStyles/>
  <w:defaultTabStop w:val="720"/>
  <w:evenAndOddHeaders/>
  <w:characterSpacingControl w:val="doNotCompress"/>
  <w:hdrShapeDefaults>
    <o:shapedefaults v:ext="edit" spidmax="178177"/>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B6006"/>
    <w:rsid w:val="00001B48"/>
    <w:rsid w:val="00001C29"/>
    <w:rsid w:val="0000341B"/>
    <w:rsid w:val="00003C96"/>
    <w:rsid w:val="00003E55"/>
    <w:rsid w:val="000042D6"/>
    <w:rsid w:val="0000493E"/>
    <w:rsid w:val="00004CD5"/>
    <w:rsid w:val="0000502F"/>
    <w:rsid w:val="000050E2"/>
    <w:rsid w:val="00005F7B"/>
    <w:rsid w:val="000062E0"/>
    <w:rsid w:val="000066B1"/>
    <w:rsid w:val="00006C11"/>
    <w:rsid w:val="00007383"/>
    <w:rsid w:val="000074DF"/>
    <w:rsid w:val="000076A7"/>
    <w:rsid w:val="0000799C"/>
    <w:rsid w:val="00007C83"/>
    <w:rsid w:val="00010B9A"/>
    <w:rsid w:val="00010BDF"/>
    <w:rsid w:val="00010E9D"/>
    <w:rsid w:val="00010FC9"/>
    <w:rsid w:val="00011074"/>
    <w:rsid w:val="0001109F"/>
    <w:rsid w:val="000120FA"/>
    <w:rsid w:val="0001246D"/>
    <w:rsid w:val="000131C4"/>
    <w:rsid w:val="0001438A"/>
    <w:rsid w:val="00014CD1"/>
    <w:rsid w:val="00015148"/>
    <w:rsid w:val="00015227"/>
    <w:rsid w:val="0001577B"/>
    <w:rsid w:val="000159A3"/>
    <w:rsid w:val="00015D93"/>
    <w:rsid w:val="00016846"/>
    <w:rsid w:val="00017B57"/>
    <w:rsid w:val="00017C70"/>
    <w:rsid w:val="00020238"/>
    <w:rsid w:val="00021232"/>
    <w:rsid w:val="0002222F"/>
    <w:rsid w:val="00022A27"/>
    <w:rsid w:val="00022C48"/>
    <w:rsid w:val="00022FA0"/>
    <w:rsid w:val="00023866"/>
    <w:rsid w:val="00023F68"/>
    <w:rsid w:val="00024647"/>
    <w:rsid w:val="00025707"/>
    <w:rsid w:val="00025759"/>
    <w:rsid w:val="00026B74"/>
    <w:rsid w:val="00026CC8"/>
    <w:rsid w:val="00026CEE"/>
    <w:rsid w:val="00027796"/>
    <w:rsid w:val="000278CA"/>
    <w:rsid w:val="00027CF1"/>
    <w:rsid w:val="00030007"/>
    <w:rsid w:val="00030C91"/>
    <w:rsid w:val="00031D28"/>
    <w:rsid w:val="00032265"/>
    <w:rsid w:val="0003237F"/>
    <w:rsid w:val="00032F30"/>
    <w:rsid w:val="000345E5"/>
    <w:rsid w:val="00034CE1"/>
    <w:rsid w:val="0003531B"/>
    <w:rsid w:val="00035D91"/>
    <w:rsid w:val="00035FD0"/>
    <w:rsid w:val="0003707C"/>
    <w:rsid w:val="00037F8C"/>
    <w:rsid w:val="00040879"/>
    <w:rsid w:val="00041299"/>
    <w:rsid w:val="00042A4F"/>
    <w:rsid w:val="00042E4E"/>
    <w:rsid w:val="00043677"/>
    <w:rsid w:val="000439F5"/>
    <w:rsid w:val="00043CE7"/>
    <w:rsid w:val="00044857"/>
    <w:rsid w:val="00044B94"/>
    <w:rsid w:val="00044BDD"/>
    <w:rsid w:val="00044DEF"/>
    <w:rsid w:val="000454E3"/>
    <w:rsid w:val="00046016"/>
    <w:rsid w:val="00050374"/>
    <w:rsid w:val="00050809"/>
    <w:rsid w:val="00050C77"/>
    <w:rsid w:val="00051EE9"/>
    <w:rsid w:val="000523CA"/>
    <w:rsid w:val="00052400"/>
    <w:rsid w:val="000525E3"/>
    <w:rsid w:val="0005278C"/>
    <w:rsid w:val="000527C0"/>
    <w:rsid w:val="00053415"/>
    <w:rsid w:val="00053F27"/>
    <w:rsid w:val="00054BC4"/>
    <w:rsid w:val="00055858"/>
    <w:rsid w:val="00056254"/>
    <w:rsid w:val="00056259"/>
    <w:rsid w:val="000569A2"/>
    <w:rsid w:val="00057116"/>
    <w:rsid w:val="00061B8B"/>
    <w:rsid w:val="0006353D"/>
    <w:rsid w:val="00063642"/>
    <w:rsid w:val="0006367A"/>
    <w:rsid w:val="00064711"/>
    <w:rsid w:val="0006499D"/>
    <w:rsid w:val="0006522D"/>
    <w:rsid w:val="000654BB"/>
    <w:rsid w:val="00065BF4"/>
    <w:rsid w:val="00065D04"/>
    <w:rsid w:val="00066529"/>
    <w:rsid w:val="00067056"/>
    <w:rsid w:val="000675DF"/>
    <w:rsid w:val="00070534"/>
    <w:rsid w:val="000709F0"/>
    <w:rsid w:val="00070A38"/>
    <w:rsid w:val="00071862"/>
    <w:rsid w:val="00071874"/>
    <w:rsid w:val="00071BA7"/>
    <w:rsid w:val="00071CBD"/>
    <w:rsid w:val="00071DCF"/>
    <w:rsid w:val="000729ED"/>
    <w:rsid w:val="00072FCB"/>
    <w:rsid w:val="000737B1"/>
    <w:rsid w:val="0007396E"/>
    <w:rsid w:val="00074C52"/>
    <w:rsid w:val="00074CDD"/>
    <w:rsid w:val="00075C42"/>
    <w:rsid w:val="00075F42"/>
    <w:rsid w:val="0007688F"/>
    <w:rsid w:val="00077044"/>
    <w:rsid w:val="00077290"/>
    <w:rsid w:val="00077423"/>
    <w:rsid w:val="00077708"/>
    <w:rsid w:val="000777AF"/>
    <w:rsid w:val="00080D9C"/>
    <w:rsid w:val="00081124"/>
    <w:rsid w:val="00081418"/>
    <w:rsid w:val="00081E5C"/>
    <w:rsid w:val="00082116"/>
    <w:rsid w:val="00082200"/>
    <w:rsid w:val="00082C13"/>
    <w:rsid w:val="000830E4"/>
    <w:rsid w:val="000838F4"/>
    <w:rsid w:val="000845E6"/>
    <w:rsid w:val="00084B35"/>
    <w:rsid w:val="00085246"/>
    <w:rsid w:val="000853CB"/>
    <w:rsid w:val="0008599C"/>
    <w:rsid w:val="00085BFD"/>
    <w:rsid w:val="000864F7"/>
    <w:rsid w:val="00086B8F"/>
    <w:rsid w:val="000877C8"/>
    <w:rsid w:val="00090396"/>
    <w:rsid w:val="000903BB"/>
    <w:rsid w:val="00090989"/>
    <w:rsid w:val="000909CF"/>
    <w:rsid w:val="00090CB3"/>
    <w:rsid w:val="000914DB"/>
    <w:rsid w:val="00092072"/>
    <w:rsid w:val="00092C95"/>
    <w:rsid w:val="000936C4"/>
    <w:rsid w:val="00093F7E"/>
    <w:rsid w:val="0009446A"/>
    <w:rsid w:val="000945D0"/>
    <w:rsid w:val="00094FF0"/>
    <w:rsid w:val="000A0C9A"/>
    <w:rsid w:val="000A145A"/>
    <w:rsid w:val="000A1555"/>
    <w:rsid w:val="000A1653"/>
    <w:rsid w:val="000A1EDC"/>
    <w:rsid w:val="000A2310"/>
    <w:rsid w:val="000A24EA"/>
    <w:rsid w:val="000A2A39"/>
    <w:rsid w:val="000A2CF4"/>
    <w:rsid w:val="000A2E83"/>
    <w:rsid w:val="000A3248"/>
    <w:rsid w:val="000A3BDD"/>
    <w:rsid w:val="000A457D"/>
    <w:rsid w:val="000A497E"/>
    <w:rsid w:val="000A64AB"/>
    <w:rsid w:val="000A6A91"/>
    <w:rsid w:val="000A6CB2"/>
    <w:rsid w:val="000A77FF"/>
    <w:rsid w:val="000A7AAE"/>
    <w:rsid w:val="000A7E80"/>
    <w:rsid w:val="000B01F9"/>
    <w:rsid w:val="000B045A"/>
    <w:rsid w:val="000B1AA9"/>
    <w:rsid w:val="000B584F"/>
    <w:rsid w:val="000B5985"/>
    <w:rsid w:val="000B5C71"/>
    <w:rsid w:val="000B61A5"/>
    <w:rsid w:val="000B67C6"/>
    <w:rsid w:val="000B77C2"/>
    <w:rsid w:val="000B7A5C"/>
    <w:rsid w:val="000C0290"/>
    <w:rsid w:val="000C0338"/>
    <w:rsid w:val="000C08EC"/>
    <w:rsid w:val="000C124A"/>
    <w:rsid w:val="000C1B94"/>
    <w:rsid w:val="000C2486"/>
    <w:rsid w:val="000C317B"/>
    <w:rsid w:val="000C47DB"/>
    <w:rsid w:val="000C57AC"/>
    <w:rsid w:val="000C5985"/>
    <w:rsid w:val="000C6404"/>
    <w:rsid w:val="000C675D"/>
    <w:rsid w:val="000C7CD8"/>
    <w:rsid w:val="000C7E75"/>
    <w:rsid w:val="000C7E9A"/>
    <w:rsid w:val="000D037F"/>
    <w:rsid w:val="000D1138"/>
    <w:rsid w:val="000D206D"/>
    <w:rsid w:val="000D21AD"/>
    <w:rsid w:val="000D2E72"/>
    <w:rsid w:val="000D3E53"/>
    <w:rsid w:val="000D5A66"/>
    <w:rsid w:val="000D5CFF"/>
    <w:rsid w:val="000D637E"/>
    <w:rsid w:val="000D68A0"/>
    <w:rsid w:val="000D76AA"/>
    <w:rsid w:val="000E141A"/>
    <w:rsid w:val="000E142E"/>
    <w:rsid w:val="000E1685"/>
    <w:rsid w:val="000E2038"/>
    <w:rsid w:val="000E21E8"/>
    <w:rsid w:val="000E231F"/>
    <w:rsid w:val="000E2DD5"/>
    <w:rsid w:val="000E2FB1"/>
    <w:rsid w:val="000E3177"/>
    <w:rsid w:val="000E32FF"/>
    <w:rsid w:val="000E3D1D"/>
    <w:rsid w:val="000E4F19"/>
    <w:rsid w:val="000E5510"/>
    <w:rsid w:val="000E5DF4"/>
    <w:rsid w:val="000E5F78"/>
    <w:rsid w:val="000E63D9"/>
    <w:rsid w:val="000E644A"/>
    <w:rsid w:val="000E6560"/>
    <w:rsid w:val="000E6723"/>
    <w:rsid w:val="000E6CD7"/>
    <w:rsid w:val="000E6F43"/>
    <w:rsid w:val="000E7D46"/>
    <w:rsid w:val="000F045E"/>
    <w:rsid w:val="000F0621"/>
    <w:rsid w:val="000F0C1E"/>
    <w:rsid w:val="000F16E5"/>
    <w:rsid w:val="000F1DAC"/>
    <w:rsid w:val="000F29D4"/>
    <w:rsid w:val="000F35A4"/>
    <w:rsid w:val="000F4133"/>
    <w:rsid w:val="000F446A"/>
    <w:rsid w:val="000F495E"/>
    <w:rsid w:val="000F4BB8"/>
    <w:rsid w:val="000F52EA"/>
    <w:rsid w:val="000F565A"/>
    <w:rsid w:val="000F6186"/>
    <w:rsid w:val="000F628F"/>
    <w:rsid w:val="000F63C5"/>
    <w:rsid w:val="000F6557"/>
    <w:rsid w:val="000F7D3E"/>
    <w:rsid w:val="000F7F92"/>
    <w:rsid w:val="00100227"/>
    <w:rsid w:val="001008AA"/>
    <w:rsid w:val="00100F11"/>
    <w:rsid w:val="00103E0A"/>
    <w:rsid w:val="00103EC5"/>
    <w:rsid w:val="0010413A"/>
    <w:rsid w:val="001044AC"/>
    <w:rsid w:val="00106516"/>
    <w:rsid w:val="0010677E"/>
    <w:rsid w:val="001067FA"/>
    <w:rsid w:val="00106821"/>
    <w:rsid w:val="00106A78"/>
    <w:rsid w:val="00106BD7"/>
    <w:rsid w:val="00106BEC"/>
    <w:rsid w:val="00106D71"/>
    <w:rsid w:val="001078DE"/>
    <w:rsid w:val="00107EE6"/>
    <w:rsid w:val="00111F1C"/>
    <w:rsid w:val="001122BD"/>
    <w:rsid w:val="0011246F"/>
    <w:rsid w:val="00112EF0"/>
    <w:rsid w:val="00113500"/>
    <w:rsid w:val="001145D8"/>
    <w:rsid w:val="00114C4B"/>
    <w:rsid w:val="00115057"/>
    <w:rsid w:val="00115443"/>
    <w:rsid w:val="00115593"/>
    <w:rsid w:val="001164FF"/>
    <w:rsid w:val="00120B1C"/>
    <w:rsid w:val="00121470"/>
    <w:rsid w:val="00121E9F"/>
    <w:rsid w:val="001224D9"/>
    <w:rsid w:val="00122551"/>
    <w:rsid w:val="00122877"/>
    <w:rsid w:val="00122927"/>
    <w:rsid w:val="00122AC6"/>
    <w:rsid w:val="00123062"/>
    <w:rsid w:val="00123BFF"/>
    <w:rsid w:val="00123F9E"/>
    <w:rsid w:val="00124B47"/>
    <w:rsid w:val="00124E63"/>
    <w:rsid w:val="00125D37"/>
    <w:rsid w:val="00125DEB"/>
    <w:rsid w:val="00125F2F"/>
    <w:rsid w:val="00125F43"/>
    <w:rsid w:val="00126296"/>
    <w:rsid w:val="00126A94"/>
    <w:rsid w:val="00127638"/>
    <w:rsid w:val="0012778E"/>
    <w:rsid w:val="001277D1"/>
    <w:rsid w:val="00127A09"/>
    <w:rsid w:val="00127D2F"/>
    <w:rsid w:val="00130CB0"/>
    <w:rsid w:val="00130F39"/>
    <w:rsid w:val="001314C4"/>
    <w:rsid w:val="001318BC"/>
    <w:rsid w:val="00131A61"/>
    <w:rsid w:val="00131AD7"/>
    <w:rsid w:val="0013340F"/>
    <w:rsid w:val="00133B4F"/>
    <w:rsid w:val="001350BA"/>
    <w:rsid w:val="0013613C"/>
    <w:rsid w:val="0013675E"/>
    <w:rsid w:val="00137313"/>
    <w:rsid w:val="00137380"/>
    <w:rsid w:val="001376F9"/>
    <w:rsid w:val="0014043A"/>
    <w:rsid w:val="00140646"/>
    <w:rsid w:val="001415CF"/>
    <w:rsid w:val="00141BAD"/>
    <w:rsid w:val="00141E58"/>
    <w:rsid w:val="0014219B"/>
    <w:rsid w:val="001426A3"/>
    <w:rsid w:val="001439E5"/>
    <w:rsid w:val="00143EBC"/>
    <w:rsid w:val="001446E0"/>
    <w:rsid w:val="0014490B"/>
    <w:rsid w:val="0014498D"/>
    <w:rsid w:val="00145335"/>
    <w:rsid w:val="00145891"/>
    <w:rsid w:val="001459E8"/>
    <w:rsid w:val="001460CB"/>
    <w:rsid w:val="00150338"/>
    <w:rsid w:val="00150494"/>
    <w:rsid w:val="00151BCC"/>
    <w:rsid w:val="00152DBD"/>
    <w:rsid w:val="0015352B"/>
    <w:rsid w:val="00153756"/>
    <w:rsid w:val="00153AAE"/>
    <w:rsid w:val="00153C0E"/>
    <w:rsid w:val="00153D83"/>
    <w:rsid w:val="001547E2"/>
    <w:rsid w:val="00154E02"/>
    <w:rsid w:val="00154EDE"/>
    <w:rsid w:val="00156A50"/>
    <w:rsid w:val="00156CD8"/>
    <w:rsid w:val="00156D83"/>
    <w:rsid w:val="00156E8D"/>
    <w:rsid w:val="00157EAD"/>
    <w:rsid w:val="00157ECB"/>
    <w:rsid w:val="00157FCB"/>
    <w:rsid w:val="0016053D"/>
    <w:rsid w:val="00160AEC"/>
    <w:rsid w:val="00161BCF"/>
    <w:rsid w:val="00162556"/>
    <w:rsid w:val="001628FF"/>
    <w:rsid w:val="00162DE6"/>
    <w:rsid w:val="00163626"/>
    <w:rsid w:val="00163A97"/>
    <w:rsid w:val="001640B7"/>
    <w:rsid w:val="00165619"/>
    <w:rsid w:val="001663F7"/>
    <w:rsid w:val="00166AF1"/>
    <w:rsid w:val="00166F6B"/>
    <w:rsid w:val="001672EA"/>
    <w:rsid w:val="00167CD5"/>
    <w:rsid w:val="00167DA7"/>
    <w:rsid w:val="001708A9"/>
    <w:rsid w:val="001714F5"/>
    <w:rsid w:val="0017169A"/>
    <w:rsid w:val="00171911"/>
    <w:rsid w:val="00171BBA"/>
    <w:rsid w:val="00172835"/>
    <w:rsid w:val="00172919"/>
    <w:rsid w:val="00172ADA"/>
    <w:rsid w:val="00172ADC"/>
    <w:rsid w:val="001752F4"/>
    <w:rsid w:val="001753FA"/>
    <w:rsid w:val="00176495"/>
    <w:rsid w:val="001767A4"/>
    <w:rsid w:val="00176B72"/>
    <w:rsid w:val="00176BFA"/>
    <w:rsid w:val="00177844"/>
    <w:rsid w:val="00177AC5"/>
    <w:rsid w:val="00180785"/>
    <w:rsid w:val="00180B2F"/>
    <w:rsid w:val="00180F15"/>
    <w:rsid w:val="00180FBB"/>
    <w:rsid w:val="0018141C"/>
    <w:rsid w:val="00181F11"/>
    <w:rsid w:val="001827B7"/>
    <w:rsid w:val="00182C1D"/>
    <w:rsid w:val="00183277"/>
    <w:rsid w:val="00184276"/>
    <w:rsid w:val="0018469C"/>
    <w:rsid w:val="00184829"/>
    <w:rsid w:val="0018488D"/>
    <w:rsid w:val="00184ECC"/>
    <w:rsid w:val="00185107"/>
    <w:rsid w:val="00185162"/>
    <w:rsid w:val="00185968"/>
    <w:rsid w:val="00185B30"/>
    <w:rsid w:val="00185DC4"/>
    <w:rsid w:val="00185E53"/>
    <w:rsid w:val="0018636D"/>
    <w:rsid w:val="00186BBD"/>
    <w:rsid w:val="001870DA"/>
    <w:rsid w:val="001905AF"/>
    <w:rsid w:val="00190711"/>
    <w:rsid w:val="00190C57"/>
    <w:rsid w:val="00191B05"/>
    <w:rsid w:val="0019231B"/>
    <w:rsid w:val="001923A4"/>
    <w:rsid w:val="00192C16"/>
    <w:rsid w:val="00192E7B"/>
    <w:rsid w:val="0019368C"/>
    <w:rsid w:val="00193876"/>
    <w:rsid w:val="00193ABC"/>
    <w:rsid w:val="00195EAD"/>
    <w:rsid w:val="00196017"/>
    <w:rsid w:val="001A0FE4"/>
    <w:rsid w:val="001A1745"/>
    <w:rsid w:val="001A1E4C"/>
    <w:rsid w:val="001A28CE"/>
    <w:rsid w:val="001A3655"/>
    <w:rsid w:val="001A5E6F"/>
    <w:rsid w:val="001A600B"/>
    <w:rsid w:val="001A7E25"/>
    <w:rsid w:val="001B041F"/>
    <w:rsid w:val="001B084C"/>
    <w:rsid w:val="001B0DC2"/>
    <w:rsid w:val="001B0EDF"/>
    <w:rsid w:val="001B377B"/>
    <w:rsid w:val="001B3ED1"/>
    <w:rsid w:val="001B4802"/>
    <w:rsid w:val="001B48C2"/>
    <w:rsid w:val="001B5886"/>
    <w:rsid w:val="001B5898"/>
    <w:rsid w:val="001B59EF"/>
    <w:rsid w:val="001B5B94"/>
    <w:rsid w:val="001B63C7"/>
    <w:rsid w:val="001B6EF9"/>
    <w:rsid w:val="001B7BC7"/>
    <w:rsid w:val="001C0B8E"/>
    <w:rsid w:val="001C0D26"/>
    <w:rsid w:val="001C115B"/>
    <w:rsid w:val="001C11D6"/>
    <w:rsid w:val="001C2112"/>
    <w:rsid w:val="001C36C8"/>
    <w:rsid w:val="001C381E"/>
    <w:rsid w:val="001C4814"/>
    <w:rsid w:val="001C53B7"/>
    <w:rsid w:val="001C55A9"/>
    <w:rsid w:val="001C57E4"/>
    <w:rsid w:val="001C64EE"/>
    <w:rsid w:val="001C6558"/>
    <w:rsid w:val="001C6728"/>
    <w:rsid w:val="001C67ED"/>
    <w:rsid w:val="001C6AF3"/>
    <w:rsid w:val="001C739A"/>
    <w:rsid w:val="001D0E4D"/>
    <w:rsid w:val="001D1C3C"/>
    <w:rsid w:val="001D27CF"/>
    <w:rsid w:val="001D35CF"/>
    <w:rsid w:val="001D44A0"/>
    <w:rsid w:val="001D464F"/>
    <w:rsid w:val="001D5E26"/>
    <w:rsid w:val="001D790E"/>
    <w:rsid w:val="001E0F5F"/>
    <w:rsid w:val="001E1739"/>
    <w:rsid w:val="001E1B53"/>
    <w:rsid w:val="001E2705"/>
    <w:rsid w:val="001E2757"/>
    <w:rsid w:val="001E28F9"/>
    <w:rsid w:val="001E31C3"/>
    <w:rsid w:val="001E36FB"/>
    <w:rsid w:val="001E384F"/>
    <w:rsid w:val="001E43FF"/>
    <w:rsid w:val="001E4C55"/>
    <w:rsid w:val="001E4F84"/>
    <w:rsid w:val="001E5968"/>
    <w:rsid w:val="001E6889"/>
    <w:rsid w:val="001E72D9"/>
    <w:rsid w:val="001E731C"/>
    <w:rsid w:val="001E756B"/>
    <w:rsid w:val="001E7A01"/>
    <w:rsid w:val="001E7AC8"/>
    <w:rsid w:val="001F064B"/>
    <w:rsid w:val="001F09DA"/>
    <w:rsid w:val="001F10F4"/>
    <w:rsid w:val="001F135B"/>
    <w:rsid w:val="001F1393"/>
    <w:rsid w:val="001F150B"/>
    <w:rsid w:val="001F2469"/>
    <w:rsid w:val="001F2FFC"/>
    <w:rsid w:val="001F38E4"/>
    <w:rsid w:val="001F4BE3"/>
    <w:rsid w:val="001F59F1"/>
    <w:rsid w:val="001F5F6D"/>
    <w:rsid w:val="001F6BF1"/>
    <w:rsid w:val="001F6D74"/>
    <w:rsid w:val="001F6F15"/>
    <w:rsid w:val="001F6FD2"/>
    <w:rsid w:val="001F7744"/>
    <w:rsid w:val="001F7B10"/>
    <w:rsid w:val="0020000D"/>
    <w:rsid w:val="002006A3"/>
    <w:rsid w:val="00200B7C"/>
    <w:rsid w:val="0020129C"/>
    <w:rsid w:val="00201D0C"/>
    <w:rsid w:val="0020228E"/>
    <w:rsid w:val="0020367F"/>
    <w:rsid w:val="00203EB6"/>
    <w:rsid w:val="00204E29"/>
    <w:rsid w:val="00204F23"/>
    <w:rsid w:val="00204F81"/>
    <w:rsid w:val="00205824"/>
    <w:rsid w:val="00206908"/>
    <w:rsid w:val="0020691B"/>
    <w:rsid w:val="0020748B"/>
    <w:rsid w:val="0020758A"/>
    <w:rsid w:val="00207F92"/>
    <w:rsid w:val="00210539"/>
    <w:rsid w:val="002106B8"/>
    <w:rsid w:val="00210C10"/>
    <w:rsid w:val="00211E8D"/>
    <w:rsid w:val="002122FA"/>
    <w:rsid w:val="002127B0"/>
    <w:rsid w:val="00212AEF"/>
    <w:rsid w:val="00213604"/>
    <w:rsid w:val="00214345"/>
    <w:rsid w:val="00214566"/>
    <w:rsid w:val="00214842"/>
    <w:rsid w:val="002160E6"/>
    <w:rsid w:val="00217ACA"/>
    <w:rsid w:val="00217CDB"/>
    <w:rsid w:val="00217EA7"/>
    <w:rsid w:val="00220109"/>
    <w:rsid w:val="00220DFD"/>
    <w:rsid w:val="00221B19"/>
    <w:rsid w:val="00221D2C"/>
    <w:rsid w:val="00222102"/>
    <w:rsid w:val="002229CB"/>
    <w:rsid w:val="002238CD"/>
    <w:rsid w:val="00223AEB"/>
    <w:rsid w:val="00224230"/>
    <w:rsid w:val="002247BF"/>
    <w:rsid w:val="002247E6"/>
    <w:rsid w:val="002249F3"/>
    <w:rsid w:val="00224B71"/>
    <w:rsid w:val="00224FDB"/>
    <w:rsid w:val="0022522E"/>
    <w:rsid w:val="0022587C"/>
    <w:rsid w:val="0022598B"/>
    <w:rsid w:val="00225EB5"/>
    <w:rsid w:val="00226CE5"/>
    <w:rsid w:val="00226DD2"/>
    <w:rsid w:val="002272DE"/>
    <w:rsid w:val="002278F8"/>
    <w:rsid w:val="00227B90"/>
    <w:rsid w:val="00230ACF"/>
    <w:rsid w:val="00230D20"/>
    <w:rsid w:val="00231745"/>
    <w:rsid w:val="00231A67"/>
    <w:rsid w:val="00233B08"/>
    <w:rsid w:val="002340B8"/>
    <w:rsid w:val="0023466F"/>
    <w:rsid w:val="00234FD0"/>
    <w:rsid w:val="00235AEA"/>
    <w:rsid w:val="00235DDA"/>
    <w:rsid w:val="00235F21"/>
    <w:rsid w:val="0023604D"/>
    <w:rsid w:val="0023617F"/>
    <w:rsid w:val="0023639A"/>
    <w:rsid w:val="00236779"/>
    <w:rsid w:val="002367C5"/>
    <w:rsid w:val="002369B1"/>
    <w:rsid w:val="0023752B"/>
    <w:rsid w:val="0024175C"/>
    <w:rsid w:val="00241D16"/>
    <w:rsid w:val="00241E4A"/>
    <w:rsid w:val="002421B5"/>
    <w:rsid w:val="00242481"/>
    <w:rsid w:val="00242627"/>
    <w:rsid w:val="00242B7C"/>
    <w:rsid w:val="002432B8"/>
    <w:rsid w:val="00243A1C"/>
    <w:rsid w:val="00244C4F"/>
    <w:rsid w:val="00245928"/>
    <w:rsid w:val="00245E8A"/>
    <w:rsid w:val="00245F47"/>
    <w:rsid w:val="00247CAA"/>
    <w:rsid w:val="002509C9"/>
    <w:rsid w:val="00251B39"/>
    <w:rsid w:val="00251C36"/>
    <w:rsid w:val="00252767"/>
    <w:rsid w:val="00252BC7"/>
    <w:rsid w:val="00252D45"/>
    <w:rsid w:val="0025323A"/>
    <w:rsid w:val="00253D78"/>
    <w:rsid w:val="0025408B"/>
    <w:rsid w:val="00254DF4"/>
    <w:rsid w:val="00255596"/>
    <w:rsid w:val="0025623B"/>
    <w:rsid w:val="00256357"/>
    <w:rsid w:val="0025709F"/>
    <w:rsid w:val="0025778B"/>
    <w:rsid w:val="00257FC6"/>
    <w:rsid w:val="00260A7E"/>
    <w:rsid w:val="00261286"/>
    <w:rsid w:val="00261998"/>
    <w:rsid w:val="00262F3C"/>
    <w:rsid w:val="002639CA"/>
    <w:rsid w:val="0026436A"/>
    <w:rsid w:val="00264BB4"/>
    <w:rsid w:val="00264D2B"/>
    <w:rsid w:val="0026584E"/>
    <w:rsid w:val="00265979"/>
    <w:rsid w:val="002669F1"/>
    <w:rsid w:val="00267127"/>
    <w:rsid w:val="00267D1E"/>
    <w:rsid w:val="002700A7"/>
    <w:rsid w:val="002707B5"/>
    <w:rsid w:val="002708B8"/>
    <w:rsid w:val="00270E0C"/>
    <w:rsid w:val="002713A4"/>
    <w:rsid w:val="002719A0"/>
    <w:rsid w:val="00271E46"/>
    <w:rsid w:val="00272173"/>
    <w:rsid w:val="00272F0C"/>
    <w:rsid w:val="00273FBF"/>
    <w:rsid w:val="00274BCD"/>
    <w:rsid w:val="00275302"/>
    <w:rsid w:val="002770B8"/>
    <w:rsid w:val="00277C46"/>
    <w:rsid w:val="002803FC"/>
    <w:rsid w:val="002808A0"/>
    <w:rsid w:val="0028173C"/>
    <w:rsid w:val="00281A28"/>
    <w:rsid w:val="00281A43"/>
    <w:rsid w:val="00281B17"/>
    <w:rsid w:val="00282D6E"/>
    <w:rsid w:val="00283108"/>
    <w:rsid w:val="00284ECA"/>
    <w:rsid w:val="00284FA7"/>
    <w:rsid w:val="0028541F"/>
    <w:rsid w:val="002858F2"/>
    <w:rsid w:val="00285E79"/>
    <w:rsid w:val="0028669E"/>
    <w:rsid w:val="002871C4"/>
    <w:rsid w:val="00287BA5"/>
    <w:rsid w:val="002900C1"/>
    <w:rsid w:val="00290FBD"/>
    <w:rsid w:val="00291FAB"/>
    <w:rsid w:val="0029354B"/>
    <w:rsid w:val="002943AA"/>
    <w:rsid w:val="00294A97"/>
    <w:rsid w:val="002954C9"/>
    <w:rsid w:val="002972EE"/>
    <w:rsid w:val="002976CA"/>
    <w:rsid w:val="002979C4"/>
    <w:rsid w:val="00297DEF"/>
    <w:rsid w:val="002A0295"/>
    <w:rsid w:val="002A06C8"/>
    <w:rsid w:val="002A0D05"/>
    <w:rsid w:val="002A0F29"/>
    <w:rsid w:val="002A137D"/>
    <w:rsid w:val="002A1451"/>
    <w:rsid w:val="002A202C"/>
    <w:rsid w:val="002A21CC"/>
    <w:rsid w:val="002A2A52"/>
    <w:rsid w:val="002A2C33"/>
    <w:rsid w:val="002A2D92"/>
    <w:rsid w:val="002A3806"/>
    <w:rsid w:val="002A3C22"/>
    <w:rsid w:val="002A644D"/>
    <w:rsid w:val="002A66B9"/>
    <w:rsid w:val="002A6D2A"/>
    <w:rsid w:val="002B02FD"/>
    <w:rsid w:val="002B076D"/>
    <w:rsid w:val="002B0F0B"/>
    <w:rsid w:val="002B1342"/>
    <w:rsid w:val="002B338A"/>
    <w:rsid w:val="002B3938"/>
    <w:rsid w:val="002B4271"/>
    <w:rsid w:val="002B4587"/>
    <w:rsid w:val="002B48E3"/>
    <w:rsid w:val="002B5042"/>
    <w:rsid w:val="002B5048"/>
    <w:rsid w:val="002B63FC"/>
    <w:rsid w:val="002B6B79"/>
    <w:rsid w:val="002B7392"/>
    <w:rsid w:val="002C07A1"/>
    <w:rsid w:val="002C07EA"/>
    <w:rsid w:val="002C0EDD"/>
    <w:rsid w:val="002C1BF9"/>
    <w:rsid w:val="002C1D36"/>
    <w:rsid w:val="002C2A56"/>
    <w:rsid w:val="002C2D6C"/>
    <w:rsid w:val="002C2FAC"/>
    <w:rsid w:val="002C3FAF"/>
    <w:rsid w:val="002C417D"/>
    <w:rsid w:val="002C4298"/>
    <w:rsid w:val="002C4C62"/>
    <w:rsid w:val="002C530B"/>
    <w:rsid w:val="002C5D65"/>
    <w:rsid w:val="002C612F"/>
    <w:rsid w:val="002C61E5"/>
    <w:rsid w:val="002C6229"/>
    <w:rsid w:val="002C64E7"/>
    <w:rsid w:val="002C65B4"/>
    <w:rsid w:val="002C6ABB"/>
    <w:rsid w:val="002C700A"/>
    <w:rsid w:val="002C73DC"/>
    <w:rsid w:val="002C7982"/>
    <w:rsid w:val="002C7BB0"/>
    <w:rsid w:val="002D01E3"/>
    <w:rsid w:val="002D041C"/>
    <w:rsid w:val="002D05BB"/>
    <w:rsid w:val="002D0C92"/>
    <w:rsid w:val="002D0FB9"/>
    <w:rsid w:val="002D1069"/>
    <w:rsid w:val="002D1E98"/>
    <w:rsid w:val="002D35CB"/>
    <w:rsid w:val="002D4137"/>
    <w:rsid w:val="002D535A"/>
    <w:rsid w:val="002D620D"/>
    <w:rsid w:val="002D6331"/>
    <w:rsid w:val="002D7013"/>
    <w:rsid w:val="002D747B"/>
    <w:rsid w:val="002D7E1D"/>
    <w:rsid w:val="002E0D56"/>
    <w:rsid w:val="002E0FA9"/>
    <w:rsid w:val="002E1AE5"/>
    <w:rsid w:val="002E2076"/>
    <w:rsid w:val="002E295C"/>
    <w:rsid w:val="002E354B"/>
    <w:rsid w:val="002E3D88"/>
    <w:rsid w:val="002E489A"/>
    <w:rsid w:val="002E494E"/>
    <w:rsid w:val="002E55E3"/>
    <w:rsid w:val="002E6788"/>
    <w:rsid w:val="002E69C3"/>
    <w:rsid w:val="002E7755"/>
    <w:rsid w:val="002E780E"/>
    <w:rsid w:val="002E7F78"/>
    <w:rsid w:val="002F0537"/>
    <w:rsid w:val="002F07E1"/>
    <w:rsid w:val="002F1298"/>
    <w:rsid w:val="002F167F"/>
    <w:rsid w:val="002F193B"/>
    <w:rsid w:val="002F211B"/>
    <w:rsid w:val="002F256C"/>
    <w:rsid w:val="002F25BE"/>
    <w:rsid w:val="002F2B10"/>
    <w:rsid w:val="002F3299"/>
    <w:rsid w:val="002F409C"/>
    <w:rsid w:val="002F4332"/>
    <w:rsid w:val="002F5789"/>
    <w:rsid w:val="002F5ED9"/>
    <w:rsid w:val="002F65C4"/>
    <w:rsid w:val="002F6E95"/>
    <w:rsid w:val="002F7DB4"/>
    <w:rsid w:val="003014D6"/>
    <w:rsid w:val="00301D4C"/>
    <w:rsid w:val="00302633"/>
    <w:rsid w:val="003026E6"/>
    <w:rsid w:val="00302E4B"/>
    <w:rsid w:val="003033C8"/>
    <w:rsid w:val="003035A1"/>
    <w:rsid w:val="00303791"/>
    <w:rsid w:val="00303ADC"/>
    <w:rsid w:val="00303B81"/>
    <w:rsid w:val="003042DA"/>
    <w:rsid w:val="00304515"/>
    <w:rsid w:val="00305C98"/>
    <w:rsid w:val="00305E44"/>
    <w:rsid w:val="0030604A"/>
    <w:rsid w:val="003077ED"/>
    <w:rsid w:val="003103DF"/>
    <w:rsid w:val="00310B4D"/>
    <w:rsid w:val="0031133C"/>
    <w:rsid w:val="003117C7"/>
    <w:rsid w:val="003119D8"/>
    <w:rsid w:val="00311A53"/>
    <w:rsid w:val="00312E96"/>
    <w:rsid w:val="00313132"/>
    <w:rsid w:val="00313477"/>
    <w:rsid w:val="003134BB"/>
    <w:rsid w:val="00313B5E"/>
    <w:rsid w:val="00313B95"/>
    <w:rsid w:val="00315ACF"/>
    <w:rsid w:val="003174E9"/>
    <w:rsid w:val="003175EB"/>
    <w:rsid w:val="0032069B"/>
    <w:rsid w:val="00321574"/>
    <w:rsid w:val="00321E09"/>
    <w:rsid w:val="00322651"/>
    <w:rsid w:val="0032269B"/>
    <w:rsid w:val="003227E6"/>
    <w:rsid w:val="00323053"/>
    <w:rsid w:val="00323FBD"/>
    <w:rsid w:val="00324314"/>
    <w:rsid w:val="00325381"/>
    <w:rsid w:val="00325AC7"/>
    <w:rsid w:val="003265D0"/>
    <w:rsid w:val="00326819"/>
    <w:rsid w:val="00326F65"/>
    <w:rsid w:val="003272DA"/>
    <w:rsid w:val="00327621"/>
    <w:rsid w:val="003279D4"/>
    <w:rsid w:val="00327A00"/>
    <w:rsid w:val="00327FA6"/>
    <w:rsid w:val="00330873"/>
    <w:rsid w:val="00330E2F"/>
    <w:rsid w:val="00331D6C"/>
    <w:rsid w:val="00332957"/>
    <w:rsid w:val="00332D20"/>
    <w:rsid w:val="00332E72"/>
    <w:rsid w:val="00333E5A"/>
    <w:rsid w:val="00334285"/>
    <w:rsid w:val="00334516"/>
    <w:rsid w:val="00334CC6"/>
    <w:rsid w:val="00334E89"/>
    <w:rsid w:val="00335A79"/>
    <w:rsid w:val="00335F67"/>
    <w:rsid w:val="003362DB"/>
    <w:rsid w:val="003372A4"/>
    <w:rsid w:val="00337D60"/>
    <w:rsid w:val="00337D89"/>
    <w:rsid w:val="0034030F"/>
    <w:rsid w:val="003407BB"/>
    <w:rsid w:val="00341A8A"/>
    <w:rsid w:val="00341C8A"/>
    <w:rsid w:val="00342666"/>
    <w:rsid w:val="00343126"/>
    <w:rsid w:val="003432CB"/>
    <w:rsid w:val="003432DA"/>
    <w:rsid w:val="00343A76"/>
    <w:rsid w:val="00344893"/>
    <w:rsid w:val="00344A13"/>
    <w:rsid w:val="00344DFB"/>
    <w:rsid w:val="003453DB"/>
    <w:rsid w:val="00345930"/>
    <w:rsid w:val="003459F7"/>
    <w:rsid w:val="003466CE"/>
    <w:rsid w:val="00346EEC"/>
    <w:rsid w:val="00347C36"/>
    <w:rsid w:val="00350381"/>
    <w:rsid w:val="00350571"/>
    <w:rsid w:val="00350DD6"/>
    <w:rsid w:val="0035114C"/>
    <w:rsid w:val="00351212"/>
    <w:rsid w:val="00352506"/>
    <w:rsid w:val="003529B3"/>
    <w:rsid w:val="00352A64"/>
    <w:rsid w:val="0035325E"/>
    <w:rsid w:val="00353E9A"/>
    <w:rsid w:val="00355508"/>
    <w:rsid w:val="0035579E"/>
    <w:rsid w:val="003559F4"/>
    <w:rsid w:val="00355FBD"/>
    <w:rsid w:val="003565A9"/>
    <w:rsid w:val="00356A81"/>
    <w:rsid w:val="00357D24"/>
    <w:rsid w:val="00360617"/>
    <w:rsid w:val="003607AE"/>
    <w:rsid w:val="0036080A"/>
    <w:rsid w:val="00360853"/>
    <w:rsid w:val="00360887"/>
    <w:rsid w:val="00361849"/>
    <w:rsid w:val="00361CF2"/>
    <w:rsid w:val="003623C7"/>
    <w:rsid w:val="003627E8"/>
    <w:rsid w:val="00362854"/>
    <w:rsid w:val="00362888"/>
    <w:rsid w:val="00362F8D"/>
    <w:rsid w:val="003637FC"/>
    <w:rsid w:val="00363B79"/>
    <w:rsid w:val="0036426F"/>
    <w:rsid w:val="00364905"/>
    <w:rsid w:val="00364D7C"/>
    <w:rsid w:val="003651E8"/>
    <w:rsid w:val="00366E32"/>
    <w:rsid w:val="0036790E"/>
    <w:rsid w:val="00367DC0"/>
    <w:rsid w:val="00370861"/>
    <w:rsid w:val="00370A71"/>
    <w:rsid w:val="00370B51"/>
    <w:rsid w:val="00370DAA"/>
    <w:rsid w:val="0037119F"/>
    <w:rsid w:val="003711D9"/>
    <w:rsid w:val="00373163"/>
    <w:rsid w:val="003739F9"/>
    <w:rsid w:val="00373DD1"/>
    <w:rsid w:val="00373FEC"/>
    <w:rsid w:val="0037421F"/>
    <w:rsid w:val="00374899"/>
    <w:rsid w:val="0037496B"/>
    <w:rsid w:val="003751CB"/>
    <w:rsid w:val="003757DF"/>
    <w:rsid w:val="00375851"/>
    <w:rsid w:val="00376115"/>
    <w:rsid w:val="00376EC2"/>
    <w:rsid w:val="00377834"/>
    <w:rsid w:val="00377EBD"/>
    <w:rsid w:val="00380D3F"/>
    <w:rsid w:val="00380FDC"/>
    <w:rsid w:val="003811E2"/>
    <w:rsid w:val="003812C7"/>
    <w:rsid w:val="00382544"/>
    <w:rsid w:val="0038315A"/>
    <w:rsid w:val="0038331F"/>
    <w:rsid w:val="00383505"/>
    <w:rsid w:val="00383916"/>
    <w:rsid w:val="00383948"/>
    <w:rsid w:val="003840CD"/>
    <w:rsid w:val="00384201"/>
    <w:rsid w:val="00384DE7"/>
    <w:rsid w:val="00385731"/>
    <w:rsid w:val="00385FFB"/>
    <w:rsid w:val="00386283"/>
    <w:rsid w:val="00387501"/>
    <w:rsid w:val="00387A02"/>
    <w:rsid w:val="00387E57"/>
    <w:rsid w:val="0039001B"/>
    <w:rsid w:val="0039077B"/>
    <w:rsid w:val="0039092D"/>
    <w:rsid w:val="00391261"/>
    <w:rsid w:val="003916FC"/>
    <w:rsid w:val="00391753"/>
    <w:rsid w:val="00391D33"/>
    <w:rsid w:val="0039273E"/>
    <w:rsid w:val="003934BE"/>
    <w:rsid w:val="0039353C"/>
    <w:rsid w:val="00393731"/>
    <w:rsid w:val="00393DD5"/>
    <w:rsid w:val="00394381"/>
    <w:rsid w:val="003947A1"/>
    <w:rsid w:val="00394844"/>
    <w:rsid w:val="003948D9"/>
    <w:rsid w:val="00394C82"/>
    <w:rsid w:val="00394D50"/>
    <w:rsid w:val="003952CA"/>
    <w:rsid w:val="003956D4"/>
    <w:rsid w:val="0039624A"/>
    <w:rsid w:val="0039644E"/>
    <w:rsid w:val="003967B9"/>
    <w:rsid w:val="00396A96"/>
    <w:rsid w:val="00396FE8"/>
    <w:rsid w:val="00397C74"/>
    <w:rsid w:val="00397FC5"/>
    <w:rsid w:val="003A03ED"/>
    <w:rsid w:val="003A0896"/>
    <w:rsid w:val="003A09C5"/>
    <w:rsid w:val="003A0ED6"/>
    <w:rsid w:val="003A30E5"/>
    <w:rsid w:val="003A3641"/>
    <w:rsid w:val="003A3704"/>
    <w:rsid w:val="003A3D50"/>
    <w:rsid w:val="003A4279"/>
    <w:rsid w:val="003A4A88"/>
    <w:rsid w:val="003A53D8"/>
    <w:rsid w:val="003A62DE"/>
    <w:rsid w:val="003A633A"/>
    <w:rsid w:val="003A6C76"/>
    <w:rsid w:val="003A75C1"/>
    <w:rsid w:val="003B1BF8"/>
    <w:rsid w:val="003B220C"/>
    <w:rsid w:val="003B2250"/>
    <w:rsid w:val="003B23B7"/>
    <w:rsid w:val="003B2842"/>
    <w:rsid w:val="003B29D3"/>
    <w:rsid w:val="003B39C6"/>
    <w:rsid w:val="003B444F"/>
    <w:rsid w:val="003B47CE"/>
    <w:rsid w:val="003B5FB2"/>
    <w:rsid w:val="003B659C"/>
    <w:rsid w:val="003B6F5B"/>
    <w:rsid w:val="003B7C03"/>
    <w:rsid w:val="003B7D01"/>
    <w:rsid w:val="003B7DB8"/>
    <w:rsid w:val="003C0DF7"/>
    <w:rsid w:val="003C0E6C"/>
    <w:rsid w:val="003C0E70"/>
    <w:rsid w:val="003C13F7"/>
    <w:rsid w:val="003C150E"/>
    <w:rsid w:val="003C1C65"/>
    <w:rsid w:val="003C20AB"/>
    <w:rsid w:val="003C235B"/>
    <w:rsid w:val="003C23AF"/>
    <w:rsid w:val="003C2AAD"/>
    <w:rsid w:val="003C2D08"/>
    <w:rsid w:val="003C2E91"/>
    <w:rsid w:val="003C3133"/>
    <w:rsid w:val="003C4EDB"/>
    <w:rsid w:val="003C53CC"/>
    <w:rsid w:val="003C56F2"/>
    <w:rsid w:val="003C6182"/>
    <w:rsid w:val="003C6271"/>
    <w:rsid w:val="003C6E1A"/>
    <w:rsid w:val="003C7720"/>
    <w:rsid w:val="003C7FA4"/>
    <w:rsid w:val="003D0FF4"/>
    <w:rsid w:val="003D18A2"/>
    <w:rsid w:val="003D1988"/>
    <w:rsid w:val="003D2D0C"/>
    <w:rsid w:val="003D2E4F"/>
    <w:rsid w:val="003D3AAD"/>
    <w:rsid w:val="003D400F"/>
    <w:rsid w:val="003D4020"/>
    <w:rsid w:val="003D48A2"/>
    <w:rsid w:val="003D4EDC"/>
    <w:rsid w:val="003D5BDC"/>
    <w:rsid w:val="003D5E45"/>
    <w:rsid w:val="003D6860"/>
    <w:rsid w:val="003D69DA"/>
    <w:rsid w:val="003D772C"/>
    <w:rsid w:val="003E0267"/>
    <w:rsid w:val="003E0B6D"/>
    <w:rsid w:val="003E1C8B"/>
    <w:rsid w:val="003E1CBC"/>
    <w:rsid w:val="003E2072"/>
    <w:rsid w:val="003E24F6"/>
    <w:rsid w:val="003E2811"/>
    <w:rsid w:val="003E28CB"/>
    <w:rsid w:val="003E2C99"/>
    <w:rsid w:val="003E3022"/>
    <w:rsid w:val="003E3126"/>
    <w:rsid w:val="003E3542"/>
    <w:rsid w:val="003E3560"/>
    <w:rsid w:val="003E3D6E"/>
    <w:rsid w:val="003E402E"/>
    <w:rsid w:val="003E4D7E"/>
    <w:rsid w:val="003E4E51"/>
    <w:rsid w:val="003E5D7C"/>
    <w:rsid w:val="003E5FCE"/>
    <w:rsid w:val="003E638F"/>
    <w:rsid w:val="003E6736"/>
    <w:rsid w:val="003E6905"/>
    <w:rsid w:val="003E6F87"/>
    <w:rsid w:val="003E7035"/>
    <w:rsid w:val="003E70DF"/>
    <w:rsid w:val="003E7592"/>
    <w:rsid w:val="003E7DB5"/>
    <w:rsid w:val="003F0107"/>
    <w:rsid w:val="003F0AD5"/>
    <w:rsid w:val="003F0E2A"/>
    <w:rsid w:val="003F0E87"/>
    <w:rsid w:val="003F1188"/>
    <w:rsid w:val="003F19EE"/>
    <w:rsid w:val="003F1A7B"/>
    <w:rsid w:val="003F1D71"/>
    <w:rsid w:val="003F2992"/>
    <w:rsid w:val="003F2E8E"/>
    <w:rsid w:val="003F3267"/>
    <w:rsid w:val="003F3EC4"/>
    <w:rsid w:val="003F4EC3"/>
    <w:rsid w:val="003F5565"/>
    <w:rsid w:val="003F58C6"/>
    <w:rsid w:val="003F6AA7"/>
    <w:rsid w:val="003F7D08"/>
    <w:rsid w:val="00400276"/>
    <w:rsid w:val="0040037F"/>
    <w:rsid w:val="00400B59"/>
    <w:rsid w:val="00402392"/>
    <w:rsid w:val="00402633"/>
    <w:rsid w:val="004031B9"/>
    <w:rsid w:val="00403267"/>
    <w:rsid w:val="004033AF"/>
    <w:rsid w:val="004042BD"/>
    <w:rsid w:val="004057C7"/>
    <w:rsid w:val="00405F54"/>
    <w:rsid w:val="00406845"/>
    <w:rsid w:val="00410256"/>
    <w:rsid w:val="00410EE2"/>
    <w:rsid w:val="004116D9"/>
    <w:rsid w:val="0041196E"/>
    <w:rsid w:val="004119B2"/>
    <w:rsid w:val="00412284"/>
    <w:rsid w:val="00412F56"/>
    <w:rsid w:val="004133A8"/>
    <w:rsid w:val="00413E05"/>
    <w:rsid w:val="00414D22"/>
    <w:rsid w:val="004156D0"/>
    <w:rsid w:val="0041619F"/>
    <w:rsid w:val="00416739"/>
    <w:rsid w:val="00416964"/>
    <w:rsid w:val="00420F0F"/>
    <w:rsid w:val="00421C49"/>
    <w:rsid w:val="00422A61"/>
    <w:rsid w:val="00422E6D"/>
    <w:rsid w:val="004249C2"/>
    <w:rsid w:val="00425F8D"/>
    <w:rsid w:val="0042600C"/>
    <w:rsid w:val="004264F2"/>
    <w:rsid w:val="00426721"/>
    <w:rsid w:val="00426D00"/>
    <w:rsid w:val="0042705E"/>
    <w:rsid w:val="00427561"/>
    <w:rsid w:val="00430120"/>
    <w:rsid w:val="00430134"/>
    <w:rsid w:val="00431AC1"/>
    <w:rsid w:val="00431BE2"/>
    <w:rsid w:val="004327EA"/>
    <w:rsid w:val="00433C05"/>
    <w:rsid w:val="00433CBC"/>
    <w:rsid w:val="00434D40"/>
    <w:rsid w:val="00434E84"/>
    <w:rsid w:val="0043513E"/>
    <w:rsid w:val="00435737"/>
    <w:rsid w:val="00435CB7"/>
    <w:rsid w:val="0043754E"/>
    <w:rsid w:val="00437693"/>
    <w:rsid w:val="00437884"/>
    <w:rsid w:val="00440ECF"/>
    <w:rsid w:val="004418B8"/>
    <w:rsid w:val="0044214E"/>
    <w:rsid w:val="00442FE1"/>
    <w:rsid w:val="00443C44"/>
    <w:rsid w:val="004448A1"/>
    <w:rsid w:val="00444FD2"/>
    <w:rsid w:val="00445502"/>
    <w:rsid w:val="00445575"/>
    <w:rsid w:val="00445F0E"/>
    <w:rsid w:val="00446215"/>
    <w:rsid w:val="00446647"/>
    <w:rsid w:val="004510FA"/>
    <w:rsid w:val="00451533"/>
    <w:rsid w:val="004516A7"/>
    <w:rsid w:val="00451F3E"/>
    <w:rsid w:val="004520DE"/>
    <w:rsid w:val="00452351"/>
    <w:rsid w:val="004529C9"/>
    <w:rsid w:val="004533F5"/>
    <w:rsid w:val="004537A6"/>
    <w:rsid w:val="00454382"/>
    <w:rsid w:val="004553DD"/>
    <w:rsid w:val="00455806"/>
    <w:rsid w:val="004563A8"/>
    <w:rsid w:val="004571D7"/>
    <w:rsid w:val="0045768A"/>
    <w:rsid w:val="004603BB"/>
    <w:rsid w:val="004608F7"/>
    <w:rsid w:val="00460B21"/>
    <w:rsid w:val="00460B61"/>
    <w:rsid w:val="00460E30"/>
    <w:rsid w:val="0046104D"/>
    <w:rsid w:val="004615F7"/>
    <w:rsid w:val="0046165E"/>
    <w:rsid w:val="00461779"/>
    <w:rsid w:val="00461C2E"/>
    <w:rsid w:val="00461D8C"/>
    <w:rsid w:val="004620F2"/>
    <w:rsid w:val="004621FD"/>
    <w:rsid w:val="00462310"/>
    <w:rsid w:val="00462901"/>
    <w:rsid w:val="004638A2"/>
    <w:rsid w:val="0046408E"/>
    <w:rsid w:val="00464285"/>
    <w:rsid w:val="00464547"/>
    <w:rsid w:val="0046479B"/>
    <w:rsid w:val="004656D9"/>
    <w:rsid w:val="00465D47"/>
    <w:rsid w:val="00466750"/>
    <w:rsid w:val="0046712E"/>
    <w:rsid w:val="00467600"/>
    <w:rsid w:val="00467FE9"/>
    <w:rsid w:val="00471B19"/>
    <w:rsid w:val="00474000"/>
    <w:rsid w:val="00475E2A"/>
    <w:rsid w:val="00477227"/>
    <w:rsid w:val="004777C7"/>
    <w:rsid w:val="00477D7D"/>
    <w:rsid w:val="00477F1F"/>
    <w:rsid w:val="00480A38"/>
    <w:rsid w:val="004813A8"/>
    <w:rsid w:val="00482A71"/>
    <w:rsid w:val="00484473"/>
    <w:rsid w:val="00484726"/>
    <w:rsid w:val="004847FA"/>
    <w:rsid w:val="0048515A"/>
    <w:rsid w:val="00485FBC"/>
    <w:rsid w:val="0048603D"/>
    <w:rsid w:val="00486104"/>
    <w:rsid w:val="00486D8D"/>
    <w:rsid w:val="00487AF2"/>
    <w:rsid w:val="004912E4"/>
    <w:rsid w:val="004913DB"/>
    <w:rsid w:val="004928BF"/>
    <w:rsid w:val="004929F1"/>
    <w:rsid w:val="00492AF0"/>
    <w:rsid w:val="00494282"/>
    <w:rsid w:val="00494475"/>
    <w:rsid w:val="00494E53"/>
    <w:rsid w:val="00494ED1"/>
    <w:rsid w:val="00494FE5"/>
    <w:rsid w:val="00495F6E"/>
    <w:rsid w:val="00495F79"/>
    <w:rsid w:val="0049620C"/>
    <w:rsid w:val="0049641B"/>
    <w:rsid w:val="0049662B"/>
    <w:rsid w:val="004971E4"/>
    <w:rsid w:val="004A05E9"/>
    <w:rsid w:val="004A0E81"/>
    <w:rsid w:val="004A1567"/>
    <w:rsid w:val="004A1961"/>
    <w:rsid w:val="004A1980"/>
    <w:rsid w:val="004A298E"/>
    <w:rsid w:val="004A3335"/>
    <w:rsid w:val="004A39A6"/>
    <w:rsid w:val="004A3AC9"/>
    <w:rsid w:val="004A5EAF"/>
    <w:rsid w:val="004A5FC1"/>
    <w:rsid w:val="004A61F9"/>
    <w:rsid w:val="004A640A"/>
    <w:rsid w:val="004A67EE"/>
    <w:rsid w:val="004A6CC7"/>
    <w:rsid w:val="004A763C"/>
    <w:rsid w:val="004A7A7D"/>
    <w:rsid w:val="004A7E91"/>
    <w:rsid w:val="004A7F97"/>
    <w:rsid w:val="004B0638"/>
    <w:rsid w:val="004B0651"/>
    <w:rsid w:val="004B06C3"/>
    <w:rsid w:val="004B0CA8"/>
    <w:rsid w:val="004B120B"/>
    <w:rsid w:val="004B226D"/>
    <w:rsid w:val="004B297C"/>
    <w:rsid w:val="004B2DEC"/>
    <w:rsid w:val="004B3644"/>
    <w:rsid w:val="004B388F"/>
    <w:rsid w:val="004B3BDE"/>
    <w:rsid w:val="004B4A2C"/>
    <w:rsid w:val="004B50C4"/>
    <w:rsid w:val="004B555D"/>
    <w:rsid w:val="004B7653"/>
    <w:rsid w:val="004B7E32"/>
    <w:rsid w:val="004B7E58"/>
    <w:rsid w:val="004B7FDF"/>
    <w:rsid w:val="004C036F"/>
    <w:rsid w:val="004C0905"/>
    <w:rsid w:val="004C0F64"/>
    <w:rsid w:val="004C0FAE"/>
    <w:rsid w:val="004C1239"/>
    <w:rsid w:val="004C123D"/>
    <w:rsid w:val="004C150D"/>
    <w:rsid w:val="004C1836"/>
    <w:rsid w:val="004C18AA"/>
    <w:rsid w:val="004C31AF"/>
    <w:rsid w:val="004C3492"/>
    <w:rsid w:val="004C402F"/>
    <w:rsid w:val="004C403F"/>
    <w:rsid w:val="004C41C1"/>
    <w:rsid w:val="004C4BD7"/>
    <w:rsid w:val="004C509A"/>
    <w:rsid w:val="004C6011"/>
    <w:rsid w:val="004C606C"/>
    <w:rsid w:val="004C612F"/>
    <w:rsid w:val="004C6433"/>
    <w:rsid w:val="004C7005"/>
    <w:rsid w:val="004C730E"/>
    <w:rsid w:val="004D1AFD"/>
    <w:rsid w:val="004D2143"/>
    <w:rsid w:val="004D2983"/>
    <w:rsid w:val="004D30B0"/>
    <w:rsid w:val="004D445B"/>
    <w:rsid w:val="004D46F0"/>
    <w:rsid w:val="004D4D01"/>
    <w:rsid w:val="004D5A4C"/>
    <w:rsid w:val="004D5E44"/>
    <w:rsid w:val="004D6252"/>
    <w:rsid w:val="004D6B09"/>
    <w:rsid w:val="004D6CA5"/>
    <w:rsid w:val="004D6EC2"/>
    <w:rsid w:val="004D7300"/>
    <w:rsid w:val="004D756F"/>
    <w:rsid w:val="004D775A"/>
    <w:rsid w:val="004D79A9"/>
    <w:rsid w:val="004E0B73"/>
    <w:rsid w:val="004E10DA"/>
    <w:rsid w:val="004E28BE"/>
    <w:rsid w:val="004E2FCC"/>
    <w:rsid w:val="004E56CD"/>
    <w:rsid w:val="004E58FF"/>
    <w:rsid w:val="004E5908"/>
    <w:rsid w:val="004E5A62"/>
    <w:rsid w:val="004E69D0"/>
    <w:rsid w:val="004E6B38"/>
    <w:rsid w:val="004E7619"/>
    <w:rsid w:val="004E7A2D"/>
    <w:rsid w:val="004E7C13"/>
    <w:rsid w:val="004F04DF"/>
    <w:rsid w:val="004F0B2A"/>
    <w:rsid w:val="004F0BBB"/>
    <w:rsid w:val="004F1F49"/>
    <w:rsid w:val="004F206F"/>
    <w:rsid w:val="004F227C"/>
    <w:rsid w:val="004F2CA3"/>
    <w:rsid w:val="004F33E2"/>
    <w:rsid w:val="004F36A1"/>
    <w:rsid w:val="004F38BC"/>
    <w:rsid w:val="004F3904"/>
    <w:rsid w:val="004F3E4D"/>
    <w:rsid w:val="004F441F"/>
    <w:rsid w:val="004F53B5"/>
    <w:rsid w:val="004F57E1"/>
    <w:rsid w:val="004F58E6"/>
    <w:rsid w:val="004F5A33"/>
    <w:rsid w:val="004F5D70"/>
    <w:rsid w:val="004F6851"/>
    <w:rsid w:val="004F6AD8"/>
    <w:rsid w:val="004F7218"/>
    <w:rsid w:val="00500092"/>
    <w:rsid w:val="00500115"/>
    <w:rsid w:val="00500D6D"/>
    <w:rsid w:val="00501538"/>
    <w:rsid w:val="005040D6"/>
    <w:rsid w:val="005054C2"/>
    <w:rsid w:val="00505F42"/>
    <w:rsid w:val="00506F95"/>
    <w:rsid w:val="00507066"/>
    <w:rsid w:val="005100F7"/>
    <w:rsid w:val="00510AC5"/>
    <w:rsid w:val="00511F4D"/>
    <w:rsid w:val="00512275"/>
    <w:rsid w:val="005128B1"/>
    <w:rsid w:val="005142C7"/>
    <w:rsid w:val="0051459A"/>
    <w:rsid w:val="00515626"/>
    <w:rsid w:val="00515BCA"/>
    <w:rsid w:val="005162FD"/>
    <w:rsid w:val="00516615"/>
    <w:rsid w:val="00516AF6"/>
    <w:rsid w:val="00516EAF"/>
    <w:rsid w:val="00516F7A"/>
    <w:rsid w:val="00517426"/>
    <w:rsid w:val="00520232"/>
    <w:rsid w:val="00520950"/>
    <w:rsid w:val="00520ABC"/>
    <w:rsid w:val="00522191"/>
    <w:rsid w:val="00522601"/>
    <w:rsid w:val="00522735"/>
    <w:rsid w:val="00523735"/>
    <w:rsid w:val="0052415C"/>
    <w:rsid w:val="00524331"/>
    <w:rsid w:val="00524786"/>
    <w:rsid w:val="00524839"/>
    <w:rsid w:val="00524F55"/>
    <w:rsid w:val="0052574B"/>
    <w:rsid w:val="00526C19"/>
    <w:rsid w:val="005276B6"/>
    <w:rsid w:val="00527C2A"/>
    <w:rsid w:val="00527ECD"/>
    <w:rsid w:val="00530734"/>
    <w:rsid w:val="00530744"/>
    <w:rsid w:val="00531BD5"/>
    <w:rsid w:val="00532672"/>
    <w:rsid w:val="00532C58"/>
    <w:rsid w:val="00532CA4"/>
    <w:rsid w:val="00532F25"/>
    <w:rsid w:val="005330EC"/>
    <w:rsid w:val="00533A1D"/>
    <w:rsid w:val="00533E73"/>
    <w:rsid w:val="00534292"/>
    <w:rsid w:val="005346AE"/>
    <w:rsid w:val="00534E33"/>
    <w:rsid w:val="00535D52"/>
    <w:rsid w:val="00535FD9"/>
    <w:rsid w:val="00535FE2"/>
    <w:rsid w:val="005366B0"/>
    <w:rsid w:val="00537A0B"/>
    <w:rsid w:val="00537CD7"/>
    <w:rsid w:val="005403CA"/>
    <w:rsid w:val="00540D5E"/>
    <w:rsid w:val="00542702"/>
    <w:rsid w:val="00543359"/>
    <w:rsid w:val="00544334"/>
    <w:rsid w:val="005447A4"/>
    <w:rsid w:val="005452BA"/>
    <w:rsid w:val="005452CD"/>
    <w:rsid w:val="00545525"/>
    <w:rsid w:val="00545993"/>
    <w:rsid w:val="00545CF7"/>
    <w:rsid w:val="00546801"/>
    <w:rsid w:val="0054703C"/>
    <w:rsid w:val="00550DDF"/>
    <w:rsid w:val="00550FE3"/>
    <w:rsid w:val="0055170D"/>
    <w:rsid w:val="00551747"/>
    <w:rsid w:val="00551C45"/>
    <w:rsid w:val="00552551"/>
    <w:rsid w:val="00552EC2"/>
    <w:rsid w:val="00553951"/>
    <w:rsid w:val="00553D89"/>
    <w:rsid w:val="00553E71"/>
    <w:rsid w:val="00554271"/>
    <w:rsid w:val="005554CE"/>
    <w:rsid w:val="00555B17"/>
    <w:rsid w:val="00555B55"/>
    <w:rsid w:val="00555E8B"/>
    <w:rsid w:val="00556A8A"/>
    <w:rsid w:val="00557BB1"/>
    <w:rsid w:val="00557EEA"/>
    <w:rsid w:val="00560E83"/>
    <w:rsid w:val="00562E03"/>
    <w:rsid w:val="00563165"/>
    <w:rsid w:val="005633AD"/>
    <w:rsid w:val="005644B3"/>
    <w:rsid w:val="00564E3A"/>
    <w:rsid w:val="00564F6C"/>
    <w:rsid w:val="0056553D"/>
    <w:rsid w:val="00565D8D"/>
    <w:rsid w:val="00566465"/>
    <w:rsid w:val="00566995"/>
    <w:rsid w:val="00566B1A"/>
    <w:rsid w:val="005670F9"/>
    <w:rsid w:val="00567BDE"/>
    <w:rsid w:val="00567EB9"/>
    <w:rsid w:val="0057134D"/>
    <w:rsid w:val="00571B15"/>
    <w:rsid w:val="00571DC9"/>
    <w:rsid w:val="00572393"/>
    <w:rsid w:val="00572D07"/>
    <w:rsid w:val="00572E68"/>
    <w:rsid w:val="0057309F"/>
    <w:rsid w:val="005737DF"/>
    <w:rsid w:val="0057387C"/>
    <w:rsid w:val="005738CA"/>
    <w:rsid w:val="0057395F"/>
    <w:rsid w:val="00573B12"/>
    <w:rsid w:val="00574C12"/>
    <w:rsid w:val="00576C7E"/>
    <w:rsid w:val="005779B7"/>
    <w:rsid w:val="00577F02"/>
    <w:rsid w:val="00577FD2"/>
    <w:rsid w:val="00580185"/>
    <w:rsid w:val="005810A9"/>
    <w:rsid w:val="00582119"/>
    <w:rsid w:val="00582A1E"/>
    <w:rsid w:val="00583088"/>
    <w:rsid w:val="00583AEA"/>
    <w:rsid w:val="00583EC6"/>
    <w:rsid w:val="00584591"/>
    <w:rsid w:val="00584645"/>
    <w:rsid w:val="005846E4"/>
    <w:rsid w:val="0058481D"/>
    <w:rsid w:val="00584C31"/>
    <w:rsid w:val="00584D00"/>
    <w:rsid w:val="00584E89"/>
    <w:rsid w:val="0058501D"/>
    <w:rsid w:val="00585AB7"/>
    <w:rsid w:val="00585CBE"/>
    <w:rsid w:val="00585F14"/>
    <w:rsid w:val="00586CF1"/>
    <w:rsid w:val="00586FCD"/>
    <w:rsid w:val="005870C1"/>
    <w:rsid w:val="00587C72"/>
    <w:rsid w:val="0059039E"/>
    <w:rsid w:val="0059052E"/>
    <w:rsid w:val="00590B53"/>
    <w:rsid w:val="0059142D"/>
    <w:rsid w:val="005925A6"/>
    <w:rsid w:val="005925F3"/>
    <w:rsid w:val="00592A60"/>
    <w:rsid w:val="00592C45"/>
    <w:rsid w:val="0059359C"/>
    <w:rsid w:val="005937A7"/>
    <w:rsid w:val="00593C9C"/>
    <w:rsid w:val="005942D7"/>
    <w:rsid w:val="00594511"/>
    <w:rsid w:val="00595113"/>
    <w:rsid w:val="00595198"/>
    <w:rsid w:val="00595C89"/>
    <w:rsid w:val="00595E7A"/>
    <w:rsid w:val="00596472"/>
    <w:rsid w:val="005965F1"/>
    <w:rsid w:val="0059662A"/>
    <w:rsid w:val="00596677"/>
    <w:rsid w:val="005971CC"/>
    <w:rsid w:val="00597287"/>
    <w:rsid w:val="00597AD6"/>
    <w:rsid w:val="00597B8F"/>
    <w:rsid w:val="00597EDA"/>
    <w:rsid w:val="005A1E82"/>
    <w:rsid w:val="005A2D14"/>
    <w:rsid w:val="005A32FA"/>
    <w:rsid w:val="005A38D6"/>
    <w:rsid w:val="005A401E"/>
    <w:rsid w:val="005A4CAD"/>
    <w:rsid w:val="005A5EE6"/>
    <w:rsid w:val="005A6629"/>
    <w:rsid w:val="005A6978"/>
    <w:rsid w:val="005A7052"/>
    <w:rsid w:val="005A7E35"/>
    <w:rsid w:val="005B0198"/>
    <w:rsid w:val="005B0984"/>
    <w:rsid w:val="005B1A69"/>
    <w:rsid w:val="005B1D53"/>
    <w:rsid w:val="005B1F5D"/>
    <w:rsid w:val="005B353D"/>
    <w:rsid w:val="005B3B5C"/>
    <w:rsid w:val="005B3E62"/>
    <w:rsid w:val="005B5707"/>
    <w:rsid w:val="005B5B76"/>
    <w:rsid w:val="005B5B9F"/>
    <w:rsid w:val="005B7002"/>
    <w:rsid w:val="005B714D"/>
    <w:rsid w:val="005B7474"/>
    <w:rsid w:val="005B7B74"/>
    <w:rsid w:val="005B7B9A"/>
    <w:rsid w:val="005B7E37"/>
    <w:rsid w:val="005B7ED2"/>
    <w:rsid w:val="005C092A"/>
    <w:rsid w:val="005C1831"/>
    <w:rsid w:val="005C1D6E"/>
    <w:rsid w:val="005C1F6E"/>
    <w:rsid w:val="005C2A14"/>
    <w:rsid w:val="005C4036"/>
    <w:rsid w:val="005C45BB"/>
    <w:rsid w:val="005C519D"/>
    <w:rsid w:val="005C541A"/>
    <w:rsid w:val="005C5D48"/>
    <w:rsid w:val="005C5D53"/>
    <w:rsid w:val="005C60E1"/>
    <w:rsid w:val="005C63AD"/>
    <w:rsid w:val="005C651C"/>
    <w:rsid w:val="005C6561"/>
    <w:rsid w:val="005C6B7E"/>
    <w:rsid w:val="005C786A"/>
    <w:rsid w:val="005C796C"/>
    <w:rsid w:val="005C7B49"/>
    <w:rsid w:val="005D0C9E"/>
    <w:rsid w:val="005D1071"/>
    <w:rsid w:val="005D21C1"/>
    <w:rsid w:val="005D2437"/>
    <w:rsid w:val="005D27FE"/>
    <w:rsid w:val="005D2BF8"/>
    <w:rsid w:val="005D340D"/>
    <w:rsid w:val="005D43E6"/>
    <w:rsid w:val="005D478F"/>
    <w:rsid w:val="005D47C8"/>
    <w:rsid w:val="005D4A5E"/>
    <w:rsid w:val="005D4B10"/>
    <w:rsid w:val="005D535B"/>
    <w:rsid w:val="005D5701"/>
    <w:rsid w:val="005D6095"/>
    <w:rsid w:val="005D612A"/>
    <w:rsid w:val="005D665B"/>
    <w:rsid w:val="005D6812"/>
    <w:rsid w:val="005D6F14"/>
    <w:rsid w:val="005D7415"/>
    <w:rsid w:val="005D79DE"/>
    <w:rsid w:val="005E0008"/>
    <w:rsid w:val="005E08CE"/>
    <w:rsid w:val="005E10E2"/>
    <w:rsid w:val="005E2127"/>
    <w:rsid w:val="005E288E"/>
    <w:rsid w:val="005E46DA"/>
    <w:rsid w:val="005E4ACA"/>
    <w:rsid w:val="005E5079"/>
    <w:rsid w:val="005E5B33"/>
    <w:rsid w:val="005E5BCB"/>
    <w:rsid w:val="005E5E0B"/>
    <w:rsid w:val="005E66C0"/>
    <w:rsid w:val="005E712D"/>
    <w:rsid w:val="005F07DE"/>
    <w:rsid w:val="005F07F8"/>
    <w:rsid w:val="005F0C63"/>
    <w:rsid w:val="005F0DFC"/>
    <w:rsid w:val="005F1347"/>
    <w:rsid w:val="005F2554"/>
    <w:rsid w:val="005F2987"/>
    <w:rsid w:val="005F2F5C"/>
    <w:rsid w:val="005F36E5"/>
    <w:rsid w:val="005F42D0"/>
    <w:rsid w:val="005F5397"/>
    <w:rsid w:val="005F5783"/>
    <w:rsid w:val="005F58EB"/>
    <w:rsid w:val="005F621B"/>
    <w:rsid w:val="005F76CA"/>
    <w:rsid w:val="005F7E6D"/>
    <w:rsid w:val="005F7FDD"/>
    <w:rsid w:val="00600B38"/>
    <w:rsid w:val="00600E8E"/>
    <w:rsid w:val="00601071"/>
    <w:rsid w:val="00601EE9"/>
    <w:rsid w:val="00602AF0"/>
    <w:rsid w:val="00602BA8"/>
    <w:rsid w:val="00603218"/>
    <w:rsid w:val="006032D1"/>
    <w:rsid w:val="00604564"/>
    <w:rsid w:val="00604C5C"/>
    <w:rsid w:val="006059AA"/>
    <w:rsid w:val="00605B35"/>
    <w:rsid w:val="00605D62"/>
    <w:rsid w:val="00606AD8"/>
    <w:rsid w:val="006077A1"/>
    <w:rsid w:val="006108C2"/>
    <w:rsid w:val="00610BD1"/>
    <w:rsid w:val="006111E5"/>
    <w:rsid w:val="006113D9"/>
    <w:rsid w:val="00611537"/>
    <w:rsid w:val="00611EC6"/>
    <w:rsid w:val="00613279"/>
    <w:rsid w:val="006132AA"/>
    <w:rsid w:val="006134FD"/>
    <w:rsid w:val="00613A92"/>
    <w:rsid w:val="0061477C"/>
    <w:rsid w:val="00614854"/>
    <w:rsid w:val="006152D3"/>
    <w:rsid w:val="00616E37"/>
    <w:rsid w:val="00617806"/>
    <w:rsid w:val="00620857"/>
    <w:rsid w:val="006208C3"/>
    <w:rsid w:val="00620A89"/>
    <w:rsid w:val="006211C7"/>
    <w:rsid w:val="0062134C"/>
    <w:rsid w:val="00622095"/>
    <w:rsid w:val="0062287C"/>
    <w:rsid w:val="0062367F"/>
    <w:rsid w:val="006238CC"/>
    <w:rsid w:val="00623D90"/>
    <w:rsid w:val="00624AE7"/>
    <w:rsid w:val="00624C1B"/>
    <w:rsid w:val="00624C8D"/>
    <w:rsid w:val="0062564C"/>
    <w:rsid w:val="00625B5C"/>
    <w:rsid w:val="00627C3F"/>
    <w:rsid w:val="006304C7"/>
    <w:rsid w:val="00630FD2"/>
    <w:rsid w:val="006313AE"/>
    <w:rsid w:val="00631BE9"/>
    <w:rsid w:val="0063238F"/>
    <w:rsid w:val="00632CC4"/>
    <w:rsid w:val="0063344A"/>
    <w:rsid w:val="00633582"/>
    <w:rsid w:val="0063389D"/>
    <w:rsid w:val="00634149"/>
    <w:rsid w:val="006347CE"/>
    <w:rsid w:val="006348BE"/>
    <w:rsid w:val="00634FFB"/>
    <w:rsid w:val="006355EF"/>
    <w:rsid w:val="0063573D"/>
    <w:rsid w:val="00635E4B"/>
    <w:rsid w:val="00635F53"/>
    <w:rsid w:val="00636019"/>
    <w:rsid w:val="0063601C"/>
    <w:rsid w:val="00637186"/>
    <w:rsid w:val="00637250"/>
    <w:rsid w:val="00637330"/>
    <w:rsid w:val="006400CC"/>
    <w:rsid w:val="006402B7"/>
    <w:rsid w:val="006406C5"/>
    <w:rsid w:val="0064110D"/>
    <w:rsid w:val="00641954"/>
    <w:rsid w:val="006426E0"/>
    <w:rsid w:val="00643A94"/>
    <w:rsid w:val="00643BE3"/>
    <w:rsid w:val="00643CA1"/>
    <w:rsid w:val="00644A37"/>
    <w:rsid w:val="00644BDA"/>
    <w:rsid w:val="0064640E"/>
    <w:rsid w:val="006466E4"/>
    <w:rsid w:val="00646BCF"/>
    <w:rsid w:val="006475D4"/>
    <w:rsid w:val="00647AA2"/>
    <w:rsid w:val="00647C19"/>
    <w:rsid w:val="00647E41"/>
    <w:rsid w:val="00650EE8"/>
    <w:rsid w:val="0065138A"/>
    <w:rsid w:val="0065147D"/>
    <w:rsid w:val="00651B7F"/>
    <w:rsid w:val="00651EDB"/>
    <w:rsid w:val="00652A04"/>
    <w:rsid w:val="006531FD"/>
    <w:rsid w:val="00653521"/>
    <w:rsid w:val="00654254"/>
    <w:rsid w:val="00655ED9"/>
    <w:rsid w:val="006561C4"/>
    <w:rsid w:val="00656C74"/>
    <w:rsid w:val="00656F0B"/>
    <w:rsid w:val="0065797B"/>
    <w:rsid w:val="00657A3A"/>
    <w:rsid w:val="006603E2"/>
    <w:rsid w:val="00660AEF"/>
    <w:rsid w:val="00660CFB"/>
    <w:rsid w:val="00662970"/>
    <w:rsid w:val="00662C31"/>
    <w:rsid w:val="00663459"/>
    <w:rsid w:val="00663775"/>
    <w:rsid w:val="006637F3"/>
    <w:rsid w:val="00663C63"/>
    <w:rsid w:val="00664995"/>
    <w:rsid w:val="0066512C"/>
    <w:rsid w:val="006659B9"/>
    <w:rsid w:val="006667EC"/>
    <w:rsid w:val="00666B0D"/>
    <w:rsid w:val="00666F06"/>
    <w:rsid w:val="006670A4"/>
    <w:rsid w:val="00667F19"/>
    <w:rsid w:val="006700E2"/>
    <w:rsid w:val="006702A8"/>
    <w:rsid w:val="00670394"/>
    <w:rsid w:val="006719EC"/>
    <w:rsid w:val="00671D24"/>
    <w:rsid w:val="00671EC1"/>
    <w:rsid w:val="00672029"/>
    <w:rsid w:val="00672040"/>
    <w:rsid w:val="00672B0B"/>
    <w:rsid w:val="00674920"/>
    <w:rsid w:val="006749F9"/>
    <w:rsid w:val="006752D4"/>
    <w:rsid w:val="006757AB"/>
    <w:rsid w:val="00675974"/>
    <w:rsid w:val="00675B7B"/>
    <w:rsid w:val="00675EE6"/>
    <w:rsid w:val="006760F1"/>
    <w:rsid w:val="0067620E"/>
    <w:rsid w:val="00676386"/>
    <w:rsid w:val="006766BB"/>
    <w:rsid w:val="00676ABA"/>
    <w:rsid w:val="00676B34"/>
    <w:rsid w:val="00676F44"/>
    <w:rsid w:val="0067727A"/>
    <w:rsid w:val="0067796F"/>
    <w:rsid w:val="00677AEA"/>
    <w:rsid w:val="00677D3D"/>
    <w:rsid w:val="00680587"/>
    <w:rsid w:val="00682678"/>
    <w:rsid w:val="006827FB"/>
    <w:rsid w:val="00682AAE"/>
    <w:rsid w:val="00683631"/>
    <w:rsid w:val="00683700"/>
    <w:rsid w:val="00683B60"/>
    <w:rsid w:val="00683D35"/>
    <w:rsid w:val="00683E63"/>
    <w:rsid w:val="00684343"/>
    <w:rsid w:val="0068480B"/>
    <w:rsid w:val="00685176"/>
    <w:rsid w:val="006853E6"/>
    <w:rsid w:val="00685578"/>
    <w:rsid w:val="00685A9B"/>
    <w:rsid w:val="00685B13"/>
    <w:rsid w:val="00686899"/>
    <w:rsid w:val="0068703B"/>
    <w:rsid w:val="00687281"/>
    <w:rsid w:val="00691786"/>
    <w:rsid w:val="006917DF"/>
    <w:rsid w:val="00691B2C"/>
    <w:rsid w:val="00691BE0"/>
    <w:rsid w:val="00691FD8"/>
    <w:rsid w:val="00692E50"/>
    <w:rsid w:val="00693FF2"/>
    <w:rsid w:val="00694B56"/>
    <w:rsid w:val="00694C1A"/>
    <w:rsid w:val="0069563F"/>
    <w:rsid w:val="00695826"/>
    <w:rsid w:val="0069683B"/>
    <w:rsid w:val="00697F71"/>
    <w:rsid w:val="006A096C"/>
    <w:rsid w:val="006A0B30"/>
    <w:rsid w:val="006A0E00"/>
    <w:rsid w:val="006A1229"/>
    <w:rsid w:val="006A1D24"/>
    <w:rsid w:val="006A2648"/>
    <w:rsid w:val="006A3799"/>
    <w:rsid w:val="006A5552"/>
    <w:rsid w:val="006A5671"/>
    <w:rsid w:val="006A6363"/>
    <w:rsid w:val="006A6448"/>
    <w:rsid w:val="006A6DE9"/>
    <w:rsid w:val="006A6FBD"/>
    <w:rsid w:val="006A70FE"/>
    <w:rsid w:val="006B022B"/>
    <w:rsid w:val="006B061C"/>
    <w:rsid w:val="006B095A"/>
    <w:rsid w:val="006B0B26"/>
    <w:rsid w:val="006B132A"/>
    <w:rsid w:val="006B1349"/>
    <w:rsid w:val="006B19AD"/>
    <w:rsid w:val="006B19D1"/>
    <w:rsid w:val="006B1DCF"/>
    <w:rsid w:val="006B211E"/>
    <w:rsid w:val="006B2481"/>
    <w:rsid w:val="006B2700"/>
    <w:rsid w:val="006B2F75"/>
    <w:rsid w:val="006B57C6"/>
    <w:rsid w:val="006B69B0"/>
    <w:rsid w:val="006B70F2"/>
    <w:rsid w:val="006B7D40"/>
    <w:rsid w:val="006B7DD8"/>
    <w:rsid w:val="006C004B"/>
    <w:rsid w:val="006C01F6"/>
    <w:rsid w:val="006C0643"/>
    <w:rsid w:val="006C065F"/>
    <w:rsid w:val="006C079A"/>
    <w:rsid w:val="006C0954"/>
    <w:rsid w:val="006C172A"/>
    <w:rsid w:val="006C18B9"/>
    <w:rsid w:val="006C1962"/>
    <w:rsid w:val="006C2CA4"/>
    <w:rsid w:val="006C2DC3"/>
    <w:rsid w:val="006C3026"/>
    <w:rsid w:val="006C3943"/>
    <w:rsid w:val="006C4C33"/>
    <w:rsid w:val="006C4C7E"/>
    <w:rsid w:val="006C4CCA"/>
    <w:rsid w:val="006C5503"/>
    <w:rsid w:val="006C55F1"/>
    <w:rsid w:val="006C5E85"/>
    <w:rsid w:val="006C64E5"/>
    <w:rsid w:val="006C65FA"/>
    <w:rsid w:val="006C6701"/>
    <w:rsid w:val="006C6C70"/>
    <w:rsid w:val="006C704E"/>
    <w:rsid w:val="006C751B"/>
    <w:rsid w:val="006C7693"/>
    <w:rsid w:val="006D0B77"/>
    <w:rsid w:val="006D1D58"/>
    <w:rsid w:val="006D2FEE"/>
    <w:rsid w:val="006D3A54"/>
    <w:rsid w:val="006D4092"/>
    <w:rsid w:val="006D4399"/>
    <w:rsid w:val="006D44E1"/>
    <w:rsid w:val="006D4893"/>
    <w:rsid w:val="006D5015"/>
    <w:rsid w:val="006D6B14"/>
    <w:rsid w:val="006D7128"/>
    <w:rsid w:val="006D7368"/>
    <w:rsid w:val="006D76D4"/>
    <w:rsid w:val="006E2FD6"/>
    <w:rsid w:val="006E32F5"/>
    <w:rsid w:val="006E3EC6"/>
    <w:rsid w:val="006E3F30"/>
    <w:rsid w:val="006E4718"/>
    <w:rsid w:val="006E4CF4"/>
    <w:rsid w:val="006E5165"/>
    <w:rsid w:val="006E5438"/>
    <w:rsid w:val="006E56F5"/>
    <w:rsid w:val="006E585C"/>
    <w:rsid w:val="006E67CB"/>
    <w:rsid w:val="006E6972"/>
    <w:rsid w:val="006E7EA9"/>
    <w:rsid w:val="006F0384"/>
    <w:rsid w:val="006F115D"/>
    <w:rsid w:val="006F1AA8"/>
    <w:rsid w:val="006F1ED7"/>
    <w:rsid w:val="006F23CD"/>
    <w:rsid w:val="006F306B"/>
    <w:rsid w:val="006F33C8"/>
    <w:rsid w:val="006F3CC7"/>
    <w:rsid w:val="006F5915"/>
    <w:rsid w:val="006F59AE"/>
    <w:rsid w:val="006F5BD4"/>
    <w:rsid w:val="006F5BF5"/>
    <w:rsid w:val="006F6280"/>
    <w:rsid w:val="006F64A0"/>
    <w:rsid w:val="006F6B8F"/>
    <w:rsid w:val="006F70D0"/>
    <w:rsid w:val="006F7CF0"/>
    <w:rsid w:val="0070045E"/>
    <w:rsid w:val="00701119"/>
    <w:rsid w:val="00701402"/>
    <w:rsid w:val="00701A3B"/>
    <w:rsid w:val="00701F8A"/>
    <w:rsid w:val="0070259B"/>
    <w:rsid w:val="00702625"/>
    <w:rsid w:val="007035F9"/>
    <w:rsid w:val="00703C89"/>
    <w:rsid w:val="0070477A"/>
    <w:rsid w:val="007048B6"/>
    <w:rsid w:val="00704BC6"/>
    <w:rsid w:val="007056ED"/>
    <w:rsid w:val="00706C3D"/>
    <w:rsid w:val="00707139"/>
    <w:rsid w:val="007072BD"/>
    <w:rsid w:val="007100A3"/>
    <w:rsid w:val="00710745"/>
    <w:rsid w:val="00710BB7"/>
    <w:rsid w:val="00710DEF"/>
    <w:rsid w:val="0071176C"/>
    <w:rsid w:val="00711C46"/>
    <w:rsid w:val="0071228A"/>
    <w:rsid w:val="0071286C"/>
    <w:rsid w:val="00712DA9"/>
    <w:rsid w:val="007135E2"/>
    <w:rsid w:val="00713846"/>
    <w:rsid w:val="00713916"/>
    <w:rsid w:val="007139E7"/>
    <w:rsid w:val="00713B31"/>
    <w:rsid w:val="00714388"/>
    <w:rsid w:val="0071461C"/>
    <w:rsid w:val="007148E9"/>
    <w:rsid w:val="00714A75"/>
    <w:rsid w:val="00714C30"/>
    <w:rsid w:val="0071509E"/>
    <w:rsid w:val="00715976"/>
    <w:rsid w:val="00715C4E"/>
    <w:rsid w:val="00716665"/>
    <w:rsid w:val="007168A7"/>
    <w:rsid w:val="00716ED8"/>
    <w:rsid w:val="0071729A"/>
    <w:rsid w:val="00717951"/>
    <w:rsid w:val="00721716"/>
    <w:rsid w:val="00721D27"/>
    <w:rsid w:val="007220D5"/>
    <w:rsid w:val="0072220D"/>
    <w:rsid w:val="007235CE"/>
    <w:rsid w:val="00723618"/>
    <w:rsid w:val="007237C3"/>
    <w:rsid w:val="0072489F"/>
    <w:rsid w:val="00724FB4"/>
    <w:rsid w:val="0072581B"/>
    <w:rsid w:val="0072601E"/>
    <w:rsid w:val="00726193"/>
    <w:rsid w:val="007263DD"/>
    <w:rsid w:val="00727085"/>
    <w:rsid w:val="00730608"/>
    <w:rsid w:val="00730C79"/>
    <w:rsid w:val="00731DB3"/>
    <w:rsid w:val="0073309C"/>
    <w:rsid w:val="00733CD4"/>
    <w:rsid w:val="007344EA"/>
    <w:rsid w:val="00734F3A"/>
    <w:rsid w:val="007356BC"/>
    <w:rsid w:val="00735B88"/>
    <w:rsid w:val="007360FC"/>
    <w:rsid w:val="00736A49"/>
    <w:rsid w:val="00736DB5"/>
    <w:rsid w:val="00736E46"/>
    <w:rsid w:val="00736FFB"/>
    <w:rsid w:val="00737902"/>
    <w:rsid w:val="00737B97"/>
    <w:rsid w:val="00737EE7"/>
    <w:rsid w:val="0074062C"/>
    <w:rsid w:val="0074071D"/>
    <w:rsid w:val="00740C38"/>
    <w:rsid w:val="0074155A"/>
    <w:rsid w:val="0074194A"/>
    <w:rsid w:val="007422E4"/>
    <w:rsid w:val="00743473"/>
    <w:rsid w:val="00744EEE"/>
    <w:rsid w:val="00745B5B"/>
    <w:rsid w:val="00746193"/>
    <w:rsid w:val="00747191"/>
    <w:rsid w:val="007505D7"/>
    <w:rsid w:val="0075073F"/>
    <w:rsid w:val="007507D5"/>
    <w:rsid w:val="007510B7"/>
    <w:rsid w:val="007510D1"/>
    <w:rsid w:val="00751148"/>
    <w:rsid w:val="00751445"/>
    <w:rsid w:val="00751558"/>
    <w:rsid w:val="00751690"/>
    <w:rsid w:val="0075263A"/>
    <w:rsid w:val="00753565"/>
    <w:rsid w:val="00753AE5"/>
    <w:rsid w:val="00755126"/>
    <w:rsid w:val="00755677"/>
    <w:rsid w:val="0075685F"/>
    <w:rsid w:val="00757489"/>
    <w:rsid w:val="00757779"/>
    <w:rsid w:val="00762499"/>
    <w:rsid w:val="007627C2"/>
    <w:rsid w:val="00762F0C"/>
    <w:rsid w:val="0076394B"/>
    <w:rsid w:val="00763D44"/>
    <w:rsid w:val="007640C4"/>
    <w:rsid w:val="007649B4"/>
    <w:rsid w:val="00765106"/>
    <w:rsid w:val="0076687B"/>
    <w:rsid w:val="00766AE5"/>
    <w:rsid w:val="00767FA8"/>
    <w:rsid w:val="00770406"/>
    <w:rsid w:val="00770AAC"/>
    <w:rsid w:val="00770E60"/>
    <w:rsid w:val="00771258"/>
    <w:rsid w:val="007714F4"/>
    <w:rsid w:val="00771990"/>
    <w:rsid w:val="00772BA1"/>
    <w:rsid w:val="007741F5"/>
    <w:rsid w:val="007757AE"/>
    <w:rsid w:val="0077725D"/>
    <w:rsid w:val="0077779E"/>
    <w:rsid w:val="00777AD6"/>
    <w:rsid w:val="00777C7B"/>
    <w:rsid w:val="007804C3"/>
    <w:rsid w:val="00780A7D"/>
    <w:rsid w:val="00780B04"/>
    <w:rsid w:val="00781844"/>
    <w:rsid w:val="00781D22"/>
    <w:rsid w:val="00781F43"/>
    <w:rsid w:val="007824DC"/>
    <w:rsid w:val="007835DC"/>
    <w:rsid w:val="0078365B"/>
    <w:rsid w:val="007837BC"/>
    <w:rsid w:val="00783A69"/>
    <w:rsid w:val="00783AFE"/>
    <w:rsid w:val="00783F89"/>
    <w:rsid w:val="007840C2"/>
    <w:rsid w:val="007842CD"/>
    <w:rsid w:val="007842DA"/>
    <w:rsid w:val="00784410"/>
    <w:rsid w:val="00785163"/>
    <w:rsid w:val="00785D92"/>
    <w:rsid w:val="00786A23"/>
    <w:rsid w:val="00786B11"/>
    <w:rsid w:val="00786D77"/>
    <w:rsid w:val="00786FD3"/>
    <w:rsid w:val="00787104"/>
    <w:rsid w:val="0078726A"/>
    <w:rsid w:val="00787EEC"/>
    <w:rsid w:val="007908F6"/>
    <w:rsid w:val="00790954"/>
    <w:rsid w:val="00792509"/>
    <w:rsid w:val="00792670"/>
    <w:rsid w:val="00793352"/>
    <w:rsid w:val="007937EE"/>
    <w:rsid w:val="007945DC"/>
    <w:rsid w:val="00794E03"/>
    <w:rsid w:val="00794FF2"/>
    <w:rsid w:val="00795083"/>
    <w:rsid w:val="0079522F"/>
    <w:rsid w:val="0079548D"/>
    <w:rsid w:val="007954C8"/>
    <w:rsid w:val="007960E9"/>
    <w:rsid w:val="00796100"/>
    <w:rsid w:val="00797295"/>
    <w:rsid w:val="007972DE"/>
    <w:rsid w:val="0079752E"/>
    <w:rsid w:val="007A0044"/>
    <w:rsid w:val="007A1004"/>
    <w:rsid w:val="007A115B"/>
    <w:rsid w:val="007A117C"/>
    <w:rsid w:val="007A2152"/>
    <w:rsid w:val="007A2B2B"/>
    <w:rsid w:val="007A3731"/>
    <w:rsid w:val="007A43D5"/>
    <w:rsid w:val="007A4BA7"/>
    <w:rsid w:val="007A5AE4"/>
    <w:rsid w:val="007A5B9A"/>
    <w:rsid w:val="007A61BD"/>
    <w:rsid w:val="007A622D"/>
    <w:rsid w:val="007A6391"/>
    <w:rsid w:val="007A6836"/>
    <w:rsid w:val="007A7403"/>
    <w:rsid w:val="007A7776"/>
    <w:rsid w:val="007A789E"/>
    <w:rsid w:val="007A7E16"/>
    <w:rsid w:val="007B0739"/>
    <w:rsid w:val="007B0EAF"/>
    <w:rsid w:val="007B0F37"/>
    <w:rsid w:val="007B137D"/>
    <w:rsid w:val="007B15B4"/>
    <w:rsid w:val="007B17B9"/>
    <w:rsid w:val="007B32EC"/>
    <w:rsid w:val="007B46EF"/>
    <w:rsid w:val="007B57AC"/>
    <w:rsid w:val="007B59B3"/>
    <w:rsid w:val="007B59B6"/>
    <w:rsid w:val="007B5AAF"/>
    <w:rsid w:val="007B663B"/>
    <w:rsid w:val="007B72C7"/>
    <w:rsid w:val="007C0017"/>
    <w:rsid w:val="007C02FF"/>
    <w:rsid w:val="007C06F4"/>
    <w:rsid w:val="007C2497"/>
    <w:rsid w:val="007C390E"/>
    <w:rsid w:val="007C3A13"/>
    <w:rsid w:val="007C4167"/>
    <w:rsid w:val="007C4667"/>
    <w:rsid w:val="007C526C"/>
    <w:rsid w:val="007C5BE2"/>
    <w:rsid w:val="007C5DED"/>
    <w:rsid w:val="007C5FC2"/>
    <w:rsid w:val="007C62B6"/>
    <w:rsid w:val="007C6EC6"/>
    <w:rsid w:val="007C70EA"/>
    <w:rsid w:val="007C75BB"/>
    <w:rsid w:val="007D0097"/>
    <w:rsid w:val="007D044E"/>
    <w:rsid w:val="007D06E8"/>
    <w:rsid w:val="007D0A8F"/>
    <w:rsid w:val="007D0B38"/>
    <w:rsid w:val="007D1A7A"/>
    <w:rsid w:val="007D1E7A"/>
    <w:rsid w:val="007D315F"/>
    <w:rsid w:val="007D43D4"/>
    <w:rsid w:val="007D448B"/>
    <w:rsid w:val="007D546D"/>
    <w:rsid w:val="007D57A9"/>
    <w:rsid w:val="007D59D2"/>
    <w:rsid w:val="007D71AB"/>
    <w:rsid w:val="007D71C0"/>
    <w:rsid w:val="007E005A"/>
    <w:rsid w:val="007E0653"/>
    <w:rsid w:val="007E08CF"/>
    <w:rsid w:val="007E1113"/>
    <w:rsid w:val="007E1783"/>
    <w:rsid w:val="007E1A4D"/>
    <w:rsid w:val="007E2C86"/>
    <w:rsid w:val="007E2EF8"/>
    <w:rsid w:val="007E31CB"/>
    <w:rsid w:val="007E3B8A"/>
    <w:rsid w:val="007E3BE4"/>
    <w:rsid w:val="007E4DC3"/>
    <w:rsid w:val="007E555F"/>
    <w:rsid w:val="007E5D5F"/>
    <w:rsid w:val="007E5FDE"/>
    <w:rsid w:val="007E6B0B"/>
    <w:rsid w:val="007E768A"/>
    <w:rsid w:val="007E79D7"/>
    <w:rsid w:val="007F0125"/>
    <w:rsid w:val="007F065E"/>
    <w:rsid w:val="007F07AE"/>
    <w:rsid w:val="007F0876"/>
    <w:rsid w:val="007F09D8"/>
    <w:rsid w:val="007F0B08"/>
    <w:rsid w:val="007F2B9A"/>
    <w:rsid w:val="007F32BB"/>
    <w:rsid w:val="007F358D"/>
    <w:rsid w:val="007F421F"/>
    <w:rsid w:val="007F4FE4"/>
    <w:rsid w:val="007F58D1"/>
    <w:rsid w:val="007F5BD6"/>
    <w:rsid w:val="007F5DBA"/>
    <w:rsid w:val="007F6D25"/>
    <w:rsid w:val="007F72FF"/>
    <w:rsid w:val="007F7607"/>
    <w:rsid w:val="007F7B48"/>
    <w:rsid w:val="00801082"/>
    <w:rsid w:val="00801438"/>
    <w:rsid w:val="00801466"/>
    <w:rsid w:val="00801505"/>
    <w:rsid w:val="0080151A"/>
    <w:rsid w:val="00801B0F"/>
    <w:rsid w:val="008029D6"/>
    <w:rsid w:val="00805A13"/>
    <w:rsid w:val="00806753"/>
    <w:rsid w:val="00806C63"/>
    <w:rsid w:val="00807669"/>
    <w:rsid w:val="0080785F"/>
    <w:rsid w:val="00807CA5"/>
    <w:rsid w:val="00807D70"/>
    <w:rsid w:val="0081048E"/>
    <w:rsid w:val="00810631"/>
    <w:rsid w:val="00810F6C"/>
    <w:rsid w:val="008111FF"/>
    <w:rsid w:val="00811869"/>
    <w:rsid w:val="00811C17"/>
    <w:rsid w:val="00812474"/>
    <w:rsid w:val="0081257A"/>
    <w:rsid w:val="00812B0D"/>
    <w:rsid w:val="00812BAE"/>
    <w:rsid w:val="00813198"/>
    <w:rsid w:val="00813683"/>
    <w:rsid w:val="00814595"/>
    <w:rsid w:val="008145DB"/>
    <w:rsid w:val="00814A48"/>
    <w:rsid w:val="00814BDD"/>
    <w:rsid w:val="008151F7"/>
    <w:rsid w:val="00815ABF"/>
    <w:rsid w:val="00815FB2"/>
    <w:rsid w:val="00816E32"/>
    <w:rsid w:val="00816EB4"/>
    <w:rsid w:val="008171DD"/>
    <w:rsid w:val="00817344"/>
    <w:rsid w:val="00817427"/>
    <w:rsid w:val="00817CD2"/>
    <w:rsid w:val="008205A1"/>
    <w:rsid w:val="00820F54"/>
    <w:rsid w:val="00821254"/>
    <w:rsid w:val="00821472"/>
    <w:rsid w:val="00822372"/>
    <w:rsid w:val="00822832"/>
    <w:rsid w:val="00823611"/>
    <w:rsid w:val="00823BC4"/>
    <w:rsid w:val="008246C5"/>
    <w:rsid w:val="00825755"/>
    <w:rsid w:val="00825A58"/>
    <w:rsid w:val="00825AE9"/>
    <w:rsid w:val="00825E73"/>
    <w:rsid w:val="008275CC"/>
    <w:rsid w:val="008276DE"/>
    <w:rsid w:val="008278A5"/>
    <w:rsid w:val="008304FD"/>
    <w:rsid w:val="00830AFF"/>
    <w:rsid w:val="00830BF7"/>
    <w:rsid w:val="00830F32"/>
    <w:rsid w:val="00831265"/>
    <w:rsid w:val="00832239"/>
    <w:rsid w:val="008323A4"/>
    <w:rsid w:val="00832E16"/>
    <w:rsid w:val="00833995"/>
    <w:rsid w:val="00834479"/>
    <w:rsid w:val="00834ECE"/>
    <w:rsid w:val="00834FAC"/>
    <w:rsid w:val="008356E2"/>
    <w:rsid w:val="00836326"/>
    <w:rsid w:val="0083634C"/>
    <w:rsid w:val="0083667D"/>
    <w:rsid w:val="00837B21"/>
    <w:rsid w:val="0084062E"/>
    <w:rsid w:val="00840FDA"/>
    <w:rsid w:val="008412F4"/>
    <w:rsid w:val="00841976"/>
    <w:rsid w:val="0084199A"/>
    <w:rsid w:val="00841A34"/>
    <w:rsid w:val="008433F0"/>
    <w:rsid w:val="008437D6"/>
    <w:rsid w:val="00843C9A"/>
    <w:rsid w:val="00844193"/>
    <w:rsid w:val="00844794"/>
    <w:rsid w:val="00844DA0"/>
    <w:rsid w:val="008467DC"/>
    <w:rsid w:val="00846AED"/>
    <w:rsid w:val="00847F65"/>
    <w:rsid w:val="008501B8"/>
    <w:rsid w:val="00850ADB"/>
    <w:rsid w:val="00850FFA"/>
    <w:rsid w:val="00851CDC"/>
    <w:rsid w:val="00852406"/>
    <w:rsid w:val="008526CF"/>
    <w:rsid w:val="00852FC6"/>
    <w:rsid w:val="00853336"/>
    <w:rsid w:val="00853578"/>
    <w:rsid w:val="00853ADE"/>
    <w:rsid w:val="00854856"/>
    <w:rsid w:val="00854C21"/>
    <w:rsid w:val="0085542B"/>
    <w:rsid w:val="00855677"/>
    <w:rsid w:val="00855C2B"/>
    <w:rsid w:val="0085644D"/>
    <w:rsid w:val="008571BC"/>
    <w:rsid w:val="008575CE"/>
    <w:rsid w:val="00860B24"/>
    <w:rsid w:val="00861248"/>
    <w:rsid w:val="008613E7"/>
    <w:rsid w:val="0086419E"/>
    <w:rsid w:val="008641AA"/>
    <w:rsid w:val="00864C51"/>
    <w:rsid w:val="00864E41"/>
    <w:rsid w:val="00865067"/>
    <w:rsid w:val="008665B8"/>
    <w:rsid w:val="008672A0"/>
    <w:rsid w:val="00867B17"/>
    <w:rsid w:val="00867F8E"/>
    <w:rsid w:val="0087155F"/>
    <w:rsid w:val="00871672"/>
    <w:rsid w:val="00871E50"/>
    <w:rsid w:val="00871F60"/>
    <w:rsid w:val="0087297F"/>
    <w:rsid w:val="00872CE9"/>
    <w:rsid w:val="008737DE"/>
    <w:rsid w:val="00873806"/>
    <w:rsid w:val="00873878"/>
    <w:rsid w:val="0087389E"/>
    <w:rsid w:val="0087390B"/>
    <w:rsid w:val="008739E4"/>
    <w:rsid w:val="00874622"/>
    <w:rsid w:val="0087555B"/>
    <w:rsid w:val="0087592E"/>
    <w:rsid w:val="008769D6"/>
    <w:rsid w:val="00880A47"/>
    <w:rsid w:val="0088131E"/>
    <w:rsid w:val="00881749"/>
    <w:rsid w:val="008828D4"/>
    <w:rsid w:val="00882A90"/>
    <w:rsid w:val="008857EE"/>
    <w:rsid w:val="00885E33"/>
    <w:rsid w:val="00886006"/>
    <w:rsid w:val="008870D6"/>
    <w:rsid w:val="008874EE"/>
    <w:rsid w:val="00887B5F"/>
    <w:rsid w:val="00887D5A"/>
    <w:rsid w:val="00887DAE"/>
    <w:rsid w:val="00890A1F"/>
    <w:rsid w:val="00890C0F"/>
    <w:rsid w:val="00891223"/>
    <w:rsid w:val="00891727"/>
    <w:rsid w:val="00891FA5"/>
    <w:rsid w:val="00892439"/>
    <w:rsid w:val="00892C26"/>
    <w:rsid w:val="00892CD9"/>
    <w:rsid w:val="00893AD2"/>
    <w:rsid w:val="0089423A"/>
    <w:rsid w:val="0089462D"/>
    <w:rsid w:val="00894764"/>
    <w:rsid w:val="008954E3"/>
    <w:rsid w:val="0089568D"/>
    <w:rsid w:val="00896148"/>
    <w:rsid w:val="008962BF"/>
    <w:rsid w:val="008963F8"/>
    <w:rsid w:val="0089696A"/>
    <w:rsid w:val="008973E9"/>
    <w:rsid w:val="008A04A0"/>
    <w:rsid w:val="008A0834"/>
    <w:rsid w:val="008A0E28"/>
    <w:rsid w:val="008A13DD"/>
    <w:rsid w:val="008A1E11"/>
    <w:rsid w:val="008A2710"/>
    <w:rsid w:val="008A2B1E"/>
    <w:rsid w:val="008A2E71"/>
    <w:rsid w:val="008A2F64"/>
    <w:rsid w:val="008A2F8B"/>
    <w:rsid w:val="008A31C6"/>
    <w:rsid w:val="008A358E"/>
    <w:rsid w:val="008A3A6B"/>
    <w:rsid w:val="008A40A1"/>
    <w:rsid w:val="008A56AB"/>
    <w:rsid w:val="008A594A"/>
    <w:rsid w:val="008A59ED"/>
    <w:rsid w:val="008A5ACF"/>
    <w:rsid w:val="008A5FA4"/>
    <w:rsid w:val="008A63DC"/>
    <w:rsid w:val="008A6B36"/>
    <w:rsid w:val="008A75B8"/>
    <w:rsid w:val="008A7A19"/>
    <w:rsid w:val="008B0425"/>
    <w:rsid w:val="008B0770"/>
    <w:rsid w:val="008B0B03"/>
    <w:rsid w:val="008B18ED"/>
    <w:rsid w:val="008B1C77"/>
    <w:rsid w:val="008B2992"/>
    <w:rsid w:val="008B3EC3"/>
    <w:rsid w:val="008B428F"/>
    <w:rsid w:val="008B5AB3"/>
    <w:rsid w:val="008B5BDC"/>
    <w:rsid w:val="008B6006"/>
    <w:rsid w:val="008B64A6"/>
    <w:rsid w:val="008B6888"/>
    <w:rsid w:val="008B735C"/>
    <w:rsid w:val="008B78A6"/>
    <w:rsid w:val="008C048C"/>
    <w:rsid w:val="008C08A6"/>
    <w:rsid w:val="008C1395"/>
    <w:rsid w:val="008C16C1"/>
    <w:rsid w:val="008C1DA6"/>
    <w:rsid w:val="008C1EB5"/>
    <w:rsid w:val="008C296C"/>
    <w:rsid w:val="008C2C90"/>
    <w:rsid w:val="008C3225"/>
    <w:rsid w:val="008C475C"/>
    <w:rsid w:val="008C4BF6"/>
    <w:rsid w:val="008C5B22"/>
    <w:rsid w:val="008C60BB"/>
    <w:rsid w:val="008C617D"/>
    <w:rsid w:val="008C6186"/>
    <w:rsid w:val="008C6A43"/>
    <w:rsid w:val="008C6BCA"/>
    <w:rsid w:val="008C70E8"/>
    <w:rsid w:val="008D0EDB"/>
    <w:rsid w:val="008D1B20"/>
    <w:rsid w:val="008D200A"/>
    <w:rsid w:val="008D26FF"/>
    <w:rsid w:val="008D2D9D"/>
    <w:rsid w:val="008D3140"/>
    <w:rsid w:val="008D3335"/>
    <w:rsid w:val="008D3BD0"/>
    <w:rsid w:val="008D3C47"/>
    <w:rsid w:val="008D3C83"/>
    <w:rsid w:val="008D3DD8"/>
    <w:rsid w:val="008D4073"/>
    <w:rsid w:val="008D48A2"/>
    <w:rsid w:val="008D57F7"/>
    <w:rsid w:val="008D5D74"/>
    <w:rsid w:val="008D6251"/>
    <w:rsid w:val="008D651A"/>
    <w:rsid w:val="008D661C"/>
    <w:rsid w:val="008D6625"/>
    <w:rsid w:val="008D6AA1"/>
    <w:rsid w:val="008D78C0"/>
    <w:rsid w:val="008D7C70"/>
    <w:rsid w:val="008D7FE8"/>
    <w:rsid w:val="008E047A"/>
    <w:rsid w:val="008E0883"/>
    <w:rsid w:val="008E11DC"/>
    <w:rsid w:val="008E1C46"/>
    <w:rsid w:val="008E1FF0"/>
    <w:rsid w:val="008E2216"/>
    <w:rsid w:val="008E2335"/>
    <w:rsid w:val="008E247D"/>
    <w:rsid w:val="008E2C6E"/>
    <w:rsid w:val="008E2D0D"/>
    <w:rsid w:val="008E3111"/>
    <w:rsid w:val="008E358C"/>
    <w:rsid w:val="008E38DF"/>
    <w:rsid w:val="008E44B4"/>
    <w:rsid w:val="008E4A26"/>
    <w:rsid w:val="008E4B45"/>
    <w:rsid w:val="008E645B"/>
    <w:rsid w:val="008E6819"/>
    <w:rsid w:val="008E6990"/>
    <w:rsid w:val="008E6B3D"/>
    <w:rsid w:val="008E7193"/>
    <w:rsid w:val="008E74DC"/>
    <w:rsid w:val="008E77CB"/>
    <w:rsid w:val="008E7B85"/>
    <w:rsid w:val="008F008D"/>
    <w:rsid w:val="008F04A5"/>
    <w:rsid w:val="008F130E"/>
    <w:rsid w:val="008F21B2"/>
    <w:rsid w:val="008F21C7"/>
    <w:rsid w:val="008F2973"/>
    <w:rsid w:val="008F367A"/>
    <w:rsid w:val="008F3899"/>
    <w:rsid w:val="008F39CA"/>
    <w:rsid w:val="008F3B80"/>
    <w:rsid w:val="008F4BF0"/>
    <w:rsid w:val="008F4C34"/>
    <w:rsid w:val="008F4E2D"/>
    <w:rsid w:val="008F5182"/>
    <w:rsid w:val="008F51D1"/>
    <w:rsid w:val="008F53C4"/>
    <w:rsid w:val="008F541E"/>
    <w:rsid w:val="008F65C5"/>
    <w:rsid w:val="008F6EA0"/>
    <w:rsid w:val="008F7340"/>
    <w:rsid w:val="008F7BFC"/>
    <w:rsid w:val="00900347"/>
    <w:rsid w:val="00900A30"/>
    <w:rsid w:val="009011CD"/>
    <w:rsid w:val="00901A4F"/>
    <w:rsid w:val="0090461D"/>
    <w:rsid w:val="0090487B"/>
    <w:rsid w:val="00905793"/>
    <w:rsid w:val="00906007"/>
    <w:rsid w:val="009063D4"/>
    <w:rsid w:val="00906DAE"/>
    <w:rsid w:val="009074E4"/>
    <w:rsid w:val="0090757B"/>
    <w:rsid w:val="00907C17"/>
    <w:rsid w:val="009101DB"/>
    <w:rsid w:val="00910298"/>
    <w:rsid w:val="0091054F"/>
    <w:rsid w:val="00911F87"/>
    <w:rsid w:val="00911FCD"/>
    <w:rsid w:val="00912287"/>
    <w:rsid w:val="009133FB"/>
    <w:rsid w:val="0091379B"/>
    <w:rsid w:val="00913B24"/>
    <w:rsid w:val="00913C9E"/>
    <w:rsid w:val="009146CC"/>
    <w:rsid w:val="00915269"/>
    <w:rsid w:val="00915895"/>
    <w:rsid w:val="009158A8"/>
    <w:rsid w:val="0091637D"/>
    <w:rsid w:val="009176B6"/>
    <w:rsid w:val="00917C40"/>
    <w:rsid w:val="009205E0"/>
    <w:rsid w:val="0092083D"/>
    <w:rsid w:val="0092091E"/>
    <w:rsid w:val="0092134E"/>
    <w:rsid w:val="00921458"/>
    <w:rsid w:val="009216A8"/>
    <w:rsid w:val="00921C0F"/>
    <w:rsid w:val="00921D08"/>
    <w:rsid w:val="00922E01"/>
    <w:rsid w:val="0092309F"/>
    <w:rsid w:val="00923ED2"/>
    <w:rsid w:val="00924668"/>
    <w:rsid w:val="0092486B"/>
    <w:rsid w:val="0092538C"/>
    <w:rsid w:val="00925835"/>
    <w:rsid w:val="0092592E"/>
    <w:rsid w:val="009269E6"/>
    <w:rsid w:val="00926E88"/>
    <w:rsid w:val="0092792C"/>
    <w:rsid w:val="0092796A"/>
    <w:rsid w:val="009279B8"/>
    <w:rsid w:val="0093004D"/>
    <w:rsid w:val="0093083F"/>
    <w:rsid w:val="009313B0"/>
    <w:rsid w:val="0093151C"/>
    <w:rsid w:val="0093159B"/>
    <w:rsid w:val="009324C0"/>
    <w:rsid w:val="009325E8"/>
    <w:rsid w:val="009336EF"/>
    <w:rsid w:val="009337DA"/>
    <w:rsid w:val="00933B61"/>
    <w:rsid w:val="00933D95"/>
    <w:rsid w:val="009345F3"/>
    <w:rsid w:val="00934946"/>
    <w:rsid w:val="00934C7B"/>
    <w:rsid w:val="009353AD"/>
    <w:rsid w:val="00935C57"/>
    <w:rsid w:val="009377AF"/>
    <w:rsid w:val="00937B20"/>
    <w:rsid w:val="00937EBD"/>
    <w:rsid w:val="009401CC"/>
    <w:rsid w:val="00940824"/>
    <w:rsid w:val="00940BE3"/>
    <w:rsid w:val="00940F24"/>
    <w:rsid w:val="00941040"/>
    <w:rsid w:val="00941E7E"/>
    <w:rsid w:val="00942132"/>
    <w:rsid w:val="00942A01"/>
    <w:rsid w:val="00942C1F"/>
    <w:rsid w:val="009434ED"/>
    <w:rsid w:val="00943E32"/>
    <w:rsid w:val="00944ACE"/>
    <w:rsid w:val="00944DA9"/>
    <w:rsid w:val="009457EB"/>
    <w:rsid w:val="00945FF4"/>
    <w:rsid w:val="00946E31"/>
    <w:rsid w:val="0094742F"/>
    <w:rsid w:val="0094750D"/>
    <w:rsid w:val="0094750E"/>
    <w:rsid w:val="009479EC"/>
    <w:rsid w:val="00947C7B"/>
    <w:rsid w:val="00947E87"/>
    <w:rsid w:val="00947EAC"/>
    <w:rsid w:val="00950545"/>
    <w:rsid w:val="009511D7"/>
    <w:rsid w:val="00951CED"/>
    <w:rsid w:val="0095237C"/>
    <w:rsid w:val="009524B5"/>
    <w:rsid w:val="00952A9D"/>
    <w:rsid w:val="00952D77"/>
    <w:rsid w:val="00953BA7"/>
    <w:rsid w:val="009543FE"/>
    <w:rsid w:val="0095487A"/>
    <w:rsid w:val="009567D2"/>
    <w:rsid w:val="00956EC8"/>
    <w:rsid w:val="00956FB4"/>
    <w:rsid w:val="0095724F"/>
    <w:rsid w:val="009600CD"/>
    <w:rsid w:val="0096058A"/>
    <w:rsid w:val="009615CF"/>
    <w:rsid w:val="00961613"/>
    <w:rsid w:val="0096196F"/>
    <w:rsid w:val="00961E7A"/>
    <w:rsid w:val="00961FE7"/>
    <w:rsid w:val="00962B3B"/>
    <w:rsid w:val="00962D64"/>
    <w:rsid w:val="00962D9C"/>
    <w:rsid w:val="00962DFB"/>
    <w:rsid w:val="009632EA"/>
    <w:rsid w:val="009637A9"/>
    <w:rsid w:val="00963905"/>
    <w:rsid w:val="00963A76"/>
    <w:rsid w:val="00965145"/>
    <w:rsid w:val="00965DE1"/>
    <w:rsid w:val="00966327"/>
    <w:rsid w:val="00966D1B"/>
    <w:rsid w:val="00967813"/>
    <w:rsid w:val="00967975"/>
    <w:rsid w:val="00967AD8"/>
    <w:rsid w:val="00970101"/>
    <w:rsid w:val="009706E3"/>
    <w:rsid w:val="00970702"/>
    <w:rsid w:val="00971054"/>
    <w:rsid w:val="009716D0"/>
    <w:rsid w:val="00971B0A"/>
    <w:rsid w:val="0097300F"/>
    <w:rsid w:val="00973109"/>
    <w:rsid w:val="009736B0"/>
    <w:rsid w:val="0097438D"/>
    <w:rsid w:val="0097474C"/>
    <w:rsid w:val="0097491D"/>
    <w:rsid w:val="00975138"/>
    <w:rsid w:val="009759BA"/>
    <w:rsid w:val="00976A22"/>
    <w:rsid w:val="00976C1D"/>
    <w:rsid w:val="0097767B"/>
    <w:rsid w:val="009804AB"/>
    <w:rsid w:val="0098061D"/>
    <w:rsid w:val="00980705"/>
    <w:rsid w:val="0098095B"/>
    <w:rsid w:val="00981540"/>
    <w:rsid w:val="00981B89"/>
    <w:rsid w:val="00981C25"/>
    <w:rsid w:val="00981C9A"/>
    <w:rsid w:val="009825C8"/>
    <w:rsid w:val="00982845"/>
    <w:rsid w:val="00982A5B"/>
    <w:rsid w:val="009833A3"/>
    <w:rsid w:val="00983BD8"/>
    <w:rsid w:val="00985D13"/>
    <w:rsid w:val="00986128"/>
    <w:rsid w:val="00986892"/>
    <w:rsid w:val="00986C16"/>
    <w:rsid w:val="00986C33"/>
    <w:rsid w:val="00987016"/>
    <w:rsid w:val="00987963"/>
    <w:rsid w:val="00992CB7"/>
    <w:rsid w:val="00993688"/>
    <w:rsid w:val="00994279"/>
    <w:rsid w:val="00994E17"/>
    <w:rsid w:val="009959E0"/>
    <w:rsid w:val="00997242"/>
    <w:rsid w:val="009976CE"/>
    <w:rsid w:val="00997B9B"/>
    <w:rsid w:val="009A0973"/>
    <w:rsid w:val="009A0F08"/>
    <w:rsid w:val="009A15C8"/>
    <w:rsid w:val="009A1826"/>
    <w:rsid w:val="009A1A38"/>
    <w:rsid w:val="009A24E3"/>
    <w:rsid w:val="009A2604"/>
    <w:rsid w:val="009A2F05"/>
    <w:rsid w:val="009A35DE"/>
    <w:rsid w:val="009A3901"/>
    <w:rsid w:val="009A3FD4"/>
    <w:rsid w:val="009A5276"/>
    <w:rsid w:val="009A5BE3"/>
    <w:rsid w:val="009A5E45"/>
    <w:rsid w:val="009A622D"/>
    <w:rsid w:val="009A62A1"/>
    <w:rsid w:val="009A693E"/>
    <w:rsid w:val="009A78D3"/>
    <w:rsid w:val="009A797A"/>
    <w:rsid w:val="009B012E"/>
    <w:rsid w:val="009B09D1"/>
    <w:rsid w:val="009B0D69"/>
    <w:rsid w:val="009B0FE4"/>
    <w:rsid w:val="009B1434"/>
    <w:rsid w:val="009B17DA"/>
    <w:rsid w:val="009B1B1F"/>
    <w:rsid w:val="009B2236"/>
    <w:rsid w:val="009B28B9"/>
    <w:rsid w:val="009B2B52"/>
    <w:rsid w:val="009B2E6F"/>
    <w:rsid w:val="009B34B5"/>
    <w:rsid w:val="009B3992"/>
    <w:rsid w:val="009B402C"/>
    <w:rsid w:val="009B49EE"/>
    <w:rsid w:val="009B564C"/>
    <w:rsid w:val="009B5A85"/>
    <w:rsid w:val="009B5EC6"/>
    <w:rsid w:val="009B656A"/>
    <w:rsid w:val="009C2376"/>
    <w:rsid w:val="009C2694"/>
    <w:rsid w:val="009C35FB"/>
    <w:rsid w:val="009C3DA6"/>
    <w:rsid w:val="009C567A"/>
    <w:rsid w:val="009C59B7"/>
    <w:rsid w:val="009C602B"/>
    <w:rsid w:val="009C6812"/>
    <w:rsid w:val="009C7326"/>
    <w:rsid w:val="009C73FD"/>
    <w:rsid w:val="009D02A5"/>
    <w:rsid w:val="009D07FF"/>
    <w:rsid w:val="009D0C7F"/>
    <w:rsid w:val="009D0EBC"/>
    <w:rsid w:val="009D1951"/>
    <w:rsid w:val="009D1A9B"/>
    <w:rsid w:val="009D2AE4"/>
    <w:rsid w:val="009D2FA9"/>
    <w:rsid w:val="009D317D"/>
    <w:rsid w:val="009D3722"/>
    <w:rsid w:val="009D44B1"/>
    <w:rsid w:val="009D5088"/>
    <w:rsid w:val="009D530F"/>
    <w:rsid w:val="009D6A18"/>
    <w:rsid w:val="009D6EE3"/>
    <w:rsid w:val="009E1011"/>
    <w:rsid w:val="009E1B77"/>
    <w:rsid w:val="009E1E5D"/>
    <w:rsid w:val="009E1FA5"/>
    <w:rsid w:val="009E2DDA"/>
    <w:rsid w:val="009E320E"/>
    <w:rsid w:val="009E36DA"/>
    <w:rsid w:val="009E373B"/>
    <w:rsid w:val="009E37D3"/>
    <w:rsid w:val="009E3BCF"/>
    <w:rsid w:val="009E3D6C"/>
    <w:rsid w:val="009E5695"/>
    <w:rsid w:val="009E56D3"/>
    <w:rsid w:val="009E604D"/>
    <w:rsid w:val="009E72C8"/>
    <w:rsid w:val="009E7CEE"/>
    <w:rsid w:val="009F0269"/>
    <w:rsid w:val="009F0482"/>
    <w:rsid w:val="009F0BCF"/>
    <w:rsid w:val="009F0FE0"/>
    <w:rsid w:val="009F183E"/>
    <w:rsid w:val="009F1DB0"/>
    <w:rsid w:val="009F1EC4"/>
    <w:rsid w:val="009F208B"/>
    <w:rsid w:val="009F2419"/>
    <w:rsid w:val="009F39FD"/>
    <w:rsid w:val="009F3A2A"/>
    <w:rsid w:val="009F3D57"/>
    <w:rsid w:val="009F4B32"/>
    <w:rsid w:val="009F4E67"/>
    <w:rsid w:val="009F60EF"/>
    <w:rsid w:val="009F6803"/>
    <w:rsid w:val="009F6C4D"/>
    <w:rsid w:val="009F6F13"/>
    <w:rsid w:val="009F7408"/>
    <w:rsid w:val="009F744F"/>
    <w:rsid w:val="00A00487"/>
    <w:rsid w:val="00A00C52"/>
    <w:rsid w:val="00A018A2"/>
    <w:rsid w:val="00A0218A"/>
    <w:rsid w:val="00A0257D"/>
    <w:rsid w:val="00A02984"/>
    <w:rsid w:val="00A031A3"/>
    <w:rsid w:val="00A032FA"/>
    <w:rsid w:val="00A033DA"/>
    <w:rsid w:val="00A041E0"/>
    <w:rsid w:val="00A0429B"/>
    <w:rsid w:val="00A0516F"/>
    <w:rsid w:val="00A0651F"/>
    <w:rsid w:val="00A06890"/>
    <w:rsid w:val="00A06E7E"/>
    <w:rsid w:val="00A074FB"/>
    <w:rsid w:val="00A10950"/>
    <w:rsid w:val="00A10AA6"/>
    <w:rsid w:val="00A11F46"/>
    <w:rsid w:val="00A11FAB"/>
    <w:rsid w:val="00A1279C"/>
    <w:rsid w:val="00A12E25"/>
    <w:rsid w:val="00A12E3D"/>
    <w:rsid w:val="00A13876"/>
    <w:rsid w:val="00A13909"/>
    <w:rsid w:val="00A1510E"/>
    <w:rsid w:val="00A151D7"/>
    <w:rsid w:val="00A16370"/>
    <w:rsid w:val="00A1691E"/>
    <w:rsid w:val="00A16F0B"/>
    <w:rsid w:val="00A171D2"/>
    <w:rsid w:val="00A172E4"/>
    <w:rsid w:val="00A17539"/>
    <w:rsid w:val="00A17F2F"/>
    <w:rsid w:val="00A205AB"/>
    <w:rsid w:val="00A207AB"/>
    <w:rsid w:val="00A20D22"/>
    <w:rsid w:val="00A21DE8"/>
    <w:rsid w:val="00A22B1E"/>
    <w:rsid w:val="00A22C6F"/>
    <w:rsid w:val="00A234CB"/>
    <w:rsid w:val="00A252C3"/>
    <w:rsid w:val="00A2540C"/>
    <w:rsid w:val="00A25703"/>
    <w:rsid w:val="00A25E4B"/>
    <w:rsid w:val="00A25E96"/>
    <w:rsid w:val="00A25EA3"/>
    <w:rsid w:val="00A27513"/>
    <w:rsid w:val="00A27BD6"/>
    <w:rsid w:val="00A30982"/>
    <w:rsid w:val="00A31743"/>
    <w:rsid w:val="00A32225"/>
    <w:rsid w:val="00A326E4"/>
    <w:rsid w:val="00A32E68"/>
    <w:rsid w:val="00A32FF1"/>
    <w:rsid w:val="00A32FFB"/>
    <w:rsid w:val="00A345BE"/>
    <w:rsid w:val="00A3498E"/>
    <w:rsid w:val="00A35A70"/>
    <w:rsid w:val="00A35D99"/>
    <w:rsid w:val="00A35DCB"/>
    <w:rsid w:val="00A35FDC"/>
    <w:rsid w:val="00A36B05"/>
    <w:rsid w:val="00A36B40"/>
    <w:rsid w:val="00A37CEC"/>
    <w:rsid w:val="00A401AB"/>
    <w:rsid w:val="00A405AF"/>
    <w:rsid w:val="00A417FD"/>
    <w:rsid w:val="00A41C6A"/>
    <w:rsid w:val="00A41DA6"/>
    <w:rsid w:val="00A42043"/>
    <w:rsid w:val="00A425C3"/>
    <w:rsid w:val="00A43A02"/>
    <w:rsid w:val="00A44655"/>
    <w:rsid w:val="00A45247"/>
    <w:rsid w:val="00A45443"/>
    <w:rsid w:val="00A457B0"/>
    <w:rsid w:val="00A45CD6"/>
    <w:rsid w:val="00A467A9"/>
    <w:rsid w:val="00A46B61"/>
    <w:rsid w:val="00A4792A"/>
    <w:rsid w:val="00A500BC"/>
    <w:rsid w:val="00A506F2"/>
    <w:rsid w:val="00A51186"/>
    <w:rsid w:val="00A523B7"/>
    <w:rsid w:val="00A529F7"/>
    <w:rsid w:val="00A53DEF"/>
    <w:rsid w:val="00A53F5C"/>
    <w:rsid w:val="00A5455B"/>
    <w:rsid w:val="00A5493F"/>
    <w:rsid w:val="00A56AD9"/>
    <w:rsid w:val="00A60252"/>
    <w:rsid w:val="00A617A2"/>
    <w:rsid w:val="00A62296"/>
    <w:rsid w:val="00A62B9A"/>
    <w:rsid w:val="00A637E0"/>
    <w:rsid w:val="00A6387D"/>
    <w:rsid w:val="00A64A7D"/>
    <w:rsid w:val="00A6562F"/>
    <w:rsid w:val="00A65A2B"/>
    <w:rsid w:val="00A663E7"/>
    <w:rsid w:val="00A6683D"/>
    <w:rsid w:val="00A66C4E"/>
    <w:rsid w:val="00A6745F"/>
    <w:rsid w:val="00A67753"/>
    <w:rsid w:val="00A700E6"/>
    <w:rsid w:val="00A702D7"/>
    <w:rsid w:val="00A70628"/>
    <w:rsid w:val="00A70DA6"/>
    <w:rsid w:val="00A70F1A"/>
    <w:rsid w:val="00A71EA8"/>
    <w:rsid w:val="00A72AF6"/>
    <w:rsid w:val="00A72C67"/>
    <w:rsid w:val="00A73529"/>
    <w:rsid w:val="00A735DA"/>
    <w:rsid w:val="00A74CA1"/>
    <w:rsid w:val="00A74D15"/>
    <w:rsid w:val="00A74F62"/>
    <w:rsid w:val="00A75855"/>
    <w:rsid w:val="00A75F75"/>
    <w:rsid w:val="00A76931"/>
    <w:rsid w:val="00A76CBE"/>
    <w:rsid w:val="00A7701C"/>
    <w:rsid w:val="00A77564"/>
    <w:rsid w:val="00A80414"/>
    <w:rsid w:val="00A80523"/>
    <w:rsid w:val="00A80840"/>
    <w:rsid w:val="00A817A2"/>
    <w:rsid w:val="00A8239F"/>
    <w:rsid w:val="00A82B88"/>
    <w:rsid w:val="00A83C30"/>
    <w:rsid w:val="00A83C69"/>
    <w:rsid w:val="00A842B6"/>
    <w:rsid w:val="00A84FF8"/>
    <w:rsid w:val="00A852D6"/>
    <w:rsid w:val="00A858C6"/>
    <w:rsid w:val="00A868DA"/>
    <w:rsid w:val="00A87CB4"/>
    <w:rsid w:val="00A91EB0"/>
    <w:rsid w:val="00A9244A"/>
    <w:rsid w:val="00A92862"/>
    <w:rsid w:val="00A92ACC"/>
    <w:rsid w:val="00A92E3C"/>
    <w:rsid w:val="00A93A00"/>
    <w:rsid w:val="00A93B98"/>
    <w:rsid w:val="00A93C58"/>
    <w:rsid w:val="00A95078"/>
    <w:rsid w:val="00A95732"/>
    <w:rsid w:val="00A960C6"/>
    <w:rsid w:val="00A97186"/>
    <w:rsid w:val="00A977CB"/>
    <w:rsid w:val="00AA0681"/>
    <w:rsid w:val="00AA07DD"/>
    <w:rsid w:val="00AA10C5"/>
    <w:rsid w:val="00AA12AE"/>
    <w:rsid w:val="00AA132D"/>
    <w:rsid w:val="00AA18F4"/>
    <w:rsid w:val="00AA1CD1"/>
    <w:rsid w:val="00AA1F5A"/>
    <w:rsid w:val="00AA2F12"/>
    <w:rsid w:val="00AA3255"/>
    <w:rsid w:val="00AA398C"/>
    <w:rsid w:val="00AA4146"/>
    <w:rsid w:val="00AA4C91"/>
    <w:rsid w:val="00AA6A83"/>
    <w:rsid w:val="00AA7F0C"/>
    <w:rsid w:val="00AB01A2"/>
    <w:rsid w:val="00AB1A84"/>
    <w:rsid w:val="00AB22F9"/>
    <w:rsid w:val="00AB239B"/>
    <w:rsid w:val="00AB34A9"/>
    <w:rsid w:val="00AB370D"/>
    <w:rsid w:val="00AB39ED"/>
    <w:rsid w:val="00AB3C2B"/>
    <w:rsid w:val="00AB48A7"/>
    <w:rsid w:val="00AB5354"/>
    <w:rsid w:val="00AB5A0A"/>
    <w:rsid w:val="00AB60DE"/>
    <w:rsid w:val="00AB7717"/>
    <w:rsid w:val="00AC01E3"/>
    <w:rsid w:val="00AC0355"/>
    <w:rsid w:val="00AC119E"/>
    <w:rsid w:val="00AC1B54"/>
    <w:rsid w:val="00AC2248"/>
    <w:rsid w:val="00AC308E"/>
    <w:rsid w:val="00AC3D60"/>
    <w:rsid w:val="00AC3DCE"/>
    <w:rsid w:val="00AC5132"/>
    <w:rsid w:val="00AC51BD"/>
    <w:rsid w:val="00AC528D"/>
    <w:rsid w:val="00AC539A"/>
    <w:rsid w:val="00AC546D"/>
    <w:rsid w:val="00AC558D"/>
    <w:rsid w:val="00AC5C81"/>
    <w:rsid w:val="00AC607D"/>
    <w:rsid w:val="00AC7003"/>
    <w:rsid w:val="00AC784A"/>
    <w:rsid w:val="00AC7C88"/>
    <w:rsid w:val="00AD00EB"/>
    <w:rsid w:val="00AD0B63"/>
    <w:rsid w:val="00AD0B66"/>
    <w:rsid w:val="00AD0E82"/>
    <w:rsid w:val="00AD0F89"/>
    <w:rsid w:val="00AD1992"/>
    <w:rsid w:val="00AD19D2"/>
    <w:rsid w:val="00AD1ACA"/>
    <w:rsid w:val="00AD1C93"/>
    <w:rsid w:val="00AD21A8"/>
    <w:rsid w:val="00AD2A29"/>
    <w:rsid w:val="00AD3E00"/>
    <w:rsid w:val="00AD6531"/>
    <w:rsid w:val="00AD6A47"/>
    <w:rsid w:val="00AD6A60"/>
    <w:rsid w:val="00AD7029"/>
    <w:rsid w:val="00AD7330"/>
    <w:rsid w:val="00AD7404"/>
    <w:rsid w:val="00AD752B"/>
    <w:rsid w:val="00AD75AE"/>
    <w:rsid w:val="00AD789A"/>
    <w:rsid w:val="00AE09C5"/>
    <w:rsid w:val="00AE0BF7"/>
    <w:rsid w:val="00AE1C89"/>
    <w:rsid w:val="00AE214A"/>
    <w:rsid w:val="00AE2237"/>
    <w:rsid w:val="00AE2718"/>
    <w:rsid w:val="00AE2C94"/>
    <w:rsid w:val="00AE35C3"/>
    <w:rsid w:val="00AE399C"/>
    <w:rsid w:val="00AE4B69"/>
    <w:rsid w:val="00AE4DB8"/>
    <w:rsid w:val="00AE54F4"/>
    <w:rsid w:val="00AE5834"/>
    <w:rsid w:val="00AE61E6"/>
    <w:rsid w:val="00AE63D1"/>
    <w:rsid w:val="00AE69AB"/>
    <w:rsid w:val="00AE6D89"/>
    <w:rsid w:val="00AE6F6A"/>
    <w:rsid w:val="00AE7926"/>
    <w:rsid w:val="00AE7932"/>
    <w:rsid w:val="00AE7ACF"/>
    <w:rsid w:val="00AE7F30"/>
    <w:rsid w:val="00AF1097"/>
    <w:rsid w:val="00AF2D88"/>
    <w:rsid w:val="00AF33B5"/>
    <w:rsid w:val="00AF3842"/>
    <w:rsid w:val="00AF3F8C"/>
    <w:rsid w:val="00AF4003"/>
    <w:rsid w:val="00AF42D4"/>
    <w:rsid w:val="00AF485B"/>
    <w:rsid w:val="00AF49C6"/>
    <w:rsid w:val="00AF4C01"/>
    <w:rsid w:val="00AF4CA9"/>
    <w:rsid w:val="00AF4E8F"/>
    <w:rsid w:val="00AF4F25"/>
    <w:rsid w:val="00AF4F2C"/>
    <w:rsid w:val="00AF5496"/>
    <w:rsid w:val="00AF5FA7"/>
    <w:rsid w:val="00AF677F"/>
    <w:rsid w:val="00AF7118"/>
    <w:rsid w:val="00AF7596"/>
    <w:rsid w:val="00AF7673"/>
    <w:rsid w:val="00AF7FCF"/>
    <w:rsid w:val="00B01DFF"/>
    <w:rsid w:val="00B02B3F"/>
    <w:rsid w:val="00B02C9E"/>
    <w:rsid w:val="00B02EF6"/>
    <w:rsid w:val="00B02FD6"/>
    <w:rsid w:val="00B0393F"/>
    <w:rsid w:val="00B03F9B"/>
    <w:rsid w:val="00B043A3"/>
    <w:rsid w:val="00B0483F"/>
    <w:rsid w:val="00B04C09"/>
    <w:rsid w:val="00B04D20"/>
    <w:rsid w:val="00B0520E"/>
    <w:rsid w:val="00B05698"/>
    <w:rsid w:val="00B05943"/>
    <w:rsid w:val="00B05FEB"/>
    <w:rsid w:val="00B06B7F"/>
    <w:rsid w:val="00B07810"/>
    <w:rsid w:val="00B07874"/>
    <w:rsid w:val="00B10123"/>
    <w:rsid w:val="00B101A7"/>
    <w:rsid w:val="00B104BB"/>
    <w:rsid w:val="00B106D3"/>
    <w:rsid w:val="00B10A0F"/>
    <w:rsid w:val="00B10DD0"/>
    <w:rsid w:val="00B119BF"/>
    <w:rsid w:val="00B11A42"/>
    <w:rsid w:val="00B11D0B"/>
    <w:rsid w:val="00B13437"/>
    <w:rsid w:val="00B13440"/>
    <w:rsid w:val="00B1368D"/>
    <w:rsid w:val="00B13BB9"/>
    <w:rsid w:val="00B14A42"/>
    <w:rsid w:val="00B14EFF"/>
    <w:rsid w:val="00B15BED"/>
    <w:rsid w:val="00B15E78"/>
    <w:rsid w:val="00B15EE6"/>
    <w:rsid w:val="00B16B70"/>
    <w:rsid w:val="00B17124"/>
    <w:rsid w:val="00B175E8"/>
    <w:rsid w:val="00B17FCC"/>
    <w:rsid w:val="00B200C7"/>
    <w:rsid w:val="00B20C3D"/>
    <w:rsid w:val="00B20F52"/>
    <w:rsid w:val="00B21415"/>
    <w:rsid w:val="00B21480"/>
    <w:rsid w:val="00B21AC9"/>
    <w:rsid w:val="00B22641"/>
    <w:rsid w:val="00B2296E"/>
    <w:rsid w:val="00B23103"/>
    <w:rsid w:val="00B2325B"/>
    <w:rsid w:val="00B23EA3"/>
    <w:rsid w:val="00B2464F"/>
    <w:rsid w:val="00B2497D"/>
    <w:rsid w:val="00B25016"/>
    <w:rsid w:val="00B25549"/>
    <w:rsid w:val="00B25A92"/>
    <w:rsid w:val="00B2652E"/>
    <w:rsid w:val="00B26711"/>
    <w:rsid w:val="00B267CF"/>
    <w:rsid w:val="00B268B5"/>
    <w:rsid w:val="00B27D5B"/>
    <w:rsid w:val="00B30030"/>
    <w:rsid w:val="00B30989"/>
    <w:rsid w:val="00B32CB6"/>
    <w:rsid w:val="00B32D02"/>
    <w:rsid w:val="00B33348"/>
    <w:rsid w:val="00B358F5"/>
    <w:rsid w:val="00B359F3"/>
    <w:rsid w:val="00B35DB7"/>
    <w:rsid w:val="00B35F25"/>
    <w:rsid w:val="00B3617B"/>
    <w:rsid w:val="00B37F10"/>
    <w:rsid w:val="00B404E3"/>
    <w:rsid w:val="00B40E94"/>
    <w:rsid w:val="00B4102F"/>
    <w:rsid w:val="00B413D5"/>
    <w:rsid w:val="00B41470"/>
    <w:rsid w:val="00B42A84"/>
    <w:rsid w:val="00B42EE7"/>
    <w:rsid w:val="00B434D4"/>
    <w:rsid w:val="00B4389D"/>
    <w:rsid w:val="00B4483F"/>
    <w:rsid w:val="00B45C2D"/>
    <w:rsid w:val="00B4638F"/>
    <w:rsid w:val="00B473C2"/>
    <w:rsid w:val="00B47412"/>
    <w:rsid w:val="00B50304"/>
    <w:rsid w:val="00B503AE"/>
    <w:rsid w:val="00B504CF"/>
    <w:rsid w:val="00B506F4"/>
    <w:rsid w:val="00B50C7B"/>
    <w:rsid w:val="00B51304"/>
    <w:rsid w:val="00B515DC"/>
    <w:rsid w:val="00B51735"/>
    <w:rsid w:val="00B51A21"/>
    <w:rsid w:val="00B520FF"/>
    <w:rsid w:val="00B52F70"/>
    <w:rsid w:val="00B53269"/>
    <w:rsid w:val="00B54255"/>
    <w:rsid w:val="00B54DEE"/>
    <w:rsid w:val="00B55F51"/>
    <w:rsid w:val="00B5633C"/>
    <w:rsid w:val="00B578D1"/>
    <w:rsid w:val="00B579B9"/>
    <w:rsid w:val="00B57B71"/>
    <w:rsid w:val="00B60B62"/>
    <w:rsid w:val="00B61485"/>
    <w:rsid w:val="00B61889"/>
    <w:rsid w:val="00B61FEC"/>
    <w:rsid w:val="00B6303C"/>
    <w:rsid w:val="00B6311D"/>
    <w:rsid w:val="00B637DB"/>
    <w:rsid w:val="00B64A1B"/>
    <w:rsid w:val="00B64CEC"/>
    <w:rsid w:val="00B64EE3"/>
    <w:rsid w:val="00B65FAC"/>
    <w:rsid w:val="00B667FA"/>
    <w:rsid w:val="00B66E8E"/>
    <w:rsid w:val="00B679A0"/>
    <w:rsid w:val="00B67B8E"/>
    <w:rsid w:val="00B67E59"/>
    <w:rsid w:val="00B70B8F"/>
    <w:rsid w:val="00B71843"/>
    <w:rsid w:val="00B71AFA"/>
    <w:rsid w:val="00B7393B"/>
    <w:rsid w:val="00B73AB4"/>
    <w:rsid w:val="00B74A83"/>
    <w:rsid w:val="00B75450"/>
    <w:rsid w:val="00B76322"/>
    <w:rsid w:val="00B763AB"/>
    <w:rsid w:val="00B7697C"/>
    <w:rsid w:val="00B76EDD"/>
    <w:rsid w:val="00B76FDB"/>
    <w:rsid w:val="00B77B87"/>
    <w:rsid w:val="00B77FC2"/>
    <w:rsid w:val="00B81DDB"/>
    <w:rsid w:val="00B82136"/>
    <w:rsid w:val="00B82774"/>
    <w:rsid w:val="00B827BB"/>
    <w:rsid w:val="00B82F4F"/>
    <w:rsid w:val="00B82FBC"/>
    <w:rsid w:val="00B83400"/>
    <w:rsid w:val="00B837CD"/>
    <w:rsid w:val="00B8388D"/>
    <w:rsid w:val="00B8425B"/>
    <w:rsid w:val="00B8427D"/>
    <w:rsid w:val="00B846E4"/>
    <w:rsid w:val="00B8551E"/>
    <w:rsid w:val="00B86122"/>
    <w:rsid w:val="00B87380"/>
    <w:rsid w:val="00B8751C"/>
    <w:rsid w:val="00B875E2"/>
    <w:rsid w:val="00B87BA9"/>
    <w:rsid w:val="00B90094"/>
    <w:rsid w:val="00B90756"/>
    <w:rsid w:val="00B908A0"/>
    <w:rsid w:val="00B90FCD"/>
    <w:rsid w:val="00B9136D"/>
    <w:rsid w:val="00B9140D"/>
    <w:rsid w:val="00B91484"/>
    <w:rsid w:val="00B91918"/>
    <w:rsid w:val="00B91CFF"/>
    <w:rsid w:val="00B9210B"/>
    <w:rsid w:val="00B927BB"/>
    <w:rsid w:val="00B93517"/>
    <w:rsid w:val="00B9384A"/>
    <w:rsid w:val="00B93925"/>
    <w:rsid w:val="00B95292"/>
    <w:rsid w:val="00B952B7"/>
    <w:rsid w:val="00B95943"/>
    <w:rsid w:val="00B96322"/>
    <w:rsid w:val="00B96582"/>
    <w:rsid w:val="00B96B51"/>
    <w:rsid w:val="00B96B5E"/>
    <w:rsid w:val="00B971E3"/>
    <w:rsid w:val="00B97212"/>
    <w:rsid w:val="00B9776C"/>
    <w:rsid w:val="00B97895"/>
    <w:rsid w:val="00BA03C5"/>
    <w:rsid w:val="00BA0DEE"/>
    <w:rsid w:val="00BA1935"/>
    <w:rsid w:val="00BA2421"/>
    <w:rsid w:val="00BA313A"/>
    <w:rsid w:val="00BA33F6"/>
    <w:rsid w:val="00BA3522"/>
    <w:rsid w:val="00BA357A"/>
    <w:rsid w:val="00BA4302"/>
    <w:rsid w:val="00BA59C1"/>
    <w:rsid w:val="00BA5B9E"/>
    <w:rsid w:val="00BA5CC9"/>
    <w:rsid w:val="00BA6233"/>
    <w:rsid w:val="00BA672D"/>
    <w:rsid w:val="00BA6CC0"/>
    <w:rsid w:val="00BA6F9E"/>
    <w:rsid w:val="00BA7646"/>
    <w:rsid w:val="00BA7CFB"/>
    <w:rsid w:val="00BA7D5C"/>
    <w:rsid w:val="00BB08CF"/>
    <w:rsid w:val="00BB0AD5"/>
    <w:rsid w:val="00BB0B98"/>
    <w:rsid w:val="00BB0DC1"/>
    <w:rsid w:val="00BB1085"/>
    <w:rsid w:val="00BB1620"/>
    <w:rsid w:val="00BB2B13"/>
    <w:rsid w:val="00BB2FE1"/>
    <w:rsid w:val="00BB40A1"/>
    <w:rsid w:val="00BB437B"/>
    <w:rsid w:val="00BB4480"/>
    <w:rsid w:val="00BB4B07"/>
    <w:rsid w:val="00BB4E19"/>
    <w:rsid w:val="00BB5582"/>
    <w:rsid w:val="00BB6196"/>
    <w:rsid w:val="00BB71D4"/>
    <w:rsid w:val="00BC0479"/>
    <w:rsid w:val="00BC2256"/>
    <w:rsid w:val="00BC2F35"/>
    <w:rsid w:val="00BC3212"/>
    <w:rsid w:val="00BC3344"/>
    <w:rsid w:val="00BC3457"/>
    <w:rsid w:val="00BC3FCD"/>
    <w:rsid w:val="00BC52FF"/>
    <w:rsid w:val="00BC59FA"/>
    <w:rsid w:val="00BC5B42"/>
    <w:rsid w:val="00BC5D0E"/>
    <w:rsid w:val="00BC6115"/>
    <w:rsid w:val="00BC6163"/>
    <w:rsid w:val="00BC7A5F"/>
    <w:rsid w:val="00BC7F7B"/>
    <w:rsid w:val="00BD0041"/>
    <w:rsid w:val="00BD0094"/>
    <w:rsid w:val="00BD0174"/>
    <w:rsid w:val="00BD0223"/>
    <w:rsid w:val="00BD072F"/>
    <w:rsid w:val="00BD094D"/>
    <w:rsid w:val="00BD11E3"/>
    <w:rsid w:val="00BD14E4"/>
    <w:rsid w:val="00BD164B"/>
    <w:rsid w:val="00BD2DE1"/>
    <w:rsid w:val="00BD309B"/>
    <w:rsid w:val="00BD3A88"/>
    <w:rsid w:val="00BD5064"/>
    <w:rsid w:val="00BD52DC"/>
    <w:rsid w:val="00BD54E7"/>
    <w:rsid w:val="00BD552F"/>
    <w:rsid w:val="00BD598D"/>
    <w:rsid w:val="00BD6034"/>
    <w:rsid w:val="00BD75C4"/>
    <w:rsid w:val="00BD76A9"/>
    <w:rsid w:val="00BE020E"/>
    <w:rsid w:val="00BE0FAD"/>
    <w:rsid w:val="00BE18F7"/>
    <w:rsid w:val="00BE1DF7"/>
    <w:rsid w:val="00BE1F69"/>
    <w:rsid w:val="00BE2499"/>
    <w:rsid w:val="00BE2653"/>
    <w:rsid w:val="00BE33A3"/>
    <w:rsid w:val="00BE3D53"/>
    <w:rsid w:val="00BE3ECB"/>
    <w:rsid w:val="00BE405F"/>
    <w:rsid w:val="00BE4A75"/>
    <w:rsid w:val="00BE6AB9"/>
    <w:rsid w:val="00BE766C"/>
    <w:rsid w:val="00BF02C5"/>
    <w:rsid w:val="00BF0C32"/>
    <w:rsid w:val="00BF1BE0"/>
    <w:rsid w:val="00BF21C5"/>
    <w:rsid w:val="00BF2824"/>
    <w:rsid w:val="00BF2CA8"/>
    <w:rsid w:val="00BF3A23"/>
    <w:rsid w:val="00BF5CA7"/>
    <w:rsid w:val="00BF6671"/>
    <w:rsid w:val="00BF6746"/>
    <w:rsid w:val="00BF7163"/>
    <w:rsid w:val="00C003F8"/>
    <w:rsid w:val="00C0296B"/>
    <w:rsid w:val="00C03378"/>
    <w:rsid w:val="00C03DC7"/>
    <w:rsid w:val="00C041EF"/>
    <w:rsid w:val="00C04434"/>
    <w:rsid w:val="00C04A36"/>
    <w:rsid w:val="00C05477"/>
    <w:rsid w:val="00C05CB0"/>
    <w:rsid w:val="00C05D95"/>
    <w:rsid w:val="00C05E9F"/>
    <w:rsid w:val="00C060E3"/>
    <w:rsid w:val="00C065DA"/>
    <w:rsid w:val="00C06DF7"/>
    <w:rsid w:val="00C07123"/>
    <w:rsid w:val="00C0748D"/>
    <w:rsid w:val="00C077A1"/>
    <w:rsid w:val="00C07DC3"/>
    <w:rsid w:val="00C10BCD"/>
    <w:rsid w:val="00C1160B"/>
    <w:rsid w:val="00C12065"/>
    <w:rsid w:val="00C1250B"/>
    <w:rsid w:val="00C136F3"/>
    <w:rsid w:val="00C13734"/>
    <w:rsid w:val="00C145D3"/>
    <w:rsid w:val="00C15E11"/>
    <w:rsid w:val="00C16CF3"/>
    <w:rsid w:val="00C17137"/>
    <w:rsid w:val="00C1725B"/>
    <w:rsid w:val="00C17A60"/>
    <w:rsid w:val="00C203B7"/>
    <w:rsid w:val="00C204CC"/>
    <w:rsid w:val="00C20B04"/>
    <w:rsid w:val="00C21474"/>
    <w:rsid w:val="00C2187F"/>
    <w:rsid w:val="00C21DFA"/>
    <w:rsid w:val="00C2211F"/>
    <w:rsid w:val="00C22579"/>
    <w:rsid w:val="00C230ED"/>
    <w:rsid w:val="00C233C0"/>
    <w:rsid w:val="00C24723"/>
    <w:rsid w:val="00C24BA5"/>
    <w:rsid w:val="00C2518C"/>
    <w:rsid w:val="00C252DD"/>
    <w:rsid w:val="00C253EB"/>
    <w:rsid w:val="00C25D33"/>
    <w:rsid w:val="00C263DE"/>
    <w:rsid w:val="00C27882"/>
    <w:rsid w:val="00C3023D"/>
    <w:rsid w:val="00C305D3"/>
    <w:rsid w:val="00C308C7"/>
    <w:rsid w:val="00C30DF1"/>
    <w:rsid w:val="00C32AC1"/>
    <w:rsid w:val="00C3308A"/>
    <w:rsid w:val="00C331A0"/>
    <w:rsid w:val="00C332EF"/>
    <w:rsid w:val="00C334B0"/>
    <w:rsid w:val="00C33B78"/>
    <w:rsid w:val="00C33D0C"/>
    <w:rsid w:val="00C34350"/>
    <w:rsid w:val="00C344DA"/>
    <w:rsid w:val="00C34937"/>
    <w:rsid w:val="00C34A63"/>
    <w:rsid w:val="00C34D5E"/>
    <w:rsid w:val="00C353CD"/>
    <w:rsid w:val="00C3546D"/>
    <w:rsid w:val="00C354A2"/>
    <w:rsid w:val="00C359AD"/>
    <w:rsid w:val="00C36907"/>
    <w:rsid w:val="00C37163"/>
    <w:rsid w:val="00C4077B"/>
    <w:rsid w:val="00C411C4"/>
    <w:rsid w:val="00C41292"/>
    <w:rsid w:val="00C412FC"/>
    <w:rsid w:val="00C41409"/>
    <w:rsid w:val="00C41571"/>
    <w:rsid w:val="00C41AB0"/>
    <w:rsid w:val="00C420D1"/>
    <w:rsid w:val="00C42BB0"/>
    <w:rsid w:val="00C431D1"/>
    <w:rsid w:val="00C4327F"/>
    <w:rsid w:val="00C4531E"/>
    <w:rsid w:val="00C45A17"/>
    <w:rsid w:val="00C45FCB"/>
    <w:rsid w:val="00C4625B"/>
    <w:rsid w:val="00C466A7"/>
    <w:rsid w:val="00C46B16"/>
    <w:rsid w:val="00C4713B"/>
    <w:rsid w:val="00C47155"/>
    <w:rsid w:val="00C474BC"/>
    <w:rsid w:val="00C5210D"/>
    <w:rsid w:val="00C521DF"/>
    <w:rsid w:val="00C5225C"/>
    <w:rsid w:val="00C52688"/>
    <w:rsid w:val="00C52B56"/>
    <w:rsid w:val="00C53312"/>
    <w:rsid w:val="00C537DB"/>
    <w:rsid w:val="00C5397D"/>
    <w:rsid w:val="00C53BAD"/>
    <w:rsid w:val="00C54228"/>
    <w:rsid w:val="00C5520C"/>
    <w:rsid w:val="00C55A83"/>
    <w:rsid w:val="00C55C24"/>
    <w:rsid w:val="00C568FD"/>
    <w:rsid w:val="00C56EA8"/>
    <w:rsid w:val="00C5733A"/>
    <w:rsid w:val="00C577EA"/>
    <w:rsid w:val="00C60A93"/>
    <w:rsid w:val="00C610E1"/>
    <w:rsid w:val="00C61229"/>
    <w:rsid w:val="00C61528"/>
    <w:rsid w:val="00C61967"/>
    <w:rsid w:val="00C619DC"/>
    <w:rsid w:val="00C61AF3"/>
    <w:rsid w:val="00C6216A"/>
    <w:rsid w:val="00C62F8D"/>
    <w:rsid w:val="00C63803"/>
    <w:rsid w:val="00C63CDA"/>
    <w:rsid w:val="00C644A9"/>
    <w:rsid w:val="00C652F8"/>
    <w:rsid w:val="00C65DD7"/>
    <w:rsid w:val="00C66CFF"/>
    <w:rsid w:val="00C66E68"/>
    <w:rsid w:val="00C67024"/>
    <w:rsid w:val="00C6785E"/>
    <w:rsid w:val="00C67898"/>
    <w:rsid w:val="00C700C8"/>
    <w:rsid w:val="00C706D9"/>
    <w:rsid w:val="00C70B43"/>
    <w:rsid w:val="00C70F73"/>
    <w:rsid w:val="00C70FDA"/>
    <w:rsid w:val="00C71F11"/>
    <w:rsid w:val="00C72611"/>
    <w:rsid w:val="00C7367C"/>
    <w:rsid w:val="00C73AE9"/>
    <w:rsid w:val="00C73EFF"/>
    <w:rsid w:val="00C752AA"/>
    <w:rsid w:val="00C75523"/>
    <w:rsid w:val="00C763DE"/>
    <w:rsid w:val="00C76835"/>
    <w:rsid w:val="00C807B0"/>
    <w:rsid w:val="00C81668"/>
    <w:rsid w:val="00C83F62"/>
    <w:rsid w:val="00C84552"/>
    <w:rsid w:val="00C857C1"/>
    <w:rsid w:val="00C85975"/>
    <w:rsid w:val="00C85C03"/>
    <w:rsid w:val="00C8671A"/>
    <w:rsid w:val="00C86A69"/>
    <w:rsid w:val="00C86F75"/>
    <w:rsid w:val="00C87423"/>
    <w:rsid w:val="00C90751"/>
    <w:rsid w:val="00C9133F"/>
    <w:rsid w:val="00C9220E"/>
    <w:rsid w:val="00C92A3F"/>
    <w:rsid w:val="00C92BAB"/>
    <w:rsid w:val="00C9397C"/>
    <w:rsid w:val="00C93CF1"/>
    <w:rsid w:val="00C94E68"/>
    <w:rsid w:val="00C94FD2"/>
    <w:rsid w:val="00C955BA"/>
    <w:rsid w:val="00C95E0E"/>
    <w:rsid w:val="00C95F83"/>
    <w:rsid w:val="00C964F4"/>
    <w:rsid w:val="00C9673F"/>
    <w:rsid w:val="00C969E1"/>
    <w:rsid w:val="00CA0691"/>
    <w:rsid w:val="00CA1FE9"/>
    <w:rsid w:val="00CA3ABC"/>
    <w:rsid w:val="00CA410F"/>
    <w:rsid w:val="00CA41C1"/>
    <w:rsid w:val="00CA46CB"/>
    <w:rsid w:val="00CA4734"/>
    <w:rsid w:val="00CA4C73"/>
    <w:rsid w:val="00CA5262"/>
    <w:rsid w:val="00CA5B4E"/>
    <w:rsid w:val="00CA5B92"/>
    <w:rsid w:val="00CA6373"/>
    <w:rsid w:val="00CA7407"/>
    <w:rsid w:val="00CA7F92"/>
    <w:rsid w:val="00CB07F6"/>
    <w:rsid w:val="00CB1D53"/>
    <w:rsid w:val="00CB2708"/>
    <w:rsid w:val="00CB2956"/>
    <w:rsid w:val="00CB2D02"/>
    <w:rsid w:val="00CB2F40"/>
    <w:rsid w:val="00CB3684"/>
    <w:rsid w:val="00CB3A5F"/>
    <w:rsid w:val="00CB3F09"/>
    <w:rsid w:val="00CB46AB"/>
    <w:rsid w:val="00CB4796"/>
    <w:rsid w:val="00CB491C"/>
    <w:rsid w:val="00CB4E02"/>
    <w:rsid w:val="00CB571B"/>
    <w:rsid w:val="00CB647D"/>
    <w:rsid w:val="00CB649E"/>
    <w:rsid w:val="00CB67B4"/>
    <w:rsid w:val="00CB6B28"/>
    <w:rsid w:val="00CB6DB4"/>
    <w:rsid w:val="00CB7A0C"/>
    <w:rsid w:val="00CC053D"/>
    <w:rsid w:val="00CC096F"/>
    <w:rsid w:val="00CC1C18"/>
    <w:rsid w:val="00CC2CDC"/>
    <w:rsid w:val="00CC3255"/>
    <w:rsid w:val="00CC3A7A"/>
    <w:rsid w:val="00CC3B8D"/>
    <w:rsid w:val="00CC3D8E"/>
    <w:rsid w:val="00CC3E63"/>
    <w:rsid w:val="00CC41FD"/>
    <w:rsid w:val="00CC42B6"/>
    <w:rsid w:val="00CC47A3"/>
    <w:rsid w:val="00CC489D"/>
    <w:rsid w:val="00CC4B70"/>
    <w:rsid w:val="00CC56FB"/>
    <w:rsid w:val="00CC58DA"/>
    <w:rsid w:val="00CC6218"/>
    <w:rsid w:val="00CC6730"/>
    <w:rsid w:val="00CC6FD8"/>
    <w:rsid w:val="00CC730B"/>
    <w:rsid w:val="00CC747A"/>
    <w:rsid w:val="00CC7553"/>
    <w:rsid w:val="00CC7B03"/>
    <w:rsid w:val="00CD026B"/>
    <w:rsid w:val="00CD06D7"/>
    <w:rsid w:val="00CD0CA2"/>
    <w:rsid w:val="00CD12E9"/>
    <w:rsid w:val="00CD16E5"/>
    <w:rsid w:val="00CD20EC"/>
    <w:rsid w:val="00CD2941"/>
    <w:rsid w:val="00CD3852"/>
    <w:rsid w:val="00CD48EC"/>
    <w:rsid w:val="00CD4A17"/>
    <w:rsid w:val="00CD501E"/>
    <w:rsid w:val="00CD52D9"/>
    <w:rsid w:val="00CD5461"/>
    <w:rsid w:val="00CD566C"/>
    <w:rsid w:val="00CD59F3"/>
    <w:rsid w:val="00CD5B98"/>
    <w:rsid w:val="00CD5F1D"/>
    <w:rsid w:val="00CD611B"/>
    <w:rsid w:val="00CD6181"/>
    <w:rsid w:val="00CD6777"/>
    <w:rsid w:val="00CD762D"/>
    <w:rsid w:val="00CD7E4F"/>
    <w:rsid w:val="00CD7F42"/>
    <w:rsid w:val="00CE0038"/>
    <w:rsid w:val="00CE0108"/>
    <w:rsid w:val="00CE0F9A"/>
    <w:rsid w:val="00CE124B"/>
    <w:rsid w:val="00CE134B"/>
    <w:rsid w:val="00CE22B1"/>
    <w:rsid w:val="00CE366D"/>
    <w:rsid w:val="00CE4240"/>
    <w:rsid w:val="00CE4572"/>
    <w:rsid w:val="00CE4B2E"/>
    <w:rsid w:val="00CE4C9C"/>
    <w:rsid w:val="00CE4D1C"/>
    <w:rsid w:val="00CE50A1"/>
    <w:rsid w:val="00CE5721"/>
    <w:rsid w:val="00CE5D54"/>
    <w:rsid w:val="00CE6903"/>
    <w:rsid w:val="00CE713B"/>
    <w:rsid w:val="00CF0705"/>
    <w:rsid w:val="00CF2A46"/>
    <w:rsid w:val="00CF2D11"/>
    <w:rsid w:val="00CF2E9F"/>
    <w:rsid w:val="00CF30FC"/>
    <w:rsid w:val="00CF3ED3"/>
    <w:rsid w:val="00CF401F"/>
    <w:rsid w:val="00CF6767"/>
    <w:rsid w:val="00CF692E"/>
    <w:rsid w:val="00CF7624"/>
    <w:rsid w:val="00CF796A"/>
    <w:rsid w:val="00D00636"/>
    <w:rsid w:val="00D00D3B"/>
    <w:rsid w:val="00D00EF5"/>
    <w:rsid w:val="00D00F58"/>
    <w:rsid w:val="00D0121F"/>
    <w:rsid w:val="00D01980"/>
    <w:rsid w:val="00D01B1B"/>
    <w:rsid w:val="00D01B20"/>
    <w:rsid w:val="00D02CB8"/>
    <w:rsid w:val="00D02F30"/>
    <w:rsid w:val="00D034E0"/>
    <w:rsid w:val="00D0356B"/>
    <w:rsid w:val="00D0431A"/>
    <w:rsid w:val="00D05075"/>
    <w:rsid w:val="00D054E9"/>
    <w:rsid w:val="00D06153"/>
    <w:rsid w:val="00D0622C"/>
    <w:rsid w:val="00D064D2"/>
    <w:rsid w:val="00D06C6C"/>
    <w:rsid w:val="00D07BD4"/>
    <w:rsid w:val="00D07FCB"/>
    <w:rsid w:val="00D10996"/>
    <w:rsid w:val="00D1103C"/>
    <w:rsid w:val="00D11077"/>
    <w:rsid w:val="00D116C3"/>
    <w:rsid w:val="00D12137"/>
    <w:rsid w:val="00D12918"/>
    <w:rsid w:val="00D13394"/>
    <w:rsid w:val="00D13FE2"/>
    <w:rsid w:val="00D14B0C"/>
    <w:rsid w:val="00D150F7"/>
    <w:rsid w:val="00D151A8"/>
    <w:rsid w:val="00D1559D"/>
    <w:rsid w:val="00D157CD"/>
    <w:rsid w:val="00D1591C"/>
    <w:rsid w:val="00D15D44"/>
    <w:rsid w:val="00D162B1"/>
    <w:rsid w:val="00D162DF"/>
    <w:rsid w:val="00D16BD8"/>
    <w:rsid w:val="00D170C7"/>
    <w:rsid w:val="00D177BC"/>
    <w:rsid w:val="00D17C38"/>
    <w:rsid w:val="00D17C6B"/>
    <w:rsid w:val="00D208F7"/>
    <w:rsid w:val="00D20C91"/>
    <w:rsid w:val="00D212B2"/>
    <w:rsid w:val="00D213E8"/>
    <w:rsid w:val="00D21B44"/>
    <w:rsid w:val="00D21D4E"/>
    <w:rsid w:val="00D21D90"/>
    <w:rsid w:val="00D21DE4"/>
    <w:rsid w:val="00D223E1"/>
    <w:rsid w:val="00D22517"/>
    <w:rsid w:val="00D22636"/>
    <w:rsid w:val="00D242E2"/>
    <w:rsid w:val="00D2508E"/>
    <w:rsid w:val="00D25936"/>
    <w:rsid w:val="00D26846"/>
    <w:rsid w:val="00D269D7"/>
    <w:rsid w:val="00D26B3D"/>
    <w:rsid w:val="00D26FCE"/>
    <w:rsid w:val="00D27699"/>
    <w:rsid w:val="00D27CF2"/>
    <w:rsid w:val="00D27E29"/>
    <w:rsid w:val="00D31804"/>
    <w:rsid w:val="00D31D46"/>
    <w:rsid w:val="00D31E11"/>
    <w:rsid w:val="00D32CFA"/>
    <w:rsid w:val="00D32E3F"/>
    <w:rsid w:val="00D332EA"/>
    <w:rsid w:val="00D3400A"/>
    <w:rsid w:val="00D34201"/>
    <w:rsid w:val="00D35341"/>
    <w:rsid w:val="00D36653"/>
    <w:rsid w:val="00D37120"/>
    <w:rsid w:val="00D4021A"/>
    <w:rsid w:val="00D407C0"/>
    <w:rsid w:val="00D411A4"/>
    <w:rsid w:val="00D419E2"/>
    <w:rsid w:val="00D43C7E"/>
    <w:rsid w:val="00D447F6"/>
    <w:rsid w:val="00D4499A"/>
    <w:rsid w:val="00D44F14"/>
    <w:rsid w:val="00D45713"/>
    <w:rsid w:val="00D471F4"/>
    <w:rsid w:val="00D472D9"/>
    <w:rsid w:val="00D47E87"/>
    <w:rsid w:val="00D50290"/>
    <w:rsid w:val="00D520F4"/>
    <w:rsid w:val="00D5292D"/>
    <w:rsid w:val="00D52AEE"/>
    <w:rsid w:val="00D52D6F"/>
    <w:rsid w:val="00D53348"/>
    <w:rsid w:val="00D54200"/>
    <w:rsid w:val="00D54586"/>
    <w:rsid w:val="00D55219"/>
    <w:rsid w:val="00D5560B"/>
    <w:rsid w:val="00D559FF"/>
    <w:rsid w:val="00D56C6C"/>
    <w:rsid w:val="00D570D4"/>
    <w:rsid w:val="00D60511"/>
    <w:rsid w:val="00D60999"/>
    <w:rsid w:val="00D61525"/>
    <w:rsid w:val="00D6158A"/>
    <w:rsid w:val="00D6177B"/>
    <w:rsid w:val="00D61E0E"/>
    <w:rsid w:val="00D6204C"/>
    <w:rsid w:val="00D620A0"/>
    <w:rsid w:val="00D62460"/>
    <w:rsid w:val="00D62800"/>
    <w:rsid w:val="00D637EB"/>
    <w:rsid w:val="00D638EF"/>
    <w:rsid w:val="00D6399A"/>
    <w:rsid w:val="00D63A0B"/>
    <w:rsid w:val="00D64160"/>
    <w:rsid w:val="00D647C6"/>
    <w:rsid w:val="00D64A15"/>
    <w:rsid w:val="00D66151"/>
    <w:rsid w:val="00D67F13"/>
    <w:rsid w:val="00D70C3D"/>
    <w:rsid w:val="00D71441"/>
    <w:rsid w:val="00D7181F"/>
    <w:rsid w:val="00D71A8B"/>
    <w:rsid w:val="00D71B30"/>
    <w:rsid w:val="00D71B8F"/>
    <w:rsid w:val="00D722D8"/>
    <w:rsid w:val="00D72934"/>
    <w:rsid w:val="00D72C6E"/>
    <w:rsid w:val="00D72E20"/>
    <w:rsid w:val="00D72E22"/>
    <w:rsid w:val="00D7324E"/>
    <w:rsid w:val="00D735C1"/>
    <w:rsid w:val="00D73834"/>
    <w:rsid w:val="00D74B99"/>
    <w:rsid w:val="00D74D35"/>
    <w:rsid w:val="00D75AC1"/>
    <w:rsid w:val="00D75FD4"/>
    <w:rsid w:val="00D76C82"/>
    <w:rsid w:val="00D772F4"/>
    <w:rsid w:val="00D775AE"/>
    <w:rsid w:val="00D77D5D"/>
    <w:rsid w:val="00D8025F"/>
    <w:rsid w:val="00D80389"/>
    <w:rsid w:val="00D807A8"/>
    <w:rsid w:val="00D807FE"/>
    <w:rsid w:val="00D80C71"/>
    <w:rsid w:val="00D813AA"/>
    <w:rsid w:val="00D82C97"/>
    <w:rsid w:val="00D82EF8"/>
    <w:rsid w:val="00D8391B"/>
    <w:rsid w:val="00D84081"/>
    <w:rsid w:val="00D844AE"/>
    <w:rsid w:val="00D8470D"/>
    <w:rsid w:val="00D84948"/>
    <w:rsid w:val="00D84AE2"/>
    <w:rsid w:val="00D85111"/>
    <w:rsid w:val="00D851C3"/>
    <w:rsid w:val="00D85A3B"/>
    <w:rsid w:val="00D85A67"/>
    <w:rsid w:val="00D86161"/>
    <w:rsid w:val="00D86443"/>
    <w:rsid w:val="00D86830"/>
    <w:rsid w:val="00D86B60"/>
    <w:rsid w:val="00D86D24"/>
    <w:rsid w:val="00D8707C"/>
    <w:rsid w:val="00D87509"/>
    <w:rsid w:val="00D876E7"/>
    <w:rsid w:val="00D87B15"/>
    <w:rsid w:val="00D91033"/>
    <w:rsid w:val="00D91F93"/>
    <w:rsid w:val="00D91FA9"/>
    <w:rsid w:val="00D9248C"/>
    <w:rsid w:val="00D92E16"/>
    <w:rsid w:val="00D92FA6"/>
    <w:rsid w:val="00D93685"/>
    <w:rsid w:val="00D938F0"/>
    <w:rsid w:val="00D93A17"/>
    <w:rsid w:val="00D93F80"/>
    <w:rsid w:val="00D94169"/>
    <w:rsid w:val="00D941E1"/>
    <w:rsid w:val="00D9463F"/>
    <w:rsid w:val="00D95703"/>
    <w:rsid w:val="00D967CC"/>
    <w:rsid w:val="00D97B89"/>
    <w:rsid w:val="00D97F24"/>
    <w:rsid w:val="00DA1A94"/>
    <w:rsid w:val="00DA211C"/>
    <w:rsid w:val="00DA23D7"/>
    <w:rsid w:val="00DA23D8"/>
    <w:rsid w:val="00DA259B"/>
    <w:rsid w:val="00DA2843"/>
    <w:rsid w:val="00DA34A8"/>
    <w:rsid w:val="00DA48AF"/>
    <w:rsid w:val="00DA4A92"/>
    <w:rsid w:val="00DA5137"/>
    <w:rsid w:val="00DA513E"/>
    <w:rsid w:val="00DA5F1D"/>
    <w:rsid w:val="00DA629F"/>
    <w:rsid w:val="00DA62D0"/>
    <w:rsid w:val="00DA6AB6"/>
    <w:rsid w:val="00DA7063"/>
    <w:rsid w:val="00DA7860"/>
    <w:rsid w:val="00DA7E8B"/>
    <w:rsid w:val="00DB05D1"/>
    <w:rsid w:val="00DB219A"/>
    <w:rsid w:val="00DB29C6"/>
    <w:rsid w:val="00DB2AE4"/>
    <w:rsid w:val="00DB2B3B"/>
    <w:rsid w:val="00DB2DAC"/>
    <w:rsid w:val="00DB3446"/>
    <w:rsid w:val="00DB36D2"/>
    <w:rsid w:val="00DB405D"/>
    <w:rsid w:val="00DB49A6"/>
    <w:rsid w:val="00DB4F5B"/>
    <w:rsid w:val="00DB4F84"/>
    <w:rsid w:val="00DB5616"/>
    <w:rsid w:val="00DB5C40"/>
    <w:rsid w:val="00DB626D"/>
    <w:rsid w:val="00DB6DA7"/>
    <w:rsid w:val="00DB70C3"/>
    <w:rsid w:val="00DB7A0B"/>
    <w:rsid w:val="00DC02B4"/>
    <w:rsid w:val="00DC0A40"/>
    <w:rsid w:val="00DC0D39"/>
    <w:rsid w:val="00DC1D03"/>
    <w:rsid w:val="00DC1E1D"/>
    <w:rsid w:val="00DC285F"/>
    <w:rsid w:val="00DC2A95"/>
    <w:rsid w:val="00DC3069"/>
    <w:rsid w:val="00DC3600"/>
    <w:rsid w:val="00DC3F2A"/>
    <w:rsid w:val="00DC4985"/>
    <w:rsid w:val="00DC5AA3"/>
    <w:rsid w:val="00DC66C9"/>
    <w:rsid w:val="00DC686E"/>
    <w:rsid w:val="00DC6CE4"/>
    <w:rsid w:val="00DC7984"/>
    <w:rsid w:val="00DD1233"/>
    <w:rsid w:val="00DD127F"/>
    <w:rsid w:val="00DD164E"/>
    <w:rsid w:val="00DD1734"/>
    <w:rsid w:val="00DD2F0B"/>
    <w:rsid w:val="00DD3B97"/>
    <w:rsid w:val="00DD513D"/>
    <w:rsid w:val="00DD6634"/>
    <w:rsid w:val="00DD66AE"/>
    <w:rsid w:val="00DD67B2"/>
    <w:rsid w:val="00DD6860"/>
    <w:rsid w:val="00DD6A16"/>
    <w:rsid w:val="00DD7BA3"/>
    <w:rsid w:val="00DE0989"/>
    <w:rsid w:val="00DE0B5D"/>
    <w:rsid w:val="00DE2636"/>
    <w:rsid w:val="00DE2DF4"/>
    <w:rsid w:val="00DE321D"/>
    <w:rsid w:val="00DE32AF"/>
    <w:rsid w:val="00DE3927"/>
    <w:rsid w:val="00DE41BF"/>
    <w:rsid w:val="00DE4C88"/>
    <w:rsid w:val="00DE54DD"/>
    <w:rsid w:val="00DE5527"/>
    <w:rsid w:val="00DE562B"/>
    <w:rsid w:val="00DE615A"/>
    <w:rsid w:val="00DE6684"/>
    <w:rsid w:val="00DE6875"/>
    <w:rsid w:val="00DE6A04"/>
    <w:rsid w:val="00DE6EAF"/>
    <w:rsid w:val="00DE7516"/>
    <w:rsid w:val="00DE7BBE"/>
    <w:rsid w:val="00DE7E92"/>
    <w:rsid w:val="00DF0610"/>
    <w:rsid w:val="00DF1859"/>
    <w:rsid w:val="00DF22D3"/>
    <w:rsid w:val="00DF35FE"/>
    <w:rsid w:val="00DF3BCB"/>
    <w:rsid w:val="00DF3E3B"/>
    <w:rsid w:val="00DF4BCD"/>
    <w:rsid w:val="00DF6966"/>
    <w:rsid w:val="00E00922"/>
    <w:rsid w:val="00E00BF7"/>
    <w:rsid w:val="00E01196"/>
    <w:rsid w:val="00E011A0"/>
    <w:rsid w:val="00E025DA"/>
    <w:rsid w:val="00E02B7E"/>
    <w:rsid w:val="00E02DBB"/>
    <w:rsid w:val="00E03C25"/>
    <w:rsid w:val="00E0441A"/>
    <w:rsid w:val="00E04A23"/>
    <w:rsid w:val="00E0502E"/>
    <w:rsid w:val="00E054C9"/>
    <w:rsid w:val="00E0582F"/>
    <w:rsid w:val="00E066BC"/>
    <w:rsid w:val="00E0735F"/>
    <w:rsid w:val="00E07A9E"/>
    <w:rsid w:val="00E07EA1"/>
    <w:rsid w:val="00E07F7D"/>
    <w:rsid w:val="00E100C9"/>
    <w:rsid w:val="00E11EAD"/>
    <w:rsid w:val="00E12557"/>
    <w:rsid w:val="00E136A1"/>
    <w:rsid w:val="00E14211"/>
    <w:rsid w:val="00E1450F"/>
    <w:rsid w:val="00E14A1A"/>
    <w:rsid w:val="00E14BE0"/>
    <w:rsid w:val="00E14DC9"/>
    <w:rsid w:val="00E15081"/>
    <w:rsid w:val="00E16374"/>
    <w:rsid w:val="00E16C56"/>
    <w:rsid w:val="00E16E2D"/>
    <w:rsid w:val="00E17564"/>
    <w:rsid w:val="00E17B80"/>
    <w:rsid w:val="00E20E32"/>
    <w:rsid w:val="00E21331"/>
    <w:rsid w:val="00E21D91"/>
    <w:rsid w:val="00E23758"/>
    <w:rsid w:val="00E23D5D"/>
    <w:rsid w:val="00E2474E"/>
    <w:rsid w:val="00E2496B"/>
    <w:rsid w:val="00E24D68"/>
    <w:rsid w:val="00E250A4"/>
    <w:rsid w:val="00E25A8F"/>
    <w:rsid w:val="00E26EF7"/>
    <w:rsid w:val="00E27ED9"/>
    <w:rsid w:val="00E30512"/>
    <w:rsid w:val="00E30A8A"/>
    <w:rsid w:val="00E30DA9"/>
    <w:rsid w:val="00E3106B"/>
    <w:rsid w:val="00E31CC4"/>
    <w:rsid w:val="00E31F05"/>
    <w:rsid w:val="00E328D4"/>
    <w:rsid w:val="00E32ADD"/>
    <w:rsid w:val="00E32CFE"/>
    <w:rsid w:val="00E32E07"/>
    <w:rsid w:val="00E333FC"/>
    <w:rsid w:val="00E33927"/>
    <w:rsid w:val="00E340A0"/>
    <w:rsid w:val="00E36195"/>
    <w:rsid w:val="00E40631"/>
    <w:rsid w:val="00E40CC4"/>
    <w:rsid w:val="00E41936"/>
    <w:rsid w:val="00E4224F"/>
    <w:rsid w:val="00E42371"/>
    <w:rsid w:val="00E42C58"/>
    <w:rsid w:val="00E42F01"/>
    <w:rsid w:val="00E430B6"/>
    <w:rsid w:val="00E45586"/>
    <w:rsid w:val="00E45847"/>
    <w:rsid w:val="00E46006"/>
    <w:rsid w:val="00E4634D"/>
    <w:rsid w:val="00E46626"/>
    <w:rsid w:val="00E47BF2"/>
    <w:rsid w:val="00E50C49"/>
    <w:rsid w:val="00E50D75"/>
    <w:rsid w:val="00E51742"/>
    <w:rsid w:val="00E51846"/>
    <w:rsid w:val="00E527A5"/>
    <w:rsid w:val="00E548AE"/>
    <w:rsid w:val="00E54E44"/>
    <w:rsid w:val="00E55898"/>
    <w:rsid w:val="00E55CDC"/>
    <w:rsid w:val="00E560F4"/>
    <w:rsid w:val="00E56919"/>
    <w:rsid w:val="00E5695B"/>
    <w:rsid w:val="00E573C0"/>
    <w:rsid w:val="00E57CC7"/>
    <w:rsid w:val="00E57F65"/>
    <w:rsid w:val="00E606D7"/>
    <w:rsid w:val="00E61750"/>
    <w:rsid w:val="00E62D60"/>
    <w:rsid w:val="00E63374"/>
    <w:rsid w:val="00E63C95"/>
    <w:rsid w:val="00E64055"/>
    <w:rsid w:val="00E64ECB"/>
    <w:rsid w:val="00E650D4"/>
    <w:rsid w:val="00E65B72"/>
    <w:rsid w:val="00E65D6B"/>
    <w:rsid w:val="00E65F39"/>
    <w:rsid w:val="00E664DA"/>
    <w:rsid w:val="00E665AA"/>
    <w:rsid w:val="00E66653"/>
    <w:rsid w:val="00E6777F"/>
    <w:rsid w:val="00E678FD"/>
    <w:rsid w:val="00E70419"/>
    <w:rsid w:val="00E713EA"/>
    <w:rsid w:val="00E71482"/>
    <w:rsid w:val="00E7166E"/>
    <w:rsid w:val="00E72297"/>
    <w:rsid w:val="00E72645"/>
    <w:rsid w:val="00E728F6"/>
    <w:rsid w:val="00E7387D"/>
    <w:rsid w:val="00E744FF"/>
    <w:rsid w:val="00E74807"/>
    <w:rsid w:val="00E75267"/>
    <w:rsid w:val="00E7636C"/>
    <w:rsid w:val="00E764B0"/>
    <w:rsid w:val="00E7673A"/>
    <w:rsid w:val="00E76B2D"/>
    <w:rsid w:val="00E76D3F"/>
    <w:rsid w:val="00E76DF8"/>
    <w:rsid w:val="00E772B4"/>
    <w:rsid w:val="00E777DA"/>
    <w:rsid w:val="00E77ED5"/>
    <w:rsid w:val="00E80777"/>
    <w:rsid w:val="00E80C49"/>
    <w:rsid w:val="00E816B7"/>
    <w:rsid w:val="00E816CD"/>
    <w:rsid w:val="00E81998"/>
    <w:rsid w:val="00E81D8B"/>
    <w:rsid w:val="00E82845"/>
    <w:rsid w:val="00E82863"/>
    <w:rsid w:val="00E82A43"/>
    <w:rsid w:val="00E82EBD"/>
    <w:rsid w:val="00E835A5"/>
    <w:rsid w:val="00E8385F"/>
    <w:rsid w:val="00E83A6C"/>
    <w:rsid w:val="00E84256"/>
    <w:rsid w:val="00E845CF"/>
    <w:rsid w:val="00E853BA"/>
    <w:rsid w:val="00E85D41"/>
    <w:rsid w:val="00E875C4"/>
    <w:rsid w:val="00E87CF2"/>
    <w:rsid w:val="00E9077D"/>
    <w:rsid w:val="00E9155D"/>
    <w:rsid w:val="00E919E1"/>
    <w:rsid w:val="00E91EB9"/>
    <w:rsid w:val="00E9328F"/>
    <w:rsid w:val="00E9463A"/>
    <w:rsid w:val="00E94FD5"/>
    <w:rsid w:val="00E95883"/>
    <w:rsid w:val="00E95B64"/>
    <w:rsid w:val="00E9622A"/>
    <w:rsid w:val="00E9641C"/>
    <w:rsid w:val="00E96DD9"/>
    <w:rsid w:val="00E9702C"/>
    <w:rsid w:val="00E97931"/>
    <w:rsid w:val="00E97B48"/>
    <w:rsid w:val="00EA0D01"/>
    <w:rsid w:val="00EA1291"/>
    <w:rsid w:val="00EA1509"/>
    <w:rsid w:val="00EA1624"/>
    <w:rsid w:val="00EA1A5F"/>
    <w:rsid w:val="00EA22C3"/>
    <w:rsid w:val="00EA2627"/>
    <w:rsid w:val="00EA2FDE"/>
    <w:rsid w:val="00EA3216"/>
    <w:rsid w:val="00EA36D4"/>
    <w:rsid w:val="00EA3D33"/>
    <w:rsid w:val="00EA3E7F"/>
    <w:rsid w:val="00EA421F"/>
    <w:rsid w:val="00EA4BB4"/>
    <w:rsid w:val="00EA4F0B"/>
    <w:rsid w:val="00EA5265"/>
    <w:rsid w:val="00EA564D"/>
    <w:rsid w:val="00EA574E"/>
    <w:rsid w:val="00EA5DCB"/>
    <w:rsid w:val="00EA6672"/>
    <w:rsid w:val="00EA768F"/>
    <w:rsid w:val="00EA789B"/>
    <w:rsid w:val="00EA7C0E"/>
    <w:rsid w:val="00EB131A"/>
    <w:rsid w:val="00EB212C"/>
    <w:rsid w:val="00EB2C5C"/>
    <w:rsid w:val="00EB3345"/>
    <w:rsid w:val="00EB37DD"/>
    <w:rsid w:val="00EB3DCD"/>
    <w:rsid w:val="00EB50C2"/>
    <w:rsid w:val="00EB57B1"/>
    <w:rsid w:val="00EB6203"/>
    <w:rsid w:val="00EB62FB"/>
    <w:rsid w:val="00EB68A5"/>
    <w:rsid w:val="00EB6B9E"/>
    <w:rsid w:val="00EB6D04"/>
    <w:rsid w:val="00EB7037"/>
    <w:rsid w:val="00EB761B"/>
    <w:rsid w:val="00EB76C5"/>
    <w:rsid w:val="00EC040A"/>
    <w:rsid w:val="00EC07B4"/>
    <w:rsid w:val="00EC2695"/>
    <w:rsid w:val="00EC2753"/>
    <w:rsid w:val="00EC2DCC"/>
    <w:rsid w:val="00EC2E9D"/>
    <w:rsid w:val="00EC3032"/>
    <w:rsid w:val="00EC3097"/>
    <w:rsid w:val="00EC3276"/>
    <w:rsid w:val="00EC4C4A"/>
    <w:rsid w:val="00EC5972"/>
    <w:rsid w:val="00EC6566"/>
    <w:rsid w:val="00ED03F9"/>
    <w:rsid w:val="00ED140D"/>
    <w:rsid w:val="00ED1922"/>
    <w:rsid w:val="00ED2728"/>
    <w:rsid w:val="00ED277C"/>
    <w:rsid w:val="00ED392D"/>
    <w:rsid w:val="00ED404A"/>
    <w:rsid w:val="00ED4839"/>
    <w:rsid w:val="00ED48A5"/>
    <w:rsid w:val="00ED5508"/>
    <w:rsid w:val="00ED6AFA"/>
    <w:rsid w:val="00ED709C"/>
    <w:rsid w:val="00EE012E"/>
    <w:rsid w:val="00EE0ADB"/>
    <w:rsid w:val="00EE0CF9"/>
    <w:rsid w:val="00EE0D26"/>
    <w:rsid w:val="00EE197B"/>
    <w:rsid w:val="00EE273D"/>
    <w:rsid w:val="00EE2B1D"/>
    <w:rsid w:val="00EE38EA"/>
    <w:rsid w:val="00EE3F95"/>
    <w:rsid w:val="00EE40FE"/>
    <w:rsid w:val="00EE4216"/>
    <w:rsid w:val="00EE5592"/>
    <w:rsid w:val="00EE5BC9"/>
    <w:rsid w:val="00EE6DBE"/>
    <w:rsid w:val="00EE6ED2"/>
    <w:rsid w:val="00EF000B"/>
    <w:rsid w:val="00EF00DB"/>
    <w:rsid w:val="00EF06B4"/>
    <w:rsid w:val="00EF0896"/>
    <w:rsid w:val="00EF139C"/>
    <w:rsid w:val="00EF14BD"/>
    <w:rsid w:val="00EF17AA"/>
    <w:rsid w:val="00EF1A81"/>
    <w:rsid w:val="00EF22F6"/>
    <w:rsid w:val="00EF36EA"/>
    <w:rsid w:val="00EF37F5"/>
    <w:rsid w:val="00EF3D5A"/>
    <w:rsid w:val="00EF43DB"/>
    <w:rsid w:val="00EF43F4"/>
    <w:rsid w:val="00EF47DC"/>
    <w:rsid w:val="00EF5365"/>
    <w:rsid w:val="00EF5C62"/>
    <w:rsid w:val="00EF70BD"/>
    <w:rsid w:val="00EF756B"/>
    <w:rsid w:val="00F000C0"/>
    <w:rsid w:val="00F009E1"/>
    <w:rsid w:val="00F00AFC"/>
    <w:rsid w:val="00F00CE5"/>
    <w:rsid w:val="00F00EF6"/>
    <w:rsid w:val="00F01A2D"/>
    <w:rsid w:val="00F0281E"/>
    <w:rsid w:val="00F028E8"/>
    <w:rsid w:val="00F02B96"/>
    <w:rsid w:val="00F02FBF"/>
    <w:rsid w:val="00F05628"/>
    <w:rsid w:val="00F0623E"/>
    <w:rsid w:val="00F06F21"/>
    <w:rsid w:val="00F073E1"/>
    <w:rsid w:val="00F123EA"/>
    <w:rsid w:val="00F129A9"/>
    <w:rsid w:val="00F13387"/>
    <w:rsid w:val="00F1391A"/>
    <w:rsid w:val="00F141A4"/>
    <w:rsid w:val="00F15346"/>
    <w:rsid w:val="00F15376"/>
    <w:rsid w:val="00F1540E"/>
    <w:rsid w:val="00F15B09"/>
    <w:rsid w:val="00F16605"/>
    <w:rsid w:val="00F17353"/>
    <w:rsid w:val="00F17CFC"/>
    <w:rsid w:val="00F17ED1"/>
    <w:rsid w:val="00F2008D"/>
    <w:rsid w:val="00F202A6"/>
    <w:rsid w:val="00F20689"/>
    <w:rsid w:val="00F20EE0"/>
    <w:rsid w:val="00F212DE"/>
    <w:rsid w:val="00F2257B"/>
    <w:rsid w:val="00F22582"/>
    <w:rsid w:val="00F22596"/>
    <w:rsid w:val="00F22968"/>
    <w:rsid w:val="00F23D2A"/>
    <w:rsid w:val="00F23F65"/>
    <w:rsid w:val="00F2406F"/>
    <w:rsid w:val="00F24240"/>
    <w:rsid w:val="00F2428A"/>
    <w:rsid w:val="00F24380"/>
    <w:rsid w:val="00F245D4"/>
    <w:rsid w:val="00F24832"/>
    <w:rsid w:val="00F250CC"/>
    <w:rsid w:val="00F25540"/>
    <w:rsid w:val="00F25676"/>
    <w:rsid w:val="00F25E0C"/>
    <w:rsid w:val="00F25E94"/>
    <w:rsid w:val="00F2614A"/>
    <w:rsid w:val="00F263A7"/>
    <w:rsid w:val="00F26BF7"/>
    <w:rsid w:val="00F26E0B"/>
    <w:rsid w:val="00F30150"/>
    <w:rsid w:val="00F30527"/>
    <w:rsid w:val="00F307BD"/>
    <w:rsid w:val="00F31724"/>
    <w:rsid w:val="00F3198B"/>
    <w:rsid w:val="00F32083"/>
    <w:rsid w:val="00F32130"/>
    <w:rsid w:val="00F33BF1"/>
    <w:rsid w:val="00F346E9"/>
    <w:rsid w:val="00F3490E"/>
    <w:rsid w:val="00F350E3"/>
    <w:rsid w:val="00F35CB0"/>
    <w:rsid w:val="00F36A49"/>
    <w:rsid w:val="00F36CD5"/>
    <w:rsid w:val="00F37484"/>
    <w:rsid w:val="00F37815"/>
    <w:rsid w:val="00F401C4"/>
    <w:rsid w:val="00F405AA"/>
    <w:rsid w:val="00F40942"/>
    <w:rsid w:val="00F418A2"/>
    <w:rsid w:val="00F41AAF"/>
    <w:rsid w:val="00F41E10"/>
    <w:rsid w:val="00F421A6"/>
    <w:rsid w:val="00F42630"/>
    <w:rsid w:val="00F42EBD"/>
    <w:rsid w:val="00F445B1"/>
    <w:rsid w:val="00F44759"/>
    <w:rsid w:val="00F44B1D"/>
    <w:rsid w:val="00F45899"/>
    <w:rsid w:val="00F46B43"/>
    <w:rsid w:val="00F46FC1"/>
    <w:rsid w:val="00F503AD"/>
    <w:rsid w:val="00F5091E"/>
    <w:rsid w:val="00F5162D"/>
    <w:rsid w:val="00F51FC1"/>
    <w:rsid w:val="00F522FB"/>
    <w:rsid w:val="00F536B3"/>
    <w:rsid w:val="00F53A78"/>
    <w:rsid w:val="00F53EC5"/>
    <w:rsid w:val="00F543D2"/>
    <w:rsid w:val="00F5474D"/>
    <w:rsid w:val="00F54B5B"/>
    <w:rsid w:val="00F55E1F"/>
    <w:rsid w:val="00F55FA4"/>
    <w:rsid w:val="00F56248"/>
    <w:rsid w:val="00F56E16"/>
    <w:rsid w:val="00F56E44"/>
    <w:rsid w:val="00F5712C"/>
    <w:rsid w:val="00F57451"/>
    <w:rsid w:val="00F57D83"/>
    <w:rsid w:val="00F57FC6"/>
    <w:rsid w:val="00F602DC"/>
    <w:rsid w:val="00F606B4"/>
    <w:rsid w:val="00F6085A"/>
    <w:rsid w:val="00F609E6"/>
    <w:rsid w:val="00F6136E"/>
    <w:rsid w:val="00F61725"/>
    <w:rsid w:val="00F61865"/>
    <w:rsid w:val="00F618C0"/>
    <w:rsid w:val="00F62208"/>
    <w:rsid w:val="00F62232"/>
    <w:rsid w:val="00F62263"/>
    <w:rsid w:val="00F627B2"/>
    <w:rsid w:val="00F62BCC"/>
    <w:rsid w:val="00F64386"/>
    <w:rsid w:val="00F647D4"/>
    <w:rsid w:val="00F66219"/>
    <w:rsid w:val="00F663E7"/>
    <w:rsid w:val="00F66F89"/>
    <w:rsid w:val="00F7057A"/>
    <w:rsid w:val="00F70762"/>
    <w:rsid w:val="00F70A4A"/>
    <w:rsid w:val="00F717BB"/>
    <w:rsid w:val="00F71C00"/>
    <w:rsid w:val="00F71C44"/>
    <w:rsid w:val="00F721B6"/>
    <w:rsid w:val="00F72444"/>
    <w:rsid w:val="00F72494"/>
    <w:rsid w:val="00F72505"/>
    <w:rsid w:val="00F72641"/>
    <w:rsid w:val="00F730B9"/>
    <w:rsid w:val="00F732E5"/>
    <w:rsid w:val="00F73C79"/>
    <w:rsid w:val="00F73FEE"/>
    <w:rsid w:val="00F747D5"/>
    <w:rsid w:val="00F7556D"/>
    <w:rsid w:val="00F755EA"/>
    <w:rsid w:val="00F762B3"/>
    <w:rsid w:val="00F77B00"/>
    <w:rsid w:val="00F77CA3"/>
    <w:rsid w:val="00F77EFA"/>
    <w:rsid w:val="00F80663"/>
    <w:rsid w:val="00F80DB2"/>
    <w:rsid w:val="00F815F8"/>
    <w:rsid w:val="00F81B05"/>
    <w:rsid w:val="00F81E3C"/>
    <w:rsid w:val="00F82907"/>
    <w:rsid w:val="00F82DD9"/>
    <w:rsid w:val="00F834A9"/>
    <w:rsid w:val="00F8477E"/>
    <w:rsid w:val="00F84E1E"/>
    <w:rsid w:val="00F8621D"/>
    <w:rsid w:val="00F8646A"/>
    <w:rsid w:val="00F866CD"/>
    <w:rsid w:val="00F868E1"/>
    <w:rsid w:val="00F86AE7"/>
    <w:rsid w:val="00F87532"/>
    <w:rsid w:val="00F87BE2"/>
    <w:rsid w:val="00F87EDA"/>
    <w:rsid w:val="00F90059"/>
    <w:rsid w:val="00F90323"/>
    <w:rsid w:val="00F904D3"/>
    <w:rsid w:val="00F9106F"/>
    <w:rsid w:val="00F91618"/>
    <w:rsid w:val="00F916ED"/>
    <w:rsid w:val="00F91E30"/>
    <w:rsid w:val="00F91E7C"/>
    <w:rsid w:val="00F91E93"/>
    <w:rsid w:val="00F92E66"/>
    <w:rsid w:val="00F935A7"/>
    <w:rsid w:val="00F9437D"/>
    <w:rsid w:val="00F94E42"/>
    <w:rsid w:val="00F95610"/>
    <w:rsid w:val="00F95BDE"/>
    <w:rsid w:val="00F96133"/>
    <w:rsid w:val="00F96F4C"/>
    <w:rsid w:val="00F976CF"/>
    <w:rsid w:val="00F97CBB"/>
    <w:rsid w:val="00FA037F"/>
    <w:rsid w:val="00FA04AB"/>
    <w:rsid w:val="00FA1292"/>
    <w:rsid w:val="00FA13F2"/>
    <w:rsid w:val="00FA192A"/>
    <w:rsid w:val="00FA1F08"/>
    <w:rsid w:val="00FA2363"/>
    <w:rsid w:val="00FA38F8"/>
    <w:rsid w:val="00FA3E24"/>
    <w:rsid w:val="00FA422C"/>
    <w:rsid w:val="00FA481C"/>
    <w:rsid w:val="00FA4CD5"/>
    <w:rsid w:val="00FA51C8"/>
    <w:rsid w:val="00FA5245"/>
    <w:rsid w:val="00FA5413"/>
    <w:rsid w:val="00FA62ED"/>
    <w:rsid w:val="00FA69AC"/>
    <w:rsid w:val="00FA7E3B"/>
    <w:rsid w:val="00FB00B1"/>
    <w:rsid w:val="00FB02CF"/>
    <w:rsid w:val="00FB08CA"/>
    <w:rsid w:val="00FB0AE3"/>
    <w:rsid w:val="00FB1310"/>
    <w:rsid w:val="00FB19BC"/>
    <w:rsid w:val="00FB2F3F"/>
    <w:rsid w:val="00FB37A2"/>
    <w:rsid w:val="00FB3938"/>
    <w:rsid w:val="00FB39CB"/>
    <w:rsid w:val="00FB3ACB"/>
    <w:rsid w:val="00FB422C"/>
    <w:rsid w:val="00FB4270"/>
    <w:rsid w:val="00FB4612"/>
    <w:rsid w:val="00FB4CDF"/>
    <w:rsid w:val="00FB4EEE"/>
    <w:rsid w:val="00FB4F37"/>
    <w:rsid w:val="00FB4FD6"/>
    <w:rsid w:val="00FB51DD"/>
    <w:rsid w:val="00FB57C1"/>
    <w:rsid w:val="00FB57DC"/>
    <w:rsid w:val="00FB60C8"/>
    <w:rsid w:val="00FB6AC2"/>
    <w:rsid w:val="00FC003E"/>
    <w:rsid w:val="00FC19AB"/>
    <w:rsid w:val="00FC1FAD"/>
    <w:rsid w:val="00FC2447"/>
    <w:rsid w:val="00FC248E"/>
    <w:rsid w:val="00FC2A89"/>
    <w:rsid w:val="00FC2BAF"/>
    <w:rsid w:val="00FC30D8"/>
    <w:rsid w:val="00FC3E02"/>
    <w:rsid w:val="00FC4F65"/>
    <w:rsid w:val="00FC4FDD"/>
    <w:rsid w:val="00FC5222"/>
    <w:rsid w:val="00FC57C9"/>
    <w:rsid w:val="00FC5FF2"/>
    <w:rsid w:val="00FC6071"/>
    <w:rsid w:val="00FC6C08"/>
    <w:rsid w:val="00FC79D6"/>
    <w:rsid w:val="00FC7D27"/>
    <w:rsid w:val="00FD0282"/>
    <w:rsid w:val="00FD029B"/>
    <w:rsid w:val="00FD0738"/>
    <w:rsid w:val="00FD0D0B"/>
    <w:rsid w:val="00FD0E08"/>
    <w:rsid w:val="00FD1A3E"/>
    <w:rsid w:val="00FD1E0B"/>
    <w:rsid w:val="00FD232A"/>
    <w:rsid w:val="00FD35A7"/>
    <w:rsid w:val="00FD3B20"/>
    <w:rsid w:val="00FD4009"/>
    <w:rsid w:val="00FD41AA"/>
    <w:rsid w:val="00FD45A4"/>
    <w:rsid w:val="00FD46DD"/>
    <w:rsid w:val="00FD4F0B"/>
    <w:rsid w:val="00FD519B"/>
    <w:rsid w:val="00FD6143"/>
    <w:rsid w:val="00FD6407"/>
    <w:rsid w:val="00FD6C52"/>
    <w:rsid w:val="00FD7222"/>
    <w:rsid w:val="00FD7637"/>
    <w:rsid w:val="00FD7946"/>
    <w:rsid w:val="00FD7F52"/>
    <w:rsid w:val="00FE12B8"/>
    <w:rsid w:val="00FE16FA"/>
    <w:rsid w:val="00FE1C90"/>
    <w:rsid w:val="00FE1CB8"/>
    <w:rsid w:val="00FE329F"/>
    <w:rsid w:val="00FE33DF"/>
    <w:rsid w:val="00FE35A5"/>
    <w:rsid w:val="00FE4498"/>
    <w:rsid w:val="00FE4963"/>
    <w:rsid w:val="00FE4A6E"/>
    <w:rsid w:val="00FE4F85"/>
    <w:rsid w:val="00FE5222"/>
    <w:rsid w:val="00FE527C"/>
    <w:rsid w:val="00FE5542"/>
    <w:rsid w:val="00FE56B8"/>
    <w:rsid w:val="00FE60E3"/>
    <w:rsid w:val="00FE6812"/>
    <w:rsid w:val="00FE68D6"/>
    <w:rsid w:val="00FE6FC3"/>
    <w:rsid w:val="00FE7B8C"/>
    <w:rsid w:val="00FE7FF0"/>
    <w:rsid w:val="00FF0791"/>
    <w:rsid w:val="00FF11A7"/>
    <w:rsid w:val="00FF14B5"/>
    <w:rsid w:val="00FF150B"/>
    <w:rsid w:val="00FF1814"/>
    <w:rsid w:val="00FF1845"/>
    <w:rsid w:val="00FF3B20"/>
    <w:rsid w:val="00FF3E6E"/>
    <w:rsid w:val="00FF41DA"/>
    <w:rsid w:val="00FF454A"/>
    <w:rsid w:val="00FF46B0"/>
    <w:rsid w:val="00FF4C8D"/>
    <w:rsid w:val="00FF54EC"/>
    <w:rsid w:val="00FF5754"/>
    <w:rsid w:val="00FF6523"/>
    <w:rsid w:val="00FF6B47"/>
    <w:rsid w:val="00FF7002"/>
    <w:rsid w:val="00FF7090"/>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78177"/>
    <o:shapelayout v:ext="edit">
      <o:idmap v:ext="edit" data="1"/>
    </o:shapelayout>
  </w:shapeDefaults>
  <w:decimalSymbol w:val="."/>
  <w:listSeparator w:val=","/>
  <w14:docId w14:val="362C35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uiPriority="0"/>
    <w:lsdException w:name="index 2" w:uiPriority="0"/>
    <w:lsdException w:name="index 3" w:uiPriority="0"/>
    <w:lsdException w:name="index 4" w:uiPriority="0"/>
    <w:lsdException w:name="index 5" w:uiPriority="0"/>
    <w:lsdException w:name="index 6" w:uiPriority="0"/>
    <w:lsdException w:name="index 7" w:uiPriority="0"/>
    <w:lsdException w:name="index 8" w:uiPriority="0"/>
    <w:lsdException w:name="index 9" w:uiPriority="0"/>
    <w:lsdException w:name="toc 1" w:uiPriority="0"/>
    <w:lsdException w:name="toc 2" w:uiPriority="0"/>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Normal Indent" w:uiPriority="0"/>
    <w:lsdException w:name="footnote text" w:uiPriority="0"/>
    <w:lsdException w:name="annotation text" w:uiPriority="0"/>
    <w:lsdException w:name="header" w:uiPriority="0"/>
    <w:lsdException w:name="footer" w:uiPriority="0"/>
    <w:lsdException w:name="index heading" w:uiPriority="0"/>
    <w:lsdException w:name="caption" w:uiPriority="0" w:qFormat="1"/>
    <w:lsdException w:name="table of figures" w:uiPriority="0"/>
    <w:lsdException w:name="footnote reference" w:uiPriority="0"/>
    <w:lsdException w:name="annotation reference" w:uiPriority="0"/>
    <w:lsdException w:name="page number" w:uiPriority="0"/>
    <w:lsdException w:name="endnote reference" w:uiPriority="0"/>
    <w:lsdException w:name="endnote text" w:uiPriority="0"/>
    <w:lsdException w:name="table of authorities" w:uiPriority="0"/>
    <w:lsdException w:name="macro" w:uiPriority="0"/>
    <w:lsdException w:name="toa heading" w:uiPriority="0"/>
    <w:lsdException w:name="List Number" w:uiPriority="0"/>
    <w:lsdException w:name="Title" w:semiHidden="0" w:uiPriority="0" w:unhideWhenUsed="0" w:qFormat="1"/>
    <w:lsdException w:name="Default Paragraph Font" w:uiPriority="1"/>
    <w:lsdException w:name="Subtitle" w:semiHidden="0" w:uiPriority="0" w:unhideWhenUsed="0" w:qFormat="1"/>
    <w:lsdException w:name="Note Heading" w:uiPriority="0"/>
    <w:lsdException w:name="Body Text 3" w:uiPriority="0"/>
    <w:lsdException w:name="Block Text" w:uiPriority="0"/>
    <w:lsdException w:name="Hyperlink" w:uiPriority="0"/>
    <w:lsdException w:name="FollowedHyperlink" w:uiPriority="0"/>
    <w:lsdException w:name="Strong" w:semiHidden="0" w:uiPriority="0" w:unhideWhenUsed="0" w:qFormat="1"/>
    <w:lsdException w:name="Emphasis" w:semiHidden="0" w:uiPriority="20" w:unhideWhenUsed="0" w:qFormat="1"/>
    <w:lsdException w:name="Document Map" w:uiPriority="0"/>
    <w:lsdException w:name="Normal (Web)" w:uiPriority="0"/>
    <w:lsdException w:name="annotation subjec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E3D1D"/>
    <w:pPr>
      <w:spacing w:after="240" w:line="260" w:lineRule="exact"/>
      <w:jc w:val="both"/>
    </w:pPr>
    <w:rPr>
      <w:rFonts w:eastAsia="Times New Roman" w:cs="Times New Roman"/>
      <w:color w:val="000000"/>
      <w:sz w:val="20"/>
      <w:szCs w:val="20"/>
      <w:lang w:eastAsia="en-AU"/>
    </w:rPr>
  </w:style>
  <w:style w:type="paragraph" w:styleId="Heading1">
    <w:name w:val="heading 1"/>
    <w:basedOn w:val="HeadingBase"/>
    <w:next w:val="Normal"/>
    <w:link w:val="Heading1Char"/>
    <w:qFormat/>
    <w:rsid w:val="000E3D1D"/>
    <w:pPr>
      <w:keepNext/>
      <w:spacing w:before="284" w:after="113"/>
      <w:outlineLvl w:val="0"/>
    </w:pPr>
    <w:rPr>
      <w:rFonts w:cs="Arial"/>
      <w:b/>
      <w:bCs/>
      <w:color w:val="FFFFFF" w:themeColor="background1"/>
      <w:kern w:val="32"/>
      <w:sz w:val="36"/>
      <w:szCs w:val="48"/>
    </w:rPr>
  </w:style>
  <w:style w:type="paragraph" w:styleId="Heading2">
    <w:name w:val="heading 2"/>
    <w:basedOn w:val="HeadingBase"/>
    <w:next w:val="Normal"/>
    <w:link w:val="Heading2Char"/>
    <w:qFormat/>
    <w:rsid w:val="000E3D1D"/>
    <w:pPr>
      <w:keepNext/>
      <w:spacing w:before="120" w:after="240" w:line="260" w:lineRule="exact"/>
      <w:outlineLvl w:val="1"/>
    </w:pPr>
    <w:rPr>
      <w:rFonts w:cs="Arial"/>
      <w:b/>
      <w:bCs/>
      <w:iCs/>
      <w:sz w:val="28"/>
      <w:szCs w:val="28"/>
    </w:rPr>
  </w:style>
  <w:style w:type="paragraph" w:styleId="Heading3">
    <w:name w:val="heading 3"/>
    <w:basedOn w:val="HeadingBase"/>
    <w:next w:val="Normal"/>
    <w:link w:val="Heading3Char"/>
    <w:qFormat/>
    <w:rsid w:val="000E3D1D"/>
    <w:pPr>
      <w:keepNext/>
      <w:spacing w:before="120" w:after="60" w:line="260" w:lineRule="exact"/>
      <w:outlineLvl w:val="2"/>
    </w:pPr>
    <w:rPr>
      <w:rFonts w:cs="Arial"/>
      <w:b/>
      <w:bCs/>
      <w:color w:val="4F81BD"/>
      <w:sz w:val="22"/>
      <w:szCs w:val="26"/>
    </w:rPr>
  </w:style>
  <w:style w:type="paragraph" w:styleId="Heading4">
    <w:name w:val="heading 4"/>
    <w:basedOn w:val="HeadingBase"/>
    <w:next w:val="Normal"/>
    <w:link w:val="Heading4Char"/>
    <w:qFormat/>
    <w:rsid w:val="000E3D1D"/>
    <w:pPr>
      <w:keepNext/>
      <w:spacing w:before="57" w:after="57" w:line="280" w:lineRule="exact"/>
      <w:outlineLvl w:val="3"/>
    </w:pPr>
    <w:rPr>
      <w:b/>
      <w:bCs/>
      <w:szCs w:val="22"/>
    </w:rPr>
  </w:style>
  <w:style w:type="paragraph" w:styleId="Heading5">
    <w:name w:val="heading 5"/>
    <w:basedOn w:val="HeadingBase"/>
    <w:next w:val="Normal"/>
    <w:link w:val="Heading5Char"/>
    <w:qFormat/>
    <w:rsid w:val="000E3D1D"/>
    <w:pPr>
      <w:keepNext/>
      <w:spacing w:before="57" w:after="57" w:line="280" w:lineRule="exact"/>
      <w:outlineLvl w:val="4"/>
    </w:pPr>
    <w:rPr>
      <w:bCs/>
      <w:iCs/>
    </w:rPr>
  </w:style>
  <w:style w:type="paragraph" w:styleId="Heading6">
    <w:name w:val="heading 6"/>
    <w:basedOn w:val="HeadingBase"/>
    <w:next w:val="Normal"/>
    <w:link w:val="Heading6Char"/>
    <w:qFormat/>
    <w:rsid w:val="000E3D1D"/>
    <w:pPr>
      <w:keepNext/>
      <w:spacing w:after="120"/>
      <w:outlineLvl w:val="5"/>
    </w:pPr>
    <w:rPr>
      <w:bCs/>
      <w:szCs w:val="22"/>
    </w:rPr>
  </w:style>
  <w:style w:type="paragraph" w:styleId="Heading7">
    <w:name w:val="heading 7"/>
    <w:basedOn w:val="Heading2"/>
    <w:next w:val="Normal"/>
    <w:link w:val="Heading7Char"/>
    <w:qFormat/>
    <w:rsid w:val="000E3D1D"/>
    <w:pPr>
      <w:jc w:val="right"/>
      <w:outlineLvl w:val="6"/>
    </w:pPr>
  </w:style>
  <w:style w:type="paragraph" w:styleId="Heading8">
    <w:name w:val="heading 8"/>
    <w:basedOn w:val="HeadingBase"/>
    <w:next w:val="Normal"/>
    <w:link w:val="Heading8Char"/>
    <w:qFormat/>
    <w:rsid w:val="000E3D1D"/>
    <w:pPr>
      <w:keepNext/>
      <w:spacing w:before="284" w:after="360"/>
      <w:jc w:val="right"/>
      <w:outlineLvl w:val="7"/>
    </w:pPr>
    <w:rPr>
      <w:iCs/>
      <w:sz w:val="48"/>
      <w:szCs w:val="24"/>
    </w:rPr>
  </w:style>
  <w:style w:type="paragraph" w:styleId="Heading9">
    <w:name w:val="heading 9"/>
    <w:basedOn w:val="HeadingBase"/>
    <w:next w:val="Normal"/>
    <w:link w:val="Heading9Char"/>
    <w:qFormat/>
    <w:rsid w:val="000E3D1D"/>
    <w:pPr>
      <w:keepNext/>
      <w:spacing w:before="170" w:after="113" w:line="320" w:lineRule="exact"/>
      <w:jc w:val="right"/>
      <w:outlineLvl w:val="8"/>
    </w:pPr>
    <w:rPr>
      <w:rFonts w:cs="Arial"/>
      <w:b/>
      <w:sz w:val="28"/>
      <w:szCs w:val="22"/>
    </w:rPr>
  </w:style>
  <w:style w:type="character" w:default="1" w:styleId="DefaultParagraphFont">
    <w:name w:val="Default Paragraph Font"/>
    <w:uiPriority w:val="1"/>
    <w:semiHidden/>
    <w:unhideWhenUsed/>
    <w:rsid w:val="000E3D1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rsid w:val="000E3D1D"/>
  </w:style>
  <w:style w:type="paragraph" w:customStyle="1" w:styleId="SingleParagraph">
    <w:name w:val="Single Paragraph"/>
    <w:basedOn w:val="Normal"/>
    <w:link w:val="SingleParagraphChar"/>
    <w:rsid w:val="000E3D1D"/>
    <w:pPr>
      <w:spacing w:after="0"/>
    </w:pPr>
  </w:style>
  <w:style w:type="character" w:styleId="Hyperlink">
    <w:name w:val="Hyperlink"/>
    <w:basedOn w:val="DefaultParagraphFont"/>
    <w:rsid w:val="000E3D1D"/>
    <w:rPr>
      <w:color w:val="000000"/>
      <w:u w:val="none"/>
    </w:rPr>
  </w:style>
  <w:style w:type="paragraph" w:customStyle="1" w:styleId="ChartGraphic">
    <w:name w:val="Chart Graphic"/>
    <w:basedOn w:val="HeadingBase"/>
    <w:rsid w:val="000E3D1D"/>
    <w:pPr>
      <w:jc w:val="center"/>
    </w:pPr>
  </w:style>
  <w:style w:type="paragraph" w:styleId="Footer">
    <w:name w:val="footer"/>
    <w:basedOn w:val="HeadingBase"/>
    <w:link w:val="FooterChar"/>
    <w:rsid w:val="000E3D1D"/>
    <w:rPr>
      <w:sz w:val="18"/>
    </w:rPr>
  </w:style>
  <w:style w:type="character" w:customStyle="1" w:styleId="FooterChar">
    <w:name w:val="Footer Char"/>
    <w:basedOn w:val="DefaultParagraphFont"/>
    <w:link w:val="Footer"/>
    <w:rsid w:val="008B6006"/>
    <w:rPr>
      <w:rFonts w:ascii="Calibri" w:eastAsia="Times New Roman" w:hAnsi="Calibri" w:cs="Times New Roman"/>
      <w:color w:val="003E74"/>
      <w:sz w:val="18"/>
      <w:szCs w:val="20"/>
      <w:lang w:eastAsia="en-AU"/>
    </w:rPr>
  </w:style>
  <w:style w:type="paragraph" w:customStyle="1" w:styleId="ContentsHeading">
    <w:name w:val="Contents Heading"/>
    <w:basedOn w:val="HeadingBase"/>
    <w:next w:val="Normal"/>
    <w:rsid w:val="000E3D1D"/>
    <w:pPr>
      <w:spacing w:after="360"/>
    </w:pPr>
    <w:rPr>
      <w:smallCaps/>
      <w:sz w:val="36"/>
      <w:szCs w:val="36"/>
    </w:rPr>
  </w:style>
  <w:style w:type="paragraph" w:customStyle="1" w:styleId="CoverTitleMain">
    <w:name w:val="Cover Title Main"/>
    <w:basedOn w:val="HeadingBase"/>
    <w:next w:val="Normal"/>
    <w:rsid w:val="000E3D1D"/>
    <w:pPr>
      <w:spacing w:after="360"/>
      <w:jc w:val="right"/>
    </w:pPr>
    <w:rPr>
      <w:b/>
      <w:sz w:val="44"/>
    </w:rPr>
  </w:style>
  <w:style w:type="paragraph" w:customStyle="1" w:styleId="FooterEven">
    <w:name w:val="Footer Even"/>
    <w:basedOn w:val="Footer"/>
    <w:rsid w:val="000E3D1D"/>
  </w:style>
  <w:style w:type="paragraph" w:customStyle="1" w:styleId="FooterOdd">
    <w:name w:val="Footer Odd"/>
    <w:basedOn w:val="Footer"/>
    <w:rsid w:val="000E3D1D"/>
    <w:pPr>
      <w:jc w:val="right"/>
    </w:pPr>
  </w:style>
  <w:style w:type="paragraph" w:styleId="Header">
    <w:name w:val="header"/>
    <w:basedOn w:val="HeadingBase"/>
    <w:link w:val="HeaderChar"/>
    <w:rsid w:val="000E3D1D"/>
    <w:rPr>
      <w:sz w:val="18"/>
    </w:rPr>
  </w:style>
  <w:style w:type="character" w:customStyle="1" w:styleId="HeaderChar">
    <w:name w:val="Header Char"/>
    <w:basedOn w:val="DefaultParagraphFont"/>
    <w:link w:val="Header"/>
    <w:rsid w:val="008B6006"/>
    <w:rPr>
      <w:rFonts w:ascii="Calibri" w:eastAsia="Times New Roman" w:hAnsi="Calibri" w:cs="Times New Roman"/>
      <w:color w:val="003E74"/>
      <w:sz w:val="18"/>
      <w:szCs w:val="20"/>
      <w:lang w:eastAsia="en-AU"/>
    </w:rPr>
  </w:style>
  <w:style w:type="paragraph" w:customStyle="1" w:styleId="HeaderOdd">
    <w:name w:val="Header Odd"/>
    <w:basedOn w:val="Header"/>
    <w:rsid w:val="000E3D1D"/>
    <w:pPr>
      <w:jc w:val="right"/>
    </w:pPr>
  </w:style>
  <w:style w:type="paragraph" w:styleId="TOC1">
    <w:name w:val="toc 1"/>
    <w:basedOn w:val="HeadingBase"/>
    <w:next w:val="Normal"/>
    <w:rsid w:val="000E3D1D"/>
    <w:pPr>
      <w:tabs>
        <w:tab w:val="right" w:leader="dot" w:pos="7700"/>
      </w:tabs>
      <w:spacing w:before="180"/>
      <w:ind w:right="851"/>
    </w:pPr>
    <w:rPr>
      <w:b/>
      <w:smallCaps/>
      <w:noProof/>
      <w:sz w:val="22"/>
      <w:szCs w:val="22"/>
    </w:rPr>
  </w:style>
  <w:style w:type="paragraph" w:styleId="TOC2">
    <w:name w:val="toc 2"/>
    <w:basedOn w:val="Normal"/>
    <w:next w:val="Normal"/>
    <w:rsid w:val="000E3D1D"/>
    <w:pPr>
      <w:tabs>
        <w:tab w:val="right" w:leader="dot" w:pos="7700"/>
      </w:tabs>
      <w:spacing w:after="0"/>
      <w:ind w:right="851"/>
      <w:jc w:val="left"/>
    </w:pPr>
    <w:rPr>
      <w:rFonts w:ascii="Calibri" w:hAnsi="Calibri"/>
      <w:noProof/>
    </w:rPr>
  </w:style>
  <w:style w:type="paragraph" w:styleId="TOC3">
    <w:name w:val="toc 3"/>
    <w:basedOn w:val="Normal"/>
    <w:next w:val="Normal"/>
    <w:rsid w:val="000E3D1D"/>
    <w:pPr>
      <w:tabs>
        <w:tab w:val="right" w:leader="dot" w:pos="7700"/>
      </w:tabs>
      <w:spacing w:after="0" w:line="240" w:lineRule="auto"/>
      <w:ind w:left="284" w:right="851"/>
      <w:jc w:val="left"/>
    </w:pPr>
    <w:rPr>
      <w:rFonts w:ascii="Calibri" w:hAnsi="Calibri"/>
      <w:noProof/>
    </w:rPr>
  </w:style>
  <w:style w:type="paragraph" w:styleId="TOC4">
    <w:name w:val="toc 4"/>
    <w:basedOn w:val="Normal"/>
    <w:next w:val="Normal"/>
    <w:rsid w:val="000E3D1D"/>
    <w:pPr>
      <w:tabs>
        <w:tab w:val="right" w:leader="dot" w:pos="7700"/>
      </w:tabs>
      <w:spacing w:after="0" w:line="240" w:lineRule="auto"/>
      <w:ind w:left="284" w:right="851" w:hanging="284"/>
      <w:jc w:val="left"/>
    </w:pPr>
    <w:rPr>
      <w:rFonts w:ascii="Calibri" w:hAnsi="Calibri"/>
      <w:noProof/>
    </w:rPr>
  </w:style>
  <w:style w:type="paragraph" w:customStyle="1" w:styleId="SinglePara">
    <w:name w:val="Single Para"/>
    <w:basedOn w:val="Normal"/>
    <w:rsid w:val="008B6006"/>
    <w:pPr>
      <w:spacing w:after="0" w:line="240" w:lineRule="auto"/>
    </w:pPr>
    <w:rPr>
      <w:rFonts w:ascii="Times New Roman" w:hAnsi="Times New Roman"/>
      <w:sz w:val="24"/>
    </w:rPr>
  </w:style>
  <w:style w:type="character" w:customStyle="1" w:styleId="SingleParagraphChar">
    <w:name w:val="Single Paragraph Char"/>
    <w:link w:val="SingleParagraph"/>
    <w:rsid w:val="008B6006"/>
    <w:rPr>
      <w:rFonts w:eastAsia="Times New Roman" w:cs="Times New Roman"/>
      <w:color w:val="000000"/>
      <w:sz w:val="20"/>
      <w:szCs w:val="20"/>
      <w:lang w:eastAsia="en-AU"/>
    </w:rPr>
  </w:style>
  <w:style w:type="paragraph" w:customStyle="1" w:styleId="ChairmanLetter">
    <w:name w:val="Chairman Letter"/>
    <w:basedOn w:val="Normal"/>
    <w:qFormat/>
    <w:rsid w:val="008B6006"/>
    <w:rPr>
      <w:rFonts w:ascii="Times New Roman" w:hAnsi="Times New Roman"/>
    </w:rPr>
  </w:style>
  <w:style w:type="paragraph" w:styleId="BalloonText">
    <w:name w:val="Balloon Text"/>
    <w:basedOn w:val="Normal"/>
    <w:link w:val="BalloonTextChar"/>
    <w:rsid w:val="000E3D1D"/>
    <w:rPr>
      <w:rFonts w:ascii="Tahoma" w:hAnsi="Tahoma" w:cs="Tahoma"/>
      <w:sz w:val="16"/>
      <w:szCs w:val="16"/>
    </w:rPr>
  </w:style>
  <w:style w:type="character" w:customStyle="1" w:styleId="BalloonTextChar">
    <w:name w:val="Balloon Text Char"/>
    <w:basedOn w:val="DefaultParagraphFont"/>
    <w:link w:val="BalloonText"/>
    <w:rsid w:val="008B6006"/>
    <w:rPr>
      <w:rFonts w:ascii="Tahoma" w:eastAsia="Times New Roman" w:hAnsi="Tahoma" w:cs="Tahoma"/>
      <w:color w:val="000000"/>
      <w:sz w:val="16"/>
      <w:szCs w:val="16"/>
      <w:lang w:eastAsia="en-AU"/>
    </w:rPr>
  </w:style>
  <w:style w:type="character" w:customStyle="1" w:styleId="Heading1Char">
    <w:name w:val="Heading 1 Char"/>
    <w:basedOn w:val="DefaultParagraphFont"/>
    <w:link w:val="Heading1"/>
    <w:rsid w:val="00933D95"/>
    <w:rPr>
      <w:rFonts w:ascii="Calibri" w:eastAsia="Times New Roman" w:hAnsi="Calibri" w:cs="Arial"/>
      <w:b/>
      <w:bCs/>
      <w:color w:val="FFFFFF" w:themeColor="background1"/>
      <w:kern w:val="32"/>
      <w:sz w:val="36"/>
      <w:szCs w:val="48"/>
      <w:lang w:eastAsia="en-AU"/>
    </w:rPr>
  </w:style>
  <w:style w:type="paragraph" w:styleId="FootnoteText">
    <w:name w:val="footnote text"/>
    <w:basedOn w:val="Normal"/>
    <w:link w:val="FootnoteTextChar"/>
    <w:rsid w:val="000E3D1D"/>
    <w:pPr>
      <w:tabs>
        <w:tab w:val="left" w:pos="284"/>
      </w:tabs>
      <w:spacing w:after="0" w:line="240" w:lineRule="auto"/>
      <w:ind w:left="284" w:hanging="284"/>
    </w:pPr>
    <w:rPr>
      <w:sz w:val="18"/>
    </w:rPr>
  </w:style>
  <w:style w:type="character" w:customStyle="1" w:styleId="FootnoteTextChar">
    <w:name w:val="Footnote Text Char"/>
    <w:basedOn w:val="DefaultParagraphFont"/>
    <w:link w:val="FootnoteText"/>
    <w:rsid w:val="008B6006"/>
    <w:rPr>
      <w:rFonts w:eastAsia="Times New Roman" w:cs="Times New Roman"/>
      <w:color w:val="000000"/>
      <w:sz w:val="18"/>
      <w:szCs w:val="20"/>
      <w:lang w:eastAsia="en-AU"/>
    </w:rPr>
  </w:style>
  <w:style w:type="character" w:styleId="FootnoteReference">
    <w:name w:val="footnote reference"/>
    <w:basedOn w:val="DefaultParagraphFont"/>
    <w:rsid w:val="000E3D1D"/>
    <w:rPr>
      <w:vertAlign w:val="superscript"/>
    </w:rPr>
  </w:style>
  <w:style w:type="character" w:styleId="PageNumber">
    <w:name w:val="page number"/>
    <w:basedOn w:val="DefaultParagraphFont"/>
    <w:rsid w:val="000E3D1D"/>
    <w:rPr>
      <w:rFonts w:asciiTheme="minorHAnsi" w:hAnsiTheme="minorHAnsi"/>
      <w:color w:val="003E74"/>
      <w:sz w:val="18"/>
      <w:szCs w:val="18"/>
    </w:rPr>
  </w:style>
  <w:style w:type="paragraph" w:customStyle="1" w:styleId="Bullet">
    <w:name w:val="Bullet"/>
    <w:aliases w:val="b,b1,b + line,Body,level 1,Bullet + line"/>
    <w:basedOn w:val="Normal"/>
    <w:link w:val="BulletChar"/>
    <w:rsid w:val="000E3D1D"/>
    <w:pPr>
      <w:numPr>
        <w:numId w:val="1"/>
      </w:numPr>
      <w:ind w:left="284" w:hanging="284"/>
    </w:pPr>
  </w:style>
  <w:style w:type="paragraph" w:customStyle="1" w:styleId="Dash">
    <w:name w:val="Dash"/>
    <w:basedOn w:val="Normal"/>
    <w:link w:val="DashChar"/>
    <w:rsid w:val="000E3D1D"/>
    <w:pPr>
      <w:numPr>
        <w:ilvl w:val="1"/>
        <w:numId w:val="1"/>
      </w:numPr>
      <w:tabs>
        <w:tab w:val="clear" w:pos="567"/>
        <w:tab w:val="num" w:pos="360"/>
      </w:tabs>
      <w:ind w:left="568" w:firstLine="0"/>
    </w:pPr>
  </w:style>
  <w:style w:type="character" w:customStyle="1" w:styleId="Heading2Char">
    <w:name w:val="Heading 2 Char"/>
    <w:basedOn w:val="DefaultParagraphFont"/>
    <w:link w:val="Heading2"/>
    <w:rsid w:val="008B6006"/>
    <w:rPr>
      <w:rFonts w:ascii="Calibri" w:eastAsia="Times New Roman" w:hAnsi="Calibri" w:cs="Arial"/>
      <w:b/>
      <w:bCs/>
      <w:iCs/>
      <w:color w:val="003E74"/>
      <w:sz w:val="28"/>
      <w:szCs w:val="28"/>
      <w:lang w:eastAsia="en-AU"/>
    </w:rPr>
  </w:style>
  <w:style w:type="character" w:customStyle="1" w:styleId="Heading3Char">
    <w:name w:val="Heading 3 Char"/>
    <w:basedOn w:val="DefaultParagraphFont"/>
    <w:link w:val="Heading3"/>
    <w:rsid w:val="00115593"/>
    <w:rPr>
      <w:rFonts w:ascii="Calibri" w:eastAsia="Times New Roman" w:hAnsi="Calibri" w:cs="Arial"/>
      <w:b/>
      <w:bCs/>
      <w:color w:val="4F81BD"/>
      <w:szCs w:val="26"/>
      <w:lang w:eastAsia="en-AU"/>
    </w:rPr>
  </w:style>
  <w:style w:type="character" w:customStyle="1" w:styleId="Heading4Char">
    <w:name w:val="Heading 4 Char"/>
    <w:basedOn w:val="DefaultParagraphFont"/>
    <w:link w:val="Heading4"/>
    <w:rsid w:val="008B6006"/>
    <w:rPr>
      <w:rFonts w:ascii="Calibri" w:eastAsia="Times New Roman" w:hAnsi="Calibri" w:cs="Times New Roman"/>
      <w:b/>
      <w:bCs/>
      <w:color w:val="003E74"/>
      <w:sz w:val="20"/>
      <w:lang w:eastAsia="en-AU"/>
    </w:rPr>
  </w:style>
  <w:style w:type="paragraph" w:customStyle="1" w:styleId="DoubleDot">
    <w:name w:val="Double Dot"/>
    <w:basedOn w:val="Normal"/>
    <w:link w:val="DoubleDotChar"/>
    <w:rsid w:val="000E3D1D"/>
    <w:pPr>
      <w:numPr>
        <w:ilvl w:val="2"/>
        <w:numId w:val="1"/>
      </w:numPr>
      <w:tabs>
        <w:tab w:val="clear" w:pos="850"/>
        <w:tab w:val="num" w:pos="360"/>
      </w:tabs>
      <w:ind w:left="0" w:firstLine="0"/>
    </w:pPr>
  </w:style>
  <w:style w:type="paragraph" w:customStyle="1" w:styleId="OutlineNumbered1">
    <w:name w:val="Outline Numbered 1"/>
    <w:basedOn w:val="Normal"/>
    <w:rsid w:val="000E3D1D"/>
    <w:pPr>
      <w:numPr>
        <w:numId w:val="2"/>
      </w:numPr>
      <w:tabs>
        <w:tab w:val="clear" w:pos="567"/>
        <w:tab w:val="num" w:pos="360"/>
      </w:tabs>
      <w:ind w:left="0" w:firstLine="0"/>
    </w:pPr>
  </w:style>
  <w:style w:type="paragraph" w:customStyle="1" w:styleId="OutlineNumbered2">
    <w:name w:val="Outline Numbered 2"/>
    <w:basedOn w:val="Normal"/>
    <w:rsid w:val="000E3D1D"/>
    <w:pPr>
      <w:numPr>
        <w:ilvl w:val="1"/>
        <w:numId w:val="2"/>
      </w:numPr>
      <w:tabs>
        <w:tab w:val="clear" w:pos="1134"/>
        <w:tab w:val="num" w:pos="360"/>
      </w:tabs>
      <w:ind w:left="0" w:firstLine="0"/>
    </w:pPr>
  </w:style>
  <w:style w:type="paragraph" w:customStyle="1" w:styleId="OutlineNumbered3">
    <w:name w:val="Outline Numbered 3"/>
    <w:basedOn w:val="Normal"/>
    <w:rsid w:val="000E3D1D"/>
    <w:pPr>
      <w:numPr>
        <w:ilvl w:val="2"/>
        <w:numId w:val="2"/>
      </w:numPr>
      <w:tabs>
        <w:tab w:val="clear" w:pos="1701"/>
        <w:tab w:val="num" w:pos="360"/>
      </w:tabs>
      <w:ind w:left="0" w:firstLine="0"/>
    </w:pPr>
  </w:style>
  <w:style w:type="paragraph" w:customStyle="1" w:styleId="CoverTitleSub">
    <w:name w:val="Cover Title Sub"/>
    <w:basedOn w:val="HeadingBase"/>
    <w:rsid w:val="000E3D1D"/>
    <w:pPr>
      <w:spacing w:after="360"/>
      <w:jc w:val="center"/>
    </w:pPr>
    <w:rPr>
      <w:sz w:val="36"/>
    </w:rPr>
  </w:style>
  <w:style w:type="character" w:customStyle="1" w:styleId="FramedHeader">
    <w:name w:val="Framed Header"/>
    <w:basedOn w:val="DefaultParagraphFont"/>
    <w:rsid w:val="000E3D1D"/>
    <w:rPr>
      <w:rFonts w:ascii="Calibri" w:hAnsi="Calibri"/>
      <w:dstrike w:val="0"/>
      <w:color w:val="003E74"/>
      <w:sz w:val="18"/>
      <w:szCs w:val="18"/>
      <w:vertAlign w:val="baseline"/>
    </w:rPr>
  </w:style>
  <w:style w:type="paragraph" w:customStyle="1" w:styleId="HeaderEven">
    <w:name w:val="Header Even"/>
    <w:basedOn w:val="Header"/>
    <w:rsid w:val="000E3D1D"/>
  </w:style>
  <w:style w:type="character" w:customStyle="1" w:styleId="Normalitalics">
    <w:name w:val="Normal italics"/>
    <w:rsid w:val="008B6006"/>
    <w:rPr>
      <w:i/>
    </w:rPr>
  </w:style>
  <w:style w:type="character" w:styleId="Strong">
    <w:name w:val="Strong"/>
    <w:qFormat/>
    <w:rsid w:val="008B6006"/>
    <w:rPr>
      <w:b/>
      <w:bCs/>
    </w:rPr>
  </w:style>
  <w:style w:type="paragraph" w:customStyle="1" w:styleId="Heading1noTOC">
    <w:name w:val="Heading 1 no TOC"/>
    <w:basedOn w:val="Heading1"/>
    <w:next w:val="Normal"/>
    <w:rsid w:val="000E3D1D"/>
  </w:style>
  <w:style w:type="character" w:customStyle="1" w:styleId="BulletChar">
    <w:name w:val="Bullet Char"/>
    <w:aliases w:val="b Char,b + line Char Char,b Char Char"/>
    <w:link w:val="Bullet"/>
    <w:rsid w:val="00C1725B"/>
    <w:rPr>
      <w:rFonts w:eastAsia="Times New Roman" w:cs="Times New Roman"/>
      <w:color w:val="000000"/>
      <w:sz w:val="20"/>
      <w:szCs w:val="20"/>
      <w:lang w:eastAsia="en-AU"/>
    </w:rPr>
  </w:style>
  <w:style w:type="paragraph" w:customStyle="1" w:styleId="Box-Pull-Text">
    <w:name w:val="Box - Pull - Text"/>
    <w:basedOn w:val="Normal"/>
    <w:link w:val="Box-Pull-TextChar"/>
    <w:qFormat/>
    <w:rsid w:val="008B6006"/>
    <w:pPr>
      <w:spacing w:before="120" w:after="120"/>
    </w:pPr>
  </w:style>
  <w:style w:type="paragraph" w:customStyle="1" w:styleId="Box-Pull-Bullet">
    <w:name w:val="Box - Pull - Bullet"/>
    <w:basedOn w:val="Box-Pull-Text"/>
    <w:rsid w:val="008B6006"/>
    <w:pPr>
      <w:numPr>
        <w:numId w:val="3"/>
      </w:numPr>
      <w:tabs>
        <w:tab w:val="left" w:pos="284"/>
        <w:tab w:val="num" w:pos="360"/>
      </w:tabs>
      <w:spacing w:before="60" w:after="60"/>
      <w:ind w:left="284" w:hanging="284"/>
    </w:pPr>
  </w:style>
  <w:style w:type="paragraph" w:customStyle="1" w:styleId="Normal-Bio">
    <w:name w:val="Normal - Bio"/>
    <w:basedOn w:val="Normal"/>
    <w:rsid w:val="008B6006"/>
    <w:rPr>
      <w:noProof/>
    </w:rPr>
  </w:style>
  <w:style w:type="paragraph" w:customStyle="1" w:styleId="Box-Pull-HeadingInternal">
    <w:name w:val="Box - Pull - Heading (Internal)"/>
    <w:basedOn w:val="Box-Pull-Text"/>
    <w:rsid w:val="008B6006"/>
    <w:pPr>
      <w:spacing w:after="60"/>
    </w:pPr>
    <w:rPr>
      <w:rFonts w:ascii="Arial" w:hAnsi="Arial"/>
      <w:b/>
      <w:bCs/>
      <w:color w:val="003E74"/>
      <w:szCs w:val="22"/>
    </w:rPr>
  </w:style>
  <w:style w:type="character" w:customStyle="1" w:styleId="Box-Pull-TextChar">
    <w:name w:val="Box - Pull - Text Char"/>
    <w:link w:val="Box-Pull-Text"/>
    <w:rsid w:val="008B6006"/>
    <w:rPr>
      <w:rFonts w:ascii="Book Antiqua" w:eastAsia="Times New Roman" w:hAnsi="Book Antiqua" w:cs="Times New Roman"/>
      <w:color w:val="000000"/>
      <w:sz w:val="20"/>
      <w:szCs w:val="20"/>
      <w:lang w:eastAsia="en-AU"/>
    </w:rPr>
  </w:style>
  <w:style w:type="character" w:customStyle="1" w:styleId="Heading5Char">
    <w:name w:val="Heading 5 Char"/>
    <w:basedOn w:val="DefaultParagraphFont"/>
    <w:link w:val="Heading5"/>
    <w:rsid w:val="008B6006"/>
    <w:rPr>
      <w:rFonts w:ascii="Calibri" w:eastAsia="Times New Roman" w:hAnsi="Calibri" w:cs="Times New Roman"/>
      <w:bCs/>
      <w:iCs/>
      <w:color w:val="003E74"/>
      <w:sz w:val="20"/>
      <w:szCs w:val="20"/>
      <w:lang w:eastAsia="en-AU"/>
    </w:rPr>
  </w:style>
  <w:style w:type="character" w:customStyle="1" w:styleId="Heading6Char">
    <w:name w:val="Heading 6 Char"/>
    <w:basedOn w:val="DefaultParagraphFont"/>
    <w:link w:val="Heading6"/>
    <w:rsid w:val="008B6006"/>
    <w:rPr>
      <w:rFonts w:ascii="Calibri" w:eastAsia="Times New Roman" w:hAnsi="Calibri" w:cs="Times New Roman"/>
      <w:bCs/>
      <w:color w:val="003E74"/>
      <w:sz w:val="20"/>
      <w:lang w:eastAsia="en-AU"/>
    </w:rPr>
  </w:style>
  <w:style w:type="character" w:customStyle="1" w:styleId="Heading7Char">
    <w:name w:val="Heading 7 Char"/>
    <w:basedOn w:val="DefaultParagraphFont"/>
    <w:link w:val="Heading7"/>
    <w:rsid w:val="008B6006"/>
    <w:rPr>
      <w:rFonts w:ascii="Calibri" w:eastAsia="Times New Roman" w:hAnsi="Calibri" w:cs="Arial"/>
      <w:b/>
      <w:bCs/>
      <w:iCs/>
      <w:color w:val="003E74"/>
      <w:sz w:val="28"/>
      <w:szCs w:val="28"/>
      <w:lang w:eastAsia="en-AU"/>
    </w:rPr>
  </w:style>
  <w:style w:type="character" w:customStyle="1" w:styleId="Heading8Char">
    <w:name w:val="Heading 8 Char"/>
    <w:basedOn w:val="DefaultParagraphFont"/>
    <w:link w:val="Heading8"/>
    <w:rsid w:val="008B6006"/>
    <w:rPr>
      <w:rFonts w:ascii="Calibri" w:eastAsia="Times New Roman" w:hAnsi="Calibri" w:cs="Times New Roman"/>
      <w:iCs/>
      <w:color w:val="003E74"/>
      <w:sz w:val="48"/>
      <w:szCs w:val="24"/>
      <w:lang w:eastAsia="en-AU"/>
    </w:rPr>
  </w:style>
  <w:style w:type="character" w:customStyle="1" w:styleId="Heading9Char">
    <w:name w:val="Heading 9 Char"/>
    <w:basedOn w:val="DefaultParagraphFont"/>
    <w:link w:val="Heading9"/>
    <w:rsid w:val="008B6006"/>
    <w:rPr>
      <w:rFonts w:ascii="Calibri" w:eastAsia="Times New Roman" w:hAnsi="Calibri" w:cs="Arial"/>
      <w:b/>
      <w:color w:val="003E74"/>
      <w:sz w:val="28"/>
      <w:lang w:eastAsia="en-AU"/>
    </w:rPr>
  </w:style>
  <w:style w:type="paragraph" w:customStyle="1" w:styleId="HeadingBase">
    <w:name w:val="Heading Base"/>
    <w:next w:val="Normal"/>
    <w:link w:val="HeadingBaseChar"/>
    <w:rsid w:val="000E3D1D"/>
    <w:pPr>
      <w:spacing w:after="0" w:line="240" w:lineRule="auto"/>
    </w:pPr>
    <w:rPr>
      <w:rFonts w:ascii="Calibri" w:eastAsia="Times New Roman" w:hAnsi="Calibri" w:cs="Times New Roman"/>
      <w:color w:val="003E74"/>
      <w:sz w:val="20"/>
      <w:szCs w:val="20"/>
      <w:lang w:eastAsia="en-AU"/>
    </w:rPr>
  </w:style>
  <w:style w:type="paragraph" w:customStyle="1" w:styleId="ChartandTableFootnote">
    <w:name w:val="Chart and Table Footnote"/>
    <w:basedOn w:val="HeadingBase"/>
    <w:next w:val="Normal"/>
    <w:rsid w:val="008B6006"/>
    <w:rPr>
      <w:color w:val="000000"/>
      <w:sz w:val="16"/>
      <w:szCs w:val="16"/>
    </w:rPr>
  </w:style>
  <w:style w:type="paragraph" w:customStyle="1" w:styleId="ChartandTableFootnoteAlpha">
    <w:name w:val="Chart and Table Footnote Alpha"/>
    <w:rsid w:val="000E3D1D"/>
    <w:pPr>
      <w:numPr>
        <w:numId w:val="5"/>
      </w:numPr>
      <w:spacing w:after="0" w:line="240" w:lineRule="auto"/>
      <w:jc w:val="both"/>
    </w:pPr>
    <w:rPr>
      <w:rFonts w:ascii="Arial" w:eastAsia="Times New Roman" w:hAnsi="Arial" w:cs="Times New Roman"/>
      <w:color w:val="000000"/>
      <w:sz w:val="16"/>
      <w:szCs w:val="16"/>
      <w:lang w:eastAsia="en-AU"/>
    </w:rPr>
  </w:style>
  <w:style w:type="paragraph" w:customStyle="1" w:styleId="ChartHeading">
    <w:name w:val="Chart Heading"/>
    <w:basedOn w:val="HeadingBase"/>
    <w:next w:val="ChartGraphic"/>
    <w:rsid w:val="008B6006"/>
    <w:pPr>
      <w:keepNext/>
      <w:spacing w:before="170" w:after="113" w:line="240" w:lineRule="exact"/>
      <w:jc w:val="center"/>
    </w:pPr>
    <w:rPr>
      <w:b/>
      <w:bCs/>
      <w:sz w:val="22"/>
      <w:szCs w:val="22"/>
    </w:rPr>
  </w:style>
  <w:style w:type="paragraph" w:customStyle="1" w:styleId="ChartSecondHeading">
    <w:name w:val="Chart Second Heading"/>
    <w:basedOn w:val="HeadingBase"/>
    <w:next w:val="ChartGraphic"/>
    <w:rsid w:val="000E3D1D"/>
    <w:pPr>
      <w:keepNext/>
      <w:spacing w:after="20"/>
    </w:pPr>
  </w:style>
  <w:style w:type="paragraph" w:styleId="Subtitle">
    <w:name w:val="Subtitle"/>
    <w:basedOn w:val="Normal"/>
    <w:next w:val="Normal"/>
    <w:link w:val="SubtitleChar"/>
    <w:qFormat/>
    <w:rsid w:val="000E3D1D"/>
    <w:pPr>
      <w:numPr>
        <w:ilvl w:val="1"/>
      </w:numPr>
    </w:pPr>
    <w:rPr>
      <w:rFonts w:asciiTheme="majorHAnsi" w:eastAsiaTheme="majorEastAsia" w:hAnsiTheme="majorHAnsi" w:cstheme="majorBidi"/>
      <w:i/>
      <w:iCs/>
      <w:color w:val="003E74"/>
      <w:spacing w:val="15"/>
      <w:sz w:val="24"/>
      <w:szCs w:val="24"/>
    </w:rPr>
  </w:style>
  <w:style w:type="character" w:customStyle="1" w:styleId="SubtitleChar">
    <w:name w:val="Subtitle Char"/>
    <w:basedOn w:val="DefaultParagraphFont"/>
    <w:link w:val="Subtitle"/>
    <w:rsid w:val="000E3D1D"/>
    <w:rPr>
      <w:rFonts w:asciiTheme="majorHAnsi" w:eastAsiaTheme="majorEastAsia" w:hAnsiTheme="majorHAnsi" w:cstheme="majorBidi"/>
      <w:i/>
      <w:iCs/>
      <w:color w:val="003E74"/>
      <w:spacing w:val="15"/>
      <w:sz w:val="24"/>
      <w:szCs w:val="24"/>
      <w:lang w:eastAsia="en-AU"/>
    </w:rPr>
  </w:style>
  <w:style w:type="paragraph" w:styleId="BlockText">
    <w:name w:val="Block Text"/>
    <w:basedOn w:val="Normal"/>
    <w:rsid w:val="000E3D1D"/>
    <w:pPr>
      <w:pBdr>
        <w:top w:val="single" w:sz="2" w:space="10" w:color="4F81BD" w:themeColor="accent1" w:shadow="1" w:frame="1"/>
        <w:left w:val="single" w:sz="2" w:space="10" w:color="4F81BD" w:themeColor="accent1" w:shadow="1" w:frame="1"/>
        <w:bottom w:val="single" w:sz="2" w:space="10" w:color="4F81BD" w:themeColor="accent1" w:shadow="1" w:frame="1"/>
        <w:right w:val="single" w:sz="2" w:space="10" w:color="4F81BD" w:themeColor="accent1" w:shadow="1" w:frame="1"/>
      </w:pBdr>
      <w:ind w:left="1152" w:right="1152"/>
    </w:pPr>
    <w:rPr>
      <w:rFonts w:eastAsiaTheme="minorEastAsia" w:cstheme="minorBidi"/>
      <w:i/>
      <w:iCs/>
      <w:color w:val="003E74"/>
    </w:rPr>
  </w:style>
  <w:style w:type="paragraph" w:customStyle="1" w:styleId="FileProperties">
    <w:name w:val="File Properties"/>
    <w:basedOn w:val="Normal"/>
    <w:rsid w:val="008B6006"/>
    <w:rPr>
      <w:i/>
      <w:iCs/>
    </w:rPr>
  </w:style>
  <w:style w:type="paragraph" w:customStyle="1" w:styleId="FooterBase">
    <w:name w:val="Footer Base"/>
    <w:rsid w:val="008B6006"/>
    <w:pPr>
      <w:spacing w:after="0" w:line="240" w:lineRule="auto"/>
    </w:pPr>
    <w:rPr>
      <w:rFonts w:ascii="Arial" w:eastAsia="Times New Roman" w:hAnsi="Arial" w:cs="Arial"/>
      <w:color w:val="333192"/>
      <w:kern w:val="28"/>
      <w:sz w:val="18"/>
      <w:szCs w:val="18"/>
      <w:lang w:eastAsia="en-AU"/>
    </w:rPr>
  </w:style>
  <w:style w:type="paragraph" w:customStyle="1" w:styleId="HeaderBase">
    <w:name w:val="Header Base"/>
    <w:rsid w:val="008B6006"/>
    <w:pPr>
      <w:spacing w:after="0" w:line="240" w:lineRule="auto"/>
    </w:pPr>
    <w:rPr>
      <w:rFonts w:ascii="Arial" w:eastAsia="Times New Roman" w:hAnsi="Arial" w:cs="Arial"/>
      <w:color w:val="333192"/>
      <w:kern w:val="28"/>
      <w:sz w:val="18"/>
      <w:szCs w:val="18"/>
      <w:lang w:eastAsia="en-AU"/>
    </w:rPr>
  </w:style>
  <w:style w:type="paragraph" w:customStyle="1" w:styleId="NumberedParagraph">
    <w:name w:val="Numbered Paragraph"/>
    <w:basedOn w:val="Normal"/>
    <w:rsid w:val="000E3D1D"/>
    <w:pPr>
      <w:numPr>
        <w:numId w:val="9"/>
      </w:numPr>
    </w:pPr>
  </w:style>
  <w:style w:type="paragraph" w:customStyle="1" w:styleId="TableTextRight">
    <w:name w:val="Table Text Right"/>
    <w:basedOn w:val="TableTextBase"/>
    <w:rsid w:val="000E3D1D"/>
    <w:pPr>
      <w:jc w:val="right"/>
    </w:pPr>
  </w:style>
  <w:style w:type="paragraph" w:customStyle="1" w:styleId="TableTextBase">
    <w:name w:val="Table Text Base"/>
    <w:rsid w:val="000E3D1D"/>
    <w:pPr>
      <w:spacing w:before="40" w:after="40" w:line="240" w:lineRule="auto"/>
    </w:pPr>
    <w:rPr>
      <w:rFonts w:ascii="Calibri" w:eastAsia="Times New Roman" w:hAnsi="Calibri" w:cs="Times New Roman"/>
      <w:color w:val="000000"/>
      <w:sz w:val="16"/>
      <w:szCs w:val="20"/>
      <w:lang w:eastAsia="en-AU"/>
    </w:rPr>
  </w:style>
  <w:style w:type="paragraph" w:customStyle="1" w:styleId="TableGraphic">
    <w:name w:val="Table Graphic"/>
    <w:basedOn w:val="HeadingBase"/>
    <w:next w:val="Normal"/>
    <w:rsid w:val="000E3D1D"/>
    <w:pPr>
      <w:spacing w:after="20"/>
      <w:ind w:right="-113"/>
    </w:pPr>
    <w:rPr>
      <w:rFonts w:ascii="Helvetica" w:hAnsi="Helvetica"/>
    </w:rPr>
  </w:style>
  <w:style w:type="paragraph" w:customStyle="1" w:styleId="TableHeading">
    <w:name w:val="Table Heading"/>
    <w:basedOn w:val="HeadingBase"/>
    <w:next w:val="TableGraphic"/>
    <w:rsid w:val="008B6006"/>
    <w:pPr>
      <w:keepNext/>
      <w:spacing w:before="170" w:after="113" w:line="240" w:lineRule="exact"/>
    </w:pPr>
    <w:rPr>
      <w:b/>
      <w:bCs/>
      <w:sz w:val="22"/>
      <w:szCs w:val="22"/>
    </w:rPr>
  </w:style>
  <w:style w:type="paragraph" w:customStyle="1" w:styleId="TableHeadingcontinued">
    <w:name w:val="Table Heading continued"/>
    <w:basedOn w:val="HeadingBase"/>
    <w:next w:val="TableGraphic"/>
    <w:rsid w:val="008B6006"/>
    <w:pPr>
      <w:keepNext/>
      <w:spacing w:before="170" w:after="113" w:line="240" w:lineRule="exact"/>
    </w:pPr>
    <w:rPr>
      <w:b/>
      <w:bCs/>
      <w:sz w:val="22"/>
      <w:szCs w:val="22"/>
    </w:rPr>
  </w:style>
  <w:style w:type="paragraph" w:styleId="Index1">
    <w:name w:val="index 1"/>
    <w:basedOn w:val="Normal"/>
    <w:next w:val="Normal"/>
    <w:autoRedefine/>
    <w:rsid w:val="000E3D1D"/>
    <w:pPr>
      <w:ind w:left="200" w:hanging="200"/>
    </w:pPr>
  </w:style>
  <w:style w:type="paragraph" w:styleId="Index2">
    <w:name w:val="index 2"/>
    <w:basedOn w:val="Normal"/>
    <w:next w:val="Normal"/>
    <w:autoRedefine/>
    <w:rsid w:val="000E3D1D"/>
    <w:pPr>
      <w:ind w:left="400" w:hanging="200"/>
    </w:pPr>
  </w:style>
  <w:style w:type="paragraph" w:styleId="Index3">
    <w:name w:val="index 3"/>
    <w:basedOn w:val="Normal"/>
    <w:next w:val="Normal"/>
    <w:autoRedefine/>
    <w:rsid w:val="000E3D1D"/>
    <w:pPr>
      <w:ind w:left="600" w:hanging="200"/>
    </w:pPr>
  </w:style>
  <w:style w:type="paragraph" w:styleId="IndexHeading">
    <w:name w:val="index heading"/>
    <w:basedOn w:val="Normal"/>
    <w:next w:val="Index1"/>
    <w:rsid w:val="000E3D1D"/>
    <w:rPr>
      <w:rFonts w:ascii="Calibri" w:hAnsi="Calibri" w:cs="Arial"/>
      <w:b/>
      <w:bCs/>
      <w:color w:val="003E74"/>
    </w:rPr>
  </w:style>
  <w:style w:type="paragraph" w:customStyle="1" w:styleId="TableTextLeft">
    <w:name w:val="Table Text Left"/>
    <w:basedOn w:val="TableTextBase"/>
    <w:rsid w:val="000E3D1D"/>
  </w:style>
  <w:style w:type="paragraph" w:styleId="TOC5">
    <w:name w:val="toc 5"/>
    <w:basedOn w:val="TOC2"/>
    <w:next w:val="Normal"/>
    <w:autoRedefine/>
    <w:rsid w:val="000E3D1D"/>
    <w:pPr>
      <w:ind w:left="1260" w:hanging="1260"/>
    </w:pPr>
  </w:style>
  <w:style w:type="paragraph" w:styleId="TOC6">
    <w:name w:val="toc 6"/>
    <w:basedOn w:val="TOC5"/>
    <w:next w:val="Normal"/>
    <w:rsid w:val="000E3D1D"/>
    <w:pPr>
      <w:tabs>
        <w:tab w:val="left" w:pos="1080"/>
        <w:tab w:val="left" w:pos="1134"/>
      </w:tabs>
      <w:ind w:left="1080" w:hanging="1080"/>
    </w:pPr>
  </w:style>
  <w:style w:type="paragraph" w:styleId="TOC7">
    <w:name w:val="toc 7"/>
    <w:basedOn w:val="Normal"/>
    <w:next w:val="Normal"/>
    <w:autoRedefine/>
    <w:rsid w:val="000E3D1D"/>
    <w:pPr>
      <w:ind w:left="1200"/>
    </w:pPr>
    <w:rPr>
      <w:rFonts w:ascii="Calibri" w:hAnsi="Calibri"/>
    </w:rPr>
  </w:style>
  <w:style w:type="paragraph" w:styleId="TOC8">
    <w:name w:val="toc 8"/>
    <w:basedOn w:val="Normal"/>
    <w:next w:val="Normal"/>
    <w:autoRedefine/>
    <w:rsid w:val="000E3D1D"/>
    <w:pPr>
      <w:ind w:left="1400"/>
    </w:pPr>
    <w:rPr>
      <w:rFonts w:ascii="Calibri" w:hAnsi="Calibri"/>
    </w:rPr>
  </w:style>
  <w:style w:type="paragraph" w:styleId="TOC9">
    <w:name w:val="toc 9"/>
    <w:basedOn w:val="Normal"/>
    <w:next w:val="Normal"/>
    <w:autoRedefine/>
    <w:rsid w:val="000E3D1D"/>
    <w:pPr>
      <w:ind w:left="1600"/>
    </w:pPr>
    <w:rPr>
      <w:rFonts w:ascii="Calibri" w:hAnsi="Calibri"/>
    </w:rPr>
  </w:style>
  <w:style w:type="paragraph" w:customStyle="1" w:styleId="TableTextColumnHeadingLeft">
    <w:name w:val="Table Text Column Heading Left"/>
    <w:basedOn w:val="TableTextBase"/>
    <w:rsid w:val="008B6006"/>
  </w:style>
  <w:style w:type="paragraph" w:customStyle="1" w:styleId="ChartandTableFootnoteSmall">
    <w:name w:val="Chart and Table Footnote Small"/>
    <w:basedOn w:val="ChartandTableFootnote"/>
    <w:rsid w:val="008B6006"/>
    <w:rPr>
      <w:sz w:val="15"/>
      <w:szCs w:val="15"/>
    </w:rPr>
  </w:style>
  <w:style w:type="paragraph" w:customStyle="1" w:styleId="ChartandTableFootnoteAlphaSmall">
    <w:name w:val="Chart and Table Footnote Alpha Small"/>
    <w:basedOn w:val="ChartandTableFootnoteAlpha"/>
    <w:rsid w:val="008B6006"/>
    <w:pPr>
      <w:numPr>
        <w:numId w:val="0"/>
      </w:numPr>
      <w:tabs>
        <w:tab w:val="num" w:pos="283"/>
      </w:tabs>
      <w:ind w:left="284" w:hanging="284"/>
    </w:pPr>
    <w:rPr>
      <w:sz w:val="15"/>
      <w:szCs w:val="15"/>
    </w:rPr>
  </w:style>
  <w:style w:type="character" w:customStyle="1" w:styleId="FramedFooter">
    <w:name w:val="Framed Footer"/>
    <w:rsid w:val="000E3D1D"/>
    <w:rPr>
      <w:rFonts w:ascii="Calibri" w:hAnsi="Calibri"/>
      <w:color w:val="003E74"/>
      <w:sz w:val="18"/>
      <w:szCs w:val="18"/>
    </w:rPr>
  </w:style>
  <w:style w:type="paragraph" w:customStyle="1" w:styleId="Source">
    <w:name w:val="Source"/>
    <w:basedOn w:val="HeadingBase"/>
    <w:next w:val="Normal"/>
    <w:rsid w:val="00FF11A7"/>
    <w:pPr>
      <w:spacing w:after="240"/>
    </w:pPr>
    <w:rPr>
      <w:color w:val="000000"/>
      <w:sz w:val="16"/>
      <w:szCs w:val="16"/>
    </w:rPr>
  </w:style>
  <w:style w:type="paragraph" w:customStyle="1" w:styleId="TableTextColumnHeadingRight">
    <w:name w:val="Table Text Column Heading Right"/>
    <w:basedOn w:val="TableTextBase"/>
    <w:rsid w:val="008B6006"/>
  </w:style>
  <w:style w:type="paragraph" w:customStyle="1" w:styleId="Title2">
    <w:name w:val="Title 2"/>
    <w:basedOn w:val="HeadingBase"/>
    <w:rsid w:val="008B6006"/>
    <w:pPr>
      <w:spacing w:after="360"/>
      <w:jc w:val="center"/>
    </w:pPr>
    <w:rPr>
      <w:sz w:val="36"/>
      <w:szCs w:val="36"/>
    </w:rPr>
  </w:style>
  <w:style w:type="paragraph" w:styleId="NormalIndent">
    <w:name w:val="Normal Indent"/>
    <w:basedOn w:val="Normal"/>
    <w:rsid w:val="000E3D1D"/>
    <w:pPr>
      <w:ind w:left="567"/>
    </w:pPr>
  </w:style>
  <w:style w:type="paragraph" w:styleId="ListNumber">
    <w:name w:val="List Number"/>
    <w:basedOn w:val="Normal"/>
    <w:rsid w:val="008B6006"/>
    <w:pPr>
      <w:tabs>
        <w:tab w:val="num" w:pos="1492"/>
      </w:tabs>
      <w:ind w:left="360" w:hanging="360"/>
    </w:pPr>
  </w:style>
  <w:style w:type="paragraph" w:customStyle="1" w:styleId="TableTextIndent">
    <w:name w:val="Table Text Indent"/>
    <w:basedOn w:val="TableTextBase"/>
    <w:rsid w:val="008B6006"/>
  </w:style>
  <w:style w:type="paragraph" w:styleId="Title">
    <w:name w:val="Title"/>
    <w:basedOn w:val="HeadingBase"/>
    <w:link w:val="TitleChar"/>
    <w:qFormat/>
    <w:rsid w:val="008B6006"/>
    <w:pPr>
      <w:spacing w:after="480"/>
      <w:jc w:val="center"/>
    </w:pPr>
    <w:rPr>
      <w:b/>
      <w:bCs/>
      <w:sz w:val="48"/>
      <w:szCs w:val="48"/>
    </w:rPr>
  </w:style>
  <w:style w:type="character" w:customStyle="1" w:styleId="TitleChar">
    <w:name w:val="Title Char"/>
    <w:basedOn w:val="DefaultParagraphFont"/>
    <w:link w:val="Title"/>
    <w:rsid w:val="008B6006"/>
    <w:rPr>
      <w:rFonts w:ascii="Arial" w:eastAsia="Times New Roman" w:hAnsi="Arial" w:cs="Times New Roman"/>
      <w:b/>
      <w:bCs/>
      <w:color w:val="003E74"/>
      <w:sz w:val="48"/>
      <w:szCs w:val="48"/>
      <w:lang w:eastAsia="en-AU"/>
    </w:rPr>
  </w:style>
  <w:style w:type="paragraph" w:styleId="MacroText">
    <w:name w:val="macro"/>
    <w:link w:val="MacroTextChar"/>
    <w:rsid w:val="000E3D1D"/>
    <w:pPr>
      <w:tabs>
        <w:tab w:val="left" w:pos="480"/>
        <w:tab w:val="left" w:pos="960"/>
        <w:tab w:val="left" w:pos="1440"/>
        <w:tab w:val="left" w:pos="1920"/>
        <w:tab w:val="left" w:pos="2400"/>
        <w:tab w:val="left" w:pos="2880"/>
        <w:tab w:val="left" w:pos="3360"/>
        <w:tab w:val="left" w:pos="3840"/>
        <w:tab w:val="left" w:pos="4320"/>
      </w:tabs>
      <w:spacing w:after="240" w:line="260" w:lineRule="exact"/>
      <w:jc w:val="both"/>
    </w:pPr>
    <w:rPr>
      <w:rFonts w:ascii="Courier New" w:eastAsia="Times New Roman" w:hAnsi="Courier New" w:cs="Courier New"/>
      <w:color w:val="000000"/>
      <w:sz w:val="20"/>
      <w:szCs w:val="20"/>
      <w:lang w:eastAsia="en-AU"/>
    </w:rPr>
  </w:style>
  <w:style w:type="character" w:customStyle="1" w:styleId="MacroTextChar">
    <w:name w:val="Macro Text Char"/>
    <w:basedOn w:val="DefaultParagraphFont"/>
    <w:link w:val="MacroText"/>
    <w:rsid w:val="008B6006"/>
    <w:rPr>
      <w:rFonts w:ascii="Courier New" w:eastAsia="Times New Roman" w:hAnsi="Courier New" w:cs="Courier New"/>
      <w:color w:val="000000"/>
      <w:sz w:val="20"/>
      <w:szCs w:val="20"/>
      <w:lang w:eastAsia="en-AU"/>
    </w:rPr>
  </w:style>
  <w:style w:type="paragraph" w:customStyle="1" w:styleId="Classification">
    <w:name w:val="Classification"/>
    <w:basedOn w:val="HeadingBase"/>
    <w:next w:val="Footer"/>
    <w:rsid w:val="000E3D1D"/>
    <w:pPr>
      <w:spacing w:after="120"/>
      <w:jc w:val="center"/>
    </w:pPr>
    <w:rPr>
      <w:b/>
      <w:smallCaps/>
    </w:rPr>
  </w:style>
  <w:style w:type="paragraph" w:customStyle="1" w:styleId="TableTextColumnHeadingCentre">
    <w:name w:val="Table Text Column Heading Centre"/>
    <w:basedOn w:val="TableTextBase"/>
    <w:rsid w:val="008B6006"/>
  </w:style>
  <w:style w:type="paragraph" w:customStyle="1" w:styleId="Normalbold">
    <w:name w:val="Normal bold"/>
    <w:basedOn w:val="Normal"/>
    <w:rsid w:val="008B6006"/>
    <w:rPr>
      <w:b/>
      <w:bCs/>
    </w:rPr>
  </w:style>
  <w:style w:type="paragraph" w:styleId="NoteHeading">
    <w:name w:val="Note Heading"/>
    <w:basedOn w:val="HeadingBase"/>
    <w:next w:val="Normal"/>
    <w:link w:val="NoteHeadingChar"/>
    <w:rsid w:val="008B6006"/>
    <w:rPr>
      <w:color w:val="000000"/>
      <w:sz w:val="16"/>
      <w:szCs w:val="16"/>
    </w:rPr>
  </w:style>
  <w:style w:type="character" w:customStyle="1" w:styleId="NoteHeadingChar">
    <w:name w:val="Note Heading Char"/>
    <w:basedOn w:val="DefaultParagraphFont"/>
    <w:link w:val="NoteHeading"/>
    <w:rsid w:val="008B6006"/>
    <w:rPr>
      <w:rFonts w:ascii="Arial" w:eastAsia="Times New Roman" w:hAnsi="Arial" w:cs="Times New Roman"/>
      <w:color w:val="000000"/>
      <w:sz w:val="16"/>
      <w:szCs w:val="16"/>
      <w:lang w:eastAsia="en-AU"/>
    </w:rPr>
  </w:style>
  <w:style w:type="paragraph" w:customStyle="1" w:styleId="ChapterHeaderTitle">
    <w:name w:val="Chapter Header Title"/>
    <w:basedOn w:val="HeadingBase"/>
    <w:rsid w:val="008B6006"/>
    <w:pPr>
      <w:spacing w:before="284" w:after="113"/>
    </w:pPr>
    <w:rPr>
      <w:color w:val="FFFFFF"/>
      <w:sz w:val="48"/>
      <w:szCs w:val="48"/>
    </w:rPr>
  </w:style>
  <w:style w:type="paragraph" w:customStyle="1" w:styleId="ChapterHeaderNo">
    <w:name w:val="Chapter Header No"/>
    <w:basedOn w:val="Header"/>
    <w:rsid w:val="008B6006"/>
    <w:pPr>
      <w:jc w:val="center"/>
    </w:pPr>
    <w:rPr>
      <w:rFonts w:ascii="Arial Bold" w:hAnsi="Arial Bold" w:cs="Arial Bold"/>
      <w:b/>
      <w:bCs/>
      <w:sz w:val="32"/>
      <w:szCs w:val="32"/>
    </w:rPr>
  </w:style>
  <w:style w:type="paragraph" w:customStyle="1" w:styleId="Contents">
    <w:name w:val="Contents"/>
    <w:basedOn w:val="Normal"/>
    <w:next w:val="TOC1"/>
    <w:rsid w:val="008B6006"/>
    <w:pPr>
      <w:keepNext/>
      <w:spacing w:after="120" w:line="240" w:lineRule="auto"/>
    </w:pPr>
    <w:rPr>
      <w:rFonts w:ascii="Arial Bold" w:hAnsi="Arial Bold" w:cs="Arial Bold"/>
      <w:b/>
      <w:bCs/>
      <w:smallCaps/>
      <w:color w:val="333192"/>
      <w:sz w:val="36"/>
      <w:szCs w:val="36"/>
    </w:rPr>
  </w:style>
  <w:style w:type="paragraph" w:styleId="BodyText3">
    <w:name w:val="Body Text 3"/>
    <w:basedOn w:val="Normal"/>
    <w:link w:val="BodyText3Char"/>
    <w:rsid w:val="008B6006"/>
  </w:style>
  <w:style w:type="character" w:customStyle="1" w:styleId="BodyText3Char">
    <w:name w:val="Body Text 3 Char"/>
    <w:basedOn w:val="DefaultParagraphFont"/>
    <w:link w:val="BodyText3"/>
    <w:rsid w:val="008B6006"/>
    <w:rPr>
      <w:rFonts w:ascii="Book Antiqua" w:eastAsia="Times New Roman" w:hAnsi="Book Antiqua" w:cs="Times New Roman"/>
      <w:color w:val="000000"/>
      <w:sz w:val="20"/>
      <w:szCs w:val="20"/>
      <w:lang w:eastAsia="en-AU"/>
    </w:rPr>
  </w:style>
  <w:style w:type="paragraph" w:customStyle="1" w:styleId="ChapterNo">
    <w:name w:val="Chapter No"/>
    <w:basedOn w:val="HeadingBase"/>
    <w:next w:val="Heading1"/>
    <w:rsid w:val="008B6006"/>
    <w:pPr>
      <w:pBdr>
        <w:bottom w:val="single" w:sz="4" w:space="1" w:color="auto"/>
      </w:pBdr>
    </w:pPr>
    <w:rPr>
      <w:caps/>
      <w:color w:val="000000"/>
      <w:sz w:val="16"/>
      <w:szCs w:val="16"/>
    </w:rPr>
  </w:style>
  <w:style w:type="paragraph" w:styleId="DocumentMap">
    <w:name w:val="Document Map"/>
    <w:basedOn w:val="Normal"/>
    <w:link w:val="DocumentMapChar"/>
    <w:rsid w:val="000E3D1D"/>
    <w:pPr>
      <w:shd w:val="clear" w:color="auto" w:fill="000080"/>
    </w:pPr>
    <w:rPr>
      <w:rFonts w:ascii="Tahoma" w:hAnsi="Tahoma" w:cs="Tahoma"/>
    </w:rPr>
  </w:style>
  <w:style w:type="character" w:customStyle="1" w:styleId="DocumentMapChar">
    <w:name w:val="Document Map Char"/>
    <w:basedOn w:val="DefaultParagraphFont"/>
    <w:link w:val="DocumentMap"/>
    <w:rsid w:val="008B6006"/>
    <w:rPr>
      <w:rFonts w:ascii="Tahoma" w:eastAsia="Times New Roman" w:hAnsi="Tahoma" w:cs="Tahoma"/>
      <w:color w:val="000000"/>
      <w:sz w:val="20"/>
      <w:szCs w:val="20"/>
      <w:shd w:val="clear" w:color="auto" w:fill="000080"/>
      <w:lang w:eastAsia="en-AU"/>
    </w:rPr>
  </w:style>
  <w:style w:type="paragraph" w:customStyle="1" w:styleId="AlphaParagraph">
    <w:name w:val="Alpha Paragraph"/>
    <w:basedOn w:val="Normal"/>
    <w:rsid w:val="000E3D1D"/>
    <w:pPr>
      <w:numPr>
        <w:numId w:val="4"/>
      </w:numPr>
      <w:tabs>
        <w:tab w:val="clear" w:pos="1134"/>
        <w:tab w:val="num" w:pos="360"/>
      </w:tabs>
      <w:ind w:left="0" w:firstLine="0"/>
    </w:pPr>
  </w:style>
  <w:style w:type="paragraph" w:customStyle="1" w:styleId="AppendixHeading">
    <w:name w:val="Appendix Heading"/>
    <w:basedOn w:val="HeadingBase"/>
    <w:next w:val="Normal"/>
    <w:rsid w:val="000E3D1D"/>
    <w:pPr>
      <w:spacing w:before="720" w:after="360"/>
    </w:pPr>
    <w:rPr>
      <w:b/>
      <w:smallCaps/>
      <w:sz w:val="36"/>
      <w:szCs w:val="36"/>
    </w:rPr>
  </w:style>
  <w:style w:type="character" w:customStyle="1" w:styleId="Bold">
    <w:name w:val="Bold"/>
    <w:basedOn w:val="DefaultParagraphFont"/>
    <w:rsid w:val="000E3D1D"/>
    <w:rPr>
      <w:b/>
    </w:rPr>
  </w:style>
  <w:style w:type="paragraph" w:customStyle="1" w:styleId="BoxHeading">
    <w:name w:val="Box Heading"/>
    <w:basedOn w:val="HeadingBase"/>
    <w:next w:val="BoxText"/>
    <w:rsid w:val="000E3D1D"/>
    <w:pPr>
      <w:spacing w:after="240"/>
    </w:pPr>
    <w:rPr>
      <w:b/>
      <w:color w:val="FFFFFF" w:themeColor="background1"/>
      <w:sz w:val="28"/>
    </w:rPr>
  </w:style>
  <w:style w:type="paragraph" w:customStyle="1" w:styleId="BoxTextBase">
    <w:name w:val="Box Text Base"/>
    <w:basedOn w:val="Normal"/>
    <w:rsid w:val="000E3D1D"/>
    <w:pPr>
      <w:spacing w:line="240" w:lineRule="auto"/>
    </w:pPr>
    <w:rPr>
      <w:color w:val="FFFFFF" w:themeColor="background1"/>
    </w:rPr>
  </w:style>
  <w:style w:type="paragraph" w:customStyle="1" w:styleId="ChartMainHeading">
    <w:name w:val="Chart Main Heading"/>
    <w:basedOn w:val="HeadingBase"/>
    <w:next w:val="ChartGraphic"/>
    <w:rsid w:val="000E3D1D"/>
    <w:pPr>
      <w:keepNext/>
      <w:spacing w:before="170" w:after="113"/>
    </w:pPr>
    <w:rPr>
      <w:b/>
      <w:sz w:val="22"/>
    </w:rPr>
  </w:style>
  <w:style w:type="paragraph" w:customStyle="1" w:styleId="ChartorTableNote">
    <w:name w:val="Chart or Table Note"/>
    <w:next w:val="Normal"/>
    <w:rsid w:val="000E3D1D"/>
    <w:pPr>
      <w:spacing w:after="0" w:line="240" w:lineRule="auto"/>
      <w:jc w:val="both"/>
    </w:pPr>
    <w:rPr>
      <w:rFonts w:ascii="Arial" w:eastAsia="Times New Roman" w:hAnsi="Arial" w:cs="Times New Roman"/>
      <w:color w:val="000000"/>
      <w:sz w:val="16"/>
      <w:szCs w:val="20"/>
      <w:lang w:eastAsia="en-AU"/>
    </w:rPr>
  </w:style>
  <w:style w:type="paragraph" w:customStyle="1" w:styleId="FooterCentered">
    <w:name w:val="Footer Centered"/>
    <w:basedOn w:val="Footer"/>
    <w:rsid w:val="000E3D1D"/>
    <w:pPr>
      <w:jc w:val="center"/>
    </w:pPr>
  </w:style>
  <w:style w:type="paragraph" w:customStyle="1" w:styleId="RecommendationHeading">
    <w:name w:val="Recommendation Heading"/>
    <w:basedOn w:val="HeadingBase"/>
    <w:next w:val="RecommendationText"/>
    <w:rsid w:val="000E3D1D"/>
    <w:pPr>
      <w:spacing w:after="240"/>
    </w:pPr>
    <w:rPr>
      <w:b/>
      <w:sz w:val="22"/>
    </w:rPr>
  </w:style>
  <w:style w:type="paragraph" w:customStyle="1" w:styleId="RecommendationBaseText">
    <w:name w:val="Recommendation Base Text"/>
    <w:basedOn w:val="Normal"/>
    <w:rsid w:val="000E3D1D"/>
    <w:rPr>
      <w:rFonts w:ascii="Calibri" w:hAnsi="Calibri"/>
    </w:rPr>
  </w:style>
  <w:style w:type="paragraph" w:customStyle="1" w:styleId="RecommendationText">
    <w:name w:val="Recommendation Text"/>
    <w:basedOn w:val="RecommendationBaseText"/>
    <w:rsid w:val="000E3D1D"/>
    <w:rPr>
      <w:rFonts w:asciiTheme="minorHAnsi" w:hAnsiTheme="minorHAnsi"/>
    </w:rPr>
  </w:style>
  <w:style w:type="paragraph" w:customStyle="1" w:styleId="TableColumnHeadingCentred">
    <w:name w:val="Table Column Heading Centred"/>
    <w:basedOn w:val="TableTextBase"/>
    <w:rsid w:val="000E3D1D"/>
    <w:pPr>
      <w:jc w:val="center"/>
    </w:pPr>
    <w:rPr>
      <w:b/>
    </w:rPr>
  </w:style>
  <w:style w:type="paragraph" w:customStyle="1" w:styleId="TableColumnHeadingLeft">
    <w:name w:val="Table Column Heading Left"/>
    <w:basedOn w:val="TableTextBase"/>
    <w:rsid w:val="000E3D1D"/>
    <w:rPr>
      <w:b/>
    </w:rPr>
  </w:style>
  <w:style w:type="paragraph" w:customStyle="1" w:styleId="TableColumnHeadingRight">
    <w:name w:val="Table Column Heading Right"/>
    <w:basedOn w:val="TableTextBase"/>
    <w:rsid w:val="000E3D1D"/>
    <w:pPr>
      <w:jc w:val="right"/>
    </w:pPr>
    <w:rPr>
      <w:b/>
    </w:rPr>
  </w:style>
  <w:style w:type="paragraph" w:customStyle="1" w:styleId="TableMainHeading">
    <w:name w:val="Table Main Heading"/>
    <w:basedOn w:val="HeadingBase"/>
    <w:next w:val="TableGraphic"/>
    <w:rsid w:val="000E3D1D"/>
    <w:pPr>
      <w:keepNext/>
      <w:spacing w:before="170" w:after="113"/>
    </w:pPr>
    <w:rPr>
      <w:b/>
      <w:sz w:val="22"/>
    </w:rPr>
  </w:style>
  <w:style w:type="paragraph" w:customStyle="1" w:styleId="TableMainHeadingContd">
    <w:name w:val="Table Main Heading Contd"/>
    <w:basedOn w:val="HeadingBase"/>
    <w:next w:val="TableGraphic"/>
    <w:rsid w:val="000E3D1D"/>
    <w:pPr>
      <w:keepNext/>
      <w:spacing w:after="20"/>
    </w:pPr>
    <w:rPr>
      <w:b/>
      <w:sz w:val="22"/>
    </w:rPr>
  </w:style>
  <w:style w:type="paragraph" w:customStyle="1" w:styleId="TableSecondHeading">
    <w:name w:val="Table Second Heading"/>
    <w:basedOn w:val="HeadingBase"/>
    <w:next w:val="TableGraphic"/>
    <w:rsid w:val="000E3D1D"/>
    <w:pPr>
      <w:keepNext/>
      <w:spacing w:after="20"/>
    </w:pPr>
  </w:style>
  <w:style w:type="paragraph" w:customStyle="1" w:styleId="TableTextCentered">
    <w:name w:val="Table Text Centered"/>
    <w:basedOn w:val="TableTextBase"/>
    <w:rsid w:val="000E3D1D"/>
    <w:pPr>
      <w:jc w:val="center"/>
    </w:pPr>
  </w:style>
  <w:style w:type="paragraph" w:customStyle="1" w:styleId="TableTextIndented">
    <w:name w:val="Table Text Indented"/>
    <w:basedOn w:val="TableTextBase"/>
    <w:rsid w:val="000E3D1D"/>
    <w:pPr>
      <w:ind w:left="284"/>
    </w:pPr>
  </w:style>
  <w:style w:type="character" w:customStyle="1" w:styleId="Italic">
    <w:name w:val="Italic"/>
    <w:basedOn w:val="DefaultParagraphFont"/>
    <w:rsid w:val="000E3D1D"/>
    <w:rPr>
      <w:i/>
    </w:rPr>
  </w:style>
  <w:style w:type="paragraph" w:customStyle="1" w:styleId="OneLevelNumberedParagraph">
    <w:name w:val="One Level Numbered Paragraph"/>
    <w:basedOn w:val="Normal"/>
    <w:rsid w:val="000E3D1D"/>
    <w:pPr>
      <w:numPr>
        <w:numId w:val="7"/>
      </w:numPr>
    </w:pPr>
  </w:style>
  <w:style w:type="paragraph" w:customStyle="1" w:styleId="BoxText">
    <w:name w:val="Box Text"/>
    <w:basedOn w:val="BoxTextBase"/>
    <w:rsid w:val="000E3D1D"/>
  </w:style>
  <w:style w:type="paragraph" w:customStyle="1" w:styleId="BoxBullet">
    <w:name w:val="Box Bullet"/>
    <w:basedOn w:val="BoxTextBase"/>
    <w:rsid w:val="000E3D1D"/>
    <w:pPr>
      <w:numPr>
        <w:numId w:val="6"/>
      </w:numPr>
    </w:pPr>
  </w:style>
  <w:style w:type="paragraph" w:customStyle="1" w:styleId="BoxDash">
    <w:name w:val="Box Dash"/>
    <w:basedOn w:val="Normal"/>
    <w:rsid w:val="000E3D1D"/>
    <w:pPr>
      <w:numPr>
        <w:ilvl w:val="1"/>
        <w:numId w:val="6"/>
      </w:numPr>
    </w:pPr>
    <w:rPr>
      <w:color w:val="FFFFFF" w:themeColor="background1"/>
    </w:rPr>
  </w:style>
  <w:style w:type="paragraph" w:customStyle="1" w:styleId="BoxDoubleDot">
    <w:name w:val="Box Double Dot"/>
    <w:basedOn w:val="BoxTextBase"/>
    <w:rsid w:val="000E3D1D"/>
    <w:pPr>
      <w:numPr>
        <w:ilvl w:val="2"/>
        <w:numId w:val="6"/>
      </w:numPr>
    </w:pPr>
  </w:style>
  <w:style w:type="paragraph" w:customStyle="1" w:styleId="RecommendationBullet">
    <w:name w:val="Recommendation Bullet"/>
    <w:basedOn w:val="RecommendationBaseText"/>
    <w:rsid w:val="000E3D1D"/>
    <w:pPr>
      <w:numPr>
        <w:numId w:val="8"/>
      </w:numPr>
    </w:pPr>
  </w:style>
  <w:style w:type="paragraph" w:customStyle="1" w:styleId="RecommendationDash">
    <w:name w:val="Recommendation Dash"/>
    <w:basedOn w:val="RecommendationBaseText"/>
    <w:rsid w:val="000E3D1D"/>
    <w:pPr>
      <w:numPr>
        <w:ilvl w:val="1"/>
        <w:numId w:val="8"/>
      </w:numPr>
    </w:pPr>
  </w:style>
  <w:style w:type="paragraph" w:customStyle="1" w:styleId="RecommendationDoubleDot">
    <w:name w:val="Recommendation Double Dot"/>
    <w:basedOn w:val="RecommendationBaseText"/>
    <w:rsid w:val="000E3D1D"/>
    <w:pPr>
      <w:numPr>
        <w:ilvl w:val="2"/>
        <w:numId w:val="8"/>
      </w:numPr>
    </w:pPr>
  </w:style>
  <w:style w:type="character" w:customStyle="1" w:styleId="Boldanditalic">
    <w:name w:val="Bold and italic"/>
    <w:basedOn w:val="DefaultParagraphFont"/>
    <w:rsid w:val="000E3D1D"/>
    <w:rPr>
      <w:b/>
      <w:i/>
    </w:rPr>
  </w:style>
  <w:style w:type="paragraph" w:styleId="Caption">
    <w:name w:val="caption"/>
    <w:basedOn w:val="Normal"/>
    <w:next w:val="Normal"/>
    <w:qFormat/>
    <w:rsid w:val="000E3D1D"/>
    <w:pPr>
      <w:spacing w:before="120" w:after="120"/>
    </w:pPr>
    <w:rPr>
      <w:b/>
      <w:bCs/>
    </w:rPr>
  </w:style>
  <w:style w:type="character" w:styleId="CommentReference">
    <w:name w:val="annotation reference"/>
    <w:basedOn w:val="DefaultParagraphFont"/>
    <w:rsid w:val="000E3D1D"/>
    <w:rPr>
      <w:sz w:val="16"/>
      <w:szCs w:val="16"/>
    </w:rPr>
  </w:style>
  <w:style w:type="paragraph" w:styleId="CommentText">
    <w:name w:val="annotation text"/>
    <w:basedOn w:val="Normal"/>
    <w:link w:val="CommentTextChar"/>
    <w:rsid w:val="000E3D1D"/>
  </w:style>
  <w:style w:type="character" w:customStyle="1" w:styleId="CommentTextChar">
    <w:name w:val="Comment Text Char"/>
    <w:basedOn w:val="DefaultParagraphFont"/>
    <w:link w:val="CommentText"/>
    <w:rsid w:val="008B6006"/>
    <w:rPr>
      <w:rFonts w:eastAsia="Times New Roman" w:cs="Times New Roman"/>
      <w:color w:val="000000"/>
      <w:sz w:val="20"/>
      <w:szCs w:val="20"/>
      <w:lang w:eastAsia="en-AU"/>
    </w:rPr>
  </w:style>
  <w:style w:type="paragraph" w:styleId="CommentSubject">
    <w:name w:val="annotation subject"/>
    <w:basedOn w:val="CommentText"/>
    <w:next w:val="CommentText"/>
    <w:link w:val="CommentSubjectChar"/>
    <w:rsid w:val="000E3D1D"/>
    <w:rPr>
      <w:b/>
      <w:bCs/>
    </w:rPr>
  </w:style>
  <w:style w:type="character" w:customStyle="1" w:styleId="CommentSubjectChar">
    <w:name w:val="Comment Subject Char"/>
    <w:basedOn w:val="CommentTextChar"/>
    <w:link w:val="CommentSubject"/>
    <w:rsid w:val="008B6006"/>
    <w:rPr>
      <w:rFonts w:eastAsia="Times New Roman" w:cs="Times New Roman"/>
      <w:b/>
      <w:bCs/>
      <w:color w:val="000000"/>
      <w:sz w:val="20"/>
      <w:szCs w:val="20"/>
      <w:lang w:eastAsia="en-AU"/>
    </w:rPr>
  </w:style>
  <w:style w:type="character" w:styleId="EndnoteReference">
    <w:name w:val="endnote reference"/>
    <w:basedOn w:val="DefaultParagraphFont"/>
    <w:rsid w:val="000E3D1D"/>
    <w:rPr>
      <w:vertAlign w:val="superscript"/>
    </w:rPr>
  </w:style>
  <w:style w:type="paragraph" w:styleId="EndnoteText">
    <w:name w:val="endnote text"/>
    <w:basedOn w:val="Normal"/>
    <w:link w:val="EndnoteTextChar"/>
    <w:rsid w:val="000E3D1D"/>
  </w:style>
  <w:style w:type="character" w:customStyle="1" w:styleId="EndnoteTextChar">
    <w:name w:val="Endnote Text Char"/>
    <w:basedOn w:val="DefaultParagraphFont"/>
    <w:link w:val="EndnoteText"/>
    <w:rsid w:val="008B6006"/>
    <w:rPr>
      <w:rFonts w:eastAsia="Times New Roman" w:cs="Times New Roman"/>
      <w:color w:val="000000"/>
      <w:sz w:val="20"/>
      <w:szCs w:val="20"/>
      <w:lang w:eastAsia="en-AU"/>
    </w:rPr>
  </w:style>
  <w:style w:type="paragraph" w:styleId="Index4">
    <w:name w:val="index 4"/>
    <w:basedOn w:val="Normal"/>
    <w:next w:val="Normal"/>
    <w:autoRedefine/>
    <w:rsid w:val="000E3D1D"/>
    <w:pPr>
      <w:ind w:left="800" w:hanging="200"/>
    </w:pPr>
  </w:style>
  <w:style w:type="paragraph" w:styleId="Index5">
    <w:name w:val="index 5"/>
    <w:basedOn w:val="Normal"/>
    <w:next w:val="Normal"/>
    <w:autoRedefine/>
    <w:rsid w:val="000E3D1D"/>
    <w:pPr>
      <w:ind w:left="1000" w:hanging="200"/>
    </w:pPr>
  </w:style>
  <w:style w:type="paragraph" w:styleId="Index6">
    <w:name w:val="index 6"/>
    <w:basedOn w:val="Normal"/>
    <w:next w:val="Normal"/>
    <w:autoRedefine/>
    <w:rsid w:val="000E3D1D"/>
    <w:pPr>
      <w:ind w:left="1200" w:hanging="200"/>
    </w:pPr>
  </w:style>
  <w:style w:type="paragraph" w:styleId="Index7">
    <w:name w:val="index 7"/>
    <w:basedOn w:val="Normal"/>
    <w:next w:val="Normal"/>
    <w:autoRedefine/>
    <w:rsid w:val="000E3D1D"/>
    <w:pPr>
      <w:ind w:left="1400" w:hanging="200"/>
    </w:pPr>
  </w:style>
  <w:style w:type="paragraph" w:styleId="Index8">
    <w:name w:val="index 8"/>
    <w:basedOn w:val="Normal"/>
    <w:next w:val="Normal"/>
    <w:autoRedefine/>
    <w:rsid w:val="000E3D1D"/>
    <w:pPr>
      <w:ind w:left="1600" w:hanging="200"/>
    </w:pPr>
  </w:style>
  <w:style w:type="paragraph" w:styleId="Index9">
    <w:name w:val="index 9"/>
    <w:basedOn w:val="Normal"/>
    <w:next w:val="Normal"/>
    <w:autoRedefine/>
    <w:rsid w:val="000E3D1D"/>
    <w:pPr>
      <w:ind w:left="1800" w:hanging="200"/>
    </w:pPr>
  </w:style>
  <w:style w:type="paragraph" w:styleId="TableofAuthorities">
    <w:name w:val="table of authorities"/>
    <w:basedOn w:val="Normal"/>
    <w:next w:val="Normal"/>
    <w:rsid w:val="000E3D1D"/>
    <w:pPr>
      <w:ind w:left="200" w:hanging="200"/>
    </w:pPr>
  </w:style>
  <w:style w:type="paragraph" w:styleId="TableofFigures">
    <w:name w:val="table of figures"/>
    <w:basedOn w:val="Normal"/>
    <w:next w:val="Normal"/>
    <w:rsid w:val="000E3D1D"/>
    <w:pPr>
      <w:ind w:left="400" w:hanging="400"/>
    </w:pPr>
  </w:style>
  <w:style w:type="paragraph" w:styleId="TOAHeading">
    <w:name w:val="toa heading"/>
    <w:basedOn w:val="Normal"/>
    <w:next w:val="Normal"/>
    <w:rsid w:val="000E3D1D"/>
    <w:pPr>
      <w:spacing w:before="120"/>
    </w:pPr>
    <w:rPr>
      <w:rFonts w:ascii="Calibri" w:hAnsi="Calibri" w:cs="Arial"/>
      <w:b/>
      <w:bCs/>
      <w:sz w:val="24"/>
      <w:szCs w:val="24"/>
    </w:rPr>
  </w:style>
  <w:style w:type="paragraph" w:customStyle="1" w:styleId="AppendixAHeading3">
    <w:name w:val="AppendixAHeading3"/>
    <w:basedOn w:val="Heading3"/>
    <w:next w:val="AppendixAHeading4"/>
    <w:rsid w:val="000E3D1D"/>
    <w:pPr>
      <w:numPr>
        <w:numId w:val="11"/>
      </w:numPr>
    </w:pPr>
    <w:rPr>
      <w:i/>
    </w:rPr>
  </w:style>
  <w:style w:type="paragraph" w:customStyle="1" w:styleId="AppendixAHeading4">
    <w:name w:val="AppendixAHeading4"/>
    <w:basedOn w:val="Heading4"/>
    <w:next w:val="Bullet"/>
    <w:rsid w:val="000E3D1D"/>
    <w:pPr>
      <w:numPr>
        <w:ilvl w:val="1"/>
        <w:numId w:val="12"/>
      </w:numPr>
    </w:pPr>
  </w:style>
  <w:style w:type="paragraph" w:customStyle="1" w:styleId="AppendixGHeading3">
    <w:name w:val="AppendixGHeading3"/>
    <w:basedOn w:val="Heading3"/>
    <w:rsid w:val="000E3D1D"/>
    <w:pPr>
      <w:numPr>
        <w:numId w:val="10"/>
      </w:numPr>
    </w:pPr>
  </w:style>
  <w:style w:type="paragraph" w:customStyle="1" w:styleId="Heading3TOC">
    <w:name w:val="Heading 3 TOC"/>
    <w:basedOn w:val="Heading3"/>
    <w:rsid w:val="008B6006"/>
  </w:style>
  <w:style w:type="character" w:customStyle="1" w:styleId="HeadingBaseChar">
    <w:name w:val="Heading Base Char"/>
    <w:link w:val="HeadingBase"/>
    <w:locked/>
    <w:rsid w:val="008B6006"/>
    <w:rPr>
      <w:rFonts w:ascii="Calibri" w:eastAsia="Times New Roman" w:hAnsi="Calibri" w:cs="Times New Roman"/>
      <w:color w:val="003E74"/>
      <w:sz w:val="20"/>
      <w:szCs w:val="20"/>
      <w:lang w:eastAsia="en-AU"/>
    </w:rPr>
  </w:style>
  <w:style w:type="paragraph" w:customStyle="1" w:styleId="CharCharCharCharCharChar">
    <w:name w:val="Char Char Char Char Char Char"/>
    <w:basedOn w:val="Normal"/>
    <w:rsid w:val="008B6006"/>
    <w:pPr>
      <w:spacing w:after="160" w:line="240" w:lineRule="exact"/>
    </w:pPr>
    <w:rPr>
      <w:rFonts w:ascii="Verdana" w:hAnsi="Verdana"/>
      <w:szCs w:val="24"/>
      <w:lang w:val="en-US"/>
    </w:rPr>
  </w:style>
  <w:style w:type="table" w:styleId="TableGrid">
    <w:name w:val="Table Grid"/>
    <w:basedOn w:val="TableNormal"/>
    <w:uiPriority w:val="59"/>
    <w:rsid w:val="008B6006"/>
    <w:pPr>
      <w:spacing w:after="240" w:line="260" w:lineRule="exact"/>
      <w:jc w:val="both"/>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ing3noTOC">
    <w:name w:val="Heading 3 no TOC"/>
    <w:basedOn w:val="Heading3"/>
    <w:rsid w:val="000E3D1D"/>
    <w:pPr>
      <w:outlineLvl w:val="9"/>
    </w:pPr>
  </w:style>
  <w:style w:type="character" w:styleId="FollowedHyperlink">
    <w:name w:val="FollowedHyperlink"/>
    <w:basedOn w:val="DefaultParagraphFont"/>
    <w:rsid w:val="000E3D1D"/>
    <w:rPr>
      <w:color w:val="000000"/>
      <w:u w:val="none"/>
    </w:rPr>
  </w:style>
  <w:style w:type="paragraph" w:customStyle="1" w:styleId="Style1">
    <w:name w:val="Style1"/>
    <w:basedOn w:val="AppendixAHeading3"/>
    <w:next w:val="AppendixAHeading4"/>
    <w:rsid w:val="000E3D1D"/>
    <w:pPr>
      <w:numPr>
        <w:numId w:val="0"/>
      </w:numPr>
    </w:pPr>
  </w:style>
  <w:style w:type="paragraph" w:customStyle="1" w:styleId="AppendixAHeading3NotItalic">
    <w:name w:val="AppendixAHeading3NotItalic"/>
    <w:basedOn w:val="HeadingBase"/>
    <w:next w:val="AppendixAHeading4"/>
    <w:rsid w:val="000E3D1D"/>
    <w:pPr>
      <w:numPr>
        <w:numId w:val="12"/>
      </w:numPr>
      <w:spacing w:before="57" w:after="57" w:line="280" w:lineRule="exact"/>
    </w:pPr>
    <w:rPr>
      <w:b/>
      <w:sz w:val="24"/>
    </w:rPr>
  </w:style>
  <w:style w:type="paragraph" w:customStyle="1" w:styleId="CharChar1Char">
    <w:name w:val="Char Char1 Char"/>
    <w:basedOn w:val="Normal"/>
    <w:rsid w:val="008B6006"/>
    <w:pPr>
      <w:spacing w:after="160" w:line="240" w:lineRule="exact"/>
    </w:pPr>
    <w:rPr>
      <w:rFonts w:ascii="Arial" w:hAnsi="Arial"/>
      <w:lang w:val="en-GB"/>
    </w:rPr>
  </w:style>
  <w:style w:type="paragraph" w:customStyle="1" w:styleId="Heading2noTOC">
    <w:name w:val="Heading 2 no TOC"/>
    <w:basedOn w:val="Heading2"/>
    <w:next w:val="Normal"/>
    <w:rsid w:val="000E3D1D"/>
    <w:pPr>
      <w:outlineLvl w:val="9"/>
    </w:pPr>
  </w:style>
  <w:style w:type="paragraph" w:customStyle="1" w:styleId="Heading9noTOC">
    <w:name w:val="Heading 9 no TOC"/>
    <w:basedOn w:val="Heading9"/>
    <w:rsid w:val="000E3D1D"/>
    <w:pPr>
      <w:outlineLvl w:val="9"/>
    </w:pPr>
  </w:style>
  <w:style w:type="paragraph" w:styleId="NormalWeb">
    <w:name w:val="Normal (Web)"/>
    <w:basedOn w:val="Normal"/>
    <w:rsid w:val="000E3D1D"/>
    <w:rPr>
      <w:rFonts w:ascii="Times New Roman" w:hAnsi="Times New Roman"/>
      <w:sz w:val="24"/>
      <w:szCs w:val="24"/>
    </w:rPr>
  </w:style>
  <w:style w:type="character" w:styleId="IntenseEmphasis">
    <w:name w:val="Intense Emphasis"/>
    <w:basedOn w:val="DefaultParagraphFont"/>
    <w:uiPriority w:val="21"/>
    <w:qFormat/>
    <w:rsid w:val="000E3D1D"/>
    <w:rPr>
      <w:b/>
      <w:bCs/>
      <w:i/>
      <w:iCs/>
      <w:color w:val="003E74"/>
    </w:rPr>
  </w:style>
  <w:style w:type="paragraph" w:styleId="IntenseQuote">
    <w:name w:val="Intense Quote"/>
    <w:basedOn w:val="Normal"/>
    <w:next w:val="Normal"/>
    <w:link w:val="IntenseQuoteChar"/>
    <w:uiPriority w:val="30"/>
    <w:qFormat/>
    <w:rsid w:val="000E3D1D"/>
    <w:pPr>
      <w:pBdr>
        <w:bottom w:val="single" w:sz="4" w:space="4" w:color="4F81BD" w:themeColor="accent1"/>
      </w:pBdr>
      <w:spacing w:before="200" w:after="280"/>
      <w:ind w:left="936" w:right="936"/>
    </w:pPr>
    <w:rPr>
      <w:b/>
      <w:bCs/>
      <w:i/>
      <w:iCs/>
      <w:color w:val="003E74"/>
    </w:rPr>
  </w:style>
  <w:style w:type="character" w:customStyle="1" w:styleId="IntenseQuoteChar">
    <w:name w:val="Intense Quote Char"/>
    <w:basedOn w:val="DefaultParagraphFont"/>
    <w:link w:val="IntenseQuote"/>
    <w:uiPriority w:val="30"/>
    <w:rsid w:val="000E3D1D"/>
    <w:rPr>
      <w:rFonts w:eastAsia="Times New Roman" w:cs="Times New Roman"/>
      <w:b/>
      <w:bCs/>
      <w:i/>
      <w:iCs/>
      <w:color w:val="003E74"/>
      <w:sz w:val="20"/>
      <w:szCs w:val="20"/>
      <w:lang w:eastAsia="en-AU"/>
    </w:rPr>
  </w:style>
  <w:style w:type="paragraph" w:styleId="TOCHeading">
    <w:name w:val="TOC Heading"/>
    <w:basedOn w:val="Heading1"/>
    <w:next w:val="Normal"/>
    <w:uiPriority w:val="39"/>
    <w:unhideWhenUsed/>
    <w:qFormat/>
    <w:rsid w:val="000E3D1D"/>
    <w:pPr>
      <w:keepLines/>
      <w:spacing w:before="480" w:after="0" w:line="260" w:lineRule="exact"/>
      <w:jc w:val="both"/>
      <w:outlineLvl w:val="9"/>
    </w:pPr>
    <w:rPr>
      <w:rFonts w:asciiTheme="majorHAnsi" w:eastAsiaTheme="majorEastAsia" w:hAnsiTheme="majorHAnsi" w:cstheme="majorBidi"/>
      <w:kern w:val="0"/>
      <w:sz w:val="28"/>
      <w:szCs w:val="28"/>
    </w:rPr>
  </w:style>
  <w:style w:type="paragraph" w:styleId="Revision">
    <w:name w:val="Revision"/>
    <w:hidden/>
    <w:uiPriority w:val="99"/>
    <w:semiHidden/>
    <w:rsid w:val="008B6006"/>
    <w:pPr>
      <w:spacing w:after="0" w:line="240" w:lineRule="auto"/>
    </w:pPr>
    <w:rPr>
      <w:rFonts w:ascii="Book Antiqua" w:eastAsia="Times New Roman" w:hAnsi="Book Antiqua" w:cs="Times New Roman"/>
      <w:color w:val="000000"/>
      <w:sz w:val="20"/>
      <w:szCs w:val="20"/>
      <w:lang w:eastAsia="en-AU"/>
    </w:rPr>
  </w:style>
  <w:style w:type="character" w:customStyle="1" w:styleId="Italics">
    <w:name w:val="Italics"/>
    <w:basedOn w:val="DefaultParagraphFont"/>
    <w:rsid w:val="000E3D1D"/>
    <w:rPr>
      <w:i/>
    </w:rPr>
  </w:style>
  <w:style w:type="character" w:customStyle="1" w:styleId="A5">
    <w:name w:val="A5"/>
    <w:uiPriority w:val="99"/>
    <w:rsid w:val="000E3D1D"/>
    <w:rPr>
      <w:rFonts w:cs="Swiss 721 BT"/>
      <w:color w:val="000000"/>
      <w:sz w:val="20"/>
      <w:szCs w:val="20"/>
    </w:rPr>
  </w:style>
  <w:style w:type="character" w:styleId="Emphasis">
    <w:name w:val="Emphasis"/>
    <w:uiPriority w:val="20"/>
    <w:qFormat/>
    <w:rsid w:val="008B6006"/>
    <w:rPr>
      <w:i/>
      <w:iCs/>
    </w:rPr>
  </w:style>
  <w:style w:type="paragraph" w:customStyle="1" w:styleId="Table">
    <w:name w:val="Table"/>
    <w:basedOn w:val="Normal"/>
    <w:rsid w:val="000E3D1D"/>
  </w:style>
  <w:style w:type="paragraph" w:customStyle="1" w:styleId="StyleChartorTableNoteLeft0cmHanging1cm">
    <w:name w:val="Style Chart or Table Note + Left:  0 cm Hanging:  1 cm"/>
    <w:basedOn w:val="ChartorTableNote"/>
    <w:rsid w:val="008B6006"/>
    <w:pPr>
      <w:tabs>
        <w:tab w:val="left" w:pos="567"/>
      </w:tabs>
      <w:ind w:left="567" w:hanging="567"/>
    </w:pPr>
  </w:style>
  <w:style w:type="paragraph" w:customStyle="1" w:styleId="FootnoteTextBullet">
    <w:name w:val="Footnote Text Bullet"/>
    <w:basedOn w:val="FootnoteText"/>
    <w:rsid w:val="008B6006"/>
    <w:pPr>
      <w:numPr>
        <w:numId w:val="13"/>
      </w:numPr>
      <w:tabs>
        <w:tab w:val="clear" w:pos="284"/>
        <w:tab w:val="left" w:pos="567"/>
      </w:tabs>
      <w:ind w:left="568" w:hanging="284"/>
    </w:pPr>
  </w:style>
  <w:style w:type="paragraph" w:styleId="ListParagraph">
    <w:name w:val="List Paragraph"/>
    <w:basedOn w:val="Normal"/>
    <w:uiPriority w:val="34"/>
    <w:qFormat/>
    <w:rsid w:val="00402633"/>
    <w:pPr>
      <w:ind w:left="720"/>
      <w:contextualSpacing/>
    </w:pPr>
  </w:style>
  <w:style w:type="paragraph" w:customStyle="1" w:styleId="Default">
    <w:name w:val="Default"/>
    <w:rsid w:val="004C402F"/>
    <w:pPr>
      <w:autoSpaceDE w:val="0"/>
      <w:autoSpaceDN w:val="0"/>
      <w:adjustRightInd w:val="0"/>
      <w:spacing w:after="0" w:line="240" w:lineRule="auto"/>
    </w:pPr>
    <w:rPr>
      <w:rFonts w:ascii="Arial" w:eastAsia="Times New Roman" w:hAnsi="Arial" w:cs="Arial"/>
      <w:color w:val="000000"/>
      <w:sz w:val="24"/>
      <w:szCs w:val="24"/>
      <w:lang w:eastAsia="en-AU"/>
    </w:rPr>
  </w:style>
  <w:style w:type="character" w:customStyle="1" w:styleId="DashChar">
    <w:name w:val="Dash Char"/>
    <w:basedOn w:val="DefaultParagraphFont"/>
    <w:link w:val="Dash"/>
    <w:rsid w:val="00786B11"/>
    <w:rPr>
      <w:rFonts w:eastAsia="Times New Roman" w:cs="Times New Roman"/>
      <w:color w:val="000000"/>
      <w:sz w:val="20"/>
      <w:szCs w:val="20"/>
      <w:lang w:eastAsia="en-AU"/>
    </w:rPr>
  </w:style>
  <w:style w:type="character" w:customStyle="1" w:styleId="DoubleDotChar">
    <w:name w:val="Double Dot Char"/>
    <w:basedOn w:val="DefaultParagraphFont"/>
    <w:link w:val="DoubleDot"/>
    <w:rsid w:val="00786B11"/>
    <w:rPr>
      <w:rFonts w:eastAsia="Times New Roman" w:cs="Times New Roman"/>
      <w:color w:val="000000"/>
      <w:sz w:val="20"/>
      <w:szCs w:val="20"/>
      <w:lang w:eastAsia="en-AU"/>
    </w:rPr>
  </w:style>
  <w:style w:type="character" w:customStyle="1" w:styleId="apple-converted-space">
    <w:name w:val="apple-converted-space"/>
    <w:basedOn w:val="DefaultParagraphFont"/>
    <w:rsid w:val="00FE4498"/>
  </w:style>
  <w:style w:type="paragraph" w:customStyle="1" w:styleId="Circletext">
    <w:name w:val="Circle text"/>
    <w:basedOn w:val="BoxText"/>
    <w:qFormat/>
    <w:rsid w:val="000E3D1D"/>
    <w:rPr>
      <w:b/>
      <w:sz w:val="24"/>
    </w:rPr>
  </w:style>
  <w:style w:type="paragraph" w:styleId="PlainText">
    <w:name w:val="Plain Text"/>
    <w:basedOn w:val="Normal"/>
    <w:link w:val="PlainTextChar"/>
    <w:uiPriority w:val="99"/>
    <w:semiHidden/>
    <w:unhideWhenUsed/>
    <w:rsid w:val="00C07DC3"/>
    <w:pPr>
      <w:spacing w:after="0" w:line="240" w:lineRule="auto"/>
    </w:pPr>
    <w:rPr>
      <w:rFonts w:ascii="Calibri" w:hAnsi="Calibri"/>
      <w:szCs w:val="21"/>
    </w:rPr>
  </w:style>
  <w:style w:type="character" w:customStyle="1" w:styleId="PlainTextChar">
    <w:name w:val="Plain Text Char"/>
    <w:basedOn w:val="DefaultParagraphFont"/>
    <w:link w:val="PlainText"/>
    <w:uiPriority w:val="99"/>
    <w:semiHidden/>
    <w:rsid w:val="00C07DC3"/>
    <w:rPr>
      <w:rFonts w:ascii="Calibri" w:hAnsi="Calibri"/>
      <w:szCs w:val="21"/>
    </w:rPr>
  </w:style>
  <w:style w:type="table" w:customStyle="1" w:styleId="TableGrid1">
    <w:name w:val="Table Grid1"/>
    <w:basedOn w:val="TableNormal"/>
    <w:next w:val="TableGrid"/>
    <w:rsid w:val="00264BB4"/>
    <w:pPr>
      <w:spacing w:after="240" w:line="260" w:lineRule="exact"/>
      <w:jc w:val="both"/>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IRBBulletpoint">
    <w:name w:val="FIRB Bullet point"/>
    <w:basedOn w:val="Bullet"/>
    <w:qFormat/>
    <w:rsid w:val="00C27882"/>
    <w:pPr>
      <w:spacing w:after="120"/>
    </w:pPr>
  </w:style>
  <w:style w:type="paragraph" w:customStyle="1" w:styleId="FIRBDash">
    <w:name w:val="FIRB Dash"/>
    <w:basedOn w:val="Dash"/>
    <w:qFormat/>
    <w:rsid w:val="00C27882"/>
    <w:pPr>
      <w:spacing w:after="120"/>
      <w:ind w:left="851" w:hanging="284"/>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uiPriority="0"/>
    <w:lsdException w:name="index 2" w:uiPriority="0"/>
    <w:lsdException w:name="index 3" w:uiPriority="0"/>
    <w:lsdException w:name="index 4" w:uiPriority="0"/>
    <w:lsdException w:name="index 5" w:uiPriority="0"/>
    <w:lsdException w:name="index 6" w:uiPriority="0"/>
    <w:lsdException w:name="index 7" w:uiPriority="0"/>
    <w:lsdException w:name="index 8" w:uiPriority="0"/>
    <w:lsdException w:name="index 9" w:uiPriority="0"/>
    <w:lsdException w:name="toc 1" w:uiPriority="0"/>
    <w:lsdException w:name="toc 2" w:uiPriority="0"/>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Normal Indent" w:uiPriority="0"/>
    <w:lsdException w:name="footnote text" w:uiPriority="0"/>
    <w:lsdException w:name="annotation text" w:uiPriority="0"/>
    <w:lsdException w:name="header" w:uiPriority="0"/>
    <w:lsdException w:name="footer" w:uiPriority="0"/>
    <w:lsdException w:name="index heading" w:uiPriority="0"/>
    <w:lsdException w:name="caption" w:uiPriority="0" w:qFormat="1"/>
    <w:lsdException w:name="table of figures" w:uiPriority="0"/>
    <w:lsdException w:name="footnote reference" w:uiPriority="0"/>
    <w:lsdException w:name="annotation reference" w:uiPriority="0"/>
    <w:lsdException w:name="page number" w:uiPriority="0"/>
    <w:lsdException w:name="endnote reference" w:uiPriority="0"/>
    <w:lsdException w:name="endnote text" w:uiPriority="0"/>
    <w:lsdException w:name="table of authorities" w:uiPriority="0"/>
    <w:lsdException w:name="macro" w:uiPriority="0"/>
    <w:lsdException w:name="toa heading" w:uiPriority="0"/>
    <w:lsdException w:name="List Number" w:uiPriority="0"/>
    <w:lsdException w:name="Title" w:semiHidden="0" w:uiPriority="0" w:unhideWhenUsed="0" w:qFormat="1"/>
    <w:lsdException w:name="Default Paragraph Font" w:uiPriority="1"/>
    <w:lsdException w:name="Subtitle" w:semiHidden="0" w:uiPriority="0" w:unhideWhenUsed="0" w:qFormat="1"/>
    <w:lsdException w:name="Note Heading" w:uiPriority="0"/>
    <w:lsdException w:name="Body Text 3" w:uiPriority="0"/>
    <w:lsdException w:name="Block Text" w:uiPriority="0"/>
    <w:lsdException w:name="Hyperlink" w:uiPriority="0"/>
    <w:lsdException w:name="FollowedHyperlink" w:uiPriority="0"/>
    <w:lsdException w:name="Strong" w:semiHidden="0" w:uiPriority="0" w:unhideWhenUsed="0" w:qFormat="1"/>
    <w:lsdException w:name="Emphasis" w:semiHidden="0" w:uiPriority="20" w:unhideWhenUsed="0" w:qFormat="1"/>
    <w:lsdException w:name="Document Map" w:uiPriority="0"/>
    <w:lsdException w:name="Normal (Web)" w:uiPriority="0"/>
    <w:lsdException w:name="annotation subjec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E3D1D"/>
    <w:pPr>
      <w:spacing w:after="240" w:line="260" w:lineRule="exact"/>
      <w:jc w:val="both"/>
    </w:pPr>
    <w:rPr>
      <w:rFonts w:eastAsia="Times New Roman" w:cs="Times New Roman"/>
      <w:color w:val="000000"/>
      <w:sz w:val="20"/>
      <w:szCs w:val="20"/>
      <w:lang w:eastAsia="en-AU"/>
    </w:rPr>
  </w:style>
  <w:style w:type="paragraph" w:styleId="Heading1">
    <w:name w:val="heading 1"/>
    <w:basedOn w:val="HeadingBase"/>
    <w:next w:val="Normal"/>
    <w:link w:val="Heading1Char"/>
    <w:qFormat/>
    <w:rsid w:val="000E3D1D"/>
    <w:pPr>
      <w:keepNext/>
      <w:spacing w:before="284" w:after="113"/>
      <w:outlineLvl w:val="0"/>
    </w:pPr>
    <w:rPr>
      <w:rFonts w:cs="Arial"/>
      <w:b/>
      <w:bCs/>
      <w:color w:val="FFFFFF" w:themeColor="background1"/>
      <w:kern w:val="32"/>
      <w:sz w:val="36"/>
      <w:szCs w:val="48"/>
    </w:rPr>
  </w:style>
  <w:style w:type="paragraph" w:styleId="Heading2">
    <w:name w:val="heading 2"/>
    <w:basedOn w:val="HeadingBase"/>
    <w:next w:val="Normal"/>
    <w:link w:val="Heading2Char"/>
    <w:qFormat/>
    <w:rsid w:val="000E3D1D"/>
    <w:pPr>
      <w:keepNext/>
      <w:spacing w:before="120" w:after="240" w:line="260" w:lineRule="exact"/>
      <w:outlineLvl w:val="1"/>
    </w:pPr>
    <w:rPr>
      <w:rFonts w:cs="Arial"/>
      <w:b/>
      <w:bCs/>
      <w:iCs/>
      <w:sz w:val="28"/>
      <w:szCs w:val="28"/>
    </w:rPr>
  </w:style>
  <w:style w:type="paragraph" w:styleId="Heading3">
    <w:name w:val="heading 3"/>
    <w:basedOn w:val="HeadingBase"/>
    <w:next w:val="Normal"/>
    <w:link w:val="Heading3Char"/>
    <w:qFormat/>
    <w:rsid w:val="000E3D1D"/>
    <w:pPr>
      <w:keepNext/>
      <w:spacing w:before="120" w:after="60" w:line="260" w:lineRule="exact"/>
      <w:outlineLvl w:val="2"/>
    </w:pPr>
    <w:rPr>
      <w:rFonts w:cs="Arial"/>
      <w:b/>
      <w:bCs/>
      <w:color w:val="4F81BD"/>
      <w:sz w:val="22"/>
      <w:szCs w:val="26"/>
    </w:rPr>
  </w:style>
  <w:style w:type="paragraph" w:styleId="Heading4">
    <w:name w:val="heading 4"/>
    <w:basedOn w:val="HeadingBase"/>
    <w:next w:val="Normal"/>
    <w:link w:val="Heading4Char"/>
    <w:qFormat/>
    <w:rsid w:val="000E3D1D"/>
    <w:pPr>
      <w:keepNext/>
      <w:spacing w:before="57" w:after="57" w:line="280" w:lineRule="exact"/>
      <w:outlineLvl w:val="3"/>
    </w:pPr>
    <w:rPr>
      <w:b/>
      <w:bCs/>
      <w:szCs w:val="22"/>
    </w:rPr>
  </w:style>
  <w:style w:type="paragraph" w:styleId="Heading5">
    <w:name w:val="heading 5"/>
    <w:basedOn w:val="HeadingBase"/>
    <w:next w:val="Normal"/>
    <w:link w:val="Heading5Char"/>
    <w:qFormat/>
    <w:rsid w:val="000E3D1D"/>
    <w:pPr>
      <w:keepNext/>
      <w:spacing w:before="57" w:after="57" w:line="280" w:lineRule="exact"/>
      <w:outlineLvl w:val="4"/>
    </w:pPr>
    <w:rPr>
      <w:bCs/>
      <w:iCs/>
    </w:rPr>
  </w:style>
  <w:style w:type="paragraph" w:styleId="Heading6">
    <w:name w:val="heading 6"/>
    <w:basedOn w:val="HeadingBase"/>
    <w:next w:val="Normal"/>
    <w:link w:val="Heading6Char"/>
    <w:qFormat/>
    <w:rsid w:val="000E3D1D"/>
    <w:pPr>
      <w:keepNext/>
      <w:spacing w:after="120"/>
      <w:outlineLvl w:val="5"/>
    </w:pPr>
    <w:rPr>
      <w:bCs/>
      <w:szCs w:val="22"/>
    </w:rPr>
  </w:style>
  <w:style w:type="paragraph" w:styleId="Heading7">
    <w:name w:val="heading 7"/>
    <w:basedOn w:val="Heading2"/>
    <w:next w:val="Normal"/>
    <w:link w:val="Heading7Char"/>
    <w:qFormat/>
    <w:rsid w:val="000E3D1D"/>
    <w:pPr>
      <w:jc w:val="right"/>
      <w:outlineLvl w:val="6"/>
    </w:pPr>
  </w:style>
  <w:style w:type="paragraph" w:styleId="Heading8">
    <w:name w:val="heading 8"/>
    <w:basedOn w:val="HeadingBase"/>
    <w:next w:val="Normal"/>
    <w:link w:val="Heading8Char"/>
    <w:qFormat/>
    <w:rsid w:val="000E3D1D"/>
    <w:pPr>
      <w:keepNext/>
      <w:spacing w:before="284" w:after="360"/>
      <w:jc w:val="right"/>
      <w:outlineLvl w:val="7"/>
    </w:pPr>
    <w:rPr>
      <w:iCs/>
      <w:sz w:val="48"/>
      <w:szCs w:val="24"/>
    </w:rPr>
  </w:style>
  <w:style w:type="paragraph" w:styleId="Heading9">
    <w:name w:val="heading 9"/>
    <w:basedOn w:val="HeadingBase"/>
    <w:next w:val="Normal"/>
    <w:link w:val="Heading9Char"/>
    <w:qFormat/>
    <w:rsid w:val="000E3D1D"/>
    <w:pPr>
      <w:keepNext/>
      <w:spacing w:before="170" w:after="113" w:line="320" w:lineRule="exact"/>
      <w:jc w:val="right"/>
      <w:outlineLvl w:val="8"/>
    </w:pPr>
    <w:rPr>
      <w:rFonts w:cs="Arial"/>
      <w:b/>
      <w:sz w:val="28"/>
      <w:szCs w:val="22"/>
    </w:rPr>
  </w:style>
  <w:style w:type="character" w:default="1" w:styleId="DefaultParagraphFont">
    <w:name w:val="Default Paragraph Font"/>
    <w:uiPriority w:val="1"/>
    <w:semiHidden/>
    <w:unhideWhenUsed/>
    <w:rsid w:val="000E3D1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rsid w:val="000E3D1D"/>
  </w:style>
  <w:style w:type="paragraph" w:customStyle="1" w:styleId="SingleParagraph">
    <w:name w:val="Single Paragraph"/>
    <w:basedOn w:val="Normal"/>
    <w:link w:val="SingleParagraphChar"/>
    <w:rsid w:val="000E3D1D"/>
    <w:pPr>
      <w:spacing w:after="0"/>
    </w:pPr>
  </w:style>
  <w:style w:type="character" w:styleId="Hyperlink">
    <w:name w:val="Hyperlink"/>
    <w:basedOn w:val="DefaultParagraphFont"/>
    <w:rsid w:val="000E3D1D"/>
    <w:rPr>
      <w:color w:val="000000"/>
      <w:u w:val="none"/>
    </w:rPr>
  </w:style>
  <w:style w:type="paragraph" w:customStyle="1" w:styleId="ChartGraphic">
    <w:name w:val="Chart Graphic"/>
    <w:basedOn w:val="HeadingBase"/>
    <w:rsid w:val="000E3D1D"/>
    <w:pPr>
      <w:jc w:val="center"/>
    </w:pPr>
  </w:style>
  <w:style w:type="paragraph" w:styleId="Footer">
    <w:name w:val="footer"/>
    <w:basedOn w:val="HeadingBase"/>
    <w:link w:val="FooterChar"/>
    <w:rsid w:val="000E3D1D"/>
    <w:rPr>
      <w:sz w:val="18"/>
    </w:rPr>
  </w:style>
  <w:style w:type="character" w:customStyle="1" w:styleId="FooterChar">
    <w:name w:val="Footer Char"/>
    <w:basedOn w:val="DefaultParagraphFont"/>
    <w:link w:val="Footer"/>
    <w:rsid w:val="008B6006"/>
    <w:rPr>
      <w:rFonts w:ascii="Calibri" w:eastAsia="Times New Roman" w:hAnsi="Calibri" w:cs="Times New Roman"/>
      <w:color w:val="003E74"/>
      <w:sz w:val="18"/>
      <w:szCs w:val="20"/>
      <w:lang w:eastAsia="en-AU"/>
    </w:rPr>
  </w:style>
  <w:style w:type="paragraph" w:customStyle="1" w:styleId="ContentsHeading">
    <w:name w:val="Contents Heading"/>
    <w:basedOn w:val="HeadingBase"/>
    <w:next w:val="Normal"/>
    <w:rsid w:val="000E3D1D"/>
    <w:pPr>
      <w:spacing w:after="360"/>
    </w:pPr>
    <w:rPr>
      <w:smallCaps/>
      <w:sz w:val="36"/>
      <w:szCs w:val="36"/>
    </w:rPr>
  </w:style>
  <w:style w:type="paragraph" w:customStyle="1" w:styleId="CoverTitleMain">
    <w:name w:val="Cover Title Main"/>
    <w:basedOn w:val="HeadingBase"/>
    <w:next w:val="Normal"/>
    <w:rsid w:val="000E3D1D"/>
    <w:pPr>
      <w:spacing w:after="360"/>
      <w:jc w:val="right"/>
    </w:pPr>
    <w:rPr>
      <w:b/>
      <w:sz w:val="44"/>
    </w:rPr>
  </w:style>
  <w:style w:type="paragraph" w:customStyle="1" w:styleId="FooterEven">
    <w:name w:val="Footer Even"/>
    <w:basedOn w:val="Footer"/>
    <w:rsid w:val="000E3D1D"/>
  </w:style>
  <w:style w:type="paragraph" w:customStyle="1" w:styleId="FooterOdd">
    <w:name w:val="Footer Odd"/>
    <w:basedOn w:val="Footer"/>
    <w:rsid w:val="000E3D1D"/>
    <w:pPr>
      <w:jc w:val="right"/>
    </w:pPr>
  </w:style>
  <w:style w:type="paragraph" w:styleId="Header">
    <w:name w:val="header"/>
    <w:basedOn w:val="HeadingBase"/>
    <w:link w:val="HeaderChar"/>
    <w:rsid w:val="000E3D1D"/>
    <w:rPr>
      <w:sz w:val="18"/>
    </w:rPr>
  </w:style>
  <w:style w:type="character" w:customStyle="1" w:styleId="HeaderChar">
    <w:name w:val="Header Char"/>
    <w:basedOn w:val="DefaultParagraphFont"/>
    <w:link w:val="Header"/>
    <w:rsid w:val="008B6006"/>
    <w:rPr>
      <w:rFonts w:ascii="Calibri" w:eastAsia="Times New Roman" w:hAnsi="Calibri" w:cs="Times New Roman"/>
      <w:color w:val="003E74"/>
      <w:sz w:val="18"/>
      <w:szCs w:val="20"/>
      <w:lang w:eastAsia="en-AU"/>
    </w:rPr>
  </w:style>
  <w:style w:type="paragraph" w:customStyle="1" w:styleId="HeaderOdd">
    <w:name w:val="Header Odd"/>
    <w:basedOn w:val="Header"/>
    <w:rsid w:val="000E3D1D"/>
    <w:pPr>
      <w:jc w:val="right"/>
    </w:pPr>
  </w:style>
  <w:style w:type="paragraph" w:styleId="TOC1">
    <w:name w:val="toc 1"/>
    <w:basedOn w:val="HeadingBase"/>
    <w:next w:val="Normal"/>
    <w:rsid w:val="000E3D1D"/>
    <w:pPr>
      <w:tabs>
        <w:tab w:val="right" w:leader="dot" w:pos="7700"/>
      </w:tabs>
      <w:spacing w:before="180"/>
      <w:ind w:right="851"/>
    </w:pPr>
    <w:rPr>
      <w:b/>
      <w:smallCaps/>
      <w:noProof/>
      <w:sz w:val="22"/>
      <w:szCs w:val="22"/>
    </w:rPr>
  </w:style>
  <w:style w:type="paragraph" w:styleId="TOC2">
    <w:name w:val="toc 2"/>
    <w:basedOn w:val="Normal"/>
    <w:next w:val="Normal"/>
    <w:rsid w:val="000E3D1D"/>
    <w:pPr>
      <w:tabs>
        <w:tab w:val="right" w:leader="dot" w:pos="7700"/>
      </w:tabs>
      <w:spacing w:after="0"/>
      <w:ind w:right="851"/>
      <w:jc w:val="left"/>
    </w:pPr>
    <w:rPr>
      <w:rFonts w:ascii="Calibri" w:hAnsi="Calibri"/>
      <w:noProof/>
    </w:rPr>
  </w:style>
  <w:style w:type="paragraph" w:styleId="TOC3">
    <w:name w:val="toc 3"/>
    <w:basedOn w:val="Normal"/>
    <w:next w:val="Normal"/>
    <w:rsid w:val="000E3D1D"/>
    <w:pPr>
      <w:tabs>
        <w:tab w:val="right" w:leader="dot" w:pos="7700"/>
      </w:tabs>
      <w:spacing w:after="0" w:line="240" w:lineRule="auto"/>
      <w:ind w:left="284" w:right="851"/>
      <w:jc w:val="left"/>
    </w:pPr>
    <w:rPr>
      <w:rFonts w:ascii="Calibri" w:hAnsi="Calibri"/>
      <w:noProof/>
    </w:rPr>
  </w:style>
  <w:style w:type="paragraph" w:styleId="TOC4">
    <w:name w:val="toc 4"/>
    <w:basedOn w:val="Normal"/>
    <w:next w:val="Normal"/>
    <w:rsid w:val="000E3D1D"/>
    <w:pPr>
      <w:tabs>
        <w:tab w:val="right" w:leader="dot" w:pos="7700"/>
      </w:tabs>
      <w:spacing w:after="0" w:line="240" w:lineRule="auto"/>
      <w:ind w:left="284" w:right="851" w:hanging="284"/>
      <w:jc w:val="left"/>
    </w:pPr>
    <w:rPr>
      <w:rFonts w:ascii="Calibri" w:hAnsi="Calibri"/>
      <w:noProof/>
    </w:rPr>
  </w:style>
  <w:style w:type="paragraph" w:customStyle="1" w:styleId="SinglePara">
    <w:name w:val="Single Para"/>
    <w:basedOn w:val="Normal"/>
    <w:rsid w:val="008B6006"/>
    <w:pPr>
      <w:spacing w:after="0" w:line="240" w:lineRule="auto"/>
    </w:pPr>
    <w:rPr>
      <w:rFonts w:ascii="Times New Roman" w:hAnsi="Times New Roman"/>
      <w:sz w:val="24"/>
    </w:rPr>
  </w:style>
  <w:style w:type="character" w:customStyle="1" w:styleId="SingleParagraphChar">
    <w:name w:val="Single Paragraph Char"/>
    <w:link w:val="SingleParagraph"/>
    <w:rsid w:val="008B6006"/>
    <w:rPr>
      <w:rFonts w:eastAsia="Times New Roman" w:cs="Times New Roman"/>
      <w:color w:val="000000"/>
      <w:sz w:val="20"/>
      <w:szCs w:val="20"/>
      <w:lang w:eastAsia="en-AU"/>
    </w:rPr>
  </w:style>
  <w:style w:type="paragraph" w:customStyle="1" w:styleId="ChairmanLetter">
    <w:name w:val="Chairman Letter"/>
    <w:basedOn w:val="Normal"/>
    <w:qFormat/>
    <w:rsid w:val="008B6006"/>
    <w:rPr>
      <w:rFonts w:ascii="Times New Roman" w:hAnsi="Times New Roman"/>
    </w:rPr>
  </w:style>
  <w:style w:type="paragraph" w:styleId="BalloonText">
    <w:name w:val="Balloon Text"/>
    <w:basedOn w:val="Normal"/>
    <w:link w:val="BalloonTextChar"/>
    <w:rsid w:val="000E3D1D"/>
    <w:rPr>
      <w:rFonts w:ascii="Tahoma" w:hAnsi="Tahoma" w:cs="Tahoma"/>
      <w:sz w:val="16"/>
      <w:szCs w:val="16"/>
    </w:rPr>
  </w:style>
  <w:style w:type="character" w:customStyle="1" w:styleId="BalloonTextChar">
    <w:name w:val="Balloon Text Char"/>
    <w:basedOn w:val="DefaultParagraphFont"/>
    <w:link w:val="BalloonText"/>
    <w:rsid w:val="008B6006"/>
    <w:rPr>
      <w:rFonts w:ascii="Tahoma" w:eastAsia="Times New Roman" w:hAnsi="Tahoma" w:cs="Tahoma"/>
      <w:color w:val="000000"/>
      <w:sz w:val="16"/>
      <w:szCs w:val="16"/>
      <w:lang w:eastAsia="en-AU"/>
    </w:rPr>
  </w:style>
  <w:style w:type="character" w:customStyle="1" w:styleId="Heading1Char">
    <w:name w:val="Heading 1 Char"/>
    <w:basedOn w:val="DefaultParagraphFont"/>
    <w:link w:val="Heading1"/>
    <w:rsid w:val="00933D95"/>
    <w:rPr>
      <w:rFonts w:ascii="Calibri" w:eastAsia="Times New Roman" w:hAnsi="Calibri" w:cs="Arial"/>
      <w:b/>
      <w:bCs/>
      <w:color w:val="FFFFFF" w:themeColor="background1"/>
      <w:kern w:val="32"/>
      <w:sz w:val="36"/>
      <w:szCs w:val="48"/>
      <w:lang w:eastAsia="en-AU"/>
    </w:rPr>
  </w:style>
  <w:style w:type="paragraph" w:styleId="FootnoteText">
    <w:name w:val="footnote text"/>
    <w:basedOn w:val="Normal"/>
    <w:link w:val="FootnoteTextChar"/>
    <w:rsid w:val="000E3D1D"/>
    <w:pPr>
      <w:tabs>
        <w:tab w:val="left" w:pos="284"/>
      </w:tabs>
      <w:spacing w:after="0" w:line="240" w:lineRule="auto"/>
      <w:ind w:left="284" w:hanging="284"/>
    </w:pPr>
    <w:rPr>
      <w:sz w:val="18"/>
    </w:rPr>
  </w:style>
  <w:style w:type="character" w:customStyle="1" w:styleId="FootnoteTextChar">
    <w:name w:val="Footnote Text Char"/>
    <w:basedOn w:val="DefaultParagraphFont"/>
    <w:link w:val="FootnoteText"/>
    <w:rsid w:val="008B6006"/>
    <w:rPr>
      <w:rFonts w:eastAsia="Times New Roman" w:cs="Times New Roman"/>
      <w:color w:val="000000"/>
      <w:sz w:val="18"/>
      <w:szCs w:val="20"/>
      <w:lang w:eastAsia="en-AU"/>
    </w:rPr>
  </w:style>
  <w:style w:type="character" w:styleId="FootnoteReference">
    <w:name w:val="footnote reference"/>
    <w:basedOn w:val="DefaultParagraphFont"/>
    <w:rsid w:val="000E3D1D"/>
    <w:rPr>
      <w:vertAlign w:val="superscript"/>
    </w:rPr>
  </w:style>
  <w:style w:type="character" w:styleId="PageNumber">
    <w:name w:val="page number"/>
    <w:basedOn w:val="DefaultParagraphFont"/>
    <w:rsid w:val="000E3D1D"/>
    <w:rPr>
      <w:rFonts w:asciiTheme="minorHAnsi" w:hAnsiTheme="minorHAnsi"/>
      <w:color w:val="003E74"/>
      <w:sz w:val="18"/>
      <w:szCs w:val="18"/>
    </w:rPr>
  </w:style>
  <w:style w:type="paragraph" w:customStyle="1" w:styleId="Bullet">
    <w:name w:val="Bullet"/>
    <w:aliases w:val="b,b1,b + line,Body,level 1,Bullet + line"/>
    <w:basedOn w:val="Normal"/>
    <w:link w:val="BulletChar"/>
    <w:rsid w:val="000E3D1D"/>
    <w:pPr>
      <w:numPr>
        <w:numId w:val="1"/>
      </w:numPr>
      <w:ind w:left="284" w:hanging="284"/>
    </w:pPr>
  </w:style>
  <w:style w:type="paragraph" w:customStyle="1" w:styleId="Dash">
    <w:name w:val="Dash"/>
    <w:basedOn w:val="Normal"/>
    <w:link w:val="DashChar"/>
    <w:rsid w:val="000E3D1D"/>
    <w:pPr>
      <w:numPr>
        <w:ilvl w:val="1"/>
        <w:numId w:val="1"/>
      </w:numPr>
      <w:tabs>
        <w:tab w:val="clear" w:pos="567"/>
        <w:tab w:val="num" w:pos="360"/>
      </w:tabs>
      <w:ind w:left="568" w:firstLine="0"/>
    </w:pPr>
  </w:style>
  <w:style w:type="character" w:customStyle="1" w:styleId="Heading2Char">
    <w:name w:val="Heading 2 Char"/>
    <w:basedOn w:val="DefaultParagraphFont"/>
    <w:link w:val="Heading2"/>
    <w:rsid w:val="008B6006"/>
    <w:rPr>
      <w:rFonts w:ascii="Calibri" w:eastAsia="Times New Roman" w:hAnsi="Calibri" w:cs="Arial"/>
      <w:b/>
      <w:bCs/>
      <w:iCs/>
      <w:color w:val="003E74"/>
      <w:sz w:val="28"/>
      <w:szCs w:val="28"/>
      <w:lang w:eastAsia="en-AU"/>
    </w:rPr>
  </w:style>
  <w:style w:type="character" w:customStyle="1" w:styleId="Heading3Char">
    <w:name w:val="Heading 3 Char"/>
    <w:basedOn w:val="DefaultParagraphFont"/>
    <w:link w:val="Heading3"/>
    <w:rsid w:val="00115593"/>
    <w:rPr>
      <w:rFonts w:ascii="Calibri" w:eastAsia="Times New Roman" w:hAnsi="Calibri" w:cs="Arial"/>
      <w:b/>
      <w:bCs/>
      <w:color w:val="4F81BD"/>
      <w:szCs w:val="26"/>
      <w:lang w:eastAsia="en-AU"/>
    </w:rPr>
  </w:style>
  <w:style w:type="character" w:customStyle="1" w:styleId="Heading4Char">
    <w:name w:val="Heading 4 Char"/>
    <w:basedOn w:val="DefaultParagraphFont"/>
    <w:link w:val="Heading4"/>
    <w:rsid w:val="008B6006"/>
    <w:rPr>
      <w:rFonts w:ascii="Calibri" w:eastAsia="Times New Roman" w:hAnsi="Calibri" w:cs="Times New Roman"/>
      <w:b/>
      <w:bCs/>
      <w:color w:val="003E74"/>
      <w:sz w:val="20"/>
      <w:lang w:eastAsia="en-AU"/>
    </w:rPr>
  </w:style>
  <w:style w:type="paragraph" w:customStyle="1" w:styleId="DoubleDot">
    <w:name w:val="Double Dot"/>
    <w:basedOn w:val="Normal"/>
    <w:link w:val="DoubleDotChar"/>
    <w:rsid w:val="000E3D1D"/>
    <w:pPr>
      <w:numPr>
        <w:ilvl w:val="2"/>
        <w:numId w:val="1"/>
      </w:numPr>
      <w:tabs>
        <w:tab w:val="clear" w:pos="850"/>
        <w:tab w:val="num" w:pos="360"/>
      </w:tabs>
      <w:ind w:left="0" w:firstLine="0"/>
    </w:pPr>
  </w:style>
  <w:style w:type="paragraph" w:customStyle="1" w:styleId="OutlineNumbered1">
    <w:name w:val="Outline Numbered 1"/>
    <w:basedOn w:val="Normal"/>
    <w:rsid w:val="000E3D1D"/>
    <w:pPr>
      <w:numPr>
        <w:numId w:val="2"/>
      </w:numPr>
      <w:tabs>
        <w:tab w:val="clear" w:pos="567"/>
        <w:tab w:val="num" w:pos="360"/>
      </w:tabs>
      <w:ind w:left="0" w:firstLine="0"/>
    </w:pPr>
  </w:style>
  <w:style w:type="paragraph" w:customStyle="1" w:styleId="OutlineNumbered2">
    <w:name w:val="Outline Numbered 2"/>
    <w:basedOn w:val="Normal"/>
    <w:rsid w:val="000E3D1D"/>
    <w:pPr>
      <w:numPr>
        <w:ilvl w:val="1"/>
        <w:numId w:val="2"/>
      </w:numPr>
      <w:tabs>
        <w:tab w:val="clear" w:pos="1134"/>
        <w:tab w:val="num" w:pos="360"/>
      </w:tabs>
      <w:ind w:left="0" w:firstLine="0"/>
    </w:pPr>
  </w:style>
  <w:style w:type="paragraph" w:customStyle="1" w:styleId="OutlineNumbered3">
    <w:name w:val="Outline Numbered 3"/>
    <w:basedOn w:val="Normal"/>
    <w:rsid w:val="000E3D1D"/>
    <w:pPr>
      <w:numPr>
        <w:ilvl w:val="2"/>
        <w:numId w:val="2"/>
      </w:numPr>
      <w:tabs>
        <w:tab w:val="clear" w:pos="1701"/>
        <w:tab w:val="num" w:pos="360"/>
      </w:tabs>
      <w:ind w:left="0" w:firstLine="0"/>
    </w:pPr>
  </w:style>
  <w:style w:type="paragraph" w:customStyle="1" w:styleId="CoverTitleSub">
    <w:name w:val="Cover Title Sub"/>
    <w:basedOn w:val="HeadingBase"/>
    <w:rsid w:val="000E3D1D"/>
    <w:pPr>
      <w:spacing w:after="360"/>
      <w:jc w:val="center"/>
    </w:pPr>
    <w:rPr>
      <w:sz w:val="36"/>
    </w:rPr>
  </w:style>
  <w:style w:type="character" w:customStyle="1" w:styleId="FramedHeader">
    <w:name w:val="Framed Header"/>
    <w:basedOn w:val="DefaultParagraphFont"/>
    <w:rsid w:val="000E3D1D"/>
    <w:rPr>
      <w:rFonts w:ascii="Calibri" w:hAnsi="Calibri"/>
      <w:dstrike w:val="0"/>
      <w:color w:val="003E74"/>
      <w:sz w:val="18"/>
      <w:szCs w:val="18"/>
      <w:vertAlign w:val="baseline"/>
    </w:rPr>
  </w:style>
  <w:style w:type="paragraph" w:customStyle="1" w:styleId="HeaderEven">
    <w:name w:val="Header Even"/>
    <w:basedOn w:val="Header"/>
    <w:rsid w:val="000E3D1D"/>
  </w:style>
  <w:style w:type="character" w:customStyle="1" w:styleId="Normalitalics">
    <w:name w:val="Normal italics"/>
    <w:rsid w:val="008B6006"/>
    <w:rPr>
      <w:i/>
    </w:rPr>
  </w:style>
  <w:style w:type="character" w:styleId="Strong">
    <w:name w:val="Strong"/>
    <w:qFormat/>
    <w:rsid w:val="008B6006"/>
    <w:rPr>
      <w:b/>
      <w:bCs/>
    </w:rPr>
  </w:style>
  <w:style w:type="paragraph" w:customStyle="1" w:styleId="Heading1noTOC">
    <w:name w:val="Heading 1 no TOC"/>
    <w:basedOn w:val="Heading1"/>
    <w:next w:val="Normal"/>
    <w:rsid w:val="000E3D1D"/>
  </w:style>
  <w:style w:type="character" w:customStyle="1" w:styleId="BulletChar">
    <w:name w:val="Bullet Char"/>
    <w:aliases w:val="b Char,b + line Char Char,b Char Char"/>
    <w:link w:val="Bullet"/>
    <w:rsid w:val="00C1725B"/>
    <w:rPr>
      <w:rFonts w:eastAsia="Times New Roman" w:cs="Times New Roman"/>
      <w:color w:val="000000"/>
      <w:sz w:val="20"/>
      <w:szCs w:val="20"/>
      <w:lang w:eastAsia="en-AU"/>
    </w:rPr>
  </w:style>
  <w:style w:type="paragraph" w:customStyle="1" w:styleId="Box-Pull-Text">
    <w:name w:val="Box - Pull - Text"/>
    <w:basedOn w:val="Normal"/>
    <w:link w:val="Box-Pull-TextChar"/>
    <w:qFormat/>
    <w:rsid w:val="008B6006"/>
    <w:pPr>
      <w:spacing w:before="120" w:after="120"/>
    </w:pPr>
  </w:style>
  <w:style w:type="paragraph" w:customStyle="1" w:styleId="Box-Pull-Bullet">
    <w:name w:val="Box - Pull - Bullet"/>
    <w:basedOn w:val="Box-Pull-Text"/>
    <w:rsid w:val="008B6006"/>
    <w:pPr>
      <w:numPr>
        <w:numId w:val="3"/>
      </w:numPr>
      <w:tabs>
        <w:tab w:val="left" w:pos="284"/>
        <w:tab w:val="num" w:pos="360"/>
      </w:tabs>
      <w:spacing w:before="60" w:after="60"/>
      <w:ind w:left="284" w:hanging="284"/>
    </w:pPr>
  </w:style>
  <w:style w:type="paragraph" w:customStyle="1" w:styleId="Normal-Bio">
    <w:name w:val="Normal - Bio"/>
    <w:basedOn w:val="Normal"/>
    <w:rsid w:val="008B6006"/>
    <w:rPr>
      <w:noProof/>
    </w:rPr>
  </w:style>
  <w:style w:type="paragraph" w:customStyle="1" w:styleId="Box-Pull-HeadingInternal">
    <w:name w:val="Box - Pull - Heading (Internal)"/>
    <w:basedOn w:val="Box-Pull-Text"/>
    <w:rsid w:val="008B6006"/>
    <w:pPr>
      <w:spacing w:after="60"/>
    </w:pPr>
    <w:rPr>
      <w:rFonts w:ascii="Arial" w:hAnsi="Arial"/>
      <w:b/>
      <w:bCs/>
      <w:color w:val="003E74"/>
      <w:szCs w:val="22"/>
    </w:rPr>
  </w:style>
  <w:style w:type="character" w:customStyle="1" w:styleId="Box-Pull-TextChar">
    <w:name w:val="Box - Pull - Text Char"/>
    <w:link w:val="Box-Pull-Text"/>
    <w:rsid w:val="008B6006"/>
    <w:rPr>
      <w:rFonts w:ascii="Book Antiqua" w:eastAsia="Times New Roman" w:hAnsi="Book Antiqua" w:cs="Times New Roman"/>
      <w:color w:val="000000"/>
      <w:sz w:val="20"/>
      <w:szCs w:val="20"/>
      <w:lang w:eastAsia="en-AU"/>
    </w:rPr>
  </w:style>
  <w:style w:type="character" w:customStyle="1" w:styleId="Heading5Char">
    <w:name w:val="Heading 5 Char"/>
    <w:basedOn w:val="DefaultParagraphFont"/>
    <w:link w:val="Heading5"/>
    <w:rsid w:val="008B6006"/>
    <w:rPr>
      <w:rFonts w:ascii="Calibri" w:eastAsia="Times New Roman" w:hAnsi="Calibri" w:cs="Times New Roman"/>
      <w:bCs/>
      <w:iCs/>
      <w:color w:val="003E74"/>
      <w:sz w:val="20"/>
      <w:szCs w:val="20"/>
      <w:lang w:eastAsia="en-AU"/>
    </w:rPr>
  </w:style>
  <w:style w:type="character" w:customStyle="1" w:styleId="Heading6Char">
    <w:name w:val="Heading 6 Char"/>
    <w:basedOn w:val="DefaultParagraphFont"/>
    <w:link w:val="Heading6"/>
    <w:rsid w:val="008B6006"/>
    <w:rPr>
      <w:rFonts w:ascii="Calibri" w:eastAsia="Times New Roman" w:hAnsi="Calibri" w:cs="Times New Roman"/>
      <w:bCs/>
      <w:color w:val="003E74"/>
      <w:sz w:val="20"/>
      <w:lang w:eastAsia="en-AU"/>
    </w:rPr>
  </w:style>
  <w:style w:type="character" w:customStyle="1" w:styleId="Heading7Char">
    <w:name w:val="Heading 7 Char"/>
    <w:basedOn w:val="DefaultParagraphFont"/>
    <w:link w:val="Heading7"/>
    <w:rsid w:val="008B6006"/>
    <w:rPr>
      <w:rFonts w:ascii="Calibri" w:eastAsia="Times New Roman" w:hAnsi="Calibri" w:cs="Arial"/>
      <w:b/>
      <w:bCs/>
      <w:iCs/>
      <w:color w:val="003E74"/>
      <w:sz w:val="28"/>
      <w:szCs w:val="28"/>
      <w:lang w:eastAsia="en-AU"/>
    </w:rPr>
  </w:style>
  <w:style w:type="character" w:customStyle="1" w:styleId="Heading8Char">
    <w:name w:val="Heading 8 Char"/>
    <w:basedOn w:val="DefaultParagraphFont"/>
    <w:link w:val="Heading8"/>
    <w:rsid w:val="008B6006"/>
    <w:rPr>
      <w:rFonts w:ascii="Calibri" w:eastAsia="Times New Roman" w:hAnsi="Calibri" w:cs="Times New Roman"/>
      <w:iCs/>
      <w:color w:val="003E74"/>
      <w:sz w:val="48"/>
      <w:szCs w:val="24"/>
      <w:lang w:eastAsia="en-AU"/>
    </w:rPr>
  </w:style>
  <w:style w:type="character" w:customStyle="1" w:styleId="Heading9Char">
    <w:name w:val="Heading 9 Char"/>
    <w:basedOn w:val="DefaultParagraphFont"/>
    <w:link w:val="Heading9"/>
    <w:rsid w:val="008B6006"/>
    <w:rPr>
      <w:rFonts w:ascii="Calibri" w:eastAsia="Times New Roman" w:hAnsi="Calibri" w:cs="Arial"/>
      <w:b/>
      <w:color w:val="003E74"/>
      <w:sz w:val="28"/>
      <w:lang w:eastAsia="en-AU"/>
    </w:rPr>
  </w:style>
  <w:style w:type="paragraph" w:customStyle="1" w:styleId="HeadingBase">
    <w:name w:val="Heading Base"/>
    <w:next w:val="Normal"/>
    <w:link w:val="HeadingBaseChar"/>
    <w:rsid w:val="000E3D1D"/>
    <w:pPr>
      <w:spacing w:after="0" w:line="240" w:lineRule="auto"/>
    </w:pPr>
    <w:rPr>
      <w:rFonts w:ascii="Calibri" w:eastAsia="Times New Roman" w:hAnsi="Calibri" w:cs="Times New Roman"/>
      <w:color w:val="003E74"/>
      <w:sz w:val="20"/>
      <w:szCs w:val="20"/>
      <w:lang w:eastAsia="en-AU"/>
    </w:rPr>
  </w:style>
  <w:style w:type="paragraph" w:customStyle="1" w:styleId="ChartandTableFootnote">
    <w:name w:val="Chart and Table Footnote"/>
    <w:basedOn w:val="HeadingBase"/>
    <w:next w:val="Normal"/>
    <w:rsid w:val="008B6006"/>
    <w:rPr>
      <w:color w:val="000000"/>
      <w:sz w:val="16"/>
      <w:szCs w:val="16"/>
    </w:rPr>
  </w:style>
  <w:style w:type="paragraph" w:customStyle="1" w:styleId="ChartandTableFootnoteAlpha">
    <w:name w:val="Chart and Table Footnote Alpha"/>
    <w:rsid w:val="000E3D1D"/>
    <w:pPr>
      <w:numPr>
        <w:numId w:val="5"/>
      </w:numPr>
      <w:spacing w:after="0" w:line="240" w:lineRule="auto"/>
      <w:jc w:val="both"/>
    </w:pPr>
    <w:rPr>
      <w:rFonts w:ascii="Arial" w:eastAsia="Times New Roman" w:hAnsi="Arial" w:cs="Times New Roman"/>
      <w:color w:val="000000"/>
      <w:sz w:val="16"/>
      <w:szCs w:val="16"/>
      <w:lang w:eastAsia="en-AU"/>
    </w:rPr>
  </w:style>
  <w:style w:type="paragraph" w:customStyle="1" w:styleId="ChartHeading">
    <w:name w:val="Chart Heading"/>
    <w:basedOn w:val="HeadingBase"/>
    <w:next w:val="ChartGraphic"/>
    <w:rsid w:val="008B6006"/>
    <w:pPr>
      <w:keepNext/>
      <w:spacing w:before="170" w:after="113" w:line="240" w:lineRule="exact"/>
      <w:jc w:val="center"/>
    </w:pPr>
    <w:rPr>
      <w:b/>
      <w:bCs/>
      <w:sz w:val="22"/>
      <w:szCs w:val="22"/>
    </w:rPr>
  </w:style>
  <w:style w:type="paragraph" w:customStyle="1" w:styleId="ChartSecondHeading">
    <w:name w:val="Chart Second Heading"/>
    <w:basedOn w:val="HeadingBase"/>
    <w:next w:val="ChartGraphic"/>
    <w:rsid w:val="000E3D1D"/>
    <w:pPr>
      <w:keepNext/>
      <w:spacing w:after="20"/>
    </w:pPr>
  </w:style>
  <w:style w:type="paragraph" w:styleId="Subtitle">
    <w:name w:val="Subtitle"/>
    <w:basedOn w:val="Normal"/>
    <w:next w:val="Normal"/>
    <w:link w:val="SubtitleChar"/>
    <w:qFormat/>
    <w:rsid w:val="000E3D1D"/>
    <w:pPr>
      <w:numPr>
        <w:ilvl w:val="1"/>
      </w:numPr>
    </w:pPr>
    <w:rPr>
      <w:rFonts w:asciiTheme="majorHAnsi" w:eastAsiaTheme="majorEastAsia" w:hAnsiTheme="majorHAnsi" w:cstheme="majorBidi"/>
      <w:i/>
      <w:iCs/>
      <w:color w:val="003E74"/>
      <w:spacing w:val="15"/>
      <w:sz w:val="24"/>
      <w:szCs w:val="24"/>
    </w:rPr>
  </w:style>
  <w:style w:type="character" w:customStyle="1" w:styleId="SubtitleChar">
    <w:name w:val="Subtitle Char"/>
    <w:basedOn w:val="DefaultParagraphFont"/>
    <w:link w:val="Subtitle"/>
    <w:rsid w:val="000E3D1D"/>
    <w:rPr>
      <w:rFonts w:asciiTheme="majorHAnsi" w:eastAsiaTheme="majorEastAsia" w:hAnsiTheme="majorHAnsi" w:cstheme="majorBidi"/>
      <w:i/>
      <w:iCs/>
      <w:color w:val="003E74"/>
      <w:spacing w:val="15"/>
      <w:sz w:val="24"/>
      <w:szCs w:val="24"/>
      <w:lang w:eastAsia="en-AU"/>
    </w:rPr>
  </w:style>
  <w:style w:type="paragraph" w:styleId="BlockText">
    <w:name w:val="Block Text"/>
    <w:basedOn w:val="Normal"/>
    <w:rsid w:val="000E3D1D"/>
    <w:pPr>
      <w:pBdr>
        <w:top w:val="single" w:sz="2" w:space="10" w:color="4F81BD" w:themeColor="accent1" w:shadow="1" w:frame="1"/>
        <w:left w:val="single" w:sz="2" w:space="10" w:color="4F81BD" w:themeColor="accent1" w:shadow="1" w:frame="1"/>
        <w:bottom w:val="single" w:sz="2" w:space="10" w:color="4F81BD" w:themeColor="accent1" w:shadow="1" w:frame="1"/>
        <w:right w:val="single" w:sz="2" w:space="10" w:color="4F81BD" w:themeColor="accent1" w:shadow="1" w:frame="1"/>
      </w:pBdr>
      <w:ind w:left="1152" w:right="1152"/>
    </w:pPr>
    <w:rPr>
      <w:rFonts w:eastAsiaTheme="minorEastAsia" w:cstheme="minorBidi"/>
      <w:i/>
      <w:iCs/>
      <w:color w:val="003E74"/>
    </w:rPr>
  </w:style>
  <w:style w:type="paragraph" w:customStyle="1" w:styleId="FileProperties">
    <w:name w:val="File Properties"/>
    <w:basedOn w:val="Normal"/>
    <w:rsid w:val="008B6006"/>
    <w:rPr>
      <w:i/>
      <w:iCs/>
    </w:rPr>
  </w:style>
  <w:style w:type="paragraph" w:customStyle="1" w:styleId="FooterBase">
    <w:name w:val="Footer Base"/>
    <w:rsid w:val="008B6006"/>
    <w:pPr>
      <w:spacing w:after="0" w:line="240" w:lineRule="auto"/>
    </w:pPr>
    <w:rPr>
      <w:rFonts w:ascii="Arial" w:eastAsia="Times New Roman" w:hAnsi="Arial" w:cs="Arial"/>
      <w:color w:val="333192"/>
      <w:kern w:val="28"/>
      <w:sz w:val="18"/>
      <w:szCs w:val="18"/>
      <w:lang w:eastAsia="en-AU"/>
    </w:rPr>
  </w:style>
  <w:style w:type="paragraph" w:customStyle="1" w:styleId="HeaderBase">
    <w:name w:val="Header Base"/>
    <w:rsid w:val="008B6006"/>
    <w:pPr>
      <w:spacing w:after="0" w:line="240" w:lineRule="auto"/>
    </w:pPr>
    <w:rPr>
      <w:rFonts w:ascii="Arial" w:eastAsia="Times New Roman" w:hAnsi="Arial" w:cs="Arial"/>
      <w:color w:val="333192"/>
      <w:kern w:val="28"/>
      <w:sz w:val="18"/>
      <w:szCs w:val="18"/>
      <w:lang w:eastAsia="en-AU"/>
    </w:rPr>
  </w:style>
  <w:style w:type="paragraph" w:customStyle="1" w:styleId="NumberedParagraph">
    <w:name w:val="Numbered Paragraph"/>
    <w:basedOn w:val="Normal"/>
    <w:rsid w:val="000E3D1D"/>
    <w:pPr>
      <w:numPr>
        <w:numId w:val="9"/>
      </w:numPr>
    </w:pPr>
  </w:style>
  <w:style w:type="paragraph" w:customStyle="1" w:styleId="TableTextRight">
    <w:name w:val="Table Text Right"/>
    <w:basedOn w:val="TableTextBase"/>
    <w:rsid w:val="000E3D1D"/>
    <w:pPr>
      <w:jc w:val="right"/>
    </w:pPr>
  </w:style>
  <w:style w:type="paragraph" w:customStyle="1" w:styleId="TableTextBase">
    <w:name w:val="Table Text Base"/>
    <w:rsid w:val="000E3D1D"/>
    <w:pPr>
      <w:spacing w:before="40" w:after="40" w:line="240" w:lineRule="auto"/>
    </w:pPr>
    <w:rPr>
      <w:rFonts w:ascii="Calibri" w:eastAsia="Times New Roman" w:hAnsi="Calibri" w:cs="Times New Roman"/>
      <w:color w:val="000000"/>
      <w:sz w:val="16"/>
      <w:szCs w:val="20"/>
      <w:lang w:eastAsia="en-AU"/>
    </w:rPr>
  </w:style>
  <w:style w:type="paragraph" w:customStyle="1" w:styleId="TableGraphic">
    <w:name w:val="Table Graphic"/>
    <w:basedOn w:val="HeadingBase"/>
    <w:next w:val="Normal"/>
    <w:rsid w:val="000E3D1D"/>
    <w:pPr>
      <w:spacing w:after="20"/>
      <w:ind w:right="-113"/>
    </w:pPr>
    <w:rPr>
      <w:rFonts w:ascii="Helvetica" w:hAnsi="Helvetica"/>
    </w:rPr>
  </w:style>
  <w:style w:type="paragraph" w:customStyle="1" w:styleId="TableHeading">
    <w:name w:val="Table Heading"/>
    <w:basedOn w:val="HeadingBase"/>
    <w:next w:val="TableGraphic"/>
    <w:rsid w:val="008B6006"/>
    <w:pPr>
      <w:keepNext/>
      <w:spacing w:before="170" w:after="113" w:line="240" w:lineRule="exact"/>
    </w:pPr>
    <w:rPr>
      <w:b/>
      <w:bCs/>
      <w:sz w:val="22"/>
      <w:szCs w:val="22"/>
    </w:rPr>
  </w:style>
  <w:style w:type="paragraph" w:customStyle="1" w:styleId="TableHeadingcontinued">
    <w:name w:val="Table Heading continued"/>
    <w:basedOn w:val="HeadingBase"/>
    <w:next w:val="TableGraphic"/>
    <w:rsid w:val="008B6006"/>
    <w:pPr>
      <w:keepNext/>
      <w:spacing w:before="170" w:after="113" w:line="240" w:lineRule="exact"/>
    </w:pPr>
    <w:rPr>
      <w:b/>
      <w:bCs/>
      <w:sz w:val="22"/>
      <w:szCs w:val="22"/>
    </w:rPr>
  </w:style>
  <w:style w:type="paragraph" w:styleId="Index1">
    <w:name w:val="index 1"/>
    <w:basedOn w:val="Normal"/>
    <w:next w:val="Normal"/>
    <w:autoRedefine/>
    <w:rsid w:val="000E3D1D"/>
    <w:pPr>
      <w:ind w:left="200" w:hanging="200"/>
    </w:pPr>
  </w:style>
  <w:style w:type="paragraph" w:styleId="Index2">
    <w:name w:val="index 2"/>
    <w:basedOn w:val="Normal"/>
    <w:next w:val="Normal"/>
    <w:autoRedefine/>
    <w:rsid w:val="000E3D1D"/>
    <w:pPr>
      <w:ind w:left="400" w:hanging="200"/>
    </w:pPr>
  </w:style>
  <w:style w:type="paragraph" w:styleId="Index3">
    <w:name w:val="index 3"/>
    <w:basedOn w:val="Normal"/>
    <w:next w:val="Normal"/>
    <w:autoRedefine/>
    <w:rsid w:val="000E3D1D"/>
    <w:pPr>
      <w:ind w:left="600" w:hanging="200"/>
    </w:pPr>
  </w:style>
  <w:style w:type="paragraph" w:styleId="IndexHeading">
    <w:name w:val="index heading"/>
    <w:basedOn w:val="Normal"/>
    <w:next w:val="Index1"/>
    <w:rsid w:val="000E3D1D"/>
    <w:rPr>
      <w:rFonts w:ascii="Calibri" w:hAnsi="Calibri" w:cs="Arial"/>
      <w:b/>
      <w:bCs/>
      <w:color w:val="003E74"/>
    </w:rPr>
  </w:style>
  <w:style w:type="paragraph" w:customStyle="1" w:styleId="TableTextLeft">
    <w:name w:val="Table Text Left"/>
    <w:basedOn w:val="TableTextBase"/>
    <w:rsid w:val="000E3D1D"/>
  </w:style>
  <w:style w:type="paragraph" w:styleId="TOC5">
    <w:name w:val="toc 5"/>
    <w:basedOn w:val="TOC2"/>
    <w:next w:val="Normal"/>
    <w:autoRedefine/>
    <w:rsid w:val="000E3D1D"/>
    <w:pPr>
      <w:ind w:left="1260" w:hanging="1260"/>
    </w:pPr>
  </w:style>
  <w:style w:type="paragraph" w:styleId="TOC6">
    <w:name w:val="toc 6"/>
    <w:basedOn w:val="TOC5"/>
    <w:next w:val="Normal"/>
    <w:rsid w:val="000E3D1D"/>
    <w:pPr>
      <w:tabs>
        <w:tab w:val="left" w:pos="1080"/>
        <w:tab w:val="left" w:pos="1134"/>
      </w:tabs>
      <w:ind w:left="1080" w:hanging="1080"/>
    </w:pPr>
  </w:style>
  <w:style w:type="paragraph" w:styleId="TOC7">
    <w:name w:val="toc 7"/>
    <w:basedOn w:val="Normal"/>
    <w:next w:val="Normal"/>
    <w:autoRedefine/>
    <w:rsid w:val="000E3D1D"/>
    <w:pPr>
      <w:ind w:left="1200"/>
    </w:pPr>
    <w:rPr>
      <w:rFonts w:ascii="Calibri" w:hAnsi="Calibri"/>
    </w:rPr>
  </w:style>
  <w:style w:type="paragraph" w:styleId="TOC8">
    <w:name w:val="toc 8"/>
    <w:basedOn w:val="Normal"/>
    <w:next w:val="Normal"/>
    <w:autoRedefine/>
    <w:rsid w:val="000E3D1D"/>
    <w:pPr>
      <w:ind w:left="1400"/>
    </w:pPr>
    <w:rPr>
      <w:rFonts w:ascii="Calibri" w:hAnsi="Calibri"/>
    </w:rPr>
  </w:style>
  <w:style w:type="paragraph" w:styleId="TOC9">
    <w:name w:val="toc 9"/>
    <w:basedOn w:val="Normal"/>
    <w:next w:val="Normal"/>
    <w:autoRedefine/>
    <w:rsid w:val="000E3D1D"/>
    <w:pPr>
      <w:ind w:left="1600"/>
    </w:pPr>
    <w:rPr>
      <w:rFonts w:ascii="Calibri" w:hAnsi="Calibri"/>
    </w:rPr>
  </w:style>
  <w:style w:type="paragraph" w:customStyle="1" w:styleId="TableTextColumnHeadingLeft">
    <w:name w:val="Table Text Column Heading Left"/>
    <w:basedOn w:val="TableTextBase"/>
    <w:rsid w:val="008B6006"/>
  </w:style>
  <w:style w:type="paragraph" w:customStyle="1" w:styleId="ChartandTableFootnoteSmall">
    <w:name w:val="Chart and Table Footnote Small"/>
    <w:basedOn w:val="ChartandTableFootnote"/>
    <w:rsid w:val="008B6006"/>
    <w:rPr>
      <w:sz w:val="15"/>
      <w:szCs w:val="15"/>
    </w:rPr>
  </w:style>
  <w:style w:type="paragraph" w:customStyle="1" w:styleId="ChartandTableFootnoteAlphaSmall">
    <w:name w:val="Chart and Table Footnote Alpha Small"/>
    <w:basedOn w:val="ChartandTableFootnoteAlpha"/>
    <w:rsid w:val="008B6006"/>
    <w:pPr>
      <w:numPr>
        <w:numId w:val="0"/>
      </w:numPr>
      <w:tabs>
        <w:tab w:val="num" w:pos="283"/>
      </w:tabs>
      <w:ind w:left="284" w:hanging="284"/>
    </w:pPr>
    <w:rPr>
      <w:sz w:val="15"/>
      <w:szCs w:val="15"/>
    </w:rPr>
  </w:style>
  <w:style w:type="character" w:customStyle="1" w:styleId="FramedFooter">
    <w:name w:val="Framed Footer"/>
    <w:rsid w:val="000E3D1D"/>
    <w:rPr>
      <w:rFonts w:ascii="Calibri" w:hAnsi="Calibri"/>
      <w:color w:val="003E74"/>
      <w:sz w:val="18"/>
      <w:szCs w:val="18"/>
    </w:rPr>
  </w:style>
  <w:style w:type="paragraph" w:customStyle="1" w:styleId="Source">
    <w:name w:val="Source"/>
    <w:basedOn w:val="HeadingBase"/>
    <w:next w:val="Normal"/>
    <w:rsid w:val="00FF11A7"/>
    <w:pPr>
      <w:spacing w:after="240"/>
    </w:pPr>
    <w:rPr>
      <w:color w:val="000000"/>
      <w:sz w:val="16"/>
      <w:szCs w:val="16"/>
    </w:rPr>
  </w:style>
  <w:style w:type="paragraph" w:customStyle="1" w:styleId="TableTextColumnHeadingRight">
    <w:name w:val="Table Text Column Heading Right"/>
    <w:basedOn w:val="TableTextBase"/>
    <w:rsid w:val="008B6006"/>
  </w:style>
  <w:style w:type="paragraph" w:customStyle="1" w:styleId="Title2">
    <w:name w:val="Title 2"/>
    <w:basedOn w:val="HeadingBase"/>
    <w:rsid w:val="008B6006"/>
    <w:pPr>
      <w:spacing w:after="360"/>
      <w:jc w:val="center"/>
    </w:pPr>
    <w:rPr>
      <w:sz w:val="36"/>
      <w:szCs w:val="36"/>
    </w:rPr>
  </w:style>
  <w:style w:type="paragraph" w:styleId="NormalIndent">
    <w:name w:val="Normal Indent"/>
    <w:basedOn w:val="Normal"/>
    <w:rsid w:val="000E3D1D"/>
    <w:pPr>
      <w:ind w:left="567"/>
    </w:pPr>
  </w:style>
  <w:style w:type="paragraph" w:styleId="ListNumber">
    <w:name w:val="List Number"/>
    <w:basedOn w:val="Normal"/>
    <w:rsid w:val="008B6006"/>
    <w:pPr>
      <w:tabs>
        <w:tab w:val="num" w:pos="1492"/>
      </w:tabs>
      <w:ind w:left="360" w:hanging="360"/>
    </w:pPr>
  </w:style>
  <w:style w:type="paragraph" w:customStyle="1" w:styleId="TableTextIndent">
    <w:name w:val="Table Text Indent"/>
    <w:basedOn w:val="TableTextBase"/>
    <w:rsid w:val="008B6006"/>
  </w:style>
  <w:style w:type="paragraph" w:styleId="Title">
    <w:name w:val="Title"/>
    <w:basedOn w:val="HeadingBase"/>
    <w:link w:val="TitleChar"/>
    <w:qFormat/>
    <w:rsid w:val="008B6006"/>
    <w:pPr>
      <w:spacing w:after="480"/>
      <w:jc w:val="center"/>
    </w:pPr>
    <w:rPr>
      <w:b/>
      <w:bCs/>
      <w:sz w:val="48"/>
      <w:szCs w:val="48"/>
    </w:rPr>
  </w:style>
  <w:style w:type="character" w:customStyle="1" w:styleId="TitleChar">
    <w:name w:val="Title Char"/>
    <w:basedOn w:val="DefaultParagraphFont"/>
    <w:link w:val="Title"/>
    <w:rsid w:val="008B6006"/>
    <w:rPr>
      <w:rFonts w:ascii="Arial" w:eastAsia="Times New Roman" w:hAnsi="Arial" w:cs="Times New Roman"/>
      <w:b/>
      <w:bCs/>
      <w:color w:val="003E74"/>
      <w:sz w:val="48"/>
      <w:szCs w:val="48"/>
      <w:lang w:eastAsia="en-AU"/>
    </w:rPr>
  </w:style>
  <w:style w:type="paragraph" w:styleId="MacroText">
    <w:name w:val="macro"/>
    <w:link w:val="MacroTextChar"/>
    <w:rsid w:val="000E3D1D"/>
    <w:pPr>
      <w:tabs>
        <w:tab w:val="left" w:pos="480"/>
        <w:tab w:val="left" w:pos="960"/>
        <w:tab w:val="left" w:pos="1440"/>
        <w:tab w:val="left" w:pos="1920"/>
        <w:tab w:val="left" w:pos="2400"/>
        <w:tab w:val="left" w:pos="2880"/>
        <w:tab w:val="left" w:pos="3360"/>
        <w:tab w:val="left" w:pos="3840"/>
        <w:tab w:val="left" w:pos="4320"/>
      </w:tabs>
      <w:spacing w:after="240" w:line="260" w:lineRule="exact"/>
      <w:jc w:val="both"/>
    </w:pPr>
    <w:rPr>
      <w:rFonts w:ascii="Courier New" w:eastAsia="Times New Roman" w:hAnsi="Courier New" w:cs="Courier New"/>
      <w:color w:val="000000"/>
      <w:sz w:val="20"/>
      <w:szCs w:val="20"/>
      <w:lang w:eastAsia="en-AU"/>
    </w:rPr>
  </w:style>
  <w:style w:type="character" w:customStyle="1" w:styleId="MacroTextChar">
    <w:name w:val="Macro Text Char"/>
    <w:basedOn w:val="DefaultParagraphFont"/>
    <w:link w:val="MacroText"/>
    <w:rsid w:val="008B6006"/>
    <w:rPr>
      <w:rFonts w:ascii="Courier New" w:eastAsia="Times New Roman" w:hAnsi="Courier New" w:cs="Courier New"/>
      <w:color w:val="000000"/>
      <w:sz w:val="20"/>
      <w:szCs w:val="20"/>
      <w:lang w:eastAsia="en-AU"/>
    </w:rPr>
  </w:style>
  <w:style w:type="paragraph" w:customStyle="1" w:styleId="Classification">
    <w:name w:val="Classification"/>
    <w:basedOn w:val="HeadingBase"/>
    <w:next w:val="Footer"/>
    <w:rsid w:val="000E3D1D"/>
    <w:pPr>
      <w:spacing w:after="120"/>
      <w:jc w:val="center"/>
    </w:pPr>
    <w:rPr>
      <w:b/>
      <w:smallCaps/>
    </w:rPr>
  </w:style>
  <w:style w:type="paragraph" w:customStyle="1" w:styleId="TableTextColumnHeadingCentre">
    <w:name w:val="Table Text Column Heading Centre"/>
    <w:basedOn w:val="TableTextBase"/>
    <w:rsid w:val="008B6006"/>
  </w:style>
  <w:style w:type="paragraph" w:customStyle="1" w:styleId="Normalbold">
    <w:name w:val="Normal bold"/>
    <w:basedOn w:val="Normal"/>
    <w:rsid w:val="008B6006"/>
    <w:rPr>
      <w:b/>
      <w:bCs/>
    </w:rPr>
  </w:style>
  <w:style w:type="paragraph" w:styleId="NoteHeading">
    <w:name w:val="Note Heading"/>
    <w:basedOn w:val="HeadingBase"/>
    <w:next w:val="Normal"/>
    <w:link w:val="NoteHeadingChar"/>
    <w:rsid w:val="008B6006"/>
    <w:rPr>
      <w:color w:val="000000"/>
      <w:sz w:val="16"/>
      <w:szCs w:val="16"/>
    </w:rPr>
  </w:style>
  <w:style w:type="character" w:customStyle="1" w:styleId="NoteHeadingChar">
    <w:name w:val="Note Heading Char"/>
    <w:basedOn w:val="DefaultParagraphFont"/>
    <w:link w:val="NoteHeading"/>
    <w:rsid w:val="008B6006"/>
    <w:rPr>
      <w:rFonts w:ascii="Arial" w:eastAsia="Times New Roman" w:hAnsi="Arial" w:cs="Times New Roman"/>
      <w:color w:val="000000"/>
      <w:sz w:val="16"/>
      <w:szCs w:val="16"/>
      <w:lang w:eastAsia="en-AU"/>
    </w:rPr>
  </w:style>
  <w:style w:type="paragraph" w:customStyle="1" w:styleId="ChapterHeaderTitle">
    <w:name w:val="Chapter Header Title"/>
    <w:basedOn w:val="HeadingBase"/>
    <w:rsid w:val="008B6006"/>
    <w:pPr>
      <w:spacing w:before="284" w:after="113"/>
    </w:pPr>
    <w:rPr>
      <w:color w:val="FFFFFF"/>
      <w:sz w:val="48"/>
      <w:szCs w:val="48"/>
    </w:rPr>
  </w:style>
  <w:style w:type="paragraph" w:customStyle="1" w:styleId="ChapterHeaderNo">
    <w:name w:val="Chapter Header No"/>
    <w:basedOn w:val="Header"/>
    <w:rsid w:val="008B6006"/>
    <w:pPr>
      <w:jc w:val="center"/>
    </w:pPr>
    <w:rPr>
      <w:rFonts w:ascii="Arial Bold" w:hAnsi="Arial Bold" w:cs="Arial Bold"/>
      <w:b/>
      <w:bCs/>
      <w:sz w:val="32"/>
      <w:szCs w:val="32"/>
    </w:rPr>
  </w:style>
  <w:style w:type="paragraph" w:customStyle="1" w:styleId="Contents">
    <w:name w:val="Contents"/>
    <w:basedOn w:val="Normal"/>
    <w:next w:val="TOC1"/>
    <w:rsid w:val="008B6006"/>
    <w:pPr>
      <w:keepNext/>
      <w:spacing w:after="120" w:line="240" w:lineRule="auto"/>
    </w:pPr>
    <w:rPr>
      <w:rFonts w:ascii="Arial Bold" w:hAnsi="Arial Bold" w:cs="Arial Bold"/>
      <w:b/>
      <w:bCs/>
      <w:smallCaps/>
      <w:color w:val="333192"/>
      <w:sz w:val="36"/>
      <w:szCs w:val="36"/>
    </w:rPr>
  </w:style>
  <w:style w:type="paragraph" w:styleId="BodyText3">
    <w:name w:val="Body Text 3"/>
    <w:basedOn w:val="Normal"/>
    <w:link w:val="BodyText3Char"/>
    <w:rsid w:val="008B6006"/>
  </w:style>
  <w:style w:type="character" w:customStyle="1" w:styleId="BodyText3Char">
    <w:name w:val="Body Text 3 Char"/>
    <w:basedOn w:val="DefaultParagraphFont"/>
    <w:link w:val="BodyText3"/>
    <w:rsid w:val="008B6006"/>
    <w:rPr>
      <w:rFonts w:ascii="Book Antiqua" w:eastAsia="Times New Roman" w:hAnsi="Book Antiqua" w:cs="Times New Roman"/>
      <w:color w:val="000000"/>
      <w:sz w:val="20"/>
      <w:szCs w:val="20"/>
      <w:lang w:eastAsia="en-AU"/>
    </w:rPr>
  </w:style>
  <w:style w:type="paragraph" w:customStyle="1" w:styleId="ChapterNo">
    <w:name w:val="Chapter No"/>
    <w:basedOn w:val="HeadingBase"/>
    <w:next w:val="Heading1"/>
    <w:rsid w:val="008B6006"/>
    <w:pPr>
      <w:pBdr>
        <w:bottom w:val="single" w:sz="4" w:space="1" w:color="auto"/>
      </w:pBdr>
    </w:pPr>
    <w:rPr>
      <w:caps/>
      <w:color w:val="000000"/>
      <w:sz w:val="16"/>
      <w:szCs w:val="16"/>
    </w:rPr>
  </w:style>
  <w:style w:type="paragraph" w:styleId="DocumentMap">
    <w:name w:val="Document Map"/>
    <w:basedOn w:val="Normal"/>
    <w:link w:val="DocumentMapChar"/>
    <w:rsid w:val="000E3D1D"/>
    <w:pPr>
      <w:shd w:val="clear" w:color="auto" w:fill="000080"/>
    </w:pPr>
    <w:rPr>
      <w:rFonts w:ascii="Tahoma" w:hAnsi="Tahoma" w:cs="Tahoma"/>
    </w:rPr>
  </w:style>
  <w:style w:type="character" w:customStyle="1" w:styleId="DocumentMapChar">
    <w:name w:val="Document Map Char"/>
    <w:basedOn w:val="DefaultParagraphFont"/>
    <w:link w:val="DocumentMap"/>
    <w:rsid w:val="008B6006"/>
    <w:rPr>
      <w:rFonts w:ascii="Tahoma" w:eastAsia="Times New Roman" w:hAnsi="Tahoma" w:cs="Tahoma"/>
      <w:color w:val="000000"/>
      <w:sz w:val="20"/>
      <w:szCs w:val="20"/>
      <w:shd w:val="clear" w:color="auto" w:fill="000080"/>
      <w:lang w:eastAsia="en-AU"/>
    </w:rPr>
  </w:style>
  <w:style w:type="paragraph" w:customStyle="1" w:styleId="AlphaParagraph">
    <w:name w:val="Alpha Paragraph"/>
    <w:basedOn w:val="Normal"/>
    <w:rsid w:val="000E3D1D"/>
    <w:pPr>
      <w:numPr>
        <w:numId w:val="4"/>
      </w:numPr>
      <w:tabs>
        <w:tab w:val="clear" w:pos="1134"/>
        <w:tab w:val="num" w:pos="360"/>
      </w:tabs>
      <w:ind w:left="0" w:firstLine="0"/>
    </w:pPr>
  </w:style>
  <w:style w:type="paragraph" w:customStyle="1" w:styleId="AppendixHeading">
    <w:name w:val="Appendix Heading"/>
    <w:basedOn w:val="HeadingBase"/>
    <w:next w:val="Normal"/>
    <w:rsid w:val="000E3D1D"/>
    <w:pPr>
      <w:spacing w:before="720" w:after="360"/>
    </w:pPr>
    <w:rPr>
      <w:b/>
      <w:smallCaps/>
      <w:sz w:val="36"/>
      <w:szCs w:val="36"/>
    </w:rPr>
  </w:style>
  <w:style w:type="character" w:customStyle="1" w:styleId="Bold">
    <w:name w:val="Bold"/>
    <w:basedOn w:val="DefaultParagraphFont"/>
    <w:rsid w:val="000E3D1D"/>
    <w:rPr>
      <w:b/>
    </w:rPr>
  </w:style>
  <w:style w:type="paragraph" w:customStyle="1" w:styleId="BoxHeading">
    <w:name w:val="Box Heading"/>
    <w:basedOn w:val="HeadingBase"/>
    <w:next w:val="BoxText"/>
    <w:rsid w:val="000E3D1D"/>
    <w:pPr>
      <w:spacing w:after="240"/>
    </w:pPr>
    <w:rPr>
      <w:b/>
      <w:color w:val="FFFFFF" w:themeColor="background1"/>
      <w:sz w:val="28"/>
    </w:rPr>
  </w:style>
  <w:style w:type="paragraph" w:customStyle="1" w:styleId="BoxTextBase">
    <w:name w:val="Box Text Base"/>
    <w:basedOn w:val="Normal"/>
    <w:rsid w:val="000E3D1D"/>
    <w:pPr>
      <w:spacing w:line="240" w:lineRule="auto"/>
    </w:pPr>
    <w:rPr>
      <w:color w:val="FFFFFF" w:themeColor="background1"/>
    </w:rPr>
  </w:style>
  <w:style w:type="paragraph" w:customStyle="1" w:styleId="ChartMainHeading">
    <w:name w:val="Chart Main Heading"/>
    <w:basedOn w:val="HeadingBase"/>
    <w:next w:val="ChartGraphic"/>
    <w:rsid w:val="000E3D1D"/>
    <w:pPr>
      <w:keepNext/>
      <w:spacing w:before="170" w:after="113"/>
    </w:pPr>
    <w:rPr>
      <w:b/>
      <w:sz w:val="22"/>
    </w:rPr>
  </w:style>
  <w:style w:type="paragraph" w:customStyle="1" w:styleId="ChartorTableNote">
    <w:name w:val="Chart or Table Note"/>
    <w:next w:val="Normal"/>
    <w:rsid w:val="000E3D1D"/>
    <w:pPr>
      <w:spacing w:after="0" w:line="240" w:lineRule="auto"/>
      <w:jc w:val="both"/>
    </w:pPr>
    <w:rPr>
      <w:rFonts w:ascii="Arial" w:eastAsia="Times New Roman" w:hAnsi="Arial" w:cs="Times New Roman"/>
      <w:color w:val="000000"/>
      <w:sz w:val="16"/>
      <w:szCs w:val="20"/>
      <w:lang w:eastAsia="en-AU"/>
    </w:rPr>
  </w:style>
  <w:style w:type="paragraph" w:customStyle="1" w:styleId="FooterCentered">
    <w:name w:val="Footer Centered"/>
    <w:basedOn w:val="Footer"/>
    <w:rsid w:val="000E3D1D"/>
    <w:pPr>
      <w:jc w:val="center"/>
    </w:pPr>
  </w:style>
  <w:style w:type="paragraph" w:customStyle="1" w:styleId="RecommendationHeading">
    <w:name w:val="Recommendation Heading"/>
    <w:basedOn w:val="HeadingBase"/>
    <w:next w:val="RecommendationText"/>
    <w:rsid w:val="000E3D1D"/>
    <w:pPr>
      <w:spacing w:after="240"/>
    </w:pPr>
    <w:rPr>
      <w:b/>
      <w:sz w:val="22"/>
    </w:rPr>
  </w:style>
  <w:style w:type="paragraph" w:customStyle="1" w:styleId="RecommendationBaseText">
    <w:name w:val="Recommendation Base Text"/>
    <w:basedOn w:val="Normal"/>
    <w:rsid w:val="000E3D1D"/>
    <w:rPr>
      <w:rFonts w:ascii="Calibri" w:hAnsi="Calibri"/>
    </w:rPr>
  </w:style>
  <w:style w:type="paragraph" w:customStyle="1" w:styleId="RecommendationText">
    <w:name w:val="Recommendation Text"/>
    <w:basedOn w:val="RecommendationBaseText"/>
    <w:rsid w:val="000E3D1D"/>
    <w:rPr>
      <w:rFonts w:asciiTheme="minorHAnsi" w:hAnsiTheme="minorHAnsi"/>
    </w:rPr>
  </w:style>
  <w:style w:type="paragraph" w:customStyle="1" w:styleId="TableColumnHeadingCentred">
    <w:name w:val="Table Column Heading Centred"/>
    <w:basedOn w:val="TableTextBase"/>
    <w:rsid w:val="000E3D1D"/>
    <w:pPr>
      <w:jc w:val="center"/>
    </w:pPr>
    <w:rPr>
      <w:b/>
    </w:rPr>
  </w:style>
  <w:style w:type="paragraph" w:customStyle="1" w:styleId="TableColumnHeadingLeft">
    <w:name w:val="Table Column Heading Left"/>
    <w:basedOn w:val="TableTextBase"/>
    <w:rsid w:val="000E3D1D"/>
    <w:rPr>
      <w:b/>
    </w:rPr>
  </w:style>
  <w:style w:type="paragraph" w:customStyle="1" w:styleId="TableColumnHeadingRight">
    <w:name w:val="Table Column Heading Right"/>
    <w:basedOn w:val="TableTextBase"/>
    <w:rsid w:val="000E3D1D"/>
    <w:pPr>
      <w:jc w:val="right"/>
    </w:pPr>
    <w:rPr>
      <w:b/>
    </w:rPr>
  </w:style>
  <w:style w:type="paragraph" w:customStyle="1" w:styleId="TableMainHeading">
    <w:name w:val="Table Main Heading"/>
    <w:basedOn w:val="HeadingBase"/>
    <w:next w:val="TableGraphic"/>
    <w:rsid w:val="000E3D1D"/>
    <w:pPr>
      <w:keepNext/>
      <w:spacing w:before="170" w:after="113"/>
    </w:pPr>
    <w:rPr>
      <w:b/>
      <w:sz w:val="22"/>
    </w:rPr>
  </w:style>
  <w:style w:type="paragraph" w:customStyle="1" w:styleId="TableMainHeadingContd">
    <w:name w:val="Table Main Heading Contd"/>
    <w:basedOn w:val="HeadingBase"/>
    <w:next w:val="TableGraphic"/>
    <w:rsid w:val="000E3D1D"/>
    <w:pPr>
      <w:keepNext/>
      <w:spacing w:after="20"/>
    </w:pPr>
    <w:rPr>
      <w:b/>
      <w:sz w:val="22"/>
    </w:rPr>
  </w:style>
  <w:style w:type="paragraph" w:customStyle="1" w:styleId="TableSecondHeading">
    <w:name w:val="Table Second Heading"/>
    <w:basedOn w:val="HeadingBase"/>
    <w:next w:val="TableGraphic"/>
    <w:rsid w:val="000E3D1D"/>
    <w:pPr>
      <w:keepNext/>
      <w:spacing w:after="20"/>
    </w:pPr>
  </w:style>
  <w:style w:type="paragraph" w:customStyle="1" w:styleId="TableTextCentered">
    <w:name w:val="Table Text Centered"/>
    <w:basedOn w:val="TableTextBase"/>
    <w:rsid w:val="000E3D1D"/>
    <w:pPr>
      <w:jc w:val="center"/>
    </w:pPr>
  </w:style>
  <w:style w:type="paragraph" w:customStyle="1" w:styleId="TableTextIndented">
    <w:name w:val="Table Text Indented"/>
    <w:basedOn w:val="TableTextBase"/>
    <w:rsid w:val="000E3D1D"/>
    <w:pPr>
      <w:ind w:left="284"/>
    </w:pPr>
  </w:style>
  <w:style w:type="character" w:customStyle="1" w:styleId="Italic">
    <w:name w:val="Italic"/>
    <w:basedOn w:val="DefaultParagraphFont"/>
    <w:rsid w:val="000E3D1D"/>
    <w:rPr>
      <w:i/>
    </w:rPr>
  </w:style>
  <w:style w:type="paragraph" w:customStyle="1" w:styleId="OneLevelNumberedParagraph">
    <w:name w:val="One Level Numbered Paragraph"/>
    <w:basedOn w:val="Normal"/>
    <w:rsid w:val="000E3D1D"/>
    <w:pPr>
      <w:numPr>
        <w:numId w:val="7"/>
      </w:numPr>
    </w:pPr>
  </w:style>
  <w:style w:type="paragraph" w:customStyle="1" w:styleId="BoxText">
    <w:name w:val="Box Text"/>
    <w:basedOn w:val="BoxTextBase"/>
    <w:rsid w:val="000E3D1D"/>
  </w:style>
  <w:style w:type="paragraph" w:customStyle="1" w:styleId="BoxBullet">
    <w:name w:val="Box Bullet"/>
    <w:basedOn w:val="BoxTextBase"/>
    <w:rsid w:val="000E3D1D"/>
    <w:pPr>
      <w:numPr>
        <w:numId w:val="6"/>
      </w:numPr>
    </w:pPr>
  </w:style>
  <w:style w:type="paragraph" w:customStyle="1" w:styleId="BoxDash">
    <w:name w:val="Box Dash"/>
    <w:basedOn w:val="Normal"/>
    <w:rsid w:val="000E3D1D"/>
    <w:pPr>
      <w:numPr>
        <w:ilvl w:val="1"/>
        <w:numId w:val="6"/>
      </w:numPr>
    </w:pPr>
    <w:rPr>
      <w:color w:val="FFFFFF" w:themeColor="background1"/>
    </w:rPr>
  </w:style>
  <w:style w:type="paragraph" w:customStyle="1" w:styleId="BoxDoubleDot">
    <w:name w:val="Box Double Dot"/>
    <w:basedOn w:val="BoxTextBase"/>
    <w:rsid w:val="000E3D1D"/>
    <w:pPr>
      <w:numPr>
        <w:ilvl w:val="2"/>
        <w:numId w:val="6"/>
      </w:numPr>
    </w:pPr>
  </w:style>
  <w:style w:type="paragraph" w:customStyle="1" w:styleId="RecommendationBullet">
    <w:name w:val="Recommendation Bullet"/>
    <w:basedOn w:val="RecommendationBaseText"/>
    <w:rsid w:val="000E3D1D"/>
    <w:pPr>
      <w:numPr>
        <w:numId w:val="8"/>
      </w:numPr>
    </w:pPr>
  </w:style>
  <w:style w:type="paragraph" w:customStyle="1" w:styleId="RecommendationDash">
    <w:name w:val="Recommendation Dash"/>
    <w:basedOn w:val="RecommendationBaseText"/>
    <w:rsid w:val="000E3D1D"/>
    <w:pPr>
      <w:numPr>
        <w:ilvl w:val="1"/>
        <w:numId w:val="8"/>
      </w:numPr>
    </w:pPr>
  </w:style>
  <w:style w:type="paragraph" w:customStyle="1" w:styleId="RecommendationDoubleDot">
    <w:name w:val="Recommendation Double Dot"/>
    <w:basedOn w:val="RecommendationBaseText"/>
    <w:rsid w:val="000E3D1D"/>
    <w:pPr>
      <w:numPr>
        <w:ilvl w:val="2"/>
        <w:numId w:val="8"/>
      </w:numPr>
    </w:pPr>
  </w:style>
  <w:style w:type="character" w:customStyle="1" w:styleId="Boldanditalic">
    <w:name w:val="Bold and italic"/>
    <w:basedOn w:val="DefaultParagraphFont"/>
    <w:rsid w:val="000E3D1D"/>
    <w:rPr>
      <w:b/>
      <w:i/>
    </w:rPr>
  </w:style>
  <w:style w:type="paragraph" w:styleId="Caption">
    <w:name w:val="caption"/>
    <w:basedOn w:val="Normal"/>
    <w:next w:val="Normal"/>
    <w:qFormat/>
    <w:rsid w:val="000E3D1D"/>
    <w:pPr>
      <w:spacing w:before="120" w:after="120"/>
    </w:pPr>
    <w:rPr>
      <w:b/>
      <w:bCs/>
    </w:rPr>
  </w:style>
  <w:style w:type="character" w:styleId="CommentReference">
    <w:name w:val="annotation reference"/>
    <w:basedOn w:val="DefaultParagraphFont"/>
    <w:rsid w:val="000E3D1D"/>
    <w:rPr>
      <w:sz w:val="16"/>
      <w:szCs w:val="16"/>
    </w:rPr>
  </w:style>
  <w:style w:type="paragraph" w:styleId="CommentText">
    <w:name w:val="annotation text"/>
    <w:basedOn w:val="Normal"/>
    <w:link w:val="CommentTextChar"/>
    <w:rsid w:val="000E3D1D"/>
  </w:style>
  <w:style w:type="character" w:customStyle="1" w:styleId="CommentTextChar">
    <w:name w:val="Comment Text Char"/>
    <w:basedOn w:val="DefaultParagraphFont"/>
    <w:link w:val="CommentText"/>
    <w:rsid w:val="008B6006"/>
    <w:rPr>
      <w:rFonts w:eastAsia="Times New Roman" w:cs="Times New Roman"/>
      <w:color w:val="000000"/>
      <w:sz w:val="20"/>
      <w:szCs w:val="20"/>
      <w:lang w:eastAsia="en-AU"/>
    </w:rPr>
  </w:style>
  <w:style w:type="paragraph" w:styleId="CommentSubject">
    <w:name w:val="annotation subject"/>
    <w:basedOn w:val="CommentText"/>
    <w:next w:val="CommentText"/>
    <w:link w:val="CommentSubjectChar"/>
    <w:rsid w:val="000E3D1D"/>
    <w:rPr>
      <w:b/>
      <w:bCs/>
    </w:rPr>
  </w:style>
  <w:style w:type="character" w:customStyle="1" w:styleId="CommentSubjectChar">
    <w:name w:val="Comment Subject Char"/>
    <w:basedOn w:val="CommentTextChar"/>
    <w:link w:val="CommentSubject"/>
    <w:rsid w:val="008B6006"/>
    <w:rPr>
      <w:rFonts w:eastAsia="Times New Roman" w:cs="Times New Roman"/>
      <w:b/>
      <w:bCs/>
      <w:color w:val="000000"/>
      <w:sz w:val="20"/>
      <w:szCs w:val="20"/>
      <w:lang w:eastAsia="en-AU"/>
    </w:rPr>
  </w:style>
  <w:style w:type="character" w:styleId="EndnoteReference">
    <w:name w:val="endnote reference"/>
    <w:basedOn w:val="DefaultParagraphFont"/>
    <w:rsid w:val="000E3D1D"/>
    <w:rPr>
      <w:vertAlign w:val="superscript"/>
    </w:rPr>
  </w:style>
  <w:style w:type="paragraph" w:styleId="EndnoteText">
    <w:name w:val="endnote text"/>
    <w:basedOn w:val="Normal"/>
    <w:link w:val="EndnoteTextChar"/>
    <w:rsid w:val="000E3D1D"/>
  </w:style>
  <w:style w:type="character" w:customStyle="1" w:styleId="EndnoteTextChar">
    <w:name w:val="Endnote Text Char"/>
    <w:basedOn w:val="DefaultParagraphFont"/>
    <w:link w:val="EndnoteText"/>
    <w:rsid w:val="008B6006"/>
    <w:rPr>
      <w:rFonts w:eastAsia="Times New Roman" w:cs="Times New Roman"/>
      <w:color w:val="000000"/>
      <w:sz w:val="20"/>
      <w:szCs w:val="20"/>
      <w:lang w:eastAsia="en-AU"/>
    </w:rPr>
  </w:style>
  <w:style w:type="paragraph" w:styleId="Index4">
    <w:name w:val="index 4"/>
    <w:basedOn w:val="Normal"/>
    <w:next w:val="Normal"/>
    <w:autoRedefine/>
    <w:rsid w:val="000E3D1D"/>
    <w:pPr>
      <w:ind w:left="800" w:hanging="200"/>
    </w:pPr>
  </w:style>
  <w:style w:type="paragraph" w:styleId="Index5">
    <w:name w:val="index 5"/>
    <w:basedOn w:val="Normal"/>
    <w:next w:val="Normal"/>
    <w:autoRedefine/>
    <w:rsid w:val="000E3D1D"/>
    <w:pPr>
      <w:ind w:left="1000" w:hanging="200"/>
    </w:pPr>
  </w:style>
  <w:style w:type="paragraph" w:styleId="Index6">
    <w:name w:val="index 6"/>
    <w:basedOn w:val="Normal"/>
    <w:next w:val="Normal"/>
    <w:autoRedefine/>
    <w:rsid w:val="000E3D1D"/>
    <w:pPr>
      <w:ind w:left="1200" w:hanging="200"/>
    </w:pPr>
  </w:style>
  <w:style w:type="paragraph" w:styleId="Index7">
    <w:name w:val="index 7"/>
    <w:basedOn w:val="Normal"/>
    <w:next w:val="Normal"/>
    <w:autoRedefine/>
    <w:rsid w:val="000E3D1D"/>
    <w:pPr>
      <w:ind w:left="1400" w:hanging="200"/>
    </w:pPr>
  </w:style>
  <w:style w:type="paragraph" w:styleId="Index8">
    <w:name w:val="index 8"/>
    <w:basedOn w:val="Normal"/>
    <w:next w:val="Normal"/>
    <w:autoRedefine/>
    <w:rsid w:val="000E3D1D"/>
    <w:pPr>
      <w:ind w:left="1600" w:hanging="200"/>
    </w:pPr>
  </w:style>
  <w:style w:type="paragraph" w:styleId="Index9">
    <w:name w:val="index 9"/>
    <w:basedOn w:val="Normal"/>
    <w:next w:val="Normal"/>
    <w:autoRedefine/>
    <w:rsid w:val="000E3D1D"/>
    <w:pPr>
      <w:ind w:left="1800" w:hanging="200"/>
    </w:pPr>
  </w:style>
  <w:style w:type="paragraph" w:styleId="TableofAuthorities">
    <w:name w:val="table of authorities"/>
    <w:basedOn w:val="Normal"/>
    <w:next w:val="Normal"/>
    <w:rsid w:val="000E3D1D"/>
    <w:pPr>
      <w:ind w:left="200" w:hanging="200"/>
    </w:pPr>
  </w:style>
  <w:style w:type="paragraph" w:styleId="TableofFigures">
    <w:name w:val="table of figures"/>
    <w:basedOn w:val="Normal"/>
    <w:next w:val="Normal"/>
    <w:rsid w:val="000E3D1D"/>
    <w:pPr>
      <w:ind w:left="400" w:hanging="400"/>
    </w:pPr>
  </w:style>
  <w:style w:type="paragraph" w:styleId="TOAHeading">
    <w:name w:val="toa heading"/>
    <w:basedOn w:val="Normal"/>
    <w:next w:val="Normal"/>
    <w:rsid w:val="000E3D1D"/>
    <w:pPr>
      <w:spacing w:before="120"/>
    </w:pPr>
    <w:rPr>
      <w:rFonts w:ascii="Calibri" w:hAnsi="Calibri" w:cs="Arial"/>
      <w:b/>
      <w:bCs/>
      <w:sz w:val="24"/>
      <w:szCs w:val="24"/>
    </w:rPr>
  </w:style>
  <w:style w:type="paragraph" w:customStyle="1" w:styleId="AppendixAHeading3">
    <w:name w:val="AppendixAHeading3"/>
    <w:basedOn w:val="Heading3"/>
    <w:next w:val="AppendixAHeading4"/>
    <w:rsid w:val="000E3D1D"/>
    <w:pPr>
      <w:numPr>
        <w:numId w:val="11"/>
      </w:numPr>
    </w:pPr>
    <w:rPr>
      <w:i/>
    </w:rPr>
  </w:style>
  <w:style w:type="paragraph" w:customStyle="1" w:styleId="AppendixAHeading4">
    <w:name w:val="AppendixAHeading4"/>
    <w:basedOn w:val="Heading4"/>
    <w:next w:val="Bullet"/>
    <w:rsid w:val="000E3D1D"/>
    <w:pPr>
      <w:numPr>
        <w:ilvl w:val="1"/>
        <w:numId w:val="12"/>
      </w:numPr>
    </w:pPr>
  </w:style>
  <w:style w:type="paragraph" w:customStyle="1" w:styleId="AppendixGHeading3">
    <w:name w:val="AppendixGHeading3"/>
    <w:basedOn w:val="Heading3"/>
    <w:rsid w:val="000E3D1D"/>
    <w:pPr>
      <w:numPr>
        <w:numId w:val="10"/>
      </w:numPr>
    </w:pPr>
  </w:style>
  <w:style w:type="paragraph" w:customStyle="1" w:styleId="Heading3TOC">
    <w:name w:val="Heading 3 TOC"/>
    <w:basedOn w:val="Heading3"/>
    <w:rsid w:val="008B6006"/>
  </w:style>
  <w:style w:type="character" w:customStyle="1" w:styleId="HeadingBaseChar">
    <w:name w:val="Heading Base Char"/>
    <w:link w:val="HeadingBase"/>
    <w:locked/>
    <w:rsid w:val="008B6006"/>
    <w:rPr>
      <w:rFonts w:ascii="Calibri" w:eastAsia="Times New Roman" w:hAnsi="Calibri" w:cs="Times New Roman"/>
      <w:color w:val="003E74"/>
      <w:sz w:val="20"/>
      <w:szCs w:val="20"/>
      <w:lang w:eastAsia="en-AU"/>
    </w:rPr>
  </w:style>
  <w:style w:type="paragraph" w:customStyle="1" w:styleId="CharCharCharCharCharChar">
    <w:name w:val="Char Char Char Char Char Char"/>
    <w:basedOn w:val="Normal"/>
    <w:rsid w:val="008B6006"/>
    <w:pPr>
      <w:spacing w:after="160" w:line="240" w:lineRule="exact"/>
    </w:pPr>
    <w:rPr>
      <w:rFonts w:ascii="Verdana" w:hAnsi="Verdana"/>
      <w:szCs w:val="24"/>
      <w:lang w:val="en-US"/>
    </w:rPr>
  </w:style>
  <w:style w:type="table" w:styleId="TableGrid">
    <w:name w:val="Table Grid"/>
    <w:basedOn w:val="TableNormal"/>
    <w:uiPriority w:val="59"/>
    <w:rsid w:val="008B6006"/>
    <w:pPr>
      <w:spacing w:after="240" w:line="260" w:lineRule="exact"/>
      <w:jc w:val="both"/>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ing3noTOC">
    <w:name w:val="Heading 3 no TOC"/>
    <w:basedOn w:val="Heading3"/>
    <w:rsid w:val="000E3D1D"/>
    <w:pPr>
      <w:outlineLvl w:val="9"/>
    </w:pPr>
  </w:style>
  <w:style w:type="character" w:styleId="FollowedHyperlink">
    <w:name w:val="FollowedHyperlink"/>
    <w:basedOn w:val="DefaultParagraphFont"/>
    <w:rsid w:val="000E3D1D"/>
    <w:rPr>
      <w:color w:val="000000"/>
      <w:u w:val="none"/>
    </w:rPr>
  </w:style>
  <w:style w:type="paragraph" w:customStyle="1" w:styleId="Style1">
    <w:name w:val="Style1"/>
    <w:basedOn w:val="AppendixAHeading3"/>
    <w:next w:val="AppendixAHeading4"/>
    <w:rsid w:val="000E3D1D"/>
    <w:pPr>
      <w:numPr>
        <w:numId w:val="0"/>
      </w:numPr>
    </w:pPr>
  </w:style>
  <w:style w:type="paragraph" w:customStyle="1" w:styleId="AppendixAHeading3NotItalic">
    <w:name w:val="AppendixAHeading3NotItalic"/>
    <w:basedOn w:val="HeadingBase"/>
    <w:next w:val="AppendixAHeading4"/>
    <w:rsid w:val="000E3D1D"/>
    <w:pPr>
      <w:numPr>
        <w:numId w:val="12"/>
      </w:numPr>
      <w:spacing w:before="57" w:after="57" w:line="280" w:lineRule="exact"/>
    </w:pPr>
    <w:rPr>
      <w:b/>
      <w:sz w:val="24"/>
    </w:rPr>
  </w:style>
  <w:style w:type="paragraph" w:customStyle="1" w:styleId="CharChar1Char">
    <w:name w:val="Char Char1 Char"/>
    <w:basedOn w:val="Normal"/>
    <w:rsid w:val="008B6006"/>
    <w:pPr>
      <w:spacing w:after="160" w:line="240" w:lineRule="exact"/>
    </w:pPr>
    <w:rPr>
      <w:rFonts w:ascii="Arial" w:hAnsi="Arial"/>
      <w:lang w:val="en-GB"/>
    </w:rPr>
  </w:style>
  <w:style w:type="paragraph" w:customStyle="1" w:styleId="Heading2noTOC">
    <w:name w:val="Heading 2 no TOC"/>
    <w:basedOn w:val="Heading2"/>
    <w:next w:val="Normal"/>
    <w:rsid w:val="000E3D1D"/>
    <w:pPr>
      <w:outlineLvl w:val="9"/>
    </w:pPr>
  </w:style>
  <w:style w:type="paragraph" w:customStyle="1" w:styleId="Heading9noTOC">
    <w:name w:val="Heading 9 no TOC"/>
    <w:basedOn w:val="Heading9"/>
    <w:rsid w:val="000E3D1D"/>
    <w:pPr>
      <w:outlineLvl w:val="9"/>
    </w:pPr>
  </w:style>
  <w:style w:type="paragraph" w:styleId="NormalWeb">
    <w:name w:val="Normal (Web)"/>
    <w:basedOn w:val="Normal"/>
    <w:rsid w:val="000E3D1D"/>
    <w:rPr>
      <w:rFonts w:ascii="Times New Roman" w:hAnsi="Times New Roman"/>
      <w:sz w:val="24"/>
      <w:szCs w:val="24"/>
    </w:rPr>
  </w:style>
  <w:style w:type="character" w:styleId="IntenseEmphasis">
    <w:name w:val="Intense Emphasis"/>
    <w:basedOn w:val="DefaultParagraphFont"/>
    <w:uiPriority w:val="21"/>
    <w:qFormat/>
    <w:rsid w:val="000E3D1D"/>
    <w:rPr>
      <w:b/>
      <w:bCs/>
      <w:i/>
      <w:iCs/>
      <w:color w:val="003E74"/>
    </w:rPr>
  </w:style>
  <w:style w:type="paragraph" w:styleId="IntenseQuote">
    <w:name w:val="Intense Quote"/>
    <w:basedOn w:val="Normal"/>
    <w:next w:val="Normal"/>
    <w:link w:val="IntenseQuoteChar"/>
    <w:uiPriority w:val="30"/>
    <w:qFormat/>
    <w:rsid w:val="000E3D1D"/>
    <w:pPr>
      <w:pBdr>
        <w:bottom w:val="single" w:sz="4" w:space="4" w:color="4F81BD" w:themeColor="accent1"/>
      </w:pBdr>
      <w:spacing w:before="200" w:after="280"/>
      <w:ind w:left="936" w:right="936"/>
    </w:pPr>
    <w:rPr>
      <w:b/>
      <w:bCs/>
      <w:i/>
      <w:iCs/>
      <w:color w:val="003E74"/>
    </w:rPr>
  </w:style>
  <w:style w:type="character" w:customStyle="1" w:styleId="IntenseQuoteChar">
    <w:name w:val="Intense Quote Char"/>
    <w:basedOn w:val="DefaultParagraphFont"/>
    <w:link w:val="IntenseQuote"/>
    <w:uiPriority w:val="30"/>
    <w:rsid w:val="000E3D1D"/>
    <w:rPr>
      <w:rFonts w:eastAsia="Times New Roman" w:cs="Times New Roman"/>
      <w:b/>
      <w:bCs/>
      <w:i/>
      <w:iCs/>
      <w:color w:val="003E74"/>
      <w:sz w:val="20"/>
      <w:szCs w:val="20"/>
      <w:lang w:eastAsia="en-AU"/>
    </w:rPr>
  </w:style>
  <w:style w:type="paragraph" w:styleId="TOCHeading">
    <w:name w:val="TOC Heading"/>
    <w:basedOn w:val="Heading1"/>
    <w:next w:val="Normal"/>
    <w:uiPriority w:val="39"/>
    <w:unhideWhenUsed/>
    <w:qFormat/>
    <w:rsid w:val="000E3D1D"/>
    <w:pPr>
      <w:keepLines/>
      <w:spacing w:before="480" w:after="0" w:line="260" w:lineRule="exact"/>
      <w:jc w:val="both"/>
      <w:outlineLvl w:val="9"/>
    </w:pPr>
    <w:rPr>
      <w:rFonts w:asciiTheme="majorHAnsi" w:eastAsiaTheme="majorEastAsia" w:hAnsiTheme="majorHAnsi" w:cstheme="majorBidi"/>
      <w:kern w:val="0"/>
      <w:sz w:val="28"/>
      <w:szCs w:val="28"/>
    </w:rPr>
  </w:style>
  <w:style w:type="paragraph" w:styleId="Revision">
    <w:name w:val="Revision"/>
    <w:hidden/>
    <w:uiPriority w:val="99"/>
    <w:semiHidden/>
    <w:rsid w:val="008B6006"/>
    <w:pPr>
      <w:spacing w:after="0" w:line="240" w:lineRule="auto"/>
    </w:pPr>
    <w:rPr>
      <w:rFonts w:ascii="Book Antiqua" w:eastAsia="Times New Roman" w:hAnsi="Book Antiqua" w:cs="Times New Roman"/>
      <w:color w:val="000000"/>
      <w:sz w:val="20"/>
      <w:szCs w:val="20"/>
      <w:lang w:eastAsia="en-AU"/>
    </w:rPr>
  </w:style>
  <w:style w:type="character" w:customStyle="1" w:styleId="Italics">
    <w:name w:val="Italics"/>
    <w:basedOn w:val="DefaultParagraphFont"/>
    <w:rsid w:val="000E3D1D"/>
    <w:rPr>
      <w:i/>
    </w:rPr>
  </w:style>
  <w:style w:type="character" w:customStyle="1" w:styleId="A5">
    <w:name w:val="A5"/>
    <w:uiPriority w:val="99"/>
    <w:rsid w:val="000E3D1D"/>
    <w:rPr>
      <w:rFonts w:cs="Swiss 721 BT"/>
      <w:color w:val="000000"/>
      <w:sz w:val="20"/>
      <w:szCs w:val="20"/>
    </w:rPr>
  </w:style>
  <w:style w:type="character" w:styleId="Emphasis">
    <w:name w:val="Emphasis"/>
    <w:uiPriority w:val="20"/>
    <w:qFormat/>
    <w:rsid w:val="008B6006"/>
    <w:rPr>
      <w:i/>
      <w:iCs/>
    </w:rPr>
  </w:style>
  <w:style w:type="paragraph" w:customStyle="1" w:styleId="Table">
    <w:name w:val="Table"/>
    <w:basedOn w:val="Normal"/>
    <w:rsid w:val="000E3D1D"/>
  </w:style>
  <w:style w:type="paragraph" w:customStyle="1" w:styleId="StyleChartorTableNoteLeft0cmHanging1cm">
    <w:name w:val="Style Chart or Table Note + Left:  0 cm Hanging:  1 cm"/>
    <w:basedOn w:val="ChartorTableNote"/>
    <w:rsid w:val="008B6006"/>
    <w:pPr>
      <w:tabs>
        <w:tab w:val="left" w:pos="567"/>
      </w:tabs>
      <w:ind w:left="567" w:hanging="567"/>
    </w:pPr>
  </w:style>
  <w:style w:type="paragraph" w:customStyle="1" w:styleId="FootnoteTextBullet">
    <w:name w:val="Footnote Text Bullet"/>
    <w:basedOn w:val="FootnoteText"/>
    <w:rsid w:val="008B6006"/>
    <w:pPr>
      <w:numPr>
        <w:numId w:val="13"/>
      </w:numPr>
      <w:tabs>
        <w:tab w:val="clear" w:pos="284"/>
        <w:tab w:val="left" w:pos="567"/>
      </w:tabs>
      <w:ind w:left="568" w:hanging="284"/>
    </w:pPr>
  </w:style>
  <w:style w:type="paragraph" w:styleId="ListParagraph">
    <w:name w:val="List Paragraph"/>
    <w:basedOn w:val="Normal"/>
    <w:uiPriority w:val="34"/>
    <w:qFormat/>
    <w:rsid w:val="00402633"/>
    <w:pPr>
      <w:ind w:left="720"/>
      <w:contextualSpacing/>
    </w:pPr>
  </w:style>
  <w:style w:type="paragraph" w:customStyle="1" w:styleId="Default">
    <w:name w:val="Default"/>
    <w:rsid w:val="004C402F"/>
    <w:pPr>
      <w:autoSpaceDE w:val="0"/>
      <w:autoSpaceDN w:val="0"/>
      <w:adjustRightInd w:val="0"/>
      <w:spacing w:after="0" w:line="240" w:lineRule="auto"/>
    </w:pPr>
    <w:rPr>
      <w:rFonts w:ascii="Arial" w:eastAsia="Times New Roman" w:hAnsi="Arial" w:cs="Arial"/>
      <w:color w:val="000000"/>
      <w:sz w:val="24"/>
      <w:szCs w:val="24"/>
      <w:lang w:eastAsia="en-AU"/>
    </w:rPr>
  </w:style>
  <w:style w:type="character" w:customStyle="1" w:styleId="DashChar">
    <w:name w:val="Dash Char"/>
    <w:basedOn w:val="DefaultParagraphFont"/>
    <w:link w:val="Dash"/>
    <w:rsid w:val="00786B11"/>
    <w:rPr>
      <w:rFonts w:eastAsia="Times New Roman" w:cs="Times New Roman"/>
      <w:color w:val="000000"/>
      <w:sz w:val="20"/>
      <w:szCs w:val="20"/>
      <w:lang w:eastAsia="en-AU"/>
    </w:rPr>
  </w:style>
  <w:style w:type="character" w:customStyle="1" w:styleId="DoubleDotChar">
    <w:name w:val="Double Dot Char"/>
    <w:basedOn w:val="DefaultParagraphFont"/>
    <w:link w:val="DoubleDot"/>
    <w:rsid w:val="00786B11"/>
    <w:rPr>
      <w:rFonts w:eastAsia="Times New Roman" w:cs="Times New Roman"/>
      <w:color w:val="000000"/>
      <w:sz w:val="20"/>
      <w:szCs w:val="20"/>
      <w:lang w:eastAsia="en-AU"/>
    </w:rPr>
  </w:style>
  <w:style w:type="character" w:customStyle="1" w:styleId="apple-converted-space">
    <w:name w:val="apple-converted-space"/>
    <w:basedOn w:val="DefaultParagraphFont"/>
    <w:rsid w:val="00FE4498"/>
  </w:style>
  <w:style w:type="paragraph" w:customStyle="1" w:styleId="Circletext">
    <w:name w:val="Circle text"/>
    <w:basedOn w:val="BoxText"/>
    <w:qFormat/>
    <w:rsid w:val="000E3D1D"/>
    <w:rPr>
      <w:b/>
      <w:sz w:val="24"/>
    </w:rPr>
  </w:style>
  <w:style w:type="paragraph" w:styleId="PlainText">
    <w:name w:val="Plain Text"/>
    <w:basedOn w:val="Normal"/>
    <w:link w:val="PlainTextChar"/>
    <w:uiPriority w:val="99"/>
    <w:semiHidden/>
    <w:unhideWhenUsed/>
    <w:rsid w:val="00C07DC3"/>
    <w:pPr>
      <w:spacing w:after="0" w:line="240" w:lineRule="auto"/>
    </w:pPr>
    <w:rPr>
      <w:rFonts w:ascii="Calibri" w:hAnsi="Calibri"/>
      <w:szCs w:val="21"/>
    </w:rPr>
  </w:style>
  <w:style w:type="character" w:customStyle="1" w:styleId="PlainTextChar">
    <w:name w:val="Plain Text Char"/>
    <w:basedOn w:val="DefaultParagraphFont"/>
    <w:link w:val="PlainText"/>
    <w:uiPriority w:val="99"/>
    <w:semiHidden/>
    <w:rsid w:val="00C07DC3"/>
    <w:rPr>
      <w:rFonts w:ascii="Calibri" w:hAnsi="Calibri"/>
      <w:szCs w:val="21"/>
    </w:rPr>
  </w:style>
  <w:style w:type="table" w:customStyle="1" w:styleId="TableGrid1">
    <w:name w:val="Table Grid1"/>
    <w:basedOn w:val="TableNormal"/>
    <w:next w:val="TableGrid"/>
    <w:rsid w:val="00264BB4"/>
    <w:pPr>
      <w:spacing w:after="240" w:line="260" w:lineRule="exact"/>
      <w:jc w:val="both"/>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IRBBulletpoint">
    <w:name w:val="FIRB Bullet point"/>
    <w:basedOn w:val="Bullet"/>
    <w:qFormat/>
    <w:rsid w:val="00C27882"/>
    <w:pPr>
      <w:spacing w:after="120"/>
    </w:pPr>
  </w:style>
  <w:style w:type="paragraph" w:customStyle="1" w:styleId="FIRBDash">
    <w:name w:val="FIRB Dash"/>
    <w:basedOn w:val="Dash"/>
    <w:qFormat/>
    <w:rsid w:val="00C27882"/>
    <w:pPr>
      <w:spacing w:after="120"/>
      <w:ind w:left="851" w:hanging="284"/>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5717732">
      <w:bodyDiv w:val="1"/>
      <w:marLeft w:val="0"/>
      <w:marRight w:val="0"/>
      <w:marTop w:val="0"/>
      <w:marBottom w:val="0"/>
      <w:divBdr>
        <w:top w:val="none" w:sz="0" w:space="0" w:color="auto"/>
        <w:left w:val="none" w:sz="0" w:space="0" w:color="auto"/>
        <w:bottom w:val="none" w:sz="0" w:space="0" w:color="auto"/>
        <w:right w:val="none" w:sz="0" w:space="0" w:color="auto"/>
      </w:divBdr>
    </w:div>
    <w:div w:id="29965410">
      <w:bodyDiv w:val="1"/>
      <w:marLeft w:val="0"/>
      <w:marRight w:val="0"/>
      <w:marTop w:val="0"/>
      <w:marBottom w:val="0"/>
      <w:divBdr>
        <w:top w:val="none" w:sz="0" w:space="0" w:color="auto"/>
        <w:left w:val="none" w:sz="0" w:space="0" w:color="auto"/>
        <w:bottom w:val="none" w:sz="0" w:space="0" w:color="auto"/>
        <w:right w:val="none" w:sz="0" w:space="0" w:color="auto"/>
      </w:divBdr>
    </w:div>
    <w:div w:id="42797134">
      <w:bodyDiv w:val="1"/>
      <w:marLeft w:val="0"/>
      <w:marRight w:val="0"/>
      <w:marTop w:val="0"/>
      <w:marBottom w:val="0"/>
      <w:divBdr>
        <w:top w:val="none" w:sz="0" w:space="0" w:color="auto"/>
        <w:left w:val="none" w:sz="0" w:space="0" w:color="auto"/>
        <w:bottom w:val="none" w:sz="0" w:space="0" w:color="auto"/>
        <w:right w:val="none" w:sz="0" w:space="0" w:color="auto"/>
      </w:divBdr>
    </w:div>
    <w:div w:id="99957232">
      <w:bodyDiv w:val="1"/>
      <w:marLeft w:val="0"/>
      <w:marRight w:val="0"/>
      <w:marTop w:val="0"/>
      <w:marBottom w:val="0"/>
      <w:divBdr>
        <w:top w:val="none" w:sz="0" w:space="0" w:color="auto"/>
        <w:left w:val="none" w:sz="0" w:space="0" w:color="auto"/>
        <w:bottom w:val="none" w:sz="0" w:space="0" w:color="auto"/>
        <w:right w:val="none" w:sz="0" w:space="0" w:color="auto"/>
      </w:divBdr>
    </w:div>
    <w:div w:id="109015594">
      <w:bodyDiv w:val="1"/>
      <w:marLeft w:val="0"/>
      <w:marRight w:val="0"/>
      <w:marTop w:val="0"/>
      <w:marBottom w:val="0"/>
      <w:divBdr>
        <w:top w:val="none" w:sz="0" w:space="0" w:color="auto"/>
        <w:left w:val="none" w:sz="0" w:space="0" w:color="auto"/>
        <w:bottom w:val="none" w:sz="0" w:space="0" w:color="auto"/>
        <w:right w:val="none" w:sz="0" w:space="0" w:color="auto"/>
      </w:divBdr>
    </w:div>
    <w:div w:id="118769932">
      <w:bodyDiv w:val="1"/>
      <w:marLeft w:val="0"/>
      <w:marRight w:val="0"/>
      <w:marTop w:val="0"/>
      <w:marBottom w:val="0"/>
      <w:divBdr>
        <w:top w:val="none" w:sz="0" w:space="0" w:color="auto"/>
        <w:left w:val="none" w:sz="0" w:space="0" w:color="auto"/>
        <w:bottom w:val="none" w:sz="0" w:space="0" w:color="auto"/>
        <w:right w:val="none" w:sz="0" w:space="0" w:color="auto"/>
      </w:divBdr>
    </w:div>
    <w:div w:id="128941003">
      <w:bodyDiv w:val="1"/>
      <w:marLeft w:val="0"/>
      <w:marRight w:val="0"/>
      <w:marTop w:val="0"/>
      <w:marBottom w:val="0"/>
      <w:divBdr>
        <w:top w:val="none" w:sz="0" w:space="0" w:color="auto"/>
        <w:left w:val="none" w:sz="0" w:space="0" w:color="auto"/>
        <w:bottom w:val="none" w:sz="0" w:space="0" w:color="auto"/>
        <w:right w:val="none" w:sz="0" w:space="0" w:color="auto"/>
      </w:divBdr>
    </w:div>
    <w:div w:id="153882454">
      <w:bodyDiv w:val="1"/>
      <w:marLeft w:val="0"/>
      <w:marRight w:val="0"/>
      <w:marTop w:val="0"/>
      <w:marBottom w:val="0"/>
      <w:divBdr>
        <w:top w:val="none" w:sz="0" w:space="0" w:color="auto"/>
        <w:left w:val="none" w:sz="0" w:space="0" w:color="auto"/>
        <w:bottom w:val="none" w:sz="0" w:space="0" w:color="auto"/>
        <w:right w:val="none" w:sz="0" w:space="0" w:color="auto"/>
      </w:divBdr>
      <w:divsChild>
        <w:div w:id="1573348219">
          <w:marLeft w:val="0"/>
          <w:marRight w:val="0"/>
          <w:marTop w:val="0"/>
          <w:marBottom w:val="0"/>
          <w:divBdr>
            <w:top w:val="none" w:sz="0" w:space="0" w:color="auto"/>
            <w:left w:val="none" w:sz="0" w:space="0" w:color="auto"/>
            <w:bottom w:val="none" w:sz="0" w:space="0" w:color="auto"/>
            <w:right w:val="none" w:sz="0" w:space="0" w:color="auto"/>
          </w:divBdr>
          <w:divsChild>
            <w:div w:id="853304052">
              <w:marLeft w:val="-225"/>
              <w:marRight w:val="-225"/>
              <w:marTop w:val="0"/>
              <w:marBottom w:val="0"/>
              <w:divBdr>
                <w:top w:val="none" w:sz="0" w:space="0" w:color="auto"/>
                <w:left w:val="none" w:sz="0" w:space="0" w:color="auto"/>
                <w:bottom w:val="none" w:sz="0" w:space="0" w:color="auto"/>
                <w:right w:val="none" w:sz="0" w:space="0" w:color="auto"/>
              </w:divBdr>
              <w:divsChild>
                <w:div w:id="1652559984">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 w:id="173035461">
      <w:bodyDiv w:val="1"/>
      <w:marLeft w:val="0"/>
      <w:marRight w:val="0"/>
      <w:marTop w:val="0"/>
      <w:marBottom w:val="0"/>
      <w:divBdr>
        <w:top w:val="none" w:sz="0" w:space="0" w:color="auto"/>
        <w:left w:val="none" w:sz="0" w:space="0" w:color="auto"/>
        <w:bottom w:val="none" w:sz="0" w:space="0" w:color="auto"/>
        <w:right w:val="none" w:sz="0" w:space="0" w:color="auto"/>
      </w:divBdr>
    </w:div>
    <w:div w:id="223025501">
      <w:bodyDiv w:val="1"/>
      <w:marLeft w:val="0"/>
      <w:marRight w:val="0"/>
      <w:marTop w:val="0"/>
      <w:marBottom w:val="0"/>
      <w:divBdr>
        <w:top w:val="none" w:sz="0" w:space="0" w:color="auto"/>
        <w:left w:val="none" w:sz="0" w:space="0" w:color="auto"/>
        <w:bottom w:val="none" w:sz="0" w:space="0" w:color="auto"/>
        <w:right w:val="none" w:sz="0" w:space="0" w:color="auto"/>
      </w:divBdr>
    </w:div>
    <w:div w:id="229317498">
      <w:bodyDiv w:val="1"/>
      <w:marLeft w:val="0"/>
      <w:marRight w:val="0"/>
      <w:marTop w:val="0"/>
      <w:marBottom w:val="0"/>
      <w:divBdr>
        <w:top w:val="none" w:sz="0" w:space="0" w:color="auto"/>
        <w:left w:val="none" w:sz="0" w:space="0" w:color="auto"/>
        <w:bottom w:val="none" w:sz="0" w:space="0" w:color="auto"/>
        <w:right w:val="none" w:sz="0" w:space="0" w:color="auto"/>
      </w:divBdr>
      <w:divsChild>
        <w:div w:id="240481368">
          <w:marLeft w:val="0"/>
          <w:marRight w:val="0"/>
          <w:marTop w:val="0"/>
          <w:marBottom w:val="0"/>
          <w:divBdr>
            <w:top w:val="none" w:sz="0" w:space="0" w:color="auto"/>
            <w:left w:val="none" w:sz="0" w:space="0" w:color="auto"/>
            <w:bottom w:val="none" w:sz="0" w:space="0" w:color="auto"/>
            <w:right w:val="none" w:sz="0" w:space="0" w:color="auto"/>
          </w:divBdr>
          <w:divsChild>
            <w:div w:id="1880241907">
              <w:marLeft w:val="-225"/>
              <w:marRight w:val="-225"/>
              <w:marTop w:val="0"/>
              <w:marBottom w:val="0"/>
              <w:divBdr>
                <w:top w:val="none" w:sz="0" w:space="0" w:color="auto"/>
                <w:left w:val="none" w:sz="0" w:space="0" w:color="auto"/>
                <w:bottom w:val="none" w:sz="0" w:space="0" w:color="auto"/>
                <w:right w:val="none" w:sz="0" w:space="0" w:color="auto"/>
              </w:divBdr>
              <w:divsChild>
                <w:div w:id="1927105704">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 w:id="239222170">
      <w:bodyDiv w:val="1"/>
      <w:marLeft w:val="0"/>
      <w:marRight w:val="0"/>
      <w:marTop w:val="0"/>
      <w:marBottom w:val="0"/>
      <w:divBdr>
        <w:top w:val="none" w:sz="0" w:space="0" w:color="auto"/>
        <w:left w:val="none" w:sz="0" w:space="0" w:color="auto"/>
        <w:bottom w:val="none" w:sz="0" w:space="0" w:color="auto"/>
        <w:right w:val="none" w:sz="0" w:space="0" w:color="auto"/>
      </w:divBdr>
    </w:div>
    <w:div w:id="255750259">
      <w:bodyDiv w:val="1"/>
      <w:marLeft w:val="0"/>
      <w:marRight w:val="0"/>
      <w:marTop w:val="0"/>
      <w:marBottom w:val="0"/>
      <w:divBdr>
        <w:top w:val="none" w:sz="0" w:space="0" w:color="auto"/>
        <w:left w:val="none" w:sz="0" w:space="0" w:color="auto"/>
        <w:bottom w:val="none" w:sz="0" w:space="0" w:color="auto"/>
        <w:right w:val="none" w:sz="0" w:space="0" w:color="auto"/>
      </w:divBdr>
    </w:div>
    <w:div w:id="274337614">
      <w:bodyDiv w:val="1"/>
      <w:marLeft w:val="0"/>
      <w:marRight w:val="0"/>
      <w:marTop w:val="0"/>
      <w:marBottom w:val="0"/>
      <w:divBdr>
        <w:top w:val="none" w:sz="0" w:space="0" w:color="auto"/>
        <w:left w:val="none" w:sz="0" w:space="0" w:color="auto"/>
        <w:bottom w:val="none" w:sz="0" w:space="0" w:color="auto"/>
        <w:right w:val="none" w:sz="0" w:space="0" w:color="auto"/>
      </w:divBdr>
      <w:divsChild>
        <w:div w:id="1707213938">
          <w:marLeft w:val="0"/>
          <w:marRight w:val="0"/>
          <w:marTop w:val="0"/>
          <w:marBottom w:val="0"/>
          <w:divBdr>
            <w:top w:val="none" w:sz="0" w:space="0" w:color="auto"/>
            <w:left w:val="none" w:sz="0" w:space="0" w:color="auto"/>
            <w:bottom w:val="none" w:sz="0" w:space="0" w:color="auto"/>
            <w:right w:val="none" w:sz="0" w:space="0" w:color="auto"/>
          </w:divBdr>
          <w:divsChild>
            <w:div w:id="70931875">
              <w:marLeft w:val="-225"/>
              <w:marRight w:val="-225"/>
              <w:marTop w:val="0"/>
              <w:marBottom w:val="0"/>
              <w:divBdr>
                <w:top w:val="none" w:sz="0" w:space="0" w:color="auto"/>
                <w:left w:val="none" w:sz="0" w:space="0" w:color="auto"/>
                <w:bottom w:val="none" w:sz="0" w:space="0" w:color="auto"/>
                <w:right w:val="none" w:sz="0" w:space="0" w:color="auto"/>
              </w:divBdr>
              <w:divsChild>
                <w:div w:id="300884554">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 w:id="299309857">
      <w:bodyDiv w:val="1"/>
      <w:marLeft w:val="0"/>
      <w:marRight w:val="0"/>
      <w:marTop w:val="0"/>
      <w:marBottom w:val="0"/>
      <w:divBdr>
        <w:top w:val="none" w:sz="0" w:space="0" w:color="auto"/>
        <w:left w:val="none" w:sz="0" w:space="0" w:color="auto"/>
        <w:bottom w:val="none" w:sz="0" w:space="0" w:color="auto"/>
        <w:right w:val="none" w:sz="0" w:space="0" w:color="auto"/>
      </w:divBdr>
    </w:div>
    <w:div w:id="316305601">
      <w:bodyDiv w:val="1"/>
      <w:marLeft w:val="0"/>
      <w:marRight w:val="0"/>
      <w:marTop w:val="0"/>
      <w:marBottom w:val="0"/>
      <w:divBdr>
        <w:top w:val="none" w:sz="0" w:space="0" w:color="auto"/>
        <w:left w:val="none" w:sz="0" w:space="0" w:color="auto"/>
        <w:bottom w:val="none" w:sz="0" w:space="0" w:color="auto"/>
        <w:right w:val="none" w:sz="0" w:space="0" w:color="auto"/>
      </w:divBdr>
    </w:div>
    <w:div w:id="385027963">
      <w:bodyDiv w:val="1"/>
      <w:marLeft w:val="0"/>
      <w:marRight w:val="0"/>
      <w:marTop w:val="0"/>
      <w:marBottom w:val="0"/>
      <w:divBdr>
        <w:top w:val="none" w:sz="0" w:space="0" w:color="auto"/>
        <w:left w:val="none" w:sz="0" w:space="0" w:color="auto"/>
        <w:bottom w:val="none" w:sz="0" w:space="0" w:color="auto"/>
        <w:right w:val="none" w:sz="0" w:space="0" w:color="auto"/>
      </w:divBdr>
    </w:div>
    <w:div w:id="391467456">
      <w:bodyDiv w:val="1"/>
      <w:marLeft w:val="0"/>
      <w:marRight w:val="0"/>
      <w:marTop w:val="0"/>
      <w:marBottom w:val="0"/>
      <w:divBdr>
        <w:top w:val="none" w:sz="0" w:space="0" w:color="auto"/>
        <w:left w:val="none" w:sz="0" w:space="0" w:color="auto"/>
        <w:bottom w:val="none" w:sz="0" w:space="0" w:color="auto"/>
        <w:right w:val="none" w:sz="0" w:space="0" w:color="auto"/>
      </w:divBdr>
    </w:div>
    <w:div w:id="489641642">
      <w:bodyDiv w:val="1"/>
      <w:marLeft w:val="0"/>
      <w:marRight w:val="0"/>
      <w:marTop w:val="0"/>
      <w:marBottom w:val="0"/>
      <w:divBdr>
        <w:top w:val="none" w:sz="0" w:space="0" w:color="auto"/>
        <w:left w:val="none" w:sz="0" w:space="0" w:color="auto"/>
        <w:bottom w:val="none" w:sz="0" w:space="0" w:color="auto"/>
        <w:right w:val="none" w:sz="0" w:space="0" w:color="auto"/>
      </w:divBdr>
    </w:div>
    <w:div w:id="533537720">
      <w:bodyDiv w:val="1"/>
      <w:marLeft w:val="0"/>
      <w:marRight w:val="0"/>
      <w:marTop w:val="0"/>
      <w:marBottom w:val="0"/>
      <w:divBdr>
        <w:top w:val="none" w:sz="0" w:space="0" w:color="auto"/>
        <w:left w:val="none" w:sz="0" w:space="0" w:color="auto"/>
        <w:bottom w:val="none" w:sz="0" w:space="0" w:color="auto"/>
        <w:right w:val="none" w:sz="0" w:space="0" w:color="auto"/>
      </w:divBdr>
    </w:div>
    <w:div w:id="537661817">
      <w:bodyDiv w:val="1"/>
      <w:marLeft w:val="0"/>
      <w:marRight w:val="0"/>
      <w:marTop w:val="0"/>
      <w:marBottom w:val="0"/>
      <w:divBdr>
        <w:top w:val="none" w:sz="0" w:space="0" w:color="auto"/>
        <w:left w:val="none" w:sz="0" w:space="0" w:color="auto"/>
        <w:bottom w:val="none" w:sz="0" w:space="0" w:color="auto"/>
        <w:right w:val="none" w:sz="0" w:space="0" w:color="auto"/>
      </w:divBdr>
    </w:div>
    <w:div w:id="618032500">
      <w:bodyDiv w:val="1"/>
      <w:marLeft w:val="0"/>
      <w:marRight w:val="0"/>
      <w:marTop w:val="0"/>
      <w:marBottom w:val="0"/>
      <w:divBdr>
        <w:top w:val="none" w:sz="0" w:space="0" w:color="auto"/>
        <w:left w:val="none" w:sz="0" w:space="0" w:color="auto"/>
        <w:bottom w:val="none" w:sz="0" w:space="0" w:color="auto"/>
        <w:right w:val="none" w:sz="0" w:space="0" w:color="auto"/>
      </w:divBdr>
    </w:div>
    <w:div w:id="640112963">
      <w:bodyDiv w:val="1"/>
      <w:marLeft w:val="0"/>
      <w:marRight w:val="0"/>
      <w:marTop w:val="0"/>
      <w:marBottom w:val="0"/>
      <w:divBdr>
        <w:top w:val="none" w:sz="0" w:space="0" w:color="auto"/>
        <w:left w:val="none" w:sz="0" w:space="0" w:color="auto"/>
        <w:bottom w:val="none" w:sz="0" w:space="0" w:color="auto"/>
        <w:right w:val="none" w:sz="0" w:space="0" w:color="auto"/>
      </w:divBdr>
      <w:divsChild>
        <w:div w:id="707603580">
          <w:marLeft w:val="0"/>
          <w:marRight w:val="0"/>
          <w:marTop w:val="0"/>
          <w:marBottom w:val="0"/>
          <w:divBdr>
            <w:top w:val="none" w:sz="0" w:space="0" w:color="auto"/>
            <w:left w:val="none" w:sz="0" w:space="0" w:color="auto"/>
            <w:bottom w:val="none" w:sz="0" w:space="0" w:color="auto"/>
            <w:right w:val="none" w:sz="0" w:space="0" w:color="auto"/>
          </w:divBdr>
          <w:divsChild>
            <w:div w:id="226843689">
              <w:marLeft w:val="-225"/>
              <w:marRight w:val="-225"/>
              <w:marTop w:val="0"/>
              <w:marBottom w:val="0"/>
              <w:divBdr>
                <w:top w:val="none" w:sz="0" w:space="0" w:color="auto"/>
                <w:left w:val="none" w:sz="0" w:space="0" w:color="auto"/>
                <w:bottom w:val="none" w:sz="0" w:space="0" w:color="auto"/>
                <w:right w:val="none" w:sz="0" w:space="0" w:color="auto"/>
              </w:divBdr>
              <w:divsChild>
                <w:div w:id="1097554490">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 w:id="643703609">
      <w:bodyDiv w:val="1"/>
      <w:marLeft w:val="0"/>
      <w:marRight w:val="0"/>
      <w:marTop w:val="0"/>
      <w:marBottom w:val="0"/>
      <w:divBdr>
        <w:top w:val="none" w:sz="0" w:space="0" w:color="auto"/>
        <w:left w:val="none" w:sz="0" w:space="0" w:color="auto"/>
        <w:bottom w:val="none" w:sz="0" w:space="0" w:color="auto"/>
        <w:right w:val="none" w:sz="0" w:space="0" w:color="auto"/>
      </w:divBdr>
      <w:divsChild>
        <w:div w:id="406267828">
          <w:marLeft w:val="0"/>
          <w:marRight w:val="0"/>
          <w:marTop w:val="0"/>
          <w:marBottom w:val="0"/>
          <w:divBdr>
            <w:top w:val="none" w:sz="0" w:space="0" w:color="auto"/>
            <w:left w:val="none" w:sz="0" w:space="0" w:color="auto"/>
            <w:bottom w:val="none" w:sz="0" w:space="0" w:color="auto"/>
            <w:right w:val="none" w:sz="0" w:space="0" w:color="auto"/>
          </w:divBdr>
          <w:divsChild>
            <w:div w:id="713431783">
              <w:marLeft w:val="-225"/>
              <w:marRight w:val="-225"/>
              <w:marTop w:val="0"/>
              <w:marBottom w:val="0"/>
              <w:divBdr>
                <w:top w:val="none" w:sz="0" w:space="0" w:color="auto"/>
                <w:left w:val="none" w:sz="0" w:space="0" w:color="auto"/>
                <w:bottom w:val="none" w:sz="0" w:space="0" w:color="auto"/>
                <w:right w:val="none" w:sz="0" w:space="0" w:color="auto"/>
              </w:divBdr>
              <w:divsChild>
                <w:div w:id="2087140407">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 w:id="703286180">
      <w:bodyDiv w:val="1"/>
      <w:marLeft w:val="0"/>
      <w:marRight w:val="0"/>
      <w:marTop w:val="0"/>
      <w:marBottom w:val="0"/>
      <w:divBdr>
        <w:top w:val="none" w:sz="0" w:space="0" w:color="auto"/>
        <w:left w:val="none" w:sz="0" w:space="0" w:color="auto"/>
        <w:bottom w:val="none" w:sz="0" w:space="0" w:color="auto"/>
        <w:right w:val="none" w:sz="0" w:space="0" w:color="auto"/>
      </w:divBdr>
    </w:div>
    <w:div w:id="759526966">
      <w:bodyDiv w:val="1"/>
      <w:marLeft w:val="0"/>
      <w:marRight w:val="0"/>
      <w:marTop w:val="0"/>
      <w:marBottom w:val="0"/>
      <w:divBdr>
        <w:top w:val="none" w:sz="0" w:space="0" w:color="auto"/>
        <w:left w:val="none" w:sz="0" w:space="0" w:color="auto"/>
        <w:bottom w:val="none" w:sz="0" w:space="0" w:color="auto"/>
        <w:right w:val="none" w:sz="0" w:space="0" w:color="auto"/>
      </w:divBdr>
    </w:div>
    <w:div w:id="897672939">
      <w:bodyDiv w:val="1"/>
      <w:marLeft w:val="0"/>
      <w:marRight w:val="0"/>
      <w:marTop w:val="0"/>
      <w:marBottom w:val="0"/>
      <w:divBdr>
        <w:top w:val="none" w:sz="0" w:space="0" w:color="auto"/>
        <w:left w:val="none" w:sz="0" w:space="0" w:color="auto"/>
        <w:bottom w:val="none" w:sz="0" w:space="0" w:color="auto"/>
        <w:right w:val="none" w:sz="0" w:space="0" w:color="auto"/>
      </w:divBdr>
      <w:divsChild>
        <w:div w:id="1001352881">
          <w:marLeft w:val="0"/>
          <w:marRight w:val="0"/>
          <w:marTop w:val="0"/>
          <w:marBottom w:val="0"/>
          <w:divBdr>
            <w:top w:val="none" w:sz="0" w:space="0" w:color="auto"/>
            <w:left w:val="none" w:sz="0" w:space="0" w:color="auto"/>
            <w:bottom w:val="none" w:sz="0" w:space="0" w:color="auto"/>
            <w:right w:val="none" w:sz="0" w:space="0" w:color="auto"/>
          </w:divBdr>
          <w:divsChild>
            <w:div w:id="862210838">
              <w:marLeft w:val="-225"/>
              <w:marRight w:val="-225"/>
              <w:marTop w:val="0"/>
              <w:marBottom w:val="0"/>
              <w:divBdr>
                <w:top w:val="none" w:sz="0" w:space="0" w:color="auto"/>
                <w:left w:val="none" w:sz="0" w:space="0" w:color="auto"/>
                <w:bottom w:val="none" w:sz="0" w:space="0" w:color="auto"/>
                <w:right w:val="none" w:sz="0" w:space="0" w:color="auto"/>
              </w:divBdr>
              <w:divsChild>
                <w:div w:id="1496410451">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 w:id="942150249">
      <w:bodyDiv w:val="1"/>
      <w:marLeft w:val="0"/>
      <w:marRight w:val="0"/>
      <w:marTop w:val="0"/>
      <w:marBottom w:val="0"/>
      <w:divBdr>
        <w:top w:val="none" w:sz="0" w:space="0" w:color="auto"/>
        <w:left w:val="none" w:sz="0" w:space="0" w:color="auto"/>
        <w:bottom w:val="none" w:sz="0" w:space="0" w:color="auto"/>
        <w:right w:val="none" w:sz="0" w:space="0" w:color="auto"/>
      </w:divBdr>
    </w:div>
    <w:div w:id="1095008014">
      <w:bodyDiv w:val="1"/>
      <w:marLeft w:val="0"/>
      <w:marRight w:val="0"/>
      <w:marTop w:val="0"/>
      <w:marBottom w:val="0"/>
      <w:divBdr>
        <w:top w:val="none" w:sz="0" w:space="0" w:color="auto"/>
        <w:left w:val="none" w:sz="0" w:space="0" w:color="auto"/>
        <w:bottom w:val="none" w:sz="0" w:space="0" w:color="auto"/>
        <w:right w:val="none" w:sz="0" w:space="0" w:color="auto"/>
      </w:divBdr>
    </w:div>
    <w:div w:id="1099522398">
      <w:bodyDiv w:val="1"/>
      <w:marLeft w:val="30"/>
      <w:marRight w:val="30"/>
      <w:marTop w:val="0"/>
      <w:marBottom w:val="0"/>
      <w:divBdr>
        <w:top w:val="none" w:sz="0" w:space="0" w:color="auto"/>
        <w:left w:val="none" w:sz="0" w:space="0" w:color="auto"/>
        <w:bottom w:val="none" w:sz="0" w:space="0" w:color="auto"/>
        <w:right w:val="none" w:sz="0" w:space="0" w:color="auto"/>
      </w:divBdr>
      <w:divsChild>
        <w:div w:id="234779301">
          <w:marLeft w:val="0"/>
          <w:marRight w:val="0"/>
          <w:marTop w:val="0"/>
          <w:marBottom w:val="0"/>
          <w:divBdr>
            <w:top w:val="none" w:sz="0" w:space="0" w:color="auto"/>
            <w:left w:val="none" w:sz="0" w:space="0" w:color="auto"/>
            <w:bottom w:val="none" w:sz="0" w:space="0" w:color="auto"/>
            <w:right w:val="none" w:sz="0" w:space="0" w:color="auto"/>
          </w:divBdr>
          <w:divsChild>
            <w:div w:id="292249003">
              <w:marLeft w:val="0"/>
              <w:marRight w:val="0"/>
              <w:marTop w:val="0"/>
              <w:marBottom w:val="0"/>
              <w:divBdr>
                <w:top w:val="none" w:sz="0" w:space="0" w:color="auto"/>
                <w:left w:val="none" w:sz="0" w:space="0" w:color="auto"/>
                <w:bottom w:val="none" w:sz="0" w:space="0" w:color="auto"/>
                <w:right w:val="none" w:sz="0" w:space="0" w:color="auto"/>
              </w:divBdr>
              <w:divsChild>
                <w:div w:id="1722705581">
                  <w:marLeft w:val="180"/>
                  <w:marRight w:val="0"/>
                  <w:marTop w:val="0"/>
                  <w:marBottom w:val="0"/>
                  <w:divBdr>
                    <w:top w:val="none" w:sz="0" w:space="0" w:color="auto"/>
                    <w:left w:val="none" w:sz="0" w:space="0" w:color="auto"/>
                    <w:bottom w:val="none" w:sz="0" w:space="0" w:color="auto"/>
                    <w:right w:val="none" w:sz="0" w:space="0" w:color="auto"/>
                  </w:divBdr>
                  <w:divsChild>
                    <w:div w:id="1472088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9909971">
      <w:bodyDiv w:val="1"/>
      <w:marLeft w:val="0"/>
      <w:marRight w:val="0"/>
      <w:marTop w:val="0"/>
      <w:marBottom w:val="0"/>
      <w:divBdr>
        <w:top w:val="none" w:sz="0" w:space="0" w:color="auto"/>
        <w:left w:val="none" w:sz="0" w:space="0" w:color="auto"/>
        <w:bottom w:val="none" w:sz="0" w:space="0" w:color="auto"/>
        <w:right w:val="none" w:sz="0" w:space="0" w:color="auto"/>
      </w:divBdr>
    </w:div>
    <w:div w:id="1208641919">
      <w:bodyDiv w:val="1"/>
      <w:marLeft w:val="0"/>
      <w:marRight w:val="0"/>
      <w:marTop w:val="0"/>
      <w:marBottom w:val="0"/>
      <w:divBdr>
        <w:top w:val="none" w:sz="0" w:space="0" w:color="auto"/>
        <w:left w:val="none" w:sz="0" w:space="0" w:color="auto"/>
        <w:bottom w:val="none" w:sz="0" w:space="0" w:color="auto"/>
        <w:right w:val="none" w:sz="0" w:space="0" w:color="auto"/>
      </w:divBdr>
    </w:div>
    <w:div w:id="1215312893">
      <w:bodyDiv w:val="1"/>
      <w:marLeft w:val="0"/>
      <w:marRight w:val="0"/>
      <w:marTop w:val="0"/>
      <w:marBottom w:val="0"/>
      <w:divBdr>
        <w:top w:val="none" w:sz="0" w:space="0" w:color="auto"/>
        <w:left w:val="none" w:sz="0" w:space="0" w:color="auto"/>
        <w:bottom w:val="none" w:sz="0" w:space="0" w:color="auto"/>
        <w:right w:val="none" w:sz="0" w:space="0" w:color="auto"/>
      </w:divBdr>
    </w:div>
    <w:div w:id="1229998591">
      <w:bodyDiv w:val="1"/>
      <w:marLeft w:val="0"/>
      <w:marRight w:val="0"/>
      <w:marTop w:val="0"/>
      <w:marBottom w:val="0"/>
      <w:divBdr>
        <w:top w:val="none" w:sz="0" w:space="0" w:color="auto"/>
        <w:left w:val="none" w:sz="0" w:space="0" w:color="auto"/>
        <w:bottom w:val="none" w:sz="0" w:space="0" w:color="auto"/>
        <w:right w:val="none" w:sz="0" w:space="0" w:color="auto"/>
      </w:divBdr>
    </w:div>
    <w:div w:id="1233924699">
      <w:bodyDiv w:val="1"/>
      <w:marLeft w:val="0"/>
      <w:marRight w:val="0"/>
      <w:marTop w:val="0"/>
      <w:marBottom w:val="0"/>
      <w:divBdr>
        <w:top w:val="none" w:sz="0" w:space="0" w:color="auto"/>
        <w:left w:val="none" w:sz="0" w:space="0" w:color="auto"/>
        <w:bottom w:val="none" w:sz="0" w:space="0" w:color="auto"/>
        <w:right w:val="none" w:sz="0" w:space="0" w:color="auto"/>
      </w:divBdr>
      <w:divsChild>
        <w:div w:id="459765376">
          <w:marLeft w:val="0"/>
          <w:marRight w:val="0"/>
          <w:marTop w:val="0"/>
          <w:marBottom w:val="0"/>
          <w:divBdr>
            <w:top w:val="none" w:sz="0" w:space="0" w:color="auto"/>
            <w:left w:val="none" w:sz="0" w:space="0" w:color="auto"/>
            <w:bottom w:val="none" w:sz="0" w:space="0" w:color="auto"/>
            <w:right w:val="none" w:sz="0" w:space="0" w:color="auto"/>
          </w:divBdr>
          <w:divsChild>
            <w:div w:id="152066448">
              <w:marLeft w:val="-225"/>
              <w:marRight w:val="-225"/>
              <w:marTop w:val="0"/>
              <w:marBottom w:val="0"/>
              <w:divBdr>
                <w:top w:val="none" w:sz="0" w:space="0" w:color="auto"/>
                <w:left w:val="none" w:sz="0" w:space="0" w:color="auto"/>
                <w:bottom w:val="none" w:sz="0" w:space="0" w:color="auto"/>
                <w:right w:val="none" w:sz="0" w:space="0" w:color="auto"/>
              </w:divBdr>
              <w:divsChild>
                <w:div w:id="430395244">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 w:id="1235629793">
      <w:bodyDiv w:val="1"/>
      <w:marLeft w:val="0"/>
      <w:marRight w:val="0"/>
      <w:marTop w:val="0"/>
      <w:marBottom w:val="0"/>
      <w:divBdr>
        <w:top w:val="none" w:sz="0" w:space="0" w:color="auto"/>
        <w:left w:val="none" w:sz="0" w:space="0" w:color="auto"/>
        <w:bottom w:val="none" w:sz="0" w:space="0" w:color="auto"/>
        <w:right w:val="none" w:sz="0" w:space="0" w:color="auto"/>
      </w:divBdr>
      <w:divsChild>
        <w:div w:id="736825193">
          <w:marLeft w:val="0"/>
          <w:marRight w:val="0"/>
          <w:marTop w:val="0"/>
          <w:marBottom w:val="0"/>
          <w:divBdr>
            <w:top w:val="none" w:sz="0" w:space="0" w:color="auto"/>
            <w:left w:val="none" w:sz="0" w:space="0" w:color="auto"/>
            <w:bottom w:val="none" w:sz="0" w:space="0" w:color="auto"/>
            <w:right w:val="none" w:sz="0" w:space="0" w:color="auto"/>
          </w:divBdr>
          <w:divsChild>
            <w:div w:id="261884880">
              <w:marLeft w:val="-225"/>
              <w:marRight w:val="-225"/>
              <w:marTop w:val="0"/>
              <w:marBottom w:val="0"/>
              <w:divBdr>
                <w:top w:val="none" w:sz="0" w:space="0" w:color="auto"/>
                <w:left w:val="none" w:sz="0" w:space="0" w:color="auto"/>
                <w:bottom w:val="none" w:sz="0" w:space="0" w:color="auto"/>
                <w:right w:val="none" w:sz="0" w:space="0" w:color="auto"/>
              </w:divBdr>
              <w:divsChild>
                <w:div w:id="1349066141">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 w:id="1272860913">
      <w:bodyDiv w:val="1"/>
      <w:marLeft w:val="0"/>
      <w:marRight w:val="0"/>
      <w:marTop w:val="0"/>
      <w:marBottom w:val="0"/>
      <w:divBdr>
        <w:top w:val="none" w:sz="0" w:space="0" w:color="auto"/>
        <w:left w:val="none" w:sz="0" w:space="0" w:color="auto"/>
        <w:bottom w:val="none" w:sz="0" w:space="0" w:color="auto"/>
        <w:right w:val="none" w:sz="0" w:space="0" w:color="auto"/>
      </w:divBdr>
    </w:div>
    <w:div w:id="1276253500">
      <w:bodyDiv w:val="1"/>
      <w:marLeft w:val="30"/>
      <w:marRight w:val="30"/>
      <w:marTop w:val="0"/>
      <w:marBottom w:val="0"/>
      <w:divBdr>
        <w:top w:val="none" w:sz="0" w:space="0" w:color="auto"/>
        <w:left w:val="none" w:sz="0" w:space="0" w:color="auto"/>
        <w:bottom w:val="none" w:sz="0" w:space="0" w:color="auto"/>
        <w:right w:val="none" w:sz="0" w:space="0" w:color="auto"/>
      </w:divBdr>
      <w:divsChild>
        <w:div w:id="1953895074">
          <w:marLeft w:val="0"/>
          <w:marRight w:val="0"/>
          <w:marTop w:val="0"/>
          <w:marBottom w:val="0"/>
          <w:divBdr>
            <w:top w:val="none" w:sz="0" w:space="0" w:color="auto"/>
            <w:left w:val="none" w:sz="0" w:space="0" w:color="auto"/>
            <w:bottom w:val="none" w:sz="0" w:space="0" w:color="auto"/>
            <w:right w:val="none" w:sz="0" w:space="0" w:color="auto"/>
          </w:divBdr>
          <w:divsChild>
            <w:div w:id="20054686">
              <w:marLeft w:val="0"/>
              <w:marRight w:val="0"/>
              <w:marTop w:val="0"/>
              <w:marBottom w:val="0"/>
              <w:divBdr>
                <w:top w:val="none" w:sz="0" w:space="0" w:color="auto"/>
                <w:left w:val="none" w:sz="0" w:space="0" w:color="auto"/>
                <w:bottom w:val="none" w:sz="0" w:space="0" w:color="auto"/>
                <w:right w:val="none" w:sz="0" w:space="0" w:color="auto"/>
              </w:divBdr>
              <w:divsChild>
                <w:div w:id="118886074">
                  <w:marLeft w:val="180"/>
                  <w:marRight w:val="0"/>
                  <w:marTop w:val="0"/>
                  <w:marBottom w:val="0"/>
                  <w:divBdr>
                    <w:top w:val="none" w:sz="0" w:space="0" w:color="auto"/>
                    <w:left w:val="none" w:sz="0" w:space="0" w:color="auto"/>
                    <w:bottom w:val="none" w:sz="0" w:space="0" w:color="auto"/>
                    <w:right w:val="none" w:sz="0" w:space="0" w:color="auto"/>
                  </w:divBdr>
                  <w:divsChild>
                    <w:div w:id="1112355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63048944">
      <w:bodyDiv w:val="1"/>
      <w:marLeft w:val="0"/>
      <w:marRight w:val="0"/>
      <w:marTop w:val="0"/>
      <w:marBottom w:val="0"/>
      <w:divBdr>
        <w:top w:val="none" w:sz="0" w:space="0" w:color="auto"/>
        <w:left w:val="none" w:sz="0" w:space="0" w:color="auto"/>
        <w:bottom w:val="none" w:sz="0" w:space="0" w:color="auto"/>
        <w:right w:val="none" w:sz="0" w:space="0" w:color="auto"/>
      </w:divBdr>
    </w:div>
    <w:div w:id="1429623414">
      <w:bodyDiv w:val="1"/>
      <w:marLeft w:val="0"/>
      <w:marRight w:val="0"/>
      <w:marTop w:val="0"/>
      <w:marBottom w:val="0"/>
      <w:divBdr>
        <w:top w:val="none" w:sz="0" w:space="0" w:color="auto"/>
        <w:left w:val="none" w:sz="0" w:space="0" w:color="auto"/>
        <w:bottom w:val="none" w:sz="0" w:space="0" w:color="auto"/>
        <w:right w:val="none" w:sz="0" w:space="0" w:color="auto"/>
      </w:divBdr>
    </w:div>
    <w:div w:id="1463185755">
      <w:bodyDiv w:val="1"/>
      <w:marLeft w:val="0"/>
      <w:marRight w:val="0"/>
      <w:marTop w:val="0"/>
      <w:marBottom w:val="0"/>
      <w:divBdr>
        <w:top w:val="none" w:sz="0" w:space="0" w:color="auto"/>
        <w:left w:val="none" w:sz="0" w:space="0" w:color="auto"/>
        <w:bottom w:val="none" w:sz="0" w:space="0" w:color="auto"/>
        <w:right w:val="none" w:sz="0" w:space="0" w:color="auto"/>
      </w:divBdr>
      <w:divsChild>
        <w:div w:id="1076511517">
          <w:marLeft w:val="0"/>
          <w:marRight w:val="0"/>
          <w:marTop w:val="0"/>
          <w:marBottom w:val="0"/>
          <w:divBdr>
            <w:top w:val="none" w:sz="0" w:space="0" w:color="auto"/>
            <w:left w:val="none" w:sz="0" w:space="0" w:color="auto"/>
            <w:bottom w:val="none" w:sz="0" w:space="0" w:color="auto"/>
            <w:right w:val="none" w:sz="0" w:space="0" w:color="auto"/>
          </w:divBdr>
          <w:divsChild>
            <w:div w:id="337317851">
              <w:marLeft w:val="-225"/>
              <w:marRight w:val="-225"/>
              <w:marTop w:val="0"/>
              <w:marBottom w:val="0"/>
              <w:divBdr>
                <w:top w:val="none" w:sz="0" w:space="0" w:color="auto"/>
                <w:left w:val="none" w:sz="0" w:space="0" w:color="auto"/>
                <w:bottom w:val="none" w:sz="0" w:space="0" w:color="auto"/>
                <w:right w:val="none" w:sz="0" w:space="0" w:color="auto"/>
              </w:divBdr>
              <w:divsChild>
                <w:div w:id="824778324">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 w:id="1518734124">
      <w:bodyDiv w:val="1"/>
      <w:marLeft w:val="0"/>
      <w:marRight w:val="0"/>
      <w:marTop w:val="0"/>
      <w:marBottom w:val="0"/>
      <w:divBdr>
        <w:top w:val="none" w:sz="0" w:space="0" w:color="auto"/>
        <w:left w:val="none" w:sz="0" w:space="0" w:color="auto"/>
        <w:bottom w:val="none" w:sz="0" w:space="0" w:color="auto"/>
        <w:right w:val="none" w:sz="0" w:space="0" w:color="auto"/>
      </w:divBdr>
    </w:div>
    <w:div w:id="1530754580">
      <w:bodyDiv w:val="1"/>
      <w:marLeft w:val="0"/>
      <w:marRight w:val="0"/>
      <w:marTop w:val="0"/>
      <w:marBottom w:val="0"/>
      <w:divBdr>
        <w:top w:val="none" w:sz="0" w:space="0" w:color="auto"/>
        <w:left w:val="none" w:sz="0" w:space="0" w:color="auto"/>
        <w:bottom w:val="none" w:sz="0" w:space="0" w:color="auto"/>
        <w:right w:val="none" w:sz="0" w:space="0" w:color="auto"/>
      </w:divBdr>
      <w:divsChild>
        <w:div w:id="809858832">
          <w:marLeft w:val="0"/>
          <w:marRight w:val="0"/>
          <w:marTop w:val="0"/>
          <w:marBottom w:val="0"/>
          <w:divBdr>
            <w:top w:val="single" w:sz="48" w:space="23" w:color="004A7F"/>
            <w:left w:val="none" w:sz="0" w:space="0" w:color="auto"/>
            <w:bottom w:val="single" w:sz="48" w:space="0" w:color="004A7F"/>
            <w:right w:val="none" w:sz="0" w:space="0" w:color="auto"/>
          </w:divBdr>
          <w:divsChild>
            <w:div w:id="168639030">
              <w:marLeft w:val="-225"/>
              <w:marRight w:val="-225"/>
              <w:marTop w:val="0"/>
              <w:marBottom w:val="0"/>
              <w:divBdr>
                <w:top w:val="none" w:sz="0" w:space="0" w:color="auto"/>
                <w:left w:val="none" w:sz="0" w:space="0" w:color="auto"/>
                <w:bottom w:val="none" w:sz="0" w:space="0" w:color="auto"/>
                <w:right w:val="none" w:sz="0" w:space="0" w:color="auto"/>
              </w:divBdr>
              <w:divsChild>
                <w:div w:id="326980671">
                  <w:marLeft w:val="0"/>
                  <w:marRight w:val="0"/>
                  <w:marTop w:val="0"/>
                  <w:marBottom w:val="0"/>
                  <w:divBdr>
                    <w:top w:val="none" w:sz="0" w:space="0" w:color="auto"/>
                    <w:left w:val="none" w:sz="0" w:space="0" w:color="auto"/>
                    <w:bottom w:val="none" w:sz="0" w:space="0" w:color="auto"/>
                    <w:right w:val="none" w:sz="0" w:space="0" w:color="auto"/>
                  </w:divBdr>
                  <w:divsChild>
                    <w:div w:id="562914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7755274">
      <w:bodyDiv w:val="1"/>
      <w:marLeft w:val="0"/>
      <w:marRight w:val="0"/>
      <w:marTop w:val="0"/>
      <w:marBottom w:val="0"/>
      <w:divBdr>
        <w:top w:val="none" w:sz="0" w:space="0" w:color="auto"/>
        <w:left w:val="none" w:sz="0" w:space="0" w:color="auto"/>
        <w:bottom w:val="none" w:sz="0" w:space="0" w:color="auto"/>
        <w:right w:val="none" w:sz="0" w:space="0" w:color="auto"/>
      </w:divBdr>
      <w:divsChild>
        <w:div w:id="763114595">
          <w:marLeft w:val="0"/>
          <w:marRight w:val="0"/>
          <w:marTop w:val="0"/>
          <w:marBottom w:val="0"/>
          <w:divBdr>
            <w:top w:val="none" w:sz="0" w:space="0" w:color="auto"/>
            <w:left w:val="none" w:sz="0" w:space="0" w:color="auto"/>
            <w:bottom w:val="none" w:sz="0" w:space="0" w:color="auto"/>
            <w:right w:val="none" w:sz="0" w:space="0" w:color="auto"/>
          </w:divBdr>
          <w:divsChild>
            <w:div w:id="1143933940">
              <w:marLeft w:val="-225"/>
              <w:marRight w:val="-225"/>
              <w:marTop w:val="0"/>
              <w:marBottom w:val="0"/>
              <w:divBdr>
                <w:top w:val="none" w:sz="0" w:space="0" w:color="auto"/>
                <w:left w:val="none" w:sz="0" w:space="0" w:color="auto"/>
                <w:bottom w:val="none" w:sz="0" w:space="0" w:color="auto"/>
                <w:right w:val="none" w:sz="0" w:space="0" w:color="auto"/>
              </w:divBdr>
              <w:divsChild>
                <w:div w:id="24719462">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 w:id="1690717265">
      <w:bodyDiv w:val="1"/>
      <w:marLeft w:val="0"/>
      <w:marRight w:val="0"/>
      <w:marTop w:val="0"/>
      <w:marBottom w:val="0"/>
      <w:divBdr>
        <w:top w:val="none" w:sz="0" w:space="0" w:color="auto"/>
        <w:left w:val="none" w:sz="0" w:space="0" w:color="auto"/>
        <w:bottom w:val="none" w:sz="0" w:space="0" w:color="auto"/>
        <w:right w:val="none" w:sz="0" w:space="0" w:color="auto"/>
      </w:divBdr>
    </w:div>
    <w:div w:id="1695231663">
      <w:bodyDiv w:val="1"/>
      <w:marLeft w:val="0"/>
      <w:marRight w:val="0"/>
      <w:marTop w:val="0"/>
      <w:marBottom w:val="0"/>
      <w:divBdr>
        <w:top w:val="none" w:sz="0" w:space="0" w:color="auto"/>
        <w:left w:val="none" w:sz="0" w:space="0" w:color="auto"/>
        <w:bottom w:val="none" w:sz="0" w:space="0" w:color="auto"/>
        <w:right w:val="none" w:sz="0" w:space="0" w:color="auto"/>
      </w:divBdr>
    </w:div>
    <w:div w:id="1732264510">
      <w:bodyDiv w:val="1"/>
      <w:marLeft w:val="0"/>
      <w:marRight w:val="0"/>
      <w:marTop w:val="0"/>
      <w:marBottom w:val="0"/>
      <w:divBdr>
        <w:top w:val="none" w:sz="0" w:space="0" w:color="auto"/>
        <w:left w:val="none" w:sz="0" w:space="0" w:color="auto"/>
        <w:bottom w:val="none" w:sz="0" w:space="0" w:color="auto"/>
        <w:right w:val="none" w:sz="0" w:space="0" w:color="auto"/>
      </w:divBdr>
    </w:div>
    <w:div w:id="1767460246">
      <w:bodyDiv w:val="1"/>
      <w:marLeft w:val="0"/>
      <w:marRight w:val="0"/>
      <w:marTop w:val="0"/>
      <w:marBottom w:val="0"/>
      <w:divBdr>
        <w:top w:val="none" w:sz="0" w:space="0" w:color="auto"/>
        <w:left w:val="none" w:sz="0" w:space="0" w:color="auto"/>
        <w:bottom w:val="none" w:sz="0" w:space="0" w:color="auto"/>
        <w:right w:val="none" w:sz="0" w:space="0" w:color="auto"/>
      </w:divBdr>
    </w:div>
    <w:div w:id="1831166768">
      <w:bodyDiv w:val="1"/>
      <w:marLeft w:val="0"/>
      <w:marRight w:val="0"/>
      <w:marTop w:val="0"/>
      <w:marBottom w:val="0"/>
      <w:divBdr>
        <w:top w:val="none" w:sz="0" w:space="0" w:color="auto"/>
        <w:left w:val="none" w:sz="0" w:space="0" w:color="auto"/>
        <w:bottom w:val="none" w:sz="0" w:space="0" w:color="auto"/>
        <w:right w:val="none" w:sz="0" w:space="0" w:color="auto"/>
      </w:divBdr>
    </w:div>
    <w:div w:id="1833401360">
      <w:bodyDiv w:val="1"/>
      <w:marLeft w:val="0"/>
      <w:marRight w:val="0"/>
      <w:marTop w:val="0"/>
      <w:marBottom w:val="0"/>
      <w:divBdr>
        <w:top w:val="none" w:sz="0" w:space="0" w:color="auto"/>
        <w:left w:val="none" w:sz="0" w:space="0" w:color="auto"/>
        <w:bottom w:val="none" w:sz="0" w:space="0" w:color="auto"/>
        <w:right w:val="none" w:sz="0" w:space="0" w:color="auto"/>
      </w:divBdr>
    </w:div>
    <w:div w:id="1865482330">
      <w:bodyDiv w:val="1"/>
      <w:marLeft w:val="30"/>
      <w:marRight w:val="30"/>
      <w:marTop w:val="0"/>
      <w:marBottom w:val="0"/>
      <w:divBdr>
        <w:top w:val="none" w:sz="0" w:space="0" w:color="auto"/>
        <w:left w:val="none" w:sz="0" w:space="0" w:color="auto"/>
        <w:bottom w:val="none" w:sz="0" w:space="0" w:color="auto"/>
        <w:right w:val="none" w:sz="0" w:space="0" w:color="auto"/>
      </w:divBdr>
      <w:divsChild>
        <w:div w:id="650404660">
          <w:marLeft w:val="0"/>
          <w:marRight w:val="0"/>
          <w:marTop w:val="0"/>
          <w:marBottom w:val="0"/>
          <w:divBdr>
            <w:top w:val="none" w:sz="0" w:space="0" w:color="auto"/>
            <w:left w:val="none" w:sz="0" w:space="0" w:color="auto"/>
            <w:bottom w:val="none" w:sz="0" w:space="0" w:color="auto"/>
            <w:right w:val="none" w:sz="0" w:space="0" w:color="auto"/>
          </w:divBdr>
          <w:divsChild>
            <w:div w:id="1802574807">
              <w:marLeft w:val="0"/>
              <w:marRight w:val="0"/>
              <w:marTop w:val="0"/>
              <w:marBottom w:val="0"/>
              <w:divBdr>
                <w:top w:val="none" w:sz="0" w:space="0" w:color="auto"/>
                <w:left w:val="none" w:sz="0" w:space="0" w:color="auto"/>
                <w:bottom w:val="none" w:sz="0" w:space="0" w:color="auto"/>
                <w:right w:val="none" w:sz="0" w:space="0" w:color="auto"/>
              </w:divBdr>
              <w:divsChild>
                <w:div w:id="250503951">
                  <w:marLeft w:val="180"/>
                  <w:marRight w:val="0"/>
                  <w:marTop w:val="0"/>
                  <w:marBottom w:val="0"/>
                  <w:divBdr>
                    <w:top w:val="none" w:sz="0" w:space="0" w:color="auto"/>
                    <w:left w:val="none" w:sz="0" w:space="0" w:color="auto"/>
                    <w:bottom w:val="none" w:sz="0" w:space="0" w:color="auto"/>
                    <w:right w:val="none" w:sz="0" w:space="0" w:color="auto"/>
                  </w:divBdr>
                  <w:divsChild>
                    <w:div w:id="52434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0410611">
      <w:bodyDiv w:val="1"/>
      <w:marLeft w:val="0"/>
      <w:marRight w:val="0"/>
      <w:marTop w:val="0"/>
      <w:marBottom w:val="0"/>
      <w:divBdr>
        <w:top w:val="none" w:sz="0" w:space="0" w:color="auto"/>
        <w:left w:val="none" w:sz="0" w:space="0" w:color="auto"/>
        <w:bottom w:val="none" w:sz="0" w:space="0" w:color="auto"/>
        <w:right w:val="none" w:sz="0" w:space="0" w:color="auto"/>
      </w:divBdr>
    </w:div>
    <w:div w:id="1913197358">
      <w:bodyDiv w:val="1"/>
      <w:marLeft w:val="0"/>
      <w:marRight w:val="0"/>
      <w:marTop w:val="0"/>
      <w:marBottom w:val="0"/>
      <w:divBdr>
        <w:top w:val="none" w:sz="0" w:space="0" w:color="auto"/>
        <w:left w:val="none" w:sz="0" w:space="0" w:color="auto"/>
        <w:bottom w:val="none" w:sz="0" w:space="0" w:color="auto"/>
        <w:right w:val="none" w:sz="0" w:space="0" w:color="auto"/>
      </w:divBdr>
    </w:div>
    <w:div w:id="1917015495">
      <w:bodyDiv w:val="1"/>
      <w:marLeft w:val="0"/>
      <w:marRight w:val="0"/>
      <w:marTop w:val="0"/>
      <w:marBottom w:val="0"/>
      <w:divBdr>
        <w:top w:val="none" w:sz="0" w:space="0" w:color="auto"/>
        <w:left w:val="none" w:sz="0" w:space="0" w:color="auto"/>
        <w:bottom w:val="none" w:sz="0" w:space="0" w:color="auto"/>
        <w:right w:val="none" w:sz="0" w:space="0" w:color="auto"/>
      </w:divBdr>
    </w:div>
    <w:div w:id="1926069915">
      <w:bodyDiv w:val="1"/>
      <w:marLeft w:val="0"/>
      <w:marRight w:val="0"/>
      <w:marTop w:val="0"/>
      <w:marBottom w:val="0"/>
      <w:divBdr>
        <w:top w:val="none" w:sz="0" w:space="0" w:color="auto"/>
        <w:left w:val="none" w:sz="0" w:space="0" w:color="auto"/>
        <w:bottom w:val="none" w:sz="0" w:space="0" w:color="auto"/>
        <w:right w:val="none" w:sz="0" w:space="0" w:color="auto"/>
      </w:divBdr>
    </w:div>
    <w:div w:id="2008753685">
      <w:bodyDiv w:val="1"/>
      <w:marLeft w:val="0"/>
      <w:marRight w:val="0"/>
      <w:marTop w:val="0"/>
      <w:marBottom w:val="0"/>
      <w:divBdr>
        <w:top w:val="none" w:sz="0" w:space="0" w:color="auto"/>
        <w:left w:val="none" w:sz="0" w:space="0" w:color="auto"/>
        <w:bottom w:val="none" w:sz="0" w:space="0" w:color="auto"/>
        <w:right w:val="none" w:sz="0" w:space="0" w:color="auto"/>
      </w:divBdr>
    </w:div>
    <w:div w:id="2083332200">
      <w:bodyDiv w:val="1"/>
      <w:marLeft w:val="0"/>
      <w:marRight w:val="0"/>
      <w:marTop w:val="0"/>
      <w:marBottom w:val="0"/>
      <w:divBdr>
        <w:top w:val="none" w:sz="0" w:space="0" w:color="auto"/>
        <w:left w:val="none" w:sz="0" w:space="0" w:color="auto"/>
        <w:bottom w:val="none" w:sz="0" w:space="0" w:color="auto"/>
        <w:right w:val="none" w:sz="0" w:space="0" w:color="auto"/>
      </w:divBdr>
    </w:div>
    <w:div w:id="20905359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footer" Target="footer3.xml"/><Relationship Id="rId21" Type="http://schemas.openxmlformats.org/officeDocument/2006/relationships/hyperlink" Target="http://creativecommons.org/licenses/by/3.0/au/deed.en" TargetMode="External"/><Relationship Id="rId42" Type="http://schemas.openxmlformats.org/officeDocument/2006/relationships/image" Target="media/image8.jpeg"/><Relationship Id="rId47" Type="http://schemas.openxmlformats.org/officeDocument/2006/relationships/footer" Target="footer8.xml"/><Relationship Id="rId63" Type="http://schemas.openxmlformats.org/officeDocument/2006/relationships/image" Target="media/image19.emf"/><Relationship Id="rId68" Type="http://schemas.openxmlformats.org/officeDocument/2006/relationships/oleObject" Target="http://tweb/sites/mg/fitpd/Lfirbannualrport/2016-17/Data%20Tables/Report%20tables/Table%204.4-Approvals%20by%20industry%20sector.xlsx!Final%20Table!R2C1:R13C16" TargetMode="External"/><Relationship Id="rId84" Type="http://schemas.openxmlformats.org/officeDocument/2006/relationships/image" Target="media/image29.emf"/><Relationship Id="rId89" Type="http://schemas.openxmlformats.org/officeDocument/2006/relationships/image" Target="media/image31.emf"/><Relationship Id="rId112"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footer" Target="footer1.xml"/><Relationship Id="rId29" Type="http://schemas.openxmlformats.org/officeDocument/2006/relationships/footer" Target="footer5.xml"/><Relationship Id="rId107" Type="http://schemas.openxmlformats.org/officeDocument/2006/relationships/header" Target="header21.xml"/><Relationship Id="rId11" Type="http://schemas.openxmlformats.org/officeDocument/2006/relationships/webSettings" Target="webSettings.xml"/><Relationship Id="rId24" Type="http://schemas.openxmlformats.org/officeDocument/2006/relationships/header" Target="header3.xml"/><Relationship Id="rId32" Type="http://schemas.openxmlformats.org/officeDocument/2006/relationships/image" Target="media/image2.tiff"/><Relationship Id="rId37" Type="http://schemas.openxmlformats.org/officeDocument/2006/relationships/image" Target="media/image4.jpeg"/><Relationship Id="rId40" Type="http://schemas.openxmlformats.org/officeDocument/2006/relationships/image" Target="media/image7.png"/><Relationship Id="rId45" Type="http://schemas.openxmlformats.org/officeDocument/2006/relationships/header" Target="header8.xml"/><Relationship Id="rId53" Type="http://schemas.openxmlformats.org/officeDocument/2006/relationships/image" Target="media/image14.jpg"/><Relationship Id="rId58" Type="http://schemas.openxmlformats.org/officeDocument/2006/relationships/image" Target="media/image16.jpg"/><Relationship Id="rId66" Type="http://schemas.openxmlformats.org/officeDocument/2006/relationships/chart" Target="charts/chart3.xml"/><Relationship Id="rId74" Type="http://schemas.openxmlformats.org/officeDocument/2006/relationships/oleObject" Target="http://tweb/sites/mg/fitpd/Lfirbannualrport/2016-17/Data%20Tables/Report%20tables/Table%204.7-Services.xlsx!Final%20Table!R3C1:R13C16" TargetMode="External"/><Relationship Id="rId79" Type="http://schemas.openxmlformats.org/officeDocument/2006/relationships/oleObject" Target="http://tweb/sites/mg/fitpd/Lfirbannualrport/2016-17/Data%20Tables/Report%20tables/Tables%204.9%20and%204.11-State%20and%20Territory%20investment%20in%20CRE%20and%20RRE.xlsx!Final%20Table%20-%20CRE!R3C1:R15C7" TargetMode="External"/><Relationship Id="rId87" Type="http://schemas.openxmlformats.org/officeDocument/2006/relationships/oleObject" Target="http://tweb/sites/mg/fitpd/Lfirbannualrport/2016-17/Data%20Tables/Report%20tables/Table%204.12-State%20and%20Territory%20RRE%20by%20type%20(excl.%20ECs).xlsx!Final%20Table!R3C1:R14C16" TargetMode="External"/><Relationship Id="rId102" Type="http://schemas.openxmlformats.org/officeDocument/2006/relationships/image" Target="media/image33.jpg"/><Relationship Id="rId110" Type="http://schemas.openxmlformats.org/officeDocument/2006/relationships/header" Target="header23.xml"/><Relationship Id="rId5" Type="http://schemas.openxmlformats.org/officeDocument/2006/relationships/customXml" Target="../customXml/item5.xml"/><Relationship Id="rId61" Type="http://schemas.openxmlformats.org/officeDocument/2006/relationships/image" Target="media/image18.emf"/><Relationship Id="rId82" Type="http://schemas.openxmlformats.org/officeDocument/2006/relationships/image" Target="media/image28.emf"/><Relationship Id="rId90" Type="http://schemas.openxmlformats.org/officeDocument/2006/relationships/oleObject" Target="file:///\\romulus\csg_h$\MCD\Publishing\Graphic%20Design%20Services%20Team\Projects\2018\FIRB%20Annual%20Report%202016-17\links\Table%204.13-Approvals%20by%20country%20by%20industry.xlsx!FINAL!R2C2:R27C11" TargetMode="External"/><Relationship Id="rId95" Type="http://schemas.openxmlformats.org/officeDocument/2006/relationships/footer" Target="footer10.xml"/><Relationship Id="rId19" Type="http://schemas.openxmlformats.org/officeDocument/2006/relationships/hyperlink" Target="http://creativecommons.org/licenses/by/3.0/au/legalcode" TargetMode="External"/><Relationship Id="rId14" Type="http://schemas.openxmlformats.org/officeDocument/2006/relationships/header" Target="header1.xml"/><Relationship Id="rId22" Type="http://schemas.openxmlformats.org/officeDocument/2006/relationships/hyperlink" Target="http://www.itsanhonour.gov.au" TargetMode="External"/><Relationship Id="rId27" Type="http://schemas.openxmlformats.org/officeDocument/2006/relationships/footer" Target="footer4.xml"/><Relationship Id="rId30" Type="http://schemas.openxmlformats.org/officeDocument/2006/relationships/hyperlink" Target="http://tweb/sites/mg/fitpd/FIRB/Annual%20Report%20(written%20only)/2015-16/Draft/www.firb.gov.au" TargetMode="External"/><Relationship Id="rId35" Type="http://schemas.openxmlformats.org/officeDocument/2006/relationships/header" Target="header7.xml"/><Relationship Id="rId43" Type="http://schemas.openxmlformats.org/officeDocument/2006/relationships/image" Target="media/image9.jpg"/><Relationship Id="rId48" Type="http://schemas.openxmlformats.org/officeDocument/2006/relationships/image" Target="media/image11.jpg"/><Relationship Id="rId56" Type="http://schemas.openxmlformats.org/officeDocument/2006/relationships/image" Target="media/image15.jpeg"/><Relationship Id="rId64" Type="http://schemas.openxmlformats.org/officeDocument/2006/relationships/oleObject" Target="http://tweb/sites/mg/fitpd/Lfirbannualrport/2016-17/Data%20Tables/Report%20tables/Table%204.3-Approvals%20by%20value.xlsx!Final%20Table!R2C1:R11C16" TargetMode="External"/><Relationship Id="rId69" Type="http://schemas.openxmlformats.org/officeDocument/2006/relationships/image" Target="media/image22.emf"/><Relationship Id="rId77" Type="http://schemas.openxmlformats.org/officeDocument/2006/relationships/oleObject" Target="http://tweb/sites/mg/fitpd/Lfirbannualrport/2016-17/Data%20Tables/Report%20tables/Table%204.8-CRE%20by%20type%20and%20number.xlsx!Final%20Table!R3C1:R14C15" TargetMode="External"/><Relationship Id="rId100" Type="http://schemas.openxmlformats.org/officeDocument/2006/relationships/header" Target="header19.xml"/><Relationship Id="rId105" Type="http://schemas.openxmlformats.org/officeDocument/2006/relationships/image" Target="media/image35.jpg"/><Relationship Id="rId8" Type="http://schemas.openxmlformats.org/officeDocument/2006/relationships/styles" Target="styles.xml"/><Relationship Id="rId51" Type="http://schemas.openxmlformats.org/officeDocument/2006/relationships/header" Target="header10.xml"/><Relationship Id="rId72" Type="http://schemas.openxmlformats.org/officeDocument/2006/relationships/oleObject" Target="http://tweb/sites/mg/fitpd/Lfirbannualrport/2016-17/Data%20Tables/Report%20tables/Table%204.6-Mineral%20exploration%20and%20development.xlsx!Final%20Table!R3C1:R16C16" TargetMode="External"/><Relationship Id="rId80" Type="http://schemas.openxmlformats.org/officeDocument/2006/relationships/chart" Target="charts/chart4.xml"/><Relationship Id="rId85" Type="http://schemas.openxmlformats.org/officeDocument/2006/relationships/oleObject" Target="http://tweb/sites/mg/fitpd/Lfirbannualrport/2016-17/Data%20Tables/Report%20tables/Tables%204.9%20and%204.11-State%20and%20Territory%20investment%20in%20CRE%20and%20RRE.xlsx!Final%20Table%20-%20RRE!R3C1:R15C7" TargetMode="External"/><Relationship Id="rId93" Type="http://schemas.openxmlformats.org/officeDocument/2006/relationships/header" Target="header15.xml"/><Relationship Id="rId98" Type="http://schemas.openxmlformats.org/officeDocument/2006/relationships/header" Target="header17.xml"/><Relationship Id="rId3" Type="http://schemas.openxmlformats.org/officeDocument/2006/relationships/customXml" Target="../customXml/item3.xml"/><Relationship Id="rId12" Type="http://schemas.openxmlformats.org/officeDocument/2006/relationships/footnotes" Target="footnotes.xml"/><Relationship Id="rId17" Type="http://schemas.openxmlformats.org/officeDocument/2006/relationships/footer" Target="footer2.xml"/><Relationship Id="rId25" Type="http://schemas.openxmlformats.org/officeDocument/2006/relationships/header" Target="header4.xml"/><Relationship Id="rId33" Type="http://schemas.openxmlformats.org/officeDocument/2006/relationships/header" Target="header6.xml"/><Relationship Id="rId38" Type="http://schemas.openxmlformats.org/officeDocument/2006/relationships/image" Target="media/image5.jpeg"/><Relationship Id="rId46" Type="http://schemas.openxmlformats.org/officeDocument/2006/relationships/header" Target="header9.xml"/><Relationship Id="rId59" Type="http://schemas.openxmlformats.org/officeDocument/2006/relationships/image" Target="media/image17.emf"/><Relationship Id="rId67" Type="http://schemas.openxmlformats.org/officeDocument/2006/relationships/image" Target="media/image21.emf"/><Relationship Id="rId103" Type="http://schemas.openxmlformats.org/officeDocument/2006/relationships/image" Target="media/image34.jpg"/><Relationship Id="rId108" Type="http://schemas.openxmlformats.org/officeDocument/2006/relationships/image" Target="media/image37.jpg"/><Relationship Id="rId20" Type="http://schemas.openxmlformats.org/officeDocument/2006/relationships/image" Target="media/image1.png"/><Relationship Id="rId41" Type="http://schemas.openxmlformats.org/officeDocument/2006/relationships/image" Target="http://firb.gov.au/files/2015/09/David_Peever.png" TargetMode="External"/><Relationship Id="rId54" Type="http://schemas.openxmlformats.org/officeDocument/2006/relationships/chart" Target="charts/chart1.xml"/><Relationship Id="rId62" Type="http://schemas.openxmlformats.org/officeDocument/2006/relationships/oleObject" Target="http://tweb/sites/mg/fitpd/Lfirbannualrport/2016-17/Data%20Tables/Report%20tables/Table%204.2-Applications%20decided.xlsx!Final%20Table!R3C1:R9C6" TargetMode="External"/><Relationship Id="rId70" Type="http://schemas.openxmlformats.org/officeDocument/2006/relationships/oleObject" Target="http://tweb/sites/mg/fitpd/Lfirbannualrport/2016-17/Data%20Tables/Report%20tables/Table%204.5-Manufacturing%20sector%20approvals.xlsx!Final%20Table!R2C1:R9C16" TargetMode="External"/><Relationship Id="rId75" Type="http://schemas.openxmlformats.org/officeDocument/2006/relationships/image" Target="media/image25.jpeg"/><Relationship Id="rId83" Type="http://schemas.openxmlformats.org/officeDocument/2006/relationships/oleObject" Target="http://tweb/sites/mg/fitpd/Lfirbannualrport/2016-17/Data%20Tables/Report%20tables/Table%204.10-RRE%20by%20type%20and%20number.xlsx!Final%20Table!R3C1:R25C15" TargetMode="External"/><Relationship Id="rId88" Type="http://schemas.openxmlformats.org/officeDocument/2006/relationships/header" Target="header13.xml"/><Relationship Id="rId91" Type="http://schemas.openxmlformats.org/officeDocument/2006/relationships/header" Target="header14.xml"/><Relationship Id="rId96" Type="http://schemas.openxmlformats.org/officeDocument/2006/relationships/image" Target="media/image32.jpg"/><Relationship Id="rId11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header" Target="header2.xml"/><Relationship Id="rId23" Type="http://schemas.openxmlformats.org/officeDocument/2006/relationships/hyperlink" Target="mailto:medialiaison@treasury.gov.au" TargetMode="External"/><Relationship Id="rId28" Type="http://schemas.openxmlformats.org/officeDocument/2006/relationships/header" Target="header5.xml"/><Relationship Id="rId36" Type="http://schemas.openxmlformats.org/officeDocument/2006/relationships/image" Target="media/image3.jpg"/><Relationship Id="rId49" Type="http://schemas.openxmlformats.org/officeDocument/2006/relationships/image" Target="media/image12.jpeg"/><Relationship Id="rId57" Type="http://schemas.openxmlformats.org/officeDocument/2006/relationships/header" Target="header12.xml"/><Relationship Id="rId106" Type="http://schemas.openxmlformats.org/officeDocument/2006/relationships/image" Target="media/image36.jpg"/><Relationship Id="rId10" Type="http://schemas.openxmlformats.org/officeDocument/2006/relationships/settings" Target="settings.xml"/><Relationship Id="rId31" Type="http://schemas.openxmlformats.org/officeDocument/2006/relationships/footer" Target="footer6.xml"/><Relationship Id="rId44" Type="http://schemas.openxmlformats.org/officeDocument/2006/relationships/image" Target="media/image10.jpeg"/><Relationship Id="rId52" Type="http://schemas.openxmlformats.org/officeDocument/2006/relationships/header" Target="header11.xml"/><Relationship Id="rId60" Type="http://schemas.openxmlformats.org/officeDocument/2006/relationships/oleObject" Target="http://tweb/sites/mg/fitpd/Lfirbannualrport/2016-17/Data%20Tables/Report%20tables/Table%204.1-Applications%20considered%20.xlsx!Final%20Table!R2C1:R14C6" TargetMode="External"/><Relationship Id="rId65" Type="http://schemas.openxmlformats.org/officeDocument/2006/relationships/image" Target="media/image20.jpg"/><Relationship Id="rId73" Type="http://schemas.openxmlformats.org/officeDocument/2006/relationships/image" Target="media/image24.emf"/><Relationship Id="rId78" Type="http://schemas.openxmlformats.org/officeDocument/2006/relationships/image" Target="media/image27.emf"/><Relationship Id="rId81" Type="http://schemas.openxmlformats.org/officeDocument/2006/relationships/chart" Target="charts/chart5.xml"/><Relationship Id="rId86" Type="http://schemas.openxmlformats.org/officeDocument/2006/relationships/image" Target="media/image30.emf"/><Relationship Id="rId94" Type="http://schemas.openxmlformats.org/officeDocument/2006/relationships/header" Target="header16.xml"/><Relationship Id="rId99" Type="http://schemas.openxmlformats.org/officeDocument/2006/relationships/header" Target="header18.xml"/><Relationship Id="rId101" Type="http://schemas.openxmlformats.org/officeDocument/2006/relationships/footer" Target="footer11.xml"/><Relationship Id="rId4" Type="http://schemas.openxmlformats.org/officeDocument/2006/relationships/customXml" Target="../customXml/item4.xml"/><Relationship Id="rId9" Type="http://schemas.microsoft.com/office/2007/relationships/stylesWithEffects" Target="stylesWithEffects.xml"/><Relationship Id="rId13" Type="http://schemas.openxmlformats.org/officeDocument/2006/relationships/endnotes" Target="endnotes.xml"/><Relationship Id="rId18" Type="http://schemas.openxmlformats.org/officeDocument/2006/relationships/hyperlink" Target="http://creativecommons.org/licenses/by/3.0/au/deed.en" TargetMode="External"/><Relationship Id="rId39" Type="http://schemas.openxmlformats.org/officeDocument/2006/relationships/image" Target="media/image6.jpeg"/><Relationship Id="rId109" Type="http://schemas.openxmlformats.org/officeDocument/2006/relationships/header" Target="header22.xml"/><Relationship Id="rId34" Type="http://schemas.openxmlformats.org/officeDocument/2006/relationships/footer" Target="footer7.xml"/><Relationship Id="rId50" Type="http://schemas.openxmlformats.org/officeDocument/2006/relationships/image" Target="media/image13.png"/><Relationship Id="rId55" Type="http://schemas.openxmlformats.org/officeDocument/2006/relationships/chart" Target="charts/chart2.xml"/><Relationship Id="rId76" Type="http://schemas.openxmlformats.org/officeDocument/2006/relationships/image" Target="media/image26.emf"/><Relationship Id="rId97" Type="http://schemas.openxmlformats.org/officeDocument/2006/relationships/chart" Target="charts/chart6.xml"/><Relationship Id="rId104" Type="http://schemas.openxmlformats.org/officeDocument/2006/relationships/header" Target="header20.xml"/><Relationship Id="rId7" Type="http://schemas.openxmlformats.org/officeDocument/2006/relationships/numbering" Target="numbering.xml"/><Relationship Id="rId71" Type="http://schemas.openxmlformats.org/officeDocument/2006/relationships/image" Target="media/image23.emf"/><Relationship Id="rId92" Type="http://schemas.openxmlformats.org/officeDocument/2006/relationships/footer" Target="footer9.xml"/></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Data\Treasury\Workgroup%20Templates\F%20I%20R%20B\FIRB%20Annual%20Report.dotm" TargetMode="External"/></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http://tweb/sites/mg/fitpd/Lfirbannualrport/2016-17/Draft%20sections/UNCTAD_FDI%20stock%20by%20region%20and%20economy_WIR17%20-%20Checks%20JX.xlsx" TargetMode="Externa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3.xml.rels><?xml version="1.0" encoding="UTF-8" standalone="yes"?>
<Relationships xmlns="http://schemas.openxmlformats.org/package/2006/relationships"><Relationship Id="rId1" Type="http://schemas.openxmlformats.org/officeDocument/2006/relationships/oleObject" Target="http://tweb/sites/mg/fitpd/Lfirbannualrport/2016-17/Data%20Tables/Report%20tables/Table%204.4-Approvals%20by%20industry%20sector_v2.xlsx" TargetMode="External"/></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5.xml.rels><?xml version="1.0" encoding="UTF-8" standalone="yes"?>
<Relationships xmlns="http://schemas.openxmlformats.org/package/2006/relationships"><Relationship Id="rId1" Type="http://schemas.openxmlformats.org/officeDocument/2006/relationships/oleObject" Target="http://tweb/sites/mg/fitpd/Lfirbannualrport/2016-17/Draft%20sections/Real%20Estate%20-%20time%20series_2006-16.xlsx" TargetMode="External"/></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xMode val="edge"/>
          <c:yMode val="edge"/>
          <c:x val="1.5931899641577062E-2"/>
          <c:y val="3.9687500000000001E-2"/>
          <c:w val="0.98406810035842296"/>
          <c:h val="0.88015624999999997"/>
        </c:manualLayout>
      </c:layout>
      <c:lineChart>
        <c:grouping val="standard"/>
        <c:varyColors val="0"/>
        <c:ser>
          <c:idx val="0"/>
          <c:order val="0"/>
          <c:tx>
            <c:strRef>
              <c:f>CHART!$A$22</c:f>
              <c:strCache>
                <c:ptCount val="1"/>
                <c:pt idx="0">
                  <c:v>Developed economies</c:v>
                </c:pt>
              </c:strCache>
            </c:strRef>
          </c:tx>
          <c:spPr>
            <a:ln>
              <a:solidFill>
                <a:srgbClr val="673472"/>
              </a:solidFill>
            </a:ln>
          </c:spPr>
          <c:marker>
            <c:symbol val="none"/>
          </c:marker>
          <c:cat>
            <c:strRef>
              <c:f>CHART!$B$21:$AB$21</c:f>
              <c:strCache>
                <c:ptCount val="27"/>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strCache>
            </c:strRef>
          </c:cat>
          <c:val>
            <c:numRef>
              <c:f>CHART!$B$22:$AB$22</c:f>
              <c:numCache>
                <c:formatCode>0.00</c:formatCode>
                <c:ptCount val="27"/>
                <c:pt idx="0">
                  <c:v>76.809617843413335</c:v>
                </c:pt>
                <c:pt idx="1">
                  <c:v>77.847048659672069</c:v>
                </c:pt>
                <c:pt idx="2">
                  <c:v>75.741438989225713</c:v>
                </c:pt>
                <c:pt idx="3">
                  <c:v>74.668824315806248</c:v>
                </c:pt>
                <c:pt idx="4">
                  <c:v>74.239598037803987</c:v>
                </c:pt>
                <c:pt idx="5">
                  <c:v>76.037952751810735</c:v>
                </c:pt>
                <c:pt idx="6">
                  <c:v>75.855163584633161</c:v>
                </c:pt>
                <c:pt idx="7">
                  <c:v>76.356843902174987</c:v>
                </c:pt>
                <c:pt idx="8">
                  <c:v>79.246583182199103</c:v>
                </c:pt>
                <c:pt idx="9">
                  <c:v>77.716109936759537</c:v>
                </c:pt>
                <c:pt idx="10">
                  <c:v>77.007497076142045</c:v>
                </c:pt>
                <c:pt idx="11">
                  <c:v>75.575668789951692</c:v>
                </c:pt>
                <c:pt idx="12">
                  <c:v>76.274400381886025</c:v>
                </c:pt>
                <c:pt idx="13">
                  <c:v>77.754247970164798</c:v>
                </c:pt>
                <c:pt idx="14">
                  <c:v>77.49326244102501</c:v>
                </c:pt>
                <c:pt idx="15">
                  <c:v>74.335650638279631</c:v>
                </c:pt>
                <c:pt idx="16">
                  <c:v>73.937938574119372</c:v>
                </c:pt>
                <c:pt idx="17">
                  <c:v>72.013777389562435</c:v>
                </c:pt>
                <c:pt idx="18">
                  <c:v>71.069842410004583</c:v>
                </c:pt>
                <c:pt idx="19">
                  <c:v>69.927930323787393</c:v>
                </c:pt>
                <c:pt idx="20">
                  <c:v>66.405601548713022</c:v>
                </c:pt>
                <c:pt idx="21">
                  <c:v>66.099167217718929</c:v>
                </c:pt>
                <c:pt idx="22">
                  <c:v>64.672239536641797</c:v>
                </c:pt>
                <c:pt idx="23">
                  <c:v>65.121063578640985</c:v>
                </c:pt>
                <c:pt idx="24">
                  <c:v>64.303587744526197</c:v>
                </c:pt>
                <c:pt idx="25">
                  <c:v>63.593823907414958</c:v>
                </c:pt>
                <c:pt idx="26">
                  <c:v>63.293516606867058</c:v>
                </c:pt>
              </c:numCache>
            </c:numRef>
          </c:val>
          <c:smooth val="0"/>
        </c:ser>
        <c:dLbls>
          <c:showLegendKey val="0"/>
          <c:showVal val="0"/>
          <c:showCatName val="0"/>
          <c:showSerName val="0"/>
          <c:showPercent val="0"/>
          <c:showBubbleSize val="0"/>
        </c:dLbls>
        <c:marker val="1"/>
        <c:smooth val="0"/>
        <c:axId val="112739456"/>
        <c:axId val="112740992"/>
      </c:lineChart>
      <c:lineChart>
        <c:grouping val="standard"/>
        <c:varyColors val="0"/>
        <c:ser>
          <c:idx val="1"/>
          <c:order val="1"/>
          <c:tx>
            <c:strRef>
              <c:f>CHART!$A$23</c:f>
              <c:strCache>
                <c:ptCount val="1"/>
                <c:pt idx="0">
                  <c:v>Developing economies</c:v>
                </c:pt>
              </c:strCache>
            </c:strRef>
          </c:tx>
          <c:spPr>
            <a:ln>
              <a:solidFill>
                <a:srgbClr val="008689"/>
              </a:solidFill>
            </a:ln>
          </c:spPr>
          <c:marker>
            <c:symbol val="none"/>
          </c:marker>
          <c:cat>
            <c:strRef>
              <c:f>CHART!$B$21:$AB$21</c:f>
              <c:strCache>
                <c:ptCount val="27"/>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strCache>
            </c:strRef>
          </c:cat>
          <c:val>
            <c:numRef>
              <c:f>CHART!$B$23:$AB$23</c:f>
              <c:numCache>
                <c:formatCode>0.00</c:formatCode>
                <c:ptCount val="27"/>
                <c:pt idx="0">
                  <c:v>23.190382156586661</c:v>
                </c:pt>
                <c:pt idx="1">
                  <c:v>22.152951340327981</c:v>
                </c:pt>
                <c:pt idx="2">
                  <c:v>24.258561010774187</c:v>
                </c:pt>
                <c:pt idx="3">
                  <c:v>25.331175684193731</c:v>
                </c:pt>
                <c:pt idx="4">
                  <c:v>25.760401962195928</c:v>
                </c:pt>
                <c:pt idx="5">
                  <c:v>23.962047248189258</c:v>
                </c:pt>
                <c:pt idx="6">
                  <c:v>24.144836415366839</c:v>
                </c:pt>
                <c:pt idx="7">
                  <c:v>23.643156097825006</c:v>
                </c:pt>
                <c:pt idx="8">
                  <c:v>20.753416817800964</c:v>
                </c:pt>
                <c:pt idx="9">
                  <c:v>22.283890063240559</c:v>
                </c:pt>
                <c:pt idx="10">
                  <c:v>22.992502923857963</c:v>
                </c:pt>
                <c:pt idx="11">
                  <c:v>24.424331210048308</c:v>
                </c:pt>
                <c:pt idx="12">
                  <c:v>23.725599618113932</c:v>
                </c:pt>
                <c:pt idx="13">
                  <c:v>22.245752029835202</c:v>
                </c:pt>
                <c:pt idx="14">
                  <c:v>22.50673755897494</c:v>
                </c:pt>
                <c:pt idx="15">
                  <c:v>25.664349361720333</c:v>
                </c:pt>
                <c:pt idx="16">
                  <c:v>26.062061425880657</c:v>
                </c:pt>
                <c:pt idx="17">
                  <c:v>27.986222610437629</c:v>
                </c:pt>
                <c:pt idx="18">
                  <c:v>28.930157589995414</c:v>
                </c:pt>
                <c:pt idx="19">
                  <c:v>30.072069676212603</c:v>
                </c:pt>
                <c:pt idx="20">
                  <c:v>33.59439845128707</c:v>
                </c:pt>
                <c:pt idx="21">
                  <c:v>33.900832782281107</c:v>
                </c:pt>
                <c:pt idx="22">
                  <c:v>35.327760463358153</c:v>
                </c:pt>
                <c:pt idx="23">
                  <c:v>34.878936421359008</c:v>
                </c:pt>
                <c:pt idx="24">
                  <c:v>35.696412255473739</c:v>
                </c:pt>
                <c:pt idx="25">
                  <c:v>36.406176092585021</c:v>
                </c:pt>
                <c:pt idx="26">
                  <c:v>36.706483393132885</c:v>
                </c:pt>
              </c:numCache>
            </c:numRef>
          </c:val>
          <c:smooth val="0"/>
        </c:ser>
        <c:ser>
          <c:idx val="2"/>
          <c:order val="2"/>
          <c:tx>
            <c:strRef>
              <c:f>CHART!$A$24</c:f>
              <c:strCache>
                <c:ptCount val="1"/>
                <c:pt idx="0">
                  <c:v>Australia</c:v>
                </c:pt>
              </c:strCache>
            </c:strRef>
          </c:tx>
          <c:spPr>
            <a:ln>
              <a:solidFill>
                <a:srgbClr val="E2936A"/>
              </a:solidFill>
            </a:ln>
          </c:spPr>
          <c:marker>
            <c:symbol val="none"/>
          </c:marker>
          <c:cat>
            <c:strRef>
              <c:f>CHART!$B$21:$AB$21</c:f>
              <c:strCache>
                <c:ptCount val="27"/>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strCache>
            </c:strRef>
          </c:cat>
          <c:val>
            <c:numRef>
              <c:f>CHART!$B$24:$AB$24</c:f>
              <c:numCache>
                <c:formatCode>0.00</c:formatCode>
                <c:ptCount val="27"/>
                <c:pt idx="0">
                  <c:v>3.6578891958339166</c:v>
                </c:pt>
                <c:pt idx="1">
                  <c:v>3.2985492589225749</c:v>
                </c:pt>
                <c:pt idx="2">
                  <c:v>3.1936157601664954</c:v>
                </c:pt>
                <c:pt idx="3">
                  <c:v>3.2464055140519199</c:v>
                </c:pt>
                <c:pt idx="4">
                  <c:v>3.4184592985075835</c:v>
                </c:pt>
                <c:pt idx="5">
                  <c:v>3.1220262644786594</c:v>
                </c:pt>
                <c:pt idx="6">
                  <c:v>2.9673642921139285</c:v>
                </c:pt>
                <c:pt idx="7">
                  <c:v>2.2542241663237554</c:v>
                </c:pt>
                <c:pt idx="8">
                  <c:v>1.9107995475998916</c:v>
                </c:pt>
                <c:pt idx="9">
                  <c:v>1.7934618944316909</c:v>
                </c:pt>
                <c:pt idx="10">
                  <c:v>1.6247238756652016</c:v>
                </c:pt>
                <c:pt idx="11">
                  <c:v>1.6569257247857065</c:v>
                </c:pt>
                <c:pt idx="12">
                  <c:v>2.0444028737853559</c:v>
                </c:pt>
                <c:pt idx="13">
                  <c:v>2.3061526955125333</c:v>
                </c:pt>
                <c:pt idx="14">
                  <c:v>2.6427633649714317</c:v>
                </c:pt>
                <c:pt idx="15">
                  <c:v>2.1654535671450095</c:v>
                </c:pt>
                <c:pt idx="16">
                  <c:v>2.1438588552364473</c:v>
                </c:pt>
                <c:pt idx="17">
                  <c:v>2.1818560046307041</c:v>
                </c:pt>
                <c:pt idx="18">
                  <c:v>1.9987578643568098</c:v>
                </c:pt>
                <c:pt idx="19">
                  <c:v>2.4032413984434018</c:v>
                </c:pt>
                <c:pt idx="20">
                  <c:v>2.6034420158562148</c:v>
                </c:pt>
                <c:pt idx="21">
                  <c:v>2.6483105818266965</c:v>
                </c:pt>
                <c:pt idx="22">
                  <c:v>2.6977569143007312</c:v>
                </c:pt>
                <c:pt idx="23">
                  <c:v>2.3120799015518898</c:v>
                </c:pt>
                <c:pt idx="24">
                  <c:v>2.2379375220876248</c:v>
                </c:pt>
                <c:pt idx="25">
                  <c:v>2.1274476307339789</c:v>
                </c:pt>
                <c:pt idx="26">
                  <c:v>2.1551595441368621</c:v>
                </c:pt>
              </c:numCache>
            </c:numRef>
          </c:val>
          <c:smooth val="0"/>
        </c:ser>
        <c:ser>
          <c:idx val="3"/>
          <c:order val="3"/>
          <c:tx>
            <c:v>DUMMY</c:v>
          </c:tx>
          <c:spPr>
            <a:ln w="25400">
              <a:noFill/>
            </a:ln>
            <a:effectLst/>
          </c:spPr>
          <c:marker>
            <c:symbol val="none"/>
          </c:marker>
          <c:smooth val="0"/>
        </c:ser>
        <c:dLbls>
          <c:showLegendKey val="0"/>
          <c:showVal val="0"/>
          <c:showCatName val="0"/>
          <c:showSerName val="0"/>
          <c:showPercent val="0"/>
          <c:showBubbleSize val="0"/>
        </c:dLbls>
        <c:marker val="1"/>
        <c:smooth val="0"/>
        <c:axId val="112761472"/>
        <c:axId val="112759552"/>
      </c:lineChart>
      <c:catAx>
        <c:axId val="112739456"/>
        <c:scaling>
          <c:orientation val="minMax"/>
        </c:scaling>
        <c:delete val="0"/>
        <c:axPos val="b"/>
        <c:majorTickMark val="in"/>
        <c:minorTickMark val="none"/>
        <c:tickLblPos val="low"/>
        <c:spPr>
          <a:ln w="12700">
            <a:solidFill>
              <a:srgbClr val="808080"/>
            </a:solidFill>
            <a:prstDash val="solid"/>
          </a:ln>
        </c:spPr>
        <c:txPr>
          <a:bodyPr/>
          <a:lstStyle/>
          <a:p>
            <a:pPr>
              <a:defRPr sz="800" b="0" i="0">
                <a:solidFill>
                  <a:srgbClr val="000000"/>
                </a:solidFill>
                <a:latin typeface="Arial"/>
                <a:ea typeface="Arial"/>
                <a:cs typeface="Arial"/>
              </a:defRPr>
            </a:pPr>
            <a:endParaRPr lang="en-US"/>
          </a:p>
        </c:txPr>
        <c:crossAx val="112740992"/>
        <c:crosses val="autoZero"/>
        <c:auto val="1"/>
        <c:lblAlgn val="ctr"/>
        <c:lblOffset val="100"/>
        <c:tickLblSkip val="2"/>
        <c:tickMarkSkip val="2"/>
        <c:noMultiLvlLbl val="0"/>
      </c:catAx>
      <c:valAx>
        <c:axId val="112740992"/>
        <c:scaling>
          <c:orientation val="minMax"/>
          <c:max val="80"/>
        </c:scaling>
        <c:delete val="0"/>
        <c:axPos val="l"/>
        <c:title>
          <c:tx>
            <c:rich>
              <a:bodyPr rot="0" vert="horz"/>
              <a:lstStyle/>
              <a:p>
                <a:pPr>
                  <a:defRPr sz="800" b="0" i="0">
                    <a:solidFill>
                      <a:srgbClr val="000000"/>
                    </a:solidFill>
                    <a:latin typeface="Arial"/>
                    <a:ea typeface="Arial"/>
                    <a:cs typeface="Arial"/>
                  </a:defRPr>
                </a:pPr>
                <a:r>
                  <a:rPr lang="en-US" sz="700"/>
                  <a:t>Per cent of World FDI</a:t>
                </a:r>
              </a:p>
            </c:rich>
          </c:tx>
          <c:layout>
            <c:manualLayout>
              <c:xMode val="edge"/>
              <c:yMode val="edge"/>
              <c:x val="6.3086356140529945E-2"/>
              <c:y val="0"/>
            </c:manualLayout>
          </c:layout>
          <c:overlay val="0"/>
        </c:title>
        <c:numFmt formatCode="0" sourceLinked="0"/>
        <c:majorTickMark val="none"/>
        <c:minorTickMark val="none"/>
        <c:tickLblPos val="nextTo"/>
        <c:spPr>
          <a:ln w="12700">
            <a:solidFill>
              <a:srgbClr val="808080"/>
            </a:solidFill>
            <a:prstDash val="solid"/>
          </a:ln>
        </c:spPr>
        <c:txPr>
          <a:bodyPr/>
          <a:lstStyle/>
          <a:p>
            <a:pPr>
              <a:defRPr sz="800" b="0" i="0">
                <a:solidFill>
                  <a:srgbClr val="000000"/>
                </a:solidFill>
                <a:latin typeface="Arial"/>
                <a:ea typeface="Arial"/>
                <a:cs typeface="Arial"/>
              </a:defRPr>
            </a:pPr>
            <a:endParaRPr lang="en-US"/>
          </a:p>
        </c:txPr>
        <c:crossAx val="112739456"/>
        <c:crosses val="autoZero"/>
        <c:crossBetween val="between"/>
      </c:valAx>
      <c:valAx>
        <c:axId val="112759552"/>
        <c:scaling>
          <c:orientation val="minMax"/>
          <c:max val="80"/>
          <c:min val="0"/>
        </c:scaling>
        <c:delete val="0"/>
        <c:axPos val="r"/>
        <c:title>
          <c:tx>
            <c:rich>
              <a:bodyPr rot="0" vert="horz"/>
              <a:lstStyle/>
              <a:p>
                <a:pPr>
                  <a:defRPr sz="800" b="0" i="0">
                    <a:solidFill>
                      <a:srgbClr val="000000"/>
                    </a:solidFill>
                    <a:latin typeface="Arial"/>
                    <a:ea typeface="Arial"/>
                    <a:cs typeface="Arial"/>
                  </a:defRPr>
                </a:pPr>
                <a:r>
                  <a:rPr lang="en-US" sz="700"/>
                  <a:t>Per cent of World FDI</a:t>
                </a:r>
              </a:p>
            </c:rich>
          </c:tx>
          <c:layout>
            <c:manualLayout>
              <c:xMode val="edge"/>
              <c:yMode val="edge"/>
              <c:x val="0.75599898669296672"/>
              <c:y val="0"/>
            </c:manualLayout>
          </c:layout>
          <c:overlay val="0"/>
        </c:title>
        <c:numFmt formatCode="0" sourceLinked="0"/>
        <c:majorTickMark val="none"/>
        <c:minorTickMark val="none"/>
        <c:tickLblPos val="nextTo"/>
        <c:spPr>
          <a:ln w="12700">
            <a:solidFill>
              <a:srgbClr val="808080"/>
            </a:solidFill>
            <a:prstDash val="solid"/>
          </a:ln>
        </c:spPr>
        <c:txPr>
          <a:bodyPr rot="-60000000" vert="horz"/>
          <a:lstStyle/>
          <a:p>
            <a:pPr>
              <a:defRPr sz="800" b="0" i="0">
                <a:solidFill>
                  <a:srgbClr val="000000"/>
                </a:solidFill>
                <a:latin typeface="Arial"/>
                <a:ea typeface="Arial"/>
                <a:cs typeface="Arial"/>
              </a:defRPr>
            </a:pPr>
            <a:endParaRPr lang="en-US"/>
          </a:p>
        </c:txPr>
        <c:crossAx val="112761472"/>
        <c:crosses val="max"/>
        <c:crossBetween val="between"/>
        <c:majorUnit val="10"/>
        <c:minorUnit val="2"/>
      </c:valAx>
      <c:catAx>
        <c:axId val="112761472"/>
        <c:scaling>
          <c:orientation val="minMax"/>
        </c:scaling>
        <c:delete val="1"/>
        <c:axPos val="b"/>
        <c:majorTickMark val="out"/>
        <c:minorTickMark val="none"/>
        <c:tickLblPos val="nextTo"/>
        <c:crossAx val="112759552"/>
        <c:crosses val="autoZero"/>
        <c:auto val="1"/>
        <c:lblAlgn val="ctr"/>
        <c:lblOffset val="100"/>
        <c:noMultiLvlLbl val="0"/>
      </c:catAx>
      <c:spPr>
        <a:noFill/>
        <a:ln w="25400">
          <a:noFill/>
        </a:ln>
        <a:extLst>
          <a:ext uri="{91240B29-F687-4F45-9708-019B960494DF}">
            <a14:hiddenLine xmlns:a14="http://schemas.microsoft.com/office/drawing/2010/main">
              <a:noFill/>
              <a:round/>
            </a14:hiddenLine>
          </a:ext>
        </a:extLst>
      </c:spPr>
    </c:plotArea>
    <c:legend>
      <c:legendPos val="b"/>
      <c:legendEntry>
        <c:idx val="3"/>
        <c:delete val="1"/>
      </c:legendEntry>
      <c:overlay val="0"/>
      <c:spPr>
        <a:noFill/>
        <a:ln w="25400">
          <a:noFill/>
        </a:ln>
      </c:spPr>
      <c:txPr>
        <a:bodyPr/>
        <a:lstStyle/>
        <a:p>
          <a:pPr>
            <a:defRPr sz="800">
              <a:latin typeface="Arial"/>
              <a:ea typeface="Arial"/>
              <a:cs typeface="Arial"/>
            </a:defRPr>
          </a:pPr>
          <a:endParaRPr lang="en-US"/>
        </a:p>
      </c:txPr>
    </c:legend>
    <c:plotVisOnly val="1"/>
    <c:dispBlanksAs val="gap"/>
    <c:showDLblsOverMax val="0"/>
  </c:chart>
  <c:spPr>
    <a:solidFill>
      <a:srgbClr val="FFFFFF"/>
    </a:solidFill>
    <a:ln w="9525" cap="flat" cmpd="sng" algn="ctr">
      <a:noFill/>
      <a:prstDash val="solid"/>
      <a:round/>
    </a:ln>
    <a:effectLst/>
    <a:extLst>
      <a:ext uri="{91240B29-F687-4F45-9708-019B960494DF}">
        <a14:hiddenLine xmlns:a14="http://schemas.microsoft.com/office/drawing/2010/main" w="9525" cap="flat" cmpd="sng" algn="ctr">
          <a:solidFill>
            <a:sysClr val="windowText" lastClr="000000">
              <a:tint val="75000"/>
              <a:shade val="95000"/>
              <a:satMod val="105000"/>
            </a:sysClr>
          </a:solidFill>
          <a:prstDash val="solid"/>
          <a:round/>
        </a14:hiddenLine>
      </a:ext>
    </a:extLst>
  </c:spPr>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xMode val="edge"/>
          <c:yMode val="edge"/>
          <c:x val="1.5931899641577062E-2"/>
          <c:y val="3.9687500000000001E-2"/>
          <c:w val="0.98406810035842296"/>
          <c:h val="0.88015624999999997"/>
        </c:manualLayout>
      </c:layout>
      <c:lineChart>
        <c:grouping val="standard"/>
        <c:varyColors val="0"/>
        <c:ser>
          <c:idx val="0"/>
          <c:order val="0"/>
          <c:tx>
            <c:strRef>
              <c:f>CHART!$K$2</c:f>
              <c:strCache>
                <c:ptCount val="1"/>
                <c:pt idx="0">
                  <c:v>Direct - equity and debt</c:v>
                </c:pt>
              </c:strCache>
            </c:strRef>
          </c:tx>
          <c:spPr>
            <a:ln>
              <a:solidFill>
                <a:srgbClr val="673472"/>
              </a:solidFill>
            </a:ln>
          </c:spPr>
          <c:marker>
            <c:symbol val="none"/>
          </c:marker>
          <c:cat>
            <c:numRef>
              <c:f>CHART!$A$89:$A$129</c:f>
              <c:numCache>
                <c:formatCode>mmm\-yyyy</c:formatCode>
                <c:ptCount val="41"/>
                <c:pt idx="0">
                  <c:v>39417</c:v>
                </c:pt>
                <c:pt idx="1">
                  <c:v>39508</c:v>
                </c:pt>
                <c:pt idx="2">
                  <c:v>39600</c:v>
                </c:pt>
                <c:pt idx="3">
                  <c:v>39692</c:v>
                </c:pt>
                <c:pt idx="4">
                  <c:v>39783</c:v>
                </c:pt>
                <c:pt idx="5">
                  <c:v>39873</c:v>
                </c:pt>
                <c:pt idx="6">
                  <c:v>39965</c:v>
                </c:pt>
                <c:pt idx="7">
                  <c:v>40057</c:v>
                </c:pt>
                <c:pt idx="8">
                  <c:v>40148</c:v>
                </c:pt>
                <c:pt idx="9">
                  <c:v>40238</c:v>
                </c:pt>
                <c:pt idx="10">
                  <c:v>40330</c:v>
                </c:pt>
                <c:pt idx="11">
                  <c:v>40422</c:v>
                </c:pt>
                <c:pt idx="12">
                  <c:v>40513</c:v>
                </c:pt>
                <c:pt idx="13">
                  <c:v>40603</c:v>
                </c:pt>
                <c:pt idx="14">
                  <c:v>40695</c:v>
                </c:pt>
                <c:pt idx="15">
                  <c:v>40787</c:v>
                </c:pt>
                <c:pt idx="16">
                  <c:v>40878</c:v>
                </c:pt>
                <c:pt idx="17">
                  <c:v>40969</c:v>
                </c:pt>
                <c:pt idx="18">
                  <c:v>41061</c:v>
                </c:pt>
                <c:pt idx="19">
                  <c:v>41153</c:v>
                </c:pt>
                <c:pt idx="20">
                  <c:v>41244</c:v>
                </c:pt>
                <c:pt idx="21">
                  <c:v>41334</c:v>
                </c:pt>
                <c:pt idx="22">
                  <c:v>41426</c:v>
                </c:pt>
                <c:pt idx="23">
                  <c:v>41518</c:v>
                </c:pt>
                <c:pt idx="24">
                  <c:v>41609</c:v>
                </c:pt>
                <c:pt idx="25">
                  <c:v>41699</c:v>
                </c:pt>
                <c:pt idx="26">
                  <c:v>41791</c:v>
                </c:pt>
                <c:pt idx="27">
                  <c:v>41883</c:v>
                </c:pt>
                <c:pt idx="28">
                  <c:v>41974</c:v>
                </c:pt>
                <c:pt idx="29">
                  <c:v>42064</c:v>
                </c:pt>
                <c:pt idx="30">
                  <c:v>42156</c:v>
                </c:pt>
                <c:pt idx="31">
                  <c:v>42248</c:v>
                </c:pt>
                <c:pt idx="32">
                  <c:v>42339</c:v>
                </c:pt>
                <c:pt idx="33">
                  <c:v>42430</c:v>
                </c:pt>
                <c:pt idx="34">
                  <c:v>42522</c:v>
                </c:pt>
                <c:pt idx="35">
                  <c:v>42614</c:v>
                </c:pt>
                <c:pt idx="36">
                  <c:v>42705</c:v>
                </c:pt>
                <c:pt idx="37">
                  <c:v>42795</c:v>
                </c:pt>
                <c:pt idx="38">
                  <c:v>42887</c:v>
                </c:pt>
                <c:pt idx="39">
                  <c:v>42979</c:v>
                </c:pt>
                <c:pt idx="40">
                  <c:v>43070</c:v>
                </c:pt>
              </c:numCache>
            </c:numRef>
          </c:cat>
          <c:val>
            <c:numRef>
              <c:f>CHART!$K$89:$K$129</c:f>
              <c:numCache>
                <c:formatCode>0</c:formatCode>
                <c:ptCount val="41"/>
                <c:pt idx="0">
                  <c:v>13343.5</c:v>
                </c:pt>
                <c:pt idx="1">
                  <c:v>14180.75</c:v>
                </c:pt>
                <c:pt idx="2">
                  <c:v>13938.25</c:v>
                </c:pt>
                <c:pt idx="3">
                  <c:v>7838.5</c:v>
                </c:pt>
                <c:pt idx="4">
                  <c:v>14059.5</c:v>
                </c:pt>
                <c:pt idx="5">
                  <c:v>11638.75</c:v>
                </c:pt>
                <c:pt idx="6">
                  <c:v>12246.75</c:v>
                </c:pt>
                <c:pt idx="7">
                  <c:v>11767.25</c:v>
                </c:pt>
                <c:pt idx="8">
                  <c:v>8788.5</c:v>
                </c:pt>
                <c:pt idx="9">
                  <c:v>10092.5</c:v>
                </c:pt>
                <c:pt idx="10">
                  <c:v>10404.75</c:v>
                </c:pt>
                <c:pt idx="11">
                  <c:v>9597.75</c:v>
                </c:pt>
                <c:pt idx="12">
                  <c:v>9586.75</c:v>
                </c:pt>
                <c:pt idx="13">
                  <c:v>7773</c:v>
                </c:pt>
                <c:pt idx="14">
                  <c:v>9766</c:v>
                </c:pt>
                <c:pt idx="15">
                  <c:v>12661.25</c:v>
                </c:pt>
                <c:pt idx="16">
                  <c:v>15833</c:v>
                </c:pt>
                <c:pt idx="17">
                  <c:v>17767.5</c:v>
                </c:pt>
                <c:pt idx="18">
                  <c:v>15781.5</c:v>
                </c:pt>
                <c:pt idx="19">
                  <c:v>14675</c:v>
                </c:pt>
                <c:pt idx="20">
                  <c:v>13867.75</c:v>
                </c:pt>
                <c:pt idx="21">
                  <c:v>13587.5</c:v>
                </c:pt>
                <c:pt idx="22">
                  <c:v>15045.75</c:v>
                </c:pt>
                <c:pt idx="23">
                  <c:v>14748.75</c:v>
                </c:pt>
                <c:pt idx="24">
                  <c:v>14212.5</c:v>
                </c:pt>
                <c:pt idx="25">
                  <c:v>13532.75</c:v>
                </c:pt>
                <c:pt idx="26">
                  <c:v>13448.5</c:v>
                </c:pt>
                <c:pt idx="27">
                  <c:v>15335.75</c:v>
                </c:pt>
                <c:pt idx="28">
                  <c:v>12816</c:v>
                </c:pt>
                <c:pt idx="29">
                  <c:v>14813</c:v>
                </c:pt>
                <c:pt idx="30">
                  <c:v>15406</c:v>
                </c:pt>
                <c:pt idx="31">
                  <c:v>13895.25</c:v>
                </c:pt>
                <c:pt idx="32">
                  <c:v>12354.75</c:v>
                </c:pt>
                <c:pt idx="33">
                  <c:v>12326.75</c:v>
                </c:pt>
                <c:pt idx="34">
                  <c:v>11639.5</c:v>
                </c:pt>
                <c:pt idx="35">
                  <c:v>10367.5</c:v>
                </c:pt>
                <c:pt idx="36">
                  <c:v>14065.25</c:v>
                </c:pt>
                <c:pt idx="37">
                  <c:v>13250.75</c:v>
                </c:pt>
                <c:pt idx="38">
                  <c:v>17191.5</c:v>
                </c:pt>
                <c:pt idx="39">
                  <c:v>18969</c:v>
                </c:pt>
                <c:pt idx="40">
                  <c:v>15946.5</c:v>
                </c:pt>
              </c:numCache>
            </c:numRef>
          </c:val>
          <c:smooth val="0"/>
        </c:ser>
        <c:dLbls>
          <c:showLegendKey val="0"/>
          <c:showVal val="0"/>
          <c:showCatName val="0"/>
          <c:showSerName val="0"/>
          <c:showPercent val="0"/>
          <c:showBubbleSize val="0"/>
        </c:dLbls>
        <c:marker val="1"/>
        <c:smooth val="0"/>
        <c:axId val="112814720"/>
        <c:axId val="112816512"/>
      </c:lineChart>
      <c:lineChart>
        <c:grouping val="standard"/>
        <c:varyColors val="0"/>
        <c:ser>
          <c:idx val="1"/>
          <c:order val="1"/>
          <c:tx>
            <c:strRef>
              <c:f>CHART!$L$2</c:f>
              <c:strCache>
                <c:ptCount val="1"/>
                <c:pt idx="0">
                  <c:v>Portfolio - equity and debt</c:v>
                </c:pt>
              </c:strCache>
            </c:strRef>
          </c:tx>
          <c:spPr>
            <a:ln>
              <a:solidFill>
                <a:srgbClr val="008689"/>
              </a:solidFill>
            </a:ln>
          </c:spPr>
          <c:marker>
            <c:symbol val="none"/>
          </c:marker>
          <c:cat>
            <c:numRef>
              <c:f>CHART!$A$89:$A$129</c:f>
              <c:numCache>
                <c:formatCode>mmm\-yyyy</c:formatCode>
                <c:ptCount val="41"/>
                <c:pt idx="0">
                  <c:v>39417</c:v>
                </c:pt>
                <c:pt idx="1">
                  <c:v>39508</c:v>
                </c:pt>
                <c:pt idx="2">
                  <c:v>39600</c:v>
                </c:pt>
                <c:pt idx="3">
                  <c:v>39692</c:v>
                </c:pt>
                <c:pt idx="4">
                  <c:v>39783</c:v>
                </c:pt>
                <c:pt idx="5">
                  <c:v>39873</c:v>
                </c:pt>
                <c:pt idx="6">
                  <c:v>39965</c:v>
                </c:pt>
                <c:pt idx="7">
                  <c:v>40057</c:v>
                </c:pt>
                <c:pt idx="8">
                  <c:v>40148</c:v>
                </c:pt>
                <c:pt idx="9">
                  <c:v>40238</c:v>
                </c:pt>
                <c:pt idx="10">
                  <c:v>40330</c:v>
                </c:pt>
                <c:pt idx="11">
                  <c:v>40422</c:v>
                </c:pt>
                <c:pt idx="12">
                  <c:v>40513</c:v>
                </c:pt>
                <c:pt idx="13">
                  <c:v>40603</c:v>
                </c:pt>
                <c:pt idx="14">
                  <c:v>40695</c:v>
                </c:pt>
                <c:pt idx="15">
                  <c:v>40787</c:v>
                </c:pt>
                <c:pt idx="16">
                  <c:v>40878</c:v>
                </c:pt>
                <c:pt idx="17">
                  <c:v>40969</c:v>
                </c:pt>
                <c:pt idx="18">
                  <c:v>41061</c:v>
                </c:pt>
                <c:pt idx="19">
                  <c:v>41153</c:v>
                </c:pt>
                <c:pt idx="20">
                  <c:v>41244</c:v>
                </c:pt>
                <c:pt idx="21">
                  <c:v>41334</c:v>
                </c:pt>
                <c:pt idx="22">
                  <c:v>41426</c:v>
                </c:pt>
                <c:pt idx="23">
                  <c:v>41518</c:v>
                </c:pt>
                <c:pt idx="24">
                  <c:v>41609</c:v>
                </c:pt>
                <c:pt idx="25">
                  <c:v>41699</c:v>
                </c:pt>
                <c:pt idx="26">
                  <c:v>41791</c:v>
                </c:pt>
                <c:pt idx="27">
                  <c:v>41883</c:v>
                </c:pt>
                <c:pt idx="28">
                  <c:v>41974</c:v>
                </c:pt>
                <c:pt idx="29">
                  <c:v>42064</c:v>
                </c:pt>
                <c:pt idx="30">
                  <c:v>42156</c:v>
                </c:pt>
                <c:pt idx="31">
                  <c:v>42248</c:v>
                </c:pt>
                <c:pt idx="32">
                  <c:v>42339</c:v>
                </c:pt>
                <c:pt idx="33">
                  <c:v>42430</c:v>
                </c:pt>
                <c:pt idx="34">
                  <c:v>42522</c:v>
                </c:pt>
                <c:pt idx="35">
                  <c:v>42614</c:v>
                </c:pt>
                <c:pt idx="36">
                  <c:v>42705</c:v>
                </c:pt>
                <c:pt idx="37">
                  <c:v>42795</c:v>
                </c:pt>
                <c:pt idx="38">
                  <c:v>42887</c:v>
                </c:pt>
                <c:pt idx="39">
                  <c:v>42979</c:v>
                </c:pt>
                <c:pt idx="40">
                  <c:v>43070</c:v>
                </c:pt>
              </c:numCache>
            </c:numRef>
          </c:cat>
          <c:val>
            <c:numRef>
              <c:f>CHART!$L$89:$L$129</c:f>
              <c:numCache>
                <c:formatCode>0</c:formatCode>
                <c:ptCount val="41"/>
                <c:pt idx="0">
                  <c:v>19327.75</c:v>
                </c:pt>
                <c:pt idx="1">
                  <c:v>19562.25</c:v>
                </c:pt>
                <c:pt idx="2">
                  <c:v>16375.75</c:v>
                </c:pt>
                <c:pt idx="3">
                  <c:v>12452.5</c:v>
                </c:pt>
                <c:pt idx="4">
                  <c:v>6663.25</c:v>
                </c:pt>
                <c:pt idx="5">
                  <c:v>3811.75</c:v>
                </c:pt>
                <c:pt idx="6">
                  <c:v>11762.75</c:v>
                </c:pt>
                <c:pt idx="7">
                  <c:v>26995.5</c:v>
                </c:pt>
                <c:pt idx="8">
                  <c:v>46205</c:v>
                </c:pt>
                <c:pt idx="9">
                  <c:v>49339.25</c:v>
                </c:pt>
                <c:pt idx="10">
                  <c:v>41112.5</c:v>
                </c:pt>
                <c:pt idx="11">
                  <c:v>36962</c:v>
                </c:pt>
                <c:pt idx="12">
                  <c:v>32357.25</c:v>
                </c:pt>
                <c:pt idx="13">
                  <c:v>26583.75</c:v>
                </c:pt>
                <c:pt idx="14">
                  <c:v>25804.25</c:v>
                </c:pt>
                <c:pt idx="15">
                  <c:v>24512.75</c:v>
                </c:pt>
                <c:pt idx="16">
                  <c:v>20517.5</c:v>
                </c:pt>
                <c:pt idx="17">
                  <c:v>21804.5</c:v>
                </c:pt>
                <c:pt idx="18">
                  <c:v>17234.25</c:v>
                </c:pt>
                <c:pt idx="19">
                  <c:v>14286.25</c:v>
                </c:pt>
                <c:pt idx="20">
                  <c:v>14524.25</c:v>
                </c:pt>
                <c:pt idx="21">
                  <c:v>13652</c:v>
                </c:pt>
                <c:pt idx="22">
                  <c:v>16739.75</c:v>
                </c:pt>
                <c:pt idx="23">
                  <c:v>18515</c:v>
                </c:pt>
                <c:pt idx="24">
                  <c:v>21116.5</c:v>
                </c:pt>
                <c:pt idx="25">
                  <c:v>19645</c:v>
                </c:pt>
                <c:pt idx="26">
                  <c:v>23599.25</c:v>
                </c:pt>
                <c:pt idx="27">
                  <c:v>20902.5</c:v>
                </c:pt>
                <c:pt idx="28">
                  <c:v>19966.5</c:v>
                </c:pt>
                <c:pt idx="29">
                  <c:v>24591.75</c:v>
                </c:pt>
                <c:pt idx="30">
                  <c:v>24016.25</c:v>
                </c:pt>
                <c:pt idx="31">
                  <c:v>25333.5</c:v>
                </c:pt>
                <c:pt idx="32">
                  <c:v>24788</c:v>
                </c:pt>
                <c:pt idx="33">
                  <c:v>13147</c:v>
                </c:pt>
                <c:pt idx="34">
                  <c:v>6655</c:v>
                </c:pt>
                <c:pt idx="35">
                  <c:v>2915.5</c:v>
                </c:pt>
                <c:pt idx="36">
                  <c:v>1257</c:v>
                </c:pt>
                <c:pt idx="37">
                  <c:v>5392.75</c:v>
                </c:pt>
                <c:pt idx="38">
                  <c:v>8730.5</c:v>
                </c:pt>
                <c:pt idx="39">
                  <c:v>15303.75</c:v>
                </c:pt>
                <c:pt idx="40">
                  <c:v>19677.5</c:v>
                </c:pt>
              </c:numCache>
            </c:numRef>
          </c:val>
          <c:smooth val="0"/>
        </c:ser>
        <c:ser>
          <c:idx val="3"/>
          <c:order val="2"/>
          <c:tx>
            <c:v>DUMMY</c:v>
          </c:tx>
          <c:spPr>
            <a:ln w="28575">
              <a:noFill/>
            </a:ln>
          </c:spPr>
          <c:marker>
            <c:symbol val="none"/>
          </c:marker>
          <c:val>
            <c:numLit>
              <c:formatCode>General</c:formatCode>
              <c:ptCount val="1"/>
              <c:pt idx="0">
                <c:v>0</c:v>
              </c:pt>
            </c:numLit>
          </c:val>
          <c:smooth val="0"/>
        </c:ser>
        <c:dLbls>
          <c:showLegendKey val="0"/>
          <c:showVal val="0"/>
          <c:showCatName val="0"/>
          <c:showSerName val="0"/>
          <c:showPercent val="0"/>
          <c:showBubbleSize val="0"/>
        </c:dLbls>
        <c:marker val="1"/>
        <c:smooth val="0"/>
        <c:axId val="112818432"/>
        <c:axId val="112828416"/>
      </c:lineChart>
      <c:dateAx>
        <c:axId val="112814720"/>
        <c:scaling>
          <c:orientation val="minMax"/>
        </c:scaling>
        <c:delete val="0"/>
        <c:axPos val="b"/>
        <c:numFmt formatCode="mmm\-yyyy" sourceLinked="0"/>
        <c:majorTickMark val="cross"/>
        <c:minorTickMark val="none"/>
        <c:tickLblPos val="low"/>
        <c:spPr>
          <a:ln w="12700">
            <a:solidFill>
              <a:srgbClr val="808080"/>
            </a:solidFill>
            <a:prstDash val="solid"/>
          </a:ln>
        </c:spPr>
        <c:txPr>
          <a:bodyPr rot="0" vert="horz"/>
          <a:lstStyle/>
          <a:p>
            <a:pPr>
              <a:defRPr sz="800" b="0" i="0" u="none" strike="noStrike" baseline="0">
                <a:solidFill>
                  <a:srgbClr val="000000"/>
                </a:solidFill>
                <a:latin typeface="Arial"/>
                <a:ea typeface="Arial"/>
                <a:cs typeface="Arial"/>
              </a:defRPr>
            </a:pPr>
            <a:endParaRPr lang="en-US"/>
          </a:p>
        </c:txPr>
        <c:crossAx val="112816512"/>
        <c:crosses val="autoZero"/>
        <c:auto val="1"/>
        <c:lblOffset val="100"/>
        <c:baseTimeUnit val="months"/>
        <c:majorUnit val="24"/>
        <c:majorTimeUnit val="months"/>
      </c:dateAx>
      <c:valAx>
        <c:axId val="112816512"/>
        <c:scaling>
          <c:orientation val="minMax"/>
          <c:max val="60000"/>
        </c:scaling>
        <c:delete val="0"/>
        <c:axPos val="l"/>
        <c:majorGridlines>
          <c:spPr>
            <a:ln w="12700">
              <a:solidFill>
                <a:srgbClr val="000000"/>
              </a:solidFill>
              <a:prstDash val="solid"/>
            </a:ln>
          </c:spPr>
        </c:majorGridlines>
        <c:title>
          <c:tx>
            <c:rich>
              <a:bodyPr rot="0" vert="horz"/>
              <a:lstStyle/>
              <a:p>
                <a:pPr algn="ctr">
                  <a:defRPr sz="800" b="0" i="0" u="none" strike="noStrike" baseline="0">
                    <a:solidFill>
                      <a:srgbClr val="000000"/>
                    </a:solidFill>
                    <a:latin typeface="Arial"/>
                    <a:ea typeface="Arial"/>
                    <a:cs typeface="Arial"/>
                  </a:defRPr>
                </a:pPr>
                <a:r>
                  <a:rPr lang="en-AU"/>
                  <a:t>$ million</a:t>
                </a:r>
              </a:p>
            </c:rich>
          </c:tx>
          <c:layout>
            <c:manualLayout>
              <c:xMode val="edge"/>
              <c:yMode val="edge"/>
              <c:x val="8.648750817410622E-2"/>
              <c:y val="0"/>
            </c:manualLayout>
          </c:layout>
          <c:overlay val="0"/>
        </c:title>
        <c:numFmt formatCode="#,##0" sourceLinked="0"/>
        <c:majorTickMark val="none"/>
        <c:minorTickMark val="none"/>
        <c:tickLblPos val="nextTo"/>
        <c:spPr>
          <a:ln w="12700">
            <a:solidFill>
              <a:srgbClr val="808080"/>
            </a:solidFill>
            <a:prstDash val="solid"/>
          </a:ln>
        </c:spPr>
        <c:txPr>
          <a:bodyPr rot="0" vert="horz"/>
          <a:lstStyle/>
          <a:p>
            <a:pPr>
              <a:defRPr sz="800" b="0" i="0" u="none" strike="noStrike" baseline="0">
                <a:solidFill>
                  <a:srgbClr val="000000"/>
                </a:solidFill>
                <a:latin typeface="Arial"/>
                <a:ea typeface="Arial"/>
                <a:cs typeface="Arial"/>
              </a:defRPr>
            </a:pPr>
            <a:endParaRPr lang="en-US"/>
          </a:p>
        </c:txPr>
        <c:crossAx val="112814720"/>
        <c:crosses val="autoZero"/>
        <c:crossBetween val="between"/>
        <c:majorUnit val="10000"/>
      </c:valAx>
      <c:dateAx>
        <c:axId val="112818432"/>
        <c:scaling>
          <c:orientation val="minMax"/>
        </c:scaling>
        <c:delete val="1"/>
        <c:axPos val="b"/>
        <c:numFmt formatCode="mmm\-yyyy" sourceLinked="1"/>
        <c:majorTickMark val="out"/>
        <c:minorTickMark val="none"/>
        <c:tickLblPos val="nextTo"/>
        <c:crossAx val="112828416"/>
        <c:crosses val="autoZero"/>
        <c:auto val="1"/>
        <c:lblOffset val="100"/>
        <c:baseTimeUnit val="months"/>
      </c:dateAx>
      <c:valAx>
        <c:axId val="112828416"/>
        <c:scaling>
          <c:orientation val="minMax"/>
        </c:scaling>
        <c:delete val="0"/>
        <c:axPos val="r"/>
        <c:title>
          <c:tx>
            <c:rich>
              <a:bodyPr rot="0" vert="horz"/>
              <a:lstStyle/>
              <a:p>
                <a:pPr algn="ctr">
                  <a:defRPr sz="800" b="0" i="0" u="none" strike="noStrike" baseline="0">
                    <a:solidFill>
                      <a:srgbClr val="000000"/>
                    </a:solidFill>
                    <a:latin typeface="Arial"/>
                    <a:ea typeface="Arial"/>
                    <a:cs typeface="Arial"/>
                  </a:defRPr>
                </a:pPr>
                <a:r>
                  <a:rPr lang="en-AU"/>
                  <a:t>$ million</a:t>
                </a:r>
              </a:p>
            </c:rich>
          </c:tx>
          <c:layout>
            <c:manualLayout>
              <c:xMode val="edge"/>
              <c:yMode val="edge"/>
              <c:x val="0.83536122831062498"/>
              <c:y val="0"/>
            </c:manualLayout>
          </c:layout>
          <c:overlay val="0"/>
        </c:title>
        <c:numFmt formatCode="#,##0" sourceLinked="0"/>
        <c:majorTickMark val="none"/>
        <c:minorTickMark val="none"/>
        <c:tickLblPos val="nextTo"/>
        <c:spPr>
          <a:ln w="12700">
            <a:solidFill>
              <a:srgbClr val="808080"/>
            </a:solidFill>
            <a:prstDash val="solid"/>
          </a:ln>
        </c:spPr>
        <c:txPr>
          <a:bodyPr rot="0" vert="horz"/>
          <a:lstStyle/>
          <a:p>
            <a:pPr>
              <a:defRPr sz="800" b="0" i="0" u="none" strike="noStrike" baseline="0">
                <a:solidFill>
                  <a:srgbClr val="000000"/>
                </a:solidFill>
                <a:latin typeface="Arial"/>
                <a:ea typeface="Arial"/>
                <a:cs typeface="Arial"/>
              </a:defRPr>
            </a:pPr>
            <a:endParaRPr lang="en-US"/>
          </a:p>
        </c:txPr>
        <c:crossAx val="112818432"/>
        <c:crosses val="max"/>
        <c:crossBetween val="between"/>
        <c:majorUnit val="10000"/>
        <c:minorUnit val="1000"/>
      </c:valAx>
      <c:spPr>
        <a:solidFill>
          <a:srgbClr val="FFFFFF"/>
        </a:solidFill>
        <a:ln w="25400">
          <a:noFill/>
        </a:ln>
      </c:spPr>
    </c:plotArea>
    <c:legend>
      <c:legendPos val="b"/>
      <c:legendEntry>
        <c:idx val="2"/>
        <c:delete val="1"/>
      </c:legendEntry>
      <c:layout>
        <c:manualLayout>
          <c:xMode val="edge"/>
          <c:yMode val="edge"/>
          <c:x val="0.14448353444341855"/>
          <c:y val="7.2559461403846018E-2"/>
          <c:w val="0.71102630942463252"/>
          <c:h val="6.5464879803931786E-2"/>
        </c:manualLayout>
      </c:layout>
      <c:overlay val="0"/>
      <c:spPr>
        <a:noFill/>
        <a:ln w="25400">
          <a:noFill/>
        </a:ln>
      </c:spPr>
      <c:txPr>
        <a:bodyPr/>
        <a:lstStyle/>
        <a:p>
          <a:pPr>
            <a:defRPr sz="735" b="0" i="0" u="none" strike="noStrike" baseline="0">
              <a:solidFill>
                <a:srgbClr val="000000"/>
              </a:solidFill>
              <a:latin typeface="Arial"/>
              <a:ea typeface="Arial"/>
              <a:cs typeface="Arial"/>
            </a:defRPr>
          </a:pPr>
          <a:endParaRPr lang="en-US"/>
        </a:p>
      </c:txPr>
    </c:legend>
    <c:plotVisOnly val="1"/>
    <c:dispBlanksAs val="gap"/>
    <c:showDLblsOverMax val="0"/>
  </c:chart>
  <c:spPr>
    <a:solidFill>
      <a:srgbClr val="FFFFFF"/>
    </a:solidFill>
    <a:ln w="9525">
      <a:noFill/>
    </a:ln>
  </c:spPr>
  <c:txPr>
    <a:bodyPr/>
    <a:lstStyle/>
    <a:p>
      <a:pPr>
        <a:defRPr sz="1000" b="0" i="0" u="none" strike="noStrike" baseline="0">
          <a:solidFill>
            <a:srgbClr val="000000"/>
          </a:solidFill>
          <a:latin typeface="Calibri"/>
          <a:ea typeface="Calibri"/>
          <a:cs typeface="Calibri"/>
        </a:defRPr>
      </a:pPr>
      <a:endParaRPr lang="en-US"/>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dPt>
            <c:idx val="0"/>
            <c:bubble3D val="0"/>
            <c:spPr>
              <a:solidFill>
                <a:srgbClr val="E2936A"/>
              </a:solidFill>
            </c:spPr>
          </c:dPt>
          <c:dPt>
            <c:idx val="1"/>
            <c:bubble3D val="0"/>
            <c:spPr>
              <a:solidFill>
                <a:srgbClr val="FDE5D6"/>
              </a:solidFill>
            </c:spPr>
          </c:dPt>
          <c:dPt>
            <c:idx val="2"/>
            <c:bubble3D val="0"/>
            <c:spPr>
              <a:solidFill>
                <a:srgbClr val="673472"/>
              </a:solidFill>
            </c:spPr>
          </c:dPt>
          <c:dPt>
            <c:idx val="3"/>
            <c:bubble3D val="0"/>
            <c:spPr>
              <a:solidFill>
                <a:srgbClr val="025556"/>
              </a:solidFill>
            </c:spPr>
          </c:dPt>
          <c:dPt>
            <c:idx val="4"/>
            <c:bubble3D val="0"/>
            <c:spPr>
              <a:solidFill>
                <a:srgbClr val="008689"/>
              </a:solidFill>
            </c:spPr>
          </c:dPt>
          <c:dPt>
            <c:idx val="5"/>
            <c:bubble3D val="0"/>
            <c:spPr>
              <a:solidFill>
                <a:srgbClr val="36A9E1"/>
              </a:solidFill>
            </c:spPr>
          </c:dPt>
          <c:dPt>
            <c:idx val="6"/>
            <c:bubble3D val="0"/>
            <c:spPr>
              <a:solidFill>
                <a:srgbClr val="184B93"/>
              </a:solidFill>
            </c:spPr>
          </c:dPt>
          <c:dPt>
            <c:idx val="7"/>
            <c:bubble3D val="0"/>
            <c:spPr>
              <a:solidFill>
                <a:srgbClr val="7988BD"/>
              </a:solidFill>
            </c:spPr>
          </c:dPt>
          <c:dLbls>
            <c:dLbl>
              <c:idx val="0"/>
              <c:layout>
                <c:manualLayout>
                  <c:x val="0.3384359864190486"/>
                  <c:y val="-3.2746612281092988E-7"/>
                </c:manualLayout>
              </c:layout>
              <c:tx>
                <c:rich>
                  <a:bodyPr/>
                  <a:lstStyle/>
                  <a:p>
                    <a:r>
                      <a:rPr lang="en-US"/>
                      <a:t>Mineral exploration &amp; development 8%</a:t>
                    </a:r>
                  </a:p>
                </c:rich>
              </c:tx>
              <c:showLegendKey val="1"/>
              <c:showVal val="0"/>
              <c:showCatName val="1"/>
              <c:showSerName val="0"/>
              <c:showPercent val="1"/>
              <c:showBubbleSize val="0"/>
              <c:separator>, </c:separator>
            </c:dLbl>
            <c:dLbl>
              <c:idx val="1"/>
              <c:layout>
                <c:manualLayout>
                  <c:x val="0.22236950702517896"/>
                  <c:y val="-2.8811451883274046E-2"/>
                </c:manualLayout>
              </c:layout>
              <c:showLegendKey val="1"/>
              <c:showVal val="0"/>
              <c:showCatName val="1"/>
              <c:showSerName val="0"/>
              <c:showPercent val="1"/>
              <c:showBubbleSize val="0"/>
              <c:separator>, </c:separator>
            </c:dLbl>
            <c:dLbl>
              <c:idx val="2"/>
              <c:layout>
                <c:manualLayout>
                  <c:x val="0.27490793509291395"/>
                  <c:y val="-8.3561822820524656E-2"/>
                </c:manualLayout>
              </c:layout>
              <c:showLegendKey val="1"/>
              <c:showVal val="0"/>
              <c:showCatName val="1"/>
              <c:showSerName val="0"/>
              <c:showPercent val="1"/>
              <c:showBubbleSize val="0"/>
              <c:separator>, </c:separator>
            </c:dLbl>
            <c:dLbl>
              <c:idx val="3"/>
              <c:layout>
                <c:manualLayout>
                  <c:x val="0.37626811194896775"/>
                  <c:y val="3.0069249260990829E-2"/>
                </c:manualLayout>
              </c:layout>
              <c:tx>
                <c:rich>
                  <a:bodyPr/>
                  <a:lstStyle/>
                  <a:p>
                    <a:r>
                      <a:rPr lang="en-US"/>
                      <a:t>Commercial</a:t>
                    </a:r>
                  </a:p>
                  <a:p>
                    <a:r>
                      <a:rPr lang="en-US"/>
                      <a:t> real estate 23%</a:t>
                    </a:r>
                  </a:p>
                </c:rich>
              </c:tx>
              <c:showLegendKey val="1"/>
              <c:showVal val="0"/>
              <c:showCatName val="1"/>
              <c:showSerName val="0"/>
              <c:showPercent val="1"/>
              <c:showBubbleSize val="0"/>
              <c:separator>, </c:separator>
            </c:dLbl>
            <c:dLbl>
              <c:idx val="4"/>
              <c:layout>
                <c:manualLayout>
                  <c:x val="-0.23410671120722379"/>
                  <c:y val="0.17505585753389846"/>
                </c:manualLayout>
              </c:layout>
              <c:tx>
                <c:rich>
                  <a:bodyPr/>
                  <a:lstStyle/>
                  <a:p>
                    <a:r>
                      <a:rPr lang="en-US"/>
                      <a:t>Residential </a:t>
                    </a:r>
                  </a:p>
                  <a:p>
                    <a:r>
                      <a:rPr lang="en-US"/>
                      <a:t>real estate 13%</a:t>
                    </a:r>
                  </a:p>
                </c:rich>
              </c:tx>
              <c:showLegendKey val="1"/>
              <c:showVal val="0"/>
              <c:showCatName val="1"/>
              <c:showSerName val="0"/>
              <c:showPercent val="1"/>
              <c:showBubbleSize val="0"/>
              <c:separator>, </c:separator>
            </c:dLbl>
            <c:dLbl>
              <c:idx val="5"/>
              <c:layout>
                <c:manualLayout>
                  <c:x val="-0.22576474487550929"/>
                  <c:y val="0.1165039323769357"/>
                </c:manualLayout>
              </c:layout>
              <c:tx>
                <c:rich>
                  <a:bodyPr/>
                  <a:lstStyle/>
                  <a:p>
                    <a:r>
                      <a:rPr lang="en-US"/>
                      <a:t>Agriculture, forestry </a:t>
                    </a:r>
                  </a:p>
                  <a:p>
                    <a:r>
                      <a:rPr lang="en-US"/>
                      <a:t>&amp; fishing 4%</a:t>
                    </a:r>
                  </a:p>
                </c:rich>
              </c:tx>
              <c:showLegendKey val="1"/>
              <c:showVal val="0"/>
              <c:showCatName val="1"/>
              <c:showSerName val="0"/>
              <c:showPercent val="1"/>
              <c:showBubbleSize val="0"/>
              <c:separator>, </c:separator>
            </c:dLbl>
            <c:dLbl>
              <c:idx val="6"/>
              <c:layout>
                <c:manualLayout>
                  <c:x val="-0.22397814279918135"/>
                  <c:y val="-5.1849348555268585E-2"/>
                </c:manualLayout>
              </c:layout>
              <c:tx>
                <c:rich>
                  <a:bodyPr/>
                  <a:lstStyle/>
                  <a:p>
                    <a:r>
                      <a:rPr lang="en-US"/>
                      <a:t>Finance &amp; </a:t>
                    </a:r>
                  </a:p>
                  <a:p>
                    <a:r>
                      <a:rPr lang="en-US"/>
                      <a:t>insurance 2%</a:t>
                    </a:r>
                  </a:p>
                </c:rich>
              </c:tx>
              <c:showLegendKey val="1"/>
              <c:showVal val="0"/>
              <c:showCatName val="1"/>
              <c:showSerName val="0"/>
              <c:showPercent val="1"/>
              <c:showBubbleSize val="0"/>
              <c:separator>, </c:separator>
            </c:dLbl>
            <c:dLbl>
              <c:idx val="7"/>
              <c:layout>
                <c:manualLayout>
                  <c:x val="-0.27354112184556884"/>
                  <c:y val="-5.9799992803143062E-2"/>
                </c:manualLayout>
              </c:layout>
              <c:showLegendKey val="1"/>
              <c:showVal val="0"/>
              <c:showCatName val="1"/>
              <c:showSerName val="0"/>
              <c:showPercent val="1"/>
              <c:showBubbleSize val="0"/>
              <c:separator>, </c:separator>
            </c:dLbl>
            <c:showLegendKey val="1"/>
            <c:showVal val="0"/>
            <c:showCatName val="1"/>
            <c:showSerName val="0"/>
            <c:showPercent val="1"/>
            <c:showBubbleSize val="0"/>
            <c:separator>, </c:separator>
            <c:showLeaderLines val="1"/>
          </c:dLbls>
          <c:cat>
            <c:strRef>
              <c:f>Charts!$A$2:$A$9</c:f>
              <c:strCache>
                <c:ptCount val="8"/>
                <c:pt idx="0">
                  <c:v>Mineral exploration &amp; development</c:v>
                </c:pt>
                <c:pt idx="1">
                  <c:v>Services</c:v>
                </c:pt>
                <c:pt idx="2">
                  <c:v>Tourism</c:v>
                </c:pt>
                <c:pt idx="3">
                  <c:v>Real estate - commercial</c:v>
                </c:pt>
                <c:pt idx="4">
                  <c:v>Real estate - residential</c:v>
                </c:pt>
                <c:pt idx="5">
                  <c:v>Agriculture, forestry &amp; fishing</c:v>
                </c:pt>
                <c:pt idx="6">
                  <c:v>Finance &amp; insurance</c:v>
                </c:pt>
                <c:pt idx="7">
                  <c:v>Manufacturing, electricity &amp; gas</c:v>
                </c:pt>
              </c:strCache>
            </c:strRef>
          </c:cat>
          <c:val>
            <c:numRef>
              <c:f>Charts!$C$2:$C$9</c:f>
              <c:numCache>
                <c:formatCode>0</c:formatCode>
                <c:ptCount val="8"/>
                <c:pt idx="0">
                  <c:v>15.858670786999999</c:v>
                </c:pt>
                <c:pt idx="1">
                  <c:v>54.187705077000004</c:v>
                </c:pt>
                <c:pt idx="2">
                  <c:v>2.25353</c:v>
                </c:pt>
                <c:pt idx="3">
                  <c:v>43.733369275999998</c:v>
                </c:pt>
                <c:pt idx="4">
                  <c:v>25.246761554999999</c:v>
                </c:pt>
                <c:pt idx="5">
                  <c:v>6.9840882180000001</c:v>
                </c:pt>
                <c:pt idx="6">
                  <c:v>3.7550143819999997</c:v>
                </c:pt>
                <c:pt idx="7">
                  <c:v>40.892245001000006</c:v>
                </c:pt>
              </c:numCache>
            </c:numRef>
          </c:val>
        </c:ser>
        <c:dLbls>
          <c:showLegendKey val="0"/>
          <c:showVal val="0"/>
          <c:showCatName val="1"/>
          <c:showSerName val="0"/>
          <c:showPercent val="1"/>
          <c:showBubbleSize val="0"/>
          <c:showLeaderLines val="1"/>
        </c:dLbls>
        <c:firstSliceAng val="0"/>
        <c:holeSize val="50"/>
      </c:doughnutChart>
    </c:plotArea>
    <c:plotVisOnly val="1"/>
    <c:dispBlanksAs val="gap"/>
    <c:showDLblsOverMax val="0"/>
  </c:chart>
  <c:spPr>
    <a:ln>
      <a:noFill/>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doughnutChart>
        <c:varyColors val="1"/>
        <c:ser>
          <c:idx val="0"/>
          <c:order val="0"/>
          <c:dPt>
            <c:idx val="0"/>
            <c:bubble3D val="0"/>
            <c:spPr>
              <a:solidFill>
                <a:srgbClr val="E2936A"/>
              </a:solidFill>
            </c:spPr>
          </c:dPt>
          <c:dPt>
            <c:idx val="1"/>
            <c:bubble3D val="0"/>
            <c:spPr>
              <a:solidFill>
                <a:srgbClr val="7988BD"/>
              </a:solidFill>
            </c:spPr>
          </c:dPt>
          <c:dPt>
            <c:idx val="2"/>
            <c:bubble3D val="0"/>
            <c:spPr>
              <a:solidFill>
                <a:srgbClr val="673472"/>
              </a:solidFill>
            </c:spPr>
          </c:dPt>
          <c:dPt>
            <c:idx val="3"/>
            <c:bubble3D val="0"/>
            <c:spPr>
              <a:solidFill>
                <a:srgbClr val="184B93"/>
              </a:solidFill>
            </c:spPr>
          </c:dPt>
          <c:dPt>
            <c:idx val="4"/>
            <c:bubble3D val="0"/>
            <c:spPr>
              <a:solidFill>
                <a:srgbClr val="36A9E1"/>
              </a:solidFill>
            </c:spPr>
          </c:dPt>
          <c:dPt>
            <c:idx val="5"/>
            <c:bubble3D val="0"/>
            <c:spPr>
              <a:solidFill>
                <a:srgbClr val="025556"/>
              </a:solidFill>
            </c:spPr>
          </c:dPt>
          <c:dPt>
            <c:idx val="6"/>
            <c:bubble3D val="0"/>
            <c:spPr>
              <a:solidFill>
                <a:srgbClr val="008689"/>
              </a:solidFill>
            </c:spPr>
          </c:dPt>
          <c:dPt>
            <c:idx val="7"/>
            <c:bubble3D val="0"/>
            <c:spPr>
              <a:solidFill>
                <a:srgbClr val="FDE5D6"/>
              </a:solidFill>
            </c:spPr>
          </c:dPt>
          <c:dLbls>
            <c:dLbl>
              <c:idx val="0"/>
              <c:layout>
                <c:manualLayout>
                  <c:x val="0.39390432760167549"/>
                  <c:y val="-6.118959597739098E-2"/>
                </c:manualLayout>
              </c:layout>
              <c:showLegendKey val="1"/>
              <c:showVal val="0"/>
              <c:showCatName val="1"/>
              <c:showSerName val="0"/>
              <c:showPercent val="1"/>
              <c:showBubbleSize val="0"/>
              <c:separator>, </c:separator>
            </c:dLbl>
            <c:dLbl>
              <c:idx val="1"/>
              <c:layout>
                <c:manualLayout>
                  <c:x val="0.21824648496143928"/>
                  <c:y val="3.102271795071793E-2"/>
                </c:manualLayout>
              </c:layout>
              <c:showLegendKey val="1"/>
              <c:showVal val="0"/>
              <c:showCatName val="1"/>
              <c:showSerName val="0"/>
              <c:showPercent val="1"/>
              <c:showBubbleSize val="0"/>
              <c:separator>, </c:separator>
            </c:dLbl>
            <c:dLbl>
              <c:idx val="2"/>
              <c:layout>
                <c:manualLayout>
                  <c:x val="0.19799812400659292"/>
                  <c:y val="-2.1664692030763974E-2"/>
                </c:manualLayout>
              </c:layout>
              <c:showLegendKey val="1"/>
              <c:showVal val="0"/>
              <c:showCatName val="1"/>
              <c:showSerName val="0"/>
              <c:showPercent val="1"/>
              <c:showBubbleSize val="0"/>
              <c:separator>, </c:separator>
            </c:dLbl>
            <c:dLbl>
              <c:idx val="3"/>
              <c:layout>
                <c:manualLayout>
                  <c:x val="0.2965179831683063"/>
                  <c:y val="9.549393017992272E-2"/>
                </c:manualLayout>
              </c:layout>
              <c:showLegendKey val="1"/>
              <c:showVal val="0"/>
              <c:showCatName val="1"/>
              <c:showSerName val="0"/>
              <c:showPercent val="1"/>
              <c:showBubbleSize val="0"/>
              <c:separator>, </c:separator>
            </c:dLbl>
            <c:dLbl>
              <c:idx val="4"/>
              <c:layout>
                <c:manualLayout>
                  <c:x val="-0.40447475041858816"/>
                  <c:y val="5.5569078412096878E-2"/>
                </c:manualLayout>
              </c:layout>
              <c:showLegendKey val="1"/>
              <c:showVal val="0"/>
              <c:showCatName val="1"/>
              <c:showSerName val="0"/>
              <c:showPercent val="1"/>
              <c:showBubbleSize val="0"/>
              <c:separator>, </c:separator>
            </c:dLbl>
            <c:dLbl>
              <c:idx val="5"/>
              <c:layout>
                <c:manualLayout>
                  <c:x val="-0.3791090419126969"/>
                  <c:y val="-0.17904321830238693"/>
                </c:manualLayout>
              </c:layout>
              <c:showLegendKey val="1"/>
              <c:showVal val="0"/>
              <c:showCatName val="1"/>
              <c:showSerName val="0"/>
              <c:showPercent val="1"/>
              <c:showBubbleSize val="0"/>
              <c:separator>, </c:separator>
            </c:dLbl>
            <c:dLbl>
              <c:idx val="6"/>
              <c:layout>
                <c:manualLayout>
                  <c:x val="-0.20218318936839105"/>
                  <c:y val="-0.13410328444036218"/>
                </c:manualLayout>
              </c:layout>
              <c:showLegendKey val="1"/>
              <c:showVal val="0"/>
              <c:showCatName val="1"/>
              <c:showSerName val="0"/>
              <c:showPercent val="1"/>
              <c:showBubbleSize val="0"/>
              <c:separator>, </c:separator>
            </c:dLbl>
            <c:dLbl>
              <c:idx val="7"/>
              <c:layout>
                <c:manualLayout>
                  <c:x val="-0.3982581752249682"/>
                  <c:y val="-6.353683514053983E-2"/>
                </c:manualLayout>
              </c:layout>
              <c:showLegendKey val="1"/>
              <c:showVal val="0"/>
              <c:showCatName val="1"/>
              <c:showSerName val="0"/>
              <c:showPercent val="1"/>
              <c:showBubbleSize val="0"/>
              <c:separator>, </c:separator>
            </c:dLbl>
            <c:showLegendKey val="1"/>
            <c:showVal val="0"/>
            <c:showCatName val="1"/>
            <c:showSerName val="0"/>
            <c:showPercent val="1"/>
            <c:showBubbleSize val="0"/>
            <c:separator>, </c:separator>
            <c:showLeaderLines val="1"/>
          </c:dLbls>
          <c:cat>
            <c:strRef>
              <c:f>'Final Table - RRE'!$A$6:$A$13</c:f>
              <c:strCache>
                <c:ptCount val="8"/>
                <c:pt idx="0">
                  <c:v>ACT</c:v>
                </c:pt>
                <c:pt idx="1">
                  <c:v>NSW</c:v>
                </c:pt>
                <c:pt idx="2">
                  <c:v>NT</c:v>
                </c:pt>
                <c:pt idx="3">
                  <c:v>Qld</c:v>
                </c:pt>
                <c:pt idx="4">
                  <c:v>SA</c:v>
                </c:pt>
                <c:pt idx="5">
                  <c:v>Tas</c:v>
                </c:pt>
                <c:pt idx="6">
                  <c:v>Vic</c:v>
                </c:pt>
                <c:pt idx="7">
                  <c:v>WA</c:v>
                </c:pt>
              </c:strCache>
            </c:strRef>
          </c:cat>
          <c:val>
            <c:numRef>
              <c:f>'Final Table - RRE'!$B$6:$B$13</c:f>
              <c:numCache>
                <c:formatCode>_-* #,##0_-;\-* #,##0_-;_-* "-"??_-;_-@_-</c:formatCode>
                <c:ptCount val="8"/>
                <c:pt idx="0">
                  <c:v>124</c:v>
                </c:pt>
                <c:pt idx="1">
                  <c:v>4224</c:v>
                </c:pt>
                <c:pt idx="2">
                  <c:v>8</c:v>
                </c:pt>
                <c:pt idx="3">
                  <c:v>2378</c:v>
                </c:pt>
                <c:pt idx="4">
                  <c:v>337</c:v>
                </c:pt>
                <c:pt idx="5">
                  <c:v>62</c:v>
                </c:pt>
                <c:pt idx="6">
                  <c:v>5396</c:v>
                </c:pt>
                <c:pt idx="7">
                  <c:v>644</c:v>
                </c:pt>
              </c:numCache>
            </c:numRef>
          </c:val>
        </c:ser>
        <c:dLbls>
          <c:showLegendKey val="0"/>
          <c:showVal val="1"/>
          <c:showCatName val="0"/>
          <c:showSerName val="0"/>
          <c:showPercent val="0"/>
          <c:showBubbleSize val="0"/>
          <c:showLeaderLines val="1"/>
        </c:dLbls>
        <c:firstSliceAng val="0"/>
        <c:holeSize val="50"/>
      </c:doughnutChart>
    </c:plotArea>
    <c:plotVisOnly val="1"/>
    <c:dispBlanksAs val="gap"/>
    <c:showDLblsOverMax val="0"/>
  </c:chart>
  <c:spPr>
    <a:ln w="0">
      <a:noFill/>
    </a:ln>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spPr>
            <a:solidFill>
              <a:srgbClr val="E2936A"/>
            </a:solidFill>
          </c:spPr>
          <c:invertIfNegative val="0"/>
          <c:cat>
            <c:strRef>
              <c:f>Sheet1!$A$3:$A$13</c:f>
              <c:strCache>
                <c:ptCount val="11"/>
                <c:pt idx="0">
                  <c:v>2006-07</c:v>
                </c:pt>
                <c:pt idx="1">
                  <c:v>2007-08</c:v>
                </c:pt>
                <c:pt idx="2">
                  <c:v>2008-09</c:v>
                </c:pt>
                <c:pt idx="3">
                  <c:v>2009-10</c:v>
                </c:pt>
                <c:pt idx="4">
                  <c:v>2010-11</c:v>
                </c:pt>
                <c:pt idx="5">
                  <c:v>2011-12</c:v>
                </c:pt>
                <c:pt idx="6">
                  <c:v>2012-13</c:v>
                </c:pt>
                <c:pt idx="7">
                  <c:v>2013-14</c:v>
                </c:pt>
                <c:pt idx="8">
                  <c:v>2014-15</c:v>
                </c:pt>
                <c:pt idx="9">
                  <c:v>2015-16</c:v>
                </c:pt>
                <c:pt idx="10">
                  <c:v>2016-17</c:v>
                </c:pt>
              </c:strCache>
            </c:strRef>
          </c:cat>
          <c:val>
            <c:numRef>
              <c:f>Sheet1!$C$3:$C$13</c:f>
              <c:numCache>
                <c:formatCode>#,##0</c:formatCode>
                <c:ptCount val="11"/>
                <c:pt idx="0">
                  <c:v>5514</c:v>
                </c:pt>
                <c:pt idx="1">
                  <c:v>7171</c:v>
                </c:pt>
                <c:pt idx="2">
                  <c:v>4715</c:v>
                </c:pt>
                <c:pt idx="3">
                  <c:v>3723</c:v>
                </c:pt>
                <c:pt idx="4">
                  <c:v>9556</c:v>
                </c:pt>
                <c:pt idx="5">
                  <c:v>9768</c:v>
                </c:pt>
                <c:pt idx="6">
                  <c:v>11668</c:v>
                </c:pt>
                <c:pt idx="7">
                  <c:v>23054</c:v>
                </c:pt>
                <c:pt idx="8">
                  <c:v>36841</c:v>
                </c:pt>
                <c:pt idx="9">
                  <c:v>40149</c:v>
                </c:pt>
                <c:pt idx="10">
                  <c:v>13198</c:v>
                </c:pt>
              </c:numCache>
            </c:numRef>
          </c:val>
        </c:ser>
        <c:dLbls>
          <c:showLegendKey val="0"/>
          <c:showVal val="0"/>
          <c:showCatName val="0"/>
          <c:showSerName val="0"/>
          <c:showPercent val="0"/>
          <c:showBubbleSize val="0"/>
        </c:dLbls>
        <c:gapWidth val="150"/>
        <c:axId val="144526720"/>
        <c:axId val="144589952"/>
      </c:barChart>
      <c:catAx>
        <c:axId val="144526720"/>
        <c:scaling>
          <c:orientation val="minMax"/>
        </c:scaling>
        <c:delete val="0"/>
        <c:axPos val="b"/>
        <c:majorTickMark val="in"/>
        <c:minorTickMark val="none"/>
        <c:tickLblPos val="nextTo"/>
        <c:spPr>
          <a:ln>
            <a:solidFill>
              <a:schemeClr val="bg1"/>
            </a:solidFill>
          </a:ln>
        </c:spPr>
        <c:crossAx val="144589952"/>
        <c:crosses val="autoZero"/>
        <c:auto val="1"/>
        <c:lblAlgn val="ctr"/>
        <c:lblOffset val="100"/>
        <c:noMultiLvlLbl val="0"/>
      </c:catAx>
      <c:valAx>
        <c:axId val="144589952"/>
        <c:scaling>
          <c:orientation val="minMax"/>
        </c:scaling>
        <c:delete val="0"/>
        <c:axPos val="l"/>
        <c:numFmt formatCode="#,##0" sourceLinked="1"/>
        <c:majorTickMark val="in"/>
        <c:minorTickMark val="none"/>
        <c:tickLblPos val="nextTo"/>
        <c:spPr>
          <a:ln>
            <a:solidFill>
              <a:schemeClr val="bg1"/>
            </a:solidFill>
          </a:ln>
        </c:spPr>
        <c:crossAx val="144526720"/>
        <c:crosses val="autoZero"/>
        <c:crossBetween val="between"/>
      </c:valAx>
      <c:spPr>
        <a:noFill/>
      </c:spPr>
    </c:plotArea>
    <c:plotVisOnly val="1"/>
    <c:dispBlanksAs val="gap"/>
    <c:showDLblsOverMax val="0"/>
  </c:chart>
  <c:spPr>
    <a:noFill/>
    <a:ln>
      <a:noFill/>
    </a:ln>
  </c:spPr>
  <c:txPr>
    <a:bodyPr/>
    <a:lstStyle/>
    <a:p>
      <a:pPr>
        <a:defRPr>
          <a:solidFill>
            <a:schemeClr val="bg1"/>
          </a:solidFill>
        </a:defRPr>
      </a:pPr>
      <a:endParaRPr lang="en-U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doughnutChart>
        <c:varyColors val="1"/>
        <c:ser>
          <c:idx val="0"/>
          <c:order val="0"/>
          <c:dPt>
            <c:idx val="0"/>
            <c:bubble3D val="0"/>
            <c:spPr>
              <a:solidFill>
                <a:srgbClr val="E2936A"/>
              </a:solidFill>
            </c:spPr>
          </c:dPt>
          <c:dPt>
            <c:idx val="1"/>
            <c:bubble3D val="0"/>
            <c:spPr>
              <a:solidFill>
                <a:srgbClr val="7988BD"/>
              </a:solidFill>
            </c:spPr>
          </c:dPt>
          <c:dPt>
            <c:idx val="2"/>
            <c:bubble3D val="0"/>
            <c:spPr>
              <a:solidFill>
                <a:srgbClr val="184B93"/>
              </a:solidFill>
            </c:spPr>
          </c:dPt>
          <c:dPt>
            <c:idx val="3"/>
            <c:bubble3D val="0"/>
            <c:spPr>
              <a:solidFill>
                <a:srgbClr val="36A9E1"/>
              </a:solidFill>
            </c:spPr>
          </c:dPt>
          <c:dPt>
            <c:idx val="4"/>
            <c:bubble3D val="0"/>
            <c:spPr>
              <a:solidFill>
                <a:srgbClr val="025556"/>
              </a:solidFill>
            </c:spPr>
          </c:dPt>
          <c:dPt>
            <c:idx val="5"/>
            <c:bubble3D val="0"/>
            <c:spPr>
              <a:solidFill>
                <a:srgbClr val="008689"/>
              </a:solidFill>
            </c:spPr>
          </c:dPt>
          <c:dPt>
            <c:idx val="6"/>
            <c:bubble3D val="0"/>
            <c:spPr>
              <a:solidFill>
                <a:srgbClr val="FDE5D6"/>
              </a:solidFill>
            </c:spPr>
          </c:dPt>
          <c:dLbls>
            <c:dLbl>
              <c:idx val="0"/>
              <c:layout>
                <c:manualLayout>
                  <c:x val="-0.41808917254649369"/>
                  <c:y val="-3.9456552879941841E-2"/>
                </c:manualLayout>
              </c:layout>
              <c:showLegendKey val="1"/>
              <c:showVal val="1"/>
              <c:showCatName val="1"/>
              <c:showSerName val="0"/>
              <c:showPercent val="0"/>
              <c:showBubbleSize val="0"/>
            </c:dLbl>
            <c:dLbl>
              <c:idx val="1"/>
              <c:layout>
                <c:manualLayout>
                  <c:x val="0.28658003462995663"/>
                  <c:y val="-0.10008363017906795"/>
                </c:manualLayout>
              </c:layout>
              <c:showLegendKey val="1"/>
              <c:showVal val="1"/>
              <c:showCatName val="1"/>
              <c:showSerName val="0"/>
              <c:showPercent val="0"/>
              <c:showBubbleSize val="0"/>
            </c:dLbl>
            <c:dLbl>
              <c:idx val="2"/>
              <c:layout>
                <c:manualLayout>
                  <c:x val="0.22104435197816075"/>
                  <c:y val="-0.16681388890268925"/>
                </c:manualLayout>
              </c:layout>
              <c:showLegendKey val="1"/>
              <c:showVal val="1"/>
              <c:showCatName val="1"/>
              <c:showSerName val="0"/>
              <c:showPercent val="0"/>
              <c:showBubbleSize val="0"/>
            </c:dLbl>
            <c:dLbl>
              <c:idx val="3"/>
              <c:layout>
                <c:manualLayout>
                  <c:x val="0.24720254116287099"/>
                  <c:y val="-8.4718530626033989E-2"/>
                </c:manualLayout>
              </c:layout>
              <c:showLegendKey val="1"/>
              <c:showVal val="1"/>
              <c:showCatName val="1"/>
              <c:showSerName val="0"/>
              <c:showPercent val="0"/>
              <c:showBubbleSize val="0"/>
            </c:dLbl>
            <c:dLbl>
              <c:idx val="4"/>
              <c:layout>
                <c:manualLayout>
                  <c:x val="0.2599452957710145"/>
                  <c:y val="0.10877918155035447"/>
                </c:manualLayout>
              </c:layout>
              <c:showLegendKey val="1"/>
              <c:showVal val="1"/>
              <c:showCatName val="1"/>
              <c:showSerName val="0"/>
              <c:showPercent val="0"/>
              <c:showBubbleSize val="0"/>
            </c:dLbl>
            <c:dLbl>
              <c:idx val="5"/>
              <c:layout>
                <c:manualLayout>
                  <c:x val="-0.25930588243937919"/>
                  <c:y val="-4.3801678896545328E-2"/>
                </c:manualLayout>
              </c:layout>
              <c:showLegendKey val="1"/>
              <c:showVal val="1"/>
              <c:showCatName val="1"/>
              <c:showSerName val="0"/>
              <c:showPercent val="0"/>
              <c:showBubbleSize val="0"/>
            </c:dLbl>
            <c:dLbl>
              <c:idx val="6"/>
              <c:layout>
                <c:manualLayout>
                  <c:x val="-0.38373596168336527"/>
                  <c:y val="0.18947319611359795"/>
                </c:manualLayout>
              </c:layout>
              <c:showLegendKey val="1"/>
              <c:showVal val="1"/>
              <c:showCatName val="1"/>
              <c:showSerName val="0"/>
              <c:showPercent val="0"/>
              <c:showBubbleSize val="0"/>
            </c:dLbl>
            <c:showLegendKey val="1"/>
            <c:showVal val="1"/>
            <c:showCatName val="1"/>
            <c:showSerName val="0"/>
            <c:showPercent val="0"/>
            <c:showBubbleSize val="0"/>
            <c:showLeaderLines val="1"/>
          </c:dLbls>
          <c:cat>
            <c:strRef>
              <c:f>Sheet1!$A$2:$A$8</c:f>
              <c:strCache>
                <c:ptCount val="7"/>
                <c:pt idx="0">
                  <c:v>ACT</c:v>
                </c:pt>
                <c:pt idx="1">
                  <c:v>NSW</c:v>
                </c:pt>
                <c:pt idx="2">
                  <c:v>QLD</c:v>
                </c:pt>
                <c:pt idx="3">
                  <c:v>SA</c:v>
                </c:pt>
                <c:pt idx="4">
                  <c:v>TAS</c:v>
                </c:pt>
                <c:pt idx="5">
                  <c:v>VIC</c:v>
                </c:pt>
                <c:pt idx="6">
                  <c:v>WA</c:v>
                </c:pt>
              </c:strCache>
            </c:strRef>
          </c:cat>
          <c:val>
            <c:numRef>
              <c:f>Sheet1!$B$2:$B$8</c:f>
              <c:numCache>
                <c:formatCode>0.00%</c:formatCode>
                <c:ptCount val="7"/>
                <c:pt idx="0">
                  <c:v>5.4999999999999997E-3</c:v>
                </c:pt>
                <c:pt idx="1">
                  <c:v>0.21129999999999999</c:v>
                </c:pt>
                <c:pt idx="2">
                  <c:v>0.1439</c:v>
                </c:pt>
                <c:pt idx="3">
                  <c:v>1.2800000000000001E-2</c:v>
                </c:pt>
                <c:pt idx="4">
                  <c:v>3.5999999999999999E-3</c:v>
                </c:pt>
                <c:pt idx="5">
                  <c:v>0.56469999999999998</c:v>
                </c:pt>
                <c:pt idx="6">
                  <c:v>5.8299999999999998E-2</c:v>
                </c:pt>
              </c:numCache>
            </c:numRef>
          </c:val>
        </c:ser>
        <c:dLbls>
          <c:showLegendKey val="0"/>
          <c:showVal val="1"/>
          <c:showCatName val="0"/>
          <c:showSerName val="0"/>
          <c:showPercent val="0"/>
          <c:showBubbleSize val="0"/>
          <c:showLeaderLines val="1"/>
        </c:dLbls>
        <c:firstSliceAng val="0"/>
        <c:holeSize val="50"/>
      </c:doughnutChart>
    </c:plotArea>
    <c:plotVisOnly val="1"/>
    <c:dispBlanksAs val="gap"/>
    <c:showDLblsOverMax val="0"/>
  </c:chart>
  <c:spPr>
    <a:ln>
      <a:noFill/>
    </a:ln>
  </c:spPr>
  <c:externalData r:id="rId1">
    <c:autoUpdate val="0"/>
  </c:externalData>
</c:chartSpace>
</file>

<file path=word/drawings/drawing1.xml><?xml version="1.0" encoding="utf-8"?>
<c:userShapes xmlns:c="http://schemas.openxmlformats.org/drawingml/2006/chart">
  <cdr:relSizeAnchor xmlns:cdr="http://schemas.openxmlformats.org/drawingml/2006/chartDrawing">
    <cdr:from>
      <cdr:x>0.52332</cdr:x>
      <cdr:y>0.06179</cdr:y>
    </cdr:from>
    <cdr:to>
      <cdr:x>0.52446</cdr:x>
      <cdr:y>0.83331</cdr:y>
    </cdr:to>
    <cdr:cxnSp macro="">
      <cdr:nvCxnSpPr>
        <cdr:cNvPr id="2" name="Straight Connector 1"/>
        <cdr:cNvCxnSpPr/>
      </cdr:nvCxnSpPr>
      <cdr:spPr>
        <a:xfrm xmlns:a="http://schemas.openxmlformats.org/drawingml/2006/main" flipH="1">
          <a:off x="2553129" y="167383"/>
          <a:ext cx="5562" cy="2089978"/>
        </a:xfrm>
        <a:prstGeom xmlns:a="http://schemas.openxmlformats.org/drawingml/2006/main" prst="line">
          <a:avLst/>
        </a:prstGeom>
        <a:ln xmlns:a="http://schemas.openxmlformats.org/drawingml/2006/main" w="6350">
          <a:solidFill>
            <a:srgbClr val="000000"/>
          </a:solidFill>
          <a:prstDash val="dash"/>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0.53087</cdr:x>
      <cdr:y>0.36546</cdr:y>
    </cdr:from>
    <cdr:to>
      <cdr:x>0.89446</cdr:x>
      <cdr:y>0.42829</cdr:y>
    </cdr:to>
    <cdr:sp macro="" textlink="">
      <cdr:nvSpPr>
        <cdr:cNvPr id="3" name="TextBox 2"/>
        <cdr:cNvSpPr txBox="1"/>
      </cdr:nvSpPr>
      <cdr:spPr>
        <a:xfrm xmlns:a="http://schemas.openxmlformats.org/drawingml/2006/main">
          <a:off x="2962275" y="1052513"/>
          <a:ext cx="2028825" cy="1809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AU" sz="800"/>
            <a:t>FDI spike into China</a:t>
          </a:r>
          <a:r>
            <a:rPr lang="en-AU" sz="800" baseline="0"/>
            <a:t> and India</a:t>
          </a:r>
          <a:endParaRPr lang="en-AU" sz="800"/>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d4dd4adf-ddb3-46a3-8d7c-fab3fb2a6bc7">
      <Value>11</Value>
    </TaxCatchAll>
    <lb508a4dc5e84436a0fe496b536466aa xmlns="d4dd4adf-ddb3-46a3-8d7c-fab3fb2a6bc7">
      <Terms xmlns="http://schemas.microsoft.com/office/infopath/2007/PartnerControls">
        <TermInfo xmlns="http://schemas.microsoft.com/office/infopath/2007/PartnerControls">
          <TermName xmlns="http://schemas.microsoft.com/office/infopath/2007/PartnerControls">TSY RA-9052 - Retain as national archives</TermName>
          <TermId xmlns="http://schemas.microsoft.com/office/infopath/2007/PartnerControls">ac55390f-b26f-4756-8634-9527e3d5cfe1</TermId>
        </TermInfo>
      </Terms>
    </lb508a4dc5e84436a0fe496b536466aa>
    <_dlc_DocId xmlns="d4dd4adf-ddb3-46a3-8d7c-fab3fb2a6bc7">2018MG-810075526-273</_dlc_DocId>
    <_dlc_DocIdUrl xmlns="d4dd4adf-ddb3-46a3-8d7c-fab3fb2a6bc7">
      <Url>http://tweb/sites/mg/fitpd/_layouts/15/DocIdRedir.aspx?ID=2018MG-810075526-273</Url>
      <Description>2018MG-810075526-273</Description>
    </_dlc_DocIdUrl>
  </documentManagement>
</p:properties>
</file>

<file path=customXml/item2.xml><?xml version="1.0" encoding="utf-8"?>
<?mso-contentType ?>
<p:Policy xmlns:p="office.server.policy" id="" local="true">
  <p:Name>Treasury Document</p:Name>
  <p:Description/>
  <p:Statement/>
  <p:PolicyItems>
    <p:PolicyItem featureId="Microsoft.Office.RecordsManagement.PolicyFeatures.PolicyAudit" staticId="0x010100E95D40E5DFEA714B90E88DB5CE07A6B5|-421390505" UniqueId="72a3b914-5376-4e08-a93a-e02e58e6045f">
      <p:Name>Auditing</p:Name>
      <p:Description>Audits user actions on documents and list items to the Audit Log.</p:Description>
      <p:CustomData>
        <Audit>
          <Update/>
          <DeleteRestore/>
        </Audit>
      </p:CustomData>
    </p:PolicyItem>
  </p:PolicyItems>
</p:Policy>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Treasury Document" ma:contentTypeID="0x010100E95D40E5DFEA714B90E88DB5CE07A6B500045FBBFE3100674D8DB8D97439A7612C" ma:contentTypeVersion="11488" ma:contentTypeDescription="" ma:contentTypeScope="" ma:versionID="f48d2f401b6e10ee4bafc9484a2b7e26">
  <xsd:schema xmlns:xsd="http://www.w3.org/2001/XMLSchema" xmlns:xs="http://www.w3.org/2001/XMLSchema" xmlns:p="http://schemas.microsoft.com/office/2006/metadata/properties" xmlns:ns1="http://schemas.microsoft.com/sharepoint/v3" xmlns:ns2="d4dd4adf-ddb3-46a3-8d7c-fab3fb2a6bc7" targetNamespace="http://schemas.microsoft.com/office/2006/metadata/properties" ma:root="true" ma:fieldsID="bf938bff0a6181cccf2e31c5509e68d8" ns1:_="" ns2:_="">
    <xsd:import namespace="http://schemas.microsoft.com/sharepoint/v3"/>
    <xsd:import namespace="d4dd4adf-ddb3-46a3-8d7c-fab3fb2a6bc7"/>
    <xsd:element name="properties">
      <xsd:complexType>
        <xsd:sequence>
          <xsd:element name="documentManagement">
            <xsd:complexType>
              <xsd:all>
                <xsd:element ref="ns2:_dlc_DocId" minOccurs="0"/>
                <xsd:element ref="ns2:_dlc_DocIdUrl" minOccurs="0"/>
                <xsd:element ref="ns2:_dlc_DocIdPersistId" minOccurs="0"/>
                <xsd:element ref="ns2:lb508a4dc5e84436a0fe496b536466aa" minOccurs="0"/>
                <xsd:element ref="ns2:TaxCatchAll" minOccurs="0"/>
                <xsd:element ref="ns2:TaxCatchAllLabel" minOccurs="0"/>
                <xsd:element ref="ns1:_dlc_Exempt"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dlc_Exempt" ma:index="15" nillable="true" ma:displayName="Exempt from Policy" ma:hidden="true" ma:internalName="_dlc_Exempt"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d4dd4adf-ddb3-46a3-8d7c-fab3fb2a6bc7"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lb508a4dc5e84436a0fe496b536466aa" ma:index="11" nillable="true" ma:taxonomy="true" ma:internalName="lb508a4dc5e84436a0fe496b536466aa" ma:taxonomyFieldName="TSYRecordClass" ma:displayName="Record Class" ma:readOnly="false" ma:default="11;#TSY RA-9052 - Retain as national archives|ac55390f-b26f-4756-8634-9527e3d5cfe1" ma:fieldId="{5b508a4d-c5e8-4436-a0fe-496b536466aa}" ma:sspId="77b7a547-5880-464f-83f8-cefe583c3af4" ma:termSetId="8c8a1de6-dea5-4e66-bd5a-b7b3daae0f37" ma:anchorId="00000000-0000-0000-0000-000000000000" ma:open="false" ma:isKeyword="false">
      <xsd:complexType>
        <xsd:sequence>
          <xsd:element ref="pc:Terms" minOccurs="0" maxOccurs="1"/>
        </xsd:sequence>
      </xsd:complexType>
    </xsd:element>
    <xsd:element name="TaxCatchAll" ma:index="12" nillable="true" ma:displayName="Taxonomy Catch All Column" ma:hidden="true" ma:list="{ab865bba-d958-40fe-b21d-a68aa7a39431}" ma:internalName="TaxCatchAll" ma:showField="CatchAllData" ma:web="d4dd4adf-ddb3-46a3-8d7c-fab3fb2a6bc7">
      <xsd:complexType>
        <xsd:complexContent>
          <xsd:extension base="dms:MultiChoiceLookup">
            <xsd:sequence>
              <xsd:element name="Value" type="dms:Lookup" maxOccurs="unbounded" minOccurs="0" nillable="true"/>
            </xsd:sequence>
          </xsd:extension>
        </xsd:complexContent>
      </xsd:complexType>
    </xsd:element>
    <xsd:element name="TaxCatchAllLabel" ma:index="13" nillable="true" ma:displayName="Taxonomy Catch All Column1" ma:hidden="true" ma:list="{ab865bba-d958-40fe-b21d-a68aa7a39431}" ma:internalName="TaxCatchAllLabel" ma:readOnly="true" ma:showField="CatchAllDataLabel" ma:web="d4dd4adf-ddb3-46a3-8d7c-fab3fb2a6bc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Receiver>
    <Name>Policy Auditing</Name>
    <Synchronization>Synchronous</Synchronization>
    <Type>10001</Type>
    <SequenceNumber>1100</SequenceNumber>
    <Url/>
    <Assembly>Microsoft.Office.Policy, Version=15.0.0.0, Culture=neutral, PublicKeyToken=71e9bce111e9429c</Assembly>
    <Class>Microsoft.Office.RecordsManagement.Internal.AuditHandler</Class>
    <Data/>
    <Filter/>
  </Receiver>
  <Receiver>
    <Name>Policy Auditing</Name>
    <Synchronization>Synchronous</Synchronization>
    <Type>10002</Type>
    <SequenceNumber>1101</SequenceNumber>
    <Url/>
    <Assembly>Microsoft.Office.Policy, Version=15.0.0.0, Culture=neutral, PublicKeyToken=71e9bce111e9429c</Assembly>
    <Class>Microsoft.Office.RecordsManagement.Internal.AuditHandler</Class>
    <Data/>
    <Filter/>
  </Receiver>
  <Receiver>
    <Name>Policy Auditing</Name>
    <Synchronization>Synchronous</Synchronization>
    <Type>10004</Type>
    <SequenceNumber>1102</SequenceNumber>
    <Url/>
    <Assembly>Microsoft.Office.Policy, Version=15.0.0.0, Culture=neutral, PublicKeyToken=71e9bce111e9429c</Assembly>
    <Class>Microsoft.Office.RecordsManagement.Internal.AuditHandler</Class>
    <Data/>
    <Filter/>
  </Receiver>
  <Receiver>
    <Name>Policy Auditing</Name>
    <Synchronization>Synchronous</Synchronization>
    <Type>10006</Type>
    <SequenceNumber>1103</SequenceNumber>
    <Url/>
    <Assembly>Microsoft.Office.Policy, Version=15.0.0.0, Culture=neutral, PublicKeyToken=71e9bce111e9429c</Assembly>
    <Class>Microsoft.Office.RecordsManagement.Internal.AuditHandler</Class>
    <Data/>
    <Filter/>
  </Receiver>
  <Receiver>
    <Name/>
    <Synchronization>Asynchronous</Synchronization>
    <Type>10003</Type>
    <SequenceNumber>10000</SequenceNumber>
    <Url/>
    <Assembly>RecordPoint.Active.UI, Version=1.0.0.0, Culture=neutral, PublicKeyToken=d49476ae5b650bf3</Assembly>
    <Class>RecordPoint.Active.UI.Events.WorkflowItemEventReceiver</Class>
    <Data/>
    <Filter/>
  </Receiver>
  <Receiver>
    <Name/>
    <Synchronization>Synchronous</Synchronization>
    <Type>3</Type>
    <SequenceNumber>10000</SequenceNumber>
    <Url/>
    <Assembly>RecordPoint.Active.UI, Version=1.0.0.0, Culture=neutral, PublicKeyToken=d49476ae5b650bf3</Assembly>
    <Class>RecordPoint.Active.UI.Events.WorkflowItemEventReceiver</Class>
    <Data/>
    <Filter/>
  </Receiver>
  <Receiver>
    <Name/>
    <Synchronization>Asynchronous</Synchronization>
    <Type>10009</Type>
    <SequenceNumber>10000</SequenceNumber>
    <Url/>
    <Assembly>RecordPoint.Active.UI, Version=1.0.0.0, Culture=neutral, PublicKeyToken=d49476ae5b650bf3</Assembly>
    <Class>RecordPoint.Active.UI.Events.WorkflowItemEventReceiver</Class>
    <Data/>
    <Filter/>
  </Receiver>
  <Receiver>
    <Name/>
    <Synchronization>Synchronous</Synchronization>
    <Type>9</Type>
    <SequenceNumber>10000</SequenceNumber>
    <Url/>
    <Assembly>RecordPoint.Active.UI, Version=1.0.0.0, Culture=neutral, PublicKeyToken=d49476ae5b650bf3</Assembly>
    <Class>RecordPoint.Active.UI.Events.WorkflowItemEventReceiver</Class>
    <Data/>
    <Filter/>
  </Receiver>
  <Receiver>
    <Name/>
    <Synchronization>Asynchronous</Synchronization>
    <Type>10103</Type>
    <SequenceNumber>10000</SequenceNumber>
    <Url/>
    <Assembly>RecordPoint.Active.UI, Version=1.0.0.0, Culture=neutral, PublicKeyToken=d49476ae5b650bf3</Assembly>
    <Class>RecordPoint.Active.UI.Events.WorkflowListEventReceiver</Class>
    <Data/>
    <Filter/>
  </Receiver>
  <Receiver>
    <Name/>
    <Synchronization>Synchronous</Synchronization>
    <Type>102</Type>
    <SequenceNumber>10000</SequenceNumber>
    <Url/>
    <Assembly>RecordPoint.Active.UI, Version=1.0.0.0, Culture=neutral, PublicKeyToken=d49476ae5b650bf3</Assembly>
    <Class>RecordPoint.Active.UI.Events.WorkflowListEventReceiver</Class>
    <Data/>
    <Filter/>
  </Receiver>
  <Receiver>
    <Name/>
    <Synchronization>Asynchronous</Synchronization>
    <Type>10105</Type>
    <SequenceNumber>10000</SequenceNumber>
    <Url/>
    <Assembly>RecordPoint.Active.UI, Version=1.0.0.0, Culture=neutral, PublicKeyToken=d49476ae5b650bf3</Assembly>
    <Class>RecordPoint.Active.UI.Events.WorkflowListEventReceiver</Class>
    <Data/>
    <Filter/>
  </Receiver>
  <Receiver>
    <Name/>
    <Synchronization>Synchronous</Synchronization>
    <Type>105</Type>
    <SequenceNumber>10000</SequenceNumber>
    <Url/>
    <Assembly>RecordPoint.Active.UI, Version=1.0.0.0, Culture=neutral, PublicKeyToken=d49476ae5b650bf3</Assembly>
    <Class>RecordPoint.Active.UI.Events.WorkflowListEventReceiver</Class>
    <Data/>
    <Filter/>
  </Receiver>
  <Receiver>
    <Name/>
    <Synchronization>Asynchronous</Synchronization>
    <Type>10002</Type>
    <SequenceNumber>10000</SequenceNumber>
    <Url/>
    <Assembly>RecordPoint.Active.UI, Version=1.0.0.0, Culture=neutral, PublicKeyToken=d49476ae5b650bf3</Assembly>
    <Class>RecordPoint.Active.UI.Events.WorkflowItemEventReceiver</Class>
    <Data/>
    <Filter/>
  </Receiver>
  <Receiver>
    <Name/>
    <Synchronization>Synchronous</Synchronization>
    <Type>2</Type>
    <SequenceNumber>10000</SequenceNumber>
    <Url/>
    <Assembly>RecordPoint.Active.UI, Version=1.0.0.0, Culture=neutral, PublicKeyToken=d49476ae5b650bf3</Assembly>
    <Class>RecordPoint.Active.UI.Events.WorkflowItemEventReceiver</Class>
    <Data/>
    <Filter/>
  </Receiver>
  <Receiver>
    <Name>Policy Auditing</Name>
    <Synchronization>Synchronous</Synchronization>
    <Type>10001</Type>
    <SequenceNumber>1100</SequenceNumber>
    <Url/>
    <Assembly>Microsoft.Office.Policy, Version=15.0.0.0, Culture=neutral, PublicKeyToken=71e9bce111e9429c</Assembly>
    <Class>Microsoft.Office.RecordsManagement.Internal.AuditHandler</Class>
    <Data/>
    <Filter/>
  </Receiver>
  <Receiver>
    <Name>Policy Auditing</Name>
    <Synchronization>Synchronous</Synchronization>
    <Type>10002</Type>
    <SequenceNumber>1101</SequenceNumber>
    <Url/>
    <Assembly>Microsoft.Office.Policy, Version=15.0.0.0, Culture=neutral, PublicKeyToken=71e9bce111e9429c</Assembly>
    <Class>Microsoft.Office.RecordsManagement.Internal.AuditHandler</Class>
    <Data/>
    <Filter/>
  </Receiver>
  <Receiver>
    <Name>Policy Auditing</Name>
    <Synchronization>Synchronous</Synchronization>
    <Type>10004</Type>
    <SequenceNumber>1102</SequenceNumber>
    <Url/>
    <Assembly>Microsoft.Office.Policy, Version=15.0.0.0, Culture=neutral, PublicKeyToken=71e9bce111e9429c</Assembly>
    <Class>Microsoft.Office.RecordsManagement.Internal.AuditHandler</Class>
    <Data/>
    <Filter/>
  </Receiver>
  <Receiver>
    <Name>Policy Auditing</Name>
    <Synchronization>Synchronous</Synchronization>
    <Type>10006</Type>
    <SequenceNumber>1103</SequenceNumber>
    <Url/>
    <Assembly>Microsoft.Office.Policy, Version=15.0.0.0, Culture=neutral, PublicKeyToken=71e9bce111e9429c</Assembly>
    <Class>Microsoft.Office.RecordsManagement.Internal.AuditHandler</Class>
    <Data/>
    <Filter/>
  </Receiver>
</spe:Receivers>
</file>

<file path=customXml/item6.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D70B65F-96C1-4E84-AD20-CEC7209A74FA}">
  <ds:schemaRefs>
    <ds:schemaRef ds:uri="http://www.w3.org/XML/1998/namespace"/>
    <ds:schemaRef ds:uri="http://purl.org/dc/terms/"/>
    <ds:schemaRef ds:uri="http://purl.org/dc/elements/1.1/"/>
    <ds:schemaRef ds:uri="http://schemas.microsoft.com/office/2006/documentManagement/types"/>
    <ds:schemaRef ds:uri="http://schemas.microsoft.com/office/infopath/2007/PartnerControls"/>
    <ds:schemaRef ds:uri="http://schemas.openxmlformats.org/package/2006/metadata/core-properties"/>
    <ds:schemaRef ds:uri="http://schemas.microsoft.com/office/2006/metadata/properties"/>
    <ds:schemaRef ds:uri="d4dd4adf-ddb3-46a3-8d7c-fab3fb2a6bc7"/>
    <ds:schemaRef ds:uri="http://schemas.microsoft.com/sharepoint/v3"/>
    <ds:schemaRef ds:uri="http://purl.org/dc/dcmitype/"/>
  </ds:schemaRefs>
</ds:datastoreItem>
</file>

<file path=customXml/itemProps2.xml><?xml version="1.0" encoding="utf-8"?>
<ds:datastoreItem xmlns:ds="http://schemas.openxmlformats.org/officeDocument/2006/customXml" ds:itemID="{BD07C834-A373-4EE6-83AA-92F2CCEF9BBA}">
  <ds:schemaRefs>
    <ds:schemaRef ds:uri="office.server.policy"/>
  </ds:schemaRefs>
</ds:datastoreItem>
</file>

<file path=customXml/itemProps3.xml><?xml version="1.0" encoding="utf-8"?>
<ds:datastoreItem xmlns:ds="http://schemas.openxmlformats.org/officeDocument/2006/customXml" ds:itemID="{3C39AEBF-7B18-4BC9-85FF-92DA4C677911}">
  <ds:schemaRefs>
    <ds:schemaRef ds:uri="http://schemas.microsoft.com/sharepoint/v3/contenttype/forms"/>
  </ds:schemaRefs>
</ds:datastoreItem>
</file>

<file path=customXml/itemProps4.xml><?xml version="1.0" encoding="utf-8"?>
<ds:datastoreItem xmlns:ds="http://schemas.openxmlformats.org/officeDocument/2006/customXml" ds:itemID="{D40B3158-5F8A-4BDE-8299-34EB8E1F9DF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d4dd4adf-ddb3-46a3-8d7c-fab3fb2a6bc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36C47389-49C2-4957-B5A7-39870F8C1682}">
  <ds:schemaRefs>
    <ds:schemaRef ds:uri="http://schemas.microsoft.com/sharepoint/events"/>
  </ds:schemaRefs>
</ds:datastoreItem>
</file>

<file path=customXml/itemProps6.xml><?xml version="1.0" encoding="utf-8"?>
<ds:datastoreItem xmlns:ds="http://schemas.openxmlformats.org/officeDocument/2006/customXml" ds:itemID="{8C2D5044-7363-48AB-AE75-154B6FF722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FIRB Annual Report.dotm</Template>
  <TotalTime>1</TotalTime>
  <Pages>73</Pages>
  <Words>14942</Words>
  <Characters>85176</Characters>
  <Application>Microsoft Office Word</Application>
  <DocSecurity>4</DocSecurity>
  <Lines>709</Lines>
  <Paragraphs>199</Paragraphs>
  <ScaleCrop>false</ScaleCrop>
  <HeadingPairs>
    <vt:vector size="2" baseType="variant">
      <vt:variant>
        <vt:lpstr>Title</vt:lpstr>
      </vt:variant>
      <vt:variant>
        <vt:i4>1</vt:i4>
      </vt:variant>
    </vt:vector>
  </HeadingPairs>
  <TitlesOfParts>
    <vt:vector size="1" baseType="lpstr">
      <vt:lpstr>2016-17 Annual Report</vt:lpstr>
    </vt:vector>
  </TitlesOfParts>
  <Company>Australian Government - The Treasury</Company>
  <LinksUpToDate>false</LinksUpToDate>
  <CharactersWithSpaces>99919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2016-17 Annual Report</dc:title>
  <dc:creator>Foreign Investment Review Board</dc:creator>
  <cp:lastModifiedBy>Thomas, Deborah</cp:lastModifiedBy>
  <cp:revision>2</cp:revision>
  <cp:lastPrinted>2018-05-08T07:00:00Z</cp:lastPrinted>
  <dcterms:created xsi:type="dcterms:W3CDTF">2018-05-28T21:08:00Z</dcterms:created>
  <dcterms:modified xsi:type="dcterms:W3CDTF">2018-05-28T21:08:00Z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0x010100E95D40E5DFEA714B90E88DB5CE07A6B500045FBBFE3100674D8DB8D97439A7612C</vt:lpwstr>
  </property>
  <property fmtid="{D5CDD505-2E9C-101B-9397-08002B2CF9AE}" pid="3" name="TSYRecordClass">
    <vt:lpwstr>11;#TSY RA-9052 - Retain as national archives|ac55390f-b26f-4756-8634-9527e3d5cfe1</vt:lpwstr>
  </property>
  <property fmtid="{D5CDD505-2E9C-101B-9397-08002B2CF9AE}" pid="4" name="RecordPoint_WorkflowType">
    <vt:lpwstr>ActiveSubmitStub</vt:lpwstr>
  </property>
  <property fmtid="{D5CDD505-2E9C-101B-9397-08002B2CF9AE}" pid="5" name="_dlc_DocIdItemGuid">
    <vt:lpwstr>db3fdde3-a57c-4dcd-9c38-46b93821a606</vt:lpwstr>
  </property>
  <property fmtid="{D5CDD505-2E9C-101B-9397-08002B2CF9AE}" pid="6" name="RecordPoint_SubmissionDate">
    <vt:lpwstr/>
  </property>
  <property fmtid="{D5CDD505-2E9C-101B-9397-08002B2CF9AE}" pid="7" name="RecordPoint_ActiveItemMoved">
    <vt:lpwstr/>
  </property>
  <property fmtid="{D5CDD505-2E9C-101B-9397-08002B2CF9AE}" pid="8" name="RecordPoint_RecordFormat">
    <vt:lpwstr/>
  </property>
  <property fmtid="{D5CDD505-2E9C-101B-9397-08002B2CF9AE}" pid="9" name="RecordPoint_ActiveItemSiteId">
    <vt:lpwstr>{08cedf7d-7ad2-4b81-a81f-47e3ec332c41}</vt:lpwstr>
  </property>
  <property fmtid="{D5CDD505-2E9C-101B-9397-08002B2CF9AE}" pid="10" name="RecordPoint_ActiveItemListId">
    <vt:lpwstr>{74115427-e21e-4094-a38d-fe74240dfd26}</vt:lpwstr>
  </property>
  <property fmtid="{D5CDD505-2E9C-101B-9397-08002B2CF9AE}" pid="11" name="RecordPoint_ActiveItemWebId">
    <vt:lpwstr>{31eac4f3-160a-4a13-a9a0-2808d5b44bbf}</vt:lpwstr>
  </property>
  <property fmtid="{D5CDD505-2E9C-101B-9397-08002B2CF9AE}" pid="12" name="_AdHocReviewCycleID">
    <vt:i4>-1216513245</vt:i4>
  </property>
  <property fmtid="{D5CDD505-2E9C-101B-9397-08002B2CF9AE}" pid="13" name="_NewReviewCycle">
    <vt:lpwstr/>
  </property>
  <property fmtid="{D5CDD505-2E9C-101B-9397-08002B2CF9AE}" pid="14" name="_EmailSubject">
    <vt:lpwstr>Publishing FIRB Annual Report - Monday Public Holiday [SEC=UNCLASSIFIED]</vt:lpwstr>
  </property>
  <property fmtid="{D5CDD505-2E9C-101B-9397-08002B2CF9AE}" pid="15" name="_AuthorEmail">
    <vt:lpwstr>Matthew.Plevey@TREASURY.GOV.AU</vt:lpwstr>
  </property>
  <property fmtid="{D5CDD505-2E9C-101B-9397-08002B2CF9AE}" pid="16" name="_AuthorEmailDisplayName">
    <vt:lpwstr>Plevey, Matthew</vt:lpwstr>
  </property>
  <property fmtid="{D5CDD505-2E9C-101B-9397-08002B2CF9AE}" pid="17" name="RecordPoint_ActiveItemUniqueId">
    <vt:lpwstr>{db3fdde3-a57c-4dcd-9c38-46b93821a606}</vt:lpwstr>
  </property>
  <property fmtid="{D5CDD505-2E9C-101B-9397-08002B2CF9AE}" pid="18" name="RecordPoint_RecordNumberSubmitted">
    <vt:lpwstr>R0001678919</vt:lpwstr>
  </property>
  <property fmtid="{D5CDD505-2E9C-101B-9397-08002B2CF9AE}" pid="19" name="RecordPoint_SubmissionCompleted">
    <vt:lpwstr>2018-05-25T11:42:28.7457137+10:00</vt:lpwstr>
  </property>
  <property fmtid="{D5CDD505-2E9C-101B-9397-08002B2CF9AE}" pid="20" name="_PreviousAdHocReviewCycleID">
    <vt:i4>-591663701</vt:i4>
  </property>
  <property fmtid="{D5CDD505-2E9C-101B-9397-08002B2CF9AE}" pid="21" name="_ReviewingToolsShownOnce">
    <vt:lpwstr/>
  </property>
</Properties>
</file>