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E7888" w14:textId="77777777" w:rsidR="0052463D" w:rsidRPr="005B5BBE" w:rsidRDefault="005E5CBF" w:rsidP="00775B9B">
      <w:pPr>
        <w:pStyle w:val="CoverTitleMain"/>
        <w:rPr>
          <w:rFonts w:asciiTheme="minorHAnsi" w:hAnsiTheme="minorHAnsi"/>
          <w:sz w:val="46"/>
        </w:rPr>
      </w:pPr>
      <w:r w:rsidRPr="005B5BBE">
        <w:rPr>
          <w:rFonts w:asciiTheme="minorHAnsi" w:hAnsiTheme="minorHAnsi"/>
          <w:sz w:val="46"/>
        </w:rPr>
        <w:t>REGULATOR PERFORMANCE FRAMEWORK</w:t>
      </w:r>
    </w:p>
    <w:p w14:paraId="7802BDD0" w14:textId="77777777" w:rsidR="005E5CBF" w:rsidRPr="005B5BBE" w:rsidRDefault="00B9704A" w:rsidP="00775B9B">
      <w:pPr>
        <w:pStyle w:val="CoverTitleSub"/>
        <w:rPr>
          <w:rFonts w:asciiTheme="minorHAnsi" w:hAnsiTheme="minorHAnsi"/>
          <w:sz w:val="66"/>
        </w:rPr>
      </w:pPr>
      <w:r w:rsidRPr="005B5BBE">
        <w:rPr>
          <w:rFonts w:asciiTheme="minorHAnsi" w:hAnsiTheme="minorHAnsi"/>
          <w:sz w:val="66"/>
        </w:rPr>
        <w:t>Administration of Australia’s</w:t>
      </w:r>
      <w:r w:rsidR="00775B9B" w:rsidRPr="005B5BBE">
        <w:rPr>
          <w:rFonts w:asciiTheme="minorHAnsi" w:hAnsiTheme="minorHAnsi"/>
          <w:sz w:val="66"/>
        </w:rPr>
        <w:br/>
      </w:r>
      <w:r w:rsidR="00744C8A" w:rsidRPr="005B5BBE">
        <w:rPr>
          <w:rFonts w:asciiTheme="minorHAnsi" w:hAnsiTheme="minorHAnsi"/>
          <w:sz w:val="66"/>
        </w:rPr>
        <w:t>Foreign Investment Framework</w:t>
      </w:r>
    </w:p>
    <w:p w14:paraId="1C38CE8C" w14:textId="71F4B9C3" w:rsidR="00775B9B" w:rsidRPr="005B5BBE" w:rsidRDefault="00527F07" w:rsidP="00775B9B">
      <w:pPr>
        <w:pStyle w:val="CoverTitleSubDate"/>
        <w:rPr>
          <w:rFonts w:asciiTheme="minorHAnsi" w:hAnsiTheme="minorHAnsi"/>
        </w:rPr>
      </w:pPr>
      <w:r>
        <w:rPr>
          <w:rFonts w:asciiTheme="minorHAnsi" w:hAnsiTheme="minorHAnsi"/>
        </w:rPr>
        <w:t>R</w:t>
      </w:r>
      <w:r w:rsidR="00BC5F58" w:rsidRPr="005B5BBE">
        <w:rPr>
          <w:rFonts w:asciiTheme="minorHAnsi" w:hAnsiTheme="minorHAnsi"/>
        </w:rPr>
        <w:t>eport</w:t>
      </w:r>
      <w:r w:rsidR="0052463D" w:rsidRPr="005B5BBE">
        <w:rPr>
          <w:rFonts w:asciiTheme="minorHAnsi" w:hAnsiTheme="minorHAnsi"/>
        </w:rPr>
        <w:t xml:space="preserve"> </w:t>
      </w:r>
      <w:r w:rsidR="00C602DD">
        <w:rPr>
          <w:rFonts w:asciiTheme="minorHAnsi" w:hAnsiTheme="minorHAnsi"/>
        </w:rPr>
        <w:t>2018-19</w:t>
      </w:r>
    </w:p>
    <w:p w14:paraId="4A589F9C" w14:textId="77777777" w:rsidR="00BC5F58" w:rsidRPr="005B5BBE" w:rsidRDefault="00BC5F58" w:rsidP="00775B9B">
      <w:pPr>
        <w:pStyle w:val="CoverTitleSubDate"/>
        <w:rPr>
          <w:rFonts w:asciiTheme="minorHAnsi" w:hAnsiTheme="minorHAnsi"/>
        </w:rPr>
        <w:sectPr w:rsidR="00BC5F58" w:rsidRPr="005B5BBE" w:rsidSect="00924BEC">
          <w:headerReference w:type="even" r:id="rId13"/>
          <w:headerReference w:type="default" r:id="rId14"/>
          <w:footerReference w:type="even" r:id="rId15"/>
          <w:footerReference w:type="default" r:id="rId16"/>
          <w:headerReference w:type="first" r:id="rId17"/>
          <w:pgSz w:w="11906" w:h="16838" w:code="277"/>
          <w:pgMar w:top="1440" w:right="1440" w:bottom="1440" w:left="1440" w:header="851" w:footer="851" w:gutter="0"/>
          <w:cols w:space="708"/>
          <w:vAlign w:val="center"/>
          <w:titlePg/>
          <w:docGrid w:linePitch="360"/>
        </w:sectPr>
      </w:pPr>
    </w:p>
    <w:p w14:paraId="44EFF9D7" w14:textId="77777777" w:rsidR="007B4AF0" w:rsidRDefault="007B4AF0" w:rsidP="007B4AF0">
      <w:pPr>
        <w:spacing w:before="240"/>
        <w:rPr>
          <w:rFonts w:asciiTheme="minorHAnsi" w:hAnsiTheme="minorHAnsi"/>
        </w:rPr>
      </w:pPr>
      <w:bookmarkStart w:id="0" w:name="_Toc341070502"/>
      <w:bookmarkStart w:id="1" w:name="_Toc341498333"/>
      <w:bookmarkStart w:id="2" w:name="_Toc341498509"/>
      <w:bookmarkStart w:id="3" w:name="_Toc342795680"/>
      <w:bookmarkStart w:id="4" w:name="_Toc344015210"/>
      <w:bookmarkStart w:id="5" w:name="_Toc368474012"/>
      <w:bookmarkStart w:id="6" w:name="_Toc371135350"/>
      <w:bookmarkStart w:id="7" w:name="_Toc410717772"/>
      <w:bookmarkStart w:id="8" w:name="_Toc440182425"/>
      <w:bookmarkStart w:id="9" w:name="_Toc440182485"/>
      <w:bookmarkStart w:id="10" w:name="_Toc440182796"/>
      <w:bookmarkStart w:id="11" w:name="_Toc440187218"/>
      <w:bookmarkStart w:id="12" w:name="_Toc440187269"/>
      <w:bookmarkStart w:id="13" w:name="_Toc440187369"/>
      <w:bookmarkStart w:id="14" w:name="_Toc440187395"/>
      <w:bookmarkStart w:id="15" w:name="_Toc440187402"/>
      <w:r w:rsidRPr="005B5BBE">
        <w:rPr>
          <w:rFonts w:asciiTheme="minorHAnsi" w:hAnsiTheme="minorHAnsi"/>
        </w:rPr>
        <w:lastRenderedPageBreak/>
        <w:t xml:space="preserve">© Commonwealth of Australia </w:t>
      </w:r>
      <w:r w:rsidR="00AF5444" w:rsidRPr="005B5BBE">
        <w:rPr>
          <w:rFonts w:asciiTheme="minorHAnsi" w:hAnsiTheme="minorHAnsi"/>
        </w:rPr>
        <w:t>20</w:t>
      </w:r>
      <w:r w:rsidR="00AF5444">
        <w:rPr>
          <w:rFonts w:asciiTheme="minorHAnsi" w:hAnsiTheme="minorHAnsi"/>
        </w:rPr>
        <w:t>20</w:t>
      </w:r>
    </w:p>
    <w:p w14:paraId="45508299" w14:textId="77777777" w:rsidR="0016775A" w:rsidRPr="0016775A" w:rsidRDefault="0016775A" w:rsidP="0016775A">
      <w:pPr>
        <w:spacing w:before="240"/>
        <w:rPr>
          <w:rFonts w:asciiTheme="minorHAnsi" w:hAnsiTheme="minorHAnsi"/>
        </w:rPr>
      </w:pPr>
      <w:r w:rsidRPr="0016775A">
        <w:rPr>
          <w:rFonts w:asciiTheme="minorHAnsi" w:hAnsiTheme="minorHAnsi"/>
        </w:rPr>
        <w:t>ISBN 978-1-925504-96-5</w:t>
      </w:r>
    </w:p>
    <w:p w14:paraId="3CAF0B16" w14:textId="77777777" w:rsidR="007B4AF0" w:rsidRPr="005B5BBE" w:rsidRDefault="007B4AF0" w:rsidP="007B4AF0">
      <w:pPr>
        <w:tabs>
          <w:tab w:val="left" w:pos="1650"/>
        </w:tabs>
        <w:spacing w:before="240"/>
        <w:rPr>
          <w:rFonts w:asciiTheme="minorHAnsi" w:hAnsiTheme="minorHAnsi" w:cstheme="minorBidi"/>
          <w:sz w:val="24"/>
          <w:szCs w:val="24"/>
        </w:rPr>
      </w:pPr>
      <w:r w:rsidRPr="005B5BBE">
        <w:rPr>
          <w:rFonts w:asciiTheme="minorHAnsi" w:hAnsiTheme="minorHAnsi"/>
        </w:rPr>
        <w:t>This publication is available for your use under a</w:t>
      </w:r>
      <w:r w:rsidRPr="005B5BBE">
        <w:rPr>
          <w:rFonts w:asciiTheme="minorHAnsi" w:hAnsiTheme="minorHAnsi" w:cstheme="minorHAnsi"/>
          <w:sz w:val="24"/>
          <w:szCs w:val="24"/>
        </w:rPr>
        <w:t xml:space="preserve"> </w:t>
      </w:r>
      <w:hyperlink r:id="rId18" w:history="1">
        <w:r w:rsidRPr="005B5BBE">
          <w:rPr>
            <w:rStyle w:val="Hyperlink"/>
            <w:rFonts w:asciiTheme="minorHAnsi" w:hAnsiTheme="minorHAnsi"/>
          </w:rPr>
          <w:t>Creative Commons Attribution 3.0 Australia</w:t>
        </w:r>
      </w:hyperlink>
      <w:r w:rsidRPr="005B5BBE">
        <w:rPr>
          <w:rFonts w:asciiTheme="minorHAnsi" w:hAnsiTheme="minorHAnsi" w:cstheme="minorHAnsi"/>
          <w:sz w:val="24"/>
          <w:szCs w:val="24"/>
        </w:rPr>
        <w:t xml:space="preserve"> </w:t>
      </w:r>
      <w:r w:rsidRPr="005B5BBE">
        <w:rPr>
          <w:rFonts w:asciiTheme="minorHAnsi" w:hAnsiTheme="minorHAnsi"/>
        </w:rPr>
        <w:t>licence, with the exception of the Commonwealth Coat of Arms, the Treasury logo, photographs, images, signatures and where otherwise stated. The full licence terms are available from</w:t>
      </w:r>
      <w:r w:rsidRPr="005B5BBE">
        <w:rPr>
          <w:rFonts w:asciiTheme="minorHAnsi" w:hAnsiTheme="minorHAnsi" w:cstheme="minorHAnsi"/>
          <w:sz w:val="24"/>
          <w:szCs w:val="24"/>
        </w:rPr>
        <w:t xml:space="preserve"> </w:t>
      </w:r>
      <w:hyperlink r:id="rId19" w:history="1">
        <w:r w:rsidRPr="005B5BBE">
          <w:rPr>
            <w:rStyle w:val="Hyperlink"/>
            <w:rFonts w:asciiTheme="minorHAnsi" w:hAnsiTheme="minorHAnsi"/>
          </w:rPr>
          <w:t>http://creativecommons.org/licenses/by/3.0/au/legalcode</w:t>
        </w:r>
      </w:hyperlink>
      <w:r w:rsidRPr="005B5BBE">
        <w:rPr>
          <w:rStyle w:val="Hyperlink"/>
          <w:rFonts w:asciiTheme="minorHAnsi" w:hAnsiTheme="minorHAnsi"/>
        </w:rPr>
        <w:t>.</w:t>
      </w:r>
    </w:p>
    <w:p w14:paraId="22492D3A" w14:textId="77777777" w:rsidR="007B4AF0" w:rsidRPr="005B5BBE" w:rsidRDefault="007B4AF0" w:rsidP="007B4AF0">
      <w:pPr>
        <w:pStyle w:val="ChartGraphic"/>
        <w:jc w:val="left"/>
        <w:rPr>
          <w:rFonts w:asciiTheme="minorHAnsi" w:hAnsiTheme="minorHAnsi"/>
        </w:rPr>
      </w:pPr>
      <w:r w:rsidRPr="005B5BBE">
        <w:rPr>
          <w:rFonts w:asciiTheme="minorHAnsi" w:hAnsiTheme="minorHAnsi"/>
          <w:noProof/>
        </w:rPr>
        <w:drawing>
          <wp:inline distT="0" distB="0" distL="0" distR="0" wp14:anchorId="54956658" wp14:editId="02842F31">
            <wp:extent cx="809625" cy="285750"/>
            <wp:effectExtent l="0" t="0" r="9525" b="0"/>
            <wp:docPr id="1"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6C58C290" w14:textId="77777777" w:rsidR="007B4AF0" w:rsidRPr="005B5BBE" w:rsidRDefault="007B4AF0" w:rsidP="007B4AF0">
      <w:pPr>
        <w:tabs>
          <w:tab w:val="left" w:pos="1650"/>
        </w:tabs>
        <w:spacing w:before="240"/>
        <w:rPr>
          <w:rFonts w:asciiTheme="minorHAnsi" w:hAnsiTheme="minorHAnsi"/>
        </w:rPr>
      </w:pPr>
      <w:r w:rsidRPr="005B5BBE">
        <w:rPr>
          <w:rFonts w:asciiTheme="minorHAnsi" w:hAnsiTheme="minorHAnsi"/>
        </w:rPr>
        <w:t>Use of Treasury material under a</w:t>
      </w:r>
      <w:r w:rsidRPr="005B5BBE">
        <w:rPr>
          <w:rFonts w:asciiTheme="minorHAnsi" w:hAnsiTheme="minorHAnsi" w:cstheme="minorHAnsi"/>
          <w:sz w:val="24"/>
          <w:szCs w:val="24"/>
        </w:rPr>
        <w:t xml:space="preserve"> </w:t>
      </w:r>
      <w:hyperlink r:id="rId21" w:history="1">
        <w:r w:rsidRPr="005B5BBE">
          <w:rPr>
            <w:rStyle w:val="Hyperlink"/>
            <w:rFonts w:asciiTheme="minorHAnsi" w:hAnsiTheme="minorHAnsi"/>
          </w:rPr>
          <w:t>Creative Commons Attribution 3.0 Australia</w:t>
        </w:r>
      </w:hyperlink>
      <w:r w:rsidRPr="005B5BBE">
        <w:rPr>
          <w:rStyle w:val="Hyperlink"/>
          <w:rFonts w:asciiTheme="minorHAnsi" w:hAnsiTheme="minorHAnsi"/>
        </w:rPr>
        <w:t xml:space="preserve"> </w:t>
      </w:r>
      <w:r w:rsidRPr="005B5BBE">
        <w:rPr>
          <w:rFonts w:asciiTheme="minorHAnsi" w:hAnsiTheme="minorHAnsi"/>
        </w:rPr>
        <w:t>licence requires you to attribute the work (but not in any way that suggests that the Treasury endorses you or your use of the work).</w:t>
      </w:r>
    </w:p>
    <w:p w14:paraId="242D0CDE" w14:textId="77777777" w:rsidR="007B4AF0" w:rsidRPr="005B5BBE" w:rsidRDefault="007B4AF0" w:rsidP="007B4AF0">
      <w:pPr>
        <w:ind w:left="709"/>
        <w:rPr>
          <w:rFonts w:asciiTheme="minorHAnsi" w:hAnsiTheme="minorHAnsi"/>
          <w:i/>
        </w:rPr>
      </w:pPr>
      <w:r w:rsidRPr="005B5BBE">
        <w:rPr>
          <w:rFonts w:asciiTheme="minorHAnsi" w:hAnsiTheme="minorHAnsi"/>
          <w:i/>
        </w:rPr>
        <w:t>Treasury material used ‘as supplied’.</w:t>
      </w:r>
    </w:p>
    <w:p w14:paraId="6F53728B" w14:textId="77777777" w:rsidR="007B4AF0" w:rsidRPr="005B5BBE" w:rsidRDefault="007B4AF0" w:rsidP="007B4AF0">
      <w:pPr>
        <w:spacing w:before="240"/>
        <w:rPr>
          <w:rFonts w:asciiTheme="minorHAnsi" w:hAnsiTheme="minorHAnsi"/>
        </w:rPr>
      </w:pPr>
      <w:r w:rsidRPr="005B5BBE">
        <w:rPr>
          <w:rFonts w:asciiTheme="minorHAnsi" w:hAnsiTheme="minorHAnsi"/>
        </w:rPr>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6F5E2CCA" w14:textId="77777777" w:rsidR="007B4AF0" w:rsidRPr="005B5BBE" w:rsidRDefault="007B4AF0" w:rsidP="007B4AF0">
      <w:pPr>
        <w:ind w:firstLine="720"/>
        <w:rPr>
          <w:rFonts w:asciiTheme="minorHAnsi" w:hAnsiTheme="minorHAnsi"/>
        </w:rPr>
      </w:pPr>
      <w:r w:rsidRPr="005B5BBE">
        <w:rPr>
          <w:rFonts w:asciiTheme="minorHAnsi" w:hAnsiTheme="minorHAnsi"/>
          <w:i/>
        </w:rPr>
        <w:t xml:space="preserve">Source: The </w:t>
      </w:r>
      <w:r w:rsidRPr="005B5BBE">
        <w:rPr>
          <w:rFonts w:asciiTheme="minorHAnsi" w:hAnsiTheme="minorHAnsi"/>
          <w:i/>
          <w:iCs/>
        </w:rPr>
        <w:t>Australian Government the Treasury.</w:t>
      </w:r>
    </w:p>
    <w:p w14:paraId="0AE9299D" w14:textId="77777777" w:rsidR="007B4AF0" w:rsidRPr="005B5BBE" w:rsidRDefault="007B4AF0" w:rsidP="007B4AF0">
      <w:pPr>
        <w:spacing w:before="240"/>
        <w:rPr>
          <w:rFonts w:asciiTheme="minorHAnsi" w:hAnsiTheme="minorHAnsi"/>
        </w:rPr>
      </w:pPr>
      <w:r w:rsidRPr="005B5BBE">
        <w:rPr>
          <w:rFonts w:asciiTheme="minorHAnsi" w:hAnsiTheme="minorHAnsi"/>
          <w:b/>
        </w:rPr>
        <w:t>Derivative</w:t>
      </w:r>
      <w:r w:rsidRPr="005B5BBE">
        <w:rPr>
          <w:rFonts w:asciiTheme="minorHAnsi" w:hAnsiTheme="minorHAnsi"/>
        </w:rPr>
        <w:t xml:space="preserve"> </w:t>
      </w:r>
      <w:r w:rsidRPr="005B5BBE">
        <w:rPr>
          <w:rFonts w:asciiTheme="minorHAnsi" w:hAnsiTheme="minorHAnsi"/>
          <w:b/>
        </w:rPr>
        <w:t>material</w:t>
      </w:r>
    </w:p>
    <w:p w14:paraId="2DEE12A0" w14:textId="77777777" w:rsidR="007B4AF0" w:rsidRPr="005B5BBE" w:rsidRDefault="007B4AF0" w:rsidP="007B4AF0">
      <w:pPr>
        <w:rPr>
          <w:rFonts w:asciiTheme="minorHAnsi" w:hAnsiTheme="minorHAnsi"/>
        </w:rPr>
      </w:pPr>
      <w:r w:rsidRPr="005B5BBE">
        <w:rPr>
          <w:rFonts w:asciiTheme="minorHAnsi" w:hAnsiTheme="minorHAnsi"/>
        </w:rPr>
        <w:t>If you have modified or transformed Treasury material, or derived new material from those of the Treasury in any way, then Treasury pre</w:t>
      </w:r>
      <w:r w:rsidR="006909A2" w:rsidRPr="005B5BBE">
        <w:rPr>
          <w:rFonts w:asciiTheme="minorHAnsi" w:hAnsiTheme="minorHAnsi"/>
        </w:rPr>
        <w:t>fers the following attribution:</w:t>
      </w:r>
    </w:p>
    <w:p w14:paraId="214D4C82" w14:textId="77777777" w:rsidR="007B4AF0" w:rsidRPr="005B5BBE" w:rsidRDefault="007B4AF0" w:rsidP="007B4AF0">
      <w:pPr>
        <w:ind w:firstLine="720"/>
        <w:rPr>
          <w:rFonts w:asciiTheme="minorHAnsi" w:hAnsiTheme="minorHAnsi"/>
        </w:rPr>
      </w:pPr>
      <w:r w:rsidRPr="005B5BBE">
        <w:rPr>
          <w:rFonts w:asciiTheme="minorHAnsi" w:hAnsiTheme="minorHAnsi"/>
          <w:i/>
        </w:rPr>
        <w:t>Based on The Australian Government the Treasury data</w:t>
      </w:r>
      <w:r w:rsidRPr="005B5BBE">
        <w:rPr>
          <w:rFonts w:asciiTheme="minorHAnsi" w:hAnsiTheme="minorHAnsi"/>
        </w:rPr>
        <w:t>.</w:t>
      </w:r>
    </w:p>
    <w:p w14:paraId="2D7CDC89" w14:textId="77777777" w:rsidR="008D2F82" w:rsidRPr="005B5BBE" w:rsidRDefault="008D2F82" w:rsidP="008D2F82">
      <w:pPr>
        <w:spacing w:before="240" w:after="120" w:line="240" w:lineRule="auto"/>
        <w:jc w:val="left"/>
        <w:rPr>
          <w:rFonts w:asciiTheme="minorHAnsi" w:hAnsiTheme="minorHAnsi"/>
          <w:b/>
        </w:rPr>
      </w:pPr>
      <w:r w:rsidRPr="005B5BBE">
        <w:rPr>
          <w:rFonts w:asciiTheme="minorHAnsi" w:hAnsiTheme="minorHAnsi"/>
          <w:b/>
        </w:rPr>
        <w:t>Use of the Coat of Arms</w:t>
      </w:r>
    </w:p>
    <w:p w14:paraId="2A254E49" w14:textId="77777777" w:rsidR="008D2F82" w:rsidRPr="005B5BBE" w:rsidRDefault="008D2F82" w:rsidP="008D2F82">
      <w:pPr>
        <w:spacing w:before="120" w:after="120" w:line="240" w:lineRule="auto"/>
        <w:jc w:val="left"/>
        <w:rPr>
          <w:rFonts w:asciiTheme="minorHAnsi" w:hAnsiTheme="minorHAnsi"/>
        </w:rPr>
      </w:pPr>
      <w:r w:rsidRPr="005B5BBE">
        <w:rPr>
          <w:rFonts w:asciiTheme="minorHAnsi" w:hAnsiTheme="minorHAnsi"/>
        </w:rPr>
        <w:t xml:space="preserve">The terms under which the Coat of Arms can be used are set out on the Department of the Prime Minister and Cabinet website (see </w:t>
      </w:r>
      <w:hyperlink r:id="rId22" w:history="1">
        <w:r w:rsidRPr="005B5BBE">
          <w:rPr>
            <w:rFonts w:asciiTheme="minorHAnsi" w:hAnsiTheme="minorHAnsi"/>
            <w:color w:val="004A7F"/>
          </w:rPr>
          <w:t>www.pmc.gov.au/government/commonwealth-coat-arms</w:t>
        </w:r>
      </w:hyperlink>
      <w:r w:rsidRPr="005B5BBE">
        <w:rPr>
          <w:rFonts w:asciiTheme="minorHAnsi" w:hAnsiTheme="minorHAnsi"/>
        </w:rPr>
        <w:t>).</w:t>
      </w:r>
    </w:p>
    <w:p w14:paraId="74390A2D" w14:textId="77777777" w:rsidR="008D2F82" w:rsidRPr="005B5BBE" w:rsidRDefault="008D2F82" w:rsidP="008D2F82">
      <w:pPr>
        <w:spacing w:before="240" w:after="120" w:line="240" w:lineRule="auto"/>
        <w:jc w:val="left"/>
        <w:rPr>
          <w:rFonts w:asciiTheme="minorHAnsi" w:hAnsiTheme="minorHAnsi"/>
          <w:b/>
        </w:rPr>
      </w:pPr>
      <w:r w:rsidRPr="005B5BBE">
        <w:rPr>
          <w:rFonts w:asciiTheme="minorHAnsi" w:hAnsiTheme="minorHAnsi"/>
          <w:b/>
        </w:rPr>
        <w:t>Other uses</w:t>
      </w:r>
    </w:p>
    <w:p w14:paraId="4B486160" w14:textId="77777777" w:rsidR="008D2F82" w:rsidRPr="005B5BBE" w:rsidRDefault="008D2F82" w:rsidP="008D2F82">
      <w:pPr>
        <w:spacing w:before="120" w:after="120" w:line="240" w:lineRule="auto"/>
        <w:jc w:val="left"/>
        <w:rPr>
          <w:rFonts w:asciiTheme="minorHAnsi" w:hAnsiTheme="minorHAnsi"/>
        </w:rPr>
      </w:pPr>
      <w:r w:rsidRPr="005B5BBE">
        <w:rPr>
          <w:rFonts w:asciiTheme="minorHAnsi" w:hAnsiTheme="minorHAnsi"/>
        </w:rPr>
        <w:t>Enquiries regarding this licence and any other use of this document are welcome at:</w:t>
      </w:r>
    </w:p>
    <w:p w14:paraId="32CC719F" w14:textId="77777777" w:rsidR="008D2F82" w:rsidRPr="005B5BBE" w:rsidRDefault="008D2F82" w:rsidP="008D2F82">
      <w:pPr>
        <w:ind w:left="720"/>
        <w:jc w:val="left"/>
        <w:rPr>
          <w:rFonts w:asciiTheme="minorHAnsi" w:hAnsiTheme="minorHAnsi"/>
        </w:rPr>
      </w:pPr>
      <w:r w:rsidRPr="005B5BBE">
        <w:rPr>
          <w:rFonts w:asciiTheme="minorHAnsi" w:hAnsiTheme="minorHAnsi"/>
        </w:rPr>
        <w:t>Manager</w:t>
      </w:r>
      <w:r w:rsidRPr="005B5BBE">
        <w:rPr>
          <w:rFonts w:asciiTheme="minorHAnsi" w:hAnsiTheme="minorHAnsi"/>
        </w:rPr>
        <w:br/>
        <w:t>Media and Speeches Unit</w:t>
      </w:r>
      <w:r w:rsidRPr="005B5BBE">
        <w:rPr>
          <w:rFonts w:asciiTheme="minorHAnsi" w:hAnsiTheme="minorHAnsi"/>
        </w:rPr>
        <w:br/>
        <w:t>The Treasury</w:t>
      </w:r>
      <w:r w:rsidRPr="005B5BBE">
        <w:rPr>
          <w:rFonts w:asciiTheme="minorHAnsi" w:hAnsiTheme="minorHAnsi"/>
        </w:rPr>
        <w:br/>
        <w:t xml:space="preserve">Langton Crescent </w:t>
      </w:r>
      <w:r w:rsidRPr="005B5BBE">
        <w:rPr>
          <w:rFonts w:asciiTheme="minorHAnsi" w:hAnsiTheme="minorHAnsi"/>
        </w:rPr>
        <w:br/>
      </w:r>
      <w:proofErr w:type="gramStart"/>
      <w:r w:rsidRPr="005B5BBE">
        <w:rPr>
          <w:rFonts w:asciiTheme="minorHAnsi" w:hAnsiTheme="minorHAnsi"/>
        </w:rPr>
        <w:t>Parkes  ACT</w:t>
      </w:r>
      <w:proofErr w:type="gramEnd"/>
      <w:r w:rsidRPr="005B5BBE">
        <w:rPr>
          <w:rFonts w:asciiTheme="minorHAnsi" w:hAnsiTheme="minorHAnsi"/>
        </w:rPr>
        <w:t xml:space="preserve">  2600</w:t>
      </w:r>
      <w:r w:rsidRPr="005B5BBE">
        <w:rPr>
          <w:rFonts w:asciiTheme="minorHAnsi" w:hAnsiTheme="minorHAnsi"/>
        </w:rPr>
        <w:br/>
        <w:t xml:space="preserve">Email: </w:t>
      </w:r>
      <w:hyperlink r:id="rId23" w:history="1">
        <w:r w:rsidRPr="005B5BBE">
          <w:rPr>
            <w:rFonts w:asciiTheme="minorHAnsi" w:hAnsiTheme="minorHAnsi"/>
            <w:color w:val="004A7F"/>
          </w:rPr>
          <w:t>medialiaison@treasury.gov.au</w:t>
        </w:r>
      </w:hyperlink>
    </w:p>
    <w:p w14:paraId="682FC11E" w14:textId="77777777" w:rsidR="005E5CBF" w:rsidRPr="005B5BBE" w:rsidRDefault="005E5CBF" w:rsidP="005E5CBF">
      <w:pPr>
        <w:rPr>
          <w:rFonts w:asciiTheme="minorHAnsi" w:hAnsiTheme="minorHAnsi"/>
        </w:rPr>
      </w:pPr>
    </w:p>
    <w:p w14:paraId="0B108C5F" w14:textId="77777777" w:rsidR="005E5CBF" w:rsidRPr="005B5BBE" w:rsidRDefault="005E5CBF" w:rsidP="005E5CBF">
      <w:pPr>
        <w:rPr>
          <w:rFonts w:asciiTheme="minorHAnsi" w:hAnsiTheme="minorHAnsi"/>
          <w:highlight w:val="cyan"/>
        </w:rPr>
      </w:pPr>
    </w:p>
    <w:p w14:paraId="14E5BE47" w14:textId="77777777" w:rsidR="00F6105D" w:rsidRPr="005B5BBE" w:rsidRDefault="00F6105D" w:rsidP="005E5CBF">
      <w:pPr>
        <w:rPr>
          <w:rFonts w:asciiTheme="minorHAnsi" w:hAnsiTheme="minorHAnsi"/>
          <w:highlight w:val="cyan"/>
        </w:rPr>
        <w:sectPr w:rsidR="00F6105D" w:rsidRPr="005B5BBE" w:rsidSect="00924BEC">
          <w:headerReference w:type="even" r:id="rId24"/>
          <w:headerReference w:type="default" r:id="rId25"/>
          <w:headerReference w:type="first" r:id="rId26"/>
          <w:footerReference w:type="first" r:id="rId27"/>
          <w:pgSz w:w="11906" w:h="16838" w:code="277"/>
          <w:pgMar w:top="1440" w:right="1440" w:bottom="1440" w:left="1440" w:header="851" w:footer="851" w:gutter="0"/>
          <w:cols w:space="708"/>
          <w:titlePg/>
          <w:docGrid w:linePitch="360"/>
        </w:sectPr>
      </w:pPr>
    </w:p>
    <w:p w14:paraId="4CC17240" w14:textId="77777777" w:rsidR="00F6105D" w:rsidRPr="00B70505" w:rsidRDefault="00F6105D" w:rsidP="00F6105D">
      <w:pPr>
        <w:pStyle w:val="Heading1noTOC"/>
        <w:rPr>
          <w:rFonts w:asciiTheme="minorHAnsi" w:hAnsiTheme="minorHAnsi"/>
        </w:rPr>
      </w:pPr>
      <w:r w:rsidRPr="00B70505">
        <w:rPr>
          <w:rFonts w:asciiTheme="minorHAnsi" w:hAnsiTheme="minorHAnsi"/>
        </w:rPr>
        <w:lastRenderedPageBreak/>
        <w:t>Contents</w:t>
      </w:r>
    </w:p>
    <w:sdt>
      <w:sdtPr>
        <w:rPr>
          <w:rFonts w:asciiTheme="minorHAnsi" w:hAnsiTheme="minorHAnsi"/>
          <w:b w:val="0"/>
          <w:caps w:val="0"/>
          <w:color w:val="auto"/>
          <w:sz w:val="22"/>
          <w:szCs w:val="20"/>
        </w:rPr>
        <w:id w:val="-671182034"/>
        <w:docPartObj>
          <w:docPartGallery w:val="Table of Contents"/>
          <w:docPartUnique/>
        </w:docPartObj>
      </w:sdtPr>
      <w:sdtEndPr>
        <w:rPr>
          <w:bCs/>
          <w:noProof/>
          <w:highlight w:val="cyan"/>
        </w:rPr>
      </w:sdtEndPr>
      <w:sdtContent>
        <w:p w14:paraId="01D20133" w14:textId="40B062D4" w:rsidR="00187290" w:rsidRDefault="00F6105D">
          <w:pPr>
            <w:pStyle w:val="TOC1"/>
            <w:rPr>
              <w:rFonts w:asciiTheme="minorHAnsi" w:eastAsiaTheme="minorEastAsia" w:hAnsiTheme="minorHAnsi" w:cstheme="minorBidi"/>
              <w:b w:val="0"/>
              <w:caps w:val="0"/>
              <w:noProof/>
              <w:color w:val="auto"/>
              <w:sz w:val="22"/>
            </w:rPr>
          </w:pPr>
          <w:r w:rsidRPr="00B70505">
            <w:rPr>
              <w:rFonts w:asciiTheme="minorHAnsi" w:hAnsiTheme="minorHAnsi"/>
            </w:rPr>
            <w:fldChar w:fldCharType="begin"/>
          </w:r>
          <w:r w:rsidRPr="00B70505">
            <w:rPr>
              <w:rFonts w:asciiTheme="minorHAnsi" w:hAnsiTheme="minorHAnsi"/>
            </w:rPr>
            <w:instrText xml:space="preserve"> TOC \o "1-3" \h \z \u </w:instrText>
          </w:r>
          <w:r w:rsidRPr="00B70505">
            <w:rPr>
              <w:rFonts w:asciiTheme="minorHAnsi" w:hAnsiTheme="minorHAnsi"/>
            </w:rPr>
            <w:fldChar w:fldCharType="separate"/>
          </w:r>
          <w:hyperlink w:anchor="_Toc33443661" w:history="1">
            <w:r w:rsidR="00187290" w:rsidRPr="004A6ECE">
              <w:rPr>
                <w:rStyle w:val="Hyperlink"/>
                <w:noProof/>
              </w:rPr>
              <w:t>Introduction</w:t>
            </w:r>
            <w:r w:rsidR="00187290">
              <w:rPr>
                <w:noProof/>
                <w:webHidden/>
              </w:rPr>
              <w:tab/>
            </w:r>
            <w:r w:rsidR="00187290">
              <w:rPr>
                <w:noProof/>
                <w:webHidden/>
              </w:rPr>
              <w:fldChar w:fldCharType="begin"/>
            </w:r>
            <w:r w:rsidR="00187290">
              <w:rPr>
                <w:noProof/>
                <w:webHidden/>
              </w:rPr>
              <w:instrText xml:space="preserve"> PAGEREF _Toc33443661 \h </w:instrText>
            </w:r>
            <w:r w:rsidR="00187290">
              <w:rPr>
                <w:noProof/>
                <w:webHidden/>
              </w:rPr>
            </w:r>
            <w:r w:rsidR="00187290">
              <w:rPr>
                <w:noProof/>
                <w:webHidden/>
              </w:rPr>
              <w:fldChar w:fldCharType="separate"/>
            </w:r>
            <w:r w:rsidR="008C38D3">
              <w:rPr>
                <w:noProof/>
                <w:webHidden/>
              </w:rPr>
              <w:t>2</w:t>
            </w:r>
            <w:r w:rsidR="00187290">
              <w:rPr>
                <w:noProof/>
                <w:webHidden/>
              </w:rPr>
              <w:fldChar w:fldCharType="end"/>
            </w:r>
          </w:hyperlink>
        </w:p>
        <w:p w14:paraId="7084BAFF" w14:textId="2032C853" w:rsidR="00187290" w:rsidRDefault="00DC78BE">
          <w:pPr>
            <w:pStyle w:val="TOC2"/>
            <w:rPr>
              <w:rFonts w:asciiTheme="minorHAnsi" w:eastAsiaTheme="minorEastAsia" w:hAnsiTheme="minorHAnsi" w:cstheme="minorBidi"/>
              <w:szCs w:val="22"/>
            </w:rPr>
          </w:pPr>
          <w:hyperlink w:anchor="_Toc33443662" w:history="1">
            <w:r w:rsidR="00187290" w:rsidRPr="004A6ECE">
              <w:rPr>
                <w:rStyle w:val="Hyperlink"/>
              </w:rPr>
              <w:t>Introduction to Australia’s Foreign Investment Framework</w:t>
            </w:r>
            <w:r w:rsidR="00187290">
              <w:rPr>
                <w:webHidden/>
              </w:rPr>
              <w:tab/>
            </w:r>
            <w:r w:rsidR="00187290">
              <w:rPr>
                <w:webHidden/>
              </w:rPr>
              <w:fldChar w:fldCharType="begin"/>
            </w:r>
            <w:r w:rsidR="00187290">
              <w:rPr>
                <w:webHidden/>
              </w:rPr>
              <w:instrText xml:space="preserve"> PAGEREF _Toc33443662 \h </w:instrText>
            </w:r>
            <w:r w:rsidR="00187290">
              <w:rPr>
                <w:webHidden/>
              </w:rPr>
            </w:r>
            <w:r w:rsidR="00187290">
              <w:rPr>
                <w:webHidden/>
              </w:rPr>
              <w:fldChar w:fldCharType="separate"/>
            </w:r>
            <w:r w:rsidR="008C38D3">
              <w:rPr>
                <w:webHidden/>
              </w:rPr>
              <w:t>2</w:t>
            </w:r>
            <w:r w:rsidR="00187290">
              <w:rPr>
                <w:webHidden/>
              </w:rPr>
              <w:fldChar w:fldCharType="end"/>
            </w:r>
          </w:hyperlink>
        </w:p>
        <w:p w14:paraId="2F06AEB1" w14:textId="30553F3E" w:rsidR="00187290" w:rsidRDefault="00DC78BE">
          <w:pPr>
            <w:pStyle w:val="TOC2"/>
            <w:rPr>
              <w:rFonts w:asciiTheme="minorHAnsi" w:eastAsiaTheme="minorEastAsia" w:hAnsiTheme="minorHAnsi" w:cstheme="minorBidi"/>
              <w:szCs w:val="22"/>
            </w:rPr>
          </w:pPr>
          <w:hyperlink w:anchor="_Toc33443663" w:history="1">
            <w:r w:rsidR="00187290" w:rsidRPr="004A6ECE">
              <w:rPr>
                <w:rStyle w:val="Hyperlink"/>
              </w:rPr>
              <w:t>Assessing performance</w:t>
            </w:r>
            <w:r w:rsidR="00187290">
              <w:rPr>
                <w:webHidden/>
              </w:rPr>
              <w:tab/>
            </w:r>
            <w:r w:rsidR="00187290">
              <w:rPr>
                <w:webHidden/>
              </w:rPr>
              <w:fldChar w:fldCharType="begin"/>
            </w:r>
            <w:r w:rsidR="00187290">
              <w:rPr>
                <w:webHidden/>
              </w:rPr>
              <w:instrText xml:space="preserve"> PAGEREF _Toc33443663 \h </w:instrText>
            </w:r>
            <w:r w:rsidR="00187290">
              <w:rPr>
                <w:webHidden/>
              </w:rPr>
            </w:r>
            <w:r w:rsidR="00187290">
              <w:rPr>
                <w:webHidden/>
              </w:rPr>
              <w:fldChar w:fldCharType="separate"/>
            </w:r>
            <w:r w:rsidR="008C38D3">
              <w:rPr>
                <w:webHidden/>
              </w:rPr>
              <w:t>3</w:t>
            </w:r>
            <w:r w:rsidR="00187290">
              <w:rPr>
                <w:webHidden/>
              </w:rPr>
              <w:fldChar w:fldCharType="end"/>
            </w:r>
          </w:hyperlink>
        </w:p>
        <w:p w14:paraId="2E6895FE" w14:textId="1C31EC04" w:rsidR="00187290" w:rsidRDefault="00DC78BE">
          <w:pPr>
            <w:pStyle w:val="TOC2"/>
            <w:rPr>
              <w:rFonts w:asciiTheme="minorHAnsi" w:eastAsiaTheme="minorEastAsia" w:hAnsiTheme="minorHAnsi" w:cstheme="minorBidi"/>
              <w:szCs w:val="22"/>
            </w:rPr>
          </w:pPr>
          <w:hyperlink w:anchor="_Toc33443664" w:history="1">
            <w:r w:rsidR="00187290" w:rsidRPr="004A6ECE">
              <w:rPr>
                <w:rStyle w:val="Hyperlink"/>
              </w:rPr>
              <w:t>Metrics to support assessment</w:t>
            </w:r>
            <w:r w:rsidR="00187290">
              <w:rPr>
                <w:webHidden/>
              </w:rPr>
              <w:tab/>
            </w:r>
            <w:r w:rsidR="00187290">
              <w:rPr>
                <w:webHidden/>
              </w:rPr>
              <w:fldChar w:fldCharType="begin"/>
            </w:r>
            <w:r w:rsidR="00187290">
              <w:rPr>
                <w:webHidden/>
              </w:rPr>
              <w:instrText xml:space="preserve"> PAGEREF _Toc33443664 \h </w:instrText>
            </w:r>
            <w:r w:rsidR="00187290">
              <w:rPr>
                <w:webHidden/>
              </w:rPr>
            </w:r>
            <w:r w:rsidR="00187290">
              <w:rPr>
                <w:webHidden/>
              </w:rPr>
              <w:fldChar w:fldCharType="separate"/>
            </w:r>
            <w:r w:rsidR="008C38D3">
              <w:rPr>
                <w:webHidden/>
              </w:rPr>
              <w:t>3</w:t>
            </w:r>
            <w:r w:rsidR="00187290">
              <w:rPr>
                <w:webHidden/>
              </w:rPr>
              <w:fldChar w:fldCharType="end"/>
            </w:r>
          </w:hyperlink>
        </w:p>
        <w:p w14:paraId="7D4EF501" w14:textId="7BE096F0" w:rsidR="00187290" w:rsidRDefault="00DC78BE">
          <w:pPr>
            <w:pStyle w:val="TOC2"/>
            <w:rPr>
              <w:rFonts w:asciiTheme="minorHAnsi" w:eastAsiaTheme="minorEastAsia" w:hAnsiTheme="minorHAnsi" w:cstheme="minorBidi"/>
              <w:szCs w:val="22"/>
            </w:rPr>
          </w:pPr>
          <w:hyperlink w:anchor="_Toc33443665" w:history="1">
            <w:r w:rsidR="00187290" w:rsidRPr="004A6ECE">
              <w:rPr>
                <w:rStyle w:val="Hyperlink"/>
              </w:rPr>
              <w:t>Overall assessment</w:t>
            </w:r>
            <w:r w:rsidR="00187290">
              <w:rPr>
                <w:webHidden/>
              </w:rPr>
              <w:tab/>
            </w:r>
            <w:r w:rsidR="00187290">
              <w:rPr>
                <w:webHidden/>
              </w:rPr>
              <w:fldChar w:fldCharType="begin"/>
            </w:r>
            <w:r w:rsidR="00187290">
              <w:rPr>
                <w:webHidden/>
              </w:rPr>
              <w:instrText xml:space="preserve"> PAGEREF _Toc33443665 \h </w:instrText>
            </w:r>
            <w:r w:rsidR="00187290">
              <w:rPr>
                <w:webHidden/>
              </w:rPr>
            </w:r>
            <w:r w:rsidR="00187290">
              <w:rPr>
                <w:webHidden/>
              </w:rPr>
              <w:fldChar w:fldCharType="separate"/>
            </w:r>
            <w:r w:rsidR="008C38D3">
              <w:rPr>
                <w:webHidden/>
              </w:rPr>
              <w:t>4</w:t>
            </w:r>
            <w:r w:rsidR="00187290">
              <w:rPr>
                <w:webHidden/>
              </w:rPr>
              <w:fldChar w:fldCharType="end"/>
            </w:r>
          </w:hyperlink>
        </w:p>
        <w:p w14:paraId="591A2F5B" w14:textId="3CD14D02" w:rsidR="00187290" w:rsidRDefault="00DC78BE">
          <w:pPr>
            <w:pStyle w:val="TOC1"/>
            <w:rPr>
              <w:rFonts w:asciiTheme="minorHAnsi" w:eastAsiaTheme="minorEastAsia" w:hAnsiTheme="minorHAnsi" w:cstheme="minorBidi"/>
              <w:b w:val="0"/>
              <w:caps w:val="0"/>
              <w:noProof/>
              <w:color w:val="auto"/>
              <w:sz w:val="22"/>
            </w:rPr>
          </w:pPr>
          <w:hyperlink w:anchor="_Toc33443666" w:history="1">
            <w:r w:rsidR="00187290" w:rsidRPr="004A6ECE">
              <w:rPr>
                <w:rStyle w:val="Hyperlink"/>
                <w:noProof/>
              </w:rPr>
              <w:t>Self-Assessment of Performance</w:t>
            </w:r>
            <w:r w:rsidR="00187290">
              <w:rPr>
                <w:noProof/>
                <w:webHidden/>
              </w:rPr>
              <w:tab/>
            </w:r>
            <w:r w:rsidR="00187290">
              <w:rPr>
                <w:noProof/>
                <w:webHidden/>
              </w:rPr>
              <w:fldChar w:fldCharType="begin"/>
            </w:r>
            <w:r w:rsidR="00187290">
              <w:rPr>
                <w:noProof/>
                <w:webHidden/>
              </w:rPr>
              <w:instrText xml:space="preserve"> PAGEREF _Toc33443666 \h </w:instrText>
            </w:r>
            <w:r w:rsidR="00187290">
              <w:rPr>
                <w:noProof/>
                <w:webHidden/>
              </w:rPr>
            </w:r>
            <w:r w:rsidR="00187290">
              <w:rPr>
                <w:noProof/>
                <w:webHidden/>
              </w:rPr>
              <w:fldChar w:fldCharType="separate"/>
            </w:r>
            <w:r w:rsidR="008C38D3">
              <w:rPr>
                <w:noProof/>
                <w:webHidden/>
              </w:rPr>
              <w:t>6</w:t>
            </w:r>
            <w:r w:rsidR="00187290">
              <w:rPr>
                <w:noProof/>
                <w:webHidden/>
              </w:rPr>
              <w:fldChar w:fldCharType="end"/>
            </w:r>
          </w:hyperlink>
        </w:p>
        <w:p w14:paraId="5C97A9F9" w14:textId="1896F390" w:rsidR="00187290" w:rsidRDefault="00DC78BE">
          <w:pPr>
            <w:pStyle w:val="TOC2"/>
            <w:rPr>
              <w:rFonts w:asciiTheme="minorHAnsi" w:eastAsiaTheme="minorEastAsia" w:hAnsiTheme="minorHAnsi" w:cstheme="minorBidi"/>
              <w:szCs w:val="22"/>
            </w:rPr>
          </w:pPr>
          <w:hyperlink w:anchor="_Toc33443667" w:history="1">
            <w:r w:rsidR="00187290" w:rsidRPr="004A6ECE">
              <w:rPr>
                <w:rStyle w:val="Hyperlink"/>
              </w:rPr>
              <w:t>KPI 1 – Regulators do not unnecessarily impede the efficient operation of foreign investors</w:t>
            </w:r>
            <w:r w:rsidR="00187290">
              <w:rPr>
                <w:webHidden/>
              </w:rPr>
              <w:tab/>
            </w:r>
            <w:r w:rsidR="00187290">
              <w:rPr>
                <w:webHidden/>
              </w:rPr>
              <w:fldChar w:fldCharType="begin"/>
            </w:r>
            <w:r w:rsidR="00187290">
              <w:rPr>
                <w:webHidden/>
              </w:rPr>
              <w:instrText xml:space="preserve"> PAGEREF _Toc33443667 \h </w:instrText>
            </w:r>
            <w:r w:rsidR="00187290">
              <w:rPr>
                <w:webHidden/>
              </w:rPr>
            </w:r>
            <w:r w:rsidR="00187290">
              <w:rPr>
                <w:webHidden/>
              </w:rPr>
              <w:fldChar w:fldCharType="separate"/>
            </w:r>
            <w:r w:rsidR="008C38D3">
              <w:rPr>
                <w:webHidden/>
              </w:rPr>
              <w:t>6</w:t>
            </w:r>
            <w:r w:rsidR="00187290">
              <w:rPr>
                <w:webHidden/>
              </w:rPr>
              <w:fldChar w:fldCharType="end"/>
            </w:r>
          </w:hyperlink>
        </w:p>
        <w:p w14:paraId="41608F39" w14:textId="1A7668A9" w:rsidR="00187290" w:rsidRDefault="00DC78BE">
          <w:pPr>
            <w:pStyle w:val="TOC2"/>
            <w:rPr>
              <w:rFonts w:asciiTheme="minorHAnsi" w:eastAsiaTheme="minorEastAsia" w:hAnsiTheme="minorHAnsi" w:cstheme="minorBidi"/>
              <w:szCs w:val="22"/>
            </w:rPr>
          </w:pPr>
          <w:hyperlink w:anchor="_Toc33443668" w:history="1">
            <w:r w:rsidR="00187290" w:rsidRPr="004A6ECE">
              <w:rPr>
                <w:rStyle w:val="Hyperlink"/>
              </w:rPr>
              <w:t>KPI 2 – Communication with foreign investors is clear, targeted and effective</w:t>
            </w:r>
            <w:r w:rsidR="00187290">
              <w:rPr>
                <w:webHidden/>
              </w:rPr>
              <w:tab/>
            </w:r>
            <w:r w:rsidR="00187290">
              <w:rPr>
                <w:webHidden/>
              </w:rPr>
              <w:fldChar w:fldCharType="begin"/>
            </w:r>
            <w:r w:rsidR="00187290">
              <w:rPr>
                <w:webHidden/>
              </w:rPr>
              <w:instrText xml:space="preserve"> PAGEREF _Toc33443668 \h </w:instrText>
            </w:r>
            <w:r w:rsidR="00187290">
              <w:rPr>
                <w:webHidden/>
              </w:rPr>
            </w:r>
            <w:r w:rsidR="00187290">
              <w:rPr>
                <w:webHidden/>
              </w:rPr>
              <w:fldChar w:fldCharType="separate"/>
            </w:r>
            <w:r w:rsidR="008C38D3">
              <w:rPr>
                <w:webHidden/>
              </w:rPr>
              <w:t>8</w:t>
            </w:r>
            <w:r w:rsidR="00187290">
              <w:rPr>
                <w:webHidden/>
              </w:rPr>
              <w:fldChar w:fldCharType="end"/>
            </w:r>
          </w:hyperlink>
        </w:p>
        <w:p w14:paraId="30634869" w14:textId="68907C70" w:rsidR="00187290" w:rsidRDefault="00DC78BE">
          <w:pPr>
            <w:pStyle w:val="TOC2"/>
            <w:rPr>
              <w:rFonts w:asciiTheme="minorHAnsi" w:eastAsiaTheme="minorEastAsia" w:hAnsiTheme="minorHAnsi" w:cstheme="minorBidi"/>
              <w:szCs w:val="22"/>
            </w:rPr>
          </w:pPr>
          <w:hyperlink w:anchor="_Toc33443669" w:history="1">
            <w:r w:rsidR="00187290" w:rsidRPr="004A6ECE">
              <w:rPr>
                <w:rStyle w:val="Hyperlink"/>
              </w:rPr>
              <w:t>KPI 3 – Actions undertaken by regulators are proportionate to the regulatory risk being managed</w:t>
            </w:r>
            <w:r w:rsidR="00187290">
              <w:rPr>
                <w:webHidden/>
              </w:rPr>
              <w:tab/>
            </w:r>
            <w:r w:rsidR="00187290">
              <w:rPr>
                <w:webHidden/>
              </w:rPr>
              <w:fldChar w:fldCharType="begin"/>
            </w:r>
            <w:r w:rsidR="00187290">
              <w:rPr>
                <w:webHidden/>
              </w:rPr>
              <w:instrText xml:space="preserve"> PAGEREF _Toc33443669 \h </w:instrText>
            </w:r>
            <w:r w:rsidR="00187290">
              <w:rPr>
                <w:webHidden/>
              </w:rPr>
            </w:r>
            <w:r w:rsidR="00187290">
              <w:rPr>
                <w:webHidden/>
              </w:rPr>
              <w:fldChar w:fldCharType="separate"/>
            </w:r>
            <w:r w:rsidR="008C38D3">
              <w:rPr>
                <w:webHidden/>
              </w:rPr>
              <w:t>11</w:t>
            </w:r>
            <w:r w:rsidR="00187290">
              <w:rPr>
                <w:webHidden/>
              </w:rPr>
              <w:fldChar w:fldCharType="end"/>
            </w:r>
          </w:hyperlink>
        </w:p>
        <w:p w14:paraId="6BDDC1A7" w14:textId="26DF60D5" w:rsidR="00187290" w:rsidRDefault="00DC78BE">
          <w:pPr>
            <w:pStyle w:val="TOC2"/>
            <w:rPr>
              <w:rFonts w:asciiTheme="minorHAnsi" w:eastAsiaTheme="minorEastAsia" w:hAnsiTheme="minorHAnsi" w:cstheme="minorBidi"/>
              <w:szCs w:val="22"/>
            </w:rPr>
          </w:pPr>
          <w:hyperlink w:anchor="_Toc33443670" w:history="1">
            <w:r w:rsidR="00187290" w:rsidRPr="004A6ECE">
              <w:rPr>
                <w:rStyle w:val="Hyperlink"/>
              </w:rPr>
              <w:t>KPI 4 – Compliance and monitoring approaches are streamlined and coordinated</w:t>
            </w:r>
            <w:r w:rsidR="00187290">
              <w:rPr>
                <w:webHidden/>
              </w:rPr>
              <w:tab/>
            </w:r>
            <w:r w:rsidR="00187290">
              <w:rPr>
                <w:webHidden/>
              </w:rPr>
              <w:fldChar w:fldCharType="begin"/>
            </w:r>
            <w:r w:rsidR="00187290">
              <w:rPr>
                <w:webHidden/>
              </w:rPr>
              <w:instrText xml:space="preserve"> PAGEREF _Toc33443670 \h </w:instrText>
            </w:r>
            <w:r w:rsidR="00187290">
              <w:rPr>
                <w:webHidden/>
              </w:rPr>
            </w:r>
            <w:r w:rsidR="00187290">
              <w:rPr>
                <w:webHidden/>
              </w:rPr>
              <w:fldChar w:fldCharType="separate"/>
            </w:r>
            <w:r w:rsidR="008C38D3">
              <w:rPr>
                <w:webHidden/>
              </w:rPr>
              <w:t>13</w:t>
            </w:r>
            <w:r w:rsidR="00187290">
              <w:rPr>
                <w:webHidden/>
              </w:rPr>
              <w:fldChar w:fldCharType="end"/>
            </w:r>
          </w:hyperlink>
        </w:p>
        <w:p w14:paraId="355B17E2" w14:textId="2DF3315D" w:rsidR="00187290" w:rsidRDefault="00DC78BE">
          <w:pPr>
            <w:pStyle w:val="TOC2"/>
            <w:rPr>
              <w:rFonts w:asciiTheme="minorHAnsi" w:eastAsiaTheme="minorEastAsia" w:hAnsiTheme="minorHAnsi" w:cstheme="minorBidi"/>
              <w:szCs w:val="22"/>
            </w:rPr>
          </w:pPr>
          <w:hyperlink w:anchor="_Toc33443671" w:history="1">
            <w:r w:rsidR="00187290" w:rsidRPr="004A6ECE">
              <w:rPr>
                <w:rStyle w:val="Hyperlink"/>
              </w:rPr>
              <w:t>KPI 5 – Regulators are open and transparent in their dealings with foreign investors</w:t>
            </w:r>
            <w:r w:rsidR="00187290">
              <w:rPr>
                <w:webHidden/>
              </w:rPr>
              <w:tab/>
            </w:r>
            <w:r w:rsidR="00187290">
              <w:rPr>
                <w:webHidden/>
              </w:rPr>
              <w:fldChar w:fldCharType="begin"/>
            </w:r>
            <w:r w:rsidR="00187290">
              <w:rPr>
                <w:webHidden/>
              </w:rPr>
              <w:instrText xml:space="preserve"> PAGEREF _Toc33443671 \h </w:instrText>
            </w:r>
            <w:r w:rsidR="00187290">
              <w:rPr>
                <w:webHidden/>
              </w:rPr>
            </w:r>
            <w:r w:rsidR="00187290">
              <w:rPr>
                <w:webHidden/>
              </w:rPr>
              <w:fldChar w:fldCharType="separate"/>
            </w:r>
            <w:r w:rsidR="008C38D3">
              <w:rPr>
                <w:webHidden/>
              </w:rPr>
              <w:t>15</w:t>
            </w:r>
            <w:r w:rsidR="00187290">
              <w:rPr>
                <w:webHidden/>
              </w:rPr>
              <w:fldChar w:fldCharType="end"/>
            </w:r>
          </w:hyperlink>
        </w:p>
        <w:p w14:paraId="02B00874" w14:textId="196D257A" w:rsidR="00187290" w:rsidRDefault="00DC78BE">
          <w:pPr>
            <w:pStyle w:val="TOC2"/>
            <w:rPr>
              <w:rFonts w:asciiTheme="minorHAnsi" w:eastAsiaTheme="minorEastAsia" w:hAnsiTheme="minorHAnsi" w:cstheme="minorBidi"/>
              <w:szCs w:val="22"/>
            </w:rPr>
          </w:pPr>
          <w:hyperlink w:anchor="_Toc33443672" w:history="1">
            <w:r w:rsidR="00187290" w:rsidRPr="004A6ECE">
              <w:rPr>
                <w:rStyle w:val="Hyperlink"/>
              </w:rPr>
              <w:t>KPI 6 – Regulators actively contribute to the continuous improvement of regulatory frameworks</w:t>
            </w:r>
            <w:r w:rsidR="00187290">
              <w:rPr>
                <w:webHidden/>
              </w:rPr>
              <w:tab/>
            </w:r>
            <w:r w:rsidR="00187290">
              <w:rPr>
                <w:webHidden/>
              </w:rPr>
              <w:fldChar w:fldCharType="begin"/>
            </w:r>
            <w:r w:rsidR="00187290">
              <w:rPr>
                <w:webHidden/>
              </w:rPr>
              <w:instrText xml:space="preserve"> PAGEREF _Toc33443672 \h </w:instrText>
            </w:r>
            <w:r w:rsidR="00187290">
              <w:rPr>
                <w:webHidden/>
              </w:rPr>
            </w:r>
            <w:r w:rsidR="00187290">
              <w:rPr>
                <w:webHidden/>
              </w:rPr>
              <w:fldChar w:fldCharType="separate"/>
            </w:r>
            <w:r w:rsidR="008C38D3">
              <w:rPr>
                <w:webHidden/>
              </w:rPr>
              <w:t>18</w:t>
            </w:r>
            <w:r w:rsidR="00187290">
              <w:rPr>
                <w:webHidden/>
              </w:rPr>
              <w:fldChar w:fldCharType="end"/>
            </w:r>
          </w:hyperlink>
        </w:p>
        <w:p w14:paraId="36410B54" w14:textId="348F2156" w:rsidR="00187290" w:rsidRDefault="00DC78BE">
          <w:pPr>
            <w:pStyle w:val="TOC1"/>
            <w:rPr>
              <w:rFonts w:asciiTheme="minorHAnsi" w:eastAsiaTheme="minorEastAsia" w:hAnsiTheme="minorHAnsi" w:cstheme="minorBidi"/>
              <w:b w:val="0"/>
              <w:caps w:val="0"/>
              <w:noProof/>
              <w:color w:val="auto"/>
              <w:sz w:val="22"/>
            </w:rPr>
          </w:pPr>
          <w:hyperlink w:anchor="_Toc33443673" w:history="1">
            <w:r w:rsidR="00187290" w:rsidRPr="004A6ECE">
              <w:rPr>
                <w:rStyle w:val="Hyperlink"/>
                <w:noProof/>
              </w:rPr>
              <w:t>Appendix A – Stakeholder survey feedback</w:t>
            </w:r>
            <w:r w:rsidR="00187290">
              <w:rPr>
                <w:noProof/>
                <w:webHidden/>
              </w:rPr>
              <w:tab/>
            </w:r>
            <w:r w:rsidR="00187290">
              <w:rPr>
                <w:noProof/>
                <w:webHidden/>
              </w:rPr>
              <w:fldChar w:fldCharType="begin"/>
            </w:r>
            <w:r w:rsidR="00187290">
              <w:rPr>
                <w:noProof/>
                <w:webHidden/>
              </w:rPr>
              <w:instrText xml:space="preserve"> PAGEREF _Toc33443673 \h </w:instrText>
            </w:r>
            <w:r w:rsidR="00187290">
              <w:rPr>
                <w:noProof/>
                <w:webHidden/>
              </w:rPr>
            </w:r>
            <w:r w:rsidR="00187290">
              <w:rPr>
                <w:noProof/>
                <w:webHidden/>
              </w:rPr>
              <w:fldChar w:fldCharType="separate"/>
            </w:r>
            <w:r w:rsidR="008C38D3">
              <w:rPr>
                <w:noProof/>
                <w:webHidden/>
              </w:rPr>
              <w:t>19</w:t>
            </w:r>
            <w:r w:rsidR="00187290">
              <w:rPr>
                <w:noProof/>
                <w:webHidden/>
              </w:rPr>
              <w:fldChar w:fldCharType="end"/>
            </w:r>
          </w:hyperlink>
        </w:p>
        <w:p w14:paraId="785C7067" w14:textId="500DF927" w:rsidR="00187290" w:rsidRDefault="00DC78BE">
          <w:pPr>
            <w:pStyle w:val="TOC1"/>
            <w:rPr>
              <w:rFonts w:asciiTheme="minorHAnsi" w:eastAsiaTheme="minorEastAsia" w:hAnsiTheme="minorHAnsi" w:cstheme="minorBidi"/>
              <w:b w:val="0"/>
              <w:caps w:val="0"/>
              <w:noProof/>
              <w:color w:val="auto"/>
              <w:sz w:val="22"/>
            </w:rPr>
          </w:pPr>
          <w:hyperlink w:anchor="_Toc33443674" w:history="1">
            <w:r w:rsidR="00187290" w:rsidRPr="004A6ECE">
              <w:rPr>
                <w:rStyle w:val="Hyperlink"/>
                <w:noProof/>
              </w:rPr>
              <w:t>Appendix B – Stakeholder engagement</w:t>
            </w:r>
            <w:r w:rsidR="00187290">
              <w:rPr>
                <w:noProof/>
                <w:webHidden/>
              </w:rPr>
              <w:tab/>
            </w:r>
            <w:r w:rsidR="00187290">
              <w:rPr>
                <w:noProof/>
                <w:webHidden/>
              </w:rPr>
              <w:fldChar w:fldCharType="begin"/>
            </w:r>
            <w:r w:rsidR="00187290">
              <w:rPr>
                <w:noProof/>
                <w:webHidden/>
              </w:rPr>
              <w:instrText xml:space="preserve"> PAGEREF _Toc33443674 \h </w:instrText>
            </w:r>
            <w:r w:rsidR="00187290">
              <w:rPr>
                <w:noProof/>
                <w:webHidden/>
              </w:rPr>
            </w:r>
            <w:r w:rsidR="00187290">
              <w:rPr>
                <w:noProof/>
                <w:webHidden/>
              </w:rPr>
              <w:fldChar w:fldCharType="separate"/>
            </w:r>
            <w:r w:rsidR="008C38D3">
              <w:rPr>
                <w:noProof/>
                <w:webHidden/>
              </w:rPr>
              <w:t>21</w:t>
            </w:r>
            <w:r w:rsidR="00187290">
              <w:rPr>
                <w:noProof/>
                <w:webHidden/>
              </w:rPr>
              <w:fldChar w:fldCharType="end"/>
            </w:r>
          </w:hyperlink>
        </w:p>
        <w:p w14:paraId="626606DC" w14:textId="78702896" w:rsidR="00F3163E" w:rsidRPr="005B5BBE" w:rsidRDefault="00F6105D" w:rsidP="00020B42">
          <w:pPr>
            <w:rPr>
              <w:rFonts w:asciiTheme="minorHAnsi" w:hAnsiTheme="minorHAnsi"/>
              <w:highlight w:val="cyan"/>
            </w:rPr>
            <w:sectPr w:rsidR="00F3163E" w:rsidRPr="005B5BBE" w:rsidSect="00924BEC">
              <w:headerReference w:type="even" r:id="rId28"/>
              <w:headerReference w:type="default" r:id="rId29"/>
              <w:footerReference w:type="even" r:id="rId30"/>
              <w:footerReference w:type="default" r:id="rId31"/>
              <w:headerReference w:type="first" r:id="rId32"/>
              <w:footerReference w:type="first" r:id="rId33"/>
              <w:pgSz w:w="11906" w:h="16838" w:code="277"/>
              <w:pgMar w:top="1440" w:right="1440" w:bottom="1440" w:left="1440" w:header="851" w:footer="851" w:gutter="0"/>
              <w:pgNumType w:start="1"/>
              <w:cols w:space="708"/>
              <w:titlePg/>
              <w:docGrid w:linePitch="360"/>
            </w:sectPr>
          </w:pPr>
          <w:r w:rsidRPr="00B70505">
            <w:rPr>
              <w:rFonts w:asciiTheme="minorHAnsi" w:hAnsiTheme="minorHAnsi"/>
              <w:b/>
              <w:bCs/>
              <w:noProof/>
            </w:rPr>
            <w:fldChar w:fldCharType="end"/>
          </w:r>
        </w:p>
      </w:sdtContent>
    </w:sdt>
    <w:p w14:paraId="7F22151D" w14:textId="77777777" w:rsidR="00477CD9" w:rsidRPr="005B5BBE" w:rsidRDefault="00DD4B2B" w:rsidP="00477CD9">
      <w:pPr>
        <w:pStyle w:val="Heading1"/>
        <w:rPr>
          <w:rFonts w:asciiTheme="minorHAnsi" w:hAnsiTheme="minorHAnsi"/>
        </w:rPr>
      </w:pPr>
      <w:bookmarkStart w:id="16" w:name="_Toc28948648"/>
      <w:bookmarkStart w:id="17" w:name="_Toc28949432"/>
      <w:bookmarkStart w:id="18" w:name="_Toc31113253"/>
      <w:bookmarkStart w:id="19" w:name="_Toc33443661"/>
      <w:bookmarkEnd w:id="16"/>
      <w:bookmarkEnd w:id="17"/>
      <w:r>
        <w:rPr>
          <w:rFonts w:asciiTheme="minorHAnsi" w:hAnsiTheme="minorHAnsi"/>
        </w:rPr>
        <w:lastRenderedPageBreak/>
        <w:t>Introduction</w:t>
      </w:r>
      <w:bookmarkEnd w:id="18"/>
      <w:bookmarkEnd w:id="19"/>
    </w:p>
    <w:p w14:paraId="5990E8A7" w14:textId="77777777" w:rsidR="000C07AB" w:rsidRDefault="000C07AB" w:rsidP="00853569">
      <w:pPr>
        <w:pStyle w:val="BodyText"/>
      </w:pPr>
      <w:r w:rsidRPr="005B5BBE">
        <w:rPr>
          <w:rFonts w:asciiTheme="minorHAnsi" w:hAnsiTheme="minorHAnsi"/>
        </w:rPr>
        <w:t>In 2014</w:t>
      </w:r>
      <w:r>
        <w:rPr>
          <w:rFonts w:asciiTheme="minorHAnsi" w:hAnsiTheme="minorHAnsi"/>
        </w:rPr>
        <w:t>,</w:t>
      </w:r>
      <w:r w:rsidRPr="005B5BBE">
        <w:rPr>
          <w:rFonts w:asciiTheme="minorHAnsi" w:hAnsiTheme="minorHAnsi"/>
        </w:rPr>
        <w:t xml:space="preserve"> the Australian Government established </w:t>
      </w:r>
      <w:r>
        <w:rPr>
          <w:rFonts w:asciiTheme="minorHAnsi" w:hAnsiTheme="minorHAnsi"/>
        </w:rPr>
        <w:t>the</w:t>
      </w:r>
      <w:r w:rsidRPr="005B5BBE">
        <w:rPr>
          <w:rFonts w:asciiTheme="minorHAnsi" w:hAnsiTheme="minorHAnsi"/>
        </w:rPr>
        <w:t xml:space="preserve"> Regulator Performance Framework (RPF) to encourage Commonwealth regulators </w:t>
      </w:r>
      <w:r w:rsidR="008E48BF">
        <w:t xml:space="preserve">to undertake their functions with the minimum impact necessary to achieve regulatory objectives and to effect positive ongoing and lasting cultural change within regulators. </w:t>
      </w:r>
    </w:p>
    <w:p w14:paraId="273A36E5" w14:textId="77777777" w:rsidR="008E48BF" w:rsidRPr="00751EEB" w:rsidRDefault="008E48BF" w:rsidP="00853569">
      <w:pPr>
        <w:pStyle w:val="BodyText"/>
      </w:pPr>
      <w:r>
        <w:t>Under the RPF, r</w:t>
      </w:r>
      <w:r w:rsidRPr="00751EEB">
        <w:t xml:space="preserve">egulators must undertake an annual self-assessment of their performance using </w:t>
      </w:r>
      <w:r>
        <w:t xml:space="preserve">the following </w:t>
      </w:r>
      <w:r w:rsidRPr="00751EEB">
        <w:t>six key</w:t>
      </w:r>
      <w:r>
        <w:t xml:space="preserve"> outcomes-based</w:t>
      </w:r>
      <w:r w:rsidRPr="00751EEB">
        <w:t xml:space="preserve"> performance indicators (KPIs)</w:t>
      </w:r>
      <w:r>
        <w:t>.</w:t>
      </w:r>
    </w:p>
    <w:p w14:paraId="7F58BC10" w14:textId="77777777" w:rsidR="008E48BF" w:rsidRPr="0032107D" w:rsidRDefault="008E48BF" w:rsidP="008E48BF">
      <w:pPr>
        <w:pStyle w:val="OutlineNumbered1"/>
        <w:tabs>
          <w:tab w:val="clear" w:pos="851"/>
          <w:tab w:val="num" w:pos="425"/>
        </w:tabs>
        <w:ind w:left="425" w:hanging="425"/>
        <w:rPr>
          <w:rFonts w:asciiTheme="minorHAnsi" w:hAnsiTheme="minorHAnsi"/>
          <w:sz w:val="21"/>
          <w:szCs w:val="21"/>
        </w:rPr>
      </w:pPr>
      <w:r w:rsidRPr="0032107D">
        <w:rPr>
          <w:rFonts w:asciiTheme="minorHAnsi" w:hAnsiTheme="minorHAnsi"/>
          <w:sz w:val="21"/>
          <w:szCs w:val="21"/>
        </w:rPr>
        <w:t>Regulators do not unnecessarily impede the efficient operation of regulated entities.</w:t>
      </w:r>
    </w:p>
    <w:p w14:paraId="0A33BFF5" w14:textId="77777777" w:rsidR="008E48BF" w:rsidRPr="0032107D" w:rsidRDefault="008E48BF" w:rsidP="008E48BF">
      <w:pPr>
        <w:pStyle w:val="OutlineNumbered1"/>
        <w:tabs>
          <w:tab w:val="clear" w:pos="851"/>
          <w:tab w:val="num" w:pos="425"/>
        </w:tabs>
        <w:ind w:left="425" w:hanging="425"/>
        <w:rPr>
          <w:rFonts w:asciiTheme="minorHAnsi" w:hAnsiTheme="minorHAnsi"/>
          <w:sz w:val="21"/>
          <w:szCs w:val="21"/>
        </w:rPr>
      </w:pPr>
      <w:r w:rsidRPr="0032107D">
        <w:rPr>
          <w:rFonts w:asciiTheme="minorHAnsi" w:hAnsiTheme="minorHAnsi"/>
          <w:sz w:val="21"/>
          <w:szCs w:val="21"/>
        </w:rPr>
        <w:t>Communication with regulated entities is clear, targeted and effective.</w:t>
      </w:r>
    </w:p>
    <w:p w14:paraId="7E57BD24" w14:textId="77777777" w:rsidR="008E48BF" w:rsidRPr="0032107D" w:rsidRDefault="008E48BF" w:rsidP="008E48BF">
      <w:pPr>
        <w:pStyle w:val="OutlineNumbered1"/>
        <w:tabs>
          <w:tab w:val="clear" w:pos="851"/>
          <w:tab w:val="num" w:pos="425"/>
        </w:tabs>
        <w:ind w:left="425" w:hanging="425"/>
        <w:rPr>
          <w:rFonts w:asciiTheme="minorHAnsi" w:hAnsiTheme="minorHAnsi"/>
          <w:sz w:val="21"/>
          <w:szCs w:val="21"/>
        </w:rPr>
      </w:pPr>
      <w:r w:rsidRPr="0032107D">
        <w:rPr>
          <w:rFonts w:asciiTheme="minorHAnsi" w:hAnsiTheme="minorHAnsi"/>
          <w:sz w:val="21"/>
          <w:szCs w:val="21"/>
        </w:rPr>
        <w:t>Actions undertaken by regulators are proportionate to the regulatory risk being managed.</w:t>
      </w:r>
    </w:p>
    <w:p w14:paraId="0700158D" w14:textId="77777777" w:rsidR="008E48BF" w:rsidRPr="0032107D" w:rsidRDefault="008E48BF" w:rsidP="008E48BF">
      <w:pPr>
        <w:pStyle w:val="OutlineNumbered1"/>
        <w:tabs>
          <w:tab w:val="clear" w:pos="851"/>
          <w:tab w:val="num" w:pos="425"/>
        </w:tabs>
        <w:ind w:left="425" w:hanging="425"/>
        <w:rPr>
          <w:rFonts w:asciiTheme="minorHAnsi" w:hAnsiTheme="minorHAnsi"/>
          <w:sz w:val="21"/>
          <w:szCs w:val="21"/>
        </w:rPr>
      </w:pPr>
      <w:r w:rsidRPr="0032107D">
        <w:rPr>
          <w:rFonts w:asciiTheme="minorHAnsi" w:hAnsiTheme="minorHAnsi"/>
          <w:sz w:val="21"/>
          <w:szCs w:val="21"/>
        </w:rPr>
        <w:t>Compliance and monitoring approaches are streamlined and coordinated.</w:t>
      </w:r>
    </w:p>
    <w:p w14:paraId="29478549" w14:textId="77777777" w:rsidR="008E48BF" w:rsidRPr="0032107D" w:rsidRDefault="008E48BF" w:rsidP="008E48BF">
      <w:pPr>
        <w:pStyle w:val="OutlineNumbered1"/>
        <w:tabs>
          <w:tab w:val="clear" w:pos="851"/>
          <w:tab w:val="num" w:pos="425"/>
        </w:tabs>
        <w:ind w:left="425" w:hanging="425"/>
        <w:rPr>
          <w:rFonts w:asciiTheme="minorHAnsi" w:hAnsiTheme="minorHAnsi"/>
          <w:sz w:val="21"/>
          <w:szCs w:val="21"/>
        </w:rPr>
      </w:pPr>
      <w:r w:rsidRPr="0032107D">
        <w:rPr>
          <w:rFonts w:asciiTheme="minorHAnsi" w:hAnsiTheme="minorHAnsi"/>
          <w:sz w:val="21"/>
          <w:szCs w:val="21"/>
        </w:rPr>
        <w:t>Regulators are open and transparent in dealing with regulated entities.</w:t>
      </w:r>
    </w:p>
    <w:p w14:paraId="37D10ACD" w14:textId="77777777" w:rsidR="008E48BF" w:rsidRPr="0032107D" w:rsidRDefault="008E48BF" w:rsidP="008E48BF">
      <w:pPr>
        <w:pStyle w:val="OutlineNumbered1"/>
        <w:tabs>
          <w:tab w:val="clear" w:pos="851"/>
          <w:tab w:val="num" w:pos="425"/>
        </w:tabs>
        <w:ind w:left="425" w:hanging="425"/>
        <w:rPr>
          <w:rFonts w:asciiTheme="minorHAnsi" w:hAnsiTheme="minorHAnsi"/>
          <w:sz w:val="21"/>
          <w:szCs w:val="21"/>
        </w:rPr>
      </w:pPr>
      <w:r w:rsidRPr="0032107D">
        <w:rPr>
          <w:rFonts w:asciiTheme="minorHAnsi" w:hAnsiTheme="minorHAnsi"/>
          <w:sz w:val="21"/>
          <w:szCs w:val="21"/>
        </w:rPr>
        <w:t>Regulators actively contribute to the continuous improvement of regulatory frameworks.</w:t>
      </w:r>
    </w:p>
    <w:p w14:paraId="699826AC" w14:textId="77777777" w:rsidR="000C07AB" w:rsidRDefault="000C07AB" w:rsidP="0057637E">
      <w:pPr>
        <w:pStyle w:val="Heading2"/>
      </w:pPr>
      <w:bookmarkStart w:id="20" w:name="_Toc31113254"/>
      <w:bookmarkStart w:id="21" w:name="_Toc33443662"/>
      <w:r>
        <w:t>Introduction to Australia’s Foreign Investment Framework</w:t>
      </w:r>
      <w:bookmarkEnd w:id="20"/>
      <w:bookmarkEnd w:id="21"/>
    </w:p>
    <w:p w14:paraId="0D108A46" w14:textId="77777777" w:rsidR="000C07AB" w:rsidRPr="0032107D" w:rsidRDefault="00B37F00" w:rsidP="00853569">
      <w:pPr>
        <w:pStyle w:val="BodyText"/>
        <w:rPr>
          <w:szCs w:val="21"/>
        </w:rPr>
      </w:pPr>
      <w:r>
        <w:t>Australia’s For</w:t>
      </w:r>
      <w:r w:rsidR="009B6626">
        <w:t>eign Investment Framework (the f</w:t>
      </w:r>
      <w:r>
        <w:t xml:space="preserve">ramework) </w:t>
      </w:r>
      <w:r w:rsidR="00966CD4" w:rsidRPr="00853569">
        <w:t xml:space="preserve">encompasses </w:t>
      </w:r>
      <w:r w:rsidR="000C07AB" w:rsidRPr="00853569">
        <w:t xml:space="preserve">the </w:t>
      </w:r>
      <w:r w:rsidR="000C07AB" w:rsidRPr="00853569">
        <w:rPr>
          <w:i/>
        </w:rPr>
        <w:t>Foreign Acquisitions and Takeovers Act 1975</w:t>
      </w:r>
      <w:r w:rsidR="000C07AB" w:rsidRPr="00853569">
        <w:t xml:space="preserve"> (the Act) and supporting legislation</w:t>
      </w:r>
      <w:r w:rsidR="00966CD4" w:rsidRPr="00853569">
        <w:t xml:space="preserve"> and regulations</w:t>
      </w:r>
      <w:r w:rsidR="005173DD" w:rsidRPr="00853569">
        <w:t>.</w:t>
      </w:r>
      <w:r w:rsidR="00966CD4" w:rsidRPr="00853569">
        <w:t xml:space="preserve"> Under these, </w:t>
      </w:r>
      <w:r w:rsidR="000C07AB" w:rsidRPr="00853569">
        <w:t xml:space="preserve">foreign investment applications </w:t>
      </w:r>
      <w:r w:rsidR="004F55A4" w:rsidRPr="00853569">
        <w:t xml:space="preserve">are assessed </w:t>
      </w:r>
      <w:r w:rsidR="000C07AB" w:rsidRPr="00853569">
        <w:t>on a case</w:t>
      </w:r>
      <w:r w:rsidR="000C07AB" w:rsidRPr="00853569">
        <w:noBreakHyphen/>
        <w:t>by</w:t>
      </w:r>
      <w:r w:rsidR="000C07AB" w:rsidRPr="00853569">
        <w:noBreakHyphen/>
        <w:t>case basis</w:t>
      </w:r>
      <w:r w:rsidR="004F55A4" w:rsidRPr="00853569">
        <w:t xml:space="preserve"> according to whether </w:t>
      </w:r>
      <w:r w:rsidR="00640E4E" w:rsidRPr="00853569">
        <w:t xml:space="preserve">or not </w:t>
      </w:r>
      <w:r w:rsidR="004F55A4" w:rsidRPr="00853569">
        <w:t xml:space="preserve">they are </w:t>
      </w:r>
      <w:r w:rsidR="00640E4E" w:rsidRPr="00853569">
        <w:t>contrary to the national interest</w:t>
      </w:r>
      <w:r w:rsidR="000C07AB" w:rsidRPr="00853569">
        <w:t xml:space="preserve">. Applications are generally approved as the Government aims to maximise investment flows, without compromising the national interest. </w:t>
      </w:r>
      <w:r w:rsidR="00966CD4" w:rsidRPr="00853569">
        <w:t xml:space="preserve">Where a </w:t>
      </w:r>
      <w:r w:rsidR="000C07AB" w:rsidRPr="00853569">
        <w:t xml:space="preserve">proposal raises national interest concerns, the </w:t>
      </w:r>
      <w:r w:rsidR="000C07AB" w:rsidRPr="0032107D">
        <w:rPr>
          <w:szCs w:val="21"/>
        </w:rPr>
        <w:t>Treasurer may:</w:t>
      </w:r>
    </w:p>
    <w:p w14:paraId="4E956796" w14:textId="21C130E9" w:rsidR="000C07AB" w:rsidRPr="0032107D" w:rsidRDefault="00547914" w:rsidP="000C07AB">
      <w:pPr>
        <w:pStyle w:val="Bullet"/>
        <w:spacing w:line="240" w:lineRule="auto"/>
        <w:rPr>
          <w:sz w:val="21"/>
          <w:szCs w:val="21"/>
        </w:rPr>
      </w:pPr>
      <w:r w:rsidRPr="0032107D">
        <w:rPr>
          <w:sz w:val="21"/>
          <w:szCs w:val="21"/>
        </w:rPr>
        <w:t xml:space="preserve">approve </w:t>
      </w:r>
      <w:r w:rsidR="005173DD" w:rsidRPr="0032107D">
        <w:rPr>
          <w:sz w:val="21"/>
          <w:szCs w:val="21"/>
        </w:rPr>
        <w:t xml:space="preserve">the application with </w:t>
      </w:r>
      <w:r w:rsidR="000C07AB" w:rsidRPr="0032107D">
        <w:rPr>
          <w:sz w:val="21"/>
          <w:szCs w:val="21"/>
        </w:rPr>
        <w:t>conditions;</w:t>
      </w:r>
    </w:p>
    <w:p w14:paraId="54B3BC42" w14:textId="77777777" w:rsidR="000C07AB" w:rsidRPr="0032107D" w:rsidRDefault="000C07AB" w:rsidP="000C07AB">
      <w:pPr>
        <w:pStyle w:val="Bullet"/>
        <w:spacing w:line="240" w:lineRule="auto"/>
        <w:rPr>
          <w:sz w:val="21"/>
          <w:szCs w:val="21"/>
        </w:rPr>
      </w:pPr>
      <w:r w:rsidRPr="0032107D">
        <w:rPr>
          <w:sz w:val="21"/>
          <w:szCs w:val="21"/>
        </w:rPr>
        <w:t xml:space="preserve">block </w:t>
      </w:r>
      <w:r w:rsidR="005173DD" w:rsidRPr="0032107D">
        <w:rPr>
          <w:sz w:val="21"/>
          <w:szCs w:val="21"/>
        </w:rPr>
        <w:t xml:space="preserve">the </w:t>
      </w:r>
      <w:r w:rsidRPr="0032107D">
        <w:rPr>
          <w:sz w:val="21"/>
          <w:szCs w:val="21"/>
        </w:rPr>
        <w:t>proposal; or</w:t>
      </w:r>
    </w:p>
    <w:p w14:paraId="0E4A16DB" w14:textId="77777777" w:rsidR="000C07AB" w:rsidRPr="0032107D" w:rsidRDefault="000C07AB" w:rsidP="000C07AB">
      <w:pPr>
        <w:pStyle w:val="Bullet"/>
        <w:spacing w:line="240" w:lineRule="auto"/>
        <w:rPr>
          <w:sz w:val="21"/>
          <w:szCs w:val="21"/>
        </w:rPr>
      </w:pPr>
      <w:proofErr w:type="gramStart"/>
      <w:r w:rsidRPr="0032107D">
        <w:rPr>
          <w:sz w:val="21"/>
          <w:szCs w:val="21"/>
        </w:rPr>
        <w:t>require</w:t>
      </w:r>
      <w:proofErr w:type="gramEnd"/>
      <w:r w:rsidRPr="0032107D">
        <w:rPr>
          <w:sz w:val="21"/>
          <w:szCs w:val="21"/>
        </w:rPr>
        <w:t xml:space="preserve"> a foreign person to dispose of real estate or share interests, or terminate an arrangement, if an unapproved transaction has already been completed and is contrary to the national interest.</w:t>
      </w:r>
    </w:p>
    <w:p w14:paraId="20FBA420" w14:textId="07E64715" w:rsidR="00EB2A28" w:rsidRPr="0032107D" w:rsidRDefault="00EB2A28" w:rsidP="00853569">
      <w:pPr>
        <w:pStyle w:val="BodyText"/>
        <w:rPr>
          <w:szCs w:val="21"/>
        </w:rPr>
      </w:pPr>
      <w:r w:rsidRPr="0032107D">
        <w:rPr>
          <w:szCs w:val="21"/>
        </w:rPr>
        <w:t>The Act</w:t>
      </w:r>
      <w:r w:rsidR="00400306" w:rsidRPr="0032107D">
        <w:rPr>
          <w:szCs w:val="21"/>
        </w:rPr>
        <w:t xml:space="preserve"> also contains a </w:t>
      </w:r>
      <w:r w:rsidR="000566A9" w:rsidRPr="0032107D">
        <w:rPr>
          <w:szCs w:val="21"/>
        </w:rPr>
        <w:t xml:space="preserve">range of </w:t>
      </w:r>
      <w:r w:rsidR="00400306" w:rsidRPr="0032107D">
        <w:rPr>
          <w:szCs w:val="21"/>
        </w:rPr>
        <w:t xml:space="preserve">compliance </w:t>
      </w:r>
      <w:r w:rsidR="000566A9" w:rsidRPr="0032107D">
        <w:rPr>
          <w:szCs w:val="21"/>
        </w:rPr>
        <w:t>powers</w:t>
      </w:r>
      <w:r w:rsidR="00400306" w:rsidRPr="0032107D">
        <w:rPr>
          <w:szCs w:val="21"/>
        </w:rPr>
        <w:t>.</w:t>
      </w:r>
    </w:p>
    <w:p w14:paraId="4B5B9218" w14:textId="20784A8E" w:rsidR="000C07AB" w:rsidRDefault="000C07AB" w:rsidP="00853569">
      <w:pPr>
        <w:pStyle w:val="BodyText"/>
      </w:pPr>
      <w:r w:rsidRPr="005B5BBE">
        <w:t>The</w:t>
      </w:r>
      <w:r w:rsidR="00222521">
        <w:t xml:space="preserve"> Foreign Investment Division (FID) in the</w:t>
      </w:r>
      <w:r w:rsidRPr="005B5BBE">
        <w:t xml:space="preserve"> Department of the Treasury</w:t>
      </w:r>
      <w:r w:rsidR="006804CD">
        <w:t xml:space="preserve"> (the Treasury)</w:t>
      </w:r>
      <w:r w:rsidR="000566A9">
        <w:t xml:space="preserve">, </w:t>
      </w:r>
      <w:r w:rsidRPr="005B5BBE">
        <w:t xml:space="preserve">the Australian Taxation Office (ATO) </w:t>
      </w:r>
      <w:r w:rsidR="000566A9">
        <w:t xml:space="preserve">and the </w:t>
      </w:r>
      <w:r w:rsidR="000566A9" w:rsidRPr="005B5BBE">
        <w:t xml:space="preserve">Foreign Investment Review Board (FIRB) </w:t>
      </w:r>
      <w:r w:rsidRPr="005B5BBE">
        <w:t xml:space="preserve">have the primary responsibility to examine foreign investment </w:t>
      </w:r>
      <w:r>
        <w:t>applications</w:t>
      </w:r>
      <w:r w:rsidRPr="005B5BBE">
        <w:t xml:space="preserve"> and provide advice on national interest </w:t>
      </w:r>
      <w:r w:rsidR="004A0441">
        <w:t>considerations</w:t>
      </w:r>
      <w:r w:rsidRPr="005B5BBE">
        <w:t xml:space="preserve">. Treasury and the ATO </w:t>
      </w:r>
      <w:r>
        <w:t xml:space="preserve">are </w:t>
      </w:r>
      <w:r w:rsidRPr="005B5BBE">
        <w:t xml:space="preserve">collectively </w:t>
      </w:r>
      <w:r>
        <w:t xml:space="preserve">referred to in this report </w:t>
      </w:r>
      <w:r w:rsidRPr="005B5BBE">
        <w:t xml:space="preserve">as </w:t>
      </w:r>
      <w:r>
        <w:t>‘</w:t>
      </w:r>
      <w:r w:rsidRPr="005B5BBE">
        <w:t>FIRB agencies</w:t>
      </w:r>
      <w:r>
        <w:t>’.</w:t>
      </w:r>
      <w:r w:rsidRPr="00FA3EE1">
        <w:rPr>
          <w:rStyle w:val="FootnoteReference"/>
        </w:rPr>
        <w:footnoteReference w:id="2"/>
      </w:r>
    </w:p>
    <w:p w14:paraId="130087F3" w14:textId="77777777" w:rsidR="000C07AB" w:rsidRDefault="000C07AB" w:rsidP="00853569">
      <w:pPr>
        <w:pStyle w:val="BodyText"/>
      </w:pPr>
      <w:r>
        <w:t xml:space="preserve">The </w:t>
      </w:r>
      <w:r w:rsidRPr="005B5BBE">
        <w:t>Treasury is primarily responsible for the day</w:t>
      </w:r>
      <w:r>
        <w:noBreakHyphen/>
      </w:r>
      <w:r w:rsidRPr="005B5BBE">
        <w:t>to</w:t>
      </w:r>
      <w:r>
        <w:noBreakHyphen/>
      </w:r>
      <w:r w:rsidRPr="005B5BBE">
        <w:t>day administration of the framework in relation to business, agricultural land and</w:t>
      </w:r>
      <w:r w:rsidRPr="001D6775">
        <w:t xml:space="preserve"> sensitive or complex </w:t>
      </w:r>
      <w:r w:rsidRPr="005B5BBE">
        <w:t xml:space="preserve">commercial </w:t>
      </w:r>
      <w:r>
        <w:t>real estate investments.</w:t>
      </w:r>
      <w:r w:rsidR="00694955">
        <w:t xml:space="preserve"> The Treasury is </w:t>
      </w:r>
      <w:r w:rsidR="00694955">
        <w:lastRenderedPageBreak/>
        <w:t>also responsible for providing advice on Australia’s foreign investment policy and progressing legislative changes where required.</w:t>
      </w:r>
      <w:r w:rsidR="00694955" w:rsidDel="00694955">
        <w:rPr>
          <w:rStyle w:val="FootnoteReference"/>
          <w:rFonts w:asciiTheme="minorHAnsi" w:hAnsiTheme="minorHAnsi"/>
        </w:rPr>
        <w:t xml:space="preserve"> </w:t>
      </w:r>
    </w:p>
    <w:p w14:paraId="166C37F7" w14:textId="0B7E1372" w:rsidR="000C07AB" w:rsidRDefault="000C07AB" w:rsidP="00853569">
      <w:pPr>
        <w:pStyle w:val="BodyText"/>
      </w:pPr>
      <w:r>
        <w:t>T</w:t>
      </w:r>
      <w:r w:rsidRPr="005B5BBE">
        <w:t xml:space="preserve">he ATO administers foreign investment </w:t>
      </w:r>
      <w:r w:rsidR="00452810">
        <w:t>for</w:t>
      </w:r>
      <w:r w:rsidR="00452810" w:rsidRPr="005B5BBE">
        <w:t xml:space="preserve"> </w:t>
      </w:r>
      <w:r w:rsidRPr="005B5BBE">
        <w:t>residential real estate</w:t>
      </w:r>
      <w:r>
        <w:t>,</w:t>
      </w:r>
      <w:r w:rsidRPr="005B5BBE">
        <w:t xml:space="preserve"> </w:t>
      </w:r>
      <w:r>
        <w:t xml:space="preserve">as well as non-sensitive commercial real estate </w:t>
      </w:r>
      <w:r w:rsidRPr="00D46A11">
        <w:t>(vacant and non</w:t>
      </w:r>
      <w:r w:rsidRPr="00D46A11">
        <w:noBreakHyphen/>
        <w:t>vacant) and corporate reorganisations, and the development and maintenance of foreign ownership registers</w:t>
      </w:r>
      <w:r>
        <w:t>.</w:t>
      </w:r>
      <w:r>
        <w:rPr>
          <w:rStyle w:val="FootnoteReference"/>
        </w:rPr>
        <w:footnoteReference w:id="3"/>
      </w:r>
      <w:r>
        <w:t xml:space="preserve"> It is also responsible</w:t>
      </w:r>
      <w:r w:rsidRPr="00CB54C2">
        <w:t xml:space="preserve"> for the collection of all foreign investment application fees.</w:t>
      </w:r>
    </w:p>
    <w:p w14:paraId="50ABCB88" w14:textId="77777777" w:rsidR="000C07AB" w:rsidRPr="0032107D" w:rsidRDefault="000C07AB" w:rsidP="00853569">
      <w:pPr>
        <w:pStyle w:val="BodyText"/>
        <w:rPr>
          <w:szCs w:val="21"/>
        </w:rPr>
      </w:pPr>
      <w:r w:rsidRPr="0032107D">
        <w:rPr>
          <w:szCs w:val="21"/>
        </w:rPr>
        <w:t xml:space="preserve">The FIRB </w:t>
      </w:r>
      <w:r w:rsidR="00115740" w:rsidRPr="0032107D">
        <w:rPr>
          <w:szCs w:val="21"/>
        </w:rPr>
        <w:t xml:space="preserve">is </w:t>
      </w:r>
      <w:r w:rsidRPr="0032107D">
        <w:rPr>
          <w:szCs w:val="21"/>
        </w:rPr>
        <w:t xml:space="preserve">a non-statutory </w:t>
      </w:r>
      <w:r w:rsidR="004A0441" w:rsidRPr="0032107D">
        <w:rPr>
          <w:szCs w:val="21"/>
        </w:rPr>
        <w:t>advisory</w:t>
      </w:r>
      <w:r w:rsidRPr="0032107D">
        <w:rPr>
          <w:szCs w:val="21"/>
        </w:rPr>
        <w:t xml:space="preserve"> body. Its role is to:</w:t>
      </w:r>
    </w:p>
    <w:p w14:paraId="69AC0136" w14:textId="77777777" w:rsidR="000C07AB" w:rsidRPr="0032107D" w:rsidRDefault="000C07AB" w:rsidP="000C07AB">
      <w:pPr>
        <w:pStyle w:val="Bullet"/>
        <w:numPr>
          <w:ilvl w:val="0"/>
          <w:numId w:val="35"/>
        </w:numPr>
        <w:tabs>
          <w:tab w:val="left" w:pos="425"/>
        </w:tabs>
        <w:spacing w:line="260" w:lineRule="exact"/>
        <w:rPr>
          <w:sz w:val="21"/>
          <w:szCs w:val="21"/>
        </w:rPr>
      </w:pPr>
      <w:r w:rsidRPr="0032107D">
        <w:rPr>
          <w:sz w:val="21"/>
          <w:szCs w:val="21"/>
        </w:rPr>
        <w:t>examine proposed investments that are subject to the Act</w:t>
      </w:r>
      <w:r w:rsidR="00115740" w:rsidRPr="0032107D">
        <w:rPr>
          <w:sz w:val="21"/>
          <w:szCs w:val="21"/>
        </w:rPr>
        <w:t xml:space="preserve"> </w:t>
      </w:r>
      <w:r w:rsidRPr="0032107D">
        <w:rPr>
          <w:sz w:val="21"/>
          <w:szCs w:val="21"/>
        </w:rPr>
        <w:t>and make recommendations to the Treasurer and other Treasury portfolio ministers on the national interest implications;</w:t>
      </w:r>
    </w:p>
    <w:p w14:paraId="06B76889" w14:textId="77777777" w:rsidR="000C07AB" w:rsidRPr="0032107D" w:rsidRDefault="000C07AB" w:rsidP="000C07AB">
      <w:pPr>
        <w:pStyle w:val="Bullet"/>
        <w:numPr>
          <w:ilvl w:val="0"/>
          <w:numId w:val="35"/>
        </w:numPr>
        <w:tabs>
          <w:tab w:val="left" w:pos="425"/>
        </w:tabs>
        <w:spacing w:line="260" w:lineRule="exact"/>
        <w:rPr>
          <w:sz w:val="21"/>
          <w:szCs w:val="21"/>
        </w:rPr>
      </w:pPr>
      <w:r w:rsidRPr="0032107D">
        <w:rPr>
          <w:sz w:val="21"/>
          <w:szCs w:val="21"/>
        </w:rPr>
        <w:t>provide advice on the operation of the framework and related matters;</w:t>
      </w:r>
    </w:p>
    <w:p w14:paraId="4532032C" w14:textId="77777777" w:rsidR="000C07AB" w:rsidRPr="0032107D" w:rsidRDefault="000C07AB" w:rsidP="000C07AB">
      <w:pPr>
        <w:pStyle w:val="Bullet"/>
        <w:numPr>
          <w:ilvl w:val="0"/>
          <w:numId w:val="35"/>
        </w:numPr>
        <w:tabs>
          <w:tab w:val="left" w:pos="425"/>
        </w:tabs>
        <w:spacing w:line="260" w:lineRule="exact"/>
        <w:rPr>
          <w:sz w:val="21"/>
          <w:szCs w:val="21"/>
        </w:rPr>
      </w:pPr>
      <w:r w:rsidRPr="0032107D">
        <w:rPr>
          <w:sz w:val="21"/>
          <w:szCs w:val="21"/>
        </w:rPr>
        <w:t>foster awareness and understanding, both in Australia and abroad, of Australia’s foreign investment policy;</w:t>
      </w:r>
    </w:p>
    <w:p w14:paraId="2AB079B1" w14:textId="77777777" w:rsidR="000C07AB" w:rsidRPr="0032107D" w:rsidRDefault="000C07AB" w:rsidP="000C07AB">
      <w:pPr>
        <w:pStyle w:val="Bullet"/>
        <w:numPr>
          <w:ilvl w:val="0"/>
          <w:numId w:val="35"/>
        </w:numPr>
        <w:tabs>
          <w:tab w:val="left" w:pos="425"/>
        </w:tabs>
        <w:spacing w:line="260" w:lineRule="exact"/>
        <w:rPr>
          <w:sz w:val="21"/>
          <w:szCs w:val="21"/>
        </w:rPr>
      </w:pPr>
      <w:r w:rsidRPr="0032107D">
        <w:rPr>
          <w:sz w:val="21"/>
          <w:szCs w:val="21"/>
        </w:rPr>
        <w:t>provide guidance to foreign persons and their representatives or agents on the operation of the framework; and</w:t>
      </w:r>
    </w:p>
    <w:p w14:paraId="4F393273" w14:textId="77777777" w:rsidR="000C07AB" w:rsidRPr="0032107D" w:rsidRDefault="000C07AB" w:rsidP="000C07AB">
      <w:pPr>
        <w:pStyle w:val="Bullet"/>
        <w:numPr>
          <w:ilvl w:val="0"/>
          <w:numId w:val="35"/>
        </w:numPr>
        <w:tabs>
          <w:tab w:val="left" w:pos="425"/>
        </w:tabs>
        <w:spacing w:line="260" w:lineRule="exact"/>
        <w:rPr>
          <w:sz w:val="21"/>
          <w:szCs w:val="21"/>
        </w:rPr>
      </w:pPr>
      <w:proofErr w:type="gramStart"/>
      <w:r w:rsidRPr="0032107D">
        <w:rPr>
          <w:sz w:val="21"/>
          <w:szCs w:val="21"/>
        </w:rPr>
        <w:t>monitor</w:t>
      </w:r>
      <w:proofErr w:type="gramEnd"/>
      <w:r w:rsidRPr="0032107D">
        <w:rPr>
          <w:sz w:val="21"/>
          <w:szCs w:val="21"/>
        </w:rPr>
        <w:t xml:space="preserve"> and ensure compliance with the framework.</w:t>
      </w:r>
    </w:p>
    <w:p w14:paraId="605133A0" w14:textId="2BB8E51D" w:rsidR="000C07AB" w:rsidRPr="00853569" w:rsidRDefault="000C07AB" w:rsidP="00853569">
      <w:pPr>
        <w:pStyle w:val="BodyText"/>
      </w:pPr>
      <w:r w:rsidRPr="00853569">
        <w:t xml:space="preserve">FIRB agencies consult with Australian Government departments, state and territory government departments, national security agencies and </w:t>
      </w:r>
      <w:r w:rsidR="009F355C" w:rsidRPr="00853569">
        <w:t xml:space="preserve">other </w:t>
      </w:r>
      <w:r w:rsidRPr="00853569">
        <w:t>authorities with responsibilities relevant to proposed investment</w:t>
      </w:r>
      <w:r w:rsidR="00302994" w:rsidRPr="00853569">
        <w:t>s</w:t>
      </w:r>
      <w:r w:rsidRPr="00853569">
        <w:t>. Advice and comments provided by these consultation partners are important in assessing the implications of proposed</w:t>
      </w:r>
      <w:r w:rsidRPr="00BC0E5F">
        <w:t xml:space="preserve"> investments and</w:t>
      </w:r>
      <w:r w:rsidR="00B54F25">
        <w:t>,</w:t>
      </w:r>
      <w:r w:rsidRPr="00BC0E5F">
        <w:t xml:space="preserve"> in particular, determining whether they raise any national interest issues.</w:t>
      </w:r>
    </w:p>
    <w:p w14:paraId="263676C4" w14:textId="77777777" w:rsidR="00CE59E1" w:rsidRPr="00001478" w:rsidRDefault="00CE59E1" w:rsidP="00CE59E1">
      <w:pPr>
        <w:pStyle w:val="Heading2"/>
        <w:jc w:val="both"/>
        <w:rPr>
          <w:rFonts w:asciiTheme="minorHAnsi" w:hAnsiTheme="minorHAnsi"/>
        </w:rPr>
      </w:pPr>
      <w:bookmarkStart w:id="22" w:name="_Toc31113255"/>
      <w:bookmarkStart w:id="23" w:name="_Toc33443663"/>
      <w:bookmarkStart w:id="24" w:name="_Toc280190"/>
      <w:bookmarkStart w:id="25" w:name="_Toc1483022"/>
      <w:r w:rsidRPr="00001478">
        <w:rPr>
          <w:rFonts w:asciiTheme="minorHAnsi" w:hAnsiTheme="minorHAnsi"/>
        </w:rPr>
        <w:t>Assessing performance</w:t>
      </w:r>
      <w:bookmarkEnd w:id="22"/>
      <w:bookmarkEnd w:id="23"/>
    </w:p>
    <w:p w14:paraId="1276F76D" w14:textId="4EC87C95" w:rsidR="00CE59E1" w:rsidRPr="00853569" w:rsidRDefault="00B37F00" w:rsidP="00853569">
      <w:pPr>
        <w:pStyle w:val="BodyText"/>
      </w:pPr>
      <w:r w:rsidRPr="00853569">
        <w:t xml:space="preserve">This report is a self-assessment of the administration of the framework against the RPF and assesses </w:t>
      </w:r>
      <w:r w:rsidR="00CE59E1" w:rsidRPr="00853569">
        <w:t>activities against the six KPIs</w:t>
      </w:r>
      <w:r w:rsidR="00D73249" w:rsidRPr="00853569">
        <w:t xml:space="preserve"> for the 2018-19 financial year. This report </w:t>
      </w:r>
      <w:r w:rsidR="00CE59E1" w:rsidRPr="00853569">
        <w:t xml:space="preserve">does not seek to address all aspects of regulator performance. The </w:t>
      </w:r>
      <w:r w:rsidR="007C4A93" w:rsidRPr="00853569">
        <w:t xml:space="preserve">RPF </w:t>
      </w:r>
      <w:r w:rsidR="00CE59E1" w:rsidRPr="00853569">
        <w:t xml:space="preserve">requires that </w:t>
      </w:r>
      <w:r w:rsidR="00D73249" w:rsidRPr="00853569">
        <w:t xml:space="preserve">a </w:t>
      </w:r>
      <w:r w:rsidR="00CE59E1" w:rsidRPr="00853569">
        <w:t>self-assessment report is externally validated through an approved stakeholder mechanism prior to its release and publication.</w:t>
      </w:r>
      <w:r w:rsidR="00F27AA1" w:rsidRPr="00853569">
        <w:t xml:space="preserve"> The</w:t>
      </w:r>
      <w:r w:rsidR="00930B72" w:rsidRPr="00853569">
        <w:t xml:space="preserve"> Foreign Investment Committee of the Law Council of Australia (the </w:t>
      </w:r>
      <w:r w:rsidR="009F355C" w:rsidRPr="00853569">
        <w:t>Law Council</w:t>
      </w:r>
      <w:r w:rsidR="00930B72" w:rsidRPr="00853569">
        <w:t xml:space="preserve">) </w:t>
      </w:r>
      <w:r w:rsidR="00F27AA1" w:rsidRPr="00853569">
        <w:t>is the stakeholder mechanism that externally validates the self-assessment for the</w:t>
      </w:r>
      <w:r w:rsidR="00452810" w:rsidRPr="00853569">
        <w:t xml:space="preserve"> </w:t>
      </w:r>
      <w:r w:rsidR="00351719" w:rsidRPr="00853569">
        <w:t>f</w:t>
      </w:r>
      <w:r w:rsidR="00452810" w:rsidRPr="00853569">
        <w:t>ramework</w:t>
      </w:r>
      <w:r w:rsidR="00F27AA1" w:rsidRPr="00853569">
        <w:t xml:space="preserve">. </w:t>
      </w:r>
      <w:r w:rsidR="000633BB" w:rsidRPr="00853569">
        <w:t>The Law Council was consulted on this report.</w:t>
      </w:r>
    </w:p>
    <w:p w14:paraId="78FEC93E" w14:textId="77777777" w:rsidR="0072324C" w:rsidRPr="005B5BBE" w:rsidRDefault="006149DE" w:rsidP="00E427C0">
      <w:pPr>
        <w:pStyle w:val="Heading2"/>
        <w:jc w:val="both"/>
        <w:rPr>
          <w:rFonts w:asciiTheme="minorHAnsi" w:hAnsiTheme="minorHAnsi"/>
        </w:rPr>
      </w:pPr>
      <w:bookmarkStart w:id="26" w:name="_Toc31113256"/>
      <w:bookmarkStart w:id="27" w:name="_Toc33443664"/>
      <w:bookmarkEnd w:id="24"/>
      <w:bookmarkEnd w:id="25"/>
      <w:r>
        <w:rPr>
          <w:rFonts w:asciiTheme="minorHAnsi" w:hAnsiTheme="minorHAnsi"/>
        </w:rPr>
        <w:t>M</w:t>
      </w:r>
      <w:r w:rsidR="00DD4B2B">
        <w:rPr>
          <w:rFonts w:asciiTheme="minorHAnsi" w:hAnsiTheme="minorHAnsi"/>
        </w:rPr>
        <w:t>etrics to support assessment</w:t>
      </w:r>
      <w:bookmarkEnd w:id="26"/>
      <w:bookmarkEnd w:id="27"/>
    </w:p>
    <w:p w14:paraId="617B35A6" w14:textId="1FDC5A10" w:rsidR="00DE3725" w:rsidRPr="00853569" w:rsidRDefault="00DE3725" w:rsidP="00853569">
      <w:pPr>
        <w:pStyle w:val="BodyText"/>
      </w:pPr>
      <w:r w:rsidRPr="00853569">
        <w:t>In 2015, FIRB agencies</w:t>
      </w:r>
      <w:r w:rsidR="0021180F" w:rsidRPr="00853569">
        <w:t xml:space="preserve"> </w:t>
      </w:r>
      <w:r w:rsidR="00BC0F1E" w:rsidRPr="00853569">
        <w:t>agreed to</w:t>
      </w:r>
      <w:r w:rsidRPr="00853569">
        <w:t xml:space="preserve"> a set of ‘measures of good regulatory performance’</w:t>
      </w:r>
      <w:r w:rsidR="00BC0F1E" w:rsidRPr="00853569">
        <w:t xml:space="preserve"> to operationalise the six RPF KPIs</w:t>
      </w:r>
      <w:r w:rsidRPr="00853569">
        <w:t xml:space="preserve">. </w:t>
      </w:r>
      <w:r w:rsidR="00BC0F1E" w:rsidRPr="00853569">
        <w:t>The measures identify</w:t>
      </w:r>
      <w:r w:rsidRPr="00853569">
        <w:t xml:space="preserve"> several actions that FIRB agencies anticipated would</w:t>
      </w:r>
      <w:r w:rsidR="003A3659" w:rsidRPr="00853569">
        <w:t xml:space="preserve"> deliver </w:t>
      </w:r>
      <w:r w:rsidR="00452810" w:rsidRPr="00853569">
        <w:t>t</w:t>
      </w:r>
      <w:r w:rsidRPr="00853569">
        <w:t xml:space="preserve">he </w:t>
      </w:r>
      <w:r w:rsidR="00BC0F1E" w:rsidRPr="00853569">
        <w:t xml:space="preserve">RPF </w:t>
      </w:r>
      <w:r w:rsidRPr="00853569">
        <w:t>KPIs. FIRB agencies assess the achievement of these measures using ‘activity</w:t>
      </w:r>
      <w:r w:rsidRPr="00853569">
        <w:noBreakHyphen/>
        <w:t>based evidence and metrics</w:t>
      </w:r>
      <w:r w:rsidR="005173DD" w:rsidRPr="00853569">
        <w:t>’</w:t>
      </w:r>
      <w:r w:rsidR="00727426" w:rsidRPr="00853569">
        <w:t>.</w:t>
      </w:r>
      <w:r w:rsidR="00BC0F1E" w:rsidRPr="00853569">
        <w:rPr>
          <w:vertAlign w:val="superscript"/>
        </w:rPr>
        <w:footnoteReference w:id="4"/>
      </w:r>
      <w:r w:rsidRPr="00853569">
        <w:rPr>
          <w:vertAlign w:val="superscript"/>
        </w:rPr>
        <w:t xml:space="preserve"> </w:t>
      </w:r>
    </w:p>
    <w:p w14:paraId="4EC61152" w14:textId="33EA6CF4" w:rsidR="00D80906" w:rsidRDefault="007C4A93" w:rsidP="00853569">
      <w:pPr>
        <w:pStyle w:val="BodyText"/>
      </w:pPr>
      <w:r w:rsidRPr="00853569">
        <w:rPr>
          <w:rFonts w:asciiTheme="minorHAnsi" w:hAnsiTheme="minorHAnsi"/>
        </w:rPr>
        <w:lastRenderedPageBreak/>
        <w:t xml:space="preserve">The </w:t>
      </w:r>
      <w:r w:rsidR="00B321F5" w:rsidRPr="00853569">
        <w:rPr>
          <w:rFonts w:asciiTheme="minorHAnsi" w:hAnsiTheme="minorHAnsi"/>
        </w:rPr>
        <w:t xml:space="preserve">2018-19 </w:t>
      </w:r>
      <w:r w:rsidR="00A461AD" w:rsidRPr="00853569">
        <w:rPr>
          <w:rFonts w:asciiTheme="minorHAnsi" w:hAnsiTheme="minorHAnsi"/>
        </w:rPr>
        <w:t>self-assessment draw</w:t>
      </w:r>
      <w:r w:rsidR="00D80906" w:rsidRPr="00853569">
        <w:rPr>
          <w:rFonts w:asciiTheme="minorHAnsi" w:hAnsiTheme="minorHAnsi"/>
        </w:rPr>
        <w:t>s</w:t>
      </w:r>
      <w:r w:rsidR="00A461AD" w:rsidRPr="00853569">
        <w:rPr>
          <w:rFonts w:asciiTheme="minorHAnsi" w:hAnsiTheme="minorHAnsi"/>
        </w:rPr>
        <w:t xml:space="preserve"> </w:t>
      </w:r>
      <w:r w:rsidR="009F355C" w:rsidRPr="00853569">
        <w:rPr>
          <w:rFonts w:asciiTheme="minorHAnsi" w:hAnsiTheme="minorHAnsi"/>
        </w:rPr>
        <w:t>on</w:t>
      </w:r>
      <w:r w:rsidR="00A461AD" w:rsidRPr="00853569">
        <w:rPr>
          <w:rFonts w:asciiTheme="minorHAnsi" w:hAnsiTheme="minorHAnsi"/>
        </w:rPr>
        <w:t xml:space="preserve"> quantitative</w:t>
      </w:r>
      <w:r w:rsidRPr="00853569">
        <w:rPr>
          <w:rFonts w:asciiTheme="minorHAnsi" w:hAnsiTheme="minorHAnsi"/>
        </w:rPr>
        <w:t xml:space="preserve"> and qualitative</w:t>
      </w:r>
      <w:r w:rsidR="00A461AD" w:rsidRPr="00853569">
        <w:rPr>
          <w:rFonts w:asciiTheme="minorHAnsi" w:hAnsiTheme="minorHAnsi"/>
        </w:rPr>
        <w:t xml:space="preserve"> </w:t>
      </w:r>
      <w:r w:rsidR="005337A5" w:rsidRPr="00853569">
        <w:rPr>
          <w:rFonts w:asciiTheme="minorHAnsi" w:hAnsiTheme="minorHAnsi"/>
        </w:rPr>
        <w:t xml:space="preserve">information </w:t>
      </w:r>
      <w:r w:rsidRPr="00853569">
        <w:rPr>
          <w:rFonts w:asciiTheme="minorHAnsi" w:hAnsiTheme="minorHAnsi"/>
        </w:rPr>
        <w:t>to evaluate performance against the KPIs. The quantitative information includes</w:t>
      </w:r>
      <w:r w:rsidR="008B7A1F" w:rsidRPr="00853569">
        <w:rPr>
          <w:rFonts w:asciiTheme="minorHAnsi" w:hAnsiTheme="minorHAnsi"/>
        </w:rPr>
        <w:t xml:space="preserve"> feedback </w:t>
      </w:r>
      <w:r w:rsidR="00917F51" w:rsidRPr="00853569">
        <w:rPr>
          <w:rFonts w:asciiTheme="minorHAnsi" w:hAnsiTheme="minorHAnsi"/>
        </w:rPr>
        <w:t xml:space="preserve">received in </w:t>
      </w:r>
      <w:r w:rsidR="00E3416B" w:rsidRPr="00853569">
        <w:rPr>
          <w:rFonts w:asciiTheme="minorHAnsi" w:hAnsiTheme="minorHAnsi"/>
        </w:rPr>
        <w:t xml:space="preserve">Treasury’s 2018-19 </w:t>
      </w:r>
      <w:r w:rsidR="00917F51" w:rsidRPr="00853569">
        <w:rPr>
          <w:rFonts w:asciiTheme="minorHAnsi" w:hAnsiTheme="minorHAnsi"/>
        </w:rPr>
        <w:t>Foreign Investment Stakeholder Survey (stakeholder</w:t>
      </w:r>
      <w:r w:rsidR="00917F51">
        <w:t xml:space="preserve"> survey) </w:t>
      </w:r>
      <w:r w:rsidR="008B7A1F">
        <w:t>and</w:t>
      </w:r>
      <w:r>
        <w:t xml:space="preserve"> </w:t>
      </w:r>
      <w:r w:rsidR="00D80906">
        <w:t>consultation records (</w:t>
      </w:r>
      <w:r w:rsidR="009F355C" w:rsidRPr="00E01B63">
        <w:rPr>
          <w:u w:val="single"/>
        </w:rPr>
        <w:t xml:space="preserve">Appendix </w:t>
      </w:r>
      <w:r w:rsidR="009F355C">
        <w:rPr>
          <w:u w:val="single"/>
        </w:rPr>
        <w:t>A</w:t>
      </w:r>
      <w:r w:rsidR="008B7A1F">
        <w:rPr>
          <w:u w:val="single"/>
        </w:rPr>
        <w:t xml:space="preserve"> and B respectively</w:t>
      </w:r>
      <w:r w:rsidR="00D80906">
        <w:t>)</w:t>
      </w:r>
      <w:r w:rsidR="003A3659">
        <w:t>.</w:t>
      </w:r>
      <w:r w:rsidR="00B02DBD">
        <w:rPr>
          <w:rStyle w:val="FootnoteReference"/>
          <w:rFonts w:cs="Times New Roman"/>
          <w:sz w:val="22"/>
          <w:szCs w:val="20"/>
        </w:rPr>
        <w:footnoteReference w:id="5"/>
      </w:r>
      <w:r w:rsidR="00B321F5">
        <w:t xml:space="preserve"> </w:t>
      </w:r>
      <w:r w:rsidR="008B7A1F">
        <w:t>Q</w:t>
      </w:r>
      <w:r w:rsidR="00BB40EE">
        <w:t>ualitative information includes ongoing feedback obtained from investors, their advis</w:t>
      </w:r>
      <w:r w:rsidR="0024312D">
        <w:t>e</w:t>
      </w:r>
      <w:r w:rsidR="00BB40EE">
        <w:t>rs and other stak</w:t>
      </w:r>
      <w:r w:rsidR="00565E93">
        <w:t>e</w:t>
      </w:r>
      <w:r w:rsidR="00BB40EE">
        <w:t xml:space="preserve">holders throughout the year. It also </w:t>
      </w:r>
      <w:r w:rsidR="00565E93">
        <w:t>encompasses</w:t>
      </w:r>
      <w:r w:rsidR="00BB40EE">
        <w:t xml:space="preserve"> </w:t>
      </w:r>
      <w:r w:rsidR="00565E93">
        <w:t xml:space="preserve">feedback obtained through the stakeholder survey. </w:t>
      </w:r>
    </w:p>
    <w:p w14:paraId="79D01365" w14:textId="103B2111" w:rsidR="001254CD" w:rsidRDefault="006149DE" w:rsidP="00853569">
      <w:pPr>
        <w:pStyle w:val="BodyText"/>
        <w:rPr>
          <w:rFonts w:asciiTheme="minorHAnsi" w:hAnsiTheme="minorHAnsi"/>
        </w:rPr>
      </w:pPr>
      <w:r w:rsidRPr="000B23CB">
        <w:rPr>
          <w:rFonts w:asciiTheme="minorHAnsi" w:hAnsiTheme="minorHAnsi"/>
        </w:rPr>
        <w:t xml:space="preserve">The </w:t>
      </w:r>
      <w:r w:rsidR="00B321F5">
        <w:rPr>
          <w:rFonts w:asciiTheme="minorHAnsi" w:hAnsiTheme="minorHAnsi"/>
        </w:rPr>
        <w:t xml:space="preserve">stakeholder </w:t>
      </w:r>
      <w:r w:rsidRPr="000B23CB">
        <w:rPr>
          <w:rFonts w:asciiTheme="minorHAnsi" w:hAnsiTheme="minorHAnsi"/>
        </w:rPr>
        <w:t xml:space="preserve">survey was sent to </w:t>
      </w:r>
      <w:r w:rsidR="00D80906">
        <w:rPr>
          <w:rFonts w:asciiTheme="minorHAnsi" w:hAnsiTheme="minorHAnsi"/>
        </w:rPr>
        <w:t>326</w:t>
      </w:r>
      <w:r w:rsidRPr="00020B42">
        <w:rPr>
          <w:rFonts w:asciiTheme="minorHAnsi" w:hAnsiTheme="minorHAnsi"/>
        </w:rPr>
        <w:t xml:space="preserve"> </w:t>
      </w:r>
      <w:r w:rsidR="00B321F5">
        <w:rPr>
          <w:rFonts w:asciiTheme="minorHAnsi" w:hAnsiTheme="minorHAnsi"/>
        </w:rPr>
        <w:t xml:space="preserve">primary </w:t>
      </w:r>
      <w:r w:rsidRPr="00020B42">
        <w:rPr>
          <w:rFonts w:asciiTheme="minorHAnsi" w:hAnsiTheme="minorHAnsi"/>
        </w:rPr>
        <w:t xml:space="preserve">contacts for foreign investment </w:t>
      </w:r>
      <w:r w:rsidR="005337A5">
        <w:rPr>
          <w:rFonts w:asciiTheme="minorHAnsi" w:hAnsiTheme="minorHAnsi"/>
        </w:rPr>
        <w:t>applications</w:t>
      </w:r>
      <w:r w:rsidR="005337A5" w:rsidRPr="00020B42">
        <w:rPr>
          <w:rFonts w:asciiTheme="minorHAnsi" w:hAnsiTheme="minorHAnsi"/>
        </w:rPr>
        <w:t xml:space="preserve"> </w:t>
      </w:r>
      <w:r w:rsidR="00917350">
        <w:rPr>
          <w:rFonts w:asciiTheme="minorHAnsi" w:hAnsiTheme="minorHAnsi"/>
        </w:rPr>
        <w:t xml:space="preserve">that </w:t>
      </w:r>
      <w:r w:rsidR="00CA2406">
        <w:rPr>
          <w:rFonts w:asciiTheme="minorHAnsi" w:hAnsiTheme="minorHAnsi"/>
        </w:rPr>
        <w:t>Treasury received for</w:t>
      </w:r>
      <w:r w:rsidRPr="00020B42">
        <w:rPr>
          <w:rFonts w:asciiTheme="minorHAnsi" w:hAnsiTheme="minorHAnsi"/>
        </w:rPr>
        <w:t xml:space="preserve"> the 2018-19 financial year</w:t>
      </w:r>
      <w:r w:rsidR="00B321F5">
        <w:rPr>
          <w:rFonts w:asciiTheme="minorHAnsi" w:hAnsiTheme="minorHAnsi"/>
        </w:rPr>
        <w:t>.</w:t>
      </w:r>
      <w:r w:rsidRPr="00020B42">
        <w:rPr>
          <w:rFonts w:asciiTheme="minorHAnsi" w:hAnsiTheme="minorHAnsi"/>
        </w:rPr>
        <w:t xml:space="preserve"> </w:t>
      </w:r>
      <w:r w:rsidR="008B7A1F">
        <w:rPr>
          <w:rFonts w:asciiTheme="minorHAnsi" w:hAnsiTheme="minorHAnsi"/>
        </w:rPr>
        <w:t xml:space="preserve">Eighteen </w:t>
      </w:r>
      <w:r w:rsidR="005337A5">
        <w:rPr>
          <w:rFonts w:asciiTheme="minorHAnsi" w:hAnsiTheme="minorHAnsi"/>
        </w:rPr>
        <w:t>responses were received</w:t>
      </w:r>
      <w:r w:rsidR="00327A79">
        <w:rPr>
          <w:rFonts w:asciiTheme="minorHAnsi" w:hAnsiTheme="minorHAnsi"/>
        </w:rPr>
        <w:t xml:space="preserve">. </w:t>
      </w:r>
      <w:r w:rsidR="001254CD" w:rsidRPr="005B0A10">
        <w:rPr>
          <w:rFonts w:asciiTheme="minorHAnsi" w:hAnsiTheme="minorHAnsi"/>
        </w:rPr>
        <w:t xml:space="preserve">Each quantitative question in the survey was </w:t>
      </w:r>
      <w:r w:rsidR="001254CD">
        <w:rPr>
          <w:rFonts w:asciiTheme="minorHAnsi" w:hAnsiTheme="minorHAnsi"/>
        </w:rPr>
        <w:t>assessed</w:t>
      </w:r>
      <w:r w:rsidR="001254CD" w:rsidRPr="005B0A10">
        <w:rPr>
          <w:rFonts w:asciiTheme="minorHAnsi" w:hAnsiTheme="minorHAnsi"/>
        </w:rPr>
        <w:t xml:space="preserve"> on a five point scale, centred on a neutral response. In addition, there were questions that offered respondents the opportunity to comment on aspects of FIRB agencies’ performance.</w:t>
      </w:r>
      <w:r w:rsidR="001254CD">
        <w:rPr>
          <w:rFonts w:asciiTheme="minorHAnsi" w:hAnsiTheme="minorHAnsi"/>
        </w:rPr>
        <w:t xml:space="preserve"> Survey respondents were offered a follow-up discussion about their regulatory experience interfacing with the framework. </w:t>
      </w:r>
    </w:p>
    <w:p w14:paraId="274D8F0C" w14:textId="328B3DFD" w:rsidR="001254CD" w:rsidRDefault="00327A79" w:rsidP="00853569">
      <w:pPr>
        <w:pStyle w:val="BodyText"/>
        <w:rPr>
          <w:rFonts w:asciiTheme="minorHAnsi" w:hAnsiTheme="minorHAnsi"/>
        </w:rPr>
      </w:pPr>
      <w:r>
        <w:rPr>
          <w:rFonts w:asciiTheme="minorHAnsi" w:hAnsiTheme="minorHAnsi"/>
        </w:rPr>
        <w:t xml:space="preserve">As a result of </w:t>
      </w:r>
      <w:r w:rsidR="001254CD">
        <w:rPr>
          <w:rFonts w:asciiTheme="minorHAnsi" w:hAnsiTheme="minorHAnsi"/>
        </w:rPr>
        <w:t>the</w:t>
      </w:r>
      <w:r>
        <w:rPr>
          <w:rFonts w:asciiTheme="minorHAnsi" w:hAnsiTheme="minorHAnsi"/>
        </w:rPr>
        <w:t xml:space="preserve"> low </w:t>
      </w:r>
      <w:r w:rsidR="001254CD">
        <w:rPr>
          <w:rFonts w:asciiTheme="minorHAnsi" w:hAnsiTheme="minorHAnsi"/>
        </w:rPr>
        <w:t xml:space="preserve">survey </w:t>
      </w:r>
      <w:r>
        <w:rPr>
          <w:rFonts w:asciiTheme="minorHAnsi" w:hAnsiTheme="minorHAnsi"/>
        </w:rPr>
        <w:t xml:space="preserve">response rate, it is acknowledged that references to the survey outcomes in this report </w:t>
      </w:r>
      <w:r w:rsidR="004C27EC">
        <w:rPr>
          <w:rFonts w:asciiTheme="minorHAnsi" w:hAnsiTheme="minorHAnsi"/>
        </w:rPr>
        <w:t>may</w:t>
      </w:r>
      <w:r>
        <w:rPr>
          <w:rFonts w:asciiTheme="minorHAnsi" w:hAnsiTheme="minorHAnsi"/>
        </w:rPr>
        <w:t xml:space="preserve"> not necessarily represent the views of a broad cross section of stakeholders</w:t>
      </w:r>
      <w:r w:rsidR="001254CD">
        <w:rPr>
          <w:rFonts w:asciiTheme="minorHAnsi" w:hAnsiTheme="minorHAnsi"/>
        </w:rPr>
        <w:t xml:space="preserve"> and they should be viewed with this in mind</w:t>
      </w:r>
      <w:r>
        <w:rPr>
          <w:rFonts w:asciiTheme="minorHAnsi" w:hAnsiTheme="minorHAnsi"/>
        </w:rPr>
        <w:t xml:space="preserve">. </w:t>
      </w:r>
      <w:r w:rsidR="001254CD">
        <w:rPr>
          <w:rFonts w:asciiTheme="minorHAnsi" w:hAnsiTheme="minorHAnsi"/>
        </w:rPr>
        <w:t xml:space="preserve">Improving the response rate in the stakeholder survey is a </w:t>
      </w:r>
      <w:r w:rsidR="00A2462E">
        <w:rPr>
          <w:rFonts w:asciiTheme="minorHAnsi" w:hAnsiTheme="minorHAnsi"/>
        </w:rPr>
        <w:t>priority area for 2019</w:t>
      </w:r>
      <w:r w:rsidR="00A2462E">
        <w:rPr>
          <w:rFonts w:asciiTheme="minorHAnsi" w:hAnsiTheme="minorHAnsi"/>
        </w:rPr>
        <w:noBreakHyphen/>
        <w:t>20.</w:t>
      </w:r>
      <w:r w:rsidR="00323FF5">
        <w:rPr>
          <w:rFonts w:asciiTheme="minorHAnsi" w:hAnsiTheme="minorHAnsi"/>
        </w:rPr>
        <w:t xml:space="preserve"> </w:t>
      </w:r>
    </w:p>
    <w:p w14:paraId="74B67D8F" w14:textId="77777777" w:rsidR="00751EEB" w:rsidRPr="00FA3EE1" w:rsidRDefault="00D80906" w:rsidP="00FA3EE1">
      <w:pPr>
        <w:pStyle w:val="Heading2"/>
      </w:pPr>
      <w:bookmarkStart w:id="28" w:name="_Toc31113257"/>
      <w:bookmarkStart w:id="29" w:name="_Toc3344366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547914">
        <w:t>Overall</w:t>
      </w:r>
      <w:r w:rsidR="00ED0E56" w:rsidRPr="00FA3EE1">
        <w:t xml:space="preserve"> </w:t>
      </w:r>
      <w:r w:rsidR="00CE59E1" w:rsidRPr="00FA3EE1">
        <w:t>a</w:t>
      </w:r>
      <w:r w:rsidR="00ED0E56" w:rsidRPr="00FA3EE1">
        <w:t>ssessment</w:t>
      </w:r>
      <w:bookmarkEnd w:id="28"/>
      <w:bookmarkEnd w:id="29"/>
    </w:p>
    <w:p w14:paraId="17FBC758" w14:textId="59FF49C1" w:rsidR="00751EEB" w:rsidRDefault="00446EBD" w:rsidP="00853569">
      <w:pPr>
        <w:pStyle w:val="BodyText"/>
      </w:pPr>
      <w:r>
        <w:t xml:space="preserve">While </w:t>
      </w:r>
      <w:r w:rsidR="008850DE">
        <w:t>t</w:t>
      </w:r>
      <w:r w:rsidR="006A402B">
        <w:t xml:space="preserve">he overall assessment </w:t>
      </w:r>
      <w:r>
        <w:t xml:space="preserve">in this report </w:t>
      </w:r>
      <w:r w:rsidR="006A402B">
        <w:t>is that the K</w:t>
      </w:r>
      <w:r w:rsidR="002D0F1C">
        <w:t xml:space="preserve">PIs were met during </w:t>
      </w:r>
      <w:r w:rsidR="00C602DD">
        <w:t>2018-19</w:t>
      </w:r>
      <w:r>
        <w:t xml:space="preserve">, a number of issues have been raised </w:t>
      </w:r>
      <w:r w:rsidR="00852E46">
        <w:t>by stakeholders regarding the administration of the foreign investment framework which require attention over the coming reporting periods</w:t>
      </w:r>
      <w:r w:rsidR="000F5CB7">
        <w:t>.</w:t>
      </w:r>
      <w:r w:rsidR="00852E46">
        <w:t xml:space="preserve"> Case processing times continue to be a key concern as well as the process for agreeing and finalising conditions which are designed to mitigate national interest concerns. Stakeholders have also raised </w:t>
      </w:r>
      <w:r w:rsidR="00FC3481">
        <w:t>the need for appropriate resourcing and support for staff in FIRB agencies to ensure they are equipped to manage the complexity of the foreign investment framework.</w:t>
      </w:r>
    </w:p>
    <w:p w14:paraId="22A62539" w14:textId="07B9E198" w:rsidR="00FC3481" w:rsidRPr="00A01B7C" w:rsidRDefault="00FC3481" w:rsidP="00853569">
      <w:pPr>
        <w:pStyle w:val="BodyText"/>
        <w:rPr>
          <w:szCs w:val="21"/>
        </w:rPr>
      </w:pPr>
      <w:r w:rsidRPr="00A01B7C">
        <w:rPr>
          <w:szCs w:val="21"/>
        </w:rPr>
        <w:t>These issues will be key priorities for FIRB agencies in 2019-20</w:t>
      </w:r>
      <w:r w:rsidR="00CB7BCA" w:rsidRPr="00A01B7C">
        <w:rPr>
          <w:szCs w:val="21"/>
        </w:rPr>
        <w:t>. In particular, key priorities will be:</w:t>
      </w:r>
    </w:p>
    <w:p w14:paraId="011037C6" w14:textId="4A5E7766" w:rsidR="00CB7BCA" w:rsidRPr="00A01B7C" w:rsidRDefault="00CB7BCA" w:rsidP="00024F94">
      <w:pPr>
        <w:pStyle w:val="Bullet"/>
        <w:rPr>
          <w:rFonts w:asciiTheme="minorHAnsi" w:hAnsiTheme="minorHAnsi"/>
          <w:sz w:val="21"/>
          <w:szCs w:val="21"/>
        </w:rPr>
      </w:pPr>
      <w:r w:rsidRPr="00A01B7C">
        <w:rPr>
          <w:sz w:val="21"/>
          <w:szCs w:val="21"/>
        </w:rPr>
        <w:t>reviewing Treasury’s business processes and implementing more systematic arrangements to case processing;</w:t>
      </w:r>
    </w:p>
    <w:p w14:paraId="0A8FA405" w14:textId="188899E8" w:rsidR="00CB7BCA" w:rsidRPr="00A01B7C" w:rsidRDefault="00CB7BCA" w:rsidP="00024F94">
      <w:pPr>
        <w:pStyle w:val="Bullet"/>
        <w:rPr>
          <w:rFonts w:asciiTheme="minorHAnsi" w:hAnsiTheme="minorHAnsi"/>
          <w:sz w:val="21"/>
          <w:szCs w:val="21"/>
        </w:rPr>
      </w:pPr>
      <w:r w:rsidRPr="00A01B7C">
        <w:rPr>
          <w:rFonts w:asciiTheme="minorHAnsi" w:hAnsiTheme="minorHAnsi"/>
          <w:sz w:val="21"/>
          <w:szCs w:val="21"/>
        </w:rPr>
        <w:t>improving processes for applying conditions;</w:t>
      </w:r>
    </w:p>
    <w:p w14:paraId="4B85166C" w14:textId="6A6744D0" w:rsidR="00CB7BCA" w:rsidRPr="00A01B7C" w:rsidRDefault="00CB7BCA" w:rsidP="00024F94">
      <w:pPr>
        <w:pStyle w:val="Bullet"/>
        <w:rPr>
          <w:rFonts w:asciiTheme="minorHAnsi" w:hAnsiTheme="minorHAnsi"/>
          <w:sz w:val="21"/>
          <w:szCs w:val="21"/>
        </w:rPr>
      </w:pPr>
      <w:r w:rsidRPr="00A01B7C">
        <w:rPr>
          <w:sz w:val="21"/>
          <w:szCs w:val="21"/>
        </w:rPr>
        <w:t xml:space="preserve">enhancing avenues for formal and informal </w:t>
      </w:r>
      <w:r w:rsidR="00A35F4C">
        <w:rPr>
          <w:sz w:val="21"/>
          <w:szCs w:val="21"/>
        </w:rPr>
        <w:t xml:space="preserve">engagement, including </w:t>
      </w:r>
      <w:r w:rsidRPr="00A01B7C">
        <w:rPr>
          <w:sz w:val="21"/>
          <w:szCs w:val="21"/>
        </w:rPr>
        <w:t>stakeholder feedback, and increasing survey response rates; and</w:t>
      </w:r>
    </w:p>
    <w:p w14:paraId="34C45082" w14:textId="2B0DF700" w:rsidR="00CB7BCA" w:rsidRPr="00A01B7C" w:rsidRDefault="00CB7BCA" w:rsidP="00024F94">
      <w:pPr>
        <w:pStyle w:val="Bullet"/>
        <w:rPr>
          <w:rFonts w:asciiTheme="minorHAnsi" w:hAnsiTheme="minorHAnsi"/>
          <w:sz w:val="21"/>
          <w:szCs w:val="21"/>
        </w:rPr>
      </w:pPr>
      <w:proofErr w:type="gramStart"/>
      <w:r w:rsidRPr="00A01B7C">
        <w:rPr>
          <w:sz w:val="21"/>
          <w:szCs w:val="21"/>
        </w:rPr>
        <w:t>continuing</w:t>
      </w:r>
      <w:proofErr w:type="gramEnd"/>
      <w:r w:rsidRPr="00A01B7C">
        <w:rPr>
          <w:sz w:val="21"/>
          <w:szCs w:val="21"/>
        </w:rPr>
        <w:t xml:space="preserve"> to build cross agency understanding of national interest risks in key sectors of the economy</w:t>
      </w:r>
      <w:r w:rsidR="003C7052" w:rsidRPr="00A01B7C">
        <w:rPr>
          <w:sz w:val="21"/>
          <w:szCs w:val="21"/>
        </w:rPr>
        <w:t>.</w:t>
      </w:r>
    </w:p>
    <w:p w14:paraId="24E0B35B" w14:textId="77777777" w:rsidR="00A35F4C" w:rsidRDefault="00A35F4C">
      <w:pPr>
        <w:spacing w:after="200" w:line="276" w:lineRule="auto"/>
        <w:jc w:val="left"/>
        <w:rPr>
          <w:rFonts w:eastAsiaTheme="minorEastAsia" w:cstheme="minorBidi"/>
          <w:sz w:val="21"/>
          <w:szCs w:val="22"/>
          <w:lang w:val="en-GB" w:eastAsia="en-GB"/>
        </w:rPr>
      </w:pPr>
      <w:r>
        <w:br w:type="page"/>
      </w:r>
    </w:p>
    <w:p w14:paraId="311B4021" w14:textId="2FECA773" w:rsidR="005638B0" w:rsidRDefault="00CB7BCA" w:rsidP="00853569">
      <w:pPr>
        <w:pStyle w:val="BodyText"/>
      </w:pPr>
      <w:r>
        <w:lastRenderedPageBreak/>
        <w:t xml:space="preserve">This work will build on the priorities identified in </w:t>
      </w:r>
      <w:r w:rsidR="00565E93">
        <w:t>the 2017-18 RPF self-assessment</w:t>
      </w:r>
      <w:r>
        <w:t xml:space="preserve">. </w:t>
      </w:r>
      <w:r w:rsidR="008B7A1F">
        <w:t>These are outlined below, as well as comments on actions against each item.</w:t>
      </w:r>
      <w:r w:rsidR="00565E93">
        <w:t xml:space="preserve"> </w:t>
      </w:r>
      <w:r w:rsidR="002A2ECA">
        <w:t xml:space="preserve">Work is still required in the areas noted below to embed improvements to how FIRB agencies undertake their activities. </w:t>
      </w:r>
    </w:p>
    <w:tbl>
      <w:tblPr>
        <w:tblStyle w:val="LightList-Accent5"/>
        <w:tblW w:w="891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431"/>
        <w:gridCol w:w="5482"/>
      </w:tblGrid>
      <w:tr w:rsidR="00173333" w:rsidRPr="005B5BBE" w14:paraId="324E23C1" w14:textId="77777777" w:rsidTr="00576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shd w:val="clear" w:color="auto" w:fill="DBE5F1" w:themeFill="accent1" w:themeFillTint="33"/>
          </w:tcPr>
          <w:p w14:paraId="7D77FE90" w14:textId="24831CE5" w:rsidR="00173333" w:rsidRPr="005B5BBE" w:rsidRDefault="00173333">
            <w:pPr>
              <w:pStyle w:val="TableColumnHeadingLeft"/>
              <w:jc w:val="left"/>
              <w:rPr>
                <w:rFonts w:asciiTheme="minorHAnsi" w:hAnsiTheme="minorHAnsi"/>
                <w:b/>
                <w:color w:val="auto"/>
              </w:rPr>
            </w:pPr>
            <w:r>
              <w:rPr>
                <w:rFonts w:asciiTheme="minorHAnsi" w:hAnsiTheme="minorHAnsi"/>
                <w:b/>
                <w:color w:val="auto"/>
              </w:rPr>
              <w:t>Priority for 201</w:t>
            </w:r>
            <w:r w:rsidR="002A2ECA">
              <w:rPr>
                <w:rFonts w:asciiTheme="minorHAnsi" w:hAnsiTheme="minorHAnsi"/>
                <w:b/>
                <w:color w:val="auto"/>
              </w:rPr>
              <w:t>7</w:t>
            </w:r>
            <w:r>
              <w:rPr>
                <w:rFonts w:asciiTheme="minorHAnsi" w:hAnsiTheme="minorHAnsi"/>
                <w:b/>
                <w:color w:val="auto"/>
              </w:rPr>
              <w:t>-1</w:t>
            </w:r>
            <w:r w:rsidR="002A2ECA">
              <w:rPr>
                <w:rFonts w:asciiTheme="minorHAnsi" w:hAnsiTheme="minorHAnsi"/>
                <w:b/>
                <w:color w:val="auto"/>
              </w:rPr>
              <w:t>8</w:t>
            </w:r>
          </w:p>
        </w:tc>
        <w:tc>
          <w:tcPr>
            <w:tcW w:w="5482" w:type="dxa"/>
            <w:shd w:val="clear" w:color="auto" w:fill="DBE5F1" w:themeFill="accent1" w:themeFillTint="33"/>
          </w:tcPr>
          <w:p w14:paraId="7F6DCC93" w14:textId="77777777" w:rsidR="00173333" w:rsidRPr="005B5BBE" w:rsidRDefault="00173333" w:rsidP="00173333">
            <w:pPr>
              <w:pStyle w:val="TableColumnHeadingLeft"/>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Pr>
                <w:rFonts w:asciiTheme="minorHAnsi" w:hAnsiTheme="minorHAnsi"/>
                <w:b/>
                <w:color w:val="auto"/>
              </w:rPr>
              <w:t>Action taken</w:t>
            </w:r>
          </w:p>
        </w:tc>
      </w:tr>
      <w:tr w:rsidR="00173333" w:rsidRPr="005B5BBE" w14:paraId="7BE0BC41" w14:textId="77777777" w:rsidTr="00576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7ABE82CB" w14:textId="77777777" w:rsidR="00173333" w:rsidRPr="005B5BBE" w:rsidRDefault="00173333" w:rsidP="00173333">
            <w:pPr>
              <w:pStyle w:val="TableTextLeft"/>
              <w:rPr>
                <w:rFonts w:asciiTheme="minorHAnsi" w:hAnsiTheme="minorHAnsi"/>
                <w:b w:val="0"/>
                <w:color w:val="auto"/>
              </w:rPr>
            </w:pPr>
            <w:r w:rsidRPr="00124BE2">
              <w:rPr>
                <w:rFonts w:asciiTheme="minorHAnsi" w:hAnsiTheme="minorHAnsi"/>
                <w:b w:val="0"/>
              </w:rPr>
              <w:t>Improving the timeliness of advice and application processing times.</w:t>
            </w:r>
          </w:p>
        </w:tc>
        <w:tc>
          <w:tcPr>
            <w:tcW w:w="5482" w:type="dxa"/>
          </w:tcPr>
          <w:p w14:paraId="6F250FEC" w14:textId="5A4986EF" w:rsidR="00173333" w:rsidRPr="005B5BBE" w:rsidRDefault="00173333" w:rsidP="00431FCF">
            <w:pPr>
              <w:pStyle w:val="TableTextBulle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124BE2">
              <w:t xml:space="preserve">Treasury has been working with </w:t>
            </w:r>
            <w:r>
              <w:t>consult</w:t>
            </w:r>
            <w:r w:rsidR="00B54F25">
              <w:t>ation</w:t>
            </w:r>
            <w:r>
              <w:t xml:space="preserve"> partners</w:t>
            </w:r>
            <w:r w:rsidRPr="00124BE2">
              <w:t xml:space="preserve"> to achieve more consistency in the conditions imposed on applications. This is expected to </w:t>
            </w:r>
            <w:r w:rsidR="00BC039E">
              <w:t xml:space="preserve">help </w:t>
            </w:r>
            <w:r w:rsidRPr="00124BE2">
              <w:t xml:space="preserve">reduce the time required to agree on and draft conditions, </w:t>
            </w:r>
            <w:r w:rsidR="008B7A1F">
              <w:t>thereby helping to reduce application processing times.</w:t>
            </w:r>
            <w:r w:rsidR="00A166DF">
              <w:t xml:space="preserve"> </w:t>
            </w:r>
          </w:p>
        </w:tc>
      </w:tr>
      <w:tr w:rsidR="00173333" w:rsidRPr="005B5BBE" w14:paraId="3A9FA229" w14:textId="77777777" w:rsidTr="0057637E">
        <w:tc>
          <w:tcPr>
            <w:cnfStyle w:val="001000000000" w:firstRow="0" w:lastRow="0" w:firstColumn="1" w:lastColumn="0" w:oddVBand="0" w:evenVBand="0" w:oddHBand="0" w:evenHBand="0" w:firstRowFirstColumn="0" w:firstRowLastColumn="0" w:lastRowFirstColumn="0" w:lastRowLastColumn="0"/>
            <w:tcW w:w="3431" w:type="dxa"/>
          </w:tcPr>
          <w:p w14:paraId="77A2FCA0" w14:textId="77777777" w:rsidR="00173333" w:rsidRPr="005B5BBE" w:rsidRDefault="00173333" w:rsidP="00173333">
            <w:pPr>
              <w:pStyle w:val="TableTextLeft"/>
              <w:rPr>
                <w:rFonts w:asciiTheme="minorHAnsi" w:hAnsiTheme="minorHAnsi"/>
                <w:b w:val="0"/>
                <w:color w:val="auto"/>
              </w:rPr>
            </w:pPr>
            <w:r w:rsidRPr="00124BE2">
              <w:rPr>
                <w:rFonts w:asciiTheme="minorHAnsi" w:hAnsiTheme="minorHAnsi"/>
                <w:b w:val="0"/>
              </w:rPr>
              <w:t>Encouraging early engagement with FIRB agencies.</w:t>
            </w:r>
          </w:p>
        </w:tc>
        <w:tc>
          <w:tcPr>
            <w:tcW w:w="5482" w:type="dxa"/>
          </w:tcPr>
          <w:p w14:paraId="42C27F6F" w14:textId="33D66A53" w:rsidR="00173333" w:rsidRPr="005B5BBE" w:rsidRDefault="00316DB8" w:rsidP="00604099">
            <w:pPr>
              <w:pStyle w:val="TableTextBulle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t>A range of meetings were held with both vendors and potential investors</w:t>
            </w:r>
            <w:r w:rsidR="00604099">
              <w:t xml:space="preserve"> prior to any sales or application process commencing. This assisted in building an understanding of upcoming transactions and identifying any possible national interest considerations.</w:t>
            </w:r>
          </w:p>
        </w:tc>
      </w:tr>
      <w:tr w:rsidR="00173333" w:rsidRPr="005B5BBE" w14:paraId="5B2EAF88" w14:textId="77777777" w:rsidTr="00576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191CDAC2" w14:textId="77777777" w:rsidR="00173333" w:rsidRPr="005B5BBE" w:rsidRDefault="00173333" w:rsidP="00173333">
            <w:pPr>
              <w:pStyle w:val="TableTextLeft"/>
              <w:rPr>
                <w:rFonts w:asciiTheme="minorHAnsi" w:hAnsiTheme="minorHAnsi"/>
                <w:b w:val="0"/>
                <w:color w:val="auto"/>
              </w:rPr>
            </w:pPr>
            <w:r w:rsidRPr="00124BE2">
              <w:rPr>
                <w:rFonts w:asciiTheme="minorHAnsi" w:hAnsiTheme="minorHAnsi"/>
                <w:b w:val="0"/>
              </w:rPr>
              <w:t>Enhancing compliance capability.</w:t>
            </w:r>
          </w:p>
        </w:tc>
        <w:tc>
          <w:tcPr>
            <w:tcW w:w="5482" w:type="dxa"/>
          </w:tcPr>
          <w:p w14:paraId="00BFD14D" w14:textId="77777777" w:rsidR="00173333" w:rsidRPr="003B2737" w:rsidRDefault="00173333" w:rsidP="0057637E">
            <w:pPr>
              <w:pStyle w:val="TableTextBulle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57637E">
              <w:t>Treasury increased resources dedicated to the compliance function and has invested in the development and implementation of strengthened compliance assurance.</w:t>
            </w:r>
          </w:p>
          <w:p w14:paraId="0301127B" w14:textId="441DCA2C" w:rsidR="002910E0" w:rsidRPr="005B5BBE" w:rsidRDefault="002910E0" w:rsidP="00604099">
            <w:pPr>
              <w:pStyle w:val="TableTextBulle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t>Treasury has engaged with investors and other stakeholders</w:t>
            </w:r>
            <w:r w:rsidR="00604099">
              <w:t xml:space="preserve"> to enhance compliance capability</w:t>
            </w:r>
            <w:r>
              <w:t>. For example, a cross agency compliance forum attended by 15 consultation partners was held in November 2018.</w:t>
            </w:r>
          </w:p>
        </w:tc>
      </w:tr>
      <w:tr w:rsidR="00173333" w:rsidRPr="005B5BBE" w14:paraId="7E3E31D2" w14:textId="77777777" w:rsidTr="0057637E">
        <w:tc>
          <w:tcPr>
            <w:cnfStyle w:val="001000000000" w:firstRow="0" w:lastRow="0" w:firstColumn="1" w:lastColumn="0" w:oddVBand="0" w:evenVBand="0" w:oddHBand="0" w:evenHBand="0" w:firstRowFirstColumn="0" w:firstRowLastColumn="0" w:lastRowFirstColumn="0" w:lastRowLastColumn="0"/>
            <w:tcW w:w="3431" w:type="dxa"/>
          </w:tcPr>
          <w:p w14:paraId="2910CCC0" w14:textId="77777777" w:rsidR="00173333" w:rsidRPr="00124BE2" w:rsidRDefault="00173333" w:rsidP="00173333">
            <w:pPr>
              <w:pStyle w:val="TableTextLeft"/>
              <w:rPr>
                <w:rFonts w:asciiTheme="minorHAnsi" w:hAnsiTheme="minorHAnsi"/>
                <w:b w:val="0"/>
              </w:rPr>
            </w:pPr>
            <w:r w:rsidRPr="00124BE2">
              <w:rPr>
                <w:rFonts w:asciiTheme="minorHAnsi" w:hAnsiTheme="minorHAnsi"/>
                <w:b w:val="0"/>
              </w:rPr>
              <w:t>Working with stakeholders to balance commercial deadlines against the robust review of applications under the framework.</w:t>
            </w:r>
          </w:p>
        </w:tc>
        <w:tc>
          <w:tcPr>
            <w:tcW w:w="5482" w:type="dxa"/>
          </w:tcPr>
          <w:p w14:paraId="048BB227" w14:textId="240A6ABB" w:rsidR="00173333" w:rsidRPr="00173333" w:rsidRDefault="00173333" w:rsidP="0058012A">
            <w:pPr>
              <w:pStyle w:val="TableTextBullet"/>
              <w:cnfStyle w:val="000000000000" w:firstRow="0" w:lastRow="0" w:firstColumn="0" w:lastColumn="0" w:oddVBand="0" w:evenVBand="0" w:oddHBand="0" w:evenHBand="0" w:firstRowFirstColumn="0" w:firstRowLastColumn="0" w:lastRowFirstColumn="0" w:lastRowLastColumn="0"/>
            </w:pPr>
            <w:r w:rsidRPr="00124BE2">
              <w:t>Treasury liaise</w:t>
            </w:r>
            <w:r>
              <w:t>d</w:t>
            </w:r>
            <w:r w:rsidRPr="00124BE2">
              <w:t xml:space="preserve"> closely with</w:t>
            </w:r>
            <w:r w:rsidR="00637A3B">
              <w:t xml:space="preserve"> </w:t>
            </w:r>
            <w:r w:rsidR="0058012A">
              <w:t>investors</w:t>
            </w:r>
            <w:r w:rsidR="00637A3B">
              <w:t xml:space="preserve"> and their advisers so there was a good understanding of the likely timeframes for completion of applications. To facilitate the process, Treasury engaged with</w:t>
            </w:r>
            <w:r w:rsidRPr="00124BE2">
              <w:t xml:space="preserve"> Government agencies to build a strong understanding of the foreign investment system and press the importance of receiving timely comments on applications.</w:t>
            </w:r>
          </w:p>
        </w:tc>
      </w:tr>
      <w:tr w:rsidR="00173333" w:rsidRPr="005B5BBE" w14:paraId="321B155B" w14:textId="77777777" w:rsidTr="00576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Pr>
          <w:p w14:paraId="330A3336" w14:textId="77777777" w:rsidR="00173333" w:rsidRPr="00124BE2" w:rsidRDefault="00173333" w:rsidP="00173333">
            <w:pPr>
              <w:pStyle w:val="TableTextLeft"/>
              <w:rPr>
                <w:rFonts w:asciiTheme="minorHAnsi" w:hAnsiTheme="minorHAnsi"/>
                <w:b w:val="0"/>
              </w:rPr>
            </w:pPr>
            <w:r w:rsidRPr="00124BE2">
              <w:rPr>
                <w:b w:val="0"/>
              </w:rPr>
              <w:t>Developing customer service standards for the handling of phone and written enquiries against which to assess our performance.</w:t>
            </w:r>
          </w:p>
        </w:tc>
        <w:tc>
          <w:tcPr>
            <w:tcW w:w="5482" w:type="dxa"/>
          </w:tcPr>
          <w:p w14:paraId="5438398B" w14:textId="4D8632BE" w:rsidR="002A2039" w:rsidRPr="003B2737" w:rsidRDefault="002A2039" w:rsidP="002A2039">
            <w:pPr>
              <w:pStyle w:val="TableTextBullet"/>
              <w:cnfStyle w:val="000000100000" w:firstRow="0" w:lastRow="0" w:firstColumn="0" w:lastColumn="0" w:oddVBand="0" w:evenVBand="0" w:oddHBand="1" w:evenHBand="0" w:firstRowFirstColumn="0" w:firstRowLastColumn="0" w:lastRowFirstColumn="0" w:lastRowLastColumn="0"/>
              <w:rPr>
                <w:lang w:eastAsia="en-US"/>
              </w:rPr>
            </w:pPr>
            <w:r w:rsidRPr="003B2737">
              <w:rPr>
                <w:rFonts w:asciiTheme="minorHAnsi" w:hAnsiTheme="minorHAnsi"/>
              </w:rPr>
              <w:t>Treasury</w:t>
            </w:r>
            <w:r w:rsidR="0058012A">
              <w:rPr>
                <w:rFonts w:asciiTheme="minorHAnsi" w:hAnsiTheme="minorHAnsi"/>
              </w:rPr>
              <w:t xml:space="preserve"> </w:t>
            </w:r>
            <w:r w:rsidR="00EE585D">
              <w:rPr>
                <w:rFonts w:asciiTheme="minorHAnsi" w:hAnsiTheme="minorHAnsi"/>
              </w:rPr>
              <w:t>undertook analysis of written e</w:t>
            </w:r>
            <w:r w:rsidR="0058012A">
              <w:rPr>
                <w:rFonts w:asciiTheme="minorHAnsi" w:hAnsiTheme="minorHAnsi"/>
              </w:rPr>
              <w:t>nquiries and embedded processes t</w:t>
            </w:r>
            <w:r w:rsidR="00EE585D">
              <w:rPr>
                <w:rFonts w:asciiTheme="minorHAnsi" w:hAnsiTheme="minorHAnsi"/>
              </w:rPr>
              <w:t>o manage telephone e</w:t>
            </w:r>
            <w:r w:rsidR="0058012A">
              <w:rPr>
                <w:rFonts w:asciiTheme="minorHAnsi" w:hAnsiTheme="minorHAnsi"/>
              </w:rPr>
              <w:t xml:space="preserve">nquiries. </w:t>
            </w:r>
          </w:p>
          <w:p w14:paraId="295B6414" w14:textId="4D7C6DFA" w:rsidR="00173333" w:rsidRPr="002A2039" w:rsidRDefault="00173333" w:rsidP="0058012A">
            <w:pPr>
              <w:pStyle w:val="TableTex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173333" w:rsidRPr="005B5BBE" w14:paraId="125DB1AA" w14:textId="77777777" w:rsidTr="0057637E">
        <w:tc>
          <w:tcPr>
            <w:cnfStyle w:val="001000000000" w:firstRow="0" w:lastRow="0" w:firstColumn="1" w:lastColumn="0" w:oddVBand="0" w:evenVBand="0" w:oddHBand="0" w:evenHBand="0" w:firstRowFirstColumn="0" w:firstRowLastColumn="0" w:lastRowFirstColumn="0" w:lastRowLastColumn="0"/>
            <w:tcW w:w="3431" w:type="dxa"/>
          </w:tcPr>
          <w:p w14:paraId="540EFF7A" w14:textId="77777777" w:rsidR="00173333" w:rsidRPr="00124BE2" w:rsidRDefault="00173333" w:rsidP="00173333">
            <w:pPr>
              <w:pStyle w:val="TableTextLeft"/>
              <w:rPr>
                <w:rFonts w:asciiTheme="minorHAnsi" w:hAnsiTheme="minorHAnsi"/>
                <w:b w:val="0"/>
              </w:rPr>
            </w:pPr>
            <w:r w:rsidRPr="00124BE2">
              <w:rPr>
                <w:b w:val="0"/>
              </w:rPr>
              <w:t>Liaising with consultation partners to improve their understanding of the framework and assist them in providing advice in a timely manner on applications relevant to their areas of responsibility and expertise.</w:t>
            </w:r>
          </w:p>
        </w:tc>
        <w:tc>
          <w:tcPr>
            <w:tcW w:w="5482" w:type="dxa"/>
          </w:tcPr>
          <w:p w14:paraId="021DC654" w14:textId="67013B88" w:rsidR="002910E0" w:rsidRDefault="002910E0" w:rsidP="0057637E">
            <w:pPr>
              <w:pStyle w:val="TableTextBullet"/>
              <w:cnfStyle w:val="000000000000" w:firstRow="0" w:lastRow="0" w:firstColumn="0" w:lastColumn="0" w:oddVBand="0" w:evenVBand="0" w:oddHBand="0" w:evenHBand="0" w:firstRowFirstColumn="0" w:firstRowLastColumn="0" w:lastRowFirstColumn="0" w:lastRowLastColumn="0"/>
            </w:pPr>
            <w:r>
              <w:t>The Cross Agency Compliance Forum is a key engagement activity with consultation partners to lift an understanding of compliance frameworks and approaches.</w:t>
            </w:r>
          </w:p>
          <w:p w14:paraId="5E6BC6BB" w14:textId="34946E11" w:rsidR="00CF469F" w:rsidRPr="0057637E" w:rsidRDefault="00CF469F" w:rsidP="0057637E">
            <w:pPr>
              <w:pStyle w:val="TableTextBullet"/>
              <w:cnfStyle w:val="000000000000" w:firstRow="0" w:lastRow="0" w:firstColumn="0" w:lastColumn="0" w:oddVBand="0" w:evenVBand="0" w:oddHBand="0" w:evenHBand="0" w:firstRowFirstColumn="0" w:firstRowLastColumn="0" w:lastRowFirstColumn="0" w:lastRowLastColumn="0"/>
            </w:pPr>
            <w:r w:rsidRPr="0057637E">
              <w:t>Treasury held the Foreign Investment Insights Day on 15 May 2019, attended by colleagues from around 20 consult</w:t>
            </w:r>
            <w:r w:rsidR="00164BDF">
              <w:t>ation</w:t>
            </w:r>
            <w:r w:rsidRPr="0057637E">
              <w:t xml:space="preserve"> partners. </w:t>
            </w:r>
          </w:p>
          <w:p w14:paraId="67B3E4D9" w14:textId="3E1C2143" w:rsidR="00CF469F" w:rsidRDefault="00CF469F" w:rsidP="00CF469F">
            <w:pPr>
              <w:pStyle w:val="TableTextBullet"/>
              <w:cnfStyle w:val="000000000000" w:firstRow="0" w:lastRow="0" w:firstColumn="0" w:lastColumn="0" w:oddVBand="0" w:evenVBand="0" w:oddHBand="0" w:evenHBand="0" w:firstRowFirstColumn="0" w:firstRowLastColumn="0" w:lastRowFirstColumn="0" w:lastRowLastColumn="0"/>
            </w:pPr>
            <w:r>
              <w:t xml:space="preserve">In April and May 2019, </w:t>
            </w:r>
            <w:r w:rsidRPr="00020B42">
              <w:t xml:space="preserve">Treasury </w:t>
            </w:r>
            <w:r w:rsidR="00222521">
              <w:t xml:space="preserve">met </w:t>
            </w:r>
            <w:r w:rsidRPr="00020B42">
              <w:t xml:space="preserve">with all </w:t>
            </w:r>
            <w:r w:rsidR="0083192D">
              <w:t>s</w:t>
            </w:r>
            <w:r w:rsidRPr="00020B42">
              <w:t>tate and</w:t>
            </w:r>
            <w:r w:rsidR="0083192D">
              <w:t xml:space="preserve"> te</w:t>
            </w:r>
            <w:r w:rsidRPr="00020B42">
              <w:t>rritory consult</w:t>
            </w:r>
            <w:r w:rsidR="00222521">
              <w:t>ation</w:t>
            </w:r>
            <w:r w:rsidRPr="00020B42">
              <w:t xml:space="preserve"> partners to discuss ways to better streamline inputs to FIRB processes and to better understand the pressures they are under.</w:t>
            </w:r>
          </w:p>
          <w:p w14:paraId="7B5F4EC4" w14:textId="528A06F5" w:rsidR="00BF3A04" w:rsidRPr="00173333" w:rsidRDefault="00BF3A04" w:rsidP="00BF3A04">
            <w:pPr>
              <w:pStyle w:val="TableTextBullet"/>
              <w:cnfStyle w:val="000000000000" w:firstRow="0" w:lastRow="0" w:firstColumn="0" w:lastColumn="0" w:oddVBand="0" w:evenVBand="0" w:oddHBand="0" w:evenHBand="0" w:firstRowFirstColumn="0" w:firstRowLastColumn="0" w:lastRowFirstColumn="0" w:lastRowLastColumn="0"/>
            </w:pPr>
            <w:r>
              <w:t xml:space="preserve">Senior level meetings of consultation partners </w:t>
            </w:r>
            <w:r w:rsidR="00124FC1">
              <w:t xml:space="preserve">and other Australian Government representatives </w:t>
            </w:r>
            <w:r>
              <w:t>were held monthly.</w:t>
            </w:r>
          </w:p>
        </w:tc>
      </w:tr>
    </w:tbl>
    <w:p w14:paraId="1BCB975B" w14:textId="5E77A429" w:rsidR="00920E14" w:rsidRPr="00024F94" w:rsidRDefault="00CF469F" w:rsidP="00BC4EFD">
      <w:pPr>
        <w:pStyle w:val="Bullet"/>
        <w:numPr>
          <w:ilvl w:val="0"/>
          <w:numId w:val="0"/>
        </w:numPr>
        <w:tabs>
          <w:tab w:val="left" w:pos="425"/>
        </w:tabs>
        <w:spacing w:line="260" w:lineRule="exact"/>
        <w:rPr>
          <w:rFonts w:asciiTheme="minorHAnsi" w:hAnsiTheme="minorHAnsi" w:cs="Arial"/>
          <w:b/>
          <w:bCs/>
          <w:caps/>
          <w:color w:val="1F497D" w:themeColor="text2"/>
          <w:kern w:val="32"/>
          <w:sz w:val="44"/>
          <w:szCs w:val="36"/>
        </w:rPr>
      </w:pPr>
      <w:r>
        <w:rPr>
          <w:rFonts w:asciiTheme="minorHAnsi" w:hAnsiTheme="minorHAnsi"/>
        </w:rPr>
        <w:br/>
      </w:r>
      <w:bookmarkStart w:id="30" w:name="_Toc280193"/>
      <w:bookmarkStart w:id="31" w:name="_Toc1483025"/>
      <w:r w:rsidR="00920E14" w:rsidRPr="00024F94">
        <w:rPr>
          <w:rFonts w:asciiTheme="minorHAnsi" w:hAnsiTheme="minorHAnsi"/>
        </w:rPr>
        <w:br w:type="page"/>
      </w:r>
    </w:p>
    <w:p w14:paraId="74A020EF" w14:textId="52AEED1F" w:rsidR="00551B2C" w:rsidRPr="005B5BBE" w:rsidRDefault="009025B6" w:rsidP="00551B2C">
      <w:pPr>
        <w:pStyle w:val="Heading1"/>
        <w:rPr>
          <w:rFonts w:asciiTheme="minorHAnsi" w:hAnsiTheme="minorHAnsi"/>
        </w:rPr>
      </w:pPr>
      <w:bookmarkStart w:id="32" w:name="_Toc31113258"/>
      <w:bookmarkStart w:id="33" w:name="_Toc33443666"/>
      <w:r>
        <w:rPr>
          <w:rFonts w:asciiTheme="minorHAnsi" w:hAnsiTheme="minorHAnsi"/>
        </w:rPr>
        <w:lastRenderedPageBreak/>
        <w:t xml:space="preserve">Self-Assessment </w:t>
      </w:r>
      <w:r w:rsidR="00B122F4">
        <w:rPr>
          <w:rFonts w:asciiTheme="minorHAnsi" w:hAnsiTheme="minorHAnsi"/>
        </w:rPr>
        <w:t>of</w:t>
      </w:r>
      <w:r>
        <w:rPr>
          <w:rFonts w:asciiTheme="minorHAnsi" w:hAnsiTheme="minorHAnsi"/>
        </w:rPr>
        <w:t xml:space="preserve"> Performance</w:t>
      </w:r>
      <w:bookmarkEnd w:id="32"/>
      <w:bookmarkEnd w:id="33"/>
    </w:p>
    <w:p w14:paraId="3E1C65F0" w14:textId="77777777" w:rsidR="00551B2C" w:rsidRPr="005B5BBE" w:rsidRDefault="00551B2C" w:rsidP="00551B2C">
      <w:pPr>
        <w:pStyle w:val="Heading2"/>
        <w:rPr>
          <w:rFonts w:asciiTheme="minorHAnsi" w:hAnsiTheme="minorHAnsi"/>
        </w:rPr>
      </w:pPr>
      <w:bookmarkStart w:id="34" w:name="_Toc31113259"/>
      <w:bookmarkStart w:id="35" w:name="_Toc33443667"/>
      <w:r w:rsidRPr="005B5BBE">
        <w:rPr>
          <w:rFonts w:asciiTheme="minorHAnsi" w:hAnsiTheme="minorHAnsi"/>
        </w:rPr>
        <w:t>KPI 1 – Regulators do not unnecessarily impede the efficient operation of foreign investors</w:t>
      </w:r>
      <w:bookmarkEnd w:id="34"/>
      <w:bookmarkEnd w:id="35"/>
    </w:p>
    <w:tbl>
      <w:tblPr>
        <w:tblStyle w:val="LightList-Accent5"/>
        <w:tblW w:w="903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39"/>
      </w:tblGrid>
      <w:tr w:rsidR="00551B2C" w:rsidRPr="005B5BBE" w14:paraId="50221E6C" w14:textId="77777777" w:rsidTr="00312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shd w:val="clear" w:color="auto" w:fill="DBE5F1" w:themeFill="accent1" w:themeFillTint="33"/>
          </w:tcPr>
          <w:p w14:paraId="627F7E6E" w14:textId="77777777" w:rsidR="00551B2C" w:rsidRPr="005B5BBE" w:rsidRDefault="00551B2C" w:rsidP="00312CDE">
            <w:pPr>
              <w:pStyle w:val="TableColumnHeadingLeft"/>
              <w:rPr>
                <w:rFonts w:asciiTheme="minorHAnsi" w:hAnsiTheme="minorHAnsi"/>
                <w:b/>
                <w:color w:val="auto"/>
              </w:rPr>
            </w:pPr>
            <w:r w:rsidRPr="005B5BBE">
              <w:rPr>
                <w:rFonts w:asciiTheme="minorHAnsi" w:hAnsiTheme="minorHAnsi"/>
                <w:b/>
                <w:color w:val="auto"/>
              </w:rPr>
              <w:t>Measures of good regulatory performance</w:t>
            </w:r>
          </w:p>
        </w:tc>
      </w:tr>
      <w:tr w:rsidR="00551B2C" w:rsidRPr="005B5BBE" w14:paraId="41B63401" w14:textId="77777777" w:rsidTr="00312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14:paraId="47F5F49E" w14:textId="77777777" w:rsidR="00551B2C" w:rsidRPr="005B5BBE" w:rsidRDefault="00280288" w:rsidP="00312CDE">
            <w:pPr>
              <w:pStyle w:val="TableTextLeft"/>
              <w:rPr>
                <w:rFonts w:asciiTheme="minorHAnsi" w:hAnsiTheme="minorHAnsi"/>
                <w:b w:val="0"/>
                <w:color w:val="auto"/>
              </w:rPr>
            </w:pPr>
            <w:r>
              <w:rPr>
                <w:rFonts w:asciiTheme="minorHAnsi" w:hAnsiTheme="minorHAnsi"/>
                <w:b w:val="0"/>
                <w:color w:val="auto"/>
              </w:rPr>
              <w:t xml:space="preserve">1.1 </w:t>
            </w:r>
            <w:r w:rsidR="00551B2C" w:rsidRPr="005B5BBE">
              <w:rPr>
                <w:rFonts w:asciiTheme="minorHAnsi" w:hAnsiTheme="minorHAnsi"/>
                <w:b w:val="0"/>
                <w:color w:val="auto"/>
              </w:rPr>
              <w:t>Demonstrate an understanding of the operating environment of the industry or organisation, or the circumstances of individuals and the current and emerging issues that affect the sector</w:t>
            </w:r>
          </w:p>
        </w:tc>
      </w:tr>
      <w:tr w:rsidR="00551B2C" w:rsidRPr="005B5BBE" w14:paraId="4579EDFA" w14:textId="77777777" w:rsidTr="00312CDE">
        <w:tc>
          <w:tcPr>
            <w:cnfStyle w:val="001000000000" w:firstRow="0" w:lastRow="0" w:firstColumn="1" w:lastColumn="0" w:oddVBand="0" w:evenVBand="0" w:oddHBand="0" w:evenHBand="0" w:firstRowFirstColumn="0" w:firstRowLastColumn="0" w:lastRowFirstColumn="0" w:lastRowLastColumn="0"/>
            <w:tcW w:w="9039" w:type="dxa"/>
          </w:tcPr>
          <w:p w14:paraId="05F5E5B4" w14:textId="77777777" w:rsidR="00551B2C" w:rsidRPr="005B5BBE" w:rsidRDefault="00280288" w:rsidP="00312CDE">
            <w:pPr>
              <w:pStyle w:val="TableTextLeft"/>
              <w:rPr>
                <w:rFonts w:asciiTheme="minorHAnsi" w:hAnsiTheme="minorHAnsi"/>
                <w:b w:val="0"/>
                <w:color w:val="auto"/>
              </w:rPr>
            </w:pPr>
            <w:r>
              <w:rPr>
                <w:rFonts w:asciiTheme="minorHAnsi" w:hAnsiTheme="minorHAnsi"/>
                <w:b w:val="0"/>
                <w:color w:val="auto"/>
              </w:rPr>
              <w:t xml:space="preserve">1.2 </w:t>
            </w:r>
            <w:r w:rsidR="00551B2C" w:rsidRPr="005B5BBE">
              <w:rPr>
                <w:rFonts w:asciiTheme="minorHAnsi" w:hAnsiTheme="minorHAnsi"/>
                <w:b w:val="0"/>
                <w:color w:val="auto"/>
              </w:rPr>
              <w:t>Minimise the potential for unintended negative impacts of regulatory activities on foreign investors</w:t>
            </w:r>
          </w:p>
        </w:tc>
      </w:tr>
      <w:tr w:rsidR="00551B2C" w:rsidRPr="005B5BBE" w14:paraId="571594AC" w14:textId="77777777" w:rsidTr="00312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14:paraId="71AB6383" w14:textId="77777777" w:rsidR="00551B2C" w:rsidRPr="005B5BBE" w:rsidRDefault="00280288" w:rsidP="00312CDE">
            <w:pPr>
              <w:pStyle w:val="TableTextLeft"/>
              <w:rPr>
                <w:rFonts w:asciiTheme="minorHAnsi" w:hAnsiTheme="minorHAnsi"/>
                <w:b w:val="0"/>
                <w:color w:val="auto"/>
              </w:rPr>
            </w:pPr>
            <w:r>
              <w:rPr>
                <w:rFonts w:asciiTheme="minorHAnsi" w:hAnsiTheme="minorHAnsi"/>
                <w:b w:val="0"/>
                <w:color w:val="auto"/>
              </w:rPr>
              <w:t xml:space="preserve">1.3 </w:t>
            </w:r>
            <w:r w:rsidR="00551B2C" w:rsidRPr="005B5BBE">
              <w:rPr>
                <w:rFonts w:asciiTheme="minorHAnsi" w:hAnsiTheme="minorHAnsi"/>
                <w:b w:val="0"/>
                <w:color w:val="auto"/>
              </w:rPr>
              <w:t>Implement continuous improvement strategies to reduce the costs of compliance for foreign investors</w:t>
            </w:r>
          </w:p>
        </w:tc>
      </w:tr>
    </w:tbl>
    <w:p w14:paraId="71F55C87" w14:textId="77777777" w:rsidR="00551B2C" w:rsidRDefault="00551B2C" w:rsidP="00551B2C"/>
    <w:p w14:paraId="6CEBA346" w14:textId="77777777" w:rsidR="00551B2C" w:rsidRDefault="00551B2C" w:rsidP="00551B2C">
      <w:pPr>
        <w:rPr>
          <w:rFonts w:cs="Arial"/>
          <w:b/>
          <w:bCs/>
          <w:iCs/>
          <w:smallCaps/>
          <w:color w:val="1F497D" w:themeColor="text2"/>
          <w:sz w:val="32"/>
          <w:szCs w:val="28"/>
        </w:rPr>
      </w:pPr>
      <w:r w:rsidRPr="00413309">
        <w:rPr>
          <w:rFonts w:cs="Arial"/>
          <w:b/>
          <w:bCs/>
          <w:iCs/>
          <w:smallCaps/>
          <w:color w:val="1F497D" w:themeColor="text2"/>
          <w:sz w:val="32"/>
          <w:szCs w:val="28"/>
        </w:rPr>
        <w:t>Self-assessment</w:t>
      </w:r>
    </w:p>
    <w:p w14:paraId="26E39491" w14:textId="77777777" w:rsidR="00325753" w:rsidRDefault="00280288" w:rsidP="00020B42">
      <w:pPr>
        <w:pStyle w:val="Bullet"/>
        <w:numPr>
          <w:ilvl w:val="0"/>
          <w:numId w:val="0"/>
        </w:numPr>
        <w:spacing w:after="0" w:line="360" w:lineRule="auto"/>
        <w:rPr>
          <w:rFonts w:asciiTheme="majorHAnsi" w:hAnsiTheme="majorHAnsi"/>
          <w:b/>
          <w:bCs/>
          <w:i/>
          <w:color w:val="4F81BD" w:themeColor="accent1"/>
          <w:szCs w:val="22"/>
        </w:rPr>
      </w:pPr>
      <w:r>
        <w:rPr>
          <w:rFonts w:asciiTheme="majorHAnsi" w:hAnsiTheme="majorHAnsi"/>
          <w:b/>
          <w:bCs/>
          <w:i/>
          <w:color w:val="4F81BD" w:themeColor="accent1"/>
          <w:szCs w:val="22"/>
        </w:rPr>
        <w:t>1.1 Underst</w:t>
      </w:r>
      <w:r w:rsidR="00F82CB2">
        <w:rPr>
          <w:rFonts w:asciiTheme="majorHAnsi" w:hAnsiTheme="majorHAnsi"/>
          <w:b/>
          <w:bCs/>
          <w:i/>
          <w:color w:val="4F81BD" w:themeColor="accent1"/>
          <w:szCs w:val="22"/>
        </w:rPr>
        <w:t>and</w:t>
      </w:r>
      <w:r>
        <w:rPr>
          <w:rFonts w:asciiTheme="majorHAnsi" w:hAnsiTheme="majorHAnsi"/>
          <w:b/>
          <w:bCs/>
          <w:i/>
          <w:color w:val="4F81BD" w:themeColor="accent1"/>
          <w:szCs w:val="22"/>
        </w:rPr>
        <w:t>ing of the operating environment and emerging issues</w:t>
      </w:r>
    </w:p>
    <w:p w14:paraId="03C733F4" w14:textId="6A9EF1F1" w:rsidR="00163732" w:rsidRPr="0032107D" w:rsidRDefault="00163732" w:rsidP="0032107D">
      <w:pPr>
        <w:pStyle w:val="BodyText"/>
      </w:pPr>
      <w:r w:rsidRPr="0032107D">
        <w:t xml:space="preserve">Understanding the operating environment through </w:t>
      </w:r>
      <w:r w:rsidR="00BC2260" w:rsidRPr="0032107D">
        <w:t>year</w:t>
      </w:r>
      <w:r w:rsidR="000F5CB7" w:rsidRPr="0032107D">
        <w:noBreakHyphen/>
      </w:r>
      <w:r w:rsidR="00BC2260" w:rsidRPr="0032107D">
        <w:t xml:space="preserve">round </w:t>
      </w:r>
      <w:r w:rsidRPr="0032107D">
        <w:t xml:space="preserve">stakeholder engagement was a significant focus of 2018-19. </w:t>
      </w:r>
      <w:r w:rsidR="006804CD" w:rsidRPr="0032107D">
        <w:t xml:space="preserve">Treasury </w:t>
      </w:r>
      <w:r w:rsidR="000F5CB7" w:rsidRPr="0032107D">
        <w:t xml:space="preserve">convened </w:t>
      </w:r>
      <w:r w:rsidR="00402BF0" w:rsidRPr="0032107D">
        <w:t xml:space="preserve">317 </w:t>
      </w:r>
      <w:r w:rsidR="00772560" w:rsidRPr="0032107D">
        <w:t>events in 2018-19 with a broad range of stakeholders</w:t>
      </w:r>
      <w:r w:rsidR="00D7680D" w:rsidRPr="0032107D">
        <w:t>,</w:t>
      </w:r>
      <w:r w:rsidR="00772560" w:rsidRPr="0032107D">
        <w:t xml:space="preserve"> including investors and their </w:t>
      </w:r>
      <w:r w:rsidR="00836554" w:rsidRPr="0032107D">
        <w:t>adviser</w:t>
      </w:r>
      <w:r w:rsidR="00772560" w:rsidRPr="0032107D">
        <w:t>s</w:t>
      </w:r>
      <w:r w:rsidR="00BC2260" w:rsidRPr="0032107D">
        <w:t xml:space="preserve">. The </w:t>
      </w:r>
      <w:r w:rsidR="00772560" w:rsidRPr="0032107D">
        <w:t xml:space="preserve">ATO conducted </w:t>
      </w:r>
      <w:r w:rsidR="00C71F6C" w:rsidRPr="0032107D">
        <w:t>eight</w:t>
      </w:r>
      <w:r w:rsidR="00402BF0" w:rsidRPr="0032107D">
        <w:t xml:space="preserve"> </w:t>
      </w:r>
      <w:r w:rsidR="00BC2260" w:rsidRPr="0032107D">
        <w:t>stakeholder events</w:t>
      </w:r>
      <w:r w:rsidR="00772560" w:rsidRPr="0032107D">
        <w:t xml:space="preserve">. </w:t>
      </w:r>
      <w:r w:rsidR="000F5CB7" w:rsidRPr="0032107D">
        <w:t xml:space="preserve">These </w:t>
      </w:r>
      <w:r w:rsidR="00693E54" w:rsidRPr="0032107D">
        <w:t xml:space="preserve">facilitated direct discussions on industry sectors and emerging issues both in Australia and abroad. </w:t>
      </w:r>
      <w:r w:rsidRPr="0032107D">
        <w:t xml:space="preserve">A summary of FIRB agencies’ stakeholder engagement activities can be found at Appendix </w:t>
      </w:r>
      <w:r w:rsidR="001D6A4A" w:rsidRPr="0032107D">
        <w:t>B</w:t>
      </w:r>
      <w:r w:rsidRPr="0032107D">
        <w:t xml:space="preserve">. </w:t>
      </w:r>
    </w:p>
    <w:p w14:paraId="64DFC4DC" w14:textId="3C27D28E" w:rsidR="00434AC5" w:rsidRPr="0032107D" w:rsidRDefault="00434AC5" w:rsidP="0032107D">
      <w:pPr>
        <w:pStyle w:val="BodyText"/>
      </w:pPr>
      <w:r w:rsidRPr="0032107D">
        <w:t xml:space="preserve">Engagement with investors and their advisers </w:t>
      </w:r>
      <w:r w:rsidR="00F65F76" w:rsidRPr="0032107D">
        <w:t xml:space="preserve">provides </w:t>
      </w:r>
      <w:r w:rsidRPr="0032107D">
        <w:t xml:space="preserve">FIRB agencies </w:t>
      </w:r>
      <w:r w:rsidR="00F65F76" w:rsidRPr="0032107D">
        <w:t xml:space="preserve">with a deeper understanding of </w:t>
      </w:r>
      <w:r w:rsidRPr="0032107D">
        <w:t xml:space="preserve">the </w:t>
      </w:r>
      <w:r w:rsidR="00F65F76" w:rsidRPr="0032107D">
        <w:t>global business environment and commercial drivers of mergers and acquisitions. It also allows FIRB agencies to explain Australia’s framework</w:t>
      </w:r>
      <w:r w:rsidR="00D50100" w:rsidRPr="0032107D">
        <w:t xml:space="preserve">, including the process for making an </w:t>
      </w:r>
      <w:r w:rsidR="006C4353" w:rsidRPr="0032107D">
        <w:t>application</w:t>
      </w:r>
      <w:r w:rsidR="00D50100" w:rsidRPr="0032107D">
        <w:t xml:space="preserve">, the approach to national interest considerations, the </w:t>
      </w:r>
      <w:r w:rsidR="006C4353" w:rsidRPr="0032107D">
        <w:t>use of conditions and possible timing considerations, particularly where a transaction relates to assets</w:t>
      </w:r>
      <w:r w:rsidR="00D50100" w:rsidRPr="0032107D">
        <w:t xml:space="preserve"> </w:t>
      </w:r>
      <w:r w:rsidR="006C4353" w:rsidRPr="0032107D">
        <w:t>in sensitive sectors such as critical infrastructure.</w:t>
      </w:r>
    </w:p>
    <w:p w14:paraId="0C20D0BD" w14:textId="532C4855" w:rsidR="00D57064" w:rsidRPr="0032107D" w:rsidRDefault="00772560" w:rsidP="0032107D">
      <w:pPr>
        <w:pStyle w:val="BodyText"/>
      </w:pPr>
      <w:r w:rsidRPr="0032107D">
        <w:t>In 2018-19</w:t>
      </w:r>
      <w:r w:rsidR="001D6A4A" w:rsidRPr="0032107D">
        <w:t>,</w:t>
      </w:r>
      <w:r w:rsidRPr="0032107D">
        <w:t xml:space="preserve"> </w:t>
      </w:r>
      <w:r w:rsidR="006804CD" w:rsidRPr="0032107D">
        <w:t>Treasury’s Foreign Investment Division</w:t>
      </w:r>
      <w:r w:rsidR="00434AC5" w:rsidRPr="0032107D">
        <w:t xml:space="preserve"> continued to build its </w:t>
      </w:r>
      <w:r w:rsidR="00D7680D" w:rsidRPr="0032107D">
        <w:t xml:space="preserve">representation in </w:t>
      </w:r>
      <w:r w:rsidRPr="0032107D">
        <w:t>the Sydney office</w:t>
      </w:r>
      <w:r w:rsidR="00836554" w:rsidRPr="0032107D">
        <w:t xml:space="preserve">, </w:t>
      </w:r>
      <w:r w:rsidR="00434AC5" w:rsidRPr="0032107D">
        <w:t xml:space="preserve">which currently stands at </w:t>
      </w:r>
      <w:r w:rsidR="00836554" w:rsidRPr="0032107D">
        <w:t>eight staff</w:t>
      </w:r>
      <w:r w:rsidR="00693E54" w:rsidRPr="0032107D">
        <w:t xml:space="preserve">. This </w:t>
      </w:r>
      <w:r w:rsidR="00146230" w:rsidRPr="0032107D">
        <w:t>presence in Australia’s commercial hub</w:t>
      </w:r>
      <w:r w:rsidR="00693E54" w:rsidRPr="0032107D">
        <w:t xml:space="preserve"> has </w:t>
      </w:r>
      <w:r w:rsidR="007A511F" w:rsidRPr="0032107D">
        <w:t xml:space="preserve">allowed </w:t>
      </w:r>
      <w:r w:rsidR="00D57064" w:rsidRPr="0032107D">
        <w:t xml:space="preserve">closer </w:t>
      </w:r>
      <w:r w:rsidR="007A511F" w:rsidRPr="0032107D">
        <w:t xml:space="preserve">and more regular </w:t>
      </w:r>
      <w:r w:rsidR="00693E54" w:rsidRPr="0032107D">
        <w:t>engagement with the private sector</w:t>
      </w:r>
      <w:r w:rsidRPr="0032107D">
        <w:t xml:space="preserve">. </w:t>
      </w:r>
    </w:p>
    <w:p w14:paraId="61F4A5DE" w14:textId="77777777" w:rsidR="00146230" w:rsidRPr="0032107D" w:rsidRDefault="00146230" w:rsidP="0032107D">
      <w:pPr>
        <w:pStyle w:val="BodyText"/>
      </w:pPr>
      <w:r w:rsidRPr="0032107D">
        <w:t xml:space="preserve">Treasury </w:t>
      </w:r>
      <w:r w:rsidR="00D57064" w:rsidRPr="0032107D">
        <w:t xml:space="preserve">has also undertaken </w:t>
      </w:r>
      <w:r w:rsidRPr="0032107D">
        <w:t>a number of in</w:t>
      </w:r>
      <w:r w:rsidR="00C72E0A" w:rsidRPr="0032107D">
        <w:t>-</w:t>
      </w:r>
      <w:r w:rsidRPr="0032107D">
        <w:t>depth market analys</w:t>
      </w:r>
      <w:r w:rsidR="00FA1782" w:rsidRPr="0032107D">
        <w:t>e</w:t>
      </w:r>
      <w:r w:rsidRPr="0032107D">
        <w:t xml:space="preserve">s </w:t>
      </w:r>
      <w:r w:rsidR="00D57064" w:rsidRPr="0032107D">
        <w:t xml:space="preserve">of </w:t>
      </w:r>
      <w:r w:rsidRPr="0032107D">
        <w:t xml:space="preserve">specific industries to </w:t>
      </w:r>
      <w:r w:rsidR="00D57064" w:rsidRPr="0032107D">
        <w:t xml:space="preserve">inform its consideration of </w:t>
      </w:r>
      <w:r w:rsidRPr="0032107D">
        <w:t xml:space="preserve">foreign investment </w:t>
      </w:r>
      <w:r w:rsidR="00D57064" w:rsidRPr="0032107D">
        <w:t>applications</w:t>
      </w:r>
      <w:r w:rsidRPr="0032107D">
        <w:t xml:space="preserve">.  </w:t>
      </w:r>
    </w:p>
    <w:p w14:paraId="018C333B" w14:textId="14795AF1" w:rsidR="00772560" w:rsidRPr="0032107D" w:rsidRDefault="00D7680D" w:rsidP="0032107D">
      <w:pPr>
        <w:pStyle w:val="BodyText"/>
      </w:pPr>
      <w:r w:rsidRPr="0032107D">
        <w:t xml:space="preserve">In the </w:t>
      </w:r>
      <w:r w:rsidR="001D6A4A" w:rsidRPr="0032107D">
        <w:t>201</w:t>
      </w:r>
      <w:r w:rsidR="00917F51" w:rsidRPr="0032107D">
        <w:t>9-20</w:t>
      </w:r>
      <w:r w:rsidRPr="0032107D">
        <w:t xml:space="preserve"> Budget</w:t>
      </w:r>
      <w:r w:rsidR="001D6A4A" w:rsidRPr="0032107D">
        <w:t xml:space="preserve">, </w:t>
      </w:r>
      <w:r w:rsidR="000C2B8A" w:rsidRPr="0032107D">
        <w:t xml:space="preserve">handed down in April 2019, </w:t>
      </w:r>
      <w:r w:rsidR="00772560" w:rsidRPr="0032107D">
        <w:t xml:space="preserve">Treasury and </w:t>
      </w:r>
      <w:r w:rsidR="007B78C0" w:rsidRPr="0032107D">
        <w:t xml:space="preserve">other </w:t>
      </w:r>
      <w:r w:rsidR="00917F51" w:rsidRPr="0032107D">
        <w:t>Australian Government</w:t>
      </w:r>
      <w:r w:rsidR="007B78C0" w:rsidRPr="0032107D">
        <w:t xml:space="preserve"> agencies were </w:t>
      </w:r>
      <w:r w:rsidR="00CA7824" w:rsidRPr="0032107D">
        <w:t xml:space="preserve">funded </w:t>
      </w:r>
      <w:r w:rsidR="007B78C0" w:rsidRPr="0032107D">
        <w:t xml:space="preserve">to undertake work to identify and assess national interest issues (particularly national security risks) arising from foreign investment at the sectoral level. This work will build an understanding of the current state </w:t>
      </w:r>
      <w:r w:rsidR="007A511F" w:rsidRPr="0032107D">
        <w:t>of</w:t>
      </w:r>
      <w:r w:rsidR="00917F51" w:rsidRPr="0032107D">
        <w:t>,</w:t>
      </w:r>
      <w:r w:rsidR="007A511F" w:rsidRPr="0032107D">
        <w:t xml:space="preserve"> </w:t>
      </w:r>
      <w:r w:rsidR="007B78C0" w:rsidRPr="0032107D">
        <w:t xml:space="preserve">and emerging issues </w:t>
      </w:r>
      <w:r w:rsidR="007A511F" w:rsidRPr="0032107D">
        <w:t>in</w:t>
      </w:r>
      <w:r w:rsidR="00917F51" w:rsidRPr="0032107D">
        <w:t>,</w:t>
      </w:r>
      <w:r w:rsidR="007A511F" w:rsidRPr="0032107D">
        <w:t xml:space="preserve"> </w:t>
      </w:r>
      <w:r w:rsidR="007B78C0" w:rsidRPr="0032107D">
        <w:t xml:space="preserve">critical sectors </w:t>
      </w:r>
      <w:r w:rsidR="007A511F" w:rsidRPr="0032107D">
        <w:t xml:space="preserve">of </w:t>
      </w:r>
      <w:r w:rsidR="007B78C0" w:rsidRPr="0032107D">
        <w:t xml:space="preserve">the economy. </w:t>
      </w:r>
    </w:p>
    <w:p w14:paraId="7A962264" w14:textId="77777777" w:rsidR="001F6906" w:rsidRPr="0032107D" w:rsidRDefault="007B78C0" w:rsidP="0032107D">
      <w:pPr>
        <w:pStyle w:val="BodyText"/>
      </w:pPr>
      <w:r w:rsidRPr="0032107D">
        <w:t xml:space="preserve">With specific reference to the </w:t>
      </w:r>
      <w:r w:rsidR="001F6906" w:rsidRPr="0032107D">
        <w:t xml:space="preserve">introduction of the vacancy fee in 2017, the ATO continued to refine its information for affected foreign investors through </w:t>
      </w:r>
      <w:r w:rsidRPr="0032107D">
        <w:t xml:space="preserve">its </w:t>
      </w:r>
      <w:r w:rsidR="001F6906" w:rsidRPr="0032107D">
        <w:t>website and communication with clients.  In addition, the ATO conducted 40 one-to-one sessions with stakeholders and intermediaries to explain the vacancy fee initiative, using fact sheets in English and Chinese, in order to minimise the potential for unintended negative impacts of regulatory activities on foreign investors.</w:t>
      </w:r>
    </w:p>
    <w:p w14:paraId="6CB24CDD" w14:textId="77777777" w:rsidR="002F38DF" w:rsidRDefault="00173333" w:rsidP="0032107D">
      <w:pPr>
        <w:pStyle w:val="OutlineNumbered1"/>
        <w:keepNext/>
        <w:numPr>
          <w:ilvl w:val="0"/>
          <w:numId w:val="0"/>
        </w:numPr>
        <w:ind w:left="851" w:hanging="851"/>
      </w:pPr>
      <w:r>
        <w:rPr>
          <w:rFonts w:asciiTheme="majorHAnsi" w:hAnsiTheme="majorHAnsi"/>
          <w:b/>
          <w:bCs/>
          <w:i/>
          <w:color w:val="4F81BD" w:themeColor="accent1"/>
          <w:szCs w:val="22"/>
        </w:rPr>
        <w:lastRenderedPageBreak/>
        <w:t>1.2 M</w:t>
      </w:r>
      <w:r w:rsidR="00F85749" w:rsidRPr="00020B42">
        <w:rPr>
          <w:rFonts w:asciiTheme="majorHAnsi" w:hAnsiTheme="majorHAnsi"/>
          <w:b/>
          <w:bCs/>
          <w:i/>
          <w:color w:val="4F81BD" w:themeColor="accent1"/>
          <w:szCs w:val="22"/>
        </w:rPr>
        <w:t>inimis</w:t>
      </w:r>
      <w:r>
        <w:rPr>
          <w:rFonts w:asciiTheme="majorHAnsi" w:hAnsiTheme="majorHAnsi"/>
          <w:b/>
          <w:bCs/>
          <w:i/>
          <w:color w:val="4F81BD" w:themeColor="accent1"/>
          <w:szCs w:val="22"/>
        </w:rPr>
        <w:t>ing</w:t>
      </w:r>
      <w:r w:rsidR="00F85749" w:rsidRPr="00020B42">
        <w:rPr>
          <w:rFonts w:asciiTheme="majorHAnsi" w:hAnsiTheme="majorHAnsi"/>
          <w:b/>
          <w:bCs/>
          <w:i/>
          <w:color w:val="4F81BD" w:themeColor="accent1"/>
          <w:szCs w:val="22"/>
        </w:rPr>
        <w:t xml:space="preserve"> the potential negative impact of regulatory activities </w:t>
      </w:r>
    </w:p>
    <w:p w14:paraId="63EC291A" w14:textId="51CA6254" w:rsidR="00757C8A" w:rsidRPr="0032107D" w:rsidRDefault="00E3416B" w:rsidP="0032107D">
      <w:pPr>
        <w:pStyle w:val="BodyText"/>
        <w:keepNext/>
      </w:pPr>
      <w:r w:rsidRPr="0032107D">
        <w:t>A number of r</w:t>
      </w:r>
      <w:r w:rsidR="00FA1782" w:rsidRPr="0032107D">
        <w:t xml:space="preserve">espondents </w:t>
      </w:r>
      <w:r w:rsidRPr="0032107D">
        <w:t xml:space="preserve">to the stakeholder survey </w:t>
      </w:r>
      <w:r w:rsidR="002F38DF" w:rsidRPr="0032107D">
        <w:t xml:space="preserve">provided feedback on the importance of applications being processed within </w:t>
      </w:r>
      <w:r w:rsidR="00CA7824" w:rsidRPr="0032107D">
        <w:t>statutory timeframes</w:t>
      </w:r>
      <w:r w:rsidR="002F38DF" w:rsidRPr="0032107D">
        <w:t xml:space="preserve">. </w:t>
      </w:r>
      <w:r w:rsidR="00363E56" w:rsidRPr="0032107D">
        <w:t>P</w:t>
      </w:r>
      <w:r w:rsidR="002F38DF" w:rsidRPr="0032107D">
        <w:t>rocessing time</w:t>
      </w:r>
      <w:r w:rsidR="00363E56" w:rsidRPr="0032107D">
        <w:t>s</w:t>
      </w:r>
      <w:r w:rsidR="002F38DF" w:rsidRPr="0032107D">
        <w:t xml:space="preserve"> varied depending on the application type and, for real estate applications, the type of land proposed to be acquired.</w:t>
      </w:r>
      <w:r w:rsidR="001D6A4A" w:rsidRPr="0032107D">
        <w:t xml:space="preserve"> </w:t>
      </w:r>
      <w:r w:rsidR="00A166DF" w:rsidRPr="0032107D">
        <w:t>Data</w:t>
      </w:r>
      <w:r w:rsidR="00BC6D66" w:rsidRPr="0032107D">
        <w:t xml:space="preserve"> for 2018-19 indicates that the median application processing time for Treasury was 45 days.</w:t>
      </w:r>
      <w:r w:rsidR="00757C8A" w:rsidRPr="0032107D">
        <w:t xml:space="preserve"> </w:t>
      </w:r>
      <w:r w:rsidR="002A2ECA" w:rsidRPr="0032107D">
        <w:t xml:space="preserve">This outcome generally reflects </w:t>
      </w:r>
      <w:r w:rsidR="00A166DF" w:rsidRPr="0032107D">
        <w:t>sensitive</w:t>
      </w:r>
      <w:r w:rsidR="00B03095" w:rsidRPr="0032107D">
        <w:t xml:space="preserve"> or significant</w:t>
      </w:r>
      <w:r w:rsidR="00A166DF" w:rsidRPr="0032107D">
        <w:t xml:space="preserve"> applications which </w:t>
      </w:r>
      <w:r w:rsidR="002A2ECA" w:rsidRPr="0032107D">
        <w:t xml:space="preserve">require </w:t>
      </w:r>
      <w:r w:rsidR="00A166DF" w:rsidRPr="0032107D">
        <w:t xml:space="preserve">in-depth analysis and the need to be informed by expert input from consultation partners.  </w:t>
      </w:r>
      <w:r w:rsidR="00757C8A" w:rsidRPr="0032107D">
        <w:t xml:space="preserve">For the ATO, the 2018-19 median application processing time was </w:t>
      </w:r>
      <w:r w:rsidR="00431FCF">
        <w:t>nine</w:t>
      </w:r>
      <w:r w:rsidR="00757C8A" w:rsidRPr="0032107D">
        <w:t xml:space="preserve"> days for residential applications and 2</w:t>
      </w:r>
      <w:r w:rsidR="00AE20F7" w:rsidRPr="0032107D">
        <w:t>3</w:t>
      </w:r>
      <w:r w:rsidR="00757C8A" w:rsidRPr="0032107D">
        <w:t xml:space="preserve"> days for </w:t>
      </w:r>
      <w:r w:rsidR="00AE20F7" w:rsidRPr="0032107D">
        <w:t xml:space="preserve">non-sensitive </w:t>
      </w:r>
      <w:r w:rsidR="00757C8A" w:rsidRPr="0032107D">
        <w:t>commercial applications.</w:t>
      </w:r>
    </w:p>
    <w:p w14:paraId="7F7435EA" w14:textId="0C91D999" w:rsidR="002F38DF" w:rsidRPr="0032107D" w:rsidRDefault="002F38DF" w:rsidP="0032107D">
      <w:pPr>
        <w:pStyle w:val="BodyText"/>
      </w:pPr>
      <w:r w:rsidRPr="0032107D">
        <w:t>FIRB agencies work closely with consultation partners to foster mutual understanding of the framework</w:t>
      </w:r>
      <w:r w:rsidR="002E0C44" w:rsidRPr="0032107D">
        <w:t>,</w:t>
      </w:r>
      <w:r w:rsidRPr="0032107D">
        <w:t xml:space="preserve"> </w:t>
      </w:r>
      <w:r w:rsidR="00E3416B" w:rsidRPr="0032107D">
        <w:t xml:space="preserve">details of transactions, </w:t>
      </w:r>
      <w:r w:rsidR="001D6A4A" w:rsidRPr="0032107D">
        <w:t>emerging issues</w:t>
      </w:r>
      <w:r w:rsidR="002E0C44" w:rsidRPr="0032107D">
        <w:t xml:space="preserve"> and timing imperatives</w:t>
      </w:r>
      <w:r w:rsidR="001D6A4A" w:rsidRPr="0032107D">
        <w:t>.</w:t>
      </w:r>
      <w:r w:rsidR="00AD7BF7" w:rsidRPr="0032107D">
        <w:t xml:space="preserve"> </w:t>
      </w:r>
      <w:r w:rsidR="002E0C44" w:rsidRPr="0032107D">
        <w:t xml:space="preserve">Continued work on </w:t>
      </w:r>
      <w:r w:rsidR="00864D1C">
        <w:t>increas</w:t>
      </w:r>
      <w:r w:rsidR="002E0C44" w:rsidRPr="0032107D">
        <w:t xml:space="preserve">ing </w:t>
      </w:r>
      <w:r w:rsidR="00864D1C">
        <w:t xml:space="preserve">the certainty of </w:t>
      </w:r>
      <w:r w:rsidR="002E0C44" w:rsidRPr="0032107D">
        <w:t xml:space="preserve">conditions in, for example, healthcare, data and governance </w:t>
      </w:r>
      <w:r w:rsidRPr="0032107D">
        <w:t xml:space="preserve">has </w:t>
      </w:r>
      <w:r w:rsidR="002E0C44" w:rsidRPr="0032107D">
        <w:t>assisted in</w:t>
      </w:r>
      <w:r w:rsidR="00E3416B" w:rsidRPr="0032107D">
        <w:t xml:space="preserve"> more</w:t>
      </w:r>
      <w:r w:rsidR="002E0C44" w:rsidRPr="0032107D">
        <w:t xml:space="preserve"> </w:t>
      </w:r>
      <w:r w:rsidRPr="0032107D">
        <w:t xml:space="preserve">timely </w:t>
      </w:r>
      <w:r w:rsidR="002E0C44" w:rsidRPr="0032107D">
        <w:t xml:space="preserve">completion </w:t>
      </w:r>
      <w:r w:rsidRPr="0032107D">
        <w:t>of complex applications.</w:t>
      </w:r>
    </w:p>
    <w:p w14:paraId="28455522" w14:textId="698CE67B" w:rsidR="003E2754" w:rsidRPr="0032107D" w:rsidRDefault="008343D7" w:rsidP="0032107D">
      <w:pPr>
        <w:pStyle w:val="BodyText"/>
      </w:pPr>
      <w:r w:rsidRPr="0032107D">
        <w:t>83</w:t>
      </w:r>
      <w:r w:rsidR="00833E7C" w:rsidRPr="0032107D">
        <w:t xml:space="preserve"> per cent</w:t>
      </w:r>
      <w:r w:rsidRPr="0032107D">
        <w:t xml:space="preserve"> of survey respondents said the quality of interactions with FIRB </w:t>
      </w:r>
      <w:r w:rsidR="00363E56" w:rsidRPr="0032107D">
        <w:t xml:space="preserve">agencies </w:t>
      </w:r>
      <w:r w:rsidRPr="0032107D">
        <w:t xml:space="preserve">during the </w:t>
      </w:r>
      <w:r w:rsidR="00E3416B" w:rsidRPr="0032107D">
        <w:t xml:space="preserve">application </w:t>
      </w:r>
      <w:r w:rsidRPr="0032107D">
        <w:t>process, including the impact on the need to meet commercial deadlines</w:t>
      </w:r>
      <w:r w:rsidR="000814E8" w:rsidRPr="0032107D">
        <w:t>,</w:t>
      </w:r>
      <w:r w:rsidRPr="0032107D">
        <w:t xml:space="preserve"> was </w:t>
      </w:r>
      <w:r w:rsidR="000814E8" w:rsidRPr="0032107D">
        <w:t>excellent</w:t>
      </w:r>
      <w:r w:rsidRPr="0032107D">
        <w:t xml:space="preserve"> or </w:t>
      </w:r>
      <w:r w:rsidR="000814E8" w:rsidRPr="0032107D">
        <w:t>good</w:t>
      </w:r>
      <w:r w:rsidRPr="0032107D">
        <w:t xml:space="preserve">. </w:t>
      </w:r>
      <w:r w:rsidR="004517EC" w:rsidRPr="0032107D">
        <w:t>They did however note that there were a number of issues which impacted on case processing times, including the negotiation of conditions which often resulted in the extension of the statutory deadline</w:t>
      </w:r>
      <w:r w:rsidRPr="0032107D">
        <w:t xml:space="preserve">, </w:t>
      </w:r>
      <w:r w:rsidR="004517EC" w:rsidRPr="0032107D">
        <w:t xml:space="preserve">in some cases </w:t>
      </w:r>
      <w:r w:rsidRPr="0032107D">
        <w:t>multiple times.</w:t>
      </w:r>
    </w:p>
    <w:p w14:paraId="06DFCE66" w14:textId="77777777" w:rsidR="00F85749" w:rsidRPr="00020B42" w:rsidRDefault="00173333" w:rsidP="00020B42">
      <w:pPr>
        <w:pStyle w:val="Bullet"/>
        <w:numPr>
          <w:ilvl w:val="0"/>
          <w:numId w:val="0"/>
        </w:numPr>
        <w:spacing w:after="0" w:line="360" w:lineRule="auto"/>
        <w:rPr>
          <w:rFonts w:asciiTheme="majorHAnsi" w:hAnsiTheme="majorHAnsi"/>
          <w:b/>
          <w:bCs/>
          <w:i/>
          <w:color w:val="4F81BD" w:themeColor="accent1"/>
          <w:szCs w:val="22"/>
        </w:rPr>
      </w:pPr>
      <w:r>
        <w:rPr>
          <w:rFonts w:asciiTheme="majorHAnsi" w:hAnsiTheme="majorHAnsi"/>
          <w:b/>
          <w:bCs/>
          <w:i/>
          <w:color w:val="4F81BD" w:themeColor="accent1"/>
          <w:szCs w:val="22"/>
        </w:rPr>
        <w:t xml:space="preserve">1.3 Implementing </w:t>
      </w:r>
      <w:r w:rsidR="00F85749" w:rsidRPr="00020B42">
        <w:rPr>
          <w:rFonts w:asciiTheme="majorHAnsi" w:hAnsiTheme="majorHAnsi"/>
          <w:b/>
          <w:bCs/>
          <w:i/>
          <w:color w:val="4F81BD" w:themeColor="accent1"/>
          <w:szCs w:val="22"/>
        </w:rPr>
        <w:t>continuous improvement</w:t>
      </w:r>
      <w:r>
        <w:rPr>
          <w:rFonts w:asciiTheme="majorHAnsi" w:hAnsiTheme="majorHAnsi"/>
          <w:b/>
          <w:bCs/>
          <w:i/>
          <w:color w:val="4F81BD" w:themeColor="accent1"/>
          <w:szCs w:val="22"/>
        </w:rPr>
        <w:t xml:space="preserve"> strategies to reduce cost of compliance</w:t>
      </w:r>
    </w:p>
    <w:p w14:paraId="52FDD8C0" w14:textId="65D5CECF" w:rsidR="00F809DD" w:rsidRPr="0032107D" w:rsidRDefault="007631C5" w:rsidP="0032107D">
      <w:pPr>
        <w:pStyle w:val="BodyText"/>
      </w:pPr>
      <w:r w:rsidRPr="0032107D">
        <w:t xml:space="preserve">FIRB </w:t>
      </w:r>
      <w:r w:rsidR="00F74B73" w:rsidRPr="0032107D">
        <w:t xml:space="preserve">agencies </w:t>
      </w:r>
      <w:r w:rsidRPr="0032107D">
        <w:t xml:space="preserve">are committed to continuous improvement </w:t>
      </w:r>
      <w:r w:rsidR="000814E8" w:rsidRPr="0032107D">
        <w:t>and responding to feedback from</w:t>
      </w:r>
      <w:r w:rsidRPr="0032107D">
        <w:t xml:space="preserve"> stakeholders. </w:t>
      </w:r>
      <w:r w:rsidR="001003C6" w:rsidRPr="0032107D">
        <w:t xml:space="preserve">For example, following feedback </w:t>
      </w:r>
      <w:r w:rsidR="00E3416B" w:rsidRPr="0032107D">
        <w:t>regarding</w:t>
      </w:r>
      <w:r w:rsidR="001003C6" w:rsidRPr="0032107D">
        <w:t xml:space="preserve"> the difficulties in lodging applications, i</w:t>
      </w:r>
      <w:r w:rsidR="00F809DD" w:rsidRPr="0032107D">
        <w:t>n July 2018</w:t>
      </w:r>
      <w:r w:rsidR="000814E8" w:rsidRPr="0032107D">
        <w:t>,</w:t>
      </w:r>
      <w:r w:rsidR="00F809DD" w:rsidRPr="0032107D">
        <w:t xml:space="preserve"> </w:t>
      </w:r>
      <w:r w:rsidR="00E3416B" w:rsidRPr="0032107D">
        <w:t xml:space="preserve">a </w:t>
      </w:r>
      <w:r w:rsidR="00F809DD" w:rsidRPr="0032107D">
        <w:t>new Application Portal</w:t>
      </w:r>
      <w:r w:rsidR="000F3632" w:rsidRPr="0032107D">
        <w:t xml:space="preserve"> (the </w:t>
      </w:r>
      <w:r w:rsidR="006804CD" w:rsidRPr="0032107D">
        <w:t>portal</w:t>
      </w:r>
      <w:r w:rsidR="000F3632" w:rsidRPr="0032107D">
        <w:t>)</w:t>
      </w:r>
      <w:r w:rsidR="00E52454" w:rsidRPr="00864D1C">
        <w:rPr>
          <w:rStyle w:val="FootnoteReference"/>
          <w:rFonts w:cs="Times New Roman"/>
          <w:sz w:val="22"/>
          <w:szCs w:val="20"/>
        </w:rPr>
        <w:footnoteReference w:id="6"/>
      </w:r>
      <w:r w:rsidR="00E3416B" w:rsidRPr="0032107D">
        <w:t xml:space="preserve"> went live. This is </w:t>
      </w:r>
      <w:r w:rsidR="00F809DD" w:rsidRPr="0032107D">
        <w:t>a web-interface system that enables</w:t>
      </w:r>
      <w:r w:rsidR="000814E8" w:rsidRPr="0032107D">
        <w:t xml:space="preserve"> the</w:t>
      </w:r>
      <w:r w:rsidR="00F809DD" w:rsidRPr="0032107D">
        <w:t xml:space="preserve"> electronic submission of applications for foreign investment. </w:t>
      </w:r>
      <w:r w:rsidR="00687598" w:rsidRPr="0032107D">
        <w:t>E</w:t>
      </w:r>
      <w:r w:rsidR="00F809DD" w:rsidRPr="0032107D">
        <w:t xml:space="preserve">nhancements to the </w:t>
      </w:r>
      <w:r w:rsidR="006804CD" w:rsidRPr="0032107D">
        <w:t>p</w:t>
      </w:r>
      <w:r w:rsidR="00F809DD" w:rsidRPr="0032107D">
        <w:t xml:space="preserve">ortal allow applicants to save partially completed applications, add multiple contacts and submit a proposal covering multiple actions under one agreement as one application. These enhancements </w:t>
      </w:r>
      <w:r w:rsidR="000814E8" w:rsidRPr="0032107D">
        <w:t>were</w:t>
      </w:r>
      <w:r w:rsidR="00F809DD" w:rsidRPr="0032107D">
        <w:t xml:space="preserve"> made to simplify the submission process and increase visibility and management of applications. </w:t>
      </w:r>
    </w:p>
    <w:p w14:paraId="6F711257" w14:textId="34E74819" w:rsidR="00F74B73" w:rsidRPr="0032107D" w:rsidRDefault="00F74B73" w:rsidP="0032107D">
      <w:pPr>
        <w:pStyle w:val="BodyText"/>
      </w:pPr>
      <w:r w:rsidRPr="0032107D">
        <w:t xml:space="preserve">In April and May 2019, </w:t>
      </w:r>
      <w:r w:rsidR="00F85749" w:rsidRPr="0032107D">
        <w:t>Treasury</w:t>
      </w:r>
      <w:r w:rsidR="000C2B8A" w:rsidRPr="0032107D">
        <w:t xml:space="preserve"> convened its Insights Day and </w:t>
      </w:r>
      <w:r w:rsidR="00F85749" w:rsidRPr="0032107D">
        <w:t xml:space="preserve">held face to face meetings with all </w:t>
      </w:r>
      <w:r w:rsidR="000403E5" w:rsidRPr="0032107D">
        <w:t>s</w:t>
      </w:r>
      <w:r w:rsidR="00F85749" w:rsidRPr="0032107D">
        <w:t xml:space="preserve">tate and </w:t>
      </w:r>
      <w:r w:rsidR="000403E5" w:rsidRPr="0032107D">
        <w:t>t</w:t>
      </w:r>
      <w:r w:rsidR="00F85749" w:rsidRPr="0032107D">
        <w:t>erritory consult</w:t>
      </w:r>
      <w:r w:rsidR="00B13C6E" w:rsidRPr="0032107D">
        <w:t>ation</w:t>
      </w:r>
      <w:r w:rsidR="00F85749" w:rsidRPr="0032107D">
        <w:t xml:space="preserve"> partners</w:t>
      </w:r>
      <w:r w:rsidR="00B13C6E" w:rsidRPr="0032107D">
        <w:t xml:space="preserve">. These were opportunities to build knowledge about the framework, convey investor views about </w:t>
      </w:r>
      <w:r w:rsidR="00DC0035" w:rsidRPr="0032107D">
        <w:t>its</w:t>
      </w:r>
      <w:r w:rsidR="00B13C6E" w:rsidRPr="0032107D">
        <w:t xml:space="preserve"> administration and </w:t>
      </w:r>
      <w:r w:rsidR="00F85749" w:rsidRPr="0032107D">
        <w:t>discuss ways to better streamline inputs to FIRB processes</w:t>
      </w:r>
      <w:r w:rsidR="00B13C6E" w:rsidRPr="0032107D">
        <w:t xml:space="preserve">. </w:t>
      </w:r>
      <w:r w:rsidR="00F85749" w:rsidRPr="0032107D">
        <w:t xml:space="preserve">Treasury officers </w:t>
      </w:r>
      <w:r w:rsidR="000F3632" w:rsidRPr="0032107D">
        <w:t xml:space="preserve">also </w:t>
      </w:r>
      <w:r w:rsidR="00F85749" w:rsidRPr="0032107D">
        <w:t xml:space="preserve">met with a range of industry peak bodies and law firms to receive feedback on FIRB processes and how Treasury can perform its role more effectively. </w:t>
      </w:r>
    </w:p>
    <w:p w14:paraId="05BAC90D" w14:textId="77777777" w:rsidR="00551B2C" w:rsidRPr="0002670F" w:rsidRDefault="00551B2C" w:rsidP="00551B2C">
      <w:pPr>
        <w:pStyle w:val="Bullet"/>
        <w:numPr>
          <w:ilvl w:val="0"/>
          <w:numId w:val="0"/>
        </w:numPr>
        <w:jc w:val="left"/>
        <w:rPr>
          <w:rFonts w:asciiTheme="minorHAnsi" w:hAnsiTheme="minorHAnsi"/>
          <w:b/>
        </w:rPr>
        <w:sectPr w:rsidR="00551B2C" w:rsidRPr="0002670F" w:rsidSect="00924BEC">
          <w:headerReference w:type="even" r:id="rId34"/>
          <w:headerReference w:type="default" r:id="rId35"/>
          <w:footerReference w:type="even" r:id="rId36"/>
          <w:footerReference w:type="default" r:id="rId37"/>
          <w:headerReference w:type="first" r:id="rId38"/>
          <w:footerReference w:type="first" r:id="rId39"/>
          <w:pgSz w:w="11906" w:h="16838" w:code="277"/>
          <w:pgMar w:top="1440" w:right="1440" w:bottom="1440" w:left="1440" w:header="851" w:footer="851" w:gutter="0"/>
          <w:cols w:space="708"/>
          <w:docGrid w:linePitch="360"/>
        </w:sectPr>
      </w:pPr>
    </w:p>
    <w:p w14:paraId="69BFACFF" w14:textId="77777777" w:rsidR="00551B2C" w:rsidRPr="005B5BBE" w:rsidRDefault="00551B2C" w:rsidP="00551B2C">
      <w:pPr>
        <w:pStyle w:val="Heading2"/>
        <w:rPr>
          <w:rFonts w:asciiTheme="minorHAnsi" w:hAnsiTheme="minorHAnsi"/>
        </w:rPr>
      </w:pPr>
      <w:bookmarkStart w:id="36" w:name="_Toc31113260"/>
      <w:bookmarkStart w:id="37" w:name="_Toc33443668"/>
      <w:r w:rsidRPr="005B5BBE">
        <w:rPr>
          <w:rFonts w:asciiTheme="minorHAnsi" w:hAnsiTheme="minorHAnsi"/>
        </w:rPr>
        <w:lastRenderedPageBreak/>
        <w:t>KPI 2 – Communication with foreign investors is clear, targeted and effective</w:t>
      </w:r>
      <w:bookmarkEnd w:id="36"/>
      <w:bookmarkEnd w:id="37"/>
    </w:p>
    <w:tbl>
      <w:tblPr>
        <w:tblW w:w="9072" w:type="dxa"/>
        <w:tblInd w:w="108" w:type="dxa"/>
        <w:tblLook w:val="04A0" w:firstRow="1" w:lastRow="0" w:firstColumn="1" w:lastColumn="0" w:noHBand="0" w:noVBand="1"/>
      </w:tblPr>
      <w:tblGrid>
        <w:gridCol w:w="9072"/>
      </w:tblGrid>
      <w:tr w:rsidR="00551B2C" w:rsidRPr="005B5BBE" w14:paraId="6F5D8C4A" w14:textId="77777777" w:rsidTr="00312CDE">
        <w:tc>
          <w:tcPr>
            <w:tcW w:w="9072" w:type="dxa"/>
            <w:tcBorders>
              <w:top w:val="single" w:sz="2" w:space="0" w:color="1F497D" w:themeColor="text2"/>
              <w:left w:val="single" w:sz="2" w:space="0" w:color="1F497D" w:themeColor="text2"/>
              <w:bottom w:val="single" w:sz="4" w:space="0" w:color="1F497D" w:themeColor="text2"/>
              <w:right w:val="single" w:sz="2" w:space="0" w:color="1F497D" w:themeColor="text2"/>
            </w:tcBorders>
            <w:shd w:val="clear" w:color="auto" w:fill="DBE5F1" w:themeFill="accent1" w:themeFillTint="33"/>
          </w:tcPr>
          <w:p w14:paraId="795C9218" w14:textId="77777777" w:rsidR="00551B2C" w:rsidRPr="005B5BBE" w:rsidRDefault="00551B2C" w:rsidP="00312CDE">
            <w:pPr>
              <w:pStyle w:val="TableColumnHeadingLeft"/>
              <w:rPr>
                <w:rFonts w:asciiTheme="minorHAnsi" w:hAnsiTheme="minorHAnsi"/>
              </w:rPr>
            </w:pPr>
            <w:r w:rsidRPr="005B5BBE">
              <w:rPr>
                <w:rFonts w:asciiTheme="minorHAnsi" w:hAnsiTheme="minorHAnsi"/>
              </w:rPr>
              <w:t>Measures of good regulatory performance</w:t>
            </w:r>
          </w:p>
        </w:tc>
      </w:tr>
      <w:tr w:rsidR="00551B2C" w:rsidRPr="005B5BBE" w14:paraId="7AA7A922" w14:textId="77777777" w:rsidTr="00312CDE">
        <w:tc>
          <w:tcPr>
            <w:tcW w:w="907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72DBF089" w14:textId="77777777" w:rsidR="00551B2C" w:rsidRPr="005B5BBE" w:rsidRDefault="00295391" w:rsidP="00312CDE">
            <w:pPr>
              <w:pStyle w:val="TableColumnHeadingLeft"/>
              <w:jc w:val="left"/>
              <w:rPr>
                <w:rFonts w:asciiTheme="minorHAnsi" w:hAnsiTheme="minorHAnsi"/>
                <w:b w:val="0"/>
              </w:rPr>
            </w:pPr>
            <w:r>
              <w:rPr>
                <w:rFonts w:asciiTheme="minorHAnsi" w:hAnsiTheme="minorHAnsi"/>
                <w:b w:val="0"/>
              </w:rPr>
              <w:t xml:space="preserve">2.1 </w:t>
            </w:r>
            <w:r w:rsidR="00551B2C" w:rsidRPr="005B5BBE">
              <w:rPr>
                <w:rFonts w:asciiTheme="minorHAnsi" w:hAnsiTheme="minorHAnsi"/>
                <w:b w:val="0"/>
              </w:rPr>
              <w:t>Provide guidance and information that is up to date, clear, accessible and concise through media appropriate to the target audience</w:t>
            </w:r>
          </w:p>
        </w:tc>
      </w:tr>
      <w:tr w:rsidR="00551B2C" w:rsidRPr="005B5BBE" w14:paraId="4BAACDF9" w14:textId="77777777" w:rsidTr="00312CDE">
        <w:tc>
          <w:tcPr>
            <w:tcW w:w="907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0D1076D0" w14:textId="77777777" w:rsidR="00551B2C" w:rsidRPr="005B5BBE" w:rsidRDefault="00295391" w:rsidP="00312CDE">
            <w:pPr>
              <w:pStyle w:val="TableTextLeft"/>
              <w:rPr>
                <w:rFonts w:asciiTheme="minorHAnsi" w:hAnsiTheme="minorHAnsi"/>
              </w:rPr>
            </w:pPr>
            <w:r>
              <w:rPr>
                <w:rFonts w:asciiTheme="minorHAnsi" w:hAnsiTheme="minorHAnsi"/>
              </w:rPr>
              <w:t xml:space="preserve">2.2 </w:t>
            </w:r>
            <w:r w:rsidR="00551B2C" w:rsidRPr="005B5BBE">
              <w:rPr>
                <w:rFonts w:asciiTheme="minorHAnsi" w:hAnsiTheme="minorHAnsi"/>
              </w:rPr>
              <w:t>Consider the impact on foreign investors and engage with industry groups and representatives of the affected stakeholders before changing policies, practices or service standards</w:t>
            </w:r>
          </w:p>
        </w:tc>
      </w:tr>
      <w:tr w:rsidR="00551B2C" w:rsidRPr="005B5BBE" w14:paraId="6312D703" w14:textId="77777777" w:rsidTr="00312CDE">
        <w:tc>
          <w:tcPr>
            <w:tcW w:w="907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72AC9D13" w14:textId="77777777" w:rsidR="00551B2C" w:rsidRPr="005B5BBE" w:rsidRDefault="00295391" w:rsidP="00312CDE">
            <w:pPr>
              <w:pStyle w:val="TableTextLeft"/>
              <w:rPr>
                <w:rFonts w:asciiTheme="minorHAnsi" w:hAnsiTheme="minorHAnsi"/>
              </w:rPr>
            </w:pPr>
            <w:r>
              <w:rPr>
                <w:rFonts w:asciiTheme="minorHAnsi" w:hAnsiTheme="minorHAnsi"/>
              </w:rPr>
              <w:t xml:space="preserve">2.3 </w:t>
            </w:r>
            <w:r w:rsidR="00551B2C" w:rsidRPr="005B5BBE">
              <w:rPr>
                <w:rFonts w:asciiTheme="minorHAnsi" w:hAnsiTheme="minorHAnsi"/>
              </w:rPr>
              <w:t>Provide decisions and advice in a timely manner, clearly articulating expectations</w:t>
            </w:r>
          </w:p>
        </w:tc>
      </w:tr>
    </w:tbl>
    <w:p w14:paraId="64CF8AB2" w14:textId="77777777" w:rsidR="00551B2C" w:rsidRDefault="00551B2C" w:rsidP="00551B2C">
      <w:pPr>
        <w:rPr>
          <w:rFonts w:cs="Arial"/>
          <w:b/>
          <w:bCs/>
          <w:iCs/>
          <w:smallCaps/>
          <w:color w:val="1F497D" w:themeColor="text2"/>
          <w:sz w:val="32"/>
          <w:szCs w:val="28"/>
        </w:rPr>
      </w:pPr>
    </w:p>
    <w:p w14:paraId="0908AB21" w14:textId="77777777" w:rsidR="00551B2C" w:rsidRPr="008116D8" w:rsidRDefault="00551B2C" w:rsidP="00551B2C">
      <w:pPr>
        <w:rPr>
          <w:rFonts w:cs="Arial"/>
          <w:b/>
          <w:bCs/>
          <w:iCs/>
          <w:smallCaps/>
          <w:color w:val="1F497D" w:themeColor="text2"/>
          <w:sz w:val="32"/>
          <w:szCs w:val="28"/>
        </w:rPr>
      </w:pPr>
      <w:r w:rsidRPr="008116D8">
        <w:rPr>
          <w:rFonts w:cs="Arial"/>
          <w:b/>
          <w:bCs/>
          <w:iCs/>
          <w:smallCaps/>
          <w:color w:val="1F497D" w:themeColor="text2"/>
          <w:sz w:val="32"/>
          <w:szCs w:val="28"/>
        </w:rPr>
        <w:t>Self-assessment</w:t>
      </w:r>
    </w:p>
    <w:p w14:paraId="2C99CA03" w14:textId="77777777" w:rsidR="0071705D" w:rsidRPr="00020B42" w:rsidRDefault="003C4759" w:rsidP="00020B42">
      <w:pPr>
        <w:pStyle w:val="Bullet"/>
        <w:numPr>
          <w:ilvl w:val="0"/>
          <w:numId w:val="0"/>
        </w:numPr>
        <w:spacing w:after="0" w:line="360" w:lineRule="auto"/>
        <w:rPr>
          <w:rFonts w:asciiTheme="majorHAnsi" w:hAnsiTheme="majorHAnsi"/>
          <w:b/>
          <w:bCs/>
          <w:i/>
          <w:color w:val="4F81BD" w:themeColor="accent1"/>
          <w:szCs w:val="22"/>
        </w:rPr>
      </w:pPr>
      <w:r>
        <w:rPr>
          <w:rFonts w:asciiTheme="majorHAnsi" w:hAnsiTheme="majorHAnsi"/>
          <w:b/>
          <w:bCs/>
          <w:i/>
          <w:color w:val="4F81BD" w:themeColor="accent1"/>
          <w:szCs w:val="22"/>
        </w:rPr>
        <w:t xml:space="preserve">2.1 </w:t>
      </w:r>
      <w:r w:rsidR="0071705D" w:rsidRPr="00020B42">
        <w:rPr>
          <w:rFonts w:asciiTheme="majorHAnsi" w:hAnsiTheme="majorHAnsi"/>
          <w:b/>
          <w:bCs/>
          <w:i/>
          <w:color w:val="4F81BD" w:themeColor="accent1"/>
          <w:szCs w:val="22"/>
        </w:rPr>
        <w:t>Provision of guidance and information</w:t>
      </w:r>
    </w:p>
    <w:p w14:paraId="22E79156" w14:textId="16ADC9CD" w:rsidR="002632B3" w:rsidRPr="0032107D" w:rsidRDefault="001D7984" w:rsidP="0032107D">
      <w:pPr>
        <w:pStyle w:val="BodyText"/>
      </w:pPr>
      <w:r w:rsidRPr="0032107D">
        <w:t xml:space="preserve">In 2018-19, 228,727 people accessed the FIRB website. </w:t>
      </w:r>
      <w:r w:rsidR="004300E1" w:rsidRPr="0032107D">
        <w:t>To assist foreign investors to comply with their obligations under the framework, update</w:t>
      </w:r>
      <w:r w:rsidR="007205F2" w:rsidRPr="0032107D">
        <w:t xml:space="preserve">s to </w:t>
      </w:r>
      <w:r w:rsidR="004300E1" w:rsidRPr="0032107D">
        <w:t xml:space="preserve">the FIRB website </w:t>
      </w:r>
      <w:r w:rsidR="007205F2" w:rsidRPr="0032107D">
        <w:t xml:space="preserve">are made regularly </w:t>
      </w:r>
      <w:r w:rsidR="004300E1" w:rsidRPr="0032107D">
        <w:t xml:space="preserve">to ensure public information is clear, relevant and transparent. </w:t>
      </w:r>
      <w:r w:rsidR="00E01B37" w:rsidRPr="0032107D">
        <w:t xml:space="preserve">This included publishing information regarding how applications would be treated during the caretaker period following the </w:t>
      </w:r>
      <w:r w:rsidR="002632B3" w:rsidRPr="0032107D">
        <w:t xml:space="preserve">announcement of the May 2019 Federal Election.  Information was also </w:t>
      </w:r>
      <w:r w:rsidR="00020029" w:rsidRPr="0032107D">
        <w:t>publish</w:t>
      </w:r>
      <w:r w:rsidR="00BA2480" w:rsidRPr="0032107D">
        <w:t>ed</w:t>
      </w:r>
      <w:r w:rsidR="00020029" w:rsidRPr="0032107D">
        <w:t xml:space="preserve"> </w:t>
      </w:r>
      <w:r w:rsidR="002632B3" w:rsidRPr="0032107D">
        <w:t xml:space="preserve">on the website regarding changes to </w:t>
      </w:r>
      <w:r w:rsidR="003321C5" w:rsidRPr="0032107D">
        <w:t>f</w:t>
      </w:r>
      <w:r w:rsidR="00020029" w:rsidRPr="0032107D">
        <w:t xml:space="preserve">oreign </w:t>
      </w:r>
      <w:r w:rsidR="003321C5" w:rsidRPr="0032107D">
        <w:t>i</w:t>
      </w:r>
      <w:r w:rsidR="00020029" w:rsidRPr="0032107D">
        <w:t xml:space="preserve">nvestment application fees for the coming financial year. </w:t>
      </w:r>
    </w:p>
    <w:p w14:paraId="28BF4538" w14:textId="77777777" w:rsidR="00BA2480" w:rsidRPr="0032107D" w:rsidRDefault="00906FA2" w:rsidP="0032107D">
      <w:pPr>
        <w:pStyle w:val="BodyText"/>
      </w:pPr>
      <w:r w:rsidRPr="0032107D">
        <w:t>89</w:t>
      </w:r>
      <w:r w:rsidR="002632B3" w:rsidRPr="0032107D">
        <w:t xml:space="preserve"> per cent</w:t>
      </w:r>
      <w:r w:rsidRPr="0032107D">
        <w:t xml:space="preserve"> of 2018-19 stakeholder survey respondents indicated they were satisfied with the guidance communicated on the FIRB website</w:t>
      </w:r>
      <w:r w:rsidR="00BA2480" w:rsidRPr="0032107D">
        <w:t xml:space="preserve">. </w:t>
      </w:r>
    </w:p>
    <w:p w14:paraId="4CCF38EE" w14:textId="6FB6C70A" w:rsidR="001F6906" w:rsidRPr="0032107D" w:rsidRDefault="002632B3" w:rsidP="0032107D">
      <w:pPr>
        <w:pStyle w:val="BodyText"/>
      </w:pPr>
      <w:r w:rsidRPr="0032107D">
        <w:t xml:space="preserve">In addition to using the website as a key vehicle to convey information </w:t>
      </w:r>
      <w:r w:rsidR="00CE4C19" w:rsidRPr="0032107D">
        <w:t xml:space="preserve">and guidance </w:t>
      </w:r>
      <w:r w:rsidRPr="0032107D">
        <w:t xml:space="preserve">to current and prospective investors, </w:t>
      </w:r>
      <w:r w:rsidR="00DC7373" w:rsidRPr="0032107D">
        <w:t>Treasury</w:t>
      </w:r>
      <w:r w:rsidRPr="0032107D">
        <w:t xml:space="preserve"> harness</w:t>
      </w:r>
      <w:r w:rsidR="00924BA1" w:rsidRPr="0032107D">
        <w:t>es</w:t>
      </w:r>
      <w:r w:rsidRPr="0032107D">
        <w:t xml:space="preserve"> </w:t>
      </w:r>
      <w:proofErr w:type="spellStart"/>
      <w:r w:rsidR="00906FA2" w:rsidRPr="0032107D">
        <w:t>Austrade</w:t>
      </w:r>
      <w:proofErr w:type="spellEnd"/>
      <w:r w:rsidR="00906FA2" w:rsidRPr="0032107D">
        <w:t xml:space="preserve">, Australian </w:t>
      </w:r>
      <w:r w:rsidR="00CE4C19" w:rsidRPr="0032107D">
        <w:t xml:space="preserve">diplomatic </w:t>
      </w:r>
      <w:r w:rsidR="00906FA2" w:rsidRPr="0032107D">
        <w:t>missions</w:t>
      </w:r>
      <w:r w:rsidR="00B875BB" w:rsidRPr="0032107D">
        <w:t xml:space="preserve"> and international </w:t>
      </w:r>
      <w:r w:rsidR="00906FA2" w:rsidRPr="0032107D">
        <w:t xml:space="preserve">Treasury </w:t>
      </w:r>
      <w:r w:rsidR="00D42262" w:rsidRPr="0032107D">
        <w:t>p</w:t>
      </w:r>
      <w:r w:rsidR="00906FA2" w:rsidRPr="0032107D">
        <w:t>osts</w:t>
      </w:r>
      <w:r w:rsidR="00B875BB" w:rsidRPr="0032107D">
        <w:t xml:space="preserve"> </w:t>
      </w:r>
      <w:r w:rsidRPr="0032107D">
        <w:t xml:space="preserve">to disseminate information and </w:t>
      </w:r>
      <w:r w:rsidR="00B875BB" w:rsidRPr="0032107D">
        <w:t xml:space="preserve">facilitate direct interactions with investors. </w:t>
      </w:r>
      <w:r w:rsidR="00FF6F3C" w:rsidRPr="0032107D">
        <w:t xml:space="preserve"> Treasury also has a number of regular </w:t>
      </w:r>
      <w:r w:rsidR="004E60F1" w:rsidRPr="0032107D">
        <w:t xml:space="preserve">publications </w:t>
      </w:r>
      <w:r w:rsidR="00FF6F3C" w:rsidRPr="0032107D">
        <w:t xml:space="preserve">which provide updated information </w:t>
      </w:r>
      <w:r w:rsidR="004E60F1" w:rsidRPr="0032107D">
        <w:t>including:</w:t>
      </w:r>
      <w:r w:rsidR="00B875BB" w:rsidRPr="0032107D">
        <w:t xml:space="preserve"> </w:t>
      </w:r>
      <w:r w:rsidR="00906FA2" w:rsidRPr="0032107D">
        <w:t>Australia’s Foreign Investment Policy statement, guidance material, legislation and supporting materials, the FIRB Annual Report, ministerial media releases</w:t>
      </w:r>
      <w:r w:rsidR="00F6433E" w:rsidRPr="0032107D">
        <w:t xml:space="preserve"> and</w:t>
      </w:r>
      <w:r w:rsidR="00906FA2" w:rsidRPr="0032107D">
        <w:t xml:space="preserve"> FIRB website subscriber updates</w:t>
      </w:r>
      <w:r w:rsidR="004E60F1" w:rsidRPr="0032107D">
        <w:t>.</w:t>
      </w:r>
      <w:r w:rsidR="00F6433E" w:rsidRPr="0032107D">
        <w:t xml:space="preserve"> </w:t>
      </w:r>
    </w:p>
    <w:p w14:paraId="14EFA308" w14:textId="5C2B1E36" w:rsidR="00920E77" w:rsidRPr="0032107D" w:rsidRDefault="00920E77" w:rsidP="0032107D">
      <w:pPr>
        <w:pStyle w:val="BodyText"/>
      </w:pPr>
      <w:r w:rsidRPr="0032107D">
        <w:t xml:space="preserve">The ATO </w:t>
      </w:r>
      <w:r w:rsidR="008D7373" w:rsidRPr="0032107D">
        <w:t xml:space="preserve">uses </w:t>
      </w:r>
      <w:r w:rsidRPr="0032107D">
        <w:t xml:space="preserve">webinars to convey key information to investors. During the year the ATO conducted </w:t>
      </w:r>
      <w:r w:rsidR="00431FCF">
        <w:t>three</w:t>
      </w:r>
      <w:r w:rsidRPr="0032107D">
        <w:t xml:space="preserve"> webinars on the </w:t>
      </w:r>
      <w:r w:rsidR="00CE4C19" w:rsidRPr="0032107D">
        <w:t>v</w:t>
      </w:r>
      <w:r w:rsidRPr="0032107D">
        <w:t>acancy fee, which were published on ATO Live and attended by 1</w:t>
      </w:r>
      <w:r w:rsidR="00DC7373" w:rsidRPr="0032107D">
        <w:t>,</w:t>
      </w:r>
      <w:r w:rsidRPr="0032107D">
        <w:t>285 individuals. A further webinar targeted to developers using New Dwelling Exemption Certificates for foreign purchasers was conducted with 76 attendees.</w:t>
      </w:r>
    </w:p>
    <w:p w14:paraId="3960E6D6" w14:textId="77777777" w:rsidR="00920E77" w:rsidRDefault="00920E77" w:rsidP="0057637E">
      <w:pPr>
        <w:pStyle w:val="BodyText"/>
        <w:rPr>
          <w:rFonts w:asciiTheme="minorHAnsi" w:hAnsiTheme="minorHAnsi"/>
          <w:sz w:val="22"/>
        </w:rPr>
      </w:pPr>
    </w:p>
    <w:p w14:paraId="0B816D38" w14:textId="60FB87D7" w:rsidR="00D56A68" w:rsidRPr="00020B42" w:rsidRDefault="00D56A68" w:rsidP="00FA3EE1">
      <w:pPr>
        <w:pStyle w:val="Heading5"/>
      </w:pPr>
      <w:r>
        <w:lastRenderedPageBreak/>
        <w:t>Figure 1: Top 15 countries by number of users accessing the FIRB website in 2018-19</w:t>
      </w:r>
      <w:r w:rsidR="00250832">
        <w:rPr>
          <w:rStyle w:val="FootnoteReference"/>
          <w:rFonts w:asciiTheme="minorHAnsi" w:hAnsiTheme="minorHAnsi"/>
          <w:sz w:val="18"/>
          <w:szCs w:val="18"/>
        </w:rPr>
        <w:footnoteReference w:id="7"/>
      </w:r>
    </w:p>
    <w:p w14:paraId="3CE702A5" w14:textId="054783AD" w:rsidR="00D56A68" w:rsidRDefault="00840029" w:rsidP="0057637E">
      <w:pPr>
        <w:pStyle w:val="BodyText"/>
        <w:rPr>
          <w:rFonts w:asciiTheme="minorHAnsi" w:hAnsiTheme="minorHAnsi"/>
          <w:sz w:val="22"/>
        </w:rPr>
      </w:pPr>
      <w:r>
        <w:rPr>
          <w:noProof/>
          <w:lang w:val="en-AU" w:eastAsia="en-AU"/>
        </w:rPr>
        <w:drawing>
          <wp:inline distT="0" distB="0" distL="0" distR="0" wp14:anchorId="0A13A78D" wp14:editId="4AFCF7C5">
            <wp:extent cx="5731510" cy="4049593"/>
            <wp:effectExtent l="0" t="0" r="0" b="0"/>
            <wp:docPr id="6" name="Picture 6" descr="1. Australia &#10;145,385&#10;(63.56%)&#10;2. United States &#10;12,497&#10;(5.46%)&#10;3. France &#10;10,881&#10;(4.76%)&#10;4. India &#10;5,934&#10;(2.59%)&#10;5. Singapore &#10;5,009&#10;(2.19%)&#10;6. United Kingdom &#10;4,923&#10;(2.15%)&#10;7. Hong Kong &#10;4,549&#10;(1.99%)&#10;8. China &#10;4,058&#10;(1.77%)&#10;9. Philippines &#10;3,225&#10;(1.41%)&#10;10. United Arab Emirates&#10;2,610&#10;(1.14%)&#10;11. Malaysia &#10;2,132&#10;(0.93%)&#10;12. Canada &#10;1,996&#10;(0.87%)&#10;13. Japan &#10;1,732&#10;(0.76%)&#10;14. New Zealand &#10;1,641&#10;(0.72%)&#10;15. South &#10;1,562&#10;(0.68%)&#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OE\AppData\Local\Microsoft\Windows\INetCache\Content.Word\FIRBMap2020.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31510" cy="4049593"/>
                    </a:xfrm>
                    <a:prstGeom prst="rect">
                      <a:avLst/>
                    </a:prstGeom>
                    <a:noFill/>
                    <a:ln>
                      <a:noFill/>
                    </a:ln>
                  </pic:spPr>
                </pic:pic>
              </a:graphicData>
            </a:graphic>
          </wp:inline>
        </w:drawing>
      </w:r>
    </w:p>
    <w:p w14:paraId="2795527B" w14:textId="1BD5562C" w:rsidR="00E923EA" w:rsidRPr="00FA3EE1" w:rsidRDefault="00D56A68" w:rsidP="00FE5536">
      <w:pPr>
        <w:pStyle w:val="BodyText"/>
        <w:spacing w:after="0"/>
        <w:jc w:val="left"/>
        <w:rPr>
          <w:rFonts w:asciiTheme="minorHAnsi" w:hAnsiTheme="minorHAnsi"/>
          <w:sz w:val="18"/>
          <w:szCs w:val="18"/>
        </w:rPr>
      </w:pPr>
      <w:r w:rsidRPr="003B2737">
        <w:rPr>
          <w:rFonts w:asciiTheme="minorHAnsi" w:hAnsiTheme="minorHAnsi"/>
          <w:sz w:val="18"/>
          <w:szCs w:val="18"/>
        </w:rPr>
        <w:t>Source:</w:t>
      </w:r>
      <w:r w:rsidR="00250832">
        <w:rPr>
          <w:rFonts w:asciiTheme="minorHAnsi" w:hAnsiTheme="minorHAnsi"/>
          <w:sz w:val="18"/>
          <w:szCs w:val="18"/>
        </w:rPr>
        <w:t xml:space="preserve"> FIRB website </w:t>
      </w:r>
      <w:r w:rsidR="004B734E">
        <w:rPr>
          <w:rFonts w:asciiTheme="minorHAnsi" w:hAnsiTheme="minorHAnsi"/>
          <w:sz w:val="18"/>
          <w:szCs w:val="18"/>
        </w:rPr>
        <w:t>statistics 2018-19</w:t>
      </w:r>
      <w:r w:rsidR="008D7373">
        <w:br/>
      </w:r>
    </w:p>
    <w:p w14:paraId="416F9240" w14:textId="77777777" w:rsidR="00325753" w:rsidRPr="00020B42" w:rsidRDefault="003C4759" w:rsidP="00FA3EE1">
      <w:pPr>
        <w:pStyle w:val="Bullet"/>
        <w:numPr>
          <w:ilvl w:val="0"/>
          <w:numId w:val="0"/>
        </w:numPr>
        <w:spacing w:after="120" w:line="276" w:lineRule="auto"/>
        <w:rPr>
          <w:rFonts w:asciiTheme="majorHAnsi" w:hAnsiTheme="majorHAnsi"/>
          <w:b/>
          <w:bCs/>
          <w:i/>
          <w:color w:val="4F81BD" w:themeColor="accent1"/>
          <w:szCs w:val="22"/>
        </w:rPr>
      </w:pPr>
      <w:r w:rsidRPr="00FA3EE1">
        <w:rPr>
          <w:rFonts w:asciiTheme="majorHAnsi" w:hAnsiTheme="majorHAnsi"/>
          <w:b/>
          <w:bCs/>
          <w:i/>
          <w:color w:val="4F81BD" w:themeColor="accent1"/>
          <w:szCs w:val="22"/>
        </w:rPr>
        <w:t>2.2</w:t>
      </w:r>
      <w:r w:rsidR="00FC00EA" w:rsidRPr="00FA3EE1">
        <w:rPr>
          <w:rFonts w:asciiTheme="majorHAnsi" w:hAnsiTheme="majorHAnsi"/>
          <w:b/>
          <w:bCs/>
          <w:i/>
          <w:color w:val="4F81BD" w:themeColor="accent1"/>
          <w:szCs w:val="22"/>
        </w:rPr>
        <w:t xml:space="preserve"> Consider impact on investors and</w:t>
      </w:r>
      <w:r w:rsidRPr="00FA3EE1">
        <w:rPr>
          <w:rFonts w:asciiTheme="majorHAnsi" w:hAnsiTheme="majorHAnsi"/>
          <w:b/>
          <w:bCs/>
          <w:i/>
          <w:color w:val="4F81BD" w:themeColor="accent1"/>
          <w:szCs w:val="22"/>
        </w:rPr>
        <w:t xml:space="preserve"> </w:t>
      </w:r>
      <w:r w:rsidR="00FC00EA" w:rsidRPr="00FA3EE1">
        <w:rPr>
          <w:rFonts w:asciiTheme="majorHAnsi" w:hAnsiTheme="majorHAnsi"/>
          <w:b/>
          <w:bCs/>
          <w:i/>
          <w:color w:val="4F81BD" w:themeColor="accent1"/>
          <w:szCs w:val="22"/>
        </w:rPr>
        <w:t xml:space="preserve">engage </w:t>
      </w:r>
      <w:r w:rsidR="00325753" w:rsidRPr="00FA3EE1">
        <w:rPr>
          <w:rFonts w:asciiTheme="majorHAnsi" w:hAnsiTheme="majorHAnsi"/>
          <w:b/>
          <w:bCs/>
          <w:i/>
          <w:color w:val="4F81BD" w:themeColor="accent1"/>
          <w:szCs w:val="22"/>
        </w:rPr>
        <w:t>with industry groups and stakeholders</w:t>
      </w:r>
      <w:r w:rsidR="00FC00EA">
        <w:rPr>
          <w:rFonts w:asciiTheme="majorHAnsi" w:hAnsiTheme="majorHAnsi"/>
          <w:b/>
          <w:bCs/>
          <w:i/>
          <w:color w:val="4F81BD" w:themeColor="accent1"/>
          <w:szCs w:val="22"/>
        </w:rPr>
        <w:t xml:space="preserve"> before changing policies, practices or standards</w:t>
      </w:r>
    </w:p>
    <w:p w14:paraId="704A734B" w14:textId="77777777" w:rsidR="00FC00EA" w:rsidRPr="0032107D" w:rsidRDefault="00FC00EA" w:rsidP="0032107D">
      <w:pPr>
        <w:pStyle w:val="BodyText"/>
        <w:rPr>
          <w:highlight w:val="cyan"/>
        </w:rPr>
      </w:pPr>
      <w:r w:rsidRPr="0032107D">
        <w:t xml:space="preserve">Only limited changes were made to policies, practices or standards in the reporting period. In September 2018, the Government announced it had revised its guidance on how it applies the Australian opportunity policy. </w:t>
      </w:r>
      <w:r w:rsidR="000F2E99" w:rsidRPr="0032107D">
        <w:t>This</w:t>
      </w:r>
      <w:r w:rsidRPr="0032107D">
        <w:t xml:space="preserve"> revision</w:t>
      </w:r>
      <w:r w:rsidR="000F2E99" w:rsidRPr="0032107D">
        <w:t xml:space="preserve"> was made </w:t>
      </w:r>
      <w:r w:rsidRPr="0032107D">
        <w:t xml:space="preserve">following consultations </w:t>
      </w:r>
      <w:r w:rsidR="000F2E99" w:rsidRPr="0032107D">
        <w:t xml:space="preserve">by Treasury with a number of key </w:t>
      </w:r>
      <w:r w:rsidRPr="0032107D">
        <w:t>stakeholders</w:t>
      </w:r>
      <w:r w:rsidR="000F2E99" w:rsidRPr="0032107D">
        <w:t>.</w:t>
      </w:r>
    </w:p>
    <w:p w14:paraId="73360079" w14:textId="0F4B65D3" w:rsidR="001F6906" w:rsidRPr="0032107D" w:rsidRDefault="000F2E99" w:rsidP="0032107D">
      <w:pPr>
        <w:pStyle w:val="BodyText"/>
      </w:pPr>
      <w:r w:rsidRPr="0032107D">
        <w:t xml:space="preserve">For the ATO, the </w:t>
      </w:r>
      <w:r w:rsidR="001F6906" w:rsidRPr="0032107D">
        <w:t xml:space="preserve">Foreign Investment Program Stakeholder Group develops and maintains ongoing relationships with business and industry representatives to obtain feedback on the ATO’s administration of the foreign investment reforms. Meeting </w:t>
      </w:r>
      <w:r w:rsidR="00110C2E" w:rsidRPr="0032107D">
        <w:t>bi-annually</w:t>
      </w:r>
      <w:r w:rsidR="001F6906" w:rsidRPr="0032107D">
        <w:t>, the group use their specialist knowledge and experience to help build a clearer and mutual understanding of</w:t>
      </w:r>
      <w:r w:rsidR="008D7373" w:rsidRPr="0032107D">
        <w:t xml:space="preserve"> the</w:t>
      </w:r>
      <w:r w:rsidR="001F6906" w:rsidRPr="0032107D">
        <w:t xml:space="preserve"> foreign investment</w:t>
      </w:r>
      <w:r w:rsidR="00110C2E" w:rsidRPr="0032107D">
        <w:t xml:space="preserve"> system as administered by the ATO</w:t>
      </w:r>
      <w:r w:rsidR="001F6906" w:rsidRPr="0032107D">
        <w:t>.</w:t>
      </w:r>
    </w:p>
    <w:p w14:paraId="79BD2873" w14:textId="220D7A5A" w:rsidR="001F6906" w:rsidRPr="0032107D" w:rsidRDefault="001F6906" w:rsidP="0032107D">
      <w:pPr>
        <w:pStyle w:val="BodyText"/>
      </w:pPr>
      <w:r w:rsidRPr="0032107D">
        <w:t xml:space="preserve">The ATO conducted presentations throughout the year to conveyancer bodies, tertiary education institutions, law firms and </w:t>
      </w:r>
      <w:r w:rsidR="00431FCF">
        <w:t>T</w:t>
      </w:r>
      <w:r w:rsidRPr="0032107D">
        <w:t>he Tax Institute and attended Property Expos. These sessions provide</w:t>
      </w:r>
      <w:r w:rsidR="000F2E99" w:rsidRPr="0032107D">
        <w:t>d</w:t>
      </w:r>
      <w:r w:rsidRPr="0032107D">
        <w:t xml:space="preserve"> </w:t>
      </w:r>
      <w:r w:rsidRPr="0032107D">
        <w:lastRenderedPageBreak/>
        <w:t xml:space="preserve">guidance and information </w:t>
      </w:r>
      <w:r w:rsidR="00E8690F" w:rsidRPr="0032107D">
        <w:t>o</w:t>
      </w:r>
      <w:r w:rsidRPr="0032107D">
        <w:t xml:space="preserve">n the ATO’s administration of the </w:t>
      </w:r>
      <w:r w:rsidR="00431FCF">
        <w:t>v</w:t>
      </w:r>
      <w:r w:rsidRPr="0032107D">
        <w:t>acancy fee and approach to conducting compliance in the residential real estate sector.</w:t>
      </w:r>
    </w:p>
    <w:p w14:paraId="68C5C5C7" w14:textId="77777777" w:rsidR="00325753" w:rsidRDefault="003C4759" w:rsidP="00164BDF">
      <w:pPr>
        <w:pStyle w:val="Bullet"/>
        <w:keepNext/>
        <w:numPr>
          <w:ilvl w:val="0"/>
          <w:numId w:val="0"/>
        </w:numPr>
        <w:spacing w:after="0" w:line="360" w:lineRule="auto"/>
        <w:rPr>
          <w:i/>
        </w:rPr>
      </w:pPr>
      <w:r>
        <w:rPr>
          <w:rFonts w:asciiTheme="majorHAnsi" w:hAnsiTheme="majorHAnsi"/>
          <w:b/>
          <w:bCs/>
          <w:i/>
          <w:color w:val="4F81BD" w:themeColor="accent1"/>
          <w:szCs w:val="22"/>
        </w:rPr>
        <w:t xml:space="preserve">2.3 </w:t>
      </w:r>
      <w:r w:rsidR="00325753" w:rsidRPr="00020B42">
        <w:rPr>
          <w:rFonts w:asciiTheme="majorHAnsi" w:hAnsiTheme="majorHAnsi"/>
          <w:b/>
          <w:bCs/>
          <w:i/>
          <w:color w:val="4F81BD" w:themeColor="accent1"/>
          <w:szCs w:val="22"/>
        </w:rPr>
        <w:t xml:space="preserve">Decisions communicated in a timely manner </w:t>
      </w:r>
    </w:p>
    <w:p w14:paraId="064142D5" w14:textId="77777777" w:rsidR="008A767D" w:rsidRPr="0032107D" w:rsidRDefault="006F0FBB" w:rsidP="0032107D">
      <w:pPr>
        <w:pStyle w:val="BodyText"/>
      </w:pPr>
      <w:r w:rsidRPr="0032107D">
        <w:t xml:space="preserve">Decisions under the </w:t>
      </w:r>
      <w:r w:rsidR="005B7195" w:rsidRPr="0032107D">
        <w:t>Act</w:t>
      </w:r>
      <w:r w:rsidRPr="0032107D">
        <w:t xml:space="preserve"> must be communicated to the applicant no later than 10 days after the decision was made. In 2018</w:t>
      </w:r>
      <w:r w:rsidR="00405A66" w:rsidRPr="0032107D">
        <w:t>-</w:t>
      </w:r>
      <w:r w:rsidRPr="0032107D">
        <w:t xml:space="preserve">19, </w:t>
      </w:r>
      <w:r w:rsidR="00CD10CC" w:rsidRPr="0032107D">
        <w:t xml:space="preserve">decisions were communicated </w:t>
      </w:r>
      <w:r w:rsidR="008A767D" w:rsidRPr="0032107D">
        <w:t>within this stipulated timeframe</w:t>
      </w:r>
      <w:r w:rsidRPr="0032107D">
        <w:t xml:space="preserve">. </w:t>
      </w:r>
    </w:p>
    <w:p w14:paraId="562FD718" w14:textId="2341818C" w:rsidR="00551B2C" w:rsidRPr="0032107D" w:rsidRDefault="008A767D" w:rsidP="0032107D">
      <w:pPr>
        <w:pStyle w:val="BodyText"/>
      </w:pPr>
      <w:r w:rsidRPr="0032107D">
        <w:t xml:space="preserve">As noted in relation to KPI1, </w:t>
      </w:r>
      <w:r w:rsidR="006F0FBB" w:rsidRPr="0032107D">
        <w:t xml:space="preserve">there </w:t>
      </w:r>
      <w:r w:rsidRPr="0032107D">
        <w:t xml:space="preserve">can be </w:t>
      </w:r>
      <w:r w:rsidR="006F0FBB" w:rsidRPr="0032107D">
        <w:t>delay</w:t>
      </w:r>
      <w:r w:rsidRPr="0032107D">
        <w:t>s</w:t>
      </w:r>
      <w:r w:rsidR="006F0FBB" w:rsidRPr="0032107D">
        <w:t xml:space="preserve"> in processing applications</w:t>
      </w:r>
      <w:r w:rsidR="00E8690F" w:rsidRPr="0032107D">
        <w:t xml:space="preserve"> particularly in relation to sensitive matters. </w:t>
      </w:r>
      <w:r w:rsidR="001D7984" w:rsidRPr="0032107D">
        <w:t>A</w:t>
      </w:r>
      <w:r w:rsidR="00E8690F" w:rsidRPr="0032107D">
        <w:t>pplication processing times will continue to be a key area of focus going forward</w:t>
      </w:r>
      <w:r w:rsidR="006F0FBB" w:rsidRPr="0032107D">
        <w:t xml:space="preserve">. </w:t>
      </w:r>
      <w:r w:rsidR="00E923EA" w:rsidRPr="0032107D">
        <w:br/>
      </w:r>
    </w:p>
    <w:p w14:paraId="045BA6BD" w14:textId="77777777" w:rsidR="00551B2C" w:rsidRPr="00AC1064" w:rsidRDefault="00551B2C" w:rsidP="00551B2C">
      <w:pPr>
        <w:rPr>
          <w:rFonts w:asciiTheme="minorHAnsi" w:hAnsiTheme="minorHAnsi"/>
        </w:rPr>
      </w:pPr>
    </w:p>
    <w:p w14:paraId="4B184D2B" w14:textId="77777777" w:rsidR="00551B2C" w:rsidRPr="002B7B8E" w:rsidRDefault="00551B2C" w:rsidP="00551B2C">
      <w:pPr>
        <w:sectPr w:rsidR="00551B2C" w:rsidRPr="002B7B8E" w:rsidSect="00924BEC">
          <w:headerReference w:type="even" r:id="rId41"/>
          <w:headerReference w:type="default" r:id="rId42"/>
          <w:footerReference w:type="default" r:id="rId43"/>
          <w:headerReference w:type="first" r:id="rId44"/>
          <w:pgSz w:w="11906" w:h="16838" w:code="277"/>
          <w:pgMar w:top="1440" w:right="1440" w:bottom="1440" w:left="1440" w:header="851" w:footer="851" w:gutter="0"/>
          <w:cols w:space="708"/>
          <w:docGrid w:linePitch="360"/>
        </w:sectPr>
      </w:pPr>
    </w:p>
    <w:p w14:paraId="7E554069" w14:textId="77777777" w:rsidR="00551B2C" w:rsidRPr="005B5BBE" w:rsidRDefault="00551B2C" w:rsidP="00551B2C">
      <w:pPr>
        <w:pStyle w:val="Heading2"/>
        <w:rPr>
          <w:rFonts w:asciiTheme="minorHAnsi" w:hAnsiTheme="minorHAnsi"/>
        </w:rPr>
      </w:pPr>
      <w:bookmarkStart w:id="38" w:name="_Toc31113261"/>
      <w:bookmarkStart w:id="39" w:name="_Toc33443669"/>
      <w:r w:rsidRPr="005B5BBE">
        <w:rPr>
          <w:rFonts w:asciiTheme="minorHAnsi" w:hAnsiTheme="minorHAnsi"/>
        </w:rPr>
        <w:lastRenderedPageBreak/>
        <w:t>KPI 3 – Actions undertaken by regulators are proportionate to the regulatory risk being managed</w:t>
      </w:r>
      <w:bookmarkEnd w:id="38"/>
      <w:bookmarkEnd w:id="39"/>
    </w:p>
    <w:tbl>
      <w:tblPr>
        <w:tblW w:w="8931"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FFFFFF" w:themeFill="background1"/>
        <w:tblLook w:val="04A0" w:firstRow="1" w:lastRow="0" w:firstColumn="1" w:lastColumn="0" w:noHBand="0" w:noVBand="1"/>
      </w:tblPr>
      <w:tblGrid>
        <w:gridCol w:w="8931"/>
      </w:tblGrid>
      <w:tr w:rsidR="00551B2C" w:rsidRPr="005B5BBE" w14:paraId="1982156E" w14:textId="77777777" w:rsidTr="00312CDE">
        <w:tc>
          <w:tcPr>
            <w:tcW w:w="8931" w:type="dxa"/>
            <w:shd w:val="clear" w:color="auto" w:fill="DBE5F1" w:themeFill="accent1" w:themeFillTint="33"/>
          </w:tcPr>
          <w:p w14:paraId="2794FB86" w14:textId="77777777" w:rsidR="00551B2C" w:rsidRPr="005B5BBE" w:rsidRDefault="00551B2C" w:rsidP="00312CDE">
            <w:pPr>
              <w:pStyle w:val="TableColumnHeadingLeft"/>
              <w:rPr>
                <w:rFonts w:asciiTheme="minorHAnsi" w:hAnsiTheme="minorHAnsi"/>
              </w:rPr>
            </w:pPr>
            <w:r w:rsidRPr="005B5BBE">
              <w:rPr>
                <w:rFonts w:asciiTheme="minorHAnsi" w:hAnsiTheme="minorHAnsi"/>
              </w:rPr>
              <w:t>Measures of good regulatory performance</w:t>
            </w:r>
          </w:p>
        </w:tc>
      </w:tr>
      <w:tr w:rsidR="00551B2C" w:rsidRPr="005B5BBE" w14:paraId="064F3F1D" w14:textId="77777777" w:rsidTr="00312CDE">
        <w:trPr>
          <w:trHeight w:val="250"/>
        </w:trPr>
        <w:tc>
          <w:tcPr>
            <w:tcW w:w="8931" w:type="dxa"/>
            <w:shd w:val="clear" w:color="auto" w:fill="FFFFFF" w:themeFill="background1"/>
          </w:tcPr>
          <w:p w14:paraId="2E7CD6F5" w14:textId="77777777" w:rsidR="00551B2C" w:rsidRPr="005B5BBE" w:rsidRDefault="00295391" w:rsidP="00312CDE">
            <w:pPr>
              <w:pStyle w:val="TableTextLeft"/>
              <w:spacing w:before="60" w:after="60"/>
              <w:rPr>
                <w:rFonts w:asciiTheme="minorHAnsi" w:hAnsiTheme="minorHAnsi"/>
              </w:rPr>
            </w:pPr>
            <w:r>
              <w:rPr>
                <w:rFonts w:asciiTheme="minorHAnsi" w:hAnsiTheme="minorHAnsi"/>
              </w:rPr>
              <w:t xml:space="preserve">3.1 </w:t>
            </w:r>
            <w:r w:rsidR="00551B2C" w:rsidRPr="005B5BBE">
              <w:rPr>
                <w:rFonts w:asciiTheme="minorHAnsi" w:hAnsiTheme="minorHAnsi"/>
              </w:rPr>
              <w:t>Apply a risk-based, proportionate approach to compliance obligations, engagement and regulatory enforcement actions. Recognise the compliance record of foreign investors</w:t>
            </w:r>
          </w:p>
        </w:tc>
      </w:tr>
      <w:tr w:rsidR="00551B2C" w:rsidRPr="005B5BBE" w14:paraId="6CB40F6D" w14:textId="77777777" w:rsidTr="00312CDE">
        <w:trPr>
          <w:trHeight w:val="250"/>
        </w:trPr>
        <w:tc>
          <w:tcPr>
            <w:tcW w:w="8931" w:type="dxa"/>
            <w:shd w:val="clear" w:color="auto" w:fill="FFFFFF" w:themeFill="background1"/>
          </w:tcPr>
          <w:p w14:paraId="2934E14D" w14:textId="77777777" w:rsidR="00551B2C" w:rsidRPr="005B5BBE" w:rsidRDefault="00295391" w:rsidP="00312CDE">
            <w:pPr>
              <w:pStyle w:val="TableTextLeft"/>
              <w:spacing w:before="60" w:after="60"/>
              <w:rPr>
                <w:rFonts w:asciiTheme="minorHAnsi" w:hAnsiTheme="minorHAnsi"/>
              </w:rPr>
            </w:pPr>
            <w:r>
              <w:rPr>
                <w:rFonts w:asciiTheme="minorHAnsi" w:hAnsiTheme="minorHAnsi"/>
              </w:rPr>
              <w:t xml:space="preserve">3.2 </w:t>
            </w:r>
            <w:r w:rsidR="00551B2C" w:rsidRPr="005B5BBE">
              <w:rPr>
                <w:rFonts w:asciiTheme="minorHAnsi" w:hAnsiTheme="minorHAnsi"/>
              </w:rPr>
              <w:t>Consider all available and relevant data on compliance</w:t>
            </w:r>
          </w:p>
        </w:tc>
      </w:tr>
    </w:tbl>
    <w:p w14:paraId="52C0BB3D" w14:textId="77777777" w:rsidR="00551B2C" w:rsidRDefault="00551B2C" w:rsidP="00551B2C">
      <w:pPr>
        <w:rPr>
          <w:rFonts w:cs="Arial"/>
          <w:b/>
          <w:bCs/>
          <w:iCs/>
          <w:smallCaps/>
          <w:color w:val="1F497D" w:themeColor="text2"/>
          <w:sz w:val="32"/>
          <w:szCs w:val="28"/>
        </w:rPr>
      </w:pPr>
      <w:r w:rsidRPr="00413309">
        <w:rPr>
          <w:rFonts w:cs="Arial"/>
          <w:b/>
          <w:bCs/>
          <w:iCs/>
          <w:smallCaps/>
          <w:color w:val="1F497D" w:themeColor="text2"/>
          <w:sz w:val="32"/>
          <w:szCs w:val="28"/>
        </w:rPr>
        <w:t xml:space="preserve"> </w:t>
      </w:r>
    </w:p>
    <w:p w14:paraId="46DBE9B4" w14:textId="77777777" w:rsidR="00551B2C" w:rsidRPr="008116D8" w:rsidRDefault="00551B2C" w:rsidP="00551B2C">
      <w:pPr>
        <w:rPr>
          <w:rFonts w:cs="Arial"/>
          <w:b/>
          <w:bCs/>
          <w:iCs/>
          <w:smallCaps/>
          <w:color w:val="1F497D" w:themeColor="text2"/>
          <w:sz w:val="32"/>
          <w:szCs w:val="28"/>
        </w:rPr>
      </w:pPr>
      <w:r w:rsidRPr="008116D8">
        <w:rPr>
          <w:rFonts w:cs="Arial"/>
          <w:b/>
          <w:bCs/>
          <w:iCs/>
          <w:smallCaps/>
          <w:color w:val="1F497D" w:themeColor="text2"/>
          <w:sz w:val="32"/>
          <w:szCs w:val="28"/>
        </w:rPr>
        <w:t>Self-assessment</w:t>
      </w:r>
    </w:p>
    <w:p w14:paraId="7DA1705C" w14:textId="77777777" w:rsidR="00D05E5B" w:rsidRDefault="00D05E5B" w:rsidP="00020B42">
      <w:pPr>
        <w:pStyle w:val="Bullet"/>
        <w:numPr>
          <w:ilvl w:val="0"/>
          <w:numId w:val="0"/>
        </w:numPr>
        <w:spacing w:after="0" w:line="360" w:lineRule="auto"/>
        <w:rPr>
          <w:rFonts w:asciiTheme="majorHAnsi" w:hAnsiTheme="majorHAnsi"/>
          <w:b/>
          <w:bCs/>
          <w:i/>
          <w:color w:val="4F81BD" w:themeColor="accent1"/>
          <w:szCs w:val="22"/>
        </w:rPr>
      </w:pPr>
      <w:r>
        <w:rPr>
          <w:rFonts w:asciiTheme="majorHAnsi" w:hAnsiTheme="majorHAnsi"/>
          <w:b/>
          <w:bCs/>
          <w:i/>
          <w:color w:val="4F81BD" w:themeColor="accent1"/>
          <w:szCs w:val="22"/>
        </w:rPr>
        <w:t xml:space="preserve">3.1 </w:t>
      </w:r>
      <w:r w:rsidR="00F2621F">
        <w:rPr>
          <w:rFonts w:asciiTheme="majorHAnsi" w:hAnsiTheme="majorHAnsi"/>
          <w:b/>
          <w:bCs/>
          <w:i/>
          <w:color w:val="4F81BD" w:themeColor="accent1"/>
          <w:szCs w:val="22"/>
        </w:rPr>
        <w:t>Risk based approach to compliance obligations, engagement and enforcement actions</w:t>
      </w:r>
    </w:p>
    <w:p w14:paraId="7E47BC2C" w14:textId="66000E8B" w:rsidR="0063794E" w:rsidRPr="00A01B7C" w:rsidRDefault="0063794E" w:rsidP="00A01B7C">
      <w:pPr>
        <w:pStyle w:val="BodyText"/>
      </w:pPr>
      <w:r w:rsidRPr="00A01B7C">
        <w:t xml:space="preserve">Treasury is responsible for compliance and enforcement activities for proposals within its areas of screening responsibility, including business, agricultural and commercial land proposals. </w:t>
      </w:r>
      <w:r w:rsidR="00CE05E8" w:rsidRPr="00A01B7C">
        <w:t xml:space="preserve">In 2018-19 Treasury increased its compliance capability to seven staff. </w:t>
      </w:r>
      <w:r w:rsidRPr="00A01B7C">
        <w:t xml:space="preserve">The ATO is responsible for compliance and enforcement activities for proposals within its screening responsibility, including residential real estate and some commercial land proposals.  </w:t>
      </w:r>
    </w:p>
    <w:p w14:paraId="35606EB0" w14:textId="23139E38" w:rsidR="00BB4EC5" w:rsidRPr="00A01B7C" w:rsidRDefault="00F2621F" w:rsidP="00A01B7C">
      <w:pPr>
        <w:pStyle w:val="BodyText"/>
      </w:pPr>
      <w:r w:rsidRPr="00A01B7C">
        <w:t xml:space="preserve">Foreign </w:t>
      </w:r>
      <w:r w:rsidR="00A01826" w:rsidRPr="00A01B7C">
        <w:t>i</w:t>
      </w:r>
      <w:r w:rsidRPr="00A01B7C">
        <w:t xml:space="preserve">nvestment applications are </w:t>
      </w:r>
      <w:r w:rsidR="00DC34CB" w:rsidRPr="00A01B7C">
        <w:t>assessed</w:t>
      </w:r>
      <w:r w:rsidRPr="00A01B7C">
        <w:t xml:space="preserve"> </w:t>
      </w:r>
      <w:r w:rsidR="00E47CEC" w:rsidRPr="00A01B7C">
        <w:t xml:space="preserve">according to </w:t>
      </w:r>
      <w:r w:rsidRPr="00A01B7C">
        <w:t xml:space="preserve">whether or not they are contrary to the national interest. </w:t>
      </w:r>
      <w:r w:rsidR="00BB4EC5" w:rsidRPr="00A01B7C">
        <w:t xml:space="preserve">Where national interest concerns are identified, conditions </w:t>
      </w:r>
      <w:r w:rsidR="000C4220" w:rsidRPr="00A01B7C">
        <w:t xml:space="preserve">may be applied to mitigate those concerns </w:t>
      </w:r>
      <w:r w:rsidR="00BB4EC5" w:rsidRPr="00A01B7C">
        <w:t xml:space="preserve">and allow the investment to </w:t>
      </w:r>
      <w:r w:rsidR="00A01826" w:rsidRPr="00A01B7C">
        <w:t>proceed</w:t>
      </w:r>
      <w:r w:rsidR="00BB4EC5" w:rsidRPr="00A01B7C">
        <w:t xml:space="preserve">. </w:t>
      </w:r>
    </w:p>
    <w:p w14:paraId="442B71E0" w14:textId="7187BF47" w:rsidR="00EB4A7B" w:rsidRPr="00A01B7C" w:rsidRDefault="00164BDF" w:rsidP="00A01B7C">
      <w:pPr>
        <w:pStyle w:val="BodyText"/>
      </w:pPr>
      <w:r w:rsidRPr="00A01B7C">
        <w:t>Treasury</w:t>
      </w:r>
      <w:r w:rsidR="00C02EAF" w:rsidRPr="00A01B7C">
        <w:t xml:space="preserve"> work</w:t>
      </w:r>
      <w:r w:rsidRPr="00A01B7C">
        <w:t>s</w:t>
      </w:r>
      <w:r w:rsidR="00C02EAF" w:rsidRPr="00A01B7C">
        <w:t xml:space="preserve"> closely with consultation partners to tailor conditions so that they are proportionate and </w:t>
      </w:r>
      <w:r w:rsidR="002B5560" w:rsidRPr="00A01B7C">
        <w:t xml:space="preserve">designed to </w:t>
      </w:r>
      <w:r w:rsidR="00C02EAF" w:rsidRPr="00A01B7C">
        <w:t xml:space="preserve">mitigate </w:t>
      </w:r>
      <w:r w:rsidR="002B5560" w:rsidRPr="00A01B7C">
        <w:t xml:space="preserve">the </w:t>
      </w:r>
      <w:r w:rsidR="00C02EAF" w:rsidRPr="00A01B7C">
        <w:t>identified risks. Applicants and their agents are given an opportunity to comment on any conditions prior to them being recommended.</w:t>
      </w:r>
      <w:r w:rsidR="00EB4A7B" w:rsidRPr="00A01B7C">
        <w:t xml:space="preserve"> Feedback </w:t>
      </w:r>
      <w:r w:rsidR="00576509" w:rsidRPr="00A01B7C">
        <w:t xml:space="preserve">in the stakeholder survey </w:t>
      </w:r>
      <w:r w:rsidR="00EB4A7B" w:rsidRPr="00A01B7C">
        <w:t xml:space="preserve">regarding the use of conditions varied. Some respondents queried whether conditions were in fact necessary given that tax legislation and/or the </w:t>
      </w:r>
      <w:r w:rsidR="00EB4A7B" w:rsidRPr="007A030F">
        <w:rPr>
          <w:i/>
        </w:rPr>
        <w:t>Corporations Act</w:t>
      </w:r>
      <w:r w:rsidR="00E47CEC" w:rsidRPr="007A030F">
        <w:rPr>
          <w:i/>
        </w:rPr>
        <w:t xml:space="preserve"> 2001</w:t>
      </w:r>
      <w:r w:rsidR="00EB4A7B" w:rsidRPr="00A01B7C">
        <w:t xml:space="preserve"> contains obligations which </w:t>
      </w:r>
      <w:r w:rsidR="00423D0D" w:rsidRPr="00A01B7C">
        <w:t>could address identified risks</w:t>
      </w:r>
      <w:r w:rsidR="00EB4A7B" w:rsidRPr="00A01B7C">
        <w:t>. Others questioned whether there was clarity on the purpose and intent of conditions.</w:t>
      </w:r>
    </w:p>
    <w:p w14:paraId="1F602B03" w14:textId="58662402" w:rsidR="00532D96" w:rsidRPr="00532D96" w:rsidRDefault="002910E0" w:rsidP="003A4334">
      <w:pPr>
        <w:pStyle w:val="BodyText"/>
        <w:rPr>
          <w:rFonts w:eastAsia="Calibri" w:cs="Calibri"/>
          <w:lang w:eastAsia="en-US"/>
        </w:rPr>
      </w:pPr>
      <w:r w:rsidRPr="00A01B7C">
        <w:t>More broadly, the introduction of an annual rolling audit program in 2017 has been integral to enhancing Treasury’s approach to compliance. In undertaking compliance audits, Treasury uses a ri</w:t>
      </w:r>
      <w:r w:rsidR="0063794E" w:rsidRPr="00A01B7C">
        <w:t>sk</w:t>
      </w:r>
      <w:r w:rsidR="0063794E" w:rsidRPr="00A01B7C">
        <w:noBreakHyphen/>
      </w:r>
      <w:r w:rsidRPr="00A01B7C">
        <w:t>based approach to audit target selection.</w:t>
      </w:r>
      <w:r w:rsidR="009C1542">
        <w:t xml:space="preserve"> </w:t>
      </w:r>
      <w:r w:rsidRPr="00A01B7C">
        <w:t xml:space="preserve"> This approach considers issues such as the nature of conditions imposed on an investment proposal, the impact of non-compliance on the national interest and indicators of potential non-compliance.</w:t>
      </w:r>
      <w:r w:rsidR="009C1542">
        <w:t xml:space="preserve"> </w:t>
      </w:r>
      <w:r w:rsidRPr="00A01B7C">
        <w:t xml:space="preserve"> The results of the audit program have indicated that investors are generally meeting their obligations. In instances where investors have been found to be non-compliant or partially compliant, Treasury works with them to bring them into compliance.  </w:t>
      </w:r>
      <w:r w:rsidR="00532D96" w:rsidRPr="00532D96">
        <w:rPr>
          <w:rFonts w:eastAsia="Calibri" w:cs="Calibri"/>
          <w:lang w:eastAsia="en-US"/>
        </w:rPr>
        <w:t>Stakeholder feedback raised that the external audit process could be improved if auditors had greater familiarity with the application process and the intent of conditions against which they are assessing compliance. As the audit process matures, auditors will develop greater familiarity with conditions and their intent. In addition, Treasury is focusing on improving the wording of conditions to ensure they are clear on their face and is working with auditors to ensure they understand the background and intent of conditions. Treasury will convene annual audit round tables to address issues such as these.</w:t>
      </w:r>
    </w:p>
    <w:p w14:paraId="0BB54804" w14:textId="635F9C28" w:rsidR="002B5560" w:rsidRPr="00A01B7C" w:rsidRDefault="002B5560" w:rsidP="00A01B7C">
      <w:pPr>
        <w:pStyle w:val="BodyText"/>
      </w:pPr>
      <w:r w:rsidRPr="00A01B7C">
        <w:t>The Act provides a number of</w:t>
      </w:r>
      <w:r w:rsidR="00423D0D" w:rsidRPr="00A01B7C">
        <w:t xml:space="preserve"> </w:t>
      </w:r>
      <w:r w:rsidRPr="00A01B7C">
        <w:t xml:space="preserve">powers to enforce the foreign investment rules, including criminal and civil penalties for non-compliance. Penalties may be applied for breaches of the Act, including where a foreign person fails to notify investments that fall within screening thresholds, or breaches of a condition imposed on an investment. Penalties under the Act are designed to deter non-compliance, support the integrity of the framework, and ensure the national interest is safeguarded. In general, Treasury will work with foreign </w:t>
      </w:r>
      <w:r w:rsidRPr="00A01B7C">
        <w:lastRenderedPageBreak/>
        <w:t>investors to achieve compliance in cases where non-compliance is inadvertent, self-reported by the foreign investor, the breach is administrative, and the investor is willing to remediate the breach as quickly as possible. Treasury’s focus continues to be on encouraging and assisting investor compliance.</w:t>
      </w:r>
    </w:p>
    <w:p w14:paraId="711B20AF" w14:textId="60EF03AC" w:rsidR="0083192D" w:rsidRPr="00A01B7C" w:rsidRDefault="001F6906" w:rsidP="00A01B7C">
      <w:pPr>
        <w:pStyle w:val="BodyText"/>
      </w:pPr>
      <w:r w:rsidRPr="00A01B7C">
        <w:t>The ATO</w:t>
      </w:r>
      <w:r w:rsidR="007B3C0C" w:rsidRPr="00A01B7C">
        <w:t xml:space="preserve"> adopts a similar</w:t>
      </w:r>
      <w:r w:rsidRPr="00A01B7C">
        <w:t xml:space="preserve"> approach to compliance </w:t>
      </w:r>
      <w:r w:rsidR="007B3C0C" w:rsidRPr="00A01B7C">
        <w:t xml:space="preserve">and will </w:t>
      </w:r>
      <w:r w:rsidRPr="00A01B7C">
        <w:t xml:space="preserve">work with individuals in the first instance to help them understand their obligations and influence their behaviour. </w:t>
      </w:r>
      <w:r w:rsidR="0083192D" w:rsidRPr="00A01B7C">
        <w:t>The ATO utilises a number of strategies in line with its compliance strategy, from education letters to infringement notices and disposal notices as appropriate to the level of non-compliance and circumstances of the foreign investor.</w:t>
      </w:r>
    </w:p>
    <w:p w14:paraId="280F9D08" w14:textId="77777777" w:rsidR="00F2621F" w:rsidRDefault="00F2621F" w:rsidP="0057637E">
      <w:pPr>
        <w:rPr>
          <w:rFonts w:asciiTheme="majorHAnsi" w:hAnsiTheme="majorHAnsi"/>
          <w:b/>
          <w:bCs/>
          <w:i/>
          <w:color w:val="4F81BD" w:themeColor="accent1"/>
          <w:szCs w:val="22"/>
        </w:rPr>
      </w:pPr>
      <w:r>
        <w:rPr>
          <w:rFonts w:asciiTheme="majorHAnsi" w:hAnsiTheme="majorHAnsi"/>
          <w:b/>
          <w:bCs/>
          <w:i/>
          <w:color w:val="4F81BD" w:themeColor="accent1"/>
          <w:szCs w:val="22"/>
        </w:rPr>
        <w:t>3.2 Consider all available and relevant data on compliance</w:t>
      </w:r>
    </w:p>
    <w:p w14:paraId="1FD2F91E" w14:textId="77777777" w:rsidR="004E42FE" w:rsidRDefault="00893BBF" w:rsidP="0032107D">
      <w:pPr>
        <w:pStyle w:val="BodyText"/>
      </w:pPr>
      <w:r w:rsidRPr="00FA3EE1">
        <w:t xml:space="preserve">Treasury’s compliance efforts </w:t>
      </w:r>
      <w:r w:rsidR="00865E0E" w:rsidRPr="00FA3EE1">
        <w:t>seek to harness information from a range of sources. This includes</w:t>
      </w:r>
      <w:r w:rsidR="009847DB" w:rsidRPr="00FA3EE1">
        <w:t xml:space="preserve"> drawing on information and specialist advice </w:t>
      </w:r>
      <w:r w:rsidR="00750094" w:rsidRPr="00FA3EE1">
        <w:t>obtained</w:t>
      </w:r>
      <w:r w:rsidR="009847DB" w:rsidRPr="00FA3EE1">
        <w:t xml:space="preserve"> through consult</w:t>
      </w:r>
      <w:r w:rsidR="0081304C" w:rsidRPr="00FA3EE1">
        <w:t>ation</w:t>
      </w:r>
      <w:r w:rsidR="009847DB" w:rsidRPr="00FA3EE1">
        <w:t xml:space="preserve"> partners, including Commonwealth regulators and state and territory agency counterparts. Treasury is also increasingly using information and data gained through its market intelligence activities to assess and consider compliance by investors with their obligations. </w:t>
      </w:r>
    </w:p>
    <w:p w14:paraId="498C2CDA" w14:textId="7AD85868" w:rsidR="00356762" w:rsidRPr="00FA3EE1" w:rsidRDefault="00356762" w:rsidP="0032107D">
      <w:pPr>
        <w:pStyle w:val="BodyText"/>
      </w:pPr>
      <w:r>
        <w:t>The ATO has a data matching program</w:t>
      </w:r>
      <w:r w:rsidR="002C1E27">
        <w:t xml:space="preserve"> which</w:t>
      </w:r>
      <w:r>
        <w:t xml:space="preserve"> utilises a range of information from across the ATO, government agencies and states/territories.</w:t>
      </w:r>
    </w:p>
    <w:p w14:paraId="2321041A" w14:textId="77777777" w:rsidR="00551B2C" w:rsidRPr="00D44754" w:rsidRDefault="00551B2C" w:rsidP="0032107D">
      <w:pPr>
        <w:pStyle w:val="BodyText"/>
        <w:rPr>
          <w:rFonts w:asciiTheme="minorHAnsi" w:hAnsiTheme="minorHAnsi"/>
          <w:u w:val="single"/>
        </w:rPr>
      </w:pPr>
    </w:p>
    <w:p w14:paraId="44A71FBA" w14:textId="77777777" w:rsidR="00551B2C" w:rsidRPr="005B5BBE" w:rsidRDefault="00551B2C" w:rsidP="00551B2C">
      <w:pPr>
        <w:spacing w:after="200"/>
        <w:jc w:val="left"/>
        <w:rPr>
          <w:rFonts w:asciiTheme="minorHAnsi" w:hAnsiTheme="minorHAnsi"/>
        </w:rPr>
        <w:sectPr w:rsidR="00551B2C" w:rsidRPr="005B5BBE" w:rsidSect="00924BEC">
          <w:headerReference w:type="even" r:id="rId45"/>
          <w:headerReference w:type="default" r:id="rId46"/>
          <w:footerReference w:type="default" r:id="rId47"/>
          <w:headerReference w:type="first" r:id="rId48"/>
          <w:pgSz w:w="11906" w:h="16838" w:code="277"/>
          <w:pgMar w:top="1440" w:right="1440" w:bottom="1440" w:left="1440" w:header="851" w:footer="851" w:gutter="0"/>
          <w:cols w:space="708"/>
          <w:docGrid w:linePitch="360"/>
        </w:sectPr>
      </w:pPr>
    </w:p>
    <w:p w14:paraId="5A790AF2" w14:textId="77777777" w:rsidR="00551B2C" w:rsidRPr="005B5BBE" w:rsidRDefault="00551B2C" w:rsidP="00551B2C">
      <w:pPr>
        <w:pStyle w:val="Heading2"/>
        <w:rPr>
          <w:rFonts w:asciiTheme="minorHAnsi" w:hAnsiTheme="minorHAnsi"/>
        </w:rPr>
      </w:pPr>
      <w:bookmarkStart w:id="40" w:name="_Toc31113262"/>
      <w:bookmarkStart w:id="41" w:name="_Toc33443670"/>
      <w:r w:rsidRPr="005B5BBE">
        <w:rPr>
          <w:rFonts w:asciiTheme="minorHAnsi" w:hAnsiTheme="minorHAnsi"/>
        </w:rPr>
        <w:lastRenderedPageBreak/>
        <w:t>KPI 4 – Compliance and monitoring approaches are streamlined and coordinated</w:t>
      </w:r>
      <w:bookmarkEnd w:id="40"/>
      <w:bookmarkEnd w:id="41"/>
    </w:p>
    <w:tbl>
      <w:tblPr>
        <w:tblW w:w="8931"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FFFFFF" w:themeFill="background1"/>
        <w:tblLayout w:type="fixed"/>
        <w:tblLook w:val="04A0" w:firstRow="1" w:lastRow="0" w:firstColumn="1" w:lastColumn="0" w:noHBand="0" w:noVBand="1"/>
      </w:tblPr>
      <w:tblGrid>
        <w:gridCol w:w="8931"/>
      </w:tblGrid>
      <w:tr w:rsidR="00551B2C" w:rsidRPr="005B5BBE" w14:paraId="21DF7F1B" w14:textId="77777777" w:rsidTr="00312CDE">
        <w:tc>
          <w:tcPr>
            <w:tcW w:w="8931" w:type="dxa"/>
            <w:shd w:val="clear" w:color="auto" w:fill="DBE5F1" w:themeFill="accent1" w:themeFillTint="33"/>
          </w:tcPr>
          <w:p w14:paraId="70A5C0B9" w14:textId="77777777" w:rsidR="00551B2C" w:rsidRPr="005B5BBE" w:rsidRDefault="00551B2C" w:rsidP="00312CDE">
            <w:pPr>
              <w:pStyle w:val="TableColumnHeadingLeft"/>
              <w:rPr>
                <w:rFonts w:asciiTheme="minorHAnsi" w:hAnsiTheme="minorHAnsi"/>
              </w:rPr>
            </w:pPr>
            <w:r w:rsidRPr="005B5BBE">
              <w:rPr>
                <w:rFonts w:asciiTheme="minorHAnsi" w:hAnsiTheme="minorHAnsi"/>
              </w:rPr>
              <w:t>Measures of good regulatory performance</w:t>
            </w:r>
          </w:p>
        </w:tc>
      </w:tr>
      <w:tr w:rsidR="00551B2C" w:rsidRPr="005B5BBE" w14:paraId="4A2EB4E0" w14:textId="77777777" w:rsidTr="00312CDE">
        <w:trPr>
          <w:trHeight w:val="682"/>
        </w:trPr>
        <w:tc>
          <w:tcPr>
            <w:tcW w:w="8931" w:type="dxa"/>
            <w:shd w:val="clear" w:color="auto" w:fill="FFFFFF" w:themeFill="background1"/>
          </w:tcPr>
          <w:p w14:paraId="161BF911" w14:textId="77777777" w:rsidR="00551B2C" w:rsidRPr="005B5BBE" w:rsidRDefault="00295391" w:rsidP="00312CDE">
            <w:pPr>
              <w:pStyle w:val="TableTextLeft"/>
              <w:rPr>
                <w:rFonts w:asciiTheme="minorHAnsi" w:hAnsiTheme="minorHAnsi"/>
              </w:rPr>
            </w:pPr>
            <w:r>
              <w:rPr>
                <w:rFonts w:asciiTheme="minorHAnsi" w:hAnsiTheme="minorHAnsi"/>
              </w:rPr>
              <w:t xml:space="preserve">4.1 </w:t>
            </w:r>
            <w:r w:rsidR="00551B2C" w:rsidRPr="005B5BBE">
              <w:rPr>
                <w:rFonts w:asciiTheme="minorHAnsi" w:hAnsiTheme="minorHAnsi"/>
              </w:rPr>
              <w:t>Utilise existing information to limit the reliance on requests made to foreign investors and share the information among other regulators, where possible</w:t>
            </w:r>
          </w:p>
        </w:tc>
      </w:tr>
      <w:tr w:rsidR="00551B2C" w:rsidRPr="005B5BBE" w14:paraId="664BECAA" w14:textId="77777777" w:rsidTr="00312CDE">
        <w:trPr>
          <w:trHeight w:val="725"/>
        </w:trPr>
        <w:tc>
          <w:tcPr>
            <w:tcW w:w="8931" w:type="dxa"/>
            <w:shd w:val="clear" w:color="auto" w:fill="FFFFFF" w:themeFill="background1"/>
          </w:tcPr>
          <w:p w14:paraId="7CDDDBF3" w14:textId="77777777" w:rsidR="00551B2C" w:rsidRPr="005B5BBE" w:rsidRDefault="00295391" w:rsidP="00312CDE">
            <w:pPr>
              <w:pStyle w:val="TableTextLeft"/>
              <w:rPr>
                <w:rFonts w:asciiTheme="minorHAnsi" w:hAnsiTheme="minorHAnsi"/>
              </w:rPr>
            </w:pPr>
            <w:r>
              <w:rPr>
                <w:rFonts w:asciiTheme="minorHAnsi" w:hAnsiTheme="minorHAnsi"/>
              </w:rPr>
              <w:t xml:space="preserve">4.2 </w:t>
            </w:r>
            <w:r w:rsidR="00551B2C" w:rsidRPr="005B5BBE">
              <w:rPr>
                <w:rFonts w:asciiTheme="minorHAnsi" w:hAnsiTheme="minorHAnsi"/>
              </w:rPr>
              <w:t>Base monitoring and inspection approaches on risk and where possible, takes into account the circumstance and operational needs of foreign investors</w:t>
            </w:r>
          </w:p>
        </w:tc>
      </w:tr>
    </w:tbl>
    <w:p w14:paraId="09C32B79" w14:textId="77777777" w:rsidR="00551B2C" w:rsidRDefault="00551B2C" w:rsidP="00551B2C">
      <w:r w:rsidRPr="002E6466">
        <w:t xml:space="preserve"> </w:t>
      </w:r>
    </w:p>
    <w:p w14:paraId="1F678226" w14:textId="77777777" w:rsidR="00551B2C" w:rsidRPr="008116D8" w:rsidRDefault="00551B2C" w:rsidP="00551B2C">
      <w:pPr>
        <w:rPr>
          <w:rFonts w:cs="Arial"/>
          <w:b/>
          <w:bCs/>
          <w:iCs/>
          <w:smallCaps/>
          <w:color w:val="1F497D" w:themeColor="text2"/>
          <w:sz w:val="32"/>
          <w:szCs w:val="28"/>
        </w:rPr>
      </w:pPr>
      <w:r w:rsidRPr="008116D8">
        <w:rPr>
          <w:rFonts w:cs="Arial"/>
          <w:b/>
          <w:bCs/>
          <w:iCs/>
          <w:smallCaps/>
          <w:color w:val="1F497D" w:themeColor="text2"/>
          <w:sz w:val="32"/>
          <w:szCs w:val="28"/>
        </w:rPr>
        <w:t>Self-assessment</w:t>
      </w:r>
    </w:p>
    <w:p w14:paraId="60F8A054" w14:textId="77777777" w:rsidR="00A1578D" w:rsidRDefault="00A1578D" w:rsidP="00A1578D">
      <w:pPr>
        <w:pStyle w:val="Heading4"/>
      </w:pPr>
      <w:r>
        <w:t>4.1 Limit the requests made to foreign investors by sharing information among regulators</w:t>
      </w:r>
    </w:p>
    <w:p w14:paraId="2055E566" w14:textId="2E201CD2" w:rsidR="002910E0" w:rsidRPr="00FE5536" w:rsidRDefault="002910E0" w:rsidP="0032107D">
      <w:pPr>
        <w:pStyle w:val="BodyText"/>
      </w:pPr>
      <w:r w:rsidRPr="00FE5536">
        <w:t xml:space="preserve">Treasury is currently exploring arrangements with other government agencies for greater </w:t>
      </w:r>
      <w:r w:rsidR="00175CAD" w:rsidRPr="00FE5536">
        <w:t xml:space="preserve">information </w:t>
      </w:r>
      <w:r w:rsidRPr="00FE5536">
        <w:t xml:space="preserve">sharing to reduce the need to </w:t>
      </w:r>
      <w:r w:rsidR="00175CAD" w:rsidRPr="00FE5536">
        <w:t>make separate</w:t>
      </w:r>
      <w:r w:rsidRPr="00FE5536">
        <w:t xml:space="preserve"> request</w:t>
      </w:r>
      <w:r w:rsidR="00175CAD" w:rsidRPr="00FE5536">
        <w:t>s</w:t>
      </w:r>
      <w:r w:rsidRPr="00FE5536">
        <w:t xml:space="preserve"> </w:t>
      </w:r>
      <w:r w:rsidR="00175CAD" w:rsidRPr="00FE5536">
        <w:t xml:space="preserve">on </w:t>
      </w:r>
      <w:r w:rsidRPr="00FE5536">
        <w:t xml:space="preserve">investors. This includes working with agencies such as the ATO and </w:t>
      </w:r>
      <w:r w:rsidR="00D03CD0" w:rsidRPr="00FE5536">
        <w:t>A</w:t>
      </w:r>
      <w:r w:rsidR="00D03CD0">
        <w:t>ustralian Federal Police</w:t>
      </w:r>
      <w:r w:rsidR="00D03CD0" w:rsidRPr="00FE5536">
        <w:t xml:space="preserve"> </w:t>
      </w:r>
      <w:r w:rsidRPr="00FE5536">
        <w:t>on a case</w:t>
      </w:r>
      <w:r w:rsidR="00D03CD0">
        <w:t>-</w:t>
      </w:r>
      <w:r w:rsidRPr="00FE5536">
        <w:t>by</w:t>
      </w:r>
      <w:r w:rsidR="00D03CD0">
        <w:t>-</w:t>
      </w:r>
      <w:r w:rsidRPr="00FE5536">
        <w:t xml:space="preserve">case basis to obtain and share information that is relevant to a review of suspected breaches of conditions. These initiatives are progressed within the parameters of the current protected disclosure provisions under the Act which limit the circumstances in which information can be shared with other parties. </w:t>
      </w:r>
    </w:p>
    <w:p w14:paraId="1A4E4CA1" w14:textId="5E918F7A" w:rsidR="002910E0" w:rsidRPr="00FE5536" w:rsidRDefault="002910E0" w:rsidP="0032107D">
      <w:pPr>
        <w:pStyle w:val="BodyText"/>
      </w:pPr>
      <w:r w:rsidRPr="00FE5536">
        <w:t>In addition, Treasury has worked with consultation partners to define roles and responsibilities in relation to compliance action under the Act. This has ensured that where Treasury is the lead agency, it initiates and coordinates the action and interface with investors so as to reduce the demands placed on them.</w:t>
      </w:r>
    </w:p>
    <w:p w14:paraId="113A2738" w14:textId="6962E19D" w:rsidR="00BC1771" w:rsidRDefault="00BC1771" w:rsidP="0032107D">
      <w:pPr>
        <w:pStyle w:val="BodyText"/>
      </w:pPr>
      <w:r w:rsidRPr="00FE5536">
        <w:t xml:space="preserve">More broadly, from the beginning of 2018, Treasury has been convening bi-annual Cross Agency Compliance Forums, with one held in November 2018. The Forum is attended by consultation partners such as the </w:t>
      </w:r>
      <w:r w:rsidR="002A2ECA">
        <w:t xml:space="preserve">Departments of Home Affairs and Defence, the </w:t>
      </w:r>
      <w:r w:rsidRPr="00FE5536">
        <w:t xml:space="preserve">ATO, ASIC, </w:t>
      </w:r>
      <w:proofErr w:type="spellStart"/>
      <w:r w:rsidRPr="00FE5536">
        <w:t>Austrac</w:t>
      </w:r>
      <w:proofErr w:type="spellEnd"/>
      <w:r w:rsidRPr="00FE5536">
        <w:t>, ACCC</w:t>
      </w:r>
      <w:r w:rsidR="002A2ECA">
        <w:t xml:space="preserve"> </w:t>
      </w:r>
      <w:r w:rsidRPr="00FE5536">
        <w:t>and other key agencies. The Forum is an opportunity to discuss best practice compliance approaches, imp</w:t>
      </w:r>
      <w:r w:rsidR="00175CAD" w:rsidRPr="00FE5536">
        <w:t>rove the sharing of information and identify</w:t>
      </w:r>
      <w:r w:rsidRPr="00FE5536">
        <w:t xml:space="preserve"> other sources of market intelligence and how to build greater collaboration to support compliance activities.</w:t>
      </w:r>
    </w:p>
    <w:p w14:paraId="40EC0A4E" w14:textId="225D7AE3" w:rsidR="00D44368" w:rsidRPr="0083192D" w:rsidRDefault="00431FCF" w:rsidP="0032107D">
      <w:pPr>
        <w:pStyle w:val="BodyText"/>
      </w:pPr>
      <w:r>
        <w:t xml:space="preserve">The </w:t>
      </w:r>
      <w:r w:rsidR="00D44368" w:rsidRPr="00FE5536">
        <w:t xml:space="preserve">ATO </w:t>
      </w:r>
      <w:r w:rsidR="00356762">
        <w:t xml:space="preserve">continues to increase its use of </w:t>
      </w:r>
      <w:r w:rsidR="00D44368" w:rsidRPr="00FE5536">
        <w:t>state and territory data regarding foreign investors in the residential real estate sector and continues to increase its data matching capacity.</w:t>
      </w:r>
    </w:p>
    <w:p w14:paraId="4D338EE0" w14:textId="77777777" w:rsidR="001D10F8" w:rsidRDefault="001D10F8" w:rsidP="0057637E">
      <w:pPr>
        <w:pStyle w:val="Heading4"/>
      </w:pPr>
      <w:r>
        <w:t>4.2 Base monitoring takes into account the circumstance of foreign investors</w:t>
      </w:r>
    </w:p>
    <w:p w14:paraId="3BF8E61E" w14:textId="77777777" w:rsidR="000A25F0" w:rsidRPr="00A01B7C" w:rsidRDefault="000A25F0" w:rsidP="00A01B7C">
      <w:pPr>
        <w:pStyle w:val="BodyText"/>
      </w:pPr>
      <w:r w:rsidRPr="00A01B7C">
        <w:t>Treasury compliance activities aim to provide assurance that investors are meeting their obligations, and detect and remedy non-compliance. At the same time, they aim to limit the impact on investors and support them to do the right thing. To this end, Treasury will work with investors regarding their compliance with the conditions, including providing general advice on steps needed to comply with their obligations. This includes working with investors in particular circumstances to agree remediation action plans where non-compliance has been identified.</w:t>
      </w:r>
    </w:p>
    <w:p w14:paraId="56A0E2B1" w14:textId="77777777" w:rsidR="000A25F0" w:rsidRPr="00A01B7C" w:rsidRDefault="000A25F0" w:rsidP="00A01B7C">
      <w:pPr>
        <w:pStyle w:val="BodyText"/>
      </w:pPr>
      <w:r w:rsidRPr="00A01B7C">
        <w:t>As part of compliance audits, Treasury works with investors to ensure that any conditions imposed remain relevant, can be complied with and meet their original intention of mitigating identified national interest risks. In the event that there has been a change in circumstances, it is possible that conditions can be varied (in defined circumstances) or removed if they cease to be applicable.</w:t>
      </w:r>
    </w:p>
    <w:p w14:paraId="4DFCFAD8" w14:textId="20DD5D6F" w:rsidR="00BB6C8F" w:rsidRPr="00A01B7C" w:rsidRDefault="004E42FE" w:rsidP="00A01B7C">
      <w:pPr>
        <w:pStyle w:val="BodyText"/>
      </w:pPr>
      <w:r w:rsidRPr="00A01B7C">
        <w:t>In 2018-19</w:t>
      </w:r>
      <w:r w:rsidR="00750094" w:rsidRPr="00A01B7C">
        <w:t>,</w:t>
      </w:r>
      <w:r w:rsidRPr="00A01B7C">
        <w:t xml:space="preserve"> the ATO developed a </w:t>
      </w:r>
      <w:r w:rsidR="00F14838" w:rsidRPr="00A01B7C">
        <w:t xml:space="preserve">Foreign Investment </w:t>
      </w:r>
      <w:r w:rsidRPr="00A01B7C">
        <w:t xml:space="preserve">Compliance and Enforcement Strategy to provide ATO staff with a framework to promote consistent decision making that can be tailored to a client’s </w:t>
      </w:r>
      <w:r w:rsidRPr="00A01B7C">
        <w:lastRenderedPageBreak/>
        <w:t>circumstances and compliance behaviour. The ATO’s compliance approach focuses on voluntary compliance by ‘making it easy to comply, and hard not to</w:t>
      </w:r>
      <w:r w:rsidR="00F14838" w:rsidRPr="00A01B7C">
        <w:t>’</w:t>
      </w:r>
      <w:r w:rsidRPr="00A01B7C">
        <w:t>. For example</w:t>
      </w:r>
      <w:r w:rsidR="00225BFC" w:rsidRPr="00A01B7C">
        <w:t xml:space="preserve">, </w:t>
      </w:r>
      <w:r w:rsidR="00F14838" w:rsidRPr="00A01B7C">
        <w:t xml:space="preserve">recognising the infancy of the vacancy fee program, </w:t>
      </w:r>
      <w:r w:rsidRPr="00A01B7C">
        <w:t xml:space="preserve">the ATO </w:t>
      </w:r>
      <w:r w:rsidR="00F14838" w:rsidRPr="00A01B7C">
        <w:t xml:space="preserve">used </w:t>
      </w:r>
      <w:r w:rsidRPr="00A01B7C">
        <w:t>reminder</w:t>
      </w:r>
      <w:r w:rsidR="00F14838" w:rsidRPr="00A01B7C">
        <w:t>s</w:t>
      </w:r>
      <w:r w:rsidRPr="00A01B7C">
        <w:t xml:space="preserve"> to </w:t>
      </w:r>
      <w:r w:rsidR="00F14838" w:rsidRPr="00A01B7C">
        <w:t>help</w:t>
      </w:r>
      <w:r w:rsidRPr="00A01B7C">
        <w:t xml:space="preserve"> foreign investors understand their obligations to lodge an annual vacancy fee return. </w:t>
      </w:r>
    </w:p>
    <w:p w14:paraId="1DE841E1" w14:textId="77777777" w:rsidR="00551B2C" w:rsidRDefault="00551B2C" w:rsidP="0032107D">
      <w:pPr>
        <w:pStyle w:val="BodyText"/>
        <w:rPr>
          <w:rFonts w:asciiTheme="minorHAnsi" w:hAnsiTheme="minorHAnsi"/>
        </w:rPr>
      </w:pPr>
      <w:r>
        <w:rPr>
          <w:rFonts w:asciiTheme="minorHAnsi" w:hAnsiTheme="minorHAnsi"/>
        </w:rPr>
        <w:br w:type="page"/>
      </w:r>
    </w:p>
    <w:p w14:paraId="723414F3" w14:textId="77777777" w:rsidR="00551B2C" w:rsidRPr="005B5BBE" w:rsidRDefault="00551B2C" w:rsidP="00551B2C">
      <w:pPr>
        <w:pStyle w:val="Heading2"/>
        <w:rPr>
          <w:rFonts w:asciiTheme="minorHAnsi" w:hAnsiTheme="minorHAnsi"/>
        </w:rPr>
      </w:pPr>
      <w:bookmarkStart w:id="42" w:name="_Toc31113263"/>
      <w:bookmarkStart w:id="43" w:name="_Toc33443671"/>
      <w:r w:rsidRPr="005B5BBE">
        <w:rPr>
          <w:rFonts w:asciiTheme="minorHAnsi" w:hAnsiTheme="minorHAnsi"/>
        </w:rPr>
        <w:lastRenderedPageBreak/>
        <w:t>KPI 5 – Regulators are open and transparent in their dealings with foreign investors</w:t>
      </w:r>
      <w:bookmarkEnd w:id="42"/>
      <w:bookmarkEnd w:id="43"/>
    </w:p>
    <w:tbl>
      <w:tblPr>
        <w:tblW w:w="8931"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FFFFFF" w:themeFill="background1"/>
        <w:tblLayout w:type="fixed"/>
        <w:tblLook w:val="04A0" w:firstRow="1" w:lastRow="0" w:firstColumn="1" w:lastColumn="0" w:noHBand="0" w:noVBand="1"/>
      </w:tblPr>
      <w:tblGrid>
        <w:gridCol w:w="8931"/>
      </w:tblGrid>
      <w:tr w:rsidR="00551B2C" w:rsidRPr="005B5BBE" w14:paraId="598AEC78" w14:textId="77777777" w:rsidTr="00312CDE">
        <w:tc>
          <w:tcPr>
            <w:tcW w:w="8931" w:type="dxa"/>
            <w:shd w:val="clear" w:color="auto" w:fill="DBE5F1" w:themeFill="accent1" w:themeFillTint="33"/>
          </w:tcPr>
          <w:p w14:paraId="5314A1AB" w14:textId="77777777" w:rsidR="00551B2C" w:rsidRPr="005B5BBE" w:rsidRDefault="00551B2C" w:rsidP="00312CDE">
            <w:pPr>
              <w:pStyle w:val="TableColumnHeadingLeft"/>
              <w:rPr>
                <w:rFonts w:asciiTheme="minorHAnsi" w:hAnsiTheme="minorHAnsi"/>
              </w:rPr>
            </w:pPr>
            <w:r w:rsidRPr="005B5BBE">
              <w:rPr>
                <w:rFonts w:asciiTheme="minorHAnsi" w:hAnsiTheme="minorHAnsi"/>
              </w:rPr>
              <w:t>Measures of good regulatory performance</w:t>
            </w:r>
          </w:p>
        </w:tc>
      </w:tr>
      <w:tr w:rsidR="00551B2C" w:rsidRPr="005B5BBE" w14:paraId="7D4C2953" w14:textId="77777777" w:rsidTr="00312CDE">
        <w:trPr>
          <w:trHeight w:val="250"/>
        </w:trPr>
        <w:tc>
          <w:tcPr>
            <w:tcW w:w="8931" w:type="dxa"/>
            <w:shd w:val="clear" w:color="auto" w:fill="FFFFFF" w:themeFill="background1"/>
          </w:tcPr>
          <w:p w14:paraId="419E9F25" w14:textId="77777777" w:rsidR="00551B2C" w:rsidRPr="005B5BBE" w:rsidRDefault="00295391" w:rsidP="00312CDE">
            <w:pPr>
              <w:pStyle w:val="TableTextLeft"/>
              <w:spacing w:before="60" w:after="60"/>
              <w:rPr>
                <w:rFonts w:asciiTheme="minorHAnsi" w:hAnsiTheme="minorHAnsi"/>
              </w:rPr>
            </w:pPr>
            <w:r>
              <w:rPr>
                <w:rFonts w:asciiTheme="minorHAnsi" w:hAnsiTheme="minorHAnsi"/>
              </w:rPr>
              <w:t xml:space="preserve">5.1 </w:t>
            </w:r>
            <w:r w:rsidR="00551B2C" w:rsidRPr="005B5BBE">
              <w:rPr>
                <w:rFonts w:asciiTheme="minorHAnsi" w:hAnsiTheme="minorHAnsi"/>
              </w:rPr>
              <w:t>Ensure information on risk-based frameworks is publicly available in a format which is clear, understandable and accessible where possible</w:t>
            </w:r>
          </w:p>
        </w:tc>
      </w:tr>
      <w:tr w:rsidR="00551B2C" w:rsidRPr="005B5BBE" w14:paraId="6DEF1FDF" w14:textId="77777777" w:rsidTr="00312CDE">
        <w:trPr>
          <w:trHeight w:val="250"/>
        </w:trPr>
        <w:tc>
          <w:tcPr>
            <w:tcW w:w="8931" w:type="dxa"/>
            <w:shd w:val="clear" w:color="auto" w:fill="FFFFFF" w:themeFill="background1"/>
          </w:tcPr>
          <w:p w14:paraId="6DDA6204" w14:textId="77777777" w:rsidR="00551B2C" w:rsidRPr="005B5BBE" w:rsidRDefault="00295391" w:rsidP="00312CDE">
            <w:pPr>
              <w:pStyle w:val="TableTextLeft"/>
              <w:spacing w:before="60" w:after="60"/>
              <w:rPr>
                <w:rFonts w:asciiTheme="minorHAnsi" w:hAnsiTheme="minorHAnsi"/>
              </w:rPr>
            </w:pPr>
            <w:r>
              <w:rPr>
                <w:rFonts w:asciiTheme="minorHAnsi" w:hAnsiTheme="minorHAnsi"/>
              </w:rPr>
              <w:t xml:space="preserve">5.2 </w:t>
            </w:r>
            <w:r w:rsidR="00551B2C" w:rsidRPr="005B5BBE">
              <w:rPr>
                <w:rFonts w:asciiTheme="minorHAnsi" w:hAnsiTheme="minorHAnsi"/>
              </w:rPr>
              <w:t>Be open and responsive to requests from foreign investors regarding the operation of the regulatory framework, and approaches implemented by regulators</w:t>
            </w:r>
          </w:p>
        </w:tc>
      </w:tr>
      <w:tr w:rsidR="00551B2C" w:rsidRPr="005B5BBE" w14:paraId="5984D097" w14:textId="77777777" w:rsidTr="00312CDE">
        <w:trPr>
          <w:trHeight w:val="250"/>
        </w:trPr>
        <w:tc>
          <w:tcPr>
            <w:tcW w:w="8931" w:type="dxa"/>
            <w:shd w:val="clear" w:color="auto" w:fill="FFFFFF" w:themeFill="background1"/>
          </w:tcPr>
          <w:p w14:paraId="09A6A7EC" w14:textId="77777777" w:rsidR="00551B2C" w:rsidRPr="005B5BBE" w:rsidRDefault="00295391" w:rsidP="00312CDE">
            <w:pPr>
              <w:pStyle w:val="TableTextLeft"/>
              <w:spacing w:before="60" w:after="60"/>
              <w:rPr>
                <w:rFonts w:asciiTheme="minorHAnsi" w:hAnsiTheme="minorHAnsi"/>
              </w:rPr>
            </w:pPr>
            <w:r>
              <w:rPr>
                <w:rFonts w:asciiTheme="minorHAnsi" w:hAnsiTheme="minorHAnsi"/>
              </w:rPr>
              <w:t xml:space="preserve">5.3 </w:t>
            </w:r>
            <w:r w:rsidR="00551B2C" w:rsidRPr="005B5BBE">
              <w:rPr>
                <w:rFonts w:asciiTheme="minorHAnsi" w:hAnsiTheme="minorHAnsi"/>
              </w:rPr>
              <w:t>Ensure performance measurement results are published to ensure accountability to the public</w:t>
            </w:r>
          </w:p>
        </w:tc>
      </w:tr>
    </w:tbl>
    <w:p w14:paraId="5743121C" w14:textId="77777777" w:rsidR="00551B2C" w:rsidRDefault="00551B2C" w:rsidP="00551B2C">
      <w:pPr>
        <w:rPr>
          <w:rFonts w:cs="Arial"/>
          <w:b/>
          <w:bCs/>
          <w:iCs/>
          <w:smallCaps/>
          <w:color w:val="1F497D" w:themeColor="text2"/>
          <w:sz w:val="32"/>
          <w:szCs w:val="28"/>
        </w:rPr>
      </w:pPr>
    </w:p>
    <w:p w14:paraId="431AB388" w14:textId="77777777" w:rsidR="00551B2C" w:rsidRPr="008116D8" w:rsidRDefault="00551B2C" w:rsidP="00551B2C">
      <w:pPr>
        <w:rPr>
          <w:rFonts w:cs="Arial"/>
          <w:b/>
          <w:bCs/>
          <w:iCs/>
          <w:smallCaps/>
          <w:color w:val="1F497D" w:themeColor="text2"/>
          <w:sz w:val="32"/>
          <w:szCs w:val="28"/>
        </w:rPr>
      </w:pPr>
      <w:r w:rsidRPr="008116D8">
        <w:rPr>
          <w:rFonts w:cs="Arial"/>
          <w:b/>
          <w:bCs/>
          <w:iCs/>
          <w:smallCaps/>
          <w:color w:val="1F497D" w:themeColor="text2"/>
          <w:sz w:val="32"/>
          <w:szCs w:val="28"/>
        </w:rPr>
        <w:t>Self-assessment</w:t>
      </w:r>
    </w:p>
    <w:p w14:paraId="72664FCE" w14:textId="77777777" w:rsidR="003F3557" w:rsidRDefault="00FE693C" w:rsidP="003F3557">
      <w:pPr>
        <w:pStyle w:val="Heading4"/>
        <w:spacing w:before="240"/>
      </w:pPr>
      <w:r>
        <w:t>5.1 Ensure information on risk-based frameworks is publicly available</w:t>
      </w:r>
    </w:p>
    <w:p w14:paraId="5A108526" w14:textId="53EAE892" w:rsidR="00907F06" w:rsidRPr="0032107D" w:rsidRDefault="00907F06" w:rsidP="0032107D">
      <w:pPr>
        <w:pStyle w:val="BodyText"/>
      </w:pPr>
      <w:r w:rsidRPr="0032107D">
        <w:rPr>
          <w:rStyle w:val="BodyTextChar"/>
        </w:rPr>
        <w:t>The FIRB website is the central access point for information on the framework. It has a broad range of information</w:t>
      </w:r>
      <w:r w:rsidRPr="0032107D">
        <w:t xml:space="preserve"> to support foreign investment </w:t>
      </w:r>
      <w:r w:rsidR="00EE585D" w:rsidRPr="0032107D">
        <w:t>e</w:t>
      </w:r>
      <w:r w:rsidR="00750094" w:rsidRPr="0032107D">
        <w:t xml:space="preserve">nquiries and </w:t>
      </w:r>
      <w:r w:rsidRPr="0032107D">
        <w:t>applications</w:t>
      </w:r>
      <w:r w:rsidR="00D96ECA" w:rsidRPr="0032107D">
        <w:t xml:space="preserve">, </w:t>
      </w:r>
      <w:r w:rsidRPr="0032107D">
        <w:t>including:</w:t>
      </w:r>
    </w:p>
    <w:p w14:paraId="46D0F1A0" w14:textId="5BF764BB" w:rsidR="00907F06" w:rsidRPr="0032107D" w:rsidRDefault="00D03CD0" w:rsidP="00907F06">
      <w:pPr>
        <w:pStyle w:val="Bullet"/>
        <w:rPr>
          <w:sz w:val="21"/>
          <w:szCs w:val="21"/>
        </w:rPr>
      </w:pPr>
      <w:r w:rsidRPr="0032107D">
        <w:rPr>
          <w:sz w:val="21"/>
          <w:szCs w:val="21"/>
        </w:rPr>
        <w:t xml:space="preserve">a </w:t>
      </w:r>
      <w:r w:rsidR="00907F06" w:rsidRPr="0032107D">
        <w:rPr>
          <w:sz w:val="21"/>
          <w:szCs w:val="21"/>
        </w:rPr>
        <w:t>link to the FIRB online application portal;</w:t>
      </w:r>
    </w:p>
    <w:p w14:paraId="58D25367" w14:textId="77777777" w:rsidR="00907F06" w:rsidRPr="0032107D" w:rsidRDefault="00907F06" w:rsidP="00907F06">
      <w:pPr>
        <w:pStyle w:val="Bullet"/>
        <w:rPr>
          <w:sz w:val="21"/>
          <w:szCs w:val="21"/>
        </w:rPr>
      </w:pPr>
      <w:r w:rsidRPr="0032107D">
        <w:rPr>
          <w:sz w:val="21"/>
          <w:szCs w:val="21"/>
        </w:rPr>
        <w:t>general information on the FIRB, its role and the regulatory arrangements in which it operates;</w:t>
      </w:r>
    </w:p>
    <w:p w14:paraId="17D66CD0" w14:textId="77777777" w:rsidR="00750094" w:rsidRPr="0032107D" w:rsidRDefault="00907F06" w:rsidP="00907F06">
      <w:pPr>
        <w:pStyle w:val="Bullet"/>
        <w:rPr>
          <w:sz w:val="21"/>
          <w:szCs w:val="21"/>
        </w:rPr>
      </w:pPr>
      <w:r w:rsidRPr="0032107D">
        <w:rPr>
          <w:sz w:val="21"/>
          <w:szCs w:val="21"/>
        </w:rPr>
        <w:t xml:space="preserve">guidance and information for foreign investors and their advisers; </w:t>
      </w:r>
    </w:p>
    <w:p w14:paraId="18192B9A" w14:textId="77777777" w:rsidR="00907F06" w:rsidRPr="0032107D" w:rsidRDefault="00750094" w:rsidP="00907F06">
      <w:pPr>
        <w:pStyle w:val="Bullet"/>
        <w:rPr>
          <w:sz w:val="21"/>
          <w:szCs w:val="21"/>
        </w:rPr>
      </w:pPr>
      <w:r w:rsidRPr="0032107D">
        <w:rPr>
          <w:sz w:val="21"/>
          <w:szCs w:val="21"/>
        </w:rPr>
        <w:t>information on Treasury’s risk based approach to compliance; and</w:t>
      </w:r>
      <w:r w:rsidRPr="0032107D" w:rsidDel="00750094">
        <w:rPr>
          <w:sz w:val="21"/>
          <w:szCs w:val="21"/>
        </w:rPr>
        <w:t xml:space="preserve"> </w:t>
      </w:r>
    </w:p>
    <w:p w14:paraId="18AA63BA" w14:textId="77777777" w:rsidR="00907F06" w:rsidRPr="0032107D" w:rsidRDefault="00907F06" w:rsidP="00907F06">
      <w:pPr>
        <w:pStyle w:val="Bullet"/>
        <w:rPr>
          <w:sz w:val="21"/>
          <w:szCs w:val="21"/>
        </w:rPr>
      </w:pPr>
      <w:proofErr w:type="gramStart"/>
      <w:r w:rsidRPr="0032107D">
        <w:rPr>
          <w:sz w:val="21"/>
          <w:szCs w:val="21"/>
        </w:rPr>
        <w:t>reports</w:t>
      </w:r>
      <w:proofErr w:type="gramEnd"/>
      <w:r w:rsidRPr="0032107D">
        <w:rPr>
          <w:sz w:val="21"/>
          <w:szCs w:val="21"/>
        </w:rPr>
        <w:t xml:space="preserve"> on past performance.</w:t>
      </w:r>
    </w:p>
    <w:p w14:paraId="5BC09390" w14:textId="5D21CB7A" w:rsidR="00907F06" w:rsidRPr="00A01B7C" w:rsidRDefault="00580C0C" w:rsidP="00A01B7C">
      <w:pPr>
        <w:pStyle w:val="BodyText"/>
      </w:pPr>
      <w:r w:rsidRPr="00A01B7C">
        <w:t>A</w:t>
      </w:r>
      <w:r w:rsidR="00907F06" w:rsidRPr="00A01B7C">
        <w:t xml:space="preserve">lerts </w:t>
      </w:r>
      <w:r w:rsidRPr="00A01B7C">
        <w:t xml:space="preserve">provide </w:t>
      </w:r>
      <w:r w:rsidR="00907F06" w:rsidRPr="00A01B7C">
        <w:t>update</w:t>
      </w:r>
      <w:r w:rsidRPr="00A01B7C">
        <w:t>s to</w:t>
      </w:r>
      <w:r w:rsidR="00D03CD0" w:rsidRPr="00A01B7C">
        <w:t xml:space="preserve"> website</w:t>
      </w:r>
      <w:r w:rsidR="00907F06" w:rsidRPr="00A01B7C">
        <w:t xml:space="preserve"> </w:t>
      </w:r>
      <w:r w:rsidR="00D03CD0" w:rsidRPr="00A01B7C">
        <w:t>subscribers</w:t>
      </w:r>
      <w:r w:rsidR="00907F06" w:rsidRPr="00A01B7C">
        <w:t xml:space="preserve"> on </w:t>
      </w:r>
      <w:r w:rsidRPr="00A01B7C">
        <w:t xml:space="preserve">any </w:t>
      </w:r>
      <w:r w:rsidR="00907F06" w:rsidRPr="00A01B7C">
        <w:t xml:space="preserve">changes </w:t>
      </w:r>
      <w:r w:rsidRPr="00A01B7C">
        <w:t xml:space="preserve">to </w:t>
      </w:r>
      <w:r w:rsidR="00241802" w:rsidRPr="00A01B7C">
        <w:t>regulatory</w:t>
      </w:r>
      <w:r w:rsidR="00907F06" w:rsidRPr="00A01B7C">
        <w:t xml:space="preserve"> requirements and to the website.</w:t>
      </w:r>
    </w:p>
    <w:p w14:paraId="05E9CF9C" w14:textId="1E6D1289" w:rsidR="00BC1674" w:rsidRPr="00A01B7C" w:rsidRDefault="00FE693C" w:rsidP="00A01B7C">
      <w:pPr>
        <w:pStyle w:val="BodyText"/>
      </w:pPr>
      <w:r w:rsidRPr="00A01B7C">
        <w:t>In 2018</w:t>
      </w:r>
      <w:r w:rsidR="00241802" w:rsidRPr="00A01B7C">
        <w:t>-</w:t>
      </w:r>
      <w:r w:rsidRPr="00A01B7C">
        <w:t>19</w:t>
      </w:r>
      <w:r w:rsidR="00D96ECA" w:rsidRPr="00A01B7C">
        <w:t>,</w:t>
      </w:r>
      <w:r w:rsidRPr="00A01B7C">
        <w:t xml:space="preserve"> the FIRB website </w:t>
      </w:r>
      <w:r w:rsidR="00907F06" w:rsidRPr="00A01B7C">
        <w:t>continued to be the</w:t>
      </w:r>
      <w:r w:rsidRPr="00A01B7C">
        <w:t xml:space="preserve"> main vehicle to convey information to foreign investors. </w:t>
      </w:r>
      <w:r w:rsidR="00BC1674" w:rsidRPr="00A01B7C">
        <w:t>During 2018-19, interest in the FIRB website</w:t>
      </w:r>
      <w:r w:rsidR="00895A0B" w:rsidRPr="00A01B7C">
        <w:t xml:space="preserve"> </w:t>
      </w:r>
      <w:r w:rsidR="00BC1674" w:rsidRPr="00A01B7C">
        <w:t xml:space="preserve">was strong </w:t>
      </w:r>
      <w:r w:rsidR="00A10B0B" w:rsidRPr="00A01B7C">
        <w:t>with 228,727 people accessing</w:t>
      </w:r>
      <w:r w:rsidR="00895A0B" w:rsidRPr="00A01B7C">
        <w:t xml:space="preserve"> </w:t>
      </w:r>
      <w:r w:rsidR="00BC1674" w:rsidRPr="00A01B7C">
        <w:t xml:space="preserve">the site. Interest in </w:t>
      </w:r>
      <w:r w:rsidR="00895A0B" w:rsidRPr="00A01B7C">
        <w:t xml:space="preserve">the </w:t>
      </w:r>
      <w:r w:rsidR="00BC1674" w:rsidRPr="00A01B7C">
        <w:t xml:space="preserve">foreign investment pages on the ATO website was also strong. In total, there were </w:t>
      </w:r>
      <w:r w:rsidR="00920E77" w:rsidRPr="00A01B7C">
        <w:t>133,047</w:t>
      </w:r>
      <w:r w:rsidR="00BC1674" w:rsidRPr="00A01B7C">
        <w:t xml:space="preserve"> unique user page views of ATO mainstream or in-language English content and </w:t>
      </w:r>
      <w:r w:rsidR="00920E77" w:rsidRPr="00A01B7C">
        <w:t xml:space="preserve">7,010 </w:t>
      </w:r>
      <w:r w:rsidR="00BC1674" w:rsidRPr="00A01B7C">
        <w:t xml:space="preserve">unique views of Chinese language pages. </w:t>
      </w:r>
    </w:p>
    <w:p w14:paraId="75CE5468" w14:textId="0F2E539E" w:rsidR="00104FEC" w:rsidRPr="00A01B7C" w:rsidRDefault="003F3557" w:rsidP="00A01B7C">
      <w:pPr>
        <w:pStyle w:val="BodyText"/>
      </w:pPr>
      <w:r w:rsidRPr="00A01B7C">
        <w:t>Notwithstanding the breadth and complexity of the framework, feedback from stakeholders on the information contained on the FIRB website has been generally positive.</w:t>
      </w:r>
      <w:r w:rsidR="00760B35" w:rsidRPr="00A01B7C">
        <w:t xml:space="preserve"> 89</w:t>
      </w:r>
      <w:r w:rsidR="00895A0B" w:rsidRPr="00A01B7C">
        <w:t xml:space="preserve"> per cent</w:t>
      </w:r>
      <w:r w:rsidR="00760B35" w:rsidRPr="00A01B7C">
        <w:t xml:space="preserve"> of </w:t>
      </w:r>
      <w:r w:rsidR="00D96ECA" w:rsidRPr="00A01B7C">
        <w:t xml:space="preserve">stakeholder </w:t>
      </w:r>
      <w:r w:rsidR="00760B35" w:rsidRPr="00A01B7C">
        <w:t>survey respondents indicated they were satisfied with the content on the FIRB website.</w:t>
      </w:r>
      <w:r w:rsidR="00241802" w:rsidRPr="00A01B7C">
        <w:t xml:space="preserve"> However,</w:t>
      </w:r>
      <w:r w:rsidR="00104FEC" w:rsidRPr="00A01B7C">
        <w:t xml:space="preserve"> respondents noted that while the </w:t>
      </w:r>
      <w:r w:rsidR="00356762" w:rsidRPr="00A01B7C">
        <w:t>G</w:t>
      </w:r>
      <w:r w:rsidR="00104FEC" w:rsidRPr="00A01B7C">
        <w:t xml:space="preserve">uidance </w:t>
      </w:r>
      <w:r w:rsidR="00356762" w:rsidRPr="00A01B7C">
        <w:t>N</w:t>
      </w:r>
      <w:r w:rsidR="00104FEC" w:rsidRPr="00A01B7C">
        <w:t xml:space="preserve">otes provide valuable assistance in preparing FIRB applications, the </w:t>
      </w:r>
      <w:r w:rsidR="00356762" w:rsidRPr="00A01B7C">
        <w:t>G</w:t>
      </w:r>
      <w:r w:rsidR="00104FEC" w:rsidRPr="00A01B7C">
        <w:t xml:space="preserve">uidance </w:t>
      </w:r>
      <w:r w:rsidR="00356762" w:rsidRPr="00A01B7C">
        <w:t>N</w:t>
      </w:r>
      <w:r w:rsidR="00104FEC" w:rsidRPr="00A01B7C">
        <w:t xml:space="preserve">otes and website can be unclear for stakeholders who </w:t>
      </w:r>
      <w:r w:rsidR="00AE665C" w:rsidRPr="00A01B7C">
        <w:t xml:space="preserve">are </w:t>
      </w:r>
      <w:r w:rsidR="00423D0D" w:rsidRPr="00A01B7C">
        <w:t>un</w:t>
      </w:r>
      <w:r w:rsidR="00AE665C" w:rsidRPr="00A01B7C">
        <w:t>familiar</w:t>
      </w:r>
      <w:r w:rsidR="00104FEC" w:rsidRPr="00A01B7C">
        <w:t xml:space="preserve"> with the FIRB system. </w:t>
      </w:r>
    </w:p>
    <w:p w14:paraId="07891797" w14:textId="27EF5C16" w:rsidR="0010067E" w:rsidRPr="00A01B7C" w:rsidRDefault="003F3557" w:rsidP="00A01B7C">
      <w:pPr>
        <w:pStyle w:val="BodyText"/>
      </w:pPr>
      <w:r w:rsidRPr="00A01B7C">
        <w:t xml:space="preserve">FIRB agencies continue to work with stakeholders to improve </w:t>
      </w:r>
      <w:r w:rsidR="00241802" w:rsidRPr="00A01B7C">
        <w:t xml:space="preserve">the </w:t>
      </w:r>
      <w:r w:rsidRPr="00A01B7C">
        <w:t>information on the websites.</w:t>
      </w:r>
      <w:r w:rsidRPr="00A01B7C" w:rsidDel="00E75906">
        <w:t xml:space="preserve"> </w:t>
      </w:r>
      <w:r w:rsidR="0010067E" w:rsidRPr="00A01B7C">
        <w:t xml:space="preserve">Regular review of </w:t>
      </w:r>
      <w:r w:rsidR="00356762" w:rsidRPr="00A01B7C">
        <w:t>G</w:t>
      </w:r>
      <w:r w:rsidR="0010067E" w:rsidRPr="00A01B7C">
        <w:t xml:space="preserve">uidance </w:t>
      </w:r>
      <w:r w:rsidR="00356762" w:rsidRPr="00A01B7C">
        <w:t>N</w:t>
      </w:r>
      <w:r w:rsidR="0010067E" w:rsidRPr="00A01B7C">
        <w:t>otes from feedback,</w:t>
      </w:r>
      <w:r w:rsidR="00104FEC" w:rsidRPr="00A01B7C">
        <w:t xml:space="preserve"> including</w:t>
      </w:r>
      <w:r w:rsidR="0010067E" w:rsidRPr="00A01B7C">
        <w:t xml:space="preserve"> trends from FIRB written and phone enquiries</w:t>
      </w:r>
      <w:r w:rsidR="00241802" w:rsidRPr="00A01B7C">
        <w:t>,</w:t>
      </w:r>
      <w:r w:rsidR="0010067E" w:rsidRPr="00A01B7C">
        <w:t xml:space="preserve"> </w:t>
      </w:r>
      <w:r w:rsidR="00104FEC" w:rsidRPr="00A01B7C">
        <w:t xml:space="preserve">are </w:t>
      </w:r>
      <w:r w:rsidR="00CE7D8A" w:rsidRPr="00A01B7C">
        <w:t>published on the FIRB website</w:t>
      </w:r>
      <w:r w:rsidR="00241802" w:rsidRPr="00A01B7C">
        <w:t xml:space="preserve"> to ensure stakeholders understand the regulatory process.</w:t>
      </w:r>
    </w:p>
    <w:p w14:paraId="315AAE6F" w14:textId="77777777" w:rsidR="000707CF" w:rsidRDefault="00CE7D8A" w:rsidP="000707CF">
      <w:pPr>
        <w:pStyle w:val="Heading4"/>
        <w:spacing w:before="240"/>
      </w:pPr>
      <w:r>
        <w:t xml:space="preserve">5.2 </w:t>
      </w:r>
      <w:r w:rsidR="000707CF">
        <w:t>Openness and responsiveness to requests</w:t>
      </w:r>
      <w:r w:rsidR="00FE693C">
        <w:t xml:space="preserve"> from investors</w:t>
      </w:r>
    </w:p>
    <w:p w14:paraId="7EE2A319" w14:textId="09611B7F" w:rsidR="00F45C7E" w:rsidRPr="002E6466" w:rsidRDefault="000707CF" w:rsidP="0032107D">
      <w:pPr>
        <w:pStyle w:val="BodyText"/>
      </w:pPr>
      <w:r>
        <w:t xml:space="preserve">FIRB agencies regularly respond to requests </w:t>
      </w:r>
      <w:r w:rsidRPr="005B5BBE">
        <w:rPr>
          <w:rFonts w:asciiTheme="minorHAnsi" w:hAnsiTheme="minorHAnsi"/>
        </w:rPr>
        <w:t xml:space="preserve">from foreign investors </w:t>
      </w:r>
      <w:r>
        <w:rPr>
          <w:rFonts w:asciiTheme="minorHAnsi" w:hAnsiTheme="minorHAnsi"/>
        </w:rPr>
        <w:t xml:space="preserve">and their advisers </w:t>
      </w:r>
      <w:r w:rsidRPr="005B5BBE">
        <w:rPr>
          <w:rFonts w:asciiTheme="minorHAnsi" w:hAnsiTheme="minorHAnsi"/>
        </w:rPr>
        <w:t>regarding the framework</w:t>
      </w:r>
      <w:r>
        <w:rPr>
          <w:rFonts w:asciiTheme="minorHAnsi" w:hAnsiTheme="minorHAnsi"/>
        </w:rPr>
        <w:t xml:space="preserve"> and its application.</w:t>
      </w:r>
      <w:r w:rsidR="00F45C7E">
        <w:rPr>
          <w:rFonts w:asciiTheme="minorHAnsi" w:hAnsiTheme="minorHAnsi"/>
        </w:rPr>
        <w:t xml:space="preserve"> </w:t>
      </w:r>
      <w:r w:rsidR="00F45C7E">
        <w:t xml:space="preserve">A portion of FIRB website users </w:t>
      </w:r>
      <w:r w:rsidR="00CE7D8A">
        <w:t>are</w:t>
      </w:r>
      <w:r w:rsidR="00F45C7E">
        <w:t xml:space="preserve"> directed from the FIRB website to foreign investment specific content on the ATO</w:t>
      </w:r>
      <w:r w:rsidR="00760B35">
        <w:t xml:space="preserve"> website</w:t>
      </w:r>
      <w:r w:rsidR="00F45C7E">
        <w:t>.</w:t>
      </w:r>
    </w:p>
    <w:p w14:paraId="579800EC" w14:textId="3FC8A0BE" w:rsidR="00054A79" w:rsidRPr="00750094" w:rsidRDefault="000707CF" w:rsidP="0032107D">
      <w:pPr>
        <w:pStyle w:val="BodyText"/>
      </w:pPr>
      <w:r>
        <w:lastRenderedPageBreak/>
        <w:t xml:space="preserve">FIRB agencies aim to consider and respond to </w:t>
      </w:r>
      <w:r w:rsidR="00A10B0B">
        <w:t>stakeholder requests</w:t>
      </w:r>
      <w:r>
        <w:t xml:space="preserve"> as </w:t>
      </w:r>
      <w:r w:rsidR="00A10B0B">
        <w:t>they arise</w:t>
      </w:r>
      <w:r>
        <w:t xml:space="preserve">. </w:t>
      </w:r>
      <w:r w:rsidR="00FE693C" w:rsidRPr="005B5BBE">
        <w:rPr>
          <w:rFonts w:asciiTheme="minorHAnsi" w:hAnsiTheme="minorHAnsi"/>
        </w:rPr>
        <w:t xml:space="preserve">FIRB agencies use several mechanisms to field </w:t>
      </w:r>
      <w:r w:rsidR="00FE693C">
        <w:rPr>
          <w:rFonts w:asciiTheme="minorHAnsi" w:hAnsiTheme="minorHAnsi"/>
        </w:rPr>
        <w:t xml:space="preserve">questions from </w:t>
      </w:r>
      <w:r w:rsidR="00FE693C" w:rsidRPr="005B5BBE">
        <w:rPr>
          <w:rFonts w:asciiTheme="minorHAnsi" w:hAnsiTheme="minorHAnsi"/>
        </w:rPr>
        <w:t>the general public</w:t>
      </w:r>
      <w:r w:rsidR="00FE693C">
        <w:rPr>
          <w:rFonts w:asciiTheme="minorHAnsi" w:hAnsiTheme="minorHAnsi"/>
        </w:rPr>
        <w:t>, foreign investors and advisers</w:t>
      </w:r>
      <w:r w:rsidR="00FE693C" w:rsidRPr="005B5BBE">
        <w:rPr>
          <w:rFonts w:asciiTheme="minorHAnsi" w:hAnsiTheme="minorHAnsi"/>
        </w:rPr>
        <w:t xml:space="preserve">, </w:t>
      </w:r>
      <w:r w:rsidR="00FE693C">
        <w:rPr>
          <w:rFonts w:asciiTheme="minorHAnsi" w:hAnsiTheme="minorHAnsi"/>
        </w:rPr>
        <w:t>such as</w:t>
      </w:r>
      <w:r w:rsidR="00FE693C" w:rsidRPr="005B5BBE">
        <w:rPr>
          <w:rFonts w:asciiTheme="minorHAnsi" w:hAnsiTheme="minorHAnsi"/>
        </w:rPr>
        <w:t xml:space="preserve"> an enquiries phone line and </w:t>
      </w:r>
      <w:r w:rsidR="000A25F0">
        <w:rPr>
          <w:rFonts w:asciiTheme="minorHAnsi" w:hAnsiTheme="minorHAnsi"/>
        </w:rPr>
        <w:t xml:space="preserve">dedicated enquiries and compliance </w:t>
      </w:r>
      <w:r w:rsidR="000A25F0" w:rsidRPr="005B5BBE">
        <w:rPr>
          <w:rFonts w:asciiTheme="minorHAnsi" w:hAnsiTheme="minorHAnsi"/>
        </w:rPr>
        <w:t>email</w:t>
      </w:r>
      <w:r w:rsidR="000A25F0">
        <w:rPr>
          <w:rFonts w:asciiTheme="minorHAnsi" w:hAnsiTheme="minorHAnsi"/>
        </w:rPr>
        <w:t xml:space="preserve"> addresses</w:t>
      </w:r>
      <w:r w:rsidR="00FE693C" w:rsidRPr="005B5BBE">
        <w:rPr>
          <w:rFonts w:asciiTheme="minorHAnsi" w:hAnsiTheme="minorHAnsi"/>
        </w:rPr>
        <w:t>.</w:t>
      </w:r>
      <w:r w:rsidR="00FE693C" w:rsidRPr="007D2784">
        <w:rPr>
          <w:rFonts w:asciiTheme="minorHAnsi" w:hAnsiTheme="minorHAnsi"/>
        </w:rPr>
        <w:t xml:space="preserve"> In 201</w:t>
      </w:r>
      <w:r w:rsidR="00FE693C">
        <w:rPr>
          <w:rFonts w:asciiTheme="minorHAnsi" w:hAnsiTheme="minorHAnsi"/>
        </w:rPr>
        <w:t>8</w:t>
      </w:r>
      <w:r w:rsidR="00FE693C" w:rsidRPr="007D2784">
        <w:rPr>
          <w:rFonts w:asciiTheme="minorHAnsi" w:hAnsiTheme="minorHAnsi"/>
        </w:rPr>
        <w:t>-1</w:t>
      </w:r>
      <w:r w:rsidR="00FE693C">
        <w:rPr>
          <w:rFonts w:asciiTheme="minorHAnsi" w:hAnsiTheme="minorHAnsi"/>
        </w:rPr>
        <w:t>9</w:t>
      </w:r>
      <w:r w:rsidR="00FE693C" w:rsidRPr="007D2784">
        <w:rPr>
          <w:rFonts w:asciiTheme="minorHAnsi" w:hAnsiTheme="minorHAnsi"/>
        </w:rPr>
        <w:t xml:space="preserve">, </w:t>
      </w:r>
      <w:r w:rsidR="00054A79" w:rsidRPr="00411B7F">
        <w:t>Treasury handled 2,329 calls on its foreign investment</w:t>
      </w:r>
      <w:r w:rsidR="003C3DF5" w:rsidRPr="00411B7F">
        <w:t xml:space="preserve"> telephone</w:t>
      </w:r>
      <w:r w:rsidR="00054A79" w:rsidRPr="00411B7F">
        <w:t xml:space="preserve"> enquiry line and responded to o</w:t>
      </w:r>
      <w:r w:rsidR="003C3DF5" w:rsidRPr="00411B7F">
        <w:t>ver 450 written enquiries. W</w:t>
      </w:r>
      <w:r w:rsidR="00054A79" w:rsidRPr="00411B7F">
        <w:t xml:space="preserve">ritten enquiries are up from 342 in 2017-18, an increase of 31.5 per cent over the year. The increase may be attributed to telephone enquiries being directed to </w:t>
      </w:r>
      <w:hyperlink r:id="rId49" w:history="1">
        <w:r w:rsidR="00054A79" w:rsidRPr="00411B7F">
          <w:rPr>
            <w:rStyle w:val="Hyperlink"/>
          </w:rPr>
          <w:t>FIRBEnquiries@treasury.gov.au</w:t>
        </w:r>
      </w:hyperlink>
      <w:r w:rsidR="00054A79" w:rsidRPr="00411B7F">
        <w:t xml:space="preserve"> </w:t>
      </w:r>
      <w:r w:rsidR="002831C3">
        <w:t xml:space="preserve">or </w:t>
      </w:r>
      <w:hyperlink r:id="rId50" w:history="1">
        <w:r w:rsidR="002831C3" w:rsidRPr="00274637">
          <w:rPr>
            <w:rStyle w:val="Hyperlink"/>
          </w:rPr>
          <w:t>FIRBCompliance@treasury.gov.au</w:t>
        </w:r>
      </w:hyperlink>
      <w:r w:rsidR="002831C3">
        <w:t xml:space="preserve"> </w:t>
      </w:r>
      <w:r w:rsidR="00054A79" w:rsidRPr="00411B7F">
        <w:t>where possible.</w:t>
      </w:r>
      <w:r w:rsidR="00054A79" w:rsidRPr="00750094">
        <w:t xml:space="preserve"> </w:t>
      </w:r>
    </w:p>
    <w:p w14:paraId="342CE3FB" w14:textId="6C76AFAC" w:rsidR="00A10B0B" w:rsidRPr="00A10B0B" w:rsidRDefault="00A10B0B" w:rsidP="0032107D">
      <w:pPr>
        <w:pStyle w:val="BodyText"/>
        <w:rPr>
          <w:lang w:eastAsia="en-US"/>
        </w:rPr>
      </w:pPr>
      <w:r w:rsidRPr="00A10B0B">
        <w:t xml:space="preserve">To improve how enquiries are handled, Treasury </w:t>
      </w:r>
      <w:r w:rsidR="00F745E9">
        <w:t>undertakes an analysis of enquiries and prepares statistical analysis of written enquiries</w:t>
      </w:r>
      <w:r w:rsidR="003B57D5">
        <w:t xml:space="preserve"> as a way of tracking service performance</w:t>
      </w:r>
      <w:r w:rsidR="00F745E9">
        <w:t xml:space="preserve">. This includes collating information on the number of enquiries, response times and the nature of enquiries received. </w:t>
      </w:r>
      <w:r w:rsidR="003B57D5">
        <w:t>Standard responses to recurring enquir</w:t>
      </w:r>
      <w:r w:rsidR="00F8790B">
        <w:t>i</w:t>
      </w:r>
      <w:r w:rsidR="003B57D5">
        <w:t xml:space="preserve">es have been prepared. </w:t>
      </w:r>
      <w:r w:rsidR="00C6664B">
        <w:t xml:space="preserve">In terms of telephone enquiries, </w:t>
      </w:r>
      <w:r w:rsidR="003B57D5">
        <w:t xml:space="preserve">experienced staff are required to log on to </w:t>
      </w:r>
      <w:r w:rsidR="00F96240">
        <w:t>the enquir</w:t>
      </w:r>
      <w:r w:rsidR="00F8790B">
        <w:t>i</w:t>
      </w:r>
      <w:r w:rsidR="00F96240">
        <w:t>es line to provide general advice to callers</w:t>
      </w:r>
      <w:r w:rsidR="00C6664B">
        <w:t>,</w:t>
      </w:r>
      <w:r w:rsidR="00F96240">
        <w:t xml:space="preserve"> drawing on these standard responses and Guidance Notes. </w:t>
      </w:r>
    </w:p>
    <w:p w14:paraId="7D684DE6" w14:textId="6F6AF64B" w:rsidR="00054A79" w:rsidRDefault="00054A79" w:rsidP="0032107D">
      <w:pPr>
        <w:pStyle w:val="BodyText"/>
      </w:pPr>
      <w:r w:rsidRPr="00FE5536">
        <w:t>In 2018-19, the ATO answered 13,013 phone enquiries and 426 we</w:t>
      </w:r>
      <w:r w:rsidR="00D61E59">
        <w:t xml:space="preserve">bsite enquiries via ato.gov.au </w:t>
      </w:r>
      <w:r w:rsidR="00F65B26">
        <w:t>‘</w:t>
      </w:r>
      <w:r w:rsidRPr="00FE5536">
        <w:t>Ask Alex</w:t>
      </w:r>
      <w:r w:rsidR="00F65B26">
        <w:t>’</w:t>
      </w:r>
      <w:r w:rsidRPr="00FE5536">
        <w:t xml:space="preserve"> – the ATO’s virtual assistant. The ATO answered 10,337 email enquiries including 420 emails regarding compliance obligations; 7</w:t>
      </w:r>
      <w:r w:rsidR="00431FCF">
        <w:t>,</w:t>
      </w:r>
      <w:r w:rsidRPr="00FE5536">
        <w:t>133 emails regarding residential real estate applications; 26 emails concerning commercial applications; 855 emails concerning the vacancy fee; 1,888 concerning land registrations including agricultural, residential real estate and water entitlements; and 15 general enquiries about communication products.</w:t>
      </w:r>
    </w:p>
    <w:p w14:paraId="4F0141D7" w14:textId="3E65C3DF" w:rsidR="00FF586D" w:rsidRPr="00FF586D" w:rsidRDefault="00FF586D">
      <w:pPr>
        <w:pStyle w:val="Heading5"/>
      </w:pPr>
      <w:r>
        <w:rPr>
          <w:noProof/>
        </w:rPr>
        <w:drawing>
          <wp:anchor distT="0" distB="0" distL="114300" distR="114300" simplePos="0" relativeHeight="251658240" behindDoc="1" locked="0" layoutInCell="1" allowOverlap="1" wp14:anchorId="1C8834E9" wp14:editId="09ABDE0E">
            <wp:simplePos x="0" y="0"/>
            <wp:positionH relativeFrom="column">
              <wp:posOffset>-58420</wp:posOffset>
            </wp:positionH>
            <wp:positionV relativeFrom="paragraph">
              <wp:posOffset>97155</wp:posOffset>
            </wp:positionV>
            <wp:extent cx="5731510" cy="2808605"/>
            <wp:effectExtent l="0" t="0" r="0" b="0"/>
            <wp:wrapTight wrapText="bothSides">
              <wp:wrapPolygon edited="0">
                <wp:start x="1149" y="879"/>
                <wp:lineTo x="862" y="1612"/>
                <wp:lineTo x="718" y="2344"/>
                <wp:lineTo x="718" y="10255"/>
                <wp:lineTo x="2226" y="10548"/>
                <wp:lineTo x="10769" y="10548"/>
                <wp:lineTo x="1723" y="11135"/>
                <wp:lineTo x="718" y="11281"/>
                <wp:lineTo x="790" y="19925"/>
                <wp:lineTo x="1005" y="20511"/>
                <wp:lineTo x="20317" y="20511"/>
                <wp:lineTo x="20533" y="19925"/>
                <wp:lineTo x="20748" y="11428"/>
                <wp:lineTo x="19456" y="11135"/>
                <wp:lineTo x="10769" y="10548"/>
                <wp:lineTo x="19312" y="10548"/>
                <wp:lineTo x="20820" y="10255"/>
                <wp:lineTo x="20748" y="2637"/>
                <wp:lineTo x="20533" y="1465"/>
                <wp:lineTo x="20246" y="879"/>
                <wp:lineTo x="1149" y="879"/>
              </wp:wrapPolygon>
            </wp:wrapTight>
            <wp:docPr id="2" name="Picture 2" descr="Written enquiries &#10;ATO 10,337&#10;Treasury 450&#10;Total 10,787&#10;Calls&#10;ATO 13,013&#10;Treasury 2,329&#10;Total 15,342&#10;FIRB Website&#10;Users 228,727&#10;Sessions 403,666&#10;ATO Website&#10;133,047 unique page views – English language content&#10;7,010 unique page views – Chinese language cont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E\AppData\Local\Microsoft\Windows\INetCache\Content.Word\FIRB enquiries graphic-01.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31510" cy="280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E77">
        <w:t>Figure 2: Foreign Investment Enquir</w:t>
      </w:r>
      <w:r w:rsidR="00F8790B">
        <w:t>i</w:t>
      </w:r>
      <w:r w:rsidR="00920E77">
        <w:t>es</w:t>
      </w:r>
    </w:p>
    <w:p w14:paraId="6667918B" w14:textId="3982704C" w:rsidR="00327066" w:rsidRDefault="00920E77" w:rsidP="00FE5536">
      <w:pPr>
        <w:pStyle w:val="ChartorTableNote"/>
        <w:jc w:val="left"/>
      </w:pPr>
      <w:r w:rsidRPr="00FE5536">
        <w:rPr>
          <w:rFonts w:asciiTheme="minorHAnsi" w:hAnsiTheme="minorHAnsi" w:cstheme="minorHAnsi"/>
          <w:sz w:val="18"/>
          <w:szCs w:val="18"/>
        </w:rPr>
        <w:t>Source:</w:t>
      </w:r>
      <w:r w:rsidR="00F8790B" w:rsidRPr="00FE5536">
        <w:rPr>
          <w:rFonts w:asciiTheme="minorHAnsi" w:hAnsiTheme="minorHAnsi" w:cstheme="minorHAnsi"/>
          <w:sz w:val="18"/>
          <w:szCs w:val="18"/>
        </w:rPr>
        <w:t xml:space="preserve"> FIRB Phone, Email and Website statistics 2018-19</w:t>
      </w:r>
      <w:r w:rsidR="00F8790B">
        <w:rPr>
          <w:rStyle w:val="FootnoteReference"/>
          <w:rFonts w:asciiTheme="minorHAnsi" w:hAnsiTheme="minorHAnsi" w:cstheme="minorHAnsi"/>
          <w:sz w:val="18"/>
          <w:szCs w:val="18"/>
        </w:rPr>
        <w:footnoteReference w:id="8"/>
      </w:r>
      <w:r w:rsidR="00327066">
        <w:rPr>
          <w:sz w:val="18"/>
          <w:szCs w:val="18"/>
        </w:rPr>
        <w:br/>
      </w:r>
    </w:p>
    <w:p w14:paraId="5B13D300" w14:textId="588683C2" w:rsidR="00CF6E4A" w:rsidRPr="00DD299A" w:rsidRDefault="00014345" w:rsidP="00FA3EE1">
      <w:pPr>
        <w:pStyle w:val="Heading4"/>
        <w:spacing w:before="0"/>
      </w:pPr>
      <w:r>
        <w:rPr>
          <w:sz w:val="18"/>
          <w:szCs w:val="18"/>
        </w:rPr>
        <w:br/>
      </w:r>
      <w:r w:rsidR="00CF6E4A">
        <w:t xml:space="preserve">5.3 </w:t>
      </w:r>
      <w:r w:rsidR="00CF6E4A" w:rsidRPr="00DD299A">
        <w:t>Publication of performance measurement results</w:t>
      </w:r>
      <w:r w:rsidR="00CF6E4A">
        <w:t xml:space="preserve"> to ensure accountability to the public</w:t>
      </w:r>
    </w:p>
    <w:p w14:paraId="22929632" w14:textId="292DBAF2" w:rsidR="00CF6E4A" w:rsidRDefault="00CF6E4A" w:rsidP="0032107D">
      <w:pPr>
        <w:pStyle w:val="BodyText"/>
      </w:pPr>
      <w:r>
        <w:t xml:space="preserve">FIRB agencies have two key public documents. The FIRB Annual Report is the mechanism for reporting on foreign investment applications, approvals and compliance. This RPF report is the mechanism for reporting FIRB agencies’ </w:t>
      </w:r>
      <w:r w:rsidRPr="002B7B8E">
        <w:t>performance measurement results</w:t>
      </w:r>
      <w:r>
        <w:t xml:space="preserve"> to the public. Each report is published annually.</w:t>
      </w:r>
    </w:p>
    <w:p w14:paraId="6C98C4EB" w14:textId="62B34DE4" w:rsidR="00551B2C" w:rsidRPr="002E6466" w:rsidRDefault="00CF6E4A" w:rsidP="0032107D">
      <w:pPr>
        <w:pStyle w:val="BodyText"/>
      </w:pPr>
      <w:r>
        <w:rPr>
          <w:rFonts w:asciiTheme="minorHAnsi" w:hAnsiTheme="minorHAnsi"/>
        </w:rPr>
        <w:lastRenderedPageBreak/>
        <w:t>In 2018-19, FIRB agencies continued their commitment to increase</w:t>
      </w:r>
      <w:r w:rsidR="001C79E1">
        <w:rPr>
          <w:rFonts w:asciiTheme="minorHAnsi" w:hAnsiTheme="minorHAnsi"/>
        </w:rPr>
        <w:t>d</w:t>
      </w:r>
      <w:r>
        <w:rPr>
          <w:rFonts w:asciiTheme="minorHAnsi" w:hAnsiTheme="minorHAnsi"/>
        </w:rPr>
        <w:t xml:space="preserve"> transparency of </w:t>
      </w:r>
      <w:r w:rsidR="001C79E1">
        <w:rPr>
          <w:rFonts w:asciiTheme="minorHAnsi" w:hAnsiTheme="minorHAnsi"/>
        </w:rPr>
        <w:t xml:space="preserve">information regarding </w:t>
      </w:r>
      <w:r>
        <w:rPr>
          <w:rFonts w:asciiTheme="minorHAnsi" w:hAnsiTheme="minorHAnsi"/>
        </w:rPr>
        <w:t xml:space="preserve">foreign ownership in the agriculture and water asset sectors. </w:t>
      </w:r>
      <w:r w:rsidR="001C79E1">
        <w:rPr>
          <w:rFonts w:asciiTheme="minorHAnsi" w:hAnsiTheme="minorHAnsi"/>
        </w:rPr>
        <w:t xml:space="preserve">In </w:t>
      </w:r>
      <w:r w:rsidRPr="008B3E6B">
        <w:rPr>
          <w:rFonts w:asciiTheme="minorHAnsi" w:hAnsiTheme="minorHAnsi"/>
        </w:rPr>
        <w:t>December</w:t>
      </w:r>
      <w:r>
        <w:rPr>
          <w:rFonts w:asciiTheme="minorHAnsi" w:hAnsiTheme="minorHAnsi"/>
        </w:rPr>
        <w:t xml:space="preserve"> 2018, </w:t>
      </w:r>
      <w:r w:rsidRPr="008B3E6B">
        <w:rPr>
          <w:rFonts w:asciiTheme="minorHAnsi" w:hAnsiTheme="minorHAnsi"/>
        </w:rPr>
        <w:t>the Treasurer released the third annual report of the Foreign Ownership of Agricultural Land Register</w:t>
      </w:r>
      <w:r w:rsidR="001C79E1">
        <w:rPr>
          <w:rFonts w:asciiTheme="minorHAnsi" w:hAnsiTheme="minorHAnsi"/>
        </w:rPr>
        <w:t xml:space="preserve"> and in </w:t>
      </w:r>
      <w:r w:rsidRPr="008B3E6B">
        <w:rPr>
          <w:rFonts w:asciiTheme="minorHAnsi" w:hAnsiTheme="minorHAnsi"/>
        </w:rPr>
        <w:t>March 2019</w:t>
      </w:r>
      <w:r>
        <w:rPr>
          <w:rFonts w:asciiTheme="minorHAnsi" w:hAnsiTheme="minorHAnsi"/>
        </w:rPr>
        <w:t>,</w:t>
      </w:r>
      <w:r w:rsidRPr="008B3E6B">
        <w:rPr>
          <w:rFonts w:asciiTheme="minorHAnsi" w:hAnsiTheme="minorHAnsi"/>
        </w:rPr>
        <w:t xml:space="preserve"> the first report of the Register of Foreign Ownership of Water Entitlements</w:t>
      </w:r>
      <w:r w:rsidR="001C79E1">
        <w:rPr>
          <w:rFonts w:asciiTheme="minorHAnsi" w:hAnsiTheme="minorHAnsi"/>
        </w:rPr>
        <w:t xml:space="preserve"> was released</w:t>
      </w:r>
      <w:r>
        <w:rPr>
          <w:rFonts w:asciiTheme="minorHAnsi" w:hAnsiTheme="minorHAnsi"/>
        </w:rPr>
        <w:t>.</w:t>
      </w:r>
    </w:p>
    <w:p w14:paraId="5F8C0990" w14:textId="77777777" w:rsidR="00311F5F" w:rsidRDefault="00311F5F" w:rsidP="0032107D">
      <w:pPr>
        <w:pStyle w:val="BodyText"/>
        <w:rPr>
          <w:rFonts w:cs="Arial"/>
          <w:b/>
          <w:bCs/>
          <w:caps/>
          <w:color w:val="1F497D" w:themeColor="text2"/>
          <w:kern w:val="32"/>
          <w:sz w:val="44"/>
          <w:szCs w:val="36"/>
        </w:rPr>
      </w:pPr>
      <w:r>
        <w:br w:type="page"/>
      </w:r>
    </w:p>
    <w:p w14:paraId="1A57D2EC" w14:textId="77777777" w:rsidR="00551B2C" w:rsidRPr="005B5BBE" w:rsidRDefault="00551B2C" w:rsidP="00551B2C">
      <w:pPr>
        <w:pStyle w:val="Heading2"/>
        <w:rPr>
          <w:rFonts w:asciiTheme="minorHAnsi" w:hAnsiTheme="minorHAnsi"/>
        </w:rPr>
      </w:pPr>
      <w:bookmarkStart w:id="44" w:name="_Toc31113264"/>
      <w:bookmarkStart w:id="45" w:name="_Toc33443672"/>
      <w:r w:rsidRPr="005B5BBE">
        <w:rPr>
          <w:rFonts w:asciiTheme="minorHAnsi" w:hAnsiTheme="minorHAnsi"/>
        </w:rPr>
        <w:lastRenderedPageBreak/>
        <w:t>KPI 6 – Regulators actively contribute to the continuous improvement of regulatory frameworks</w:t>
      </w:r>
      <w:bookmarkEnd w:id="44"/>
      <w:bookmarkEnd w:id="45"/>
    </w:p>
    <w:tbl>
      <w:tblPr>
        <w:tblW w:w="8789"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ayout w:type="fixed"/>
        <w:tblLook w:val="04A0" w:firstRow="1" w:lastRow="0" w:firstColumn="1" w:lastColumn="0" w:noHBand="0" w:noVBand="1"/>
      </w:tblPr>
      <w:tblGrid>
        <w:gridCol w:w="8789"/>
      </w:tblGrid>
      <w:tr w:rsidR="00551B2C" w:rsidRPr="005B5BBE" w14:paraId="55AC6323" w14:textId="77777777" w:rsidTr="00312CDE">
        <w:tc>
          <w:tcPr>
            <w:tcW w:w="8789" w:type="dxa"/>
            <w:tcBorders>
              <w:bottom w:val="single" w:sz="2" w:space="0" w:color="1F497D" w:themeColor="text2"/>
            </w:tcBorders>
            <w:shd w:val="clear" w:color="auto" w:fill="DBE5F1" w:themeFill="accent1" w:themeFillTint="33"/>
          </w:tcPr>
          <w:p w14:paraId="36437A02" w14:textId="77777777" w:rsidR="00551B2C" w:rsidRPr="005B5BBE" w:rsidRDefault="00551B2C" w:rsidP="00312CDE">
            <w:pPr>
              <w:pStyle w:val="TableColumnHeadingLeft"/>
              <w:rPr>
                <w:rFonts w:asciiTheme="minorHAnsi" w:hAnsiTheme="minorHAnsi"/>
              </w:rPr>
            </w:pPr>
            <w:r w:rsidRPr="005B5BBE">
              <w:rPr>
                <w:rFonts w:asciiTheme="minorHAnsi" w:hAnsiTheme="minorHAnsi"/>
              </w:rPr>
              <w:t>Measures of good regulatory performance</w:t>
            </w:r>
          </w:p>
        </w:tc>
      </w:tr>
      <w:tr w:rsidR="00551B2C" w:rsidRPr="005B5BBE" w14:paraId="05C6F6FF" w14:textId="77777777" w:rsidTr="00312CDE">
        <w:trPr>
          <w:trHeight w:val="250"/>
        </w:trPr>
        <w:tc>
          <w:tcPr>
            <w:tcW w:w="8789" w:type="dxa"/>
            <w:shd w:val="clear" w:color="auto" w:fill="FFFFFF" w:themeFill="background1"/>
          </w:tcPr>
          <w:p w14:paraId="51640956" w14:textId="77777777" w:rsidR="00551B2C" w:rsidRPr="005B5BBE" w:rsidRDefault="00295391" w:rsidP="00312CDE">
            <w:pPr>
              <w:pStyle w:val="TableTextLeft"/>
              <w:spacing w:before="60" w:after="60"/>
              <w:rPr>
                <w:rFonts w:asciiTheme="minorHAnsi" w:hAnsiTheme="minorHAnsi"/>
              </w:rPr>
            </w:pPr>
            <w:r>
              <w:rPr>
                <w:rFonts w:asciiTheme="minorHAnsi" w:hAnsiTheme="minorHAnsi"/>
              </w:rPr>
              <w:t xml:space="preserve">6.1 </w:t>
            </w:r>
            <w:r w:rsidR="00551B2C" w:rsidRPr="005B5BBE">
              <w:rPr>
                <w:rFonts w:asciiTheme="minorHAnsi" w:hAnsiTheme="minorHAnsi"/>
              </w:rPr>
              <w:t>Establish cooperative and collaborative relationships with stakeholders to promote trust and improve the efficiency and effectiveness of the regulatory framework</w:t>
            </w:r>
          </w:p>
        </w:tc>
      </w:tr>
      <w:tr w:rsidR="00551B2C" w:rsidRPr="005B5BBE" w14:paraId="0194788C" w14:textId="77777777" w:rsidTr="00312CDE">
        <w:trPr>
          <w:trHeight w:val="250"/>
        </w:trPr>
        <w:tc>
          <w:tcPr>
            <w:tcW w:w="8789" w:type="dxa"/>
            <w:shd w:val="clear" w:color="auto" w:fill="FFFFFF" w:themeFill="background1"/>
          </w:tcPr>
          <w:p w14:paraId="3CFE4471" w14:textId="77777777" w:rsidR="00551B2C" w:rsidRPr="005B5BBE" w:rsidRDefault="00295391" w:rsidP="00312CDE">
            <w:pPr>
              <w:pStyle w:val="TableTextLeft"/>
              <w:spacing w:before="60" w:after="60"/>
              <w:rPr>
                <w:rFonts w:asciiTheme="minorHAnsi" w:hAnsiTheme="minorHAnsi"/>
              </w:rPr>
            </w:pPr>
            <w:r>
              <w:rPr>
                <w:rFonts w:asciiTheme="minorHAnsi" w:hAnsiTheme="minorHAnsi"/>
              </w:rPr>
              <w:t xml:space="preserve">6.2 </w:t>
            </w:r>
            <w:r w:rsidR="00551B2C" w:rsidRPr="005B5BBE">
              <w:rPr>
                <w:rFonts w:asciiTheme="minorHAnsi" w:hAnsiTheme="minorHAnsi"/>
              </w:rPr>
              <w:t>Engage stakeholders in the development of options to reduce compliance costs</w:t>
            </w:r>
          </w:p>
        </w:tc>
      </w:tr>
      <w:tr w:rsidR="00551B2C" w:rsidRPr="005B5BBE" w14:paraId="59C6F23B" w14:textId="77777777" w:rsidTr="00312CDE">
        <w:trPr>
          <w:trHeight w:val="784"/>
        </w:trPr>
        <w:tc>
          <w:tcPr>
            <w:tcW w:w="8789" w:type="dxa"/>
            <w:shd w:val="clear" w:color="auto" w:fill="FFFFFF" w:themeFill="background1"/>
          </w:tcPr>
          <w:p w14:paraId="37E15000" w14:textId="77777777" w:rsidR="00551B2C" w:rsidRPr="005B5BBE" w:rsidRDefault="00295391" w:rsidP="00312CDE">
            <w:pPr>
              <w:pStyle w:val="TableTextLeft"/>
              <w:spacing w:before="60" w:after="60"/>
              <w:rPr>
                <w:rFonts w:asciiTheme="minorHAnsi" w:hAnsiTheme="minorHAnsi"/>
              </w:rPr>
            </w:pPr>
            <w:r>
              <w:rPr>
                <w:rFonts w:asciiTheme="minorHAnsi" w:hAnsiTheme="minorHAnsi"/>
              </w:rPr>
              <w:t xml:space="preserve">6.3 </w:t>
            </w:r>
            <w:r w:rsidR="00551B2C" w:rsidRPr="005B5BBE">
              <w:rPr>
                <w:rFonts w:asciiTheme="minorHAnsi" w:hAnsiTheme="minorHAnsi"/>
              </w:rPr>
              <w:t xml:space="preserve">Regularly share feedback from stakeholders and performance information with policy departments </w:t>
            </w:r>
            <w:r w:rsidR="00551B2C">
              <w:rPr>
                <w:rFonts w:asciiTheme="minorHAnsi" w:hAnsiTheme="minorHAnsi"/>
              </w:rPr>
              <w:t>or agencies</w:t>
            </w:r>
            <w:r w:rsidR="00551B2C" w:rsidRPr="005B5BBE">
              <w:rPr>
                <w:rFonts w:asciiTheme="minorHAnsi" w:hAnsiTheme="minorHAnsi"/>
              </w:rPr>
              <w:t xml:space="preserve"> and across the Division and other areas in Treasury to improve the operation of the regulatory framework and administrative processes</w:t>
            </w:r>
          </w:p>
        </w:tc>
      </w:tr>
    </w:tbl>
    <w:p w14:paraId="4047ABC2" w14:textId="77777777" w:rsidR="00551B2C" w:rsidRDefault="00551B2C" w:rsidP="00551B2C">
      <w:pPr>
        <w:rPr>
          <w:rFonts w:cs="Arial"/>
          <w:b/>
          <w:bCs/>
          <w:iCs/>
          <w:smallCaps/>
          <w:color w:val="1F497D" w:themeColor="text2"/>
          <w:sz w:val="32"/>
          <w:szCs w:val="28"/>
        </w:rPr>
      </w:pPr>
      <w:r w:rsidRPr="00413309">
        <w:rPr>
          <w:rFonts w:cs="Arial"/>
          <w:b/>
          <w:bCs/>
          <w:iCs/>
          <w:smallCaps/>
          <w:color w:val="1F497D" w:themeColor="text2"/>
          <w:sz w:val="32"/>
          <w:szCs w:val="28"/>
        </w:rPr>
        <w:t xml:space="preserve"> </w:t>
      </w:r>
    </w:p>
    <w:p w14:paraId="189501A7" w14:textId="77777777" w:rsidR="00551B2C" w:rsidRPr="008116D8" w:rsidRDefault="00551B2C" w:rsidP="00551B2C">
      <w:pPr>
        <w:rPr>
          <w:rFonts w:cs="Arial"/>
          <w:b/>
          <w:bCs/>
          <w:iCs/>
          <w:smallCaps/>
          <w:color w:val="1F497D" w:themeColor="text2"/>
          <w:sz w:val="32"/>
          <w:szCs w:val="28"/>
        </w:rPr>
      </w:pPr>
      <w:r w:rsidRPr="008116D8">
        <w:rPr>
          <w:rFonts w:cs="Arial"/>
          <w:b/>
          <w:bCs/>
          <w:iCs/>
          <w:smallCaps/>
          <w:color w:val="1F497D" w:themeColor="text2"/>
          <w:sz w:val="32"/>
          <w:szCs w:val="28"/>
        </w:rPr>
        <w:t>Self-assessment</w:t>
      </w:r>
    </w:p>
    <w:p w14:paraId="276D24C8" w14:textId="77777777" w:rsidR="002F38DF" w:rsidRPr="0057637E" w:rsidRDefault="002F38DF" w:rsidP="002F38DF">
      <w:pPr>
        <w:spacing w:before="240"/>
        <w:rPr>
          <w:rFonts w:asciiTheme="majorHAnsi" w:hAnsiTheme="majorHAnsi"/>
          <w:b/>
          <w:bCs/>
          <w:i/>
          <w:color w:val="4F81BD" w:themeColor="accent1"/>
          <w:szCs w:val="22"/>
        </w:rPr>
      </w:pPr>
      <w:r w:rsidRPr="0057637E">
        <w:rPr>
          <w:rFonts w:asciiTheme="majorHAnsi" w:hAnsiTheme="majorHAnsi"/>
          <w:b/>
          <w:bCs/>
          <w:i/>
          <w:color w:val="4F81BD" w:themeColor="accent1"/>
          <w:szCs w:val="22"/>
        </w:rPr>
        <w:t xml:space="preserve">6.1 </w:t>
      </w:r>
      <w:r>
        <w:rPr>
          <w:rFonts w:asciiTheme="majorHAnsi" w:hAnsiTheme="majorHAnsi"/>
          <w:b/>
          <w:bCs/>
          <w:i/>
          <w:color w:val="4F81BD" w:themeColor="accent1"/>
          <w:szCs w:val="22"/>
        </w:rPr>
        <w:t>C</w:t>
      </w:r>
      <w:r w:rsidRPr="0057637E">
        <w:rPr>
          <w:rFonts w:asciiTheme="majorHAnsi" w:hAnsiTheme="majorHAnsi"/>
          <w:b/>
          <w:bCs/>
          <w:i/>
          <w:color w:val="4F81BD" w:themeColor="accent1"/>
          <w:szCs w:val="22"/>
        </w:rPr>
        <w:t>ollaborative relationship</w:t>
      </w:r>
      <w:r>
        <w:rPr>
          <w:rFonts w:asciiTheme="majorHAnsi" w:hAnsiTheme="majorHAnsi"/>
          <w:b/>
          <w:bCs/>
          <w:i/>
          <w:color w:val="4F81BD" w:themeColor="accent1"/>
          <w:szCs w:val="22"/>
        </w:rPr>
        <w:t>s</w:t>
      </w:r>
      <w:r w:rsidRPr="0057637E">
        <w:rPr>
          <w:rFonts w:asciiTheme="majorHAnsi" w:hAnsiTheme="majorHAnsi"/>
          <w:b/>
          <w:bCs/>
          <w:i/>
          <w:color w:val="4F81BD" w:themeColor="accent1"/>
          <w:szCs w:val="22"/>
        </w:rPr>
        <w:t xml:space="preserve"> with stakeholders </w:t>
      </w:r>
      <w:r>
        <w:rPr>
          <w:rFonts w:asciiTheme="majorHAnsi" w:hAnsiTheme="majorHAnsi"/>
          <w:b/>
          <w:bCs/>
          <w:i/>
          <w:color w:val="4F81BD" w:themeColor="accent1"/>
          <w:szCs w:val="22"/>
        </w:rPr>
        <w:t xml:space="preserve">that </w:t>
      </w:r>
      <w:r w:rsidRPr="0057637E">
        <w:rPr>
          <w:rFonts w:asciiTheme="majorHAnsi" w:hAnsiTheme="majorHAnsi"/>
          <w:b/>
          <w:bCs/>
          <w:i/>
          <w:color w:val="4F81BD" w:themeColor="accent1"/>
          <w:szCs w:val="22"/>
        </w:rPr>
        <w:t>promote trust and improve efficiency</w:t>
      </w:r>
    </w:p>
    <w:p w14:paraId="2128E094" w14:textId="757783C5" w:rsidR="007D0514" w:rsidRPr="00A01B7C" w:rsidRDefault="002F38DF" w:rsidP="00A01B7C">
      <w:pPr>
        <w:pStyle w:val="BodyText"/>
      </w:pPr>
      <w:r w:rsidRPr="00A01B7C">
        <w:t>As</w:t>
      </w:r>
      <w:r w:rsidR="007D0514" w:rsidRPr="00A01B7C">
        <w:t xml:space="preserve"> noted in other parts of this report, stakeholder engagement is a key priority for the FIRB and FIRB agencies.  </w:t>
      </w:r>
      <w:r w:rsidR="00EE06F0" w:rsidRPr="00A01B7C">
        <w:t xml:space="preserve">In addition to the meetings with current and prospective investors and their advisers, FIRB members and Treasury staff attended a number of international meetings with government </w:t>
      </w:r>
      <w:r w:rsidR="006F72CD" w:rsidRPr="00A01B7C">
        <w:t xml:space="preserve">and </w:t>
      </w:r>
      <w:r w:rsidR="00EE06F0" w:rsidRPr="00A01B7C">
        <w:t>private sector representatives including in the United Arab Emirates, the United States, Tokyo, Paris, London, Brussels and Berlin.</w:t>
      </w:r>
    </w:p>
    <w:p w14:paraId="383C5207" w14:textId="77777777" w:rsidR="00500177" w:rsidRPr="00A01B7C" w:rsidRDefault="00500177" w:rsidP="00A01B7C">
      <w:pPr>
        <w:pStyle w:val="BodyText"/>
      </w:pPr>
      <w:r w:rsidRPr="00A01B7C">
        <w:t xml:space="preserve">In addition, members of the </w:t>
      </w:r>
      <w:r w:rsidR="007D0514" w:rsidRPr="00A01B7C">
        <w:t xml:space="preserve">FIRB </w:t>
      </w:r>
      <w:r w:rsidRPr="00A01B7C">
        <w:t xml:space="preserve">undertook </w:t>
      </w:r>
      <w:r w:rsidR="007D0514" w:rsidRPr="00A01B7C">
        <w:t>outreach activities with investors</w:t>
      </w:r>
      <w:r w:rsidRPr="00A01B7C">
        <w:t xml:space="preserve">, their representatives and </w:t>
      </w:r>
      <w:r w:rsidR="006F72CD" w:rsidRPr="00A01B7C">
        <w:t>representatives</w:t>
      </w:r>
      <w:r w:rsidRPr="00A01B7C">
        <w:t xml:space="preserve"> of particular industry sectors. These were scheduled </w:t>
      </w:r>
      <w:r w:rsidR="007D0514" w:rsidRPr="00A01B7C">
        <w:t xml:space="preserve">to coincide with </w:t>
      </w:r>
      <w:r w:rsidRPr="00A01B7C">
        <w:t>monthly B</w:t>
      </w:r>
      <w:r w:rsidR="007D0514" w:rsidRPr="00A01B7C">
        <w:t xml:space="preserve">oard meetings. </w:t>
      </w:r>
    </w:p>
    <w:p w14:paraId="7D239C39" w14:textId="0E0F63AB" w:rsidR="00500177" w:rsidRPr="00A01B7C" w:rsidRDefault="00DB5E15" w:rsidP="00A01B7C">
      <w:pPr>
        <w:pStyle w:val="BodyText"/>
      </w:pPr>
      <w:r w:rsidRPr="00A01B7C">
        <w:t>T</w:t>
      </w:r>
      <w:r w:rsidR="00500177" w:rsidRPr="00A01B7C">
        <w:t xml:space="preserve">he Chair of the FIRB, David Irvine AO, </w:t>
      </w:r>
      <w:r w:rsidR="006F72CD" w:rsidRPr="00A01B7C">
        <w:t>also held a number of high level meetings with investors</w:t>
      </w:r>
      <w:r w:rsidR="00431FCF">
        <w:t xml:space="preserve"> and </w:t>
      </w:r>
      <w:r w:rsidR="006F72CD" w:rsidRPr="00A01B7C">
        <w:t xml:space="preserve">representatives from </w:t>
      </w:r>
      <w:r w:rsidR="009146FC" w:rsidRPr="00A01B7C">
        <w:t>consultation</w:t>
      </w:r>
      <w:r w:rsidR="006F72CD" w:rsidRPr="00A01B7C">
        <w:t xml:space="preserve"> agencies</w:t>
      </w:r>
      <w:r w:rsidR="00431FCF">
        <w:t>,</w:t>
      </w:r>
      <w:r w:rsidR="006F72CD" w:rsidRPr="00A01B7C">
        <w:t xml:space="preserve"> and delivered a number of presentations and speeches, including the keynote </w:t>
      </w:r>
      <w:r w:rsidR="00500177" w:rsidRPr="00A01B7C">
        <w:t>address at the Annual Infrastructure Investors’ Forum.</w:t>
      </w:r>
    </w:p>
    <w:p w14:paraId="5A2D3410" w14:textId="75EE3DBE" w:rsidR="007D0514" w:rsidRPr="00A01B7C" w:rsidRDefault="007D0514" w:rsidP="00A01B7C">
      <w:pPr>
        <w:pStyle w:val="BodyText"/>
      </w:pPr>
      <w:r w:rsidRPr="00A01B7C">
        <w:t>Treasury hosted monthly strategic foreign investments discussions</w:t>
      </w:r>
      <w:r w:rsidR="006F72CD" w:rsidRPr="00A01B7C">
        <w:t xml:space="preserve"> attended by senior representatives </w:t>
      </w:r>
      <w:r w:rsidR="00EE585D" w:rsidRPr="00A01B7C">
        <w:t xml:space="preserve">from </w:t>
      </w:r>
      <w:r w:rsidR="006F72CD" w:rsidRPr="00A01B7C">
        <w:t>across the Australian Government</w:t>
      </w:r>
      <w:r w:rsidR="003B2737" w:rsidRPr="00A01B7C">
        <w:t xml:space="preserve"> and consultation partners</w:t>
      </w:r>
      <w:r w:rsidRPr="00A01B7C">
        <w:t>.  Treasury</w:t>
      </w:r>
      <w:r w:rsidR="006F72CD" w:rsidRPr="00A01B7C">
        <w:t xml:space="preserve"> </w:t>
      </w:r>
      <w:r w:rsidR="00EE585D" w:rsidRPr="00A01B7C">
        <w:t xml:space="preserve">worked with agencies on </w:t>
      </w:r>
      <w:r w:rsidRPr="00A01B7C">
        <w:t>secondment</w:t>
      </w:r>
      <w:r w:rsidR="000D458A" w:rsidRPr="00A01B7C">
        <w:t>s</w:t>
      </w:r>
      <w:r w:rsidRPr="00A01B7C">
        <w:t xml:space="preserve">, including </w:t>
      </w:r>
      <w:r w:rsidR="006F72CD" w:rsidRPr="00A01B7C">
        <w:t xml:space="preserve">with </w:t>
      </w:r>
      <w:r w:rsidRPr="00A01B7C">
        <w:t>the ATO, the Inspector</w:t>
      </w:r>
      <w:r w:rsidR="00D44368" w:rsidRPr="00A01B7C">
        <w:t>-</w:t>
      </w:r>
      <w:r w:rsidRPr="00A01B7C">
        <w:t xml:space="preserve">General of Taxation and the Critical Infrastructure Centre (CIC). </w:t>
      </w:r>
    </w:p>
    <w:p w14:paraId="13331F4F" w14:textId="77777777" w:rsidR="002F38DF" w:rsidRPr="0057637E" w:rsidRDefault="002F38DF" w:rsidP="002F38DF">
      <w:pPr>
        <w:pStyle w:val="Bullet"/>
        <w:numPr>
          <w:ilvl w:val="0"/>
          <w:numId w:val="0"/>
        </w:numPr>
        <w:rPr>
          <w:rFonts w:asciiTheme="majorHAnsi" w:hAnsiTheme="majorHAnsi"/>
          <w:b/>
          <w:bCs/>
          <w:i/>
          <w:color w:val="4F81BD" w:themeColor="accent1"/>
          <w:szCs w:val="22"/>
        </w:rPr>
      </w:pPr>
      <w:r w:rsidRPr="0057637E">
        <w:rPr>
          <w:rFonts w:asciiTheme="majorHAnsi" w:hAnsiTheme="majorHAnsi"/>
          <w:b/>
          <w:bCs/>
          <w:i/>
          <w:color w:val="4F81BD" w:themeColor="accent1"/>
          <w:szCs w:val="22"/>
        </w:rPr>
        <w:t>6.2 Engaging stakeholders to develop options to reduce compliance costs</w:t>
      </w:r>
    </w:p>
    <w:p w14:paraId="5E5FE18E" w14:textId="48704468" w:rsidR="00006109" w:rsidRDefault="00B44953" w:rsidP="0032107D">
      <w:pPr>
        <w:pStyle w:val="BodyText"/>
      </w:pPr>
      <w:r>
        <w:t xml:space="preserve">In addition to ongoing consultations with current and proposed investors and their advisers, Treasury met with the Law Council </w:t>
      </w:r>
      <w:r w:rsidR="00006109">
        <w:t xml:space="preserve">a number of times to discuss issues of concern regarding the administration of the framework. </w:t>
      </w:r>
    </w:p>
    <w:p w14:paraId="2B44D6D8" w14:textId="7966ABA9" w:rsidR="002F38DF" w:rsidRDefault="002F38DF" w:rsidP="0032107D">
      <w:pPr>
        <w:pStyle w:val="BodyText"/>
      </w:pPr>
      <w:r w:rsidRPr="00124BE2">
        <w:t xml:space="preserve">Treasury has been working with </w:t>
      </w:r>
      <w:r>
        <w:t>consult</w:t>
      </w:r>
      <w:r w:rsidR="00006109">
        <w:t>ation</w:t>
      </w:r>
      <w:r>
        <w:t xml:space="preserve"> partners</w:t>
      </w:r>
      <w:r w:rsidRPr="00124BE2">
        <w:t xml:space="preserve"> to achieve more consistency in the conditions imposed on applications. This is expected to reduce the time required to draft </w:t>
      </w:r>
      <w:r w:rsidR="001F4F23">
        <w:t xml:space="preserve">and agree on </w:t>
      </w:r>
      <w:r w:rsidRPr="00124BE2">
        <w:t>conditions, and ensure they are appropriate and proportionate to the identified risk</w:t>
      </w:r>
      <w:r w:rsidR="00006109">
        <w:t>, thereby minimising compliance costs to the extent possible</w:t>
      </w:r>
      <w:r w:rsidRPr="00124BE2">
        <w:t>.</w:t>
      </w:r>
    </w:p>
    <w:p w14:paraId="21623A1B" w14:textId="77777777" w:rsidR="004006A2" w:rsidRPr="00020B42" w:rsidRDefault="001D17B3" w:rsidP="00CB66F1">
      <w:pPr>
        <w:keepNext/>
        <w:rPr>
          <w:rFonts w:asciiTheme="majorHAnsi" w:hAnsiTheme="majorHAnsi"/>
          <w:b/>
          <w:bCs/>
          <w:i/>
          <w:color w:val="4F81BD" w:themeColor="accent1"/>
          <w:szCs w:val="22"/>
        </w:rPr>
      </w:pPr>
      <w:r>
        <w:rPr>
          <w:rFonts w:asciiTheme="majorHAnsi" w:hAnsiTheme="majorHAnsi"/>
          <w:b/>
          <w:bCs/>
          <w:i/>
          <w:color w:val="4F81BD" w:themeColor="accent1"/>
          <w:szCs w:val="22"/>
        </w:rPr>
        <w:t xml:space="preserve">6.3 </w:t>
      </w:r>
      <w:r w:rsidR="004006A2" w:rsidRPr="00020B42">
        <w:rPr>
          <w:rFonts w:asciiTheme="majorHAnsi" w:hAnsiTheme="majorHAnsi"/>
          <w:b/>
          <w:bCs/>
          <w:i/>
          <w:color w:val="4F81BD" w:themeColor="accent1"/>
          <w:szCs w:val="22"/>
        </w:rPr>
        <w:t xml:space="preserve">Sharing feedback with </w:t>
      </w:r>
      <w:r>
        <w:rPr>
          <w:rFonts w:asciiTheme="majorHAnsi" w:hAnsiTheme="majorHAnsi"/>
          <w:b/>
          <w:bCs/>
          <w:i/>
          <w:color w:val="4F81BD" w:themeColor="accent1"/>
          <w:szCs w:val="22"/>
        </w:rPr>
        <w:t xml:space="preserve">stakeholders and performance information with departments </w:t>
      </w:r>
    </w:p>
    <w:p w14:paraId="505BCFA3" w14:textId="5AFCC421" w:rsidR="004006A2" w:rsidRDefault="00FC00EA" w:rsidP="0032107D">
      <w:pPr>
        <w:pStyle w:val="BodyText"/>
      </w:pPr>
      <w:r>
        <w:t xml:space="preserve">Feedback obtained by </w:t>
      </w:r>
      <w:r w:rsidR="001D17B3">
        <w:t xml:space="preserve">FIRB agencies on </w:t>
      </w:r>
      <w:r w:rsidR="001F4F23">
        <w:t>the operation and administration of the framework</w:t>
      </w:r>
      <w:r>
        <w:t xml:space="preserve"> is shared on an ongoing basis with consult</w:t>
      </w:r>
      <w:r w:rsidR="00334871">
        <w:t>ation</w:t>
      </w:r>
      <w:r>
        <w:t xml:space="preserve"> partners in regular discussions and in more formal settings such as through regularly scheduled meetings</w:t>
      </w:r>
      <w:r w:rsidR="00334871">
        <w:t xml:space="preserve"> </w:t>
      </w:r>
      <w:r>
        <w:t xml:space="preserve">with senior Australian Government representatives. </w:t>
      </w:r>
    </w:p>
    <w:p w14:paraId="7B8F26BB" w14:textId="4C901A10" w:rsidR="00EE7AA6" w:rsidRPr="00C50289" w:rsidRDefault="00EE7AA6" w:rsidP="00EE7AA6">
      <w:pPr>
        <w:pStyle w:val="Heading1"/>
      </w:pPr>
      <w:bookmarkStart w:id="46" w:name="_Appendix_A_–"/>
      <w:bookmarkStart w:id="47" w:name="_Toc528138377"/>
      <w:bookmarkStart w:id="48" w:name="_Toc528138388"/>
      <w:bookmarkStart w:id="49" w:name="_Appendix_C_–"/>
      <w:bookmarkStart w:id="50" w:name="_Toc31113265"/>
      <w:bookmarkStart w:id="51" w:name="_Toc33443673"/>
      <w:bookmarkEnd w:id="30"/>
      <w:bookmarkEnd w:id="31"/>
      <w:bookmarkEnd w:id="46"/>
      <w:bookmarkEnd w:id="47"/>
      <w:bookmarkEnd w:id="48"/>
      <w:bookmarkEnd w:id="49"/>
      <w:r w:rsidRPr="00C50289">
        <w:lastRenderedPageBreak/>
        <w:t xml:space="preserve">Appendix </w:t>
      </w:r>
      <w:r w:rsidR="003B2737">
        <w:t>A</w:t>
      </w:r>
      <w:r w:rsidRPr="00C50289">
        <w:t xml:space="preserve"> – </w:t>
      </w:r>
      <w:r>
        <w:t>Stake</w:t>
      </w:r>
      <w:r w:rsidR="00BE0424">
        <w:t>h</w:t>
      </w:r>
      <w:r>
        <w:t xml:space="preserve">older </w:t>
      </w:r>
      <w:r w:rsidR="00BE0424">
        <w:t>su</w:t>
      </w:r>
      <w:r>
        <w:t xml:space="preserve">rvey </w:t>
      </w:r>
      <w:r w:rsidR="00BE0424">
        <w:t>f</w:t>
      </w:r>
      <w:r>
        <w:t>eedback</w:t>
      </w:r>
      <w:bookmarkEnd w:id="50"/>
      <w:bookmarkEnd w:id="51"/>
    </w:p>
    <w:p w14:paraId="6D7C72E8" w14:textId="2279C7A0" w:rsidR="00F33274" w:rsidRPr="0032107D" w:rsidRDefault="00F33274" w:rsidP="0032107D">
      <w:pPr>
        <w:pStyle w:val="BodyText"/>
      </w:pPr>
      <w:r w:rsidRPr="0032107D">
        <w:t>The FIRB continues to actively engage with stakeholders and Australian businesses to provide information on the operation of the framework.</w:t>
      </w:r>
      <w:r w:rsidR="00E01B63" w:rsidRPr="0032107D">
        <w:t xml:space="preserve"> </w:t>
      </w:r>
      <w:r w:rsidRPr="0032107D">
        <w:t xml:space="preserve">Below is a summary of survey </w:t>
      </w:r>
      <w:r w:rsidR="00BE0424" w:rsidRPr="0032107D">
        <w:t>responses</w:t>
      </w:r>
      <w:r w:rsidRPr="0032107D">
        <w:t xml:space="preserve"> against each specific topic covered by the stakeholder survey. It is not meant to be a comprehensive summary of all responses received.</w:t>
      </w:r>
    </w:p>
    <w:p w14:paraId="452AB925" w14:textId="600E0B2E" w:rsidR="00DB7A0E" w:rsidRPr="0032107D" w:rsidRDefault="00DB7A0E" w:rsidP="0032107D">
      <w:pPr>
        <w:pStyle w:val="BodyText"/>
        <w:rPr>
          <w:b/>
        </w:rPr>
      </w:pPr>
      <w:r w:rsidRPr="0032107D">
        <w:rPr>
          <w:b/>
        </w:rPr>
        <w:t xml:space="preserve">Timeliness of the </w:t>
      </w:r>
      <w:r w:rsidR="00BE0424" w:rsidRPr="0032107D">
        <w:rPr>
          <w:b/>
        </w:rPr>
        <w:t>f</w:t>
      </w:r>
      <w:r w:rsidRPr="0032107D">
        <w:rPr>
          <w:b/>
        </w:rPr>
        <w:t xml:space="preserve">oreign </w:t>
      </w:r>
      <w:r w:rsidR="00BE0424" w:rsidRPr="0032107D">
        <w:rPr>
          <w:b/>
        </w:rPr>
        <w:t>i</w:t>
      </w:r>
      <w:r w:rsidRPr="0032107D">
        <w:rPr>
          <w:b/>
        </w:rPr>
        <w:t>nvestment application review process</w:t>
      </w:r>
    </w:p>
    <w:p w14:paraId="10A9BA04" w14:textId="4ABEFB75" w:rsidR="004E1D99" w:rsidRPr="0032107D" w:rsidRDefault="00DB7A0E" w:rsidP="0032107D">
      <w:pPr>
        <w:pStyle w:val="BodyText"/>
      </w:pPr>
      <w:r w:rsidRPr="0032107D">
        <w:t>Survey respondents reported some types of applications were completed very quickly while other applications required requests for extensions. 45</w:t>
      </w:r>
      <w:r w:rsidR="000150EB">
        <w:t xml:space="preserve"> per cent</w:t>
      </w:r>
      <w:r w:rsidRPr="0032107D">
        <w:t xml:space="preserve"> of survey respondents found the application review process ‘extremely</w:t>
      </w:r>
      <w:r w:rsidR="000150EB">
        <w:t xml:space="preserve"> timely</w:t>
      </w:r>
      <w:r w:rsidRPr="0032107D">
        <w:t>’ or ‘very timely</w:t>
      </w:r>
      <w:r w:rsidR="000150EB">
        <w:t>’</w:t>
      </w:r>
      <w:r w:rsidRPr="0032107D">
        <w:t xml:space="preserve"> and another 33</w:t>
      </w:r>
      <w:r w:rsidR="000150EB">
        <w:t xml:space="preserve"> per cent</w:t>
      </w:r>
      <w:r w:rsidRPr="0032107D">
        <w:t xml:space="preserve"> of survey respondents found the application review process ‘timely’. The remainder of the respondents found the process </w:t>
      </w:r>
      <w:r w:rsidR="004629E5" w:rsidRPr="0032107D">
        <w:t>‘</w:t>
      </w:r>
      <w:r w:rsidRPr="0032107D">
        <w:t>not so timely</w:t>
      </w:r>
      <w:r w:rsidR="004629E5" w:rsidRPr="0032107D">
        <w:t>’</w:t>
      </w:r>
      <w:r w:rsidRPr="0032107D">
        <w:t xml:space="preserve"> or </w:t>
      </w:r>
      <w:r w:rsidR="004629E5" w:rsidRPr="0032107D">
        <w:t>‘</w:t>
      </w:r>
      <w:r w:rsidRPr="0032107D">
        <w:t>not timely at all</w:t>
      </w:r>
      <w:r w:rsidR="004629E5" w:rsidRPr="0032107D">
        <w:t>’</w:t>
      </w:r>
      <w:r w:rsidRPr="0032107D">
        <w:t>. Survey respondents provided feedback that the statutory deadlines are often extended</w:t>
      </w:r>
      <w:r w:rsidR="004629E5" w:rsidRPr="0032107D">
        <w:t>. While survey respondents felt that FIRB agencies explained why delays occur, survey respondents are still concerned about these delays.</w:t>
      </w:r>
    </w:p>
    <w:p w14:paraId="1CABC104" w14:textId="373DD84F" w:rsidR="004629E5" w:rsidRPr="0032107D" w:rsidRDefault="004629E5" w:rsidP="0032107D">
      <w:pPr>
        <w:pStyle w:val="BodyText"/>
        <w:rPr>
          <w:b/>
        </w:rPr>
      </w:pPr>
      <w:r w:rsidRPr="0032107D">
        <w:rPr>
          <w:b/>
        </w:rPr>
        <w:t>Quality of interaction with government officials</w:t>
      </w:r>
    </w:p>
    <w:p w14:paraId="09DD633B" w14:textId="7EDD1C05" w:rsidR="004629E5" w:rsidRPr="0032107D" w:rsidRDefault="004629E5" w:rsidP="0032107D">
      <w:pPr>
        <w:pStyle w:val="BodyText"/>
      </w:pPr>
      <w:r w:rsidRPr="0032107D">
        <w:t>Survey respondents found</w:t>
      </w:r>
      <w:r w:rsidR="00D72070" w:rsidRPr="0032107D">
        <w:t xml:space="preserve"> </w:t>
      </w:r>
      <w:r w:rsidR="00E45304" w:rsidRPr="0032107D">
        <w:t xml:space="preserve">FIRB agency staff </w:t>
      </w:r>
      <w:r w:rsidRPr="0032107D">
        <w:t>considerate and that they use their best endeavours to achieve decisions by commercial deadlines.</w:t>
      </w:r>
      <w:r w:rsidR="00281334" w:rsidRPr="0032107D">
        <w:t xml:space="preserve"> 82</w:t>
      </w:r>
      <w:r w:rsidR="000150EB">
        <w:t xml:space="preserve"> per cent</w:t>
      </w:r>
      <w:r w:rsidR="00281334" w:rsidRPr="0032107D">
        <w:t xml:space="preserve"> of survey respondents said their interaction with government officials was ‘excellent’ or ‘good’. 6</w:t>
      </w:r>
      <w:r w:rsidR="000150EB">
        <w:t xml:space="preserve"> per cent</w:t>
      </w:r>
      <w:r w:rsidR="00281334" w:rsidRPr="0032107D">
        <w:t xml:space="preserve"> said their interaction was ‘satisfactory’ and 6</w:t>
      </w:r>
      <w:r w:rsidR="000150EB">
        <w:t xml:space="preserve"> per cent</w:t>
      </w:r>
      <w:r w:rsidR="00281334" w:rsidRPr="0032107D">
        <w:t xml:space="preserve"> did not answer the question. </w:t>
      </w:r>
    </w:p>
    <w:p w14:paraId="4F6972C7" w14:textId="5D226FD1" w:rsidR="00281334" w:rsidRPr="0032107D" w:rsidRDefault="00281334" w:rsidP="0032107D">
      <w:pPr>
        <w:pStyle w:val="BodyText"/>
        <w:rPr>
          <w:b/>
        </w:rPr>
      </w:pPr>
      <w:r w:rsidRPr="0032107D">
        <w:rPr>
          <w:b/>
        </w:rPr>
        <w:t>Clarity and effectiveness of communication</w:t>
      </w:r>
    </w:p>
    <w:p w14:paraId="2883821E" w14:textId="0388F2B1" w:rsidR="004E1D99" w:rsidRPr="0032107D" w:rsidRDefault="00281334" w:rsidP="0032107D">
      <w:pPr>
        <w:pStyle w:val="BodyText"/>
      </w:pPr>
      <w:r w:rsidRPr="0032107D">
        <w:t xml:space="preserve">Survey respondents reported </w:t>
      </w:r>
      <w:r w:rsidR="00E45304" w:rsidRPr="0032107D">
        <w:t>c</w:t>
      </w:r>
      <w:r w:rsidRPr="0032107D">
        <w:t>ommunication from case officer staff was clear and effective. Applicants generally felt well informed throughout the process. Case officers were responsive and courteous with their customer service. Respondents found the team professional, polite and helpful. Some applicants noted that while communications were clear, they were given short notice to respond to requests. 83</w:t>
      </w:r>
      <w:r w:rsidR="000150EB">
        <w:t xml:space="preserve"> per cent</w:t>
      </w:r>
      <w:r w:rsidRPr="0032107D">
        <w:t xml:space="preserve"> of survey respondents reported that they were </w:t>
      </w:r>
      <w:r w:rsidR="000150EB">
        <w:t>‘</w:t>
      </w:r>
      <w:r w:rsidRPr="0032107D">
        <w:t>very satisfied</w:t>
      </w:r>
      <w:r w:rsidR="000150EB">
        <w:t>’</w:t>
      </w:r>
      <w:r w:rsidRPr="0032107D">
        <w:t xml:space="preserve"> or </w:t>
      </w:r>
      <w:r w:rsidR="000150EB">
        <w:t>‘</w:t>
      </w:r>
      <w:r w:rsidRPr="0032107D">
        <w:t>somewhat satisfied</w:t>
      </w:r>
      <w:r w:rsidR="000150EB">
        <w:t>’</w:t>
      </w:r>
      <w:r w:rsidRPr="0032107D">
        <w:t xml:space="preserve"> with the clarity and effectiveness of communication from FIRB agency staff. </w:t>
      </w:r>
    </w:p>
    <w:p w14:paraId="71DC4383" w14:textId="276A1758" w:rsidR="004E1D99" w:rsidRPr="0032107D" w:rsidRDefault="004E1D99" w:rsidP="0032107D">
      <w:pPr>
        <w:pStyle w:val="BodyText"/>
        <w:rPr>
          <w:b/>
        </w:rPr>
      </w:pPr>
      <w:r w:rsidRPr="0032107D">
        <w:rPr>
          <w:b/>
        </w:rPr>
        <w:t>Transparency of decisions made in relation to applications</w:t>
      </w:r>
    </w:p>
    <w:p w14:paraId="0110EB30" w14:textId="39CB5E12" w:rsidR="004E1D99" w:rsidRPr="0032107D" w:rsidRDefault="004E1D99" w:rsidP="0032107D">
      <w:pPr>
        <w:pStyle w:val="BodyText"/>
      </w:pPr>
      <w:r w:rsidRPr="0032107D">
        <w:t>Stakeholders felt that Treasury employees were good at asking questions in relation to the application and explaining decisions. Stakeholders thought there could be more clarity on wording of decisions and the decision making process. Stakeholders felt that FIRB agencies could improve their communication about the approach to applying conditions, particularly the rationale for proposed conditions. 94</w:t>
      </w:r>
      <w:r w:rsidR="000150EB">
        <w:t xml:space="preserve"> per cent</w:t>
      </w:r>
      <w:r w:rsidRPr="0032107D">
        <w:t xml:space="preserve"> of survey respondents were ‘very satisfied’ or ‘somewhat satisfied’ with the transparency of decisions make in relation to applications. 6</w:t>
      </w:r>
      <w:r w:rsidR="000150EB">
        <w:t xml:space="preserve"> per cent</w:t>
      </w:r>
      <w:r w:rsidRPr="0032107D">
        <w:t xml:space="preserve"> did not answer the survey question.</w:t>
      </w:r>
    </w:p>
    <w:p w14:paraId="49AA5428" w14:textId="3856E7B9" w:rsidR="00281334" w:rsidRPr="0032107D" w:rsidRDefault="000461AD" w:rsidP="0032107D">
      <w:pPr>
        <w:pStyle w:val="BodyText"/>
        <w:rPr>
          <w:b/>
        </w:rPr>
      </w:pPr>
      <w:r w:rsidRPr="0032107D">
        <w:rPr>
          <w:b/>
        </w:rPr>
        <w:t>Accessibility of officials to discuss foreign investment</w:t>
      </w:r>
    </w:p>
    <w:p w14:paraId="3E8471E2" w14:textId="0C65644F" w:rsidR="00281334" w:rsidRPr="0032107D" w:rsidRDefault="000461AD" w:rsidP="0032107D">
      <w:pPr>
        <w:pStyle w:val="BodyText"/>
      </w:pPr>
      <w:r w:rsidRPr="0032107D">
        <w:t>Survey respondents found Treasury officials very proactive during the application process and receptive towards feedback about the foreign investment regime. 67</w:t>
      </w:r>
      <w:r w:rsidR="000150EB">
        <w:t xml:space="preserve"> per cent</w:t>
      </w:r>
      <w:r w:rsidRPr="0032107D">
        <w:t xml:space="preserve"> of respondents found officials ‘extremely</w:t>
      </w:r>
      <w:r w:rsidR="000150EB">
        <w:t xml:space="preserve"> accessible</w:t>
      </w:r>
      <w:r w:rsidRPr="0032107D">
        <w:t>’ or ‘very accessible</w:t>
      </w:r>
      <w:r w:rsidR="000150EB">
        <w:t>’</w:t>
      </w:r>
      <w:r w:rsidRPr="0032107D">
        <w:t>. 33</w:t>
      </w:r>
      <w:r w:rsidR="000150EB">
        <w:t xml:space="preserve"> per cent</w:t>
      </w:r>
      <w:r w:rsidRPr="0032107D">
        <w:t xml:space="preserve"> of respondents found officials ‘somewhat’ accessible. </w:t>
      </w:r>
    </w:p>
    <w:p w14:paraId="59B1FB28" w14:textId="53E4880C" w:rsidR="000461AD" w:rsidRPr="0032107D" w:rsidRDefault="000461AD" w:rsidP="0032107D">
      <w:pPr>
        <w:pStyle w:val="BodyText"/>
        <w:keepNext/>
        <w:rPr>
          <w:b/>
        </w:rPr>
      </w:pPr>
      <w:r w:rsidRPr="0032107D">
        <w:rPr>
          <w:b/>
        </w:rPr>
        <w:lastRenderedPageBreak/>
        <w:t>Conditions imposed on proposals were proportionate to the risks being managed</w:t>
      </w:r>
    </w:p>
    <w:p w14:paraId="5DB2F0A0" w14:textId="4F544F93" w:rsidR="00281334" w:rsidRPr="0032107D" w:rsidRDefault="00525E06" w:rsidP="0032107D">
      <w:pPr>
        <w:pStyle w:val="BodyText"/>
        <w:keepNext/>
      </w:pPr>
      <w:r w:rsidRPr="0032107D">
        <w:t xml:space="preserve">Stakeholders considered standard tax conditions imposed were reasonable. Feedback regarding conditions other than tax conditions varied. Comments included whether issues raised in the conditions could be addressed through other mechanisms such as </w:t>
      </w:r>
      <w:r w:rsidR="00250832" w:rsidRPr="0032107D">
        <w:t>t</w:t>
      </w:r>
      <w:r w:rsidRPr="0032107D">
        <w:t xml:space="preserve">ax </w:t>
      </w:r>
      <w:r w:rsidR="00250832" w:rsidRPr="0032107D">
        <w:t xml:space="preserve">legislation </w:t>
      </w:r>
      <w:r w:rsidRPr="0032107D">
        <w:t xml:space="preserve">or the </w:t>
      </w:r>
      <w:r w:rsidRPr="003A4334">
        <w:rPr>
          <w:i/>
        </w:rPr>
        <w:t>Corporations Act</w:t>
      </w:r>
      <w:r w:rsidR="00250832" w:rsidRPr="003A4334">
        <w:rPr>
          <w:i/>
        </w:rPr>
        <w:t xml:space="preserve"> 2001</w:t>
      </w:r>
      <w:r w:rsidRPr="0032107D">
        <w:t>. Others questioned whether there was clarity on the purpose and intent of conditions. 67</w:t>
      </w:r>
      <w:r w:rsidR="000150EB">
        <w:t xml:space="preserve"> per cent</w:t>
      </w:r>
      <w:r w:rsidRPr="0032107D">
        <w:t xml:space="preserve"> of survey respondents were ‘very satisfied’ or ‘somewhat satisfied</w:t>
      </w:r>
      <w:r w:rsidR="000150EB">
        <w:t>’</w:t>
      </w:r>
      <w:r w:rsidR="004B734E" w:rsidRPr="0032107D">
        <w:t xml:space="preserve"> that the conditions imposed on proposals were proportionate to the risks being managed</w:t>
      </w:r>
      <w:r w:rsidRPr="0032107D">
        <w:t>. 17</w:t>
      </w:r>
      <w:r w:rsidR="000150EB">
        <w:t xml:space="preserve"> per cent</w:t>
      </w:r>
      <w:r w:rsidRPr="0032107D">
        <w:t xml:space="preserve"> were ‘neither satisfied nor dissatisfied’. </w:t>
      </w:r>
    </w:p>
    <w:p w14:paraId="262024F5" w14:textId="647EB703" w:rsidR="00525E06" w:rsidRPr="0032107D" w:rsidRDefault="00525E06" w:rsidP="0032107D">
      <w:pPr>
        <w:pStyle w:val="BodyText"/>
        <w:rPr>
          <w:b/>
        </w:rPr>
      </w:pPr>
      <w:r w:rsidRPr="0032107D">
        <w:rPr>
          <w:b/>
        </w:rPr>
        <w:t>Clarity and effectiveness of guidance communicated on the FIRB website</w:t>
      </w:r>
    </w:p>
    <w:p w14:paraId="39505ABB" w14:textId="1EA6C970" w:rsidR="00525E06" w:rsidRPr="0032107D" w:rsidRDefault="00525E06" w:rsidP="0032107D">
      <w:pPr>
        <w:pStyle w:val="BodyText"/>
      </w:pPr>
      <w:r w:rsidRPr="0032107D">
        <w:t>The guidance notes available online provide valuable assistance in preparing FIRB applications. 89</w:t>
      </w:r>
      <w:r w:rsidR="000150EB">
        <w:t xml:space="preserve"> per cent</w:t>
      </w:r>
      <w:r w:rsidRPr="0032107D">
        <w:t xml:space="preserve"> of survey respondents were either ‘very satisfied’ or ‘somewhat satisfied’ with the guidance on the FIRB website. 11</w:t>
      </w:r>
      <w:r w:rsidR="000150EB">
        <w:t xml:space="preserve"> per cent</w:t>
      </w:r>
      <w:r w:rsidRPr="0032107D">
        <w:t xml:space="preserve"> were ‘somewhat dissatisfied’. Some survey respondents reported that the guidance notes and the website can be unclear for stakeholders who are not familiar with the FIRB system. Other feedback included the guidance notes can be too general and stakeholders need to seek further clarification.</w:t>
      </w:r>
    </w:p>
    <w:p w14:paraId="3D979F39" w14:textId="14A5597F" w:rsidR="00525E06" w:rsidRPr="0032107D" w:rsidRDefault="00525E06" w:rsidP="0032107D">
      <w:pPr>
        <w:pStyle w:val="BodyText"/>
        <w:rPr>
          <w:b/>
        </w:rPr>
      </w:pPr>
      <w:r w:rsidRPr="0032107D">
        <w:rPr>
          <w:b/>
        </w:rPr>
        <w:t>Clarity and effectiveness of foreign investment advice communicated through other means</w:t>
      </w:r>
    </w:p>
    <w:p w14:paraId="21E81593" w14:textId="0008743E" w:rsidR="002E3470" w:rsidRPr="0032107D" w:rsidRDefault="002E3470" w:rsidP="0032107D">
      <w:pPr>
        <w:pStyle w:val="BodyText"/>
      </w:pPr>
      <w:r w:rsidRPr="0032107D">
        <w:t xml:space="preserve">Survey respondents found they got clear and helpful advice via both email and phone. </w:t>
      </w:r>
      <w:r w:rsidR="004B734E" w:rsidRPr="0032107D">
        <w:t>Survey respondents</w:t>
      </w:r>
      <w:r w:rsidRPr="0032107D">
        <w:t xml:space="preserve"> would welcome further opportunities to contact </w:t>
      </w:r>
      <w:r w:rsidR="00171A33" w:rsidRPr="0032107D">
        <w:t xml:space="preserve">FIRB agency staff </w:t>
      </w:r>
      <w:r w:rsidRPr="0032107D">
        <w:t>for advice</w:t>
      </w:r>
      <w:r w:rsidR="00171A33" w:rsidRPr="0032107D">
        <w:t xml:space="preserve"> before starting the </w:t>
      </w:r>
      <w:r w:rsidRPr="0032107D">
        <w:t>application process. 72</w:t>
      </w:r>
      <w:r w:rsidR="00F65B26">
        <w:t xml:space="preserve"> per cent</w:t>
      </w:r>
      <w:r w:rsidRPr="0032107D">
        <w:t xml:space="preserve"> of survey respondents were ‘very’ or ‘somewhat’ satisfied with the clarity and effectiveness of advice communicated through phone and email. 28</w:t>
      </w:r>
      <w:r w:rsidR="00F65B26">
        <w:t xml:space="preserve"> per cent</w:t>
      </w:r>
      <w:r w:rsidRPr="0032107D">
        <w:t xml:space="preserve"> were ‘neither satisfied nor dissatisfied’.</w:t>
      </w:r>
    </w:p>
    <w:p w14:paraId="6C3FD2F1" w14:textId="171BCB21" w:rsidR="00525E06" w:rsidRPr="0032107D" w:rsidRDefault="002E3470" w:rsidP="0032107D">
      <w:pPr>
        <w:pStyle w:val="BodyText"/>
        <w:rPr>
          <w:b/>
        </w:rPr>
      </w:pPr>
      <w:r w:rsidRPr="0032107D">
        <w:rPr>
          <w:b/>
        </w:rPr>
        <w:t>Treasury’s receptiveness to feedback on foreign investment issues</w:t>
      </w:r>
    </w:p>
    <w:p w14:paraId="7F8510C1" w14:textId="24D18DA5" w:rsidR="002E3470" w:rsidRPr="0032107D" w:rsidRDefault="002E3470" w:rsidP="0032107D">
      <w:pPr>
        <w:pStyle w:val="BodyText"/>
      </w:pPr>
      <w:r w:rsidRPr="0032107D">
        <w:t>Survey respondents feel that the ongoing communication they receive is important to ensure issues with the legislation are resolved or at least able to be progressed. 44</w:t>
      </w:r>
      <w:r w:rsidR="00F65B26">
        <w:t xml:space="preserve"> per cent</w:t>
      </w:r>
      <w:r w:rsidRPr="0032107D">
        <w:t xml:space="preserve"> of survey respondents found Treasury ‘extremely</w:t>
      </w:r>
      <w:r w:rsidR="00F65B26">
        <w:t xml:space="preserve"> receptive</w:t>
      </w:r>
      <w:r w:rsidRPr="0032107D">
        <w:t>’ or ‘very receptive’ to feedback. 6</w:t>
      </w:r>
      <w:r w:rsidR="00F65B26">
        <w:t xml:space="preserve"> per cent</w:t>
      </w:r>
      <w:r w:rsidRPr="0032107D">
        <w:t xml:space="preserve"> found Treasury ‘somewhat’ receptive. 44</w:t>
      </w:r>
      <w:r w:rsidR="00F65B26">
        <w:t xml:space="preserve"> per cent</w:t>
      </w:r>
      <w:r w:rsidRPr="0032107D">
        <w:t xml:space="preserve"> did not give feedback on receptiveness.</w:t>
      </w:r>
    </w:p>
    <w:p w14:paraId="096F27C6" w14:textId="68E2BBC6" w:rsidR="00826B53" w:rsidRDefault="00826B53" w:rsidP="0032107D">
      <w:pPr>
        <w:pStyle w:val="BodyText"/>
        <w:rPr>
          <w:rFonts w:asciiTheme="minorHAnsi" w:hAnsiTheme="minorHAnsi"/>
        </w:rPr>
      </w:pPr>
      <w:r>
        <w:rPr>
          <w:rFonts w:asciiTheme="minorHAnsi" w:hAnsiTheme="minorHAnsi"/>
        </w:rPr>
        <w:br w:type="page"/>
      </w:r>
    </w:p>
    <w:p w14:paraId="5BAF1EDC" w14:textId="63F7DEA6" w:rsidR="00826B53" w:rsidRDefault="00826B53" w:rsidP="00826B53">
      <w:pPr>
        <w:pStyle w:val="Heading1"/>
      </w:pPr>
      <w:bookmarkStart w:id="52" w:name="_Toc31113266"/>
      <w:bookmarkStart w:id="53" w:name="_Toc33443674"/>
      <w:r w:rsidRPr="0057637E">
        <w:lastRenderedPageBreak/>
        <w:t xml:space="preserve">Appendix </w:t>
      </w:r>
      <w:r w:rsidR="003B2737">
        <w:t>B</w:t>
      </w:r>
      <w:r w:rsidRPr="0057637E">
        <w:t xml:space="preserve"> – Stakeholder engagement</w:t>
      </w:r>
      <w:bookmarkEnd w:id="52"/>
      <w:bookmarkEnd w:id="53"/>
      <w:r w:rsidRPr="0057637E">
        <w:t xml:space="preserve"> </w:t>
      </w:r>
    </w:p>
    <w:p w14:paraId="683FD44E" w14:textId="1633A9A4" w:rsidR="00826B53" w:rsidRPr="003B2737" w:rsidRDefault="00826B53" w:rsidP="00840029">
      <w:pPr>
        <w:pStyle w:val="Heading5"/>
      </w:pPr>
      <w:r w:rsidRPr="003B2737">
        <w:t>Figure 3: Treasury’s Foreign Investment Stakeholder Engagement Metrics for 2018</w:t>
      </w:r>
      <w:r w:rsidR="00F65B26">
        <w:t>-</w:t>
      </w:r>
      <w:r w:rsidRPr="003B2737">
        <w:t>19</w:t>
      </w:r>
    </w:p>
    <w:tbl>
      <w:tblPr>
        <w:tblW w:w="9134" w:type="dxa"/>
        <w:tblInd w:w="108" w:type="dxa"/>
        <w:tblLayout w:type="fixed"/>
        <w:tblLook w:val="04A0" w:firstRow="1" w:lastRow="0" w:firstColumn="1" w:lastColumn="0" w:noHBand="0" w:noVBand="1"/>
        <w:tblCaption w:val="Fugure 3: Foreign Investment Stakeholder Engagement Metrics"/>
      </w:tblPr>
      <w:tblGrid>
        <w:gridCol w:w="2414"/>
        <w:gridCol w:w="1272"/>
        <w:gridCol w:w="1134"/>
        <w:gridCol w:w="954"/>
        <w:gridCol w:w="1172"/>
        <w:gridCol w:w="1134"/>
        <w:gridCol w:w="1054"/>
      </w:tblGrid>
      <w:tr w:rsidR="00826B53" w:rsidRPr="005B5BBE" w14:paraId="3194AFAB" w14:textId="77777777" w:rsidTr="002910E0">
        <w:trPr>
          <w:trHeight w:val="454"/>
        </w:trPr>
        <w:tc>
          <w:tcPr>
            <w:tcW w:w="2414" w:type="dxa"/>
            <w:vMerge w:val="restart"/>
            <w:tcBorders>
              <w:top w:val="single" w:sz="2" w:space="0" w:color="1F497D" w:themeColor="text2"/>
            </w:tcBorders>
            <w:shd w:val="clear" w:color="auto" w:fill="auto"/>
          </w:tcPr>
          <w:p w14:paraId="73C0B43C" w14:textId="77777777" w:rsidR="00826B53" w:rsidRDefault="00826B53" w:rsidP="002910E0">
            <w:pPr>
              <w:pStyle w:val="TableColumnHeadingLeft"/>
              <w:rPr>
                <w:rFonts w:asciiTheme="minorHAnsi" w:hAnsiTheme="minorHAnsi"/>
              </w:rPr>
            </w:pPr>
            <w:r w:rsidRPr="00924A24">
              <w:rPr>
                <w:rFonts w:asciiTheme="minorHAnsi" w:hAnsiTheme="minorHAnsi"/>
              </w:rPr>
              <w:t>Metric</w:t>
            </w:r>
          </w:p>
          <w:p w14:paraId="42CF6452" w14:textId="77777777" w:rsidR="00826B53" w:rsidRPr="00924A24" w:rsidRDefault="00826B53" w:rsidP="002910E0">
            <w:pPr>
              <w:pStyle w:val="TableColumnHeadingLeft"/>
              <w:rPr>
                <w:rFonts w:asciiTheme="minorHAnsi" w:hAnsiTheme="minorHAnsi"/>
              </w:rPr>
            </w:pPr>
            <w:r>
              <w:rPr>
                <w:rFonts w:asciiTheme="minorHAnsi" w:hAnsiTheme="minorHAnsi"/>
              </w:rPr>
              <w:t>(KPI number)</w:t>
            </w:r>
          </w:p>
        </w:tc>
        <w:tc>
          <w:tcPr>
            <w:tcW w:w="3360" w:type="dxa"/>
            <w:gridSpan w:val="3"/>
            <w:tcBorders>
              <w:top w:val="single" w:sz="2" w:space="0" w:color="1F497D" w:themeColor="text2"/>
            </w:tcBorders>
            <w:shd w:val="clear" w:color="auto" w:fill="auto"/>
          </w:tcPr>
          <w:p w14:paraId="294887D0" w14:textId="77777777" w:rsidR="00826B53" w:rsidRPr="00162AD8" w:rsidRDefault="00826B53" w:rsidP="002910E0">
            <w:pPr>
              <w:pStyle w:val="TableColumnHeadingCentred"/>
              <w:rPr>
                <w:rFonts w:asciiTheme="minorHAnsi" w:hAnsiTheme="minorHAnsi"/>
              </w:rPr>
            </w:pPr>
            <w:r>
              <w:rPr>
                <w:rFonts w:asciiTheme="minorHAnsi" w:hAnsiTheme="minorHAnsi"/>
              </w:rPr>
              <w:t>2017</w:t>
            </w:r>
            <w:r>
              <w:rPr>
                <w:rFonts w:asciiTheme="minorHAnsi" w:hAnsiTheme="minorHAnsi"/>
              </w:rPr>
              <w:noBreakHyphen/>
              <w:t>18</w:t>
            </w:r>
          </w:p>
        </w:tc>
        <w:tc>
          <w:tcPr>
            <w:tcW w:w="3360" w:type="dxa"/>
            <w:gridSpan w:val="3"/>
            <w:tcBorders>
              <w:top w:val="single" w:sz="2" w:space="0" w:color="1F497D" w:themeColor="text2"/>
            </w:tcBorders>
            <w:shd w:val="clear" w:color="auto" w:fill="D9D9D9" w:themeFill="background1" w:themeFillShade="D9"/>
          </w:tcPr>
          <w:p w14:paraId="5E8F1139" w14:textId="77777777" w:rsidR="00826B53" w:rsidRDefault="00826B53" w:rsidP="002910E0">
            <w:pPr>
              <w:pStyle w:val="TableColumnHeadingCentred"/>
              <w:rPr>
                <w:rFonts w:asciiTheme="minorHAnsi" w:hAnsiTheme="minorHAnsi"/>
              </w:rPr>
            </w:pPr>
            <w:r>
              <w:rPr>
                <w:rFonts w:asciiTheme="minorHAnsi" w:hAnsiTheme="minorHAnsi"/>
              </w:rPr>
              <w:t>2018</w:t>
            </w:r>
            <w:r w:rsidRPr="00092DA2">
              <w:rPr>
                <w:rFonts w:asciiTheme="minorHAnsi" w:hAnsiTheme="minorHAnsi"/>
              </w:rPr>
              <w:noBreakHyphen/>
              <w:t>1</w:t>
            </w:r>
            <w:r>
              <w:rPr>
                <w:rFonts w:asciiTheme="minorHAnsi" w:hAnsiTheme="minorHAnsi"/>
              </w:rPr>
              <w:t>9</w:t>
            </w:r>
          </w:p>
        </w:tc>
      </w:tr>
      <w:tr w:rsidR="00826B53" w:rsidRPr="005B5BBE" w14:paraId="5416F6EF" w14:textId="77777777" w:rsidTr="002910E0">
        <w:tc>
          <w:tcPr>
            <w:tcW w:w="2414" w:type="dxa"/>
            <w:vMerge/>
            <w:tcBorders>
              <w:bottom w:val="single" w:sz="2" w:space="0" w:color="1F497D" w:themeColor="text2"/>
            </w:tcBorders>
            <w:shd w:val="clear" w:color="auto" w:fill="auto"/>
          </w:tcPr>
          <w:p w14:paraId="3024058B" w14:textId="77777777" w:rsidR="00826B53" w:rsidRPr="00924A24" w:rsidRDefault="00826B53" w:rsidP="002910E0">
            <w:pPr>
              <w:pStyle w:val="TableColumnHeadingLeft"/>
              <w:rPr>
                <w:rFonts w:asciiTheme="minorHAnsi" w:hAnsiTheme="minorHAnsi"/>
              </w:rPr>
            </w:pPr>
          </w:p>
        </w:tc>
        <w:tc>
          <w:tcPr>
            <w:tcW w:w="1272" w:type="dxa"/>
            <w:tcBorders>
              <w:top w:val="single" w:sz="2" w:space="0" w:color="1F497D" w:themeColor="text2"/>
              <w:bottom w:val="single" w:sz="2" w:space="0" w:color="1F497D" w:themeColor="text2"/>
            </w:tcBorders>
            <w:shd w:val="clear" w:color="auto" w:fill="auto"/>
          </w:tcPr>
          <w:p w14:paraId="70F577D7" w14:textId="77777777" w:rsidR="00826B53" w:rsidRPr="00924A24" w:rsidRDefault="00826B53" w:rsidP="002910E0">
            <w:pPr>
              <w:pStyle w:val="TableColumnHeadingCentred"/>
              <w:rPr>
                <w:rFonts w:asciiTheme="minorHAnsi" w:hAnsiTheme="minorHAnsi"/>
              </w:rPr>
            </w:pPr>
            <w:r w:rsidRPr="00924A24">
              <w:rPr>
                <w:rFonts w:asciiTheme="minorHAnsi" w:hAnsiTheme="minorHAnsi"/>
              </w:rPr>
              <w:t>ATO Residential real-estate</w:t>
            </w:r>
          </w:p>
        </w:tc>
        <w:tc>
          <w:tcPr>
            <w:tcW w:w="1134" w:type="dxa"/>
            <w:tcBorders>
              <w:top w:val="single" w:sz="2" w:space="0" w:color="1F497D" w:themeColor="text2"/>
              <w:bottom w:val="single" w:sz="2" w:space="0" w:color="1F497D" w:themeColor="text2"/>
            </w:tcBorders>
            <w:shd w:val="clear" w:color="auto" w:fill="auto"/>
          </w:tcPr>
          <w:p w14:paraId="140364DA" w14:textId="77777777" w:rsidR="00826B53" w:rsidRPr="00162AD8" w:rsidRDefault="00826B53" w:rsidP="002910E0">
            <w:pPr>
              <w:pStyle w:val="TableColumnHeadingCentred"/>
              <w:rPr>
                <w:rFonts w:asciiTheme="minorHAnsi" w:hAnsiTheme="minorHAnsi"/>
              </w:rPr>
            </w:pPr>
            <w:r w:rsidRPr="00162AD8">
              <w:rPr>
                <w:rFonts w:asciiTheme="minorHAnsi" w:hAnsiTheme="minorHAnsi"/>
              </w:rPr>
              <w:t>Treasury Non residential</w:t>
            </w:r>
          </w:p>
        </w:tc>
        <w:tc>
          <w:tcPr>
            <w:tcW w:w="954" w:type="dxa"/>
            <w:tcBorders>
              <w:top w:val="single" w:sz="2" w:space="0" w:color="1F497D" w:themeColor="text2"/>
              <w:bottom w:val="single" w:sz="2" w:space="0" w:color="1F497D" w:themeColor="text2"/>
            </w:tcBorders>
            <w:shd w:val="clear" w:color="auto" w:fill="auto"/>
          </w:tcPr>
          <w:p w14:paraId="6140A87B" w14:textId="77777777" w:rsidR="00826B53" w:rsidRPr="00162AD8" w:rsidRDefault="00826B53" w:rsidP="002910E0">
            <w:pPr>
              <w:pStyle w:val="TableColumnHeadingCentred"/>
              <w:rPr>
                <w:rFonts w:asciiTheme="minorHAnsi" w:hAnsiTheme="minorHAnsi"/>
              </w:rPr>
            </w:pPr>
            <w:r w:rsidRPr="00162AD8">
              <w:rPr>
                <w:rFonts w:asciiTheme="minorHAnsi" w:hAnsiTheme="minorHAnsi"/>
              </w:rPr>
              <w:t>Total</w:t>
            </w:r>
          </w:p>
        </w:tc>
        <w:tc>
          <w:tcPr>
            <w:tcW w:w="1172" w:type="dxa"/>
            <w:tcBorders>
              <w:top w:val="single" w:sz="2" w:space="0" w:color="1F497D" w:themeColor="text2"/>
              <w:bottom w:val="single" w:sz="2" w:space="0" w:color="1F497D" w:themeColor="text2"/>
            </w:tcBorders>
            <w:shd w:val="clear" w:color="auto" w:fill="D9D9D9" w:themeFill="background1" w:themeFillShade="D9"/>
          </w:tcPr>
          <w:p w14:paraId="088C53C0" w14:textId="77777777" w:rsidR="00826B53" w:rsidRPr="00162AD8" w:rsidRDefault="00826B53" w:rsidP="002910E0">
            <w:pPr>
              <w:pStyle w:val="TableColumnHeadingCentred"/>
              <w:rPr>
                <w:rFonts w:asciiTheme="minorHAnsi" w:hAnsiTheme="minorHAnsi"/>
              </w:rPr>
            </w:pPr>
            <w:r w:rsidRPr="00924A24">
              <w:rPr>
                <w:rFonts w:asciiTheme="minorHAnsi" w:hAnsiTheme="minorHAnsi"/>
              </w:rPr>
              <w:t>ATO Residential real-estate</w:t>
            </w:r>
          </w:p>
        </w:tc>
        <w:tc>
          <w:tcPr>
            <w:tcW w:w="1134" w:type="dxa"/>
            <w:tcBorders>
              <w:top w:val="single" w:sz="2" w:space="0" w:color="1F497D" w:themeColor="text2"/>
              <w:bottom w:val="single" w:sz="2" w:space="0" w:color="1F497D" w:themeColor="text2"/>
            </w:tcBorders>
            <w:shd w:val="clear" w:color="auto" w:fill="D9D9D9" w:themeFill="background1" w:themeFillShade="D9"/>
          </w:tcPr>
          <w:p w14:paraId="0A7590CB" w14:textId="77777777" w:rsidR="00826B53" w:rsidRPr="00162AD8" w:rsidRDefault="00826B53" w:rsidP="002910E0">
            <w:pPr>
              <w:pStyle w:val="TableColumnHeadingCentred"/>
              <w:rPr>
                <w:rFonts w:asciiTheme="minorHAnsi" w:hAnsiTheme="minorHAnsi"/>
              </w:rPr>
            </w:pPr>
            <w:r w:rsidRPr="00162AD8">
              <w:rPr>
                <w:rFonts w:asciiTheme="minorHAnsi" w:hAnsiTheme="minorHAnsi"/>
              </w:rPr>
              <w:t>Treasury Non residential</w:t>
            </w:r>
          </w:p>
        </w:tc>
        <w:tc>
          <w:tcPr>
            <w:tcW w:w="1054" w:type="dxa"/>
            <w:tcBorders>
              <w:top w:val="single" w:sz="2" w:space="0" w:color="1F497D" w:themeColor="text2"/>
              <w:bottom w:val="single" w:sz="2" w:space="0" w:color="1F497D" w:themeColor="text2"/>
            </w:tcBorders>
            <w:shd w:val="clear" w:color="auto" w:fill="D9D9D9" w:themeFill="background1" w:themeFillShade="D9"/>
          </w:tcPr>
          <w:p w14:paraId="5B407D62" w14:textId="77777777" w:rsidR="00826B53" w:rsidRPr="00162AD8" w:rsidRDefault="00826B53" w:rsidP="002910E0">
            <w:pPr>
              <w:pStyle w:val="TableColumnHeadingCentred"/>
              <w:rPr>
                <w:rFonts w:asciiTheme="minorHAnsi" w:hAnsiTheme="minorHAnsi"/>
              </w:rPr>
            </w:pPr>
            <w:r w:rsidRPr="00162AD8">
              <w:rPr>
                <w:rFonts w:asciiTheme="minorHAnsi" w:hAnsiTheme="minorHAnsi"/>
              </w:rPr>
              <w:t>Total</w:t>
            </w:r>
          </w:p>
        </w:tc>
      </w:tr>
      <w:tr w:rsidR="00826B53" w:rsidRPr="005B5BBE" w14:paraId="5B17885D" w14:textId="77777777" w:rsidTr="002910E0">
        <w:trPr>
          <w:trHeight w:val="151"/>
        </w:trPr>
        <w:tc>
          <w:tcPr>
            <w:tcW w:w="2414" w:type="dxa"/>
            <w:tcBorders>
              <w:top w:val="single" w:sz="2" w:space="0" w:color="1F497D" w:themeColor="text2"/>
            </w:tcBorders>
            <w:shd w:val="clear" w:color="auto" w:fill="auto"/>
          </w:tcPr>
          <w:p w14:paraId="100C22F7" w14:textId="77777777" w:rsidR="00826B53" w:rsidRPr="00924A24" w:rsidRDefault="00826B53" w:rsidP="002910E0">
            <w:pPr>
              <w:pStyle w:val="TableTextLeft"/>
              <w:rPr>
                <w:rFonts w:asciiTheme="minorHAnsi" w:hAnsiTheme="minorHAnsi"/>
              </w:rPr>
            </w:pPr>
            <w:r w:rsidRPr="00924A24">
              <w:rPr>
                <w:rFonts w:asciiTheme="minorHAnsi" w:hAnsiTheme="minorHAnsi"/>
              </w:rPr>
              <w:t>FIRB information sessions</w:t>
            </w:r>
            <w:r>
              <w:rPr>
                <w:rFonts w:asciiTheme="minorHAnsi" w:hAnsiTheme="minorHAnsi"/>
              </w:rPr>
              <w:t xml:space="preserve"> (1 &amp; 2)</w:t>
            </w:r>
          </w:p>
        </w:tc>
        <w:tc>
          <w:tcPr>
            <w:tcW w:w="1272" w:type="dxa"/>
            <w:tcBorders>
              <w:top w:val="single" w:sz="2" w:space="0" w:color="1F497D" w:themeColor="text2"/>
            </w:tcBorders>
            <w:shd w:val="clear" w:color="auto" w:fill="auto"/>
          </w:tcPr>
          <w:p w14:paraId="3CA62609" w14:textId="77777777" w:rsidR="00826B53" w:rsidRPr="008E0D8E" w:rsidRDefault="00826B53" w:rsidP="002910E0">
            <w:pPr>
              <w:pStyle w:val="TableTextCentered"/>
              <w:rPr>
                <w:rFonts w:asciiTheme="minorHAnsi" w:hAnsiTheme="minorHAnsi"/>
              </w:rPr>
            </w:pPr>
            <w:r w:rsidRPr="008E0D8E">
              <w:rPr>
                <w:rFonts w:asciiTheme="minorHAnsi" w:hAnsiTheme="minorHAnsi"/>
              </w:rPr>
              <w:t>5</w:t>
            </w:r>
          </w:p>
        </w:tc>
        <w:tc>
          <w:tcPr>
            <w:tcW w:w="1134" w:type="dxa"/>
            <w:tcBorders>
              <w:top w:val="single" w:sz="2" w:space="0" w:color="1F497D" w:themeColor="text2"/>
            </w:tcBorders>
            <w:shd w:val="clear" w:color="auto" w:fill="auto"/>
          </w:tcPr>
          <w:p w14:paraId="4D0E0BF9" w14:textId="77777777" w:rsidR="00826B53" w:rsidRPr="008E0D8E" w:rsidRDefault="00826B53" w:rsidP="002910E0">
            <w:pPr>
              <w:pStyle w:val="TableTextCentered"/>
              <w:rPr>
                <w:rFonts w:asciiTheme="minorHAnsi" w:hAnsiTheme="minorHAnsi"/>
              </w:rPr>
            </w:pPr>
            <w:r w:rsidRPr="00555F26">
              <w:rPr>
                <w:rFonts w:asciiTheme="minorHAnsi" w:hAnsiTheme="minorHAnsi"/>
              </w:rPr>
              <w:t>65</w:t>
            </w:r>
          </w:p>
        </w:tc>
        <w:tc>
          <w:tcPr>
            <w:tcW w:w="954" w:type="dxa"/>
            <w:tcBorders>
              <w:top w:val="single" w:sz="2" w:space="0" w:color="1F497D" w:themeColor="text2"/>
            </w:tcBorders>
            <w:shd w:val="clear" w:color="auto" w:fill="auto"/>
          </w:tcPr>
          <w:p w14:paraId="2EEE2E18" w14:textId="77777777" w:rsidR="00826B53" w:rsidRPr="006E1D67" w:rsidRDefault="00826B53" w:rsidP="002910E0">
            <w:pPr>
              <w:pStyle w:val="TableTextCentered"/>
              <w:rPr>
                <w:rFonts w:asciiTheme="minorHAnsi" w:hAnsiTheme="minorHAnsi"/>
                <w:b/>
              </w:rPr>
            </w:pPr>
            <w:r w:rsidRPr="006E1D67">
              <w:rPr>
                <w:rFonts w:asciiTheme="minorHAnsi" w:hAnsiTheme="minorHAnsi"/>
                <w:b/>
              </w:rPr>
              <w:t>70</w:t>
            </w:r>
          </w:p>
        </w:tc>
        <w:tc>
          <w:tcPr>
            <w:tcW w:w="1172" w:type="dxa"/>
            <w:tcBorders>
              <w:top w:val="single" w:sz="2" w:space="0" w:color="1F497D" w:themeColor="text2"/>
            </w:tcBorders>
            <w:shd w:val="clear" w:color="auto" w:fill="D9D9D9" w:themeFill="background1" w:themeFillShade="D9"/>
          </w:tcPr>
          <w:p w14:paraId="026B1202" w14:textId="77777777" w:rsidR="00826B53" w:rsidRPr="008E0D8E" w:rsidRDefault="00826B53" w:rsidP="002910E0">
            <w:pPr>
              <w:pStyle w:val="TableTextCentered"/>
              <w:rPr>
                <w:rFonts w:asciiTheme="minorHAnsi" w:hAnsiTheme="minorHAnsi"/>
              </w:rPr>
            </w:pPr>
            <w:r>
              <w:rPr>
                <w:rFonts w:asciiTheme="minorHAnsi" w:hAnsiTheme="minorHAnsi"/>
              </w:rPr>
              <w:t>40</w:t>
            </w:r>
          </w:p>
        </w:tc>
        <w:tc>
          <w:tcPr>
            <w:tcW w:w="1134" w:type="dxa"/>
            <w:tcBorders>
              <w:top w:val="single" w:sz="2" w:space="0" w:color="1F497D" w:themeColor="text2"/>
            </w:tcBorders>
            <w:shd w:val="clear" w:color="auto" w:fill="D9D9D9" w:themeFill="background1" w:themeFillShade="D9"/>
          </w:tcPr>
          <w:p w14:paraId="609E8E8C" w14:textId="77777777" w:rsidR="00826B53" w:rsidRPr="00555F26" w:rsidRDefault="00826B53" w:rsidP="002910E0">
            <w:pPr>
              <w:pStyle w:val="TableTextCentered"/>
              <w:rPr>
                <w:rFonts w:asciiTheme="minorHAnsi" w:hAnsiTheme="minorHAnsi"/>
              </w:rPr>
            </w:pPr>
            <w:r>
              <w:t>15</w:t>
            </w:r>
          </w:p>
        </w:tc>
        <w:tc>
          <w:tcPr>
            <w:tcW w:w="1054" w:type="dxa"/>
            <w:tcBorders>
              <w:top w:val="single" w:sz="2" w:space="0" w:color="1F497D" w:themeColor="text2"/>
            </w:tcBorders>
            <w:shd w:val="clear" w:color="auto" w:fill="D9D9D9" w:themeFill="background1" w:themeFillShade="D9"/>
          </w:tcPr>
          <w:p w14:paraId="3DCF7710" w14:textId="77777777" w:rsidR="00826B53" w:rsidRPr="006E1D67" w:rsidRDefault="00826B53" w:rsidP="002910E0">
            <w:pPr>
              <w:pStyle w:val="TableTextCentered"/>
              <w:rPr>
                <w:rFonts w:asciiTheme="minorHAnsi" w:hAnsiTheme="minorHAnsi"/>
                <w:b/>
              </w:rPr>
            </w:pPr>
            <w:r>
              <w:rPr>
                <w:rFonts w:asciiTheme="minorHAnsi" w:hAnsiTheme="minorHAnsi"/>
                <w:b/>
              </w:rPr>
              <w:t>55</w:t>
            </w:r>
          </w:p>
        </w:tc>
      </w:tr>
      <w:tr w:rsidR="00826B53" w:rsidRPr="005B5BBE" w14:paraId="3D0C5E4B" w14:textId="77777777" w:rsidTr="002910E0">
        <w:tc>
          <w:tcPr>
            <w:tcW w:w="2414" w:type="dxa"/>
            <w:shd w:val="clear" w:color="auto" w:fill="auto"/>
          </w:tcPr>
          <w:p w14:paraId="30D732AD" w14:textId="2CE7FF30" w:rsidR="00826B53" w:rsidRPr="00924A24" w:rsidRDefault="00826B53" w:rsidP="00F65B26">
            <w:pPr>
              <w:pStyle w:val="TableTextLeft"/>
              <w:rPr>
                <w:rFonts w:asciiTheme="minorHAnsi" w:hAnsiTheme="minorHAnsi"/>
              </w:rPr>
            </w:pPr>
            <w:r>
              <w:rPr>
                <w:rFonts w:asciiTheme="minorHAnsi" w:hAnsiTheme="minorHAnsi"/>
              </w:rPr>
              <w:t>I</w:t>
            </w:r>
            <w:r w:rsidRPr="005B5BBE">
              <w:rPr>
                <w:rFonts w:asciiTheme="minorHAnsi" w:hAnsiTheme="minorHAnsi"/>
              </w:rPr>
              <w:t xml:space="preserve">nterdepartmental </w:t>
            </w:r>
            <w:r w:rsidRPr="008466D3">
              <w:rPr>
                <w:rFonts w:asciiTheme="minorHAnsi" w:hAnsiTheme="minorHAnsi"/>
              </w:rPr>
              <w:t>committees (IDCs</w:t>
            </w:r>
            <w:r w:rsidR="00F65B26">
              <w:rPr>
                <w:rFonts w:asciiTheme="minorHAnsi" w:hAnsiTheme="minorHAnsi"/>
              </w:rPr>
              <w:t>)  (</w:t>
            </w:r>
            <w:r>
              <w:rPr>
                <w:rFonts w:asciiTheme="minorHAnsi" w:hAnsiTheme="minorHAnsi"/>
              </w:rPr>
              <w:t>4 &amp; 6</w:t>
            </w:r>
            <w:r w:rsidRPr="008466D3">
              <w:rPr>
                <w:rFonts w:asciiTheme="minorHAnsi" w:hAnsiTheme="minorHAnsi"/>
              </w:rPr>
              <w:t>)</w:t>
            </w:r>
          </w:p>
        </w:tc>
        <w:tc>
          <w:tcPr>
            <w:tcW w:w="1272" w:type="dxa"/>
            <w:shd w:val="clear" w:color="auto" w:fill="auto"/>
          </w:tcPr>
          <w:p w14:paraId="4ABFD6FC" w14:textId="77777777" w:rsidR="00826B53" w:rsidRPr="008E0D8E" w:rsidRDefault="00826B53" w:rsidP="002910E0">
            <w:pPr>
              <w:pStyle w:val="TableTextCentered"/>
              <w:rPr>
                <w:rFonts w:asciiTheme="minorHAnsi" w:hAnsiTheme="minorHAnsi"/>
              </w:rPr>
            </w:pPr>
            <w:r w:rsidRPr="008E0D8E">
              <w:rPr>
                <w:rFonts w:asciiTheme="minorHAnsi" w:hAnsiTheme="minorHAnsi"/>
              </w:rPr>
              <w:t>1</w:t>
            </w:r>
          </w:p>
        </w:tc>
        <w:tc>
          <w:tcPr>
            <w:tcW w:w="1134" w:type="dxa"/>
            <w:shd w:val="clear" w:color="auto" w:fill="auto"/>
          </w:tcPr>
          <w:p w14:paraId="3CA76DF8" w14:textId="77777777" w:rsidR="00826B53" w:rsidRPr="008E0D8E" w:rsidRDefault="00826B53" w:rsidP="002910E0">
            <w:pPr>
              <w:pStyle w:val="TableTextCentered"/>
              <w:rPr>
                <w:rFonts w:asciiTheme="minorHAnsi" w:hAnsiTheme="minorHAnsi"/>
              </w:rPr>
            </w:pPr>
            <w:r w:rsidRPr="00555F26">
              <w:rPr>
                <w:rFonts w:asciiTheme="minorHAnsi" w:hAnsiTheme="minorHAnsi"/>
              </w:rPr>
              <w:t>35</w:t>
            </w:r>
          </w:p>
        </w:tc>
        <w:tc>
          <w:tcPr>
            <w:tcW w:w="954" w:type="dxa"/>
            <w:shd w:val="clear" w:color="auto" w:fill="auto"/>
          </w:tcPr>
          <w:p w14:paraId="7E32968F" w14:textId="77777777" w:rsidR="00826B53" w:rsidRPr="006E1D67" w:rsidRDefault="00826B53" w:rsidP="002910E0">
            <w:pPr>
              <w:pStyle w:val="TableTextCentered"/>
              <w:rPr>
                <w:rFonts w:asciiTheme="minorHAnsi" w:hAnsiTheme="minorHAnsi"/>
                <w:b/>
              </w:rPr>
            </w:pPr>
            <w:r w:rsidRPr="006E1D67">
              <w:rPr>
                <w:rFonts w:asciiTheme="minorHAnsi" w:hAnsiTheme="minorHAnsi"/>
                <w:b/>
              </w:rPr>
              <w:t>36</w:t>
            </w:r>
          </w:p>
        </w:tc>
        <w:tc>
          <w:tcPr>
            <w:tcW w:w="1172" w:type="dxa"/>
            <w:shd w:val="clear" w:color="auto" w:fill="D9D9D9" w:themeFill="background1" w:themeFillShade="D9"/>
          </w:tcPr>
          <w:p w14:paraId="75C6F97C" w14:textId="77777777" w:rsidR="00826B53" w:rsidRPr="008E0D8E" w:rsidRDefault="00826B53" w:rsidP="002910E0">
            <w:pPr>
              <w:pStyle w:val="TableTextCentered"/>
              <w:rPr>
                <w:rFonts w:asciiTheme="minorHAnsi" w:hAnsiTheme="minorHAnsi"/>
              </w:rPr>
            </w:pPr>
          </w:p>
        </w:tc>
        <w:tc>
          <w:tcPr>
            <w:tcW w:w="1134" w:type="dxa"/>
            <w:shd w:val="clear" w:color="auto" w:fill="D9D9D9" w:themeFill="background1" w:themeFillShade="D9"/>
          </w:tcPr>
          <w:p w14:paraId="6D5E0EE4" w14:textId="77777777" w:rsidR="00826B53" w:rsidRPr="00555F26" w:rsidRDefault="00826B53" w:rsidP="002910E0">
            <w:pPr>
              <w:pStyle w:val="TableTextCentered"/>
              <w:rPr>
                <w:rFonts w:asciiTheme="minorHAnsi" w:hAnsiTheme="minorHAnsi"/>
              </w:rPr>
            </w:pPr>
            <w:r>
              <w:t>41</w:t>
            </w:r>
          </w:p>
        </w:tc>
        <w:tc>
          <w:tcPr>
            <w:tcW w:w="1054" w:type="dxa"/>
            <w:shd w:val="clear" w:color="auto" w:fill="D9D9D9" w:themeFill="background1" w:themeFillShade="D9"/>
          </w:tcPr>
          <w:p w14:paraId="4C6E42FA" w14:textId="77777777" w:rsidR="00826B53" w:rsidRPr="006E1D67" w:rsidRDefault="00826B53" w:rsidP="002910E0">
            <w:pPr>
              <w:pStyle w:val="TableTextCentered"/>
              <w:rPr>
                <w:rFonts w:asciiTheme="minorHAnsi" w:hAnsiTheme="minorHAnsi"/>
                <w:b/>
              </w:rPr>
            </w:pPr>
          </w:p>
        </w:tc>
      </w:tr>
      <w:tr w:rsidR="00826B53" w:rsidRPr="005B5BBE" w14:paraId="0FE4CFF2" w14:textId="77777777" w:rsidTr="002910E0">
        <w:tc>
          <w:tcPr>
            <w:tcW w:w="2414" w:type="dxa"/>
            <w:shd w:val="clear" w:color="auto" w:fill="auto"/>
          </w:tcPr>
          <w:p w14:paraId="1E8A252F" w14:textId="77777777" w:rsidR="00826B53" w:rsidRPr="00924A24" w:rsidRDefault="00826B53" w:rsidP="002910E0">
            <w:pPr>
              <w:pStyle w:val="TableTextLeft"/>
              <w:rPr>
                <w:rFonts w:asciiTheme="minorHAnsi" w:hAnsiTheme="minorHAnsi"/>
              </w:rPr>
            </w:pPr>
            <w:r>
              <w:rPr>
                <w:rFonts w:asciiTheme="minorHAnsi" w:hAnsiTheme="minorHAnsi"/>
              </w:rPr>
              <w:t>St</w:t>
            </w:r>
            <w:r w:rsidRPr="00924A24">
              <w:rPr>
                <w:rFonts w:asciiTheme="minorHAnsi" w:hAnsiTheme="minorHAnsi"/>
              </w:rPr>
              <w:t>akeholder engagement events</w:t>
            </w:r>
            <w:r>
              <w:rPr>
                <w:rFonts w:asciiTheme="minorHAnsi" w:hAnsiTheme="minorHAnsi"/>
                <w:vertAlign w:val="superscript"/>
              </w:rPr>
              <w:t xml:space="preserve"> </w:t>
            </w:r>
            <w:r w:rsidRPr="00E25440">
              <w:rPr>
                <w:rFonts w:asciiTheme="minorHAnsi" w:hAnsiTheme="minorHAnsi"/>
              </w:rPr>
              <w:t>(</w:t>
            </w:r>
            <w:r w:rsidRPr="00417036">
              <w:rPr>
                <w:rFonts w:asciiTheme="minorHAnsi" w:hAnsiTheme="minorHAnsi"/>
              </w:rPr>
              <w:t>1, 2, 4 &amp; 6</w:t>
            </w:r>
            <w:r w:rsidRPr="00E25440">
              <w:rPr>
                <w:rFonts w:asciiTheme="minorHAnsi" w:hAnsiTheme="minorHAnsi"/>
              </w:rPr>
              <w:t>)</w:t>
            </w:r>
            <w:r w:rsidRPr="00555F26">
              <w:rPr>
                <w:rFonts w:asciiTheme="minorHAnsi" w:hAnsiTheme="minorHAnsi"/>
                <w:vertAlign w:val="superscript"/>
              </w:rPr>
              <w:t>1</w:t>
            </w:r>
          </w:p>
        </w:tc>
        <w:tc>
          <w:tcPr>
            <w:tcW w:w="1272" w:type="dxa"/>
            <w:shd w:val="clear" w:color="auto" w:fill="auto"/>
          </w:tcPr>
          <w:p w14:paraId="34C14FEC" w14:textId="77777777" w:rsidR="00826B53" w:rsidRPr="008E0D8E" w:rsidRDefault="00826B53" w:rsidP="002910E0">
            <w:pPr>
              <w:pStyle w:val="TableTextCentered"/>
              <w:rPr>
                <w:rFonts w:asciiTheme="minorHAnsi" w:hAnsiTheme="minorHAnsi"/>
              </w:rPr>
            </w:pPr>
            <w:r w:rsidRPr="008E0D8E">
              <w:rPr>
                <w:rFonts w:asciiTheme="minorHAnsi" w:hAnsiTheme="minorHAnsi"/>
              </w:rPr>
              <w:t>25</w:t>
            </w:r>
          </w:p>
        </w:tc>
        <w:tc>
          <w:tcPr>
            <w:tcW w:w="1134" w:type="dxa"/>
            <w:shd w:val="clear" w:color="auto" w:fill="auto"/>
          </w:tcPr>
          <w:p w14:paraId="7723CE06" w14:textId="77777777" w:rsidR="00826B53" w:rsidRPr="008E0D8E" w:rsidRDefault="00826B53" w:rsidP="002910E0">
            <w:pPr>
              <w:pStyle w:val="TableTextCentered"/>
              <w:rPr>
                <w:rFonts w:asciiTheme="minorHAnsi" w:hAnsiTheme="minorHAnsi"/>
              </w:rPr>
            </w:pPr>
            <w:r w:rsidRPr="00555F26">
              <w:rPr>
                <w:rFonts w:asciiTheme="minorHAnsi" w:hAnsiTheme="minorHAnsi"/>
              </w:rPr>
              <w:t>388</w:t>
            </w:r>
          </w:p>
        </w:tc>
        <w:tc>
          <w:tcPr>
            <w:tcW w:w="954" w:type="dxa"/>
            <w:shd w:val="clear" w:color="auto" w:fill="auto"/>
          </w:tcPr>
          <w:p w14:paraId="33A3AC59" w14:textId="77777777" w:rsidR="00826B53" w:rsidRPr="006E1D67" w:rsidRDefault="00826B53" w:rsidP="002910E0">
            <w:pPr>
              <w:pStyle w:val="TableTextCentered"/>
              <w:rPr>
                <w:rFonts w:asciiTheme="minorHAnsi" w:hAnsiTheme="minorHAnsi"/>
                <w:b/>
              </w:rPr>
            </w:pPr>
            <w:r w:rsidRPr="006E1D67">
              <w:rPr>
                <w:rFonts w:asciiTheme="minorHAnsi" w:hAnsiTheme="minorHAnsi"/>
                <w:b/>
              </w:rPr>
              <w:t>413</w:t>
            </w:r>
          </w:p>
        </w:tc>
        <w:tc>
          <w:tcPr>
            <w:tcW w:w="1172" w:type="dxa"/>
            <w:shd w:val="clear" w:color="auto" w:fill="D9D9D9" w:themeFill="background1" w:themeFillShade="D9"/>
          </w:tcPr>
          <w:p w14:paraId="2917A907" w14:textId="77777777" w:rsidR="00826B53" w:rsidRPr="008E0D8E" w:rsidRDefault="00826B53" w:rsidP="002910E0">
            <w:pPr>
              <w:pStyle w:val="TableTextCentered"/>
              <w:rPr>
                <w:rFonts w:asciiTheme="minorHAnsi" w:hAnsiTheme="minorHAnsi"/>
              </w:rPr>
            </w:pPr>
            <w:r>
              <w:rPr>
                <w:rFonts w:asciiTheme="minorHAnsi" w:hAnsiTheme="minorHAnsi"/>
              </w:rPr>
              <w:t>8</w:t>
            </w:r>
          </w:p>
        </w:tc>
        <w:tc>
          <w:tcPr>
            <w:tcW w:w="1134" w:type="dxa"/>
            <w:shd w:val="clear" w:color="auto" w:fill="D9D9D9" w:themeFill="background1" w:themeFillShade="D9"/>
          </w:tcPr>
          <w:p w14:paraId="0BBC2B17" w14:textId="77777777" w:rsidR="00826B53" w:rsidRPr="00555F26" w:rsidRDefault="00826B53" w:rsidP="002910E0">
            <w:pPr>
              <w:pStyle w:val="TableTextCentered"/>
              <w:rPr>
                <w:rFonts w:asciiTheme="minorHAnsi" w:hAnsiTheme="minorHAnsi"/>
              </w:rPr>
            </w:pPr>
            <w:r>
              <w:t>317</w:t>
            </w:r>
          </w:p>
        </w:tc>
        <w:tc>
          <w:tcPr>
            <w:tcW w:w="1054" w:type="dxa"/>
            <w:shd w:val="clear" w:color="auto" w:fill="D9D9D9" w:themeFill="background1" w:themeFillShade="D9"/>
          </w:tcPr>
          <w:p w14:paraId="4CCDD803" w14:textId="77777777" w:rsidR="00826B53" w:rsidRPr="006E1D67" w:rsidRDefault="00826B53" w:rsidP="002910E0">
            <w:pPr>
              <w:pStyle w:val="TableTextCentered"/>
              <w:rPr>
                <w:rFonts w:asciiTheme="minorHAnsi" w:hAnsiTheme="minorHAnsi"/>
                <w:b/>
              </w:rPr>
            </w:pPr>
            <w:r>
              <w:rPr>
                <w:rFonts w:asciiTheme="minorHAnsi" w:hAnsiTheme="minorHAnsi"/>
                <w:b/>
              </w:rPr>
              <w:t>325</w:t>
            </w:r>
          </w:p>
        </w:tc>
      </w:tr>
      <w:tr w:rsidR="00826B53" w:rsidRPr="005B5BBE" w14:paraId="39296263" w14:textId="77777777" w:rsidTr="002910E0">
        <w:tc>
          <w:tcPr>
            <w:tcW w:w="2414" w:type="dxa"/>
            <w:tcBorders>
              <w:bottom w:val="single" w:sz="2" w:space="0" w:color="1F497D" w:themeColor="text2"/>
            </w:tcBorders>
            <w:shd w:val="clear" w:color="auto" w:fill="auto"/>
          </w:tcPr>
          <w:p w14:paraId="580A3D1F" w14:textId="77777777" w:rsidR="00826B53" w:rsidRPr="00924A24" w:rsidRDefault="00826B53" w:rsidP="002910E0">
            <w:pPr>
              <w:pStyle w:val="TableTextLeft"/>
              <w:rPr>
                <w:rFonts w:asciiTheme="minorHAnsi" w:hAnsiTheme="minorHAnsi"/>
              </w:rPr>
            </w:pPr>
            <w:r>
              <w:rPr>
                <w:rFonts w:asciiTheme="minorHAnsi" w:hAnsiTheme="minorHAnsi"/>
              </w:rPr>
              <w:t>P</w:t>
            </w:r>
            <w:r w:rsidRPr="00924A24">
              <w:rPr>
                <w:rFonts w:asciiTheme="minorHAnsi" w:hAnsiTheme="minorHAnsi"/>
              </w:rPr>
              <w:t xml:space="preserve">hone calls </w:t>
            </w:r>
            <w:r>
              <w:rPr>
                <w:rFonts w:asciiTheme="minorHAnsi" w:hAnsiTheme="minorHAnsi"/>
              </w:rPr>
              <w:t>handled on</w:t>
            </w:r>
            <w:r w:rsidRPr="00924A24">
              <w:rPr>
                <w:rFonts w:asciiTheme="minorHAnsi" w:hAnsiTheme="minorHAnsi"/>
              </w:rPr>
              <w:t xml:space="preserve"> </w:t>
            </w:r>
            <w:r>
              <w:rPr>
                <w:rFonts w:asciiTheme="minorHAnsi" w:hAnsiTheme="minorHAnsi"/>
              </w:rPr>
              <w:t xml:space="preserve">the </w:t>
            </w:r>
            <w:r w:rsidRPr="00924A24">
              <w:rPr>
                <w:rFonts w:asciiTheme="minorHAnsi" w:hAnsiTheme="minorHAnsi"/>
              </w:rPr>
              <w:t>FIRB Enquir</w:t>
            </w:r>
            <w:r>
              <w:rPr>
                <w:rFonts w:asciiTheme="minorHAnsi" w:hAnsiTheme="minorHAnsi"/>
              </w:rPr>
              <w:t>ies</w:t>
            </w:r>
            <w:r w:rsidRPr="00924A24">
              <w:rPr>
                <w:rFonts w:asciiTheme="minorHAnsi" w:hAnsiTheme="minorHAnsi"/>
              </w:rPr>
              <w:t xml:space="preserve"> Line </w:t>
            </w:r>
            <w:r>
              <w:rPr>
                <w:rFonts w:asciiTheme="minorHAnsi" w:hAnsiTheme="minorHAnsi"/>
              </w:rPr>
              <w:t>(5)</w:t>
            </w:r>
            <w:r>
              <w:rPr>
                <w:rFonts w:asciiTheme="minorHAnsi" w:hAnsiTheme="minorHAnsi"/>
                <w:vertAlign w:val="superscript"/>
              </w:rPr>
              <w:t>2</w:t>
            </w:r>
          </w:p>
        </w:tc>
        <w:tc>
          <w:tcPr>
            <w:tcW w:w="1272" w:type="dxa"/>
            <w:tcBorders>
              <w:bottom w:val="single" w:sz="2" w:space="0" w:color="1F497D" w:themeColor="text2"/>
            </w:tcBorders>
            <w:shd w:val="clear" w:color="auto" w:fill="auto"/>
          </w:tcPr>
          <w:p w14:paraId="1BD7AFAC" w14:textId="77777777" w:rsidR="00826B53" w:rsidRPr="00EA727E" w:rsidRDefault="00826B53" w:rsidP="002910E0">
            <w:pPr>
              <w:pStyle w:val="TableTextCentered"/>
              <w:rPr>
                <w:rFonts w:asciiTheme="minorHAnsi" w:hAnsiTheme="minorHAnsi"/>
              </w:rPr>
            </w:pPr>
            <w:r w:rsidRPr="00EA727E">
              <w:rPr>
                <w:rFonts w:asciiTheme="minorHAnsi" w:hAnsiTheme="minorHAnsi"/>
              </w:rPr>
              <w:t>18,717</w:t>
            </w:r>
          </w:p>
        </w:tc>
        <w:tc>
          <w:tcPr>
            <w:tcW w:w="1134" w:type="dxa"/>
            <w:tcBorders>
              <w:bottom w:val="single" w:sz="2" w:space="0" w:color="1F497D" w:themeColor="text2"/>
            </w:tcBorders>
            <w:shd w:val="clear" w:color="auto" w:fill="auto"/>
          </w:tcPr>
          <w:p w14:paraId="3C7B120E" w14:textId="77777777" w:rsidR="00826B53" w:rsidRPr="00EA727E" w:rsidRDefault="00826B53" w:rsidP="002910E0">
            <w:pPr>
              <w:pStyle w:val="TableTextCentered"/>
              <w:rPr>
                <w:rFonts w:asciiTheme="minorHAnsi" w:hAnsiTheme="minorHAnsi"/>
              </w:rPr>
            </w:pPr>
            <w:r w:rsidRPr="00EA727E">
              <w:rPr>
                <w:rFonts w:asciiTheme="minorHAnsi" w:hAnsiTheme="minorHAnsi"/>
              </w:rPr>
              <w:t>2,812</w:t>
            </w:r>
          </w:p>
        </w:tc>
        <w:tc>
          <w:tcPr>
            <w:tcW w:w="954" w:type="dxa"/>
            <w:tcBorders>
              <w:bottom w:val="single" w:sz="2" w:space="0" w:color="1F497D" w:themeColor="text2"/>
            </w:tcBorders>
            <w:shd w:val="clear" w:color="auto" w:fill="auto"/>
          </w:tcPr>
          <w:p w14:paraId="5870823E" w14:textId="77777777" w:rsidR="00826B53" w:rsidRPr="006E1D67" w:rsidRDefault="00826B53" w:rsidP="002910E0">
            <w:pPr>
              <w:pStyle w:val="TableTextCentered"/>
              <w:rPr>
                <w:rFonts w:asciiTheme="minorHAnsi" w:hAnsiTheme="minorHAnsi"/>
                <w:b/>
              </w:rPr>
            </w:pPr>
            <w:r w:rsidRPr="006E1D67">
              <w:rPr>
                <w:rFonts w:asciiTheme="minorHAnsi" w:hAnsiTheme="minorHAnsi"/>
                <w:b/>
              </w:rPr>
              <w:t>21,529</w:t>
            </w:r>
          </w:p>
        </w:tc>
        <w:tc>
          <w:tcPr>
            <w:tcW w:w="1172" w:type="dxa"/>
            <w:tcBorders>
              <w:bottom w:val="single" w:sz="2" w:space="0" w:color="1F497D" w:themeColor="text2"/>
            </w:tcBorders>
            <w:shd w:val="clear" w:color="auto" w:fill="D9D9D9" w:themeFill="background1" w:themeFillShade="D9"/>
          </w:tcPr>
          <w:p w14:paraId="6F417896" w14:textId="77777777" w:rsidR="00826B53" w:rsidRPr="00EA727E" w:rsidRDefault="00826B53" w:rsidP="002910E0">
            <w:pPr>
              <w:pStyle w:val="TableTextCentered"/>
              <w:rPr>
                <w:rFonts w:asciiTheme="minorHAnsi" w:hAnsiTheme="minorHAnsi"/>
              </w:rPr>
            </w:pPr>
            <w:r>
              <w:rPr>
                <w:rFonts w:asciiTheme="minorHAnsi" w:hAnsiTheme="minorHAnsi"/>
              </w:rPr>
              <w:t>13,013</w:t>
            </w:r>
          </w:p>
        </w:tc>
        <w:tc>
          <w:tcPr>
            <w:tcW w:w="1134" w:type="dxa"/>
            <w:tcBorders>
              <w:bottom w:val="single" w:sz="2" w:space="0" w:color="1F497D" w:themeColor="text2"/>
            </w:tcBorders>
            <w:shd w:val="clear" w:color="auto" w:fill="D9D9D9" w:themeFill="background1" w:themeFillShade="D9"/>
          </w:tcPr>
          <w:p w14:paraId="3DBBFA32" w14:textId="77777777" w:rsidR="00826B53" w:rsidRPr="00EA727E" w:rsidRDefault="00826B53" w:rsidP="002910E0">
            <w:pPr>
              <w:pStyle w:val="TableTextCentered"/>
              <w:rPr>
                <w:rFonts w:asciiTheme="minorHAnsi" w:hAnsiTheme="minorHAnsi"/>
              </w:rPr>
            </w:pPr>
            <w:r>
              <w:t>2,329</w:t>
            </w:r>
          </w:p>
        </w:tc>
        <w:tc>
          <w:tcPr>
            <w:tcW w:w="1054" w:type="dxa"/>
            <w:tcBorders>
              <w:bottom w:val="single" w:sz="2" w:space="0" w:color="1F497D" w:themeColor="text2"/>
            </w:tcBorders>
            <w:shd w:val="clear" w:color="auto" w:fill="D9D9D9" w:themeFill="background1" w:themeFillShade="D9"/>
          </w:tcPr>
          <w:p w14:paraId="6F7A129F" w14:textId="77777777" w:rsidR="00826B53" w:rsidRPr="006E1D67" w:rsidRDefault="00826B53" w:rsidP="002910E0">
            <w:pPr>
              <w:pStyle w:val="TableTextCentered"/>
              <w:rPr>
                <w:rFonts w:asciiTheme="minorHAnsi" w:hAnsiTheme="minorHAnsi"/>
                <w:b/>
              </w:rPr>
            </w:pPr>
            <w:r>
              <w:rPr>
                <w:rFonts w:asciiTheme="minorHAnsi" w:hAnsiTheme="minorHAnsi"/>
                <w:b/>
              </w:rPr>
              <w:t>15,342</w:t>
            </w:r>
          </w:p>
        </w:tc>
      </w:tr>
    </w:tbl>
    <w:p w14:paraId="1A37D61A" w14:textId="64ABE76A" w:rsidR="00826B53" w:rsidRDefault="00826B53" w:rsidP="00FE5536">
      <w:pPr>
        <w:pStyle w:val="ChartorTableNote"/>
        <w:tabs>
          <w:tab w:val="left" w:pos="567"/>
        </w:tabs>
        <w:spacing w:after="20"/>
        <w:ind w:left="567" w:hanging="567"/>
      </w:pPr>
      <w:r w:rsidRPr="008A0E84">
        <w:t>Note</w:t>
      </w:r>
      <w:r>
        <w:t>s</w:t>
      </w:r>
      <w:r w:rsidRPr="008A0E84">
        <w:t>:</w:t>
      </w:r>
      <w:r w:rsidR="00BE0424">
        <w:tab/>
      </w:r>
      <w:r>
        <w:t xml:space="preserve">1. </w:t>
      </w:r>
      <w:proofErr w:type="gramStart"/>
      <w:r>
        <w:t>Th</w:t>
      </w:r>
      <w:r w:rsidRPr="00AA6748">
        <w:t>i</w:t>
      </w:r>
      <w:r>
        <w:t>s</w:t>
      </w:r>
      <w:proofErr w:type="gramEnd"/>
      <w:r>
        <w:t xml:space="preserve"> comprises the metrics of other government consultation (KPI no. 1, 2, 4 &amp; 6) and industry consultation (KPI no. 1, 2 &amp; 6).</w:t>
      </w:r>
    </w:p>
    <w:p w14:paraId="6B1D592B" w14:textId="77777777" w:rsidR="00826B53" w:rsidRPr="008A0E84" w:rsidRDefault="00826B53" w:rsidP="00826B53">
      <w:pPr>
        <w:pStyle w:val="ChartorTableNote"/>
        <w:tabs>
          <w:tab w:val="left" w:pos="567"/>
        </w:tabs>
        <w:spacing w:after="20"/>
        <w:ind w:left="567" w:hanging="567"/>
      </w:pPr>
      <w:r>
        <w:tab/>
        <w:t>2</w:t>
      </w:r>
      <w:r w:rsidRPr="008A0E84">
        <w:t>. Does not include calls made directly to case officers or during the course of a</w:t>
      </w:r>
      <w:r>
        <w:t>n</w:t>
      </w:r>
      <w:r w:rsidRPr="008A0E84">
        <w:t xml:space="preserve"> </w:t>
      </w:r>
      <w:r>
        <w:t>application</w:t>
      </w:r>
      <w:r w:rsidRPr="008A0E84">
        <w:t xml:space="preserve"> review.</w:t>
      </w:r>
    </w:p>
    <w:p w14:paraId="397760E5" w14:textId="77777777" w:rsidR="00404117" w:rsidRPr="00FA3EE1" w:rsidRDefault="00404117" w:rsidP="003B2737">
      <w:pPr>
        <w:spacing w:after="200" w:line="276" w:lineRule="auto"/>
        <w:jc w:val="left"/>
        <w:rPr>
          <w:lang w:val="en-GB" w:eastAsia="en-GB"/>
        </w:rPr>
      </w:pPr>
      <w:bookmarkStart w:id="54" w:name="_GoBack"/>
      <w:bookmarkEnd w:id="54"/>
    </w:p>
    <w:sectPr w:rsidR="00404117" w:rsidRPr="00FA3EE1" w:rsidSect="003B2737">
      <w:headerReference w:type="even" r:id="rId52"/>
      <w:headerReference w:type="default" r:id="rId53"/>
      <w:headerReference w:type="first" r:id="rId54"/>
      <w:footerReference w:type="first" r:id="rId55"/>
      <w:pgSz w:w="11906" w:h="16838" w:code="277"/>
      <w:pgMar w:top="1440" w:right="1440" w:bottom="1418" w:left="1440"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2C5BE" w14:textId="77777777" w:rsidR="00864D1C" w:rsidRDefault="00864D1C" w:rsidP="00230E5B">
      <w:pPr>
        <w:spacing w:after="0" w:line="240" w:lineRule="auto"/>
      </w:pPr>
      <w:r>
        <w:separator/>
      </w:r>
    </w:p>
  </w:endnote>
  <w:endnote w:type="continuationSeparator" w:id="0">
    <w:p w14:paraId="34E8E32B" w14:textId="77777777" w:rsidR="00864D1C" w:rsidRDefault="00864D1C" w:rsidP="00230E5B">
      <w:pPr>
        <w:spacing w:after="0" w:line="240" w:lineRule="auto"/>
      </w:pPr>
      <w:r>
        <w:continuationSeparator/>
      </w:r>
    </w:p>
  </w:endnote>
  <w:endnote w:type="continuationNotice" w:id="1">
    <w:p w14:paraId="2349F659" w14:textId="77777777" w:rsidR="00864D1C" w:rsidRDefault="00864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392697"/>
      <w:docPartObj>
        <w:docPartGallery w:val="Page Numbers (Bottom of Page)"/>
        <w:docPartUnique/>
      </w:docPartObj>
    </w:sdtPr>
    <w:sdtEndPr/>
    <w:sdtContent>
      <w:sdt>
        <w:sdtPr>
          <w:id w:val="-1285191833"/>
          <w:docPartObj>
            <w:docPartGallery w:val="Page Numbers (Top of Page)"/>
            <w:docPartUnique/>
          </w:docPartObj>
        </w:sdtPr>
        <w:sdtEndPr/>
        <w:sdtContent>
          <w:p w14:paraId="65128A77" w14:textId="77777777" w:rsidR="00864D1C" w:rsidRPr="00695BF3" w:rsidRDefault="00864D1C" w:rsidP="00695BF3">
            <w:pPr>
              <w:pStyle w:val="FooterEven"/>
            </w:pPr>
            <w:r w:rsidRPr="00695BF3">
              <w:t xml:space="preserve">Page </w:t>
            </w:r>
            <w:r w:rsidRPr="00695BF3">
              <w:fldChar w:fldCharType="begin"/>
            </w:r>
            <w:r w:rsidRPr="00695BF3">
              <w:instrText xml:space="preserve"> PAGE </w:instrText>
            </w:r>
            <w:r w:rsidRPr="00695BF3">
              <w:fldChar w:fldCharType="separate"/>
            </w:r>
            <w:r>
              <w:rPr>
                <w:noProof/>
              </w:rPr>
              <w:t>32</w:t>
            </w:r>
            <w:r w:rsidRPr="00695BF3">
              <w:fldChar w:fldCharType="end"/>
            </w: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46539"/>
      <w:docPartObj>
        <w:docPartGallery w:val="Page Numbers (Bottom of Page)"/>
        <w:docPartUnique/>
      </w:docPartObj>
    </w:sdtPr>
    <w:sdtEndPr/>
    <w:sdtContent>
      <w:sdt>
        <w:sdtPr>
          <w:id w:val="881213321"/>
          <w:docPartObj>
            <w:docPartGallery w:val="Page Numbers (Top of Page)"/>
            <w:docPartUnique/>
          </w:docPartObj>
        </w:sdtPr>
        <w:sdtEndPr/>
        <w:sdtContent>
          <w:p w14:paraId="76DA4E11" w14:textId="511E5F5C" w:rsidR="00864D1C" w:rsidRPr="00824115" w:rsidRDefault="00864D1C" w:rsidP="00EC1DA6">
            <w:pPr>
              <w:pStyle w:val="FooterOdd"/>
            </w:pPr>
            <w:r>
              <w:t xml:space="preserve">Page </w:t>
            </w:r>
            <w:r w:rsidRPr="00C37C68">
              <w:fldChar w:fldCharType="begin"/>
            </w:r>
            <w:r w:rsidRPr="00C37C68">
              <w:instrText xml:space="preserve"> PAGE </w:instrText>
            </w:r>
            <w:r w:rsidRPr="00C37C68">
              <w:fldChar w:fldCharType="separate"/>
            </w:r>
            <w:r w:rsidR="00DC78BE">
              <w:rPr>
                <w:noProof/>
              </w:rPr>
              <w:t>10</w:t>
            </w:r>
            <w:r w:rsidRPr="00C37C68">
              <w:fldChar w:fldCharType="end"/>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891786"/>
      <w:docPartObj>
        <w:docPartGallery w:val="Page Numbers (Bottom of Page)"/>
        <w:docPartUnique/>
      </w:docPartObj>
    </w:sdtPr>
    <w:sdtEndPr/>
    <w:sdtContent>
      <w:sdt>
        <w:sdtPr>
          <w:id w:val="-1948836717"/>
          <w:docPartObj>
            <w:docPartGallery w:val="Page Numbers (Top of Page)"/>
            <w:docPartUnique/>
          </w:docPartObj>
        </w:sdtPr>
        <w:sdtEndPr/>
        <w:sdtContent>
          <w:p w14:paraId="02A73AC3" w14:textId="64CBBBDD" w:rsidR="00864D1C" w:rsidRPr="00824115" w:rsidRDefault="00864D1C" w:rsidP="00691095">
            <w:pPr>
              <w:pStyle w:val="FooterEven"/>
              <w:jc w:val="right"/>
            </w:pPr>
            <w:r>
              <w:t xml:space="preserve">Page </w:t>
            </w:r>
            <w:r w:rsidRPr="00C37C68">
              <w:fldChar w:fldCharType="begin"/>
            </w:r>
            <w:r w:rsidRPr="00C37C68">
              <w:instrText xml:space="preserve"> PAGE </w:instrText>
            </w:r>
            <w:r w:rsidRPr="00C37C68">
              <w:fldChar w:fldCharType="separate"/>
            </w:r>
            <w:r w:rsidR="00DC78BE">
              <w:rPr>
                <w:noProof/>
              </w:rPr>
              <w:t>19</w:t>
            </w:r>
            <w:r w:rsidRPr="00C37C68">
              <w:fldChar w:fldCharType="end"/>
            </w:r>
          </w:p>
        </w:sdtContent>
      </w:sdt>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429BB" w14:textId="77777777" w:rsidR="00864D1C" w:rsidRPr="00695BF3" w:rsidRDefault="00864D1C" w:rsidP="00691095">
    <w:pPr>
      <w:pStyle w:val="FooterEven"/>
      <w:jc w:val="right"/>
    </w:pPr>
    <w:r w:rsidRPr="00695BF3">
      <w:t xml:space="preserve">Page </w:t>
    </w:r>
    <w:r w:rsidRPr="00695BF3">
      <w:fldChar w:fldCharType="begin"/>
    </w:r>
    <w:r w:rsidRPr="00695BF3">
      <w:instrText xml:space="preserve"> PAGE </w:instrText>
    </w:r>
    <w:r w:rsidRPr="00695BF3">
      <w:fldChar w:fldCharType="separate"/>
    </w:r>
    <w:r>
      <w:rPr>
        <w:noProof/>
      </w:rPr>
      <w:t>24</w:t>
    </w:r>
    <w:r w:rsidRPr="00695BF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821649"/>
      <w:docPartObj>
        <w:docPartGallery w:val="Page Numbers (Bottom of Page)"/>
        <w:docPartUnique/>
      </w:docPartObj>
    </w:sdtPr>
    <w:sdtEndPr/>
    <w:sdtContent>
      <w:sdt>
        <w:sdtPr>
          <w:id w:val="-1924178066"/>
          <w:docPartObj>
            <w:docPartGallery w:val="Page Numbers (Top of Page)"/>
            <w:docPartUnique/>
          </w:docPartObj>
        </w:sdtPr>
        <w:sdtEndPr/>
        <w:sdtContent>
          <w:p w14:paraId="06237FC1" w14:textId="77777777" w:rsidR="00864D1C" w:rsidRPr="00824115" w:rsidRDefault="00864D1C" w:rsidP="00824115">
            <w:pPr>
              <w:pStyle w:val="FooterOdd"/>
            </w:pPr>
            <w:r>
              <w:t xml:space="preserve">Page </w:t>
            </w:r>
            <w:r w:rsidRPr="00C37C68">
              <w:fldChar w:fldCharType="begin"/>
            </w:r>
            <w:r w:rsidRPr="00C37C68">
              <w:instrText xml:space="preserve"> PAGE </w:instrText>
            </w:r>
            <w:r w:rsidRPr="00C37C68">
              <w:fldChar w:fldCharType="separate"/>
            </w:r>
            <w:r>
              <w:rPr>
                <w:noProof/>
              </w:rPr>
              <w:t>32</w:t>
            </w:r>
            <w:r w:rsidRPr="00C37C68">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BB35F" w14:textId="77777777" w:rsidR="00864D1C" w:rsidRDefault="00864D1C" w:rsidP="00824115">
    <w:pPr>
      <w:pStyle w:val="FooterOd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329081"/>
      <w:docPartObj>
        <w:docPartGallery w:val="Page Numbers (Bottom of Page)"/>
        <w:docPartUnique/>
      </w:docPartObj>
    </w:sdtPr>
    <w:sdtEndPr/>
    <w:sdtContent>
      <w:sdt>
        <w:sdtPr>
          <w:id w:val="-1954466586"/>
          <w:docPartObj>
            <w:docPartGallery w:val="Page Numbers (Top of Page)"/>
            <w:docPartUnique/>
          </w:docPartObj>
        </w:sdtPr>
        <w:sdtEndPr/>
        <w:sdtContent>
          <w:p w14:paraId="3BBC56A4" w14:textId="77777777" w:rsidR="00864D1C" w:rsidRPr="00695BF3" w:rsidRDefault="00864D1C" w:rsidP="00695BF3">
            <w:pPr>
              <w:pStyle w:val="FooterEven"/>
            </w:pPr>
            <w:r w:rsidRPr="00695BF3">
              <w:t xml:space="preserve">Page </w:t>
            </w:r>
            <w:r w:rsidRPr="00695BF3">
              <w:fldChar w:fldCharType="begin"/>
            </w:r>
            <w:r w:rsidRPr="00695BF3">
              <w:instrText xml:space="preserve"> PAGE </w:instrText>
            </w:r>
            <w:r w:rsidRPr="00695BF3">
              <w:fldChar w:fldCharType="separate"/>
            </w:r>
            <w:r>
              <w:rPr>
                <w:noProof/>
              </w:rPr>
              <w:t>32</w:t>
            </w:r>
            <w:r w:rsidRPr="00695BF3">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580780"/>
      <w:docPartObj>
        <w:docPartGallery w:val="Page Numbers (Bottom of Page)"/>
        <w:docPartUnique/>
      </w:docPartObj>
    </w:sdtPr>
    <w:sdtEndPr/>
    <w:sdtContent>
      <w:sdt>
        <w:sdtPr>
          <w:id w:val="-1469424804"/>
          <w:docPartObj>
            <w:docPartGallery w:val="Page Numbers (Top of Page)"/>
            <w:docPartUnique/>
          </w:docPartObj>
        </w:sdtPr>
        <w:sdtEndPr/>
        <w:sdtContent>
          <w:p w14:paraId="1FD9E0AF" w14:textId="5CFE3AD5" w:rsidR="00864D1C" w:rsidRPr="00824115" w:rsidRDefault="00864D1C" w:rsidP="00824115">
            <w:pPr>
              <w:pStyle w:val="FooterOdd"/>
            </w:pPr>
            <w:r>
              <w:t xml:space="preserve">Page </w:t>
            </w:r>
            <w:r w:rsidRPr="00C37C68">
              <w:fldChar w:fldCharType="begin"/>
            </w:r>
            <w:r w:rsidRPr="00C37C68">
              <w:instrText xml:space="preserve"> PAGE </w:instrText>
            </w:r>
            <w:r w:rsidRPr="00C37C68">
              <w:fldChar w:fldCharType="separate"/>
            </w:r>
            <w:r>
              <w:rPr>
                <w:noProof/>
              </w:rPr>
              <w:t>5</w:t>
            </w:r>
            <w:r w:rsidRPr="00C37C68">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0048A" w14:textId="77777777" w:rsidR="00864D1C" w:rsidRPr="00F3163E" w:rsidRDefault="00864D1C" w:rsidP="00F3163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657529"/>
      <w:docPartObj>
        <w:docPartGallery w:val="Page Numbers (Bottom of Page)"/>
        <w:docPartUnique/>
      </w:docPartObj>
    </w:sdtPr>
    <w:sdtEndPr/>
    <w:sdtContent>
      <w:sdt>
        <w:sdtPr>
          <w:id w:val="-1819184702"/>
          <w:docPartObj>
            <w:docPartGallery w:val="Page Numbers (Top of Page)"/>
            <w:docPartUnique/>
          </w:docPartObj>
        </w:sdtPr>
        <w:sdtEndPr/>
        <w:sdtContent>
          <w:p w14:paraId="579892DC" w14:textId="77777777" w:rsidR="00864D1C" w:rsidRPr="00695BF3" w:rsidRDefault="00864D1C" w:rsidP="00695BF3">
            <w:pPr>
              <w:pStyle w:val="FooterEven"/>
            </w:pPr>
            <w:r w:rsidRPr="00695BF3">
              <w:t xml:space="preserve">Page </w:t>
            </w:r>
            <w:r w:rsidRPr="00695BF3">
              <w:fldChar w:fldCharType="begin"/>
            </w:r>
            <w:r w:rsidRPr="00695BF3">
              <w:instrText xml:space="preserve"> PAGE </w:instrText>
            </w:r>
            <w:r w:rsidRPr="00695BF3">
              <w:fldChar w:fldCharType="separate"/>
            </w:r>
            <w:r>
              <w:rPr>
                <w:noProof/>
              </w:rPr>
              <w:t>32</w:t>
            </w:r>
            <w:r w:rsidRPr="00695BF3">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132982"/>
      <w:docPartObj>
        <w:docPartGallery w:val="Page Numbers (Bottom of Page)"/>
        <w:docPartUnique/>
      </w:docPartObj>
    </w:sdtPr>
    <w:sdtEndPr/>
    <w:sdtContent>
      <w:sdt>
        <w:sdtPr>
          <w:id w:val="-1678724915"/>
          <w:docPartObj>
            <w:docPartGallery w:val="Page Numbers (Top of Page)"/>
            <w:docPartUnique/>
          </w:docPartObj>
        </w:sdtPr>
        <w:sdtEndPr/>
        <w:sdtContent>
          <w:p w14:paraId="20FC32EB" w14:textId="3174AD4B" w:rsidR="00864D1C" w:rsidRPr="00824115" w:rsidRDefault="00864D1C" w:rsidP="00691095">
            <w:pPr>
              <w:pStyle w:val="FooterEven"/>
              <w:jc w:val="right"/>
            </w:pPr>
            <w:r>
              <w:t xml:space="preserve">Page </w:t>
            </w:r>
            <w:r w:rsidRPr="00C37C68">
              <w:fldChar w:fldCharType="begin"/>
            </w:r>
            <w:r w:rsidRPr="00C37C68">
              <w:instrText xml:space="preserve"> PAGE </w:instrText>
            </w:r>
            <w:r w:rsidRPr="00C37C68">
              <w:fldChar w:fldCharType="separate"/>
            </w:r>
            <w:r w:rsidR="00DC78BE">
              <w:rPr>
                <w:noProof/>
              </w:rPr>
              <w:t>7</w:t>
            </w:r>
            <w:r w:rsidRPr="00C37C68">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F0C4" w14:textId="77777777" w:rsidR="00864D1C" w:rsidRPr="00F3163E" w:rsidRDefault="00864D1C" w:rsidP="00F3163E">
    <w:pPr>
      <w:pStyle w:val="FooterEven"/>
    </w:pPr>
    <w:r w:rsidRPr="00695BF3">
      <w:t xml:space="preserve">Page </w:t>
    </w:r>
    <w:r w:rsidRPr="00695BF3">
      <w:fldChar w:fldCharType="begin"/>
    </w:r>
    <w:r w:rsidRPr="00695BF3">
      <w:instrText xml:space="preserve"> PAGE </w:instrText>
    </w:r>
    <w:r w:rsidRPr="00695BF3">
      <w:fldChar w:fldCharType="separate"/>
    </w:r>
    <w:r>
      <w:rPr>
        <w:noProof/>
      </w:rPr>
      <w:t>32</w:t>
    </w:r>
    <w:r w:rsidRPr="00695BF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5B998" w14:textId="77777777" w:rsidR="00864D1C" w:rsidRDefault="00864D1C" w:rsidP="00230E5B">
      <w:pPr>
        <w:spacing w:after="0" w:line="240" w:lineRule="auto"/>
      </w:pPr>
      <w:r>
        <w:separator/>
      </w:r>
    </w:p>
  </w:footnote>
  <w:footnote w:type="continuationSeparator" w:id="0">
    <w:p w14:paraId="6994D860" w14:textId="77777777" w:rsidR="00864D1C" w:rsidRDefault="00864D1C" w:rsidP="00230E5B">
      <w:pPr>
        <w:spacing w:after="0" w:line="240" w:lineRule="auto"/>
      </w:pPr>
      <w:r>
        <w:continuationSeparator/>
      </w:r>
    </w:p>
  </w:footnote>
  <w:footnote w:type="continuationNotice" w:id="1">
    <w:p w14:paraId="71C33135" w14:textId="77777777" w:rsidR="00864D1C" w:rsidRDefault="00864D1C">
      <w:pPr>
        <w:spacing w:after="0" w:line="240" w:lineRule="auto"/>
      </w:pPr>
    </w:p>
  </w:footnote>
  <w:footnote w:id="2">
    <w:p w14:paraId="0DE858A2" w14:textId="77777777" w:rsidR="00864D1C" w:rsidRDefault="00864D1C" w:rsidP="000C07AB">
      <w:pPr>
        <w:pStyle w:val="FootnoteText"/>
      </w:pPr>
      <w:r w:rsidRPr="00FA3EE1">
        <w:rPr>
          <w:rStyle w:val="FootnoteReference"/>
          <w:sz w:val="22"/>
        </w:rPr>
        <w:footnoteRef/>
      </w:r>
      <w:r w:rsidRPr="00FA3EE1">
        <w:rPr>
          <w:rStyle w:val="FootnoteReference"/>
          <w:sz w:val="22"/>
        </w:rPr>
        <w:t xml:space="preserve"> </w:t>
      </w:r>
      <w:r w:rsidRPr="00C50E35">
        <w:tab/>
      </w:r>
      <w:r>
        <w:t>Information on the FIRB and FIRB agency operational costs for a financial year is included in the FIRB Annual Report for the financial year. For more information on the FIRB and the framework see www.firb.gov.au.</w:t>
      </w:r>
    </w:p>
  </w:footnote>
  <w:footnote w:id="3">
    <w:p w14:paraId="259D061C" w14:textId="7C29F4C8" w:rsidR="00864D1C" w:rsidRDefault="00864D1C" w:rsidP="00FA3EE1">
      <w:pPr>
        <w:pStyle w:val="FootnoteText"/>
      </w:pPr>
      <w:r w:rsidRPr="00FA3EE1">
        <w:rPr>
          <w:rStyle w:val="FootnoteReference"/>
          <w:sz w:val="22"/>
        </w:rPr>
        <w:footnoteRef/>
      </w:r>
      <w:r w:rsidRPr="00FA3EE1">
        <w:rPr>
          <w:rStyle w:val="FootnoteReference"/>
          <w:sz w:val="22"/>
        </w:rPr>
        <w:t xml:space="preserve"> </w:t>
      </w:r>
      <w:r w:rsidRPr="00FA3EE1">
        <w:rPr>
          <w:rStyle w:val="FootnoteReference"/>
          <w:sz w:val="22"/>
        </w:rPr>
        <w:tab/>
      </w:r>
      <w:r>
        <w:t xml:space="preserve">To provide greater transparency of foreign ownership in Australia, the Government has established agricultural land and water entitlements foreign ownership registers. These are discussed further in </w:t>
      </w:r>
      <w:r w:rsidRPr="009B6626">
        <w:t>section 5.3</w:t>
      </w:r>
      <w:r>
        <w:t xml:space="preserve"> of this report. The foreign ownership of Australian media interests register administered by the </w:t>
      </w:r>
      <w:r w:rsidRPr="00A61E93">
        <w:t xml:space="preserve">Australian Communications and Media Authority </w:t>
      </w:r>
      <w:r>
        <w:t xml:space="preserve">provides an </w:t>
      </w:r>
      <w:r w:rsidRPr="00A61E93">
        <w:t>electronic, publicly available register of foreign owners of media assets</w:t>
      </w:r>
      <w:r>
        <w:t>.</w:t>
      </w:r>
    </w:p>
  </w:footnote>
  <w:footnote w:id="4">
    <w:p w14:paraId="1400300C" w14:textId="75CC6B7C" w:rsidR="00864D1C" w:rsidRPr="00BE3639" w:rsidRDefault="00864D1C" w:rsidP="00FA3EE1">
      <w:pPr>
        <w:spacing w:after="0" w:line="240" w:lineRule="auto"/>
        <w:ind w:left="284" w:hanging="284"/>
      </w:pPr>
      <w:r>
        <w:rPr>
          <w:rStyle w:val="FootnoteReference"/>
        </w:rPr>
        <w:footnoteRef/>
      </w:r>
      <w:r>
        <w:t xml:space="preserve"> </w:t>
      </w:r>
      <w:r>
        <w:tab/>
      </w:r>
      <w:r w:rsidRPr="0057637E">
        <w:rPr>
          <w:sz w:val="18"/>
        </w:rPr>
        <w:t xml:space="preserve">The </w:t>
      </w:r>
      <w:hyperlink r:id="rId1" w:history="1">
        <w:r w:rsidRPr="0057637E">
          <w:rPr>
            <w:sz w:val="18"/>
          </w:rPr>
          <w:t>measures of good performance, and corresponding evidence metrics</w:t>
        </w:r>
      </w:hyperlink>
      <w:r>
        <w:rPr>
          <w:sz w:val="18"/>
        </w:rPr>
        <w:t>,</w:t>
      </w:r>
      <w:r w:rsidRPr="0057637E">
        <w:rPr>
          <w:sz w:val="18"/>
        </w:rPr>
        <w:t xml:space="preserve"> were published on the FIRB website in 2015 and are at: </w:t>
      </w:r>
      <w:hyperlink r:id="rId2" w:history="1">
        <w:r w:rsidRPr="0057637E">
          <w:rPr>
            <w:sz w:val="18"/>
          </w:rPr>
          <w:t>https://firb.gov.au/about-firb/regulator-performance-framework</w:t>
        </w:r>
      </w:hyperlink>
      <w:r>
        <w:rPr>
          <w:sz w:val="18"/>
        </w:rPr>
        <w:t>.</w:t>
      </w:r>
    </w:p>
  </w:footnote>
  <w:footnote w:id="5">
    <w:p w14:paraId="417E4CC5" w14:textId="778DF0B2" w:rsidR="00864D1C" w:rsidRDefault="00864D1C" w:rsidP="00FA3EE1">
      <w:pPr>
        <w:spacing w:after="0" w:line="240" w:lineRule="auto"/>
        <w:ind w:left="284" w:hanging="284"/>
      </w:pPr>
      <w:r>
        <w:rPr>
          <w:rStyle w:val="FootnoteReference"/>
        </w:rPr>
        <w:footnoteRef/>
      </w:r>
      <w:r w:rsidRPr="0057637E">
        <w:rPr>
          <w:rStyle w:val="FootnoteReference"/>
        </w:rPr>
        <w:t xml:space="preserve"> </w:t>
      </w:r>
      <w:r>
        <w:tab/>
      </w:r>
      <w:r w:rsidRPr="0057637E">
        <w:rPr>
          <w:sz w:val="18"/>
        </w:rPr>
        <w:t>For other statistics and data on the administration of the framework, including applications considered and compliance data, see the FIRB Annual Report.</w:t>
      </w:r>
    </w:p>
  </w:footnote>
  <w:footnote w:id="6">
    <w:p w14:paraId="14D61FE1" w14:textId="606D74C6" w:rsidR="00864D1C" w:rsidRPr="00E52454" w:rsidRDefault="00864D1C" w:rsidP="00FA3EE1">
      <w:pPr>
        <w:pStyle w:val="FootnoteText"/>
        <w:rPr>
          <w:rStyle w:val="FootnoteReference"/>
        </w:rPr>
      </w:pPr>
      <w:r w:rsidRPr="00E52454">
        <w:rPr>
          <w:rStyle w:val="FootnoteReference"/>
        </w:rPr>
        <w:footnoteRef/>
      </w:r>
      <w:r w:rsidRPr="00E52454">
        <w:rPr>
          <w:rStyle w:val="FootnoteReference"/>
        </w:rPr>
        <w:t xml:space="preserve"> </w:t>
      </w:r>
      <w:r w:rsidRPr="000517A2">
        <w:rPr>
          <w:rStyle w:val="BodyTextChar"/>
          <w:sz w:val="18"/>
          <w:szCs w:val="18"/>
        </w:rPr>
        <w:t>Treasury</w:t>
      </w:r>
      <w:r>
        <w:rPr>
          <w:rStyle w:val="BodyTextChar"/>
          <w:sz w:val="18"/>
          <w:szCs w:val="18"/>
        </w:rPr>
        <w:t xml:space="preserve"> </w:t>
      </w:r>
      <w:r w:rsidRPr="000517A2">
        <w:rPr>
          <w:rStyle w:val="BodyTextChar"/>
          <w:sz w:val="18"/>
          <w:szCs w:val="18"/>
        </w:rPr>
        <w:t>developed Reference Guides on these topics have been developed and are available at </w:t>
      </w:r>
      <w:hyperlink r:id="rId3" w:history="1">
        <w:r w:rsidRPr="000517A2">
          <w:rPr>
            <w:rStyle w:val="BodyTextChar"/>
            <w:sz w:val="18"/>
            <w:szCs w:val="18"/>
          </w:rPr>
          <w:t>https://firb.gov.au/guidance-resources</w:t>
        </w:r>
      </w:hyperlink>
      <w:r w:rsidRPr="000517A2">
        <w:rPr>
          <w:rStyle w:val="BodyTextChar"/>
          <w:sz w:val="18"/>
          <w:szCs w:val="18"/>
        </w:rPr>
        <w:t>.</w:t>
      </w:r>
    </w:p>
  </w:footnote>
  <w:footnote w:id="7">
    <w:p w14:paraId="2C972DA8" w14:textId="376494F8" w:rsidR="00864D1C" w:rsidRPr="00FE5536" w:rsidRDefault="00864D1C" w:rsidP="00250832">
      <w:pPr>
        <w:pStyle w:val="ChartorTableNote"/>
        <w:ind w:left="284" w:hanging="284"/>
        <w:rPr>
          <w:rFonts w:asciiTheme="minorHAnsi" w:hAnsiTheme="minorHAnsi" w:cstheme="minorHAnsi"/>
          <w:sz w:val="18"/>
          <w:szCs w:val="18"/>
        </w:rPr>
      </w:pPr>
      <w:r>
        <w:rPr>
          <w:rStyle w:val="FootnoteReference"/>
        </w:rPr>
        <w:footnoteRef/>
      </w:r>
      <w:r>
        <w:t xml:space="preserve"> </w:t>
      </w:r>
      <w:r>
        <w:tab/>
      </w:r>
      <w:r w:rsidRPr="001C1E8E">
        <w:rPr>
          <w:rFonts w:asciiTheme="minorHAnsi" w:hAnsiTheme="minorHAnsi" w:cstheme="minorHAnsi"/>
          <w:sz w:val="18"/>
          <w:szCs w:val="18"/>
        </w:rPr>
        <w:t xml:space="preserve">This diagram shows the top 15 sources of website users by country based on known IP addresses and accounts for 90.98 per cent of total users. </w:t>
      </w:r>
      <w:r w:rsidRPr="00FE5536">
        <w:rPr>
          <w:rFonts w:asciiTheme="minorHAnsi" w:hAnsiTheme="minorHAnsi" w:cstheme="minorHAnsi"/>
          <w:sz w:val="18"/>
          <w:szCs w:val="18"/>
        </w:rPr>
        <w:t>A ‘user’ for the purposes of this diagram is a first time user during the period. There were 228,727 such users from 209 countries during 2018</w:t>
      </w:r>
      <w:r w:rsidRPr="00FE5536">
        <w:rPr>
          <w:rFonts w:asciiTheme="minorHAnsi" w:hAnsiTheme="minorHAnsi" w:cstheme="minorHAnsi"/>
          <w:sz w:val="18"/>
          <w:szCs w:val="18"/>
        </w:rPr>
        <w:noBreakHyphen/>
        <w:t>19.</w:t>
      </w:r>
    </w:p>
    <w:p w14:paraId="3EBF5BC0" w14:textId="77777777" w:rsidR="00864D1C" w:rsidRPr="00FE5536" w:rsidRDefault="00864D1C" w:rsidP="00FE5536">
      <w:pPr>
        <w:pStyle w:val="ChartorTableNote"/>
        <w:ind w:left="284"/>
        <w:rPr>
          <w:rFonts w:asciiTheme="minorHAnsi" w:hAnsiTheme="minorHAnsi" w:cstheme="minorHAnsi"/>
          <w:sz w:val="18"/>
          <w:szCs w:val="18"/>
        </w:rPr>
      </w:pPr>
      <w:r w:rsidRPr="00FE5536">
        <w:rPr>
          <w:rFonts w:asciiTheme="minorHAnsi" w:hAnsiTheme="minorHAnsi" w:cstheme="minorHAnsi"/>
          <w:sz w:val="18"/>
          <w:szCs w:val="18"/>
        </w:rPr>
        <w:t>Location is allocated based on the recorded IP address. However, 0.24 per cent of IP locations were unknown (these have not been excluded from the above total user number).</w:t>
      </w:r>
    </w:p>
    <w:p w14:paraId="4E2FA6CC" w14:textId="77777777" w:rsidR="00864D1C" w:rsidRPr="00FE5536" w:rsidRDefault="00864D1C" w:rsidP="00250832">
      <w:pPr>
        <w:pStyle w:val="ChartorTableNote"/>
        <w:ind w:left="284"/>
        <w:rPr>
          <w:rFonts w:asciiTheme="minorHAnsi" w:hAnsiTheme="minorHAnsi" w:cstheme="minorHAnsi"/>
          <w:sz w:val="18"/>
          <w:szCs w:val="18"/>
        </w:rPr>
      </w:pPr>
      <w:r w:rsidRPr="00FE5536">
        <w:rPr>
          <w:rFonts w:asciiTheme="minorHAnsi" w:hAnsiTheme="minorHAnsi" w:cstheme="minorHAnsi"/>
          <w:sz w:val="18"/>
          <w:szCs w:val="18"/>
        </w:rPr>
        <w:t>China excludes Special Administrative Regions and Taiwan.</w:t>
      </w:r>
    </w:p>
    <w:p w14:paraId="151EB5FB" w14:textId="77777777" w:rsidR="00864D1C" w:rsidRPr="00FE5536" w:rsidRDefault="00864D1C" w:rsidP="00250832">
      <w:pPr>
        <w:pStyle w:val="ChartorTableNote"/>
        <w:ind w:left="284"/>
        <w:rPr>
          <w:rFonts w:asciiTheme="minorHAnsi" w:hAnsiTheme="minorHAnsi" w:cstheme="minorHAnsi"/>
          <w:sz w:val="18"/>
          <w:szCs w:val="18"/>
        </w:rPr>
      </w:pPr>
      <w:r w:rsidRPr="00FE5536">
        <w:rPr>
          <w:rFonts w:asciiTheme="minorHAnsi" w:hAnsiTheme="minorHAnsi" w:cstheme="minorHAnsi"/>
          <w:sz w:val="18"/>
          <w:szCs w:val="18"/>
        </w:rPr>
        <w:t>The FIRB website includes users who are subsequently directed to foreign investment specific content on the ATO website.</w:t>
      </w:r>
    </w:p>
    <w:p w14:paraId="563817CD" w14:textId="77777777" w:rsidR="00864D1C" w:rsidRDefault="00864D1C" w:rsidP="00250832">
      <w:pPr>
        <w:pStyle w:val="FootnoteText"/>
      </w:pPr>
    </w:p>
  </w:footnote>
  <w:footnote w:id="8">
    <w:p w14:paraId="11EF33F3" w14:textId="2B549E65" w:rsidR="00864D1C" w:rsidRPr="00FE5536" w:rsidRDefault="00864D1C" w:rsidP="004B734E">
      <w:pPr>
        <w:pStyle w:val="ChartorTableNote"/>
        <w:ind w:left="284" w:hanging="284"/>
        <w:jc w:val="left"/>
        <w:rPr>
          <w:rFonts w:asciiTheme="minorHAnsi" w:hAnsiTheme="minorHAnsi" w:cstheme="minorHAnsi"/>
          <w:sz w:val="18"/>
          <w:szCs w:val="18"/>
        </w:rPr>
      </w:pPr>
      <w:r>
        <w:rPr>
          <w:rStyle w:val="FootnoteReference"/>
        </w:rPr>
        <w:footnoteRef/>
      </w:r>
      <w:r>
        <w:t xml:space="preserve"> </w:t>
      </w:r>
      <w:r>
        <w:tab/>
      </w:r>
      <w:r w:rsidRPr="00FE5536">
        <w:rPr>
          <w:rFonts w:asciiTheme="minorHAnsi" w:hAnsiTheme="minorHAnsi" w:cstheme="minorHAnsi"/>
          <w:sz w:val="18"/>
          <w:szCs w:val="18"/>
        </w:rPr>
        <w:t>For FIRB website statistics, a ‘user’ is a first time user during 2018</w:t>
      </w:r>
      <w:r w:rsidRPr="00FE5536">
        <w:rPr>
          <w:rFonts w:asciiTheme="minorHAnsi" w:hAnsiTheme="minorHAnsi" w:cstheme="minorHAnsi"/>
          <w:sz w:val="18"/>
          <w:szCs w:val="18"/>
        </w:rPr>
        <w:noBreakHyphen/>
        <w:t>19 and a ‘session’ is a period of time that a user is on the site. If a user is inactive for 30 minutes or more, future activity is counted as a new session(s). Otherwise, ongoing activity by the same user is counted as one session.</w:t>
      </w:r>
    </w:p>
    <w:p w14:paraId="7102241B" w14:textId="1EB6F966" w:rsidR="00864D1C" w:rsidRDefault="00864D1C" w:rsidP="00FE5536">
      <w:pPr>
        <w:pStyle w:val="ChartorTableNo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B4B74" w14:textId="6FF17A05" w:rsidR="00864D1C" w:rsidRDefault="00864D1C">
    <w:pPr>
      <w:pStyle w:val="Header"/>
    </w:pPr>
    <w:r>
      <w:t>Contents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2F455" w14:textId="5CBC6768" w:rsidR="00864D1C" w:rsidRDefault="00864D1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941" w14:textId="4515E6AB" w:rsidR="00864D1C" w:rsidRDefault="00864D1C" w:rsidP="00691095">
    <w:pPr>
      <w:pStyle w:val="HeaderEven"/>
      <w:jc w:val="right"/>
    </w:pPr>
    <w:r>
      <w:rPr>
        <w:noProof/>
      </w:rPr>
      <w:fldChar w:fldCharType="begin"/>
    </w:r>
    <w:r>
      <w:rPr>
        <w:noProof/>
      </w:rPr>
      <w:instrText xml:space="preserve"> STYLEREF  "Heading 1"  \* MERGEFORMAT </w:instrText>
    </w:r>
    <w:r>
      <w:rPr>
        <w:noProof/>
      </w:rPr>
      <w:fldChar w:fldCharType="separate"/>
    </w:r>
    <w:r w:rsidR="00DC78BE">
      <w:rPr>
        <w:noProof/>
      </w:rPr>
      <w:t>Self-Assessment of Performance</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CD8C1" w14:textId="6BBD6AF0" w:rsidR="00864D1C" w:rsidRPr="00662E5E" w:rsidRDefault="00864D1C" w:rsidP="002F48B1">
    <w:pPr>
      <w:pStyle w:val="SinglePara"/>
      <w:jc w:val="right"/>
      <w:rPr>
        <w:rFonts w:ascii="Arial" w:hAnsi="Arial"/>
        <w:sz w:val="16"/>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E603" w14:textId="78D8F3C7" w:rsidR="00864D1C" w:rsidRDefault="00864D1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BBA6" w14:textId="63064A96" w:rsidR="00864D1C" w:rsidRDefault="00864D1C" w:rsidP="00EC1DA6">
    <w:pPr>
      <w:pStyle w:val="HeaderOdd"/>
    </w:pPr>
    <w:r>
      <w:rPr>
        <w:noProof/>
      </w:rPr>
      <w:fldChar w:fldCharType="begin"/>
    </w:r>
    <w:r>
      <w:rPr>
        <w:noProof/>
      </w:rPr>
      <w:instrText xml:space="preserve"> STYLEREF  "Heading 1"  \* MERGEFORMAT </w:instrText>
    </w:r>
    <w:r>
      <w:rPr>
        <w:noProof/>
      </w:rPr>
      <w:fldChar w:fldCharType="separate"/>
    </w:r>
    <w:r w:rsidR="00DC78BE">
      <w:rPr>
        <w:noProof/>
      </w:rPr>
      <w:t>Self-Assessment of Performance</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AA1DD" w14:textId="6F0A4A80" w:rsidR="00864D1C" w:rsidRDefault="00864D1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04E6" w14:textId="710B8A9B" w:rsidR="00864D1C" w:rsidRDefault="00864D1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00C0" w14:textId="79FFC388" w:rsidR="00864D1C" w:rsidRDefault="00864D1C" w:rsidP="00691095">
    <w:pPr>
      <w:pStyle w:val="HeaderEven"/>
      <w:jc w:val="right"/>
    </w:pPr>
    <w:r>
      <w:rPr>
        <w:noProof/>
      </w:rPr>
      <w:fldChar w:fldCharType="begin"/>
    </w:r>
    <w:r>
      <w:rPr>
        <w:noProof/>
      </w:rPr>
      <w:instrText xml:space="preserve"> STYLEREF  "Heading 1"  \* MERGEFORMAT </w:instrText>
    </w:r>
    <w:r>
      <w:rPr>
        <w:noProof/>
      </w:rPr>
      <w:fldChar w:fldCharType="separate"/>
    </w:r>
    <w:r w:rsidR="00DC78BE">
      <w:rPr>
        <w:noProof/>
      </w:rPr>
      <w:t>Self-Assessment of Performance</w:t>
    </w:r>
    <w:r>
      <w:rP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24E2" w14:textId="2DBAC45A" w:rsidR="00864D1C" w:rsidRDefault="00864D1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A6B5B" w14:textId="2DDC285A" w:rsidR="00864D1C" w:rsidRDefault="00864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5F60" w14:textId="1DE30B81" w:rsidR="00864D1C" w:rsidRPr="00CD5D78" w:rsidRDefault="00864D1C" w:rsidP="001F342D">
    <w:pPr>
      <w:pStyle w:val="ChartGraphic"/>
      <w:jc w:val="left"/>
    </w:pPr>
    <w:r>
      <w:rPr>
        <w:noProof/>
      </w:rPr>
      <w:drawing>
        <wp:inline distT="0" distB="0" distL="0" distR="0" wp14:anchorId="29A79D42" wp14:editId="1E48AA58">
          <wp:extent cx="2731135" cy="542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1135" cy="542290"/>
                  </a:xfrm>
                  <a:prstGeom prst="rect">
                    <a:avLst/>
                  </a:prstGeom>
                  <a:noFill/>
                </pic:spPr>
              </pic:pic>
            </a:graphicData>
          </a:graphic>
        </wp:inline>
      </w:drawing>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B9A4B" w14:textId="41574B52" w:rsidR="00864D1C" w:rsidRDefault="00864D1C" w:rsidP="00187290">
    <w:pPr>
      <w:pStyle w:val="Header"/>
      <w:jc w:val="right"/>
    </w:pPr>
    <w:r w:rsidRPr="007C52D0">
      <w:rPr>
        <w:rFonts w:ascii="Arial" w:hAnsi="Arial"/>
        <w:noProof/>
        <w:color w:val="1F497D" w:themeColor="text2"/>
        <w:sz w:val="18"/>
      </w:rPr>
      <w:fldChar w:fldCharType="begin"/>
    </w:r>
    <w:r w:rsidRPr="007C52D0">
      <w:rPr>
        <w:rFonts w:ascii="Arial" w:hAnsi="Arial"/>
        <w:noProof/>
        <w:color w:val="1F497D" w:themeColor="text2"/>
        <w:sz w:val="18"/>
      </w:rPr>
      <w:instrText xml:space="preserve"> STYLEREF  "Heading 1"  \* MERGEFORMAT </w:instrText>
    </w:r>
    <w:r w:rsidRPr="007C52D0">
      <w:rPr>
        <w:rFonts w:ascii="Arial" w:hAnsi="Arial"/>
        <w:noProof/>
        <w:color w:val="1F497D" w:themeColor="text2"/>
        <w:sz w:val="18"/>
      </w:rPr>
      <w:fldChar w:fldCharType="separate"/>
    </w:r>
    <w:r w:rsidR="00DC78BE">
      <w:rPr>
        <w:rFonts w:ascii="Arial" w:hAnsi="Arial"/>
        <w:noProof/>
        <w:color w:val="1F497D" w:themeColor="text2"/>
        <w:sz w:val="18"/>
      </w:rPr>
      <w:t>Appendix A – Stakeholder survey feedback</w:t>
    </w:r>
    <w:r w:rsidRPr="007C52D0">
      <w:rPr>
        <w:rFonts w:ascii="Arial" w:hAnsi="Arial"/>
        <w:noProof/>
        <w:color w:val="1F497D" w:themeColor="text2"/>
        <w:sz w:val="18"/>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D2B87" w14:textId="13EC50B8" w:rsidR="00864D1C" w:rsidRPr="00662E5E" w:rsidRDefault="00864D1C" w:rsidP="008D71C6">
    <w:pPr>
      <w:pStyle w:val="HeaderOdd"/>
      <w:rPr>
        <w:sz w:val="16"/>
      </w:rPr>
    </w:pPr>
    <w:r w:rsidRPr="008D71C6">
      <w:rPr>
        <w:sz w:val="16"/>
      </w:rPr>
      <w:fldChar w:fldCharType="begin"/>
    </w:r>
    <w:r w:rsidRPr="008D71C6">
      <w:rPr>
        <w:sz w:val="16"/>
      </w:rPr>
      <w:instrText xml:space="preserve"> STYLEREF  "Heading 1"  \* MERGEFORMAT </w:instrText>
    </w:r>
    <w:r w:rsidRPr="008D71C6">
      <w:rPr>
        <w:sz w:val="16"/>
      </w:rPr>
      <w:fldChar w:fldCharType="separate"/>
    </w:r>
    <w:r w:rsidR="008C38D3">
      <w:rPr>
        <w:noProof/>
        <w:sz w:val="16"/>
      </w:rPr>
      <w:t>Self-Assessment of Performance</w:t>
    </w:r>
    <w:r w:rsidRPr="008D71C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9AC53" w14:textId="28FF9485" w:rsidR="00864D1C" w:rsidRDefault="00864D1C" w:rsidP="002C6222">
    <w:pPr>
      <w:pStyle w:val="ChartGraphic"/>
      <w:jc w:val="left"/>
    </w:pPr>
    <w:r>
      <w:rPr>
        <w:noProof/>
      </w:rPr>
      <w:drawing>
        <wp:inline distT="0" distB="0" distL="0" distR="0" wp14:anchorId="64BBC2BD" wp14:editId="122AC586">
          <wp:extent cx="2731135" cy="542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1135" cy="54229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0330" w14:textId="02386751" w:rsidR="00864D1C" w:rsidRPr="00C94797" w:rsidRDefault="00864D1C" w:rsidP="002F48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4E649" w14:textId="5F4E22DF" w:rsidR="00864D1C" w:rsidRDefault="00864D1C" w:rsidP="002F48B1">
    <w:pPr>
      <w:pStyle w:val="HeaderOdd"/>
    </w:pPr>
    <w:r>
      <w:rPr>
        <w:noProof/>
      </w:rPr>
      <w:fldChar w:fldCharType="begin"/>
    </w:r>
    <w:r>
      <w:rPr>
        <w:noProof/>
      </w:rPr>
      <w:instrText xml:space="preserve"> STYLEREF  "Heading 1"  \* MERGEFORMAT </w:instrText>
    </w:r>
    <w:r>
      <w:rPr>
        <w:noProof/>
      </w:rPr>
      <w:fldChar w:fldCharType="separate"/>
    </w:r>
    <w:r w:rsidR="008C38D3">
      <w:rPr>
        <w:noProof/>
      </w:rPr>
      <w:t>Introduction</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7D40" w14:textId="2A3D06BE" w:rsidR="00864D1C" w:rsidRPr="00662E5E" w:rsidRDefault="00864D1C" w:rsidP="002F48B1">
    <w:pPr>
      <w:pStyle w:val="SinglePara"/>
      <w:jc w:val="right"/>
      <w:rPr>
        <w:rFonts w:ascii="Arial" w:hAnsi="Arial"/>
        <w:sz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D8891" w14:textId="3374A9C7" w:rsidR="00864D1C" w:rsidRPr="00C94797" w:rsidRDefault="00864D1C" w:rsidP="002F48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7365" w14:textId="3BC034C5" w:rsidR="00864D1C" w:rsidRDefault="00864D1C" w:rsidP="002F48B1">
    <w:pPr>
      <w:pStyle w:val="HeaderOdd"/>
    </w:pPr>
    <w:r>
      <w:rPr>
        <w:noProof/>
      </w:rPr>
      <w:fldChar w:fldCharType="begin"/>
    </w:r>
    <w:r>
      <w:rPr>
        <w:noProof/>
      </w:rPr>
      <w:instrText xml:space="preserve"> STYLEREF  "Heading 1"  \* MERGEFORMAT </w:instrText>
    </w:r>
    <w:r>
      <w:rPr>
        <w:noProof/>
      </w:rPr>
      <w:fldChar w:fldCharType="separate"/>
    </w:r>
    <w:r w:rsidR="008C38D3">
      <w:rPr>
        <w:noProof/>
      </w:rPr>
      <w:t>Introduction</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B6A92" w14:textId="5D6CD6AE" w:rsidR="00864D1C" w:rsidRPr="00020B42" w:rsidRDefault="00864D1C" w:rsidP="00020B4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7A75"/>
    <w:multiLevelType w:val="multilevel"/>
    <w:tmpl w:val="76A41044"/>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C4E5D"/>
    <w:multiLevelType w:val="multilevel"/>
    <w:tmpl w:val="D10E9CF6"/>
    <w:numStyleLink w:val="OneLevelList"/>
  </w:abstractNum>
  <w:abstractNum w:abstractNumId="5" w15:restartNumberingAfterBreak="0">
    <w:nsid w:val="1ADF06BE"/>
    <w:multiLevelType w:val="multilevel"/>
    <w:tmpl w:val="17B4AC4E"/>
    <w:name w:val="StandardBulletedList"/>
    <w:lvl w:ilvl="0">
      <w:start w:val="1"/>
      <w:numFmt w:val="bullet"/>
      <w:lvlText w:val="•"/>
      <w:lvlJc w:val="left"/>
      <w:pPr>
        <w:tabs>
          <w:tab w:val="num" w:pos="378"/>
        </w:tabs>
        <w:ind w:left="378" w:hanging="378"/>
      </w:pPr>
      <w:rPr>
        <w:rFonts w:ascii="Times New Roman" w:hAnsi="Times New Roman" w:cs="Times New Roman"/>
      </w:rPr>
    </w:lvl>
    <w:lvl w:ilvl="1">
      <w:start w:val="1"/>
      <w:numFmt w:val="bullet"/>
      <w:lvlText w:val="–"/>
      <w:lvlJc w:val="left"/>
      <w:pPr>
        <w:tabs>
          <w:tab w:val="num" w:pos="756"/>
        </w:tabs>
        <w:ind w:left="756" w:hanging="378"/>
      </w:pPr>
      <w:rPr>
        <w:rFonts w:ascii="Times New Roman" w:hAnsi="Times New Roman" w:cs="Times New Roman"/>
      </w:rPr>
    </w:lvl>
    <w:lvl w:ilvl="2">
      <w:start w:val="1"/>
      <w:numFmt w:val="bullet"/>
      <w:lvlText w:val=":"/>
      <w:lvlJc w:val="left"/>
      <w:pPr>
        <w:tabs>
          <w:tab w:val="num" w:pos="1134"/>
        </w:tabs>
        <w:ind w:left="1134" w:hanging="378"/>
      </w:pPr>
      <w:rPr>
        <w:rFonts w:ascii="Times New Roman" w:hAnsi="Times New Roman"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EA2A0F"/>
    <w:multiLevelType w:val="multilevel"/>
    <w:tmpl w:val="C96CE37C"/>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440C8B"/>
    <w:multiLevelType w:val="multilevel"/>
    <w:tmpl w:val="9560F99E"/>
    <w:name w:val="StandardBulletedList_"/>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9" w15:restartNumberingAfterBreak="0">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0" w15:restartNumberingAfterBreak="0">
    <w:nsid w:val="2F000007"/>
    <w:multiLevelType w:val="multilevel"/>
    <w:tmpl w:val="3BAB5790"/>
    <w:lvl w:ilvl="0">
      <w:start w:val="1"/>
      <w:numFmt w:val="bullet"/>
      <w:lvlText w:val="•"/>
      <w:lvlJc w:val="left"/>
      <w:pPr>
        <w:tabs>
          <w:tab w:val="left" w:pos="283"/>
        </w:tabs>
        <w:ind w:left="283" w:hanging="283"/>
        <w:jc w:val="both"/>
      </w:pPr>
      <w:rPr>
        <w:rFonts w:ascii="Times New Roman" w:eastAsia="Times New Roman" w:hAnsi="Times New Roman"/>
        <w:b w:val="0"/>
        <w:w w:val="100"/>
        <w:sz w:val="20"/>
        <w:szCs w:val="20"/>
        <w:shd w:val="clear" w:color="auto" w:fill="auto"/>
      </w:rPr>
    </w:lvl>
    <w:lvl w:ilvl="1">
      <w:start w:val="1"/>
      <w:numFmt w:val="bullet"/>
      <w:lvlText w:val="–"/>
      <w:lvlJc w:val="left"/>
      <w:pPr>
        <w:tabs>
          <w:tab w:val="left" w:pos="567"/>
        </w:tabs>
        <w:ind w:left="567" w:hanging="284"/>
        <w:jc w:val="both"/>
      </w:pPr>
      <w:rPr>
        <w:rFonts w:ascii="Times New Roman" w:eastAsia="Times New Roman" w:hAnsi="Times New Roman"/>
        <w:b w:val="0"/>
        <w:w w:val="100"/>
        <w:sz w:val="20"/>
        <w:szCs w:val="20"/>
        <w:shd w:val="clear" w:color="auto" w:fill="auto"/>
      </w:rPr>
    </w:lvl>
    <w:lvl w:ilvl="2">
      <w:start w:val="1"/>
      <w:numFmt w:val="bullet"/>
      <w:lvlText w:val=":"/>
      <w:lvlJc w:val="left"/>
      <w:pPr>
        <w:tabs>
          <w:tab w:val="left" w:pos="850"/>
        </w:tabs>
        <w:ind w:left="850" w:hanging="283"/>
        <w:jc w:val="both"/>
      </w:pPr>
      <w:rPr>
        <w:rFonts w:ascii="Times New Roman" w:eastAsia="Times New Roman" w:hAnsi="Times New Roman"/>
        <w:b w:val="0"/>
        <w:w w:val="100"/>
        <w:sz w:val="20"/>
        <w:szCs w:val="20"/>
        <w:shd w:val="clear" w:color="auto" w:fill="auto"/>
      </w:rPr>
    </w:lvl>
    <w:lvl w:ilvl="3">
      <w:start w:val="1"/>
      <w:numFmt w:val="decimal"/>
      <w:lvlText w:val="(%4)"/>
      <w:lvlJc w:val="left"/>
      <w:pPr>
        <w:tabs>
          <w:tab w:val="left" w:pos="1440"/>
        </w:tabs>
        <w:ind w:left="1440" w:hanging="360"/>
        <w:jc w:val="both"/>
      </w:pPr>
      <w:rPr>
        <w:b w:val="0"/>
        <w:w w:val="100"/>
        <w:sz w:val="20"/>
        <w:szCs w:val="20"/>
        <w:shd w:val="clear" w:color="auto" w:fill="auto"/>
      </w:rPr>
    </w:lvl>
    <w:lvl w:ilvl="4">
      <w:start w:val="1"/>
      <w:numFmt w:val="lowerLetter"/>
      <w:lvlText w:val="(%5)"/>
      <w:lvlJc w:val="left"/>
      <w:pPr>
        <w:tabs>
          <w:tab w:val="left" w:pos="1800"/>
        </w:tabs>
        <w:ind w:left="1800" w:hanging="360"/>
        <w:jc w:val="both"/>
      </w:pPr>
      <w:rPr>
        <w:b w:val="0"/>
        <w:w w:val="100"/>
        <w:sz w:val="20"/>
        <w:szCs w:val="20"/>
        <w:shd w:val="clear" w:color="auto" w:fill="auto"/>
      </w:rPr>
    </w:lvl>
    <w:lvl w:ilvl="5">
      <w:start w:val="1"/>
      <w:numFmt w:val="lowerRoman"/>
      <w:lvlText w:val="(%6)"/>
      <w:lvlJc w:val="left"/>
      <w:pPr>
        <w:tabs>
          <w:tab w:val="left" w:pos="2160"/>
        </w:tabs>
        <w:ind w:left="2160" w:hanging="360"/>
        <w:jc w:val="both"/>
      </w:pPr>
      <w:rPr>
        <w:b w:val="0"/>
        <w:w w:val="100"/>
        <w:sz w:val="20"/>
        <w:szCs w:val="20"/>
        <w:shd w:val="clear" w:color="auto" w:fill="auto"/>
      </w:rPr>
    </w:lvl>
    <w:lvl w:ilvl="6">
      <w:start w:val="1"/>
      <w:numFmt w:val="decimal"/>
      <w:lvlText w:val="%7."/>
      <w:lvlJc w:val="left"/>
      <w:pPr>
        <w:tabs>
          <w:tab w:val="left" w:pos="2520"/>
        </w:tabs>
        <w:ind w:left="2520" w:hanging="360"/>
        <w:jc w:val="both"/>
      </w:pPr>
      <w:rPr>
        <w:b w:val="0"/>
        <w:w w:val="100"/>
        <w:sz w:val="20"/>
        <w:szCs w:val="20"/>
        <w:shd w:val="clear" w:color="auto" w:fill="auto"/>
      </w:rPr>
    </w:lvl>
    <w:lvl w:ilvl="7">
      <w:start w:val="1"/>
      <w:numFmt w:val="lowerLetter"/>
      <w:lvlText w:val="%8."/>
      <w:lvlJc w:val="left"/>
      <w:pPr>
        <w:tabs>
          <w:tab w:val="left" w:pos="2880"/>
        </w:tabs>
        <w:ind w:left="2880" w:hanging="360"/>
        <w:jc w:val="both"/>
      </w:pPr>
      <w:rPr>
        <w:b w:val="0"/>
        <w:w w:val="100"/>
        <w:sz w:val="20"/>
        <w:szCs w:val="20"/>
        <w:shd w:val="clear" w:color="auto" w:fill="auto"/>
      </w:rPr>
    </w:lvl>
    <w:lvl w:ilvl="8">
      <w:start w:val="1"/>
      <w:numFmt w:val="lowerRoman"/>
      <w:lvlText w:val="%9."/>
      <w:lvlJc w:val="left"/>
      <w:pPr>
        <w:tabs>
          <w:tab w:val="left" w:pos="3240"/>
        </w:tabs>
        <w:ind w:left="3240" w:hanging="360"/>
        <w:jc w:val="both"/>
      </w:pPr>
      <w:rPr>
        <w:b w:val="0"/>
        <w:w w:val="100"/>
        <w:sz w:val="20"/>
        <w:szCs w:val="20"/>
        <w:shd w:val="clear" w:color="auto" w:fill="auto"/>
      </w:rPr>
    </w:lvl>
  </w:abstractNum>
  <w:abstractNum w:abstractNumId="11" w15:restartNumberingAfterBreak="0">
    <w:nsid w:val="2F000015"/>
    <w:multiLevelType w:val="hybridMultilevel"/>
    <w:tmpl w:val="B4CC88F0"/>
    <w:lvl w:ilvl="0" w:tplc="0C090001">
      <w:start w:val="1"/>
      <w:numFmt w:val="bullet"/>
      <w:lvlText w:val=""/>
      <w:lvlJc w:val="left"/>
      <w:pPr>
        <w:ind w:left="720" w:hanging="360"/>
        <w:jc w:val="both"/>
      </w:pPr>
      <w:rPr>
        <w:rFonts w:ascii="Symbol" w:hAnsi="Symbol" w:hint="default"/>
        <w:w w:val="100"/>
        <w:sz w:val="20"/>
        <w:szCs w:val="20"/>
        <w:shd w:val="clear" w:color="auto" w:fill="auto"/>
      </w:rPr>
    </w:lvl>
    <w:lvl w:ilvl="1" w:tplc="2FCADE00">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6A6AC91A">
      <w:start w:val="1"/>
      <w:numFmt w:val="bullet"/>
      <w:lvlText w:val="§"/>
      <w:lvlJc w:val="left"/>
      <w:pPr>
        <w:ind w:left="2160" w:hanging="360"/>
        <w:jc w:val="both"/>
      </w:pPr>
      <w:rPr>
        <w:rFonts w:ascii="Wingdings" w:eastAsia="Wingdings" w:hAnsi="Wingdings"/>
        <w:w w:val="100"/>
        <w:sz w:val="20"/>
        <w:szCs w:val="20"/>
        <w:shd w:val="clear" w:color="auto" w:fill="auto"/>
      </w:rPr>
    </w:lvl>
    <w:lvl w:ilvl="3" w:tplc="8714860A">
      <w:start w:val="1"/>
      <w:numFmt w:val="bullet"/>
      <w:lvlText w:val="·"/>
      <w:lvlJc w:val="left"/>
      <w:pPr>
        <w:ind w:left="2880" w:hanging="360"/>
        <w:jc w:val="both"/>
      </w:pPr>
      <w:rPr>
        <w:rFonts w:ascii="Symbol" w:eastAsia="Symbol" w:hAnsi="Symbol"/>
        <w:w w:val="100"/>
        <w:sz w:val="20"/>
        <w:szCs w:val="20"/>
        <w:shd w:val="clear" w:color="auto" w:fill="auto"/>
      </w:rPr>
    </w:lvl>
    <w:lvl w:ilvl="4" w:tplc="9A0C2B4C">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69685142">
      <w:start w:val="1"/>
      <w:numFmt w:val="bullet"/>
      <w:lvlText w:val="§"/>
      <w:lvlJc w:val="left"/>
      <w:pPr>
        <w:ind w:left="4320" w:hanging="360"/>
        <w:jc w:val="both"/>
      </w:pPr>
      <w:rPr>
        <w:rFonts w:ascii="Wingdings" w:eastAsia="Wingdings" w:hAnsi="Wingdings"/>
        <w:w w:val="100"/>
        <w:sz w:val="20"/>
        <w:szCs w:val="20"/>
        <w:shd w:val="clear" w:color="auto" w:fill="auto"/>
      </w:rPr>
    </w:lvl>
    <w:lvl w:ilvl="6" w:tplc="A8E86040">
      <w:start w:val="1"/>
      <w:numFmt w:val="bullet"/>
      <w:lvlText w:val="·"/>
      <w:lvlJc w:val="left"/>
      <w:pPr>
        <w:ind w:left="5040" w:hanging="360"/>
        <w:jc w:val="both"/>
      </w:pPr>
      <w:rPr>
        <w:rFonts w:ascii="Symbol" w:eastAsia="Symbol" w:hAnsi="Symbol"/>
        <w:w w:val="100"/>
        <w:sz w:val="20"/>
        <w:szCs w:val="20"/>
        <w:shd w:val="clear" w:color="auto" w:fill="auto"/>
      </w:rPr>
    </w:lvl>
    <w:lvl w:ilvl="7" w:tplc="EBFCC1C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913887EA">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2" w15:restartNumberingAfterBreak="0">
    <w:nsid w:val="308C2710"/>
    <w:multiLevelType w:val="multilevel"/>
    <w:tmpl w:val="7026C81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15:restartNumberingAfterBreak="0">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B34BE0"/>
    <w:multiLevelType w:val="hybridMultilevel"/>
    <w:tmpl w:val="0824B7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553ECC"/>
    <w:multiLevelType w:val="hybridMultilevel"/>
    <w:tmpl w:val="B3F44904"/>
    <w:lvl w:ilvl="0" w:tplc="0C090001">
      <w:start w:val="1"/>
      <w:numFmt w:val="bullet"/>
      <w:pStyle w:val="TableTextDash"/>
      <w:lvlText w:val=""/>
      <w:lvlJc w:val="left"/>
      <w:pPr>
        <w:tabs>
          <w:tab w:val="num" w:pos="567"/>
        </w:tabs>
        <w:ind w:left="567" w:hanging="283"/>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554A3D"/>
    <w:multiLevelType w:val="multilevel"/>
    <w:tmpl w:val="AA8ADE8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CD2678"/>
    <w:multiLevelType w:val="multilevel"/>
    <w:tmpl w:val="66B0E12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5B0A7E"/>
    <w:multiLevelType w:val="multilevel"/>
    <w:tmpl w:val="EDEE4FB6"/>
    <w:numStyleLink w:val="RecommendationBulletList"/>
  </w:abstractNum>
  <w:abstractNum w:abstractNumId="20" w15:restartNumberingAfterBreak="0">
    <w:nsid w:val="449143ED"/>
    <w:multiLevelType w:val="multilevel"/>
    <w:tmpl w:val="18FCD8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10D2021"/>
    <w:multiLevelType w:val="multilevel"/>
    <w:tmpl w:val="72F8140E"/>
    <w:numStyleLink w:val="OutlineList"/>
  </w:abstractNum>
  <w:abstractNum w:abstractNumId="23" w15:restartNumberingAfterBreak="0">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5F73129"/>
    <w:multiLevelType w:val="multilevel"/>
    <w:tmpl w:val="D9A8A212"/>
    <w:numStyleLink w:val="RomanNumeralList"/>
  </w:abstractNum>
  <w:abstractNum w:abstractNumId="25" w15:restartNumberingAfterBreak="0">
    <w:nsid w:val="56B40B0D"/>
    <w:multiLevelType w:val="multilevel"/>
    <w:tmpl w:val="E7C4D5C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2337A9B"/>
    <w:multiLevelType w:val="hybridMultilevel"/>
    <w:tmpl w:val="9B5A4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1"/>
  </w:num>
  <w:num w:numId="4">
    <w:abstractNumId w:val="15"/>
  </w:num>
  <w:num w:numId="5">
    <w:abstractNumId w:val="3"/>
  </w:num>
  <w:num w:numId="6">
    <w:abstractNumId w:val="6"/>
  </w:num>
  <w:num w:numId="7">
    <w:abstractNumId w:val="2"/>
  </w:num>
  <w:num w:numId="8">
    <w:abstractNumId w:val="4"/>
  </w:num>
  <w:num w:numId="9">
    <w:abstractNumId w:val="22"/>
  </w:num>
  <w:num w:numId="10">
    <w:abstractNumId w:val="19"/>
  </w:num>
  <w:num w:numId="11">
    <w:abstractNumId w:val="24"/>
  </w:num>
  <w:num w:numId="12">
    <w:abstractNumId w:val="13"/>
  </w:num>
  <w:num w:numId="13">
    <w:abstractNumId w:val="23"/>
  </w:num>
  <w:num w:numId="14">
    <w:abstractNumId w:val="7"/>
  </w:num>
  <w:num w:numId="15">
    <w:abstractNumId w:val="16"/>
  </w:num>
  <w:num w:numId="16">
    <w:abstractNumId w:val="25"/>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8"/>
  </w:num>
  <w:num w:numId="36">
    <w:abstractNumId w:val="12"/>
  </w:num>
  <w:num w:numId="37">
    <w:abstractNumId w:val="12"/>
  </w:num>
  <w:num w:numId="38">
    <w:abstractNumId w:val="7"/>
  </w:num>
  <w:num w:numId="39">
    <w:abstractNumId w:val="7"/>
  </w:num>
  <w:num w:numId="40">
    <w:abstractNumId w:val="7"/>
  </w:num>
  <w:num w:numId="4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2"/>
  </w:num>
  <w:num w:numId="44">
    <w:abstractNumId w:val="11"/>
  </w:num>
  <w:num w:numId="45">
    <w:abstractNumId w:val="10"/>
  </w:num>
  <w:num w:numId="46">
    <w:abstractNumId w:val="12"/>
  </w:num>
  <w:num w:numId="47">
    <w:abstractNumId w:val="12"/>
  </w:num>
  <w:num w:numId="48">
    <w:abstractNumId w:val="12"/>
  </w:num>
  <w:num w:numId="49">
    <w:abstractNumId w:val="7"/>
  </w:num>
  <w:num w:numId="5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05"/>
    <w:rsid w:val="000000ED"/>
    <w:rsid w:val="0000041E"/>
    <w:rsid w:val="000005CB"/>
    <w:rsid w:val="00000A6C"/>
    <w:rsid w:val="00001814"/>
    <w:rsid w:val="00001857"/>
    <w:rsid w:val="000026FD"/>
    <w:rsid w:val="0000321F"/>
    <w:rsid w:val="00003543"/>
    <w:rsid w:val="00003BF5"/>
    <w:rsid w:val="00005359"/>
    <w:rsid w:val="000057B4"/>
    <w:rsid w:val="00005B2E"/>
    <w:rsid w:val="00006109"/>
    <w:rsid w:val="000067DD"/>
    <w:rsid w:val="00006B18"/>
    <w:rsid w:val="00010227"/>
    <w:rsid w:val="00010F3D"/>
    <w:rsid w:val="00011410"/>
    <w:rsid w:val="00011AFE"/>
    <w:rsid w:val="00012508"/>
    <w:rsid w:val="00014345"/>
    <w:rsid w:val="000145AC"/>
    <w:rsid w:val="00014E0F"/>
    <w:rsid w:val="000150EB"/>
    <w:rsid w:val="00015CB8"/>
    <w:rsid w:val="0001642E"/>
    <w:rsid w:val="00016F42"/>
    <w:rsid w:val="000176BC"/>
    <w:rsid w:val="00020029"/>
    <w:rsid w:val="00020B1F"/>
    <w:rsid w:val="00020B42"/>
    <w:rsid w:val="000219E5"/>
    <w:rsid w:val="00022B11"/>
    <w:rsid w:val="00022B66"/>
    <w:rsid w:val="0002337F"/>
    <w:rsid w:val="000239BE"/>
    <w:rsid w:val="00024320"/>
    <w:rsid w:val="00024E92"/>
    <w:rsid w:val="00024F94"/>
    <w:rsid w:val="00025412"/>
    <w:rsid w:val="00025602"/>
    <w:rsid w:val="00025727"/>
    <w:rsid w:val="0002619B"/>
    <w:rsid w:val="0002670F"/>
    <w:rsid w:val="00030BC4"/>
    <w:rsid w:val="00031836"/>
    <w:rsid w:val="00032265"/>
    <w:rsid w:val="000322F6"/>
    <w:rsid w:val="0003237E"/>
    <w:rsid w:val="00033F98"/>
    <w:rsid w:val="000345FD"/>
    <w:rsid w:val="00034B50"/>
    <w:rsid w:val="00035013"/>
    <w:rsid w:val="00036D1E"/>
    <w:rsid w:val="00040068"/>
    <w:rsid w:val="000403E5"/>
    <w:rsid w:val="0004065B"/>
    <w:rsid w:val="000423D6"/>
    <w:rsid w:val="00043127"/>
    <w:rsid w:val="00045AA9"/>
    <w:rsid w:val="000461AD"/>
    <w:rsid w:val="0004788A"/>
    <w:rsid w:val="00047DD5"/>
    <w:rsid w:val="000519E8"/>
    <w:rsid w:val="00052054"/>
    <w:rsid w:val="000521AC"/>
    <w:rsid w:val="000533BF"/>
    <w:rsid w:val="00054A79"/>
    <w:rsid w:val="00056104"/>
    <w:rsid w:val="000566A9"/>
    <w:rsid w:val="000603E8"/>
    <w:rsid w:val="000610D9"/>
    <w:rsid w:val="000633BB"/>
    <w:rsid w:val="000636F0"/>
    <w:rsid w:val="00063EB5"/>
    <w:rsid w:val="000644A3"/>
    <w:rsid w:val="0006567E"/>
    <w:rsid w:val="00065ABC"/>
    <w:rsid w:val="00066231"/>
    <w:rsid w:val="000668FD"/>
    <w:rsid w:val="00067902"/>
    <w:rsid w:val="00067E2B"/>
    <w:rsid w:val="000707CF"/>
    <w:rsid w:val="00070F01"/>
    <w:rsid w:val="00072037"/>
    <w:rsid w:val="00073D43"/>
    <w:rsid w:val="000743E5"/>
    <w:rsid w:val="00074792"/>
    <w:rsid w:val="00074967"/>
    <w:rsid w:val="00074CD9"/>
    <w:rsid w:val="00075502"/>
    <w:rsid w:val="000800F2"/>
    <w:rsid w:val="00080AC6"/>
    <w:rsid w:val="00080D08"/>
    <w:rsid w:val="00080F84"/>
    <w:rsid w:val="000814C5"/>
    <w:rsid w:val="000814E8"/>
    <w:rsid w:val="00081F99"/>
    <w:rsid w:val="00084929"/>
    <w:rsid w:val="0008546B"/>
    <w:rsid w:val="00086916"/>
    <w:rsid w:val="00087AA3"/>
    <w:rsid w:val="0009016C"/>
    <w:rsid w:val="00091B60"/>
    <w:rsid w:val="00092AF5"/>
    <w:rsid w:val="00092D21"/>
    <w:rsid w:val="00092DA2"/>
    <w:rsid w:val="00092F80"/>
    <w:rsid w:val="0009372B"/>
    <w:rsid w:val="0009425E"/>
    <w:rsid w:val="00094387"/>
    <w:rsid w:val="000946B8"/>
    <w:rsid w:val="000946CD"/>
    <w:rsid w:val="00094D28"/>
    <w:rsid w:val="000957B0"/>
    <w:rsid w:val="0009615B"/>
    <w:rsid w:val="00097011"/>
    <w:rsid w:val="000A1A52"/>
    <w:rsid w:val="000A1E59"/>
    <w:rsid w:val="000A1EA3"/>
    <w:rsid w:val="000A217C"/>
    <w:rsid w:val="000A25F0"/>
    <w:rsid w:val="000A29BA"/>
    <w:rsid w:val="000A31BA"/>
    <w:rsid w:val="000A3345"/>
    <w:rsid w:val="000A4F50"/>
    <w:rsid w:val="000A665A"/>
    <w:rsid w:val="000A6687"/>
    <w:rsid w:val="000A6770"/>
    <w:rsid w:val="000A7CFE"/>
    <w:rsid w:val="000B02A2"/>
    <w:rsid w:val="000B168B"/>
    <w:rsid w:val="000B23CB"/>
    <w:rsid w:val="000B257E"/>
    <w:rsid w:val="000B28DE"/>
    <w:rsid w:val="000B2EA8"/>
    <w:rsid w:val="000B31CE"/>
    <w:rsid w:val="000B4457"/>
    <w:rsid w:val="000B51B0"/>
    <w:rsid w:val="000B5387"/>
    <w:rsid w:val="000B5AC1"/>
    <w:rsid w:val="000B69E7"/>
    <w:rsid w:val="000B74C7"/>
    <w:rsid w:val="000C0578"/>
    <w:rsid w:val="000C06E7"/>
    <w:rsid w:val="000C07AB"/>
    <w:rsid w:val="000C0CFC"/>
    <w:rsid w:val="000C168D"/>
    <w:rsid w:val="000C2B8A"/>
    <w:rsid w:val="000C4220"/>
    <w:rsid w:val="000C47A9"/>
    <w:rsid w:val="000C49B0"/>
    <w:rsid w:val="000C51BF"/>
    <w:rsid w:val="000C5728"/>
    <w:rsid w:val="000C630D"/>
    <w:rsid w:val="000C6BCB"/>
    <w:rsid w:val="000C6C18"/>
    <w:rsid w:val="000C7AEC"/>
    <w:rsid w:val="000D10DA"/>
    <w:rsid w:val="000D2A9B"/>
    <w:rsid w:val="000D3218"/>
    <w:rsid w:val="000D3BC1"/>
    <w:rsid w:val="000D458A"/>
    <w:rsid w:val="000D4744"/>
    <w:rsid w:val="000D5119"/>
    <w:rsid w:val="000D5715"/>
    <w:rsid w:val="000D5937"/>
    <w:rsid w:val="000D627B"/>
    <w:rsid w:val="000D7471"/>
    <w:rsid w:val="000E0436"/>
    <w:rsid w:val="000E2116"/>
    <w:rsid w:val="000E3441"/>
    <w:rsid w:val="000E3DB5"/>
    <w:rsid w:val="000E43F4"/>
    <w:rsid w:val="000E49E4"/>
    <w:rsid w:val="000E517B"/>
    <w:rsid w:val="000E5BFD"/>
    <w:rsid w:val="000E65F4"/>
    <w:rsid w:val="000E6BD1"/>
    <w:rsid w:val="000E727C"/>
    <w:rsid w:val="000E78D0"/>
    <w:rsid w:val="000F0126"/>
    <w:rsid w:val="000F1CF5"/>
    <w:rsid w:val="000F2187"/>
    <w:rsid w:val="000F2E99"/>
    <w:rsid w:val="000F3632"/>
    <w:rsid w:val="000F3E16"/>
    <w:rsid w:val="000F45DF"/>
    <w:rsid w:val="000F46B2"/>
    <w:rsid w:val="000F5752"/>
    <w:rsid w:val="000F5CB7"/>
    <w:rsid w:val="000F5D04"/>
    <w:rsid w:val="000F5EE5"/>
    <w:rsid w:val="000F617E"/>
    <w:rsid w:val="000F6D3D"/>
    <w:rsid w:val="000F79E3"/>
    <w:rsid w:val="001003C3"/>
    <w:rsid w:val="001003C6"/>
    <w:rsid w:val="0010053D"/>
    <w:rsid w:val="00100544"/>
    <w:rsid w:val="0010067E"/>
    <w:rsid w:val="00100E09"/>
    <w:rsid w:val="00102911"/>
    <w:rsid w:val="00102968"/>
    <w:rsid w:val="001034ED"/>
    <w:rsid w:val="00103B62"/>
    <w:rsid w:val="00104898"/>
    <w:rsid w:val="00104FEC"/>
    <w:rsid w:val="00106CE4"/>
    <w:rsid w:val="00106DFA"/>
    <w:rsid w:val="0010721A"/>
    <w:rsid w:val="00110C2E"/>
    <w:rsid w:val="00111F5F"/>
    <w:rsid w:val="00115740"/>
    <w:rsid w:val="00115826"/>
    <w:rsid w:val="00116515"/>
    <w:rsid w:val="00116982"/>
    <w:rsid w:val="001178BE"/>
    <w:rsid w:val="00117BF6"/>
    <w:rsid w:val="00117D66"/>
    <w:rsid w:val="0012006F"/>
    <w:rsid w:val="00120809"/>
    <w:rsid w:val="00121229"/>
    <w:rsid w:val="00121662"/>
    <w:rsid w:val="0012207C"/>
    <w:rsid w:val="00122286"/>
    <w:rsid w:val="001222BE"/>
    <w:rsid w:val="00123C7B"/>
    <w:rsid w:val="0012426B"/>
    <w:rsid w:val="001249CE"/>
    <w:rsid w:val="00124FC1"/>
    <w:rsid w:val="001254CD"/>
    <w:rsid w:val="00126627"/>
    <w:rsid w:val="00126961"/>
    <w:rsid w:val="001272FF"/>
    <w:rsid w:val="00130ED5"/>
    <w:rsid w:val="001314B3"/>
    <w:rsid w:val="00131544"/>
    <w:rsid w:val="00133362"/>
    <w:rsid w:val="00133B45"/>
    <w:rsid w:val="00133DF4"/>
    <w:rsid w:val="00135764"/>
    <w:rsid w:val="00135F40"/>
    <w:rsid w:val="001362CA"/>
    <w:rsid w:val="00136A94"/>
    <w:rsid w:val="001375A0"/>
    <w:rsid w:val="00140AF5"/>
    <w:rsid w:val="00140CE3"/>
    <w:rsid w:val="001411D5"/>
    <w:rsid w:val="00141AF2"/>
    <w:rsid w:val="00141CC8"/>
    <w:rsid w:val="00142164"/>
    <w:rsid w:val="0014380F"/>
    <w:rsid w:val="00143972"/>
    <w:rsid w:val="001447C8"/>
    <w:rsid w:val="00144C7C"/>
    <w:rsid w:val="00145ED1"/>
    <w:rsid w:val="00145F16"/>
    <w:rsid w:val="00146230"/>
    <w:rsid w:val="0015059F"/>
    <w:rsid w:val="001507C6"/>
    <w:rsid w:val="00150A5D"/>
    <w:rsid w:val="001549BF"/>
    <w:rsid w:val="00155802"/>
    <w:rsid w:val="00156AFB"/>
    <w:rsid w:val="00156B2A"/>
    <w:rsid w:val="00156CFE"/>
    <w:rsid w:val="00161100"/>
    <w:rsid w:val="0016157B"/>
    <w:rsid w:val="00161DBE"/>
    <w:rsid w:val="00161F3F"/>
    <w:rsid w:val="0016287A"/>
    <w:rsid w:val="00162AD8"/>
    <w:rsid w:val="00162CAC"/>
    <w:rsid w:val="00162D6F"/>
    <w:rsid w:val="00162F22"/>
    <w:rsid w:val="00163732"/>
    <w:rsid w:val="0016376C"/>
    <w:rsid w:val="001638AE"/>
    <w:rsid w:val="0016406B"/>
    <w:rsid w:val="001642C8"/>
    <w:rsid w:val="00164301"/>
    <w:rsid w:val="00164861"/>
    <w:rsid w:val="00164A35"/>
    <w:rsid w:val="00164BDF"/>
    <w:rsid w:val="00164F06"/>
    <w:rsid w:val="00165AA4"/>
    <w:rsid w:val="00166873"/>
    <w:rsid w:val="0016775A"/>
    <w:rsid w:val="00167ED5"/>
    <w:rsid w:val="00170C17"/>
    <w:rsid w:val="00171120"/>
    <w:rsid w:val="00171A33"/>
    <w:rsid w:val="00171E1F"/>
    <w:rsid w:val="00173333"/>
    <w:rsid w:val="0017412F"/>
    <w:rsid w:val="001744B6"/>
    <w:rsid w:val="0017462A"/>
    <w:rsid w:val="00175BEC"/>
    <w:rsid w:val="00175CAD"/>
    <w:rsid w:val="00176D6A"/>
    <w:rsid w:val="00177CD8"/>
    <w:rsid w:val="001801C7"/>
    <w:rsid w:val="0018067B"/>
    <w:rsid w:val="00180AD0"/>
    <w:rsid w:val="00180DDC"/>
    <w:rsid w:val="0018136A"/>
    <w:rsid w:val="00181E89"/>
    <w:rsid w:val="001822F2"/>
    <w:rsid w:val="001831FD"/>
    <w:rsid w:val="001840F8"/>
    <w:rsid w:val="00185647"/>
    <w:rsid w:val="00185E07"/>
    <w:rsid w:val="001862CF"/>
    <w:rsid w:val="00187290"/>
    <w:rsid w:val="0018761C"/>
    <w:rsid w:val="00187CAB"/>
    <w:rsid w:val="001900BE"/>
    <w:rsid w:val="00190906"/>
    <w:rsid w:val="00191DCF"/>
    <w:rsid w:val="0019207A"/>
    <w:rsid w:val="00193333"/>
    <w:rsid w:val="001937C6"/>
    <w:rsid w:val="001948C4"/>
    <w:rsid w:val="00194FF6"/>
    <w:rsid w:val="00195053"/>
    <w:rsid w:val="0019519D"/>
    <w:rsid w:val="001951CD"/>
    <w:rsid w:val="001952DE"/>
    <w:rsid w:val="00195703"/>
    <w:rsid w:val="00195802"/>
    <w:rsid w:val="00195A2B"/>
    <w:rsid w:val="0019628D"/>
    <w:rsid w:val="00196724"/>
    <w:rsid w:val="001978DC"/>
    <w:rsid w:val="001A0653"/>
    <w:rsid w:val="001A06D7"/>
    <w:rsid w:val="001A129D"/>
    <w:rsid w:val="001A2067"/>
    <w:rsid w:val="001A2234"/>
    <w:rsid w:val="001A2A46"/>
    <w:rsid w:val="001A3698"/>
    <w:rsid w:val="001A39EE"/>
    <w:rsid w:val="001A4862"/>
    <w:rsid w:val="001A6345"/>
    <w:rsid w:val="001A6555"/>
    <w:rsid w:val="001A6574"/>
    <w:rsid w:val="001A7441"/>
    <w:rsid w:val="001A766D"/>
    <w:rsid w:val="001A7702"/>
    <w:rsid w:val="001A7B38"/>
    <w:rsid w:val="001B07FB"/>
    <w:rsid w:val="001B23CE"/>
    <w:rsid w:val="001B26AB"/>
    <w:rsid w:val="001B37FF"/>
    <w:rsid w:val="001B3924"/>
    <w:rsid w:val="001B4994"/>
    <w:rsid w:val="001B65BE"/>
    <w:rsid w:val="001B6E6E"/>
    <w:rsid w:val="001B708A"/>
    <w:rsid w:val="001C0D6B"/>
    <w:rsid w:val="001C0F9B"/>
    <w:rsid w:val="001C1E8E"/>
    <w:rsid w:val="001C2B3C"/>
    <w:rsid w:val="001C2CDF"/>
    <w:rsid w:val="001C4171"/>
    <w:rsid w:val="001C5BAB"/>
    <w:rsid w:val="001C6832"/>
    <w:rsid w:val="001C6843"/>
    <w:rsid w:val="001C79E1"/>
    <w:rsid w:val="001D10F8"/>
    <w:rsid w:val="001D17B3"/>
    <w:rsid w:val="001D263E"/>
    <w:rsid w:val="001D2F0A"/>
    <w:rsid w:val="001D3302"/>
    <w:rsid w:val="001D6775"/>
    <w:rsid w:val="001D68F8"/>
    <w:rsid w:val="001D6A4A"/>
    <w:rsid w:val="001D6F25"/>
    <w:rsid w:val="001D733A"/>
    <w:rsid w:val="001D7984"/>
    <w:rsid w:val="001E0554"/>
    <w:rsid w:val="001E0A76"/>
    <w:rsid w:val="001E123A"/>
    <w:rsid w:val="001E2224"/>
    <w:rsid w:val="001E239D"/>
    <w:rsid w:val="001E3D75"/>
    <w:rsid w:val="001E40D0"/>
    <w:rsid w:val="001E4642"/>
    <w:rsid w:val="001E5416"/>
    <w:rsid w:val="001E542C"/>
    <w:rsid w:val="001E5B55"/>
    <w:rsid w:val="001E5F6E"/>
    <w:rsid w:val="001E5FEA"/>
    <w:rsid w:val="001E6183"/>
    <w:rsid w:val="001E625D"/>
    <w:rsid w:val="001E69CE"/>
    <w:rsid w:val="001E7176"/>
    <w:rsid w:val="001E735F"/>
    <w:rsid w:val="001E7620"/>
    <w:rsid w:val="001E7939"/>
    <w:rsid w:val="001E7D20"/>
    <w:rsid w:val="001F0034"/>
    <w:rsid w:val="001F0133"/>
    <w:rsid w:val="001F1205"/>
    <w:rsid w:val="001F30C6"/>
    <w:rsid w:val="001F342D"/>
    <w:rsid w:val="001F42E7"/>
    <w:rsid w:val="001F4F23"/>
    <w:rsid w:val="001F555F"/>
    <w:rsid w:val="001F571E"/>
    <w:rsid w:val="001F6906"/>
    <w:rsid w:val="001F73FE"/>
    <w:rsid w:val="00200279"/>
    <w:rsid w:val="002003A5"/>
    <w:rsid w:val="0020273D"/>
    <w:rsid w:val="00202C96"/>
    <w:rsid w:val="00204326"/>
    <w:rsid w:val="00204790"/>
    <w:rsid w:val="00205465"/>
    <w:rsid w:val="0020618B"/>
    <w:rsid w:val="00206A5A"/>
    <w:rsid w:val="00206D54"/>
    <w:rsid w:val="002075A6"/>
    <w:rsid w:val="00210056"/>
    <w:rsid w:val="00211164"/>
    <w:rsid w:val="00211394"/>
    <w:rsid w:val="002113EB"/>
    <w:rsid w:val="002117D1"/>
    <w:rsid w:val="0021180F"/>
    <w:rsid w:val="00213573"/>
    <w:rsid w:val="00214BDF"/>
    <w:rsid w:val="00215C6A"/>
    <w:rsid w:val="002160BB"/>
    <w:rsid w:val="00217405"/>
    <w:rsid w:val="00220355"/>
    <w:rsid w:val="002221C0"/>
    <w:rsid w:val="00222236"/>
    <w:rsid w:val="002222CC"/>
    <w:rsid w:val="00222521"/>
    <w:rsid w:val="002234E8"/>
    <w:rsid w:val="00223922"/>
    <w:rsid w:val="002240E5"/>
    <w:rsid w:val="0022435E"/>
    <w:rsid w:val="002244A4"/>
    <w:rsid w:val="00224632"/>
    <w:rsid w:val="0022499A"/>
    <w:rsid w:val="0022511B"/>
    <w:rsid w:val="00225BFC"/>
    <w:rsid w:val="00226992"/>
    <w:rsid w:val="00227369"/>
    <w:rsid w:val="00227557"/>
    <w:rsid w:val="002278FF"/>
    <w:rsid w:val="00227AA3"/>
    <w:rsid w:val="00227E21"/>
    <w:rsid w:val="00227F87"/>
    <w:rsid w:val="002304ED"/>
    <w:rsid w:val="00230E5B"/>
    <w:rsid w:val="0023284A"/>
    <w:rsid w:val="00232970"/>
    <w:rsid w:val="00232DB1"/>
    <w:rsid w:val="00234011"/>
    <w:rsid w:val="00234600"/>
    <w:rsid w:val="00234BA3"/>
    <w:rsid w:val="002351E3"/>
    <w:rsid w:val="00235316"/>
    <w:rsid w:val="00235C9F"/>
    <w:rsid w:val="00235F1B"/>
    <w:rsid w:val="0023637D"/>
    <w:rsid w:val="0023637E"/>
    <w:rsid w:val="00237316"/>
    <w:rsid w:val="00240203"/>
    <w:rsid w:val="0024022A"/>
    <w:rsid w:val="0024157F"/>
    <w:rsid w:val="00241802"/>
    <w:rsid w:val="002425AB"/>
    <w:rsid w:val="0024312D"/>
    <w:rsid w:val="00243A0A"/>
    <w:rsid w:val="00243A67"/>
    <w:rsid w:val="002446DC"/>
    <w:rsid w:val="00244BC7"/>
    <w:rsid w:val="00244E41"/>
    <w:rsid w:val="00245527"/>
    <w:rsid w:val="002461E2"/>
    <w:rsid w:val="002474BA"/>
    <w:rsid w:val="00250832"/>
    <w:rsid w:val="00250D41"/>
    <w:rsid w:val="0025142E"/>
    <w:rsid w:val="00251F5B"/>
    <w:rsid w:val="00253144"/>
    <w:rsid w:val="002532D3"/>
    <w:rsid w:val="00254879"/>
    <w:rsid w:val="002551A8"/>
    <w:rsid w:val="00255B18"/>
    <w:rsid w:val="00255CAF"/>
    <w:rsid w:val="00255CBE"/>
    <w:rsid w:val="002565B0"/>
    <w:rsid w:val="00256992"/>
    <w:rsid w:val="00256D03"/>
    <w:rsid w:val="00257F4F"/>
    <w:rsid w:val="002600CE"/>
    <w:rsid w:val="002600FE"/>
    <w:rsid w:val="002609DB"/>
    <w:rsid w:val="00260BF6"/>
    <w:rsid w:val="00260DEA"/>
    <w:rsid w:val="00261A3E"/>
    <w:rsid w:val="00261DC5"/>
    <w:rsid w:val="002621B0"/>
    <w:rsid w:val="00263271"/>
    <w:rsid w:val="002632B3"/>
    <w:rsid w:val="002654B5"/>
    <w:rsid w:val="0027041C"/>
    <w:rsid w:val="002709AB"/>
    <w:rsid w:val="00270B48"/>
    <w:rsid w:val="002713B7"/>
    <w:rsid w:val="00271B9F"/>
    <w:rsid w:val="0027219E"/>
    <w:rsid w:val="00273836"/>
    <w:rsid w:val="00273EB6"/>
    <w:rsid w:val="00273F9A"/>
    <w:rsid w:val="002744CA"/>
    <w:rsid w:val="00277FEC"/>
    <w:rsid w:val="00280036"/>
    <w:rsid w:val="00280288"/>
    <w:rsid w:val="00281334"/>
    <w:rsid w:val="002831C3"/>
    <w:rsid w:val="00283497"/>
    <w:rsid w:val="002837F9"/>
    <w:rsid w:val="00284CD8"/>
    <w:rsid w:val="00285763"/>
    <w:rsid w:val="00285BFC"/>
    <w:rsid w:val="00285DD8"/>
    <w:rsid w:val="00286A6D"/>
    <w:rsid w:val="00286FA1"/>
    <w:rsid w:val="00287A4E"/>
    <w:rsid w:val="002905F0"/>
    <w:rsid w:val="0029077E"/>
    <w:rsid w:val="002910E0"/>
    <w:rsid w:val="002913F4"/>
    <w:rsid w:val="00292473"/>
    <w:rsid w:val="00293B2F"/>
    <w:rsid w:val="0029429C"/>
    <w:rsid w:val="0029483B"/>
    <w:rsid w:val="00295391"/>
    <w:rsid w:val="00296087"/>
    <w:rsid w:val="00296402"/>
    <w:rsid w:val="0029647F"/>
    <w:rsid w:val="00296C98"/>
    <w:rsid w:val="002973EC"/>
    <w:rsid w:val="002976A4"/>
    <w:rsid w:val="002A04C0"/>
    <w:rsid w:val="002A1AFE"/>
    <w:rsid w:val="002A2039"/>
    <w:rsid w:val="002A284D"/>
    <w:rsid w:val="002A2B65"/>
    <w:rsid w:val="002A2ECA"/>
    <w:rsid w:val="002A37F0"/>
    <w:rsid w:val="002A44A9"/>
    <w:rsid w:val="002A4E8B"/>
    <w:rsid w:val="002A5456"/>
    <w:rsid w:val="002A55AA"/>
    <w:rsid w:val="002A5955"/>
    <w:rsid w:val="002A5997"/>
    <w:rsid w:val="002A6A19"/>
    <w:rsid w:val="002A78C6"/>
    <w:rsid w:val="002A7BB4"/>
    <w:rsid w:val="002A7D4C"/>
    <w:rsid w:val="002B00E5"/>
    <w:rsid w:val="002B04CF"/>
    <w:rsid w:val="002B095D"/>
    <w:rsid w:val="002B13C6"/>
    <w:rsid w:val="002B1475"/>
    <w:rsid w:val="002B1B4F"/>
    <w:rsid w:val="002B1CC5"/>
    <w:rsid w:val="002B24A3"/>
    <w:rsid w:val="002B4277"/>
    <w:rsid w:val="002B4637"/>
    <w:rsid w:val="002B48E1"/>
    <w:rsid w:val="002B5434"/>
    <w:rsid w:val="002B5560"/>
    <w:rsid w:val="002B60F4"/>
    <w:rsid w:val="002B678C"/>
    <w:rsid w:val="002B6EAC"/>
    <w:rsid w:val="002B7166"/>
    <w:rsid w:val="002B78C8"/>
    <w:rsid w:val="002B7B8E"/>
    <w:rsid w:val="002C19BD"/>
    <w:rsid w:val="002C1E27"/>
    <w:rsid w:val="002C432E"/>
    <w:rsid w:val="002C49B2"/>
    <w:rsid w:val="002C515E"/>
    <w:rsid w:val="002C5C1A"/>
    <w:rsid w:val="002C5C32"/>
    <w:rsid w:val="002C6222"/>
    <w:rsid w:val="002C625A"/>
    <w:rsid w:val="002C63F4"/>
    <w:rsid w:val="002D0F1C"/>
    <w:rsid w:val="002D216B"/>
    <w:rsid w:val="002D2281"/>
    <w:rsid w:val="002D3137"/>
    <w:rsid w:val="002D3C4D"/>
    <w:rsid w:val="002D3CBA"/>
    <w:rsid w:val="002D4F5A"/>
    <w:rsid w:val="002D5013"/>
    <w:rsid w:val="002D5F20"/>
    <w:rsid w:val="002D61D2"/>
    <w:rsid w:val="002D7968"/>
    <w:rsid w:val="002E017F"/>
    <w:rsid w:val="002E050C"/>
    <w:rsid w:val="002E0C44"/>
    <w:rsid w:val="002E2BF9"/>
    <w:rsid w:val="002E3470"/>
    <w:rsid w:val="002E40D6"/>
    <w:rsid w:val="002E4A13"/>
    <w:rsid w:val="002E4CE0"/>
    <w:rsid w:val="002E53AF"/>
    <w:rsid w:val="002E592B"/>
    <w:rsid w:val="002E6466"/>
    <w:rsid w:val="002E693D"/>
    <w:rsid w:val="002F07D6"/>
    <w:rsid w:val="002F150E"/>
    <w:rsid w:val="002F16C2"/>
    <w:rsid w:val="002F1835"/>
    <w:rsid w:val="002F297E"/>
    <w:rsid w:val="002F389D"/>
    <w:rsid w:val="002F38DF"/>
    <w:rsid w:val="002F48B1"/>
    <w:rsid w:val="002F4FFA"/>
    <w:rsid w:val="002F508C"/>
    <w:rsid w:val="002F5FD3"/>
    <w:rsid w:val="002F638D"/>
    <w:rsid w:val="002F6448"/>
    <w:rsid w:val="002F7191"/>
    <w:rsid w:val="002F7964"/>
    <w:rsid w:val="003015B9"/>
    <w:rsid w:val="00301BD8"/>
    <w:rsid w:val="00301EB4"/>
    <w:rsid w:val="00302211"/>
    <w:rsid w:val="00302748"/>
    <w:rsid w:val="00302994"/>
    <w:rsid w:val="00303303"/>
    <w:rsid w:val="003033CF"/>
    <w:rsid w:val="003034D9"/>
    <w:rsid w:val="0030371F"/>
    <w:rsid w:val="0030537B"/>
    <w:rsid w:val="00307108"/>
    <w:rsid w:val="0030717E"/>
    <w:rsid w:val="00310F10"/>
    <w:rsid w:val="0031107A"/>
    <w:rsid w:val="00311122"/>
    <w:rsid w:val="00311515"/>
    <w:rsid w:val="00311545"/>
    <w:rsid w:val="00311600"/>
    <w:rsid w:val="003116F7"/>
    <w:rsid w:val="00311F0C"/>
    <w:rsid w:val="00311F5F"/>
    <w:rsid w:val="00312CDE"/>
    <w:rsid w:val="00313488"/>
    <w:rsid w:val="00313CA5"/>
    <w:rsid w:val="003141A4"/>
    <w:rsid w:val="00314870"/>
    <w:rsid w:val="00316096"/>
    <w:rsid w:val="00316D1C"/>
    <w:rsid w:val="00316DB8"/>
    <w:rsid w:val="00320AC0"/>
    <w:rsid w:val="0032107D"/>
    <w:rsid w:val="003214EE"/>
    <w:rsid w:val="003230C4"/>
    <w:rsid w:val="003231F9"/>
    <w:rsid w:val="00323FF5"/>
    <w:rsid w:val="00324002"/>
    <w:rsid w:val="003243DD"/>
    <w:rsid w:val="00324D30"/>
    <w:rsid w:val="00324FAE"/>
    <w:rsid w:val="00325749"/>
    <w:rsid w:val="00325753"/>
    <w:rsid w:val="00327066"/>
    <w:rsid w:val="00327626"/>
    <w:rsid w:val="00327A79"/>
    <w:rsid w:val="00327BB8"/>
    <w:rsid w:val="0033147B"/>
    <w:rsid w:val="00331F26"/>
    <w:rsid w:val="003321C5"/>
    <w:rsid w:val="003331A2"/>
    <w:rsid w:val="003334A8"/>
    <w:rsid w:val="003335A1"/>
    <w:rsid w:val="00333A51"/>
    <w:rsid w:val="0033400D"/>
    <w:rsid w:val="00334871"/>
    <w:rsid w:val="00335043"/>
    <w:rsid w:val="00335447"/>
    <w:rsid w:val="00336136"/>
    <w:rsid w:val="00340C7E"/>
    <w:rsid w:val="003418FA"/>
    <w:rsid w:val="00341DF3"/>
    <w:rsid w:val="003422B7"/>
    <w:rsid w:val="003437AA"/>
    <w:rsid w:val="00344251"/>
    <w:rsid w:val="003451E5"/>
    <w:rsid w:val="00345D65"/>
    <w:rsid w:val="00346AD6"/>
    <w:rsid w:val="00346AFF"/>
    <w:rsid w:val="00346D9E"/>
    <w:rsid w:val="00346E66"/>
    <w:rsid w:val="00346FFE"/>
    <w:rsid w:val="003477BA"/>
    <w:rsid w:val="00351719"/>
    <w:rsid w:val="00352D47"/>
    <w:rsid w:val="003533DD"/>
    <w:rsid w:val="003537D2"/>
    <w:rsid w:val="003538B2"/>
    <w:rsid w:val="00353917"/>
    <w:rsid w:val="00353B6E"/>
    <w:rsid w:val="00353D18"/>
    <w:rsid w:val="00353D9D"/>
    <w:rsid w:val="003542B9"/>
    <w:rsid w:val="003556CF"/>
    <w:rsid w:val="00356762"/>
    <w:rsid w:val="00356E54"/>
    <w:rsid w:val="00357627"/>
    <w:rsid w:val="003577C3"/>
    <w:rsid w:val="003600F1"/>
    <w:rsid w:val="00361F74"/>
    <w:rsid w:val="00362A17"/>
    <w:rsid w:val="0036326F"/>
    <w:rsid w:val="00363E56"/>
    <w:rsid w:val="00364092"/>
    <w:rsid w:val="00364DE1"/>
    <w:rsid w:val="00364EDB"/>
    <w:rsid w:val="00364F10"/>
    <w:rsid w:val="003655E1"/>
    <w:rsid w:val="00365963"/>
    <w:rsid w:val="003659B7"/>
    <w:rsid w:val="00365BAC"/>
    <w:rsid w:val="003662B7"/>
    <w:rsid w:val="003672B6"/>
    <w:rsid w:val="003675C8"/>
    <w:rsid w:val="00367696"/>
    <w:rsid w:val="00371240"/>
    <w:rsid w:val="003715DF"/>
    <w:rsid w:val="00371C4E"/>
    <w:rsid w:val="003728DC"/>
    <w:rsid w:val="00372983"/>
    <w:rsid w:val="0037316B"/>
    <w:rsid w:val="00373D6F"/>
    <w:rsid w:val="0037490D"/>
    <w:rsid w:val="00375288"/>
    <w:rsid w:val="00375331"/>
    <w:rsid w:val="00376255"/>
    <w:rsid w:val="0037634D"/>
    <w:rsid w:val="00376C9C"/>
    <w:rsid w:val="00377A23"/>
    <w:rsid w:val="00380405"/>
    <w:rsid w:val="0038042E"/>
    <w:rsid w:val="00380A9B"/>
    <w:rsid w:val="003811CA"/>
    <w:rsid w:val="00381C84"/>
    <w:rsid w:val="003849B9"/>
    <w:rsid w:val="0038538D"/>
    <w:rsid w:val="00385BBA"/>
    <w:rsid w:val="003863B0"/>
    <w:rsid w:val="00386FB1"/>
    <w:rsid w:val="00390AE1"/>
    <w:rsid w:val="003910B8"/>
    <w:rsid w:val="0039451C"/>
    <w:rsid w:val="0039547C"/>
    <w:rsid w:val="00395FE8"/>
    <w:rsid w:val="0039614B"/>
    <w:rsid w:val="003972CB"/>
    <w:rsid w:val="00397AB8"/>
    <w:rsid w:val="00397D26"/>
    <w:rsid w:val="003A0764"/>
    <w:rsid w:val="003A0D69"/>
    <w:rsid w:val="003A154D"/>
    <w:rsid w:val="003A2322"/>
    <w:rsid w:val="003A3289"/>
    <w:rsid w:val="003A3659"/>
    <w:rsid w:val="003A3D1F"/>
    <w:rsid w:val="003A4334"/>
    <w:rsid w:val="003A4348"/>
    <w:rsid w:val="003A4609"/>
    <w:rsid w:val="003A4DC3"/>
    <w:rsid w:val="003A5607"/>
    <w:rsid w:val="003A5911"/>
    <w:rsid w:val="003A5955"/>
    <w:rsid w:val="003A5DB8"/>
    <w:rsid w:val="003A65E3"/>
    <w:rsid w:val="003A69A6"/>
    <w:rsid w:val="003B11B2"/>
    <w:rsid w:val="003B1982"/>
    <w:rsid w:val="003B1D76"/>
    <w:rsid w:val="003B2737"/>
    <w:rsid w:val="003B4926"/>
    <w:rsid w:val="003B51E4"/>
    <w:rsid w:val="003B52A0"/>
    <w:rsid w:val="003B57D5"/>
    <w:rsid w:val="003B5C03"/>
    <w:rsid w:val="003B631D"/>
    <w:rsid w:val="003B75C3"/>
    <w:rsid w:val="003B75D4"/>
    <w:rsid w:val="003C1A9B"/>
    <w:rsid w:val="003C2A54"/>
    <w:rsid w:val="003C3750"/>
    <w:rsid w:val="003C3D34"/>
    <w:rsid w:val="003C3DF5"/>
    <w:rsid w:val="003C4759"/>
    <w:rsid w:val="003C47E7"/>
    <w:rsid w:val="003C52C7"/>
    <w:rsid w:val="003C595E"/>
    <w:rsid w:val="003C7052"/>
    <w:rsid w:val="003C7732"/>
    <w:rsid w:val="003C79C9"/>
    <w:rsid w:val="003D1FE2"/>
    <w:rsid w:val="003D41F6"/>
    <w:rsid w:val="003D43AF"/>
    <w:rsid w:val="003D527E"/>
    <w:rsid w:val="003D588B"/>
    <w:rsid w:val="003D5D9E"/>
    <w:rsid w:val="003D5F72"/>
    <w:rsid w:val="003D78AC"/>
    <w:rsid w:val="003E05B4"/>
    <w:rsid w:val="003E07D7"/>
    <w:rsid w:val="003E0CDA"/>
    <w:rsid w:val="003E26BC"/>
    <w:rsid w:val="003E2754"/>
    <w:rsid w:val="003E28D9"/>
    <w:rsid w:val="003E334F"/>
    <w:rsid w:val="003E338E"/>
    <w:rsid w:val="003E36F0"/>
    <w:rsid w:val="003E3B1F"/>
    <w:rsid w:val="003E3E31"/>
    <w:rsid w:val="003E4016"/>
    <w:rsid w:val="003E4F56"/>
    <w:rsid w:val="003E53D0"/>
    <w:rsid w:val="003E61B1"/>
    <w:rsid w:val="003E6CB0"/>
    <w:rsid w:val="003F0E89"/>
    <w:rsid w:val="003F3557"/>
    <w:rsid w:val="003F36AE"/>
    <w:rsid w:val="003F3932"/>
    <w:rsid w:val="003F3A79"/>
    <w:rsid w:val="003F41CA"/>
    <w:rsid w:val="003F5012"/>
    <w:rsid w:val="003F504C"/>
    <w:rsid w:val="003F5297"/>
    <w:rsid w:val="003F6A17"/>
    <w:rsid w:val="003F71B6"/>
    <w:rsid w:val="003F7B5A"/>
    <w:rsid w:val="00400223"/>
    <w:rsid w:val="00400306"/>
    <w:rsid w:val="004006A2"/>
    <w:rsid w:val="004006AB"/>
    <w:rsid w:val="004008B5"/>
    <w:rsid w:val="00400EDD"/>
    <w:rsid w:val="0040120E"/>
    <w:rsid w:val="004014D5"/>
    <w:rsid w:val="00402B33"/>
    <w:rsid w:val="00402BF0"/>
    <w:rsid w:val="0040352E"/>
    <w:rsid w:val="00404117"/>
    <w:rsid w:val="00405A66"/>
    <w:rsid w:val="00406769"/>
    <w:rsid w:val="00410D3D"/>
    <w:rsid w:val="00411185"/>
    <w:rsid w:val="00411B7F"/>
    <w:rsid w:val="00412675"/>
    <w:rsid w:val="00413309"/>
    <w:rsid w:val="00413B30"/>
    <w:rsid w:val="00414209"/>
    <w:rsid w:val="00414E54"/>
    <w:rsid w:val="0041535E"/>
    <w:rsid w:val="0041544D"/>
    <w:rsid w:val="00415F4A"/>
    <w:rsid w:val="00415FC8"/>
    <w:rsid w:val="00417036"/>
    <w:rsid w:val="00417433"/>
    <w:rsid w:val="00420226"/>
    <w:rsid w:val="0042130A"/>
    <w:rsid w:val="004218C1"/>
    <w:rsid w:val="004218C6"/>
    <w:rsid w:val="004221EE"/>
    <w:rsid w:val="00422472"/>
    <w:rsid w:val="004229FB"/>
    <w:rsid w:val="004232FB"/>
    <w:rsid w:val="004238C1"/>
    <w:rsid w:val="00423D0D"/>
    <w:rsid w:val="00423D16"/>
    <w:rsid w:val="004255CC"/>
    <w:rsid w:val="00425C81"/>
    <w:rsid w:val="00426B48"/>
    <w:rsid w:val="00427AC4"/>
    <w:rsid w:val="004300E1"/>
    <w:rsid w:val="00430BCC"/>
    <w:rsid w:val="00430BD7"/>
    <w:rsid w:val="00431F5E"/>
    <w:rsid w:val="00431FCF"/>
    <w:rsid w:val="0043249B"/>
    <w:rsid w:val="00433771"/>
    <w:rsid w:val="00434AC5"/>
    <w:rsid w:val="00436112"/>
    <w:rsid w:val="00437112"/>
    <w:rsid w:val="00437595"/>
    <w:rsid w:val="004378FE"/>
    <w:rsid w:val="00437EA3"/>
    <w:rsid w:val="004415DA"/>
    <w:rsid w:val="004415E2"/>
    <w:rsid w:val="00441A89"/>
    <w:rsid w:val="00442161"/>
    <w:rsid w:val="00442B71"/>
    <w:rsid w:val="00442E7B"/>
    <w:rsid w:val="00442FA8"/>
    <w:rsid w:val="00443F41"/>
    <w:rsid w:val="004446DE"/>
    <w:rsid w:val="00444788"/>
    <w:rsid w:val="004464E9"/>
    <w:rsid w:val="004469E0"/>
    <w:rsid w:val="00446DDE"/>
    <w:rsid w:val="00446EBD"/>
    <w:rsid w:val="0045000E"/>
    <w:rsid w:val="00450C1A"/>
    <w:rsid w:val="00450E96"/>
    <w:rsid w:val="00451336"/>
    <w:rsid w:val="004517EC"/>
    <w:rsid w:val="00451D63"/>
    <w:rsid w:val="0045259F"/>
    <w:rsid w:val="00452810"/>
    <w:rsid w:val="00453092"/>
    <w:rsid w:val="004534BB"/>
    <w:rsid w:val="00453DF5"/>
    <w:rsid w:val="00453F96"/>
    <w:rsid w:val="004556E0"/>
    <w:rsid w:val="00456ACF"/>
    <w:rsid w:val="00456B12"/>
    <w:rsid w:val="00456E73"/>
    <w:rsid w:val="0045746F"/>
    <w:rsid w:val="004575C2"/>
    <w:rsid w:val="00457795"/>
    <w:rsid w:val="00457A1E"/>
    <w:rsid w:val="00460B6D"/>
    <w:rsid w:val="00460D98"/>
    <w:rsid w:val="0046150B"/>
    <w:rsid w:val="0046276F"/>
    <w:rsid w:val="004629E5"/>
    <w:rsid w:val="00463DF6"/>
    <w:rsid w:val="00464799"/>
    <w:rsid w:val="004648A1"/>
    <w:rsid w:val="00464F00"/>
    <w:rsid w:val="00465FFF"/>
    <w:rsid w:val="00467E91"/>
    <w:rsid w:val="00471340"/>
    <w:rsid w:val="00472561"/>
    <w:rsid w:val="004732B6"/>
    <w:rsid w:val="00473717"/>
    <w:rsid w:val="00473A80"/>
    <w:rsid w:val="004742F1"/>
    <w:rsid w:val="00474D3E"/>
    <w:rsid w:val="004755A3"/>
    <w:rsid w:val="00477768"/>
    <w:rsid w:val="00477A7B"/>
    <w:rsid w:val="00477CD9"/>
    <w:rsid w:val="00477FE9"/>
    <w:rsid w:val="00480BA3"/>
    <w:rsid w:val="0048161A"/>
    <w:rsid w:val="0048497B"/>
    <w:rsid w:val="0048560C"/>
    <w:rsid w:val="00485A74"/>
    <w:rsid w:val="00485FCD"/>
    <w:rsid w:val="00486077"/>
    <w:rsid w:val="0048777F"/>
    <w:rsid w:val="00487A2F"/>
    <w:rsid w:val="00487D68"/>
    <w:rsid w:val="004913B8"/>
    <w:rsid w:val="00492161"/>
    <w:rsid w:val="00492730"/>
    <w:rsid w:val="004930DB"/>
    <w:rsid w:val="004946C8"/>
    <w:rsid w:val="0049565A"/>
    <w:rsid w:val="00495F55"/>
    <w:rsid w:val="00496734"/>
    <w:rsid w:val="00497EFD"/>
    <w:rsid w:val="004A0441"/>
    <w:rsid w:val="004A1951"/>
    <w:rsid w:val="004A2192"/>
    <w:rsid w:val="004A2464"/>
    <w:rsid w:val="004A2707"/>
    <w:rsid w:val="004A3E3E"/>
    <w:rsid w:val="004A4879"/>
    <w:rsid w:val="004A4C02"/>
    <w:rsid w:val="004A5F49"/>
    <w:rsid w:val="004A69BF"/>
    <w:rsid w:val="004B0032"/>
    <w:rsid w:val="004B03B3"/>
    <w:rsid w:val="004B06B2"/>
    <w:rsid w:val="004B2B07"/>
    <w:rsid w:val="004B41EA"/>
    <w:rsid w:val="004B5363"/>
    <w:rsid w:val="004B6670"/>
    <w:rsid w:val="004B67BE"/>
    <w:rsid w:val="004B6B49"/>
    <w:rsid w:val="004B6C48"/>
    <w:rsid w:val="004B734E"/>
    <w:rsid w:val="004C0638"/>
    <w:rsid w:val="004C0DBA"/>
    <w:rsid w:val="004C1F60"/>
    <w:rsid w:val="004C27EC"/>
    <w:rsid w:val="004C2E83"/>
    <w:rsid w:val="004C2FB7"/>
    <w:rsid w:val="004C3373"/>
    <w:rsid w:val="004C3585"/>
    <w:rsid w:val="004C426D"/>
    <w:rsid w:val="004C42C0"/>
    <w:rsid w:val="004C4400"/>
    <w:rsid w:val="004C56CC"/>
    <w:rsid w:val="004C60CB"/>
    <w:rsid w:val="004C6564"/>
    <w:rsid w:val="004C7BC0"/>
    <w:rsid w:val="004D09C2"/>
    <w:rsid w:val="004D0DE4"/>
    <w:rsid w:val="004D0F8A"/>
    <w:rsid w:val="004D12C9"/>
    <w:rsid w:val="004D1AC6"/>
    <w:rsid w:val="004D2625"/>
    <w:rsid w:val="004D2689"/>
    <w:rsid w:val="004D2F6A"/>
    <w:rsid w:val="004D2F6D"/>
    <w:rsid w:val="004D3688"/>
    <w:rsid w:val="004D3717"/>
    <w:rsid w:val="004D3D14"/>
    <w:rsid w:val="004D3EFB"/>
    <w:rsid w:val="004D41B6"/>
    <w:rsid w:val="004D5110"/>
    <w:rsid w:val="004D5327"/>
    <w:rsid w:val="004D57F0"/>
    <w:rsid w:val="004D6BB8"/>
    <w:rsid w:val="004D70CA"/>
    <w:rsid w:val="004D7CCE"/>
    <w:rsid w:val="004E01FA"/>
    <w:rsid w:val="004E143E"/>
    <w:rsid w:val="004E16F2"/>
    <w:rsid w:val="004E198A"/>
    <w:rsid w:val="004E1D99"/>
    <w:rsid w:val="004E247C"/>
    <w:rsid w:val="004E28B0"/>
    <w:rsid w:val="004E344A"/>
    <w:rsid w:val="004E42B1"/>
    <w:rsid w:val="004E42FE"/>
    <w:rsid w:val="004E60CB"/>
    <w:rsid w:val="004E60F1"/>
    <w:rsid w:val="004E6476"/>
    <w:rsid w:val="004E69DF"/>
    <w:rsid w:val="004E6A3C"/>
    <w:rsid w:val="004E6CAA"/>
    <w:rsid w:val="004E6D3C"/>
    <w:rsid w:val="004E7363"/>
    <w:rsid w:val="004E742F"/>
    <w:rsid w:val="004E7C12"/>
    <w:rsid w:val="004F027E"/>
    <w:rsid w:val="004F0797"/>
    <w:rsid w:val="004F0C12"/>
    <w:rsid w:val="004F102F"/>
    <w:rsid w:val="004F25B5"/>
    <w:rsid w:val="004F28A9"/>
    <w:rsid w:val="004F36DE"/>
    <w:rsid w:val="004F3CED"/>
    <w:rsid w:val="004F3EE8"/>
    <w:rsid w:val="004F4A20"/>
    <w:rsid w:val="004F55A4"/>
    <w:rsid w:val="004F609E"/>
    <w:rsid w:val="004F6DBA"/>
    <w:rsid w:val="004F7011"/>
    <w:rsid w:val="00500177"/>
    <w:rsid w:val="0050032F"/>
    <w:rsid w:val="005003E8"/>
    <w:rsid w:val="00500F6A"/>
    <w:rsid w:val="00501205"/>
    <w:rsid w:val="00501BE9"/>
    <w:rsid w:val="005042CF"/>
    <w:rsid w:val="0050590B"/>
    <w:rsid w:val="005059B6"/>
    <w:rsid w:val="0050607B"/>
    <w:rsid w:val="00506932"/>
    <w:rsid w:val="005074E8"/>
    <w:rsid w:val="00507A84"/>
    <w:rsid w:val="005115B0"/>
    <w:rsid w:val="00511D5F"/>
    <w:rsid w:val="00511E60"/>
    <w:rsid w:val="00512D6B"/>
    <w:rsid w:val="005131E8"/>
    <w:rsid w:val="00513B00"/>
    <w:rsid w:val="00513C86"/>
    <w:rsid w:val="00513FB1"/>
    <w:rsid w:val="00515845"/>
    <w:rsid w:val="00515EC7"/>
    <w:rsid w:val="00516BD9"/>
    <w:rsid w:val="005171AC"/>
    <w:rsid w:val="005173DD"/>
    <w:rsid w:val="00517453"/>
    <w:rsid w:val="00517708"/>
    <w:rsid w:val="00520D2A"/>
    <w:rsid w:val="00521809"/>
    <w:rsid w:val="0052182A"/>
    <w:rsid w:val="00521E56"/>
    <w:rsid w:val="00522302"/>
    <w:rsid w:val="00522930"/>
    <w:rsid w:val="005232A8"/>
    <w:rsid w:val="00523314"/>
    <w:rsid w:val="005235B9"/>
    <w:rsid w:val="00523642"/>
    <w:rsid w:val="0052374B"/>
    <w:rsid w:val="00524018"/>
    <w:rsid w:val="005241D3"/>
    <w:rsid w:val="0052463D"/>
    <w:rsid w:val="00524A5F"/>
    <w:rsid w:val="00525033"/>
    <w:rsid w:val="00525D5F"/>
    <w:rsid w:val="00525E06"/>
    <w:rsid w:val="00526EB3"/>
    <w:rsid w:val="00527F07"/>
    <w:rsid w:val="00527F57"/>
    <w:rsid w:val="00530036"/>
    <w:rsid w:val="005301D4"/>
    <w:rsid w:val="0053062D"/>
    <w:rsid w:val="00530931"/>
    <w:rsid w:val="0053159A"/>
    <w:rsid w:val="0053161F"/>
    <w:rsid w:val="0053223A"/>
    <w:rsid w:val="00532D96"/>
    <w:rsid w:val="00532FBC"/>
    <w:rsid w:val="0053376F"/>
    <w:rsid w:val="005337A5"/>
    <w:rsid w:val="0053394F"/>
    <w:rsid w:val="005340CF"/>
    <w:rsid w:val="00534140"/>
    <w:rsid w:val="0053446D"/>
    <w:rsid w:val="00534DBD"/>
    <w:rsid w:val="005365D1"/>
    <w:rsid w:val="00536DA1"/>
    <w:rsid w:val="00537064"/>
    <w:rsid w:val="00540E07"/>
    <w:rsid w:val="005413FE"/>
    <w:rsid w:val="005431C4"/>
    <w:rsid w:val="00544336"/>
    <w:rsid w:val="00544FAD"/>
    <w:rsid w:val="00546432"/>
    <w:rsid w:val="00546D03"/>
    <w:rsid w:val="00547816"/>
    <w:rsid w:val="00547914"/>
    <w:rsid w:val="00547C9D"/>
    <w:rsid w:val="005500C6"/>
    <w:rsid w:val="005504D1"/>
    <w:rsid w:val="00551209"/>
    <w:rsid w:val="00551318"/>
    <w:rsid w:val="0055144D"/>
    <w:rsid w:val="0055186B"/>
    <w:rsid w:val="00551B2C"/>
    <w:rsid w:val="005520FB"/>
    <w:rsid w:val="0055228B"/>
    <w:rsid w:val="005522B7"/>
    <w:rsid w:val="00552B25"/>
    <w:rsid w:val="00554693"/>
    <w:rsid w:val="00555F26"/>
    <w:rsid w:val="00555F4D"/>
    <w:rsid w:val="00556550"/>
    <w:rsid w:val="005607D4"/>
    <w:rsid w:val="00560863"/>
    <w:rsid w:val="0056125D"/>
    <w:rsid w:val="00561513"/>
    <w:rsid w:val="00561AD1"/>
    <w:rsid w:val="005628D6"/>
    <w:rsid w:val="00562930"/>
    <w:rsid w:val="00562D37"/>
    <w:rsid w:val="0056312E"/>
    <w:rsid w:val="005638B0"/>
    <w:rsid w:val="005641EE"/>
    <w:rsid w:val="00564577"/>
    <w:rsid w:val="00565E93"/>
    <w:rsid w:val="00566658"/>
    <w:rsid w:val="00566E27"/>
    <w:rsid w:val="00566E6D"/>
    <w:rsid w:val="005672F8"/>
    <w:rsid w:val="005706C0"/>
    <w:rsid w:val="00570932"/>
    <w:rsid w:val="00571727"/>
    <w:rsid w:val="0057280A"/>
    <w:rsid w:val="00572C2E"/>
    <w:rsid w:val="0057331A"/>
    <w:rsid w:val="00573BAE"/>
    <w:rsid w:val="00574856"/>
    <w:rsid w:val="00575603"/>
    <w:rsid w:val="00575F0A"/>
    <w:rsid w:val="0057637E"/>
    <w:rsid w:val="00576476"/>
    <w:rsid w:val="00576509"/>
    <w:rsid w:val="00576591"/>
    <w:rsid w:val="00577547"/>
    <w:rsid w:val="00577713"/>
    <w:rsid w:val="0058012A"/>
    <w:rsid w:val="005802DD"/>
    <w:rsid w:val="005808BC"/>
    <w:rsid w:val="00580C0C"/>
    <w:rsid w:val="005813B9"/>
    <w:rsid w:val="00581950"/>
    <w:rsid w:val="005819CD"/>
    <w:rsid w:val="00581E54"/>
    <w:rsid w:val="00585113"/>
    <w:rsid w:val="00585473"/>
    <w:rsid w:val="00585A17"/>
    <w:rsid w:val="00585FCD"/>
    <w:rsid w:val="005864DD"/>
    <w:rsid w:val="00586736"/>
    <w:rsid w:val="00586B2F"/>
    <w:rsid w:val="00586EEE"/>
    <w:rsid w:val="00587A7F"/>
    <w:rsid w:val="00587ABD"/>
    <w:rsid w:val="00592104"/>
    <w:rsid w:val="0059244B"/>
    <w:rsid w:val="005932D9"/>
    <w:rsid w:val="0059354A"/>
    <w:rsid w:val="00594C26"/>
    <w:rsid w:val="0059593D"/>
    <w:rsid w:val="005A0348"/>
    <w:rsid w:val="005A094A"/>
    <w:rsid w:val="005A1537"/>
    <w:rsid w:val="005A1682"/>
    <w:rsid w:val="005A211A"/>
    <w:rsid w:val="005A243E"/>
    <w:rsid w:val="005A2850"/>
    <w:rsid w:val="005A3941"/>
    <w:rsid w:val="005A3DBA"/>
    <w:rsid w:val="005A3EE6"/>
    <w:rsid w:val="005A3FA7"/>
    <w:rsid w:val="005A427A"/>
    <w:rsid w:val="005A49FC"/>
    <w:rsid w:val="005A54D3"/>
    <w:rsid w:val="005A568A"/>
    <w:rsid w:val="005A5B2B"/>
    <w:rsid w:val="005B0A10"/>
    <w:rsid w:val="005B1658"/>
    <w:rsid w:val="005B16C9"/>
    <w:rsid w:val="005B1B5F"/>
    <w:rsid w:val="005B1C33"/>
    <w:rsid w:val="005B202C"/>
    <w:rsid w:val="005B21CF"/>
    <w:rsid w:val="005B2A50"/>
    <w:rsid w:val="005B2A7E"/>
    <w:rsid w:val="005B3E44"/>
    <w:rsid w:val="005B4584"/>
    <w:rsid w:val="005B47B7"/>
    <w:rsid w:val="005B4C6F"/>
    <w:rsid w:val="005B4DFE"/>
    <w:rsid w:val="005B50D8"/>
    <w:rsid w:val="005B5BBE"/>
    <w:rsid w:val="005B7052"/>
    <w:rsid w:val="005B7147"/>
    <w:rsid w:val="005B7195"/>
    <w:rsid w:val="005B7B4A"/>
    <w:rsid w:val="005B7CA5"/>
    <w:rsid w:val="005C00A2"/>
    <w:rsid w:val="005C05BE"/>
    <w:rsid w:val="005C0610"/>
    <w:rsid w:val="005C06CC"/>
    <w:rsid w:val="005C157C"/>
    <w:rsid w:val="005C3589"/>
    <w:rsid w:val="005C3594"/>
    <w:rsid w:val="005C4592"/>
    <w:rsid w:val="005D14BD"/>
    <w:rsid w:val="005D18A8"/>
    <w:rsid w:val="005D1B43"/>
    <w:rsid w:val="005D1E70"/>
    <w:rsid w:val="005D20E8"/>
    <w:rsid w:val="005D2362"/>
    <w:rsid w:val="005D34D0"/>
    <w:rsid w:val="005D35F0"/>
    <w:rsid w:val="005D476E"/>
    <w:rsid w:val="005D4ED8"/>
    <w:rsid w:val="005D4F0F"/>
    <w:rsid w:val="005D5298"/>
    <w:rsid w:val="005D55DF"/>
    <w:rsid w:val="005D5D79"/>
    <w:rsid w:val="005D672C"/>
    <w:rsid w:val="005D6E3B"/>
    <w:rsid w:val="005D70A0"/>
    <w:rsid w:val="005E00C7"/>
    <w:rsid w:val="005E1714"/>
    <w:rsid w:val="005E218A"/>
    <w:rsid w:val="005E2563"/>
    <w:rsid w:val="005E29D3"/>
    <w:rsid w:val="005E2CB3"/>
    <w:rsid w:val="005E3415"/>
    <w:rsid w:val="005E3C56"/>
    <w:rsid w:val="005E463E"/>
    <w:rsid w:val="005E4FDC"/>
    <w:rsid w:val="005E5199"/>
    <w:rsid w:val="005E5B9E"/>
    <w:rsid w:val="005E5CBF"/>
    <w:rsid w:val="005E5FDA"/>
    <w:rsid w:val="005E6289"/>
    <w:rsid w:val="005E6566"/>
    <w:rsid w:val="005E73E6"/>
    <w:rsid w:val="005E769D"/>
    <w:rsid w:val="005F0E3C"/>
    <w:rsid w:val="005F410D"/>
    <w:rsid w:val="005F4707"/>
    <w:rsid w:val="005F49E3"/>
    <w:rsid w:val="005F561D"/>
    <w:rsid w:val="005F63B5"/>
    <w:rsid w:val="005F6594"/>
    <w:rsid w:val="005F6907"/>
    <w:rsid w:val="005F7ADD"/>
    <w:rsid w:val="00600FEA"/>
    <w:rsid w:val="006017FE"/>
    <w:rsid w:val="006025F8"/>
    <w:rsid w:val="00603CAE"/>
    <w:rsid w:val="00604099"/>
    <w:rsid w:val="0060545C"/>
    <w:rsid w:val="006064EB"/>
    <w:rsid w:val="006071FF"/>
    <w:rsid w:val="0061050F"/>
    <w:rsid w:val="00611370"/>
    <w:rsid w:val="0061137D"/>
    <w:rsid w:val="00611444"/>
    <w:rsid w:val="0061180C"/>
    <w:rsid w:val="00612F81"/>
    <w:rsid w:val="0061388B"/>
    <w:rsid w:val="0061488A"/>
    <w:rsid w:val="006149DE"/>
    <w:rsid w:val="00614B1B"/>
    <w:rsid w:val="00615042"/>
    <w:rsid w:val="00615E6A"/>
    <w:rsid w:val="00615EC5"/>
    <w:rsid w:val="00616805"/>
    <w:rsid w:val="0062044E"/>
    <w:rsid w:val="00620B29"/>
    <w:rsid w:val="00620BE9"/>
    <w:rsid w:val="0062161E"/>
    <w:rsid w:val="0062227E"/>
    <w:rsid w:val="00627C6D"/>
    <w:rsid w:val="00630E8C"/>
    <w:rsid w:val="00630EA2"/>
    <w:rsid w:val="006316B5"/>
    <w:rsid w:val="0063172D"/>
    <w:rsid w:val="00631C08"/>
    <w:rsid w:val="0063314B"/>
    <w:rsid w:val="006336EC"/>
    <w:rsid w:val="00634913"/>
    <w:rsid w:val="00634C23"/>
    <w:rsid w:val="00635609"/>
    <w:rsid w:val="006357D1"/>
    <w:rsid w:val="00635E69"/>
    <w:rsid w:val="00635EE1"/>
    <w:rsid w:val="00636732"/>
    <w:rsid w:val="00636BE6"/>
    <w:rsid w:val="0063718F"/>
    <w:rsid w:val="0063794E"/>
    <w:rsid w:val="00637A3B"/>
    <w:rsid w:val="00637EB9"/>
    <w:rsid w:val="0064011E"/>
    <w:rsid w:val="00640478"/>
    <w:rsid w:val="00640E4E"/>
    <w:rsid w:val="00641005"/>
    <w:rsid w:val="0064265D"/>
    <w:rsid w:val="00642983"/>
    <w:rsid w:val="00642B54"/>
    <w:rsid w:val="00642C2C"/>
    <w:rsid w:val="00643309"/>
    <w:rsid w:val="00643522"/>
    <w:rsid w:val="00646FDD"/>
    <w:rsid w:val="00647E7C"/>
    <w:rsid w:val="006501A7"/>
    <w:rsid w:val="00652B05"/>
    <w:rsid w:val="006537D8"/>
    <w:rsid w:val="0065401F"/>
    <w:rsid w:val="006543EE"/>
    <w:rsid w:val="006552A5"/>
    <w:rsid w:val="0065601C"/>
    <w:rsid w:val="00656414"/>
    <w:rsid w:val="00657414"/>
    <w:rsid w:val="006604FF"/>
    <w:rsid w:val="00661918"/>
    <w:rsid w:val="00662888"/>
    <w:rsid w:val="00663569"/>
    <w:rsid w:val="00663E27"/>
    <w:rsid w:val="00664538"/>
    <w:rsid w:val="0066540A"/>
    <w:rsid w:val="0066654C"/>
    <w:rsid w:val="00670257"/>
    <w:rsid w:val="00671145"/>
    <w:rsid w:val="00671D8F"/>
    <w:rsid w:val="006732E0"/>
    <w:rsid w:val="0067398C"/>
    <w:rsid w:val="00674530"/>
    <w:rsid w:val="006763E4"/>
    <w:rsid w:val="006774BB"/>
    <w:rsid w:val="00677E8A"/>
    <w:rsid w:val="006804CD"/>
    <w:rsid w:val="0068095A"/>
    <w:rsid w:val="00680FB4"/>
    <w:rsid w:val="006820BB"/>
    <w:rsid w:val="006853E7"/>
    <w:rsid w:val="006854EA"/>
    <w:rsid w:val="006855A8"/>
    <w:rsid w:val="006871CC"/>
    <w:rsid w:val="00687598"/>
    <w:rsid w:val="00687C02"/>
    <w:rsid w:val="006900B4"/>
    <w:rsid w:val="00690440"/>
    <w:rsid w:val="006909A2"/>
    <w:rsid w:val="00690B37"/>
    <w:rsid w:val="00691095"/>
    <w:rsid w:val="006918E8"/>
    <w:rsid w:val="00692597"/>
    <w:rsid w:val="0069307C"/>
    <w:rsid w:val="0069347F"/>
    <w:rsid w:val="00693E54"/>
    <w:rsid w:val="00694955"/>
    <w:rsid w:val="00695722"/>
    <w:rsid w:val="00695BF3"/>
    <w:rsid w:val="00696579"/>
    <w:rsid w:val="00696722"/>
    <w:rsid w:val="0069723E"/>
    <w:rsid w:val="00697579"/>
    <w:rsid w:val="00697ACF"/>
    <w:rsid w:val="006A019B"/>
    <w:rsid w:val="006A046E"/>
    <w:rsid w:val="006A0A68"/>
    <w:rsid w:val="006A2441"/>
    <w:rsid w:val="006A24A4"/>
    <w:rsid w:val="006A2B67"/>
    <w:rsid w:val="006A2D8F"/>
    <w:rsid w:val="006A2F61"/>
    <w:rsid w:val="006A3095"/>
    <w:rsid w:val="006A330C"/>
    <w:rsid w:val="006A3D83"/>
    <w:rsid w:val="006A402B"/>
    <w:rsid w:val="006A4E60"/>
    <w:rsid w:val="006A5009"/>
    <w:rsid w:val="006A5F5E"/>
    <w:rsid w:val="006A5FD8"/>
    <w:rsid w:val="006A6438"/>
    <w:rsid w:val="006A7498"/>
    <w:rsid w:val="006A7792"/>
    <w:rsid w:val="006B018E"/>
    <w:rsid w:val="006B0E87"/>
    <w:rsid w:val="006B1B31"/>
    <w:rsid w:val="006B1E6E"/>
    <w:rsid w:val="006B3105"/>
    <w:rsid w:val="006B319B"/>
    <w:rsid w:val="006B32DE"/>
    <w:rsid w:val="006B48AC"/>
    <w:rsid w:val="006B4A04"/>
    <w:rsid w:val="006B64CF"/>
    <w:rsid w:val="006B6CC0"/>
    <w:rsid w:val="006B7510"/>
    <w:rsid w:val="006B777C"/>
    <w:rsid w:val="006B7E38"/>
    <w:rsid w:val="006C38E1"/>
    <w:rsid w:val="006C3ABA"/>
    <w:rsid w:val="006C3E72"/>
    <w:rsid w:val="006C4353"/>
    <w:rsid w:val="006C4575"/>
    <w:rsid w:val="006C4763"/>
    <w:rsid w:val="006C4A18"/>
    <w:rsid w:val="006C4E40"/>
    <w:rsid w:val="006C4F5F"/>
    <w:rsid w:val="006C5F37"/>
    <w:rsid w:val="006C65BF"/>
    <w:rsid w:val="006C70A0"/>
    <w:rsid w:val="006C71A6"/>
    <w:rsid w:val="006C7693"/>
    <w:rsid w:val="006C7DC9"/>
    <w:rsid w:val="006D1583"/>
    <w:rsid w:val="006D252B"/>
    <w:rsid w:val="006D2622"/>
    <w:rsid w:val="006D2EAF"/>
    <w:rsid w:val="006D48DE"/>
    <w:rsid w:val="006D4A1D"/>
    <w:rsid w:val="006D4BF6"/>
    <w:rsid w:val="006D4DC1"/>
    <w:rsid w:val="006D4EDC"/>
    <w:rsid w:val="006D53B4"/>
    <w:rsid w:val="006D6556"/>
    <w:rsid w:val="006D6F6A"/>
    <w:rsid w:val="006D72FA"/>
    <w:rsid w:val="006D7EDE"/>
    <w:rsid w:val="006E0A98"/>
    <w:rsid w:val="006E0F46"/>
    <w:rsid w:val="006E16B7"/>
    <w:rsid w:val="006E1D28"/>
    <w:rsid w:val="006E1D67"/>
    <w:rsid w:val="006E3D85"/>
    <w:rsid w:val="006E3FCC"/>
    <w:rsid w:val="006E5441"/>
    <w:rsid w:val="006E5A51"/>
    <w:rsid w:val="006E5AE7"/>
    <w:rsid w:val="006E7FB0"/>
    <w:rsid w:val="006F0414"/>
    <w:rsid w:val="006F0867"/>
    <w:rsid w:val="006F0FBB"/>
    <w:rsid w:val="006F20C2"/>
    <w:rsid w:val="006F290C"/>
    <w:rsid w:val="006F5528"/>
    <w:rsid w:val="006F5B1F"/>
    <w:rsid w:val="006F65E4"/>
    <w:rsid w:val="006F6D89"/>
    <w:rsid w:val="006F72CD"/>
    <w:rsid w:val="00700047"/>
    <w:rsid w:val="0070032A"/>
    <w:rsid w:val="00701474"/>
    <w:rsid w:val="007022D0"/>
    <w:rsid w:val="007027C2"/>
    <w:rsid w:val="00702A57"/>
    <w:rsid w:val="00704157"/>
    <w:rsid w:val="00704D7C"/>
    <w:rsid w:val="00706747"/>
    <w:rsid w:val="00706EE1"/>
    <w:rsid w:val="007070C7"/>
    <w:rsid w:val="007076D0"/>
    <w:rsid w:val="00707B14"/>
    <w:rsid w:val="007100A4"/>
    <w:rsid w:val="00710689"/>
    <w:rsid w:val="00710B0A"/>
    <w:rsid w:val="0071488C"/>
    <w:rsid w:val="0071524B"/>
    <w:rsid w:val="0071705D"/>
    <w:rsid w:val="007205F2"/>
    <w:rsid w:val="00721550"/>
    <w:rsid w:val="0072324C"/>
    <w:rsid w:val="00725239"/>
    <w:rsid w:val="00725A33"/>
    <w:rsid w:val="00727426"/>
    <w:rsid w:val="00730692"/>
    <w:rsid w:val="00730C15"/>
    <w:rsid w:val="0073213F"/>
    <w:rsid w:val="007338B6"/>
    <w:rsid w:val="00734673"/>
    <w:rsid w:val="00735763"/>
    <w:rsid w:val="0073679B"/>
    <w:rsid w:val="00736E8B"/>
    <w:rsid w:val="00736F38"/>
    <w:rsid w:val="00737253"/>
    <w:rsid w:val="00742F65"/>
    <w:rsid w:val="00743A2B"/>
    <w:rsid w:val="007441A9"/>
    <w:rsid w:val="00744C2A"/>
    <w:rsid w:val="00744C8A"/>
    <w:rsid w:val="00745690"/>
    <w:rsid w:val="00745C02"/>
    <w:rsid w:val="00745ED9"/>
    <w:rsid w:val="00746E92"/>
    <w:rsid w:val="00746E94"/>
    <w:rsid w:val="007470D9"/>
    <w:rsid w:val="00747358"/>
    <w:rsid w:val="007474E1"/>
    <w:rsid w:val="0074754B"/>
    <w:rsid w:val="00750094"/>
    <w:rsid w:val="0075044F"/>
    <w:rsid w:val="00751B19"/>
    <w:rsid w:val="00751EEB"/>
    <w:rsid w:val="00752BC9"/>
    <w:rsid w:val="007530C4"/>
    <w:rsid w:val="00753AC3"/>
    <w:rsid w:val="00753B34"/>
    <w:rsid w:val="00753C89"/>
    <w:rsid w:val="00754B9D"/>
    <w:rsid w:val="00754E18"/>
    <w:rsid w:val="00755520"/>
    <w:rsid w:val="00755E02"/>
    <w:rsid w:val="0075631E"/>
    <w:rsid w:val="00756517"/>
    <w:rsid w:val="007565E6"/>
    <w:rsid w:val="00756726"/>
    <w:rsid w:val="00756896"/>
    <w:rsid w:val="007572EC"/>
    <w:rsid w:val="007573FB"/>
    <w:rsid w:val="00757699"/>
    <w:rsid w:val="00757C8A"/>
    <w:rsid w:val="007608A9"/>
    <w:rsid w:val="00760B35"/>
    <w:rsid w:val="007631C5"/>
    <w:rsid w:val="00763303"/>
    <w:rsid w:val="00763C53"/>
    <w:rsid w:val="00766625"/>
    <w:rsid w:val="00766D27"/>
    <w:rsid w:val="00766E34"/>
    <w:rsid w:val="007675D7"/>
    <w:rsid w:val="0076785C"/>
    <w:rsid w:val="00767E66"/>
    <w:rsid w:val="00767EA1"/>
    <w:rsid w:val="00770E30"/>
    <w:rsid w:val="00771013"/>
    <w:rsid w:val="0077105D"/>
    <w:rsid w:val="007711DC"/>
    <w:rsid w:val="0077213B"/>
    <w:rsid w:val="00772395"/>
    <w:rsid w:val="00772560"/>
    <w:rsid w:val="00772C15"/>
    <w:rsid w:val="00772D6F"/>
    <w:rsid w:val="00772F1A"/>
    <w:rsid w:val="00772F85"/>
    <w:rsid w:val="007740DF"/>
    <w:rsid w:val="0077410C"/>
    <w:rsid w:val="007742EE"/>
    <w:rsid w:val="0077469C"/>
    <w:rsid w:val="00774813"/>
    <w:rsid w:val="00774850"/>
    <w:rsid w:val="00774DA3"/>
    <w:rsid w:val="00774ECF"/>
    <w:rsid w:val="007750F3"/>
    <w:rsid w:val="007754CC"/>
    <w:rsid w:val="00775B9B"/>
    <w:rsid w:val="00775F71"/>
    <w:rsid w:val="00776956"/>
    <w:rsid w:val="00776D64"/>
    <w:rsid w:val="00777EE4"/>
    <w:rsid w:val="00781BB9"/>
    <w:rsid w:val="00781D8C"/>
    <w:rsid w:val="007825CE"/>
    <w:rsid w:val="00782DFD"/>
    <w:rsid w:val="00783515"/>
    <w:rsid w:val="007846C3"/>
    <w:rsid w:val="00785062"/>
    <w:rsid w:val="00785CBE"/>
    <w:rsid w:val="00785D7A"/>
    <w:rsid w:val="0078625D"/>
    <w:rsid w:val="00786A8E"/>
    <w:rsid w:val="00786D3C"/>
    <w:rsid w:val="00787CF6"/>
    <w:rsid w:val="00790C3A"/>
    <w:rsid w:val="00790E81"/>
    <w:rsid w:val="0079289D"/>
    <w:rsid w:val="00793109"/>
    <w:rsid w:val="007933CB"/>
    <w:rsid w:val="00793FCA"/>
    <w:rsid w:val="007951D3"/>
    <w:rsid w:val="007954D2"/>
    <w:rsid w:val="00795B03"/>
    <w:rsid w:val="007965EB"/>
    <w:rsid w:val="00796BF3"/>
    <w:rsid w:val="007979CB"/>
    <w:rsid w:val="00797BAB"/>
    <w:rsid w:val="00797E98"/>
    <w:rsid w:val="007A030F"/>
    <w:rsid w:val="007A06F9"/>
    <w:rsid w:val="007A0A43"/>
    <w:rsid w:val="007A12DD"/>
    <w:rsid w:val="007A1F26"/>
    <w:rsid w:val="007A2A68"/>
    <w:rsid w:val="007A3D88"/>
    <w:rsid w:val="007A4075"/>
    <w:rsid w:val="007A4CBE"/>
    <w:rsid w:val="007A4DF1"/>
    <w:rsid w:val="007A4E18"/>
    <w:rsid w:val="007A511F"/>
    <w:rsid w:val="007A52FD"/>
    <w:rsid w:val="007A580C"/>
    <w:rsid w:val="007A700E"/>
    <w:rsid w:val="007B1156"/>
    <w:rsid w:val="007B2704"/>
    <w:rsid w:val="007B27B6"/>
    <w:rsid w:val="007B2F8B"/>
    <w:rsid w:val="007B308D"/>
    <w:rsid w:val="007B332B"/>
    <w:rsid w:val="007B3B98"/>
    <w:rsid w:val="007B3C0C"/>
    <w:rsid w:val="007B41C9"/>
    <w:rsid w:val="007B4AF0"/>
    <w:rsid w:val="007B5051"/>
    <w:rsid w:val="007B50A7"/>
    <w:rsid w:val="007B514D"/>
    <w:rsid w:val="007B53A6"/>
    <w:rsid w:val="007B5420"/>
    <w:rsid w:val="007B6290"/>
    <w:rsid w:val="007B6387"/>
    <w:rsid w:val="007B675A"/>
    <w:rsid w:val="007B7706"/>
    <w:rsid w:val="007B78C0"/>
    <w:rsid w:val="007B7CB5"/>
    <w:rsid w:val="007B7E8A"/>
    <w:rsid w:val="007C1486"/>
    <w:rsid w:val="007C19EB"/>
    <w:rsid w:val="007C27EB"/>
    <w:rsid w:val="007C2B99"/>
    <w:rsid w:val="007C3E18"/>
    <w:rsid w:val="007C3F72"/>
    <w:rsid w:val="007C475A"/>
    <w:rsid w:val="007C4A93"/>
    <w:rsid w:val="007C50CA"/>
    <w:rsid w:val="007C52D0"/>
    <w:rsid w:val="007C52E4"/>
    <w:rsid w:val="007C5B9B"/>
    <w:rsid w:val="007C6510"/>
    <w:rsid w:val="007C73AE"/>
    <w:rsid w:val="007C798F"/>
    <w:rsid w:val="007C7B85"/>
    <w:rsid w:val="007D0316"/>
    <w:rsid w:val="007D03B4"/>
    <w:rsid w:val="007D0514"/>
    <w:rsid w:val="007D143C"/>
    <w:rsid w:val="007D15B1"/>
    <w:rsid w:val="007D2784"/>
    <w:rsid w:val="007D3323"/>
    <w:rsid w:val="007D3913"/>
    <w:rsid w:val="007D3AFE"/>
    <w:rsid w:val="007D4ED3"/>
    <w:rsid w:val="007D52DC"/>
    <w:rsid w:val="007D723C"/>
    <w:rsid w:val="007D7E02"/>
    <w:rsid w:val="007E1855"/>
    <w:rsid w:val="007E1BD2"/>
    <w:rsid w:val="007E1D95"/>
    <w:rsid w:val="007E1F8D"/>
    <w:rsid w:val="007E266B"/>
    <w:rsid w:val="007E2B71"/>
    <w:rsid w:val="007E47EB"/>
    <w:rsid w:val="007E6A66"/>
    <w:rsid w:val="007E78AA"/>
    <w:rsid w:val="007E7967"/>
    <w:rsid w:val="007F1F73"/>
    <w:rsid w:val="007F72CC"/>
    <w:rsid w:val="00800C3C"/>
    <w:rsid w:val="00800D5A"/>
    <w:rsid w:val="00800F27"/>
    <w:rsid w:val="0080103D"/>
    <w:rsid w:val="00802588"/>
    <w:rsid w:val="00802865"/>
    <w:rsid w:val="00802CAF"/>
    <w:rsid w:val="00802FF0"/>
    <w:rsid w:val="0080404D"/>
    <w:rsid w:val="0080409F"/>
    <w:rsid w:val="008043FE"/>
    <w:rsid w:val="0080481C"/>
    <w:rsid w:val="00804D1F"/>
    <w:rsid w:val="0080599B"/>
    <w:rsid w:val="00806414"/>
    <w:rsid w:val="00807E56"/>
    <w:rsid w:val="0081017F"/>
    <w:rsid w:val="008105F6"/>
    <w:rsid w:val="00810FF9"/>
    <w:rsid w:val="00811C83"/>
    <w:rsid w:val="0081304C"/>
    <w:rsid w:val="00813295"/>
    <w:rsid w:val="00813C86"/>
    <w:rsid w:val="0081416C"/>
    <w:rsid w:val="008141F4"/>
    <w:rsid w:val="008145E7"/>
    <w:rsid w:val="00814622"/>
    <w:rsid w:val="008157DB"/>
    <w:rsid w:val="00815A84"/>
    <w:rsid w:val="00815FD7"/>
    <w:rsid w:val="0081607B"/>
    <w:rsid w:val="00821780"/>
    <w:rsid w:val="00821CE2"/>
    <w:rsid w:val="008227C6"/>
    <w:rsid w:val="0082291F"/>
    <w:rsid w:val="00823700"/>
    <w:rsid w:val="00824115"/>
    <w:rsid w:val="00824734"/>
    <w:rsid w:val="00824895"/>
    <w:rsid w:val="0082572E"/>
    <w:rsid w:val="008259D2"/>
    <w:rsid w:val="008262FC"/>
    <w:rsid w:val="00826AE1"/>
    <w:rsid w:val="00826B53"/>
    <w:rsid w:val="008272BB"/>
    <w:rsid w:val="0083192D"/>
    <w:rsid w:val="00833383"/>
    <w:rsid w:val="0083346C"/>
    <w:rsid w:val="0083378C"/>
    <w:rsid w:val="0083386C"/>
    <w:rsid w:val="008338D1"/>
    <w:rsid w:val="00833E7C"/>
    <w:rsid w:val="008343D7"/>
    <w:rsid w:val="00834B01"/>
    <w:rsid w:val="00834C44"/>
    <w:rsid w:val="00835FF7"/>
    <w:rsid w:val="00836554"/>
    <w:rsid w:val="00840029"/>
    <w:rsid w:val="00840DB5"/>
    <w:rsid w:val="00841C47"/>
    <w:rsid w:val="00842BF6"/>
    <w:rsid w:val="00843FC3"/>
    <w:rsid w:val="0084496C"/>
    <w:rsid w:val="00844DAE"/>
    <w:rsid w:val="00844E0C"/>
    <w:rsid w:val="008463F0"/>
    <w:rsid w:val="008466D3"/>
    <w:rsid w:val="008471E1"/>
    <w:rsid w:val="00847228"/>
    <w:rsid w:val="0084760F"/>
    <w:rsid w:val="008505A6"/>
    <w:rsid w:val="00850AB9"/>
    <w:rsid w:val="00851AD3"/>
    <w:rsid w:val="00852E46"/>
    <w:rsid w:val="00852E92"/>
    <w:rsid w:val="00853427"/>
    <w:rsid w:val="00853569"/>
    <w:rsid w:val="00853B2B"/>
    <w:rsid w:val="00854639"/>
    <w:rsid w:val="00856DE3"/>
    <w:rsid w:val="00856FFF"/>
    <w:rsid w:val="0085774D"/>
    <w:rsid w:val="00857770"/>
    <w:rsid w:val="008619A4"/>
    <w:rsid w:val="008637FB"/>
    <w:rsid w:val="0086433B"/>
    <w:rsid w:val="008644CE"/>
    <w:rsid w:val="00864D1C"/>
    <w:rsid w:val="00865E0E"/>
    <w:rsid w:val="00866493"/>
    <w:rsid w:val="00866905"/>
    <w:rsid w:val="008679D5"/>
    <w:rsid w:val="00867AB9"/>
    <w:rsid w:val="00870682"/>
    <w:rsid w:val="00870DE0"/>
    <w:rsid w:val="00871257"/>
    <w:rsid w:val="008727F1"/>
    <w:rsid w:val="00874FCB"/>
    <w:rsid w:val="00875E19"/>
    <w:rsid w:val="00876D03"/>
    <w:rsid w:val="00877CA7"/>
    <w:rsid w:val="00880302"/>
    <w:rsid w:val="00880621"/>
    <w:rsid w:val="00881241"/>
    <w:rsid w:val="00881FD0"/>
    <w:rsid w:val="0088205A"/>
    <w:rsid w:val="0088367F"/>
    <w:rsid w:val="008841FA"/>
    <w:rsid w:val="00884541"/>
    <w:rsid w:val="008849B7"/>
    <w:rsid w:val="008850DE"/>
    <w:rsid w:val="00887085"/>
    <w:rsid w:val="008870BA"/>
    <w:rsid w:val="00887CD7"/>
    <w:rsid w:val="00887E0E"/>
    <w:rsid w:val="008906BC"/>
    <w:rsid w:val="00891061"/>
    <w:rsid w:val="0089180F"/>
    <w:rsid w:val="0089341E"/>
    <w:rsid w:val="00893BBF"/>
    <w:rsid w:val="0089536C"/>
    <w:rsid w:val="00895A0B"/>
    <w:rsid w:val="00895C86"/>
    <w:rsid w:val="00896384"/>
    <w:rsid w:val="008965D3"/>
    <w:rsid w:val="008A0D60"/>
    <w:rsid w:val="008A0E84"/>
    <w:rsid w:val="008A12DE"/>
    <w:rsid w:val="008A1D1E"/>
    <w:rsid w:val="008A1D91"/>
    <w:rsid w:val="008A238A"/>
    <w:rsid w:val="008A3FDD"/>
    <w:rsid w:val="008A4D30"/>
    <w:rsid w:val="008A523B"/>
    <w:rsid w:val="008A6CDD"/>
    <w:rsid w:val="008A767D"/>
    <w:rsid w:val="008A774B"/>
    <w:rsid w:val="008B052C"/>
    <w:rsid w:val="008B074B"/>
    <w:rsid w:val="008B166F"/>
    <w:rsid w:val="008B1755"/>
    <w:rsid w:val="008B1822"/>
    <w:rsid w:val="008B1EC9"/>
    <w:rsid w:val="008B3524"/>
    <w:rsid w:val="008B45CC"/>
    <w:rsid w:val="008B48A2"/>
    <w:rsid w:val="008B5B6F"/>
    <w:rsid w:val="008B6750"/>
    <w:rsid w:val="008B6A40"/>
    <w:rsid w:val="008B6B64"/>
    <w:rsid w:val="008B6C7C"/>
    <w:rsid w:val="008B7A1F"/>
    <w:rsid w:val="008C036D"/>
    <w:rsid w:val="008C0463"/>
    <w:rsid w:val="008C147F"/>
    <w:rsid w:val="008C1636"/>
    <w:rsid w:val="008C24E1"/>
    <w:rsid w:val="008C30A3"/>
    <w:rsid w:val="008C35FF"/>
    <w:rsid w:val="008C38D3"/>
    <w:rsid w:val="008C3D32"/>
    <w:rsid w:val="008C465A"/>
    <w:rsid w:val="008C4854"/>
    <w:rsid w:val="008C48C9"/>
    <w:rsid w:val="008C4B6F"/>
    <w:rsid w:val="008C4E21"/>
    <w:rsid w:val="008C59D4"/>
    <w:rsid w:val="008C5AB5"/>
    <w:rsid w:val="008C5F1E"/>
    <w:rsid w:val="008C6C5C"/>
    <w:rsid w:val="008C75CF"/>
    <w:rsid w:val="008C77EB"/>
    <w:rsid w:val="008D0191"/>
    <w:rsid w:val="008D115C"/>
    <w:rsid w:val="008D160D"/>
    <w:rsid w:val="008D187B"/>
    <w:rsid w:val="008D1FC1"/>
    <w:rsid w:val="008D21EC"/>
    <w:rsid w:val="008D2836"/>
    <w:rsid w:val="008D2F82"/>
    <w:rsid w:val="008D37F7"/>
    <w:rsid w:val="008D3842"/>
    <w:rsid w:val="008D3FBE"/>
    <w:rsid w:val="008D4A95"/>
    <w:rsid w:val="008D5A62"/>
    <w:rsid w:val="008D67A9"/>
    <w:rsid w:val="008D6D9E"/>
    <w:rsid w:val="008D71C6"/>
    <w:rsid w:val="008D7373"/>
    <w:rsid w:val="008D7425"/>
    <w:rsid w:val="008D76CD"/>
    <w:rsid w:val="008E005A"/>
    <w:rsid w:val="008E050A"/>
    <w:rsid w:val="008E0D8E"/>
    <w:rsid w:val="008E1D0D"/>
    <w:rsid w:val="008E23A9"/>
    <w:rsid w:val="008E2AD0"/>
    <w:rsid w:val="008E48BF"/>
    <w:rsid w:val="008E4FA6"/>
    <w:rsid w:val="008E547C"/>
    <w:rsid w:val="008E6233"/>
    <w:rsid w:val="008E6244"/>
    <w:rsid w:val="008E630A"/>
    <w:rsid w:val="008E67EF"/>
    <w:rsid w:val="008E6B54"/>
    <w:rsid w:val="008E6ED1"/>
    <w:rsid w:val="008E7074"/>
    <w:rsid w:val="008E7660"/>
    <w:rsid w:val="008E79A1"/>
    <w:rsid w:val="008E7F28"/>
    <w:rsid w:val="008F0DEC"/>
    <w:rsid w:val="008F17B2"/>
    <w:rsid w:val="008F1818"/>
    <w:rsid w:val="008F1B9B"/>
    <w:rsid w:val="008F2925"/>
    <w:rsid w:val="008F3F15"/>
    <w:rsid w:val="008F4582"/>
    <w:rsid w:val="008F6071"/>
    <w:rsid w:val="008F618C"/>
    <w:rsid w:val="008F670B"/>
    <w:rsid w:val="008F6DBB"/>
    <w:rsid w:val="008F70A8"/>
    <w:rsid w:val="008F7A78"/>
    <w:rsid w:val="00901E0A"/>
    <w:rsid w:val="00901E1F"/>
    <w:rsid w:val="009025B6"/>
    <w:rsid w:val="00902D2B"/>
    <w:rsid w:val="00902E51"/>
    <w:rsid w:val="00902FB6"/>
    <w:rsid w:val="00903FB9"/>
    <w:rsid w:val="00904000"/>
    <w:rsid w:val="0090494E"/>
    <w:rsid w:val="00905631"/>
    <w:rsid w:val="00906C89"/>
    <w:rsid w:val="00906FA2"/>
    <w:rsid w:val="0090770E"/>
    <w:rsid w:val="00907D81"/>
    <w:rsid w:val="00907F06"/>
    <w:rsid w:val="00910731"/>
    <w:rsid w:val="00910865"/>
    <w:rsid w:val="009112C0"/>
    <w:rsid w:val="00912282"/>
    <w:rsid w:val="00913298"/>
    <w:rsid w:val="009146FC"/>
    <w:rsid w:val="009156AA"/>
    <w:rsid w:val="00915ADA"/>
    <w:rsid w:val="00915E0A"/>
    <w:rsid w:val="00916BB5"/>
    <w:rsid w:val="00917350"/>
    <w:rsid w:val="0091756E"/>
    <w:rsid w:val="0091757F"/>
    <w:rsid w:val="00917F51"/>
    <w:rsid w:val="00920E14"/>
    <w:rsid w:val="00920E77"/>
    <w:rsid w:val="009210A3"/>
    <w:rsid w:val="009235DD"/>
    <w:rsid w:val="0092366E"/>
    <w:rsid w:val="00923941"/>
    <w:rsid w:val="00924051"/>
    <w:rsid w:val="00924A24"/>
    <w:rsid w:val="00924BA1"/>
    <w:rsid w:val="00924BEC"/>
    <w:rsid w:val="00926227"/>
    <w:rsid w:val="009265DC"/>
    <w:rsid w:val="009268D4"/>
    <w:rsid w:val="00926972"/>
    <w:rsid w:val="009269BA"/>
    <w:rsid w:val="00926F67"/>
    <w:rsid w:val="0092754E"/>
    <w:rsid w:val="009279A5"/>
    <w:rsid w:val="00927E6C"/>
    <w:rsid w:val="00930B72"/>
    <w:rsid w:val="009311C1"/>
    <w:rsid w:val="0093153B"/>
    <w:rsid w:val="00931812"/>
    <w:rsid w:val="009324AF"/>
    <w:rsid w:val="009325E6"/>
    <w:rsid w:val="00933969"/>
    <w:rsid w:val="00933D91"/>
    <w:rsid w:val="00933EB8"/>
    <w:rsid w:val="0093631A"/>
    <w:rsid w:val="009365B7"/>
    <w:rsid w:val="0093674B"/>
    <w:rsid w:val="0093719C"/>
    <w:rsid w:val="009373E9"/>
    <w:rsid w:val="009402B9"/>
    <w:rsid w:val="0094168B"/>
    <w:rsid w:val="00941852"/>
    <w:rsid w:val="00941E54"/>
    <w:rsid w:val="009421AE"/>
    <w:rsid w:val="009422C0"/>
    <w:rsid w:val="00942397"/>
    <w:rsid w:val="009426DB"/>
    <w:rsid w:val="00942C20"/>
    <w:rsid w:val="00942D84"/>
    <w:rsid w:val="00943B0F"/>
    <w:rsid w:val="00944F44"/>
    <w:rsid w:val="0094536E"/>
    <w:rsid w:val="00945757"/>
    <w:rsid w:val="00945B2C"/>
    <w:rsid w:val="00945E1F"/>
    <w:rsid w:val="00946446"/>
    <w:rsid w:val="00946B0D"/>
    <w:rsid w:val="00946EA4"/>
    <w:rsid w:val="00947826"/>
    <w:rsid w:val="00947F03"/>
    <w:rsid w:val="00950698"/>
    <w:rsid w:val="00950AC4"/>
    <w:rsid w:val="00951363"/>
    <w:rsid w:val="00952079"/>
    <w:rsid w:val="009520DA"/>
    <w:rsid w:val="00952AF7"/>
    <w:rsid w:val="00952BC7"/>
    <w:rsid w:val="009530CF"/>
    <w:rsid w:val="00953D84"/>
    <w:rsid w:val="009549BC"/>
    <w:rsid w:val="00954A62"/>
    <w:rsid w:val="00955C26"/>
    <w:rsid w:val="00956683"/>
    <w:rsid w:val="0095764C"/>
    <w:rsid w:val="009611B0"/>
    <w:rsid w:val="009617C4"/>
    <w:rsid w:val="00961CF7"/>
    <w:rsid w:val="00962799"/>
    <w:rsid w:val="00962D20"/>
    <w:rsid w:val="009630DB"/>
    <w:rsid w:val="00963B2E"/>
    <w:rsid w:val="009649C2"/>
    <w:rsid w:val="00964A18"/>
    <w:rsid w:val="00964C21"/>
    <w:rsid w:val="00966CD4"/>
    <w:rsid w:val="00967A60"/>
    <w:rsid w:val="009731D3"/>
    <w:rsid w:val="00973C32"/>
    <w:rsid w:val="0097432E"/>
    <w:rsid w:val="009747B9"/>
    <w:rsid w:val="00974E0C"/>
    <w:rsid w:val="00975B1B"/>
    <w:rsid w:val="00977019"/>
    <w:rsid w:val="0098080E"/>
    <w:rsid w:val="00981788"/>
    <w:rsid w:val="00982D3B"/>
    <w:rsid w:val="0098354D"/>
    <w:rsid w:val="009844FA"/>
    <w:rsid w:val="009847DB"/>
    <w:rsid w:val="00984F8C"/>
    <w:rsid w:val="00985084"/>
    <w:rsid w:val="009852ED"/>
    <w:rsid w:val="0098540D"/>
    <w:rsid w:val="00985511"/>
    <w:rsid w:val="00985811"/>
    <w:rsid w:val="00985B0B"/>
    <w:rsid w:val="0098776D"/>
    <w:rsid w:val="009879BD"/>
    <w:rsid w:val="009902CD"/>
    <w:rsid w:val="00990543"/>
    <w:rsid w:val="00991338"/>
    <w:rsid w:val="0099144F"/>
    <w:rsid w:val="009921C1"/>
    <w:rsid w:val="0099298D"/>
    <w:rsid w:val="00993A23"/>
    <w:rsid w:val="00994E74"/>
    <w:rsid w:val="00994EA9"/>
    <w:rsid w:val="00994FD0"/>
    <w:rsid w:val="00995239"/>
    <w:rsid w:val="009954A3"/>
    <w:rsid w:val="00995A12"/>
    <w:rsid w:val="00996256"/>
    <w:rsid w:val="00997D02"/>
    <w:rsid w:val="00997D46"/>
    <w:rsid w:val="009A2454"/>
    <w:rsid w:val="009A2624"/>
    <w:rsid w:val="009A27D1"/>
    <w:rsid w:val="009A28EB"/>
    <w:rsid w:val="009A2B38"/>
    <w:rsid w:val="009A2CF2"/>
    <w:rsid w:val="009A36F4"/>
    <w:rsid w:val="009A3CF7"/>
    <w:rsid w:val="009A4743"/>
    <w:rsid w:val="009A5365"/>
    <w:rsid w:val="009A7823"/>
    <w:rsid w:val="009B0771"/>
    <w:rsid w:val="009B102D"/>
    <w:rsid w:val="009B1447"/>
    <w:rsid w:val="009B19AE"/>
    <w:rsid w:val="009B22BD"/>
    <w:rsid w:val="009B3618"/>
    <w:rsid w:val="009B46B3"/>
    <w:rsid w:val="009B5A83"/>
    <w:rsid w:val="009B6311"/>
    <w:rsid w:val="009B6416"/>
    <w:rsid w:val="009B6626"/>
    <w:rsid w:val="009B6CBB"/>
    <w:rsid w:val="009C00FB"/>
    <w:rsid w:val="009C1542"/>
    <w:rsid w:val="009C2421"/>
    <w:rsid w:val="009C27CD"/>
    <w:rsid w:val="009C2ED9"/>
    <w:rsid w:val="009C30A1"/>
    <w:rsid w:val="009C31B9"/>
    <w:rsid w:val="009C335C"/>
    <w:rsid w:val="009C3D7F"/>
    <w:rsid w:val="009C40D1"/>
    <w:rsid w:val="009C5390"/>
    <w:rsid w:val="009C67FC"/>
    <w:rsid w:val="009C7789"/>
    <w:rsid w:val="009C7A86"/>
    <w:rsid w:val="009D107C"/>
    <w:rsid w:val="009D2C8A"/>
    <w:rsid w:val="009D2E5C"/>
    <w:rsid w:val="009D3870"/>
    <w:rsid w:val="009D520D"/>
    <w:rsid w:val="009D5C67"/>
    <w:rsid w:val="009D684D"/>
    <w:rsid w:val="009E089E"/>
    <w:rsid w:val="009E237C"/>
    <w:rsid w:val="009E3E09"/>
    <w:rsid w:val="009E4840"/>
    <w:rsid w:val="009E49C1"/>
    <w:rsid w:val="009E4C11"/>
    <w:rsid w:val="009E56BE"/>
    <w:rsid w:val="009E702D"/>
    <w:rsid w:val="009E743A"/>
    <w:rsid w:val="009E76A3"/>
    <w:rsid w:val="009F0607"/>
    <w:rsid w:val="009F1F71"/>
    <w:rsid w:val="009F24D5"/>
    <w:rsid w:val="009F2686"/>
    <w:rsid w:val="009F26FC"/>
    <w:rsid w:val="009F302B"/>
    <w:rsid w:val="009F355C"/>
    <w:rsid w:val="009F3732"/>
    <w:rsid w:val="009F38A0"/>
    <w:rsid w:val="009F5DE7"/>
    <w:rsid w:val="009F7641"/>
    <w:rsid w:val="009F77A9"/>
    <w:rsid w:val="00A016FF"/>
    <w:rsid w:val="00A01826"/>
    <w:rsid w:val="00A019D8"/>
    <w:rsid w:val="00A01B7C"/>
    <w:rsid w:val="00A01CD9"/>
    <w:rsid w:val="00A0228F"/>
    <w:rsid w:val="00A022F3"/>
    <w:rsid w:val="00A02471"/>
    <w:rsid w:val="00A03C4F"/>
    <w:rsid w:val="00A03C6E"/>
    <w:rsid w:val="00A03E08"/>
    <w:rsid w:val="00A056D8"/>
    <w:rsid w:val="00A05B2F"/>
    <w:rsid w:val="00A07FC1"/>
    <w:rsid w:val="00A104B5"/>
    <w:rsid w:val="00A1068F"/>
    <w:rsid w:val="00A10ADE"/>
    <w:rsid w:val="00A10B0B"/>
    <w:rsid w:val="00A1163B"/>
    <w:rsid w:val="00A11C78"/>
    <w:rsid w:val="00A1256D"/>
    <w:rsid w:val="00A127E2"/>
    <w:rsid w:val="00A12DF3"/>
    <w:rsid w:val="00A13AB4"/>
    <w:rsid w:val="00A146AA"/>
    <w:rsid w:val="00A1578D"/>
    <w:rsid w:val="00A15DD4"/>
    <w:rsid w:val="00A166DF"/>
    <w:rsid w:val="00A16DBA"/>
    <w:rsid w:val="00A20337"/>
    <w:rsid w:val="00A20692"/>
    <w:rsid w:val="00A207B5"/>
    <w:rsid w:val="00A20FA5"/>
    <w:rsid w:val="00A212E9"/>
    <w:rsid w:val="00A220F4"/>
    <w:rsid w:val="00A234C2"/>
    <w:rsid w:val="00A2414E"/>
    <w:rsid w:val="00A2462E"/>
    <w:rsid w:val="00A24D96"/>
    <w:rsid w:val="00A25A83"/>
    <w:rsid w:val="00A25E6D"/>
    <w:rsid w:val="00A25F8A"/>
    <w:rsid w:val="00A26344"/>
    <w:rsid w:val="00A268A1"/>
    <w:rsid w:val="00A27017"/>
    <w:rsid w:val="00A27241"/>
    <w:rsid w:val="00A2759A"/>
    <w:rsid w:val="00A2769A"/>
    <w:rsid w:val="00A306A0"/>
    <w:rsid w:val="00A309A5"/>
    <w:rsid w:val="00A31479"/>
    <w:rsid w:val="00A31E29"/>
    <w:rsid w:val="00A33166"/>
    <w:rsid w:val="00A33734"/>
    <w:rsid w:val="00A33ACE"/>
    <w:rsid w:val="00A3423F"/>
    <w:rsid w:val="00A35F4C"/>
    <w:rsid w:val="00A365DA"/>
    <w:rsid w:val="00A37399"/>
    <w:rsid w:val="00A37C50"/>
    <w:rsid w:val="00A37F5B"/>
    <w:rsid w:val="00A4013D"/>
    <w:rsid w:val="00A429C8"/>
    <w:rsid w:val="00A43453"/>
    <w:rsid w:val="00A43BA9"/>
    <w:rsid w:val="00A43D5A"/>
    <w:rsid w:val="00A444AC"/>
    <w:rsid w:val="00A44BEB"/>
    <w:rsid w:val="00A453D5"/>
    <w:rsid w:val="00A45848"/>
    <w:rsid w:val="00A461AD"/>
    <w:rsid w:val="00A46283"/>
    <w:rsid w:val="00A5051C"/>
    <w:rsid w:val="00A5172E"/>
    <w:rsid w:val="00A528B3"/>
    <w:rsid w:val="00A5304D"/>
    <w:rsid w:val="00A534E5"/>
    <w:rsid w:val="00A538B3"/>
    <w:rsid w:val="00A548B6"/>
    <w:rsid w:val="00A5692D"/>
    <w:rsid w:val="00A57228"/>
    <w:rsid w:val="00A57848"/>
    <w:rsid w:val="00A61047"/>
    <w:rsid w:val="00A61A17"/>
    <w:rsid w:val="00A61E93"/>
    <w:rsid w:val="00A62484"/>
    <w:rsid w:val="00A62723"/>
    <w:rsid w:val="00A62923"/>
    <w:rsid w:val="00A63BEA"/>
    <w:rsid w:val="00A6428C"/>
    <w:rsid w:val="00A64BA5"/>
    <w:rsid w:val="00A64CBE"/>
    <w:rsid w:val="00A64CDC"/>
    <w:rsid w:val="00A64E2E"/>
    <w:rsid w:val="00A655B8"/>
    <w:rsid w:val="00A66C3A"/>
    <w:rsid w:val="00A66E44"/>
    <w:rsid w:val="00A6794C"/>
    <w:rsid w:val="00A71C83"/>
    <w:rsid w:val="00A72071"/>
    <w:rsid w:val="00A742F1"/>
    <w:rsid w:val="00A74595"/>
    <w:rsid w:val="00A74ED8"/>
    <w:rsid w:val="00A7516F"/>
    <w:rsid w:val="00A75EC1"/>
    <w:rsid w:val="00A764B9"/>
    <w:rsid w:val="00A77273"/>
    <w:rsid w:val="00A77436"/>
    <w:rsid w:val="00A77D7B"/>
    <w:rsid w:val="00A807AB"/>
    <w:rsid w:val="00A80E74"/>
    <w:rsid w:val="00A81B8B"/>
    <w:rsid w:val="00A81E8B"/>
    <w:rsid w:val="00A827FD"/>
    <w:rsid w:val="00A82D0F"/>
    <w:rsid w:val="00A83C0D"/>
    <w:rsid w:val="00A85385"/>
    <w:rsid w:val="00A85729"/>
    <w:rsid w:val="00A85AAC"/>
    <w:rsid w:val="00A9006A"/>
    <w:rsid w:val="00A90BEC"/>
    <w:rsid w:val="00A91F3C"/>
    <w:rsid w:val="00A92A13"/>
    <w:rsid w:val="00A943B8"/>
    <w:rsid w:val="00A945AF"/>
    <w:rsid w:val="00A946E1"/>
    <w:rsid w:val="00A953D4"/>
    <w:rsid w:val="00A96DB3"/>
    <w:rsid w:val="00A973FB"/>
    <w:rsid w:val="00A97438"/>
    <w:rsid w:val="00A977F0"/>
    <w:rsid w:val="00AA139A"/>
    <w:rsid w:val="00AA16AF"/>
    <w:rsid w:val="00AA3381"/>
    <w:rsid w:val="00AA491A"/>
    <w:rsid w:val="00AA51F2"/>
    <w:rsid w:val="00AA5924"/>
    <w:rsid w:val="00AA6748"/>
    <w:rsid w:val="00AA6DA9"/>
    <w:rsid w:val="00AA79DA"/>
    <w:rsid w:val="00AA7DDE"/>
    <w:rsid w:val="00AB05C4"/>
    <w:rsid w:val="00AB14E9"/>
    <w:rsid w:val="00AB3393"/>
    <w:rsid w:val="00AB471D"/>
    <w:rsid w:val="00AB4727"/>
    <w:rsid w:val="00AB56E5"/>
    <w:rsid w:val="00AB65C2"/>
    <w:rsid w:val="00AB7266"/>
    <w:rsid w:val="00AC0327"/>
    <w:rsid w:val="00AC0482"/>
    <w:rsid w:val="00AC0A73"/>
    <w:rsid w:val="00AC0E5F"/>
    <w:rsid w:val="00AC1064"/>
    <w:rsid w:val="00AC185A"/>
    <w:rsid w:val="00AC1884"/>
    <w:rsid w:val="00AC28B6"/>
    <w:rsid w:val="00AC2A36"/>
    <w:rsid w:val="00AC4D3A"/>
    <w:rsid w:val="00AC52D1"/>
    <w:rsid w:val="00AC590D"/>
    <w:rsid w:val="00AC75D9"/>
    <w:rsid w:val="00AD044A"/>
    <w:rsid w:val="00AD0AA6"/>
    <w:rsid w:val="00AD0F99"/>
    <w:rsid w:val="00AD1312"/>
    <w:rsid w:val="00AD1BC0"/>
    <w:rsid w:val="00AD2B4D"/>
    <w:rsid w:val="00AD346C"/>
    <w:rsid w:val="00AD4170"/>
    <w:rsid w:val="00AD5E36"/>
    <w:rsid w:val="00AD646E"/>
    <w:rsid w:val="00AD6A5A"/>
    <w:rsid w:val="00AD7BF7"/>
    <w:rsid w:val="00AE061B"/>
    <w:rsid w:val="00AE0810"/>
    <w:rsid w:val="00AE0DCC"/>
    <w:rsid w:val="00AE20F7"/>
    <w:rsid w:val="00AE2196"/>
    <w:rsid w:val="00AE527C"/>
    <w:rsid w:val="00AE55B7"/>
    <w:rsid w:val="00AE5940"/>
    <w:rsid w:val="00AE665C"/>
    <w:rsid w:val="00AE66FB"/>
    <w:rsid w:val="00AE76BF"/>
    <w:rsid w:val="00AF03BC"/>
    <w:rsid w:val="00AF163A"/>
    <w:rsid w:val="00AF20FA"/>
    <w:rsid w:val="00AF2D9B"/>
    <w:rsid w:val="00AF3536"/>
    <w:rsid w:val="00AF3D48"/>
    <w:rsid w:val="00AF429A"/>
    <w:rsid w:val="00AF5444"/>
    <w:rsid w:val="00AF5CBB"/>
    <w:rsid w:val="00AF78FC"/>
    <w:rsid w:val="00AF7B2C"/>
    <w:rsid w:val="00B00240"/>
    <w:rsid w:val="00B00672"/>
    <w:rsid w:val="00B00D06"/>
    <w:rsid w:val="00B00E76"/>
    <w:rsid w:val="00B01358"/>
    <w:rsid w:val="00B01DF7"/>
    <w:rsid w:val="00B01F77"/>
    <w:rsid w:val="00B01F9D"/>
    <w:rsid w:val="00B02DBD"/>
    <w:rsid w:val="00B03095"/>
    <w:rsid w:val="00B03860"/>
    <w:rsid w:val="00B041E9"/>
    <w:rsid w:val="00B045EB"/>
    <w:rsid w:val="00B04F93"/>
    <w:rsid w:val="00B051D6"/>
    <w:rsid w:val="00B060FC"/>
    <w:rsid w:val="00B061CB"/>
    <w:rsid w:val="00B067FF"/>
    <w:rsid w:val="00B0695D"/>
    <w:rsid w:val="00B07534"/>
    <w:rsid w:val="00B10E07"/>
    <w:rsid w:val="00B11923"/>
    <w:rsid w:val="00B12015"/>
    <w:rsid w:val="00B122F4"/>
    <w:rsid w:val="00B128D1"/>
    <w:rsid w:val="00B1315F"/>
    <w:rsid w:val="00B132D0"/>
    <w:rsid w:val="00B138EE"/>
    <w:rsid w:val="00B139D6"/>
    <w:rsid w:val="00B13C6E"/>
    <w:rsid w:val="00B13E05"/>
    <w:rsid w:val="00B13EA6"/>
    <w:rsid w:val="00B147E0"/>
    <w:rsid w:val="00B14DBE"/>
    <w:rsid w:val="00B1592D"/>
    <w:rsid w:val="00B16B53"/>
    <w:rsid w:val="00B208B8"/>
    <w:rsid w:val="00B214D3"/>
    <w:rsid w:val="00B21C6D"/>
    <w:rsid w:val="00B2209F"/>
    <w:rsid w:val="00B2269D"/>
    <w:rsid w:val="00B229C5"/>
    <w:rsid w:val="00B22DEE"/>
    <w:rsid w:val="00B23A8F"/>
    <w:rsid w:val="00B24361"/>
    <w:rsid w:val="00B247EC"/>
    <w:rsid w:val="00B248FC"/>
    <w:rsid w:val="00B2528B"/>
    <w:rsid w:val="00B253EE"/>
    <w:rsid w:val="00B2575D"/>
    <w:rsid w:val="00B25CC0"/>
    <w:rsid w:val="00B2776F"/>
    <w:rsid w:val="00B300B1"/>
    <w:rsid w:val="00B30665"/>
    <w:rsid w:val="00B31136"/>
    <w:rsid w:val="00B313D1"/>
    <w:rsid w:val="00B31C88"/>
    <w:rsid w:val="00B321F5"/>
    <w:rsid w:val="00B32D7A"/>
    <w:rsid w:val="00B33825"/>
    <w:rsid w:val="00B35116"/>
    <w:rsid w:val="00B372A5"/>
    <w:rsid w:val="00B37567"/>
    <w:rsid w:val="00B376BF"/>
    <w:rsid w:val="00B379FE"/>
    <w:rsid w:val="00B37D2B"/>
    <w:rsid w:val="00B37F00"/>
    <w:rsid w:val="00B41325"/>
    <w:rsid w:val="00B41748"/>
    <w:rsid w:val="00B41E7C"/>
    <w:rsid w:val="00B41FD5"/>
    <w:rsid w:val="00B4262B"/>
    <w:rsid w:val="00B429D3"/>
    <w:rsid w:val="00B434A1"/>
    <w:rsid w:val="00B44710"/>
    <w:rsid w:val="00B44953"/>
    <w:rsid w:val="00B44B6C"/>
    <w:rsid w:val="00B44D66"/>
    <w:rsid w:val="00B45460"/>
    <w:rsid w:val="00B461AE"/>
    <w:rsid w:val="00B5158A"/>
    <w:rsid w:val="00B5250C"/>
    <w:rsid w:val="00B5371B"/>
    <w:rsid w:val="00B5381E"/>
    <w:rsid w:val="00B53E57"/>
    <w:rsid w:val="00B54830"/>
    <w:rsid w:val="00B54BDF"/>
    <w:rsid w:val="00B54E12"/>
    <w:rsid w:val="00B54F25"/>
    <w:rsid w:val="00B55231"/>
    <w:rsid w:val="00B56B1F"/>
    <w:rsid w:val="00B5752E"/>
    <w:rsid w:val="00B6015A"/>
    <w:rsid w:val="00B61DF7"/>
    <w:rsid w:val="00B6221B"/>
    <w:rsid w:val="00B62AFB"/>
    <w:rsid w:val="00B630B7"/>
    <w:rsid w:val="00B63968"/>
    <w:rsid w:val="00B64621"/>
    <w:rsid w:val="00B70505"/>
    <w:rsid w:val="00B714B8"/>
    <w:rsid w:val="00B75B7D"/>
    <w:rsid w:val="00B75D43"/>
    <w:rsid w:val="00B765C9"/>
    <w:rsid w:val="00B76D01"/>
    <w:rsid w:val="00B77CD0"/>
    <w:rsid w:val="00B8002A"/>
    <w:rsid w:val="00B80A42"/>
    <w:rsid w:val="00B80D19"/>
    <w:rsid w:val="00B838CD"/>
    <w:rsid w:val="00B84527"/>
    <w:rsid w:val="00B84A1C"/>
    <w:rsid w:val="00B860CC"/>
    <w:rsid w:val="00B875BB"/>
    <w:rsid w:val="00B90E7B"/>
    <w:rsid w:val="00B9250F"/>
    <w:rsid w:val="00B92828"/>
    <w:rsid w:val="00B928EC"/>
    <w:rsid w:val="00B94688"/>
    <w:rsid w:val="00B94818"/>
    <w:rsid w:val="00B948D8"/>
    <w:rsid w:val="00B94A70"/>
    <w:rsid w:val="00B957E5"/>
    <w:rsid w:val="00B95924"/>
    <w:rsid w:val="00B964ED"/>
    <w:rsid w:val="00B96517"/>
    <w:rsid w:val="00B9704A"/>
    <w:rsid w:val="00B97D2C"/>
    <w:rsid w:val="00BA04FB"/>
    <w:rsid w:val="00BA0A7C"/>
    <w:rsid w:val="00BA1382"/>
    <w:rsid w:val="00BA16E7"/>
    <w:rsid w:val="00BA1FE8"/>
    <w:rsid w:val="00BA2480"/>
    <w:rsid w:val="00BA2B86"/>
    <w:rsid w:val="00BA3D7B"/>
    <w:rsid w:val="00BA45EA"/>
    <w:rsid w:val="00BA5056"/>
    <w:rsid w:val="00BA5145"/>
    <w:rsid w:val="00BA5708"/>
    <w:rsid w:val="00BA5934"/>
    <w:rsid w:val="00BA59E0"/>
    <w:rsid w:val="00BA6393"/>
    <w:rsid w:val="00BA7041"/>
    <w:rsid w:val="00BA763C"/>
    <w:rsid w:val="00BA7DE1"/>
    <w:rsid w:val="00BB00D4"/>
    <w:rsid w:val="00BB00D7"/>
    <w:rsid w:val="00BB09B6"/>
    <w:rsid w:val="00BB09BD"/>
    <w:rsid w:val="00BB1448"/>
    <w:rsid w:val="00BB1CF5"/>
    <w:rsid w:val="00BB1D54"/>
    <w:rsid w:val="00BB2503"/>
    <w:rsid w:val="00BB3491"/>
    <w:rsid w:val="00BB3969"/>
    <w:rsid w:val="00BB3B44"/>
    <w:rsid w:val="00BB40EE"/>
    <w:rsid w:val="00BB4EC5"/>
    <w:rsid w:val="00BB52AD"/>
    <w:rsid w:val="00BB52F4"/>
    <w:rsid w:val="00BB5C29"/>
    <w:rsid w:val="00BB6C8F"/>
    <w:rsid w:val="00BB76C1"/>
    <w:rsid w:val="00BB76DC"/>
    <w:rsid w:val="00BC039E"/>
    <w:rsid w:val="00BC08AA"/>
    <w:rsid w:val="00BC0E5F"/>
    <w:rsid w:val="00BC0F1E"/>
    <w:rsid w:val="00BC1674"/>
    <w:rsid w:val="00BC1771"/>
    <w:rsid w:val="00BC181F"/>
    <w:rsid w:val="00BC2260"/>
    <w:rsid w:val="00BC2CFB"/>
    <w:rsid w:val="00BC3151"/>
    <w:rsid w:val="00BC4217"/>
    <w:rsid w:val="00BC454B"/>
    <w:rsid w:val="00BC4EFD"/>
    <w:rsid w:val="00BC57FA"/>
    <w:rsid w:val="00BC5C1B"/>
    <w:rsid w:val="00BC5EA2"/>
    <w:rsid w:val="00BC5F58"/>
    <w:rsid w:val="00BC6D66"/>
    <w:rsid w:val="00BC756A"/>
    <w:rsid w:val="00BD0393"/>
    <w:rsid w:val="00BD044A"/>
    <w:rsid w:val="00BD07F6"/>
    <w:rsid w:val="00BD0A18"/>
    <w:rsid w:val="00BD0FE2"/>
    <w:rsid w:val="00BD1326"/>
    <w:rsid w:val="00BD145D"/>
    <w:rsid w:val="00BD2D58"/>
    <w:rsid w:val="00BD38BE"/>
    <w:rsid w:val="00BD4A82"/>
    <w:rsid w:val="00BD4BC6"/>
    <w:rsid w:val="00BD4CAA"/>
    <w:rsid w:val="00BD5B4D"/>
    <w:rsid w:val="00BD5EDA"/>
    <w:rsid w:val="00BD6757"/>
    <w:rsid w:val="00BD742D"/>
    <w:rsid w:val="00BE0424"/>
    <w:rsid w:val="00BE1EC7"/>
    <w:rsid w:val="00BE2F14"/>
    <w:rsid w:val="00BE3639"/>
    <w:rsid w:val="00BE4303"/>
    <w:rsid w:val="00BE4374"/>
    <w:rsid w:val="00BE477B"/>
    <w:rsid w:val="00BE5370"/>
    <w:rsid w:val="00BE60FA"/>
    <w:rsid w:val="00BE6AD4"/>
    <w:rsid w:val="00BE7086"/>
    <w:rsid w:val="00BE7650"/>
    <w:rsid w:val="00BE784B"/>
    <w:rsid w:val="00BF169B"/>
    <w:rsid w:val="00BF26B1"/>
    <w:rsid w:val="00BF3A04"/>
    <w:rsid w:val="00BF3A26"/>
    <w:rsid w:val="00BF4F8F"/>
    <w:rsid w:val="00BF5165"/>
    <w:rsid w:val="00BF5B3C"/>
    <w:rsid w:val="00BF67F7"/>
    <w:rsid w:val="00BF6F29"/>
    <w:rsid w:val="00C0019A"/>
    <w:rsid w:val="00C02B92"/>
    <w:rsid w:val="00C02EAF"/>
    <w:rsid w:val="00C0443A"/>
    <w:rsid w:val="00C04B3E"/>
    <w:rsid w:val="00C04BF3"/>
    <w:rsid w:val="00C06B43"/>
    <w:rsid w:val="00C0710C"/>
    <w:rsid w:val="00C101E3"/>
    <w:rsid w:val="00C10824"/>
    <w:rsid w:val="00C10C0F"/>
    <w:rsid w:val="00C118E8"/>
    <w:rsid w:val="00C14A9E"/>
    <w:rsid w:val="00C1572C"/>
    <w:rsid w:val="00C16220"/>
    <w:rsid w:val="00C16729"/>
    <w:rsid w:val="00C1680F"/>
    <w:rsid w:val="00C168CD"/>
    <w:rsid w:val="00C226E0"/>
    <w:rsid w:val="00C22AFE"/>
    <w:rsid w:val="00C22FF8"/>
    <w:rsid w:val="00C24206"/>
    <w:rsid w:val="00C24E46"/>
    <w:rsid w:val="00C250D9"/>
    <w:rsid w:val="00C25663"/>
    <w:rsid w:val="00C26088"/>
    <w:rsid w:val="00C266A5"/>
    <w:rsid w:val="00C26CCC"/>
    <w:rsid w:val="00C278E3"/>
    <w:rsid w:val="00C3027D"/>
    <w:rsid w:val="00C303EC"/>
    <w:rsid w:val="00C31B32"/>
    <w:rsid w:val="00C320E7"/>
    <w:rsid w:val="00C339D4"/>
    <w:rsid w:val="00C33DE6"/>
    <w:rsid w:val="00C34975"/>
    <w:rsid w:val="00C34DBA"/>
    <w:rsid w:val="00C34E7F"/>
    <w:rsid w:val="00C35D44"/>
    <w:rsid w:val="00C360A9"/>
    <w:rsid w:val="00C364BA"/>
    <w:rsid w:val="00C36CE8"/>
    <w:rsid w:val="00C374CD"/>
    <w:rsid w:val="00C37C68"/>
    <w:rsid w:val="00C40469"/>
    <w:rsid w:val="00C412EB"/>
    <w:rsid w:val="00C426D1"/>
    <w:rsid w:val="00C4276B"/>
    <w:rsid w:val="00C43C2E"/>
    <w:rsid w:val="00C446DE"/>
    <w:rsid w:val="00C47BBA"/>
    <w:rsid w:val="00C47DC1"/>
    <w:rsid w:val="00C50142"/>
    <w:rsid w:val="00C50DD0"/>
    <w:rsid w:val="00C50E35"/>
    <w:rsid w:val="00C51A88"/>
    <w:rsid w:val="00C532C4"/>
    <w:rsid w:val="00C56DDB"/>
    <w:rsid w:val="00C57340"/>
    <w:rsid w:val="00C57877"/>
    <w:rsid w:val="00C57D16"/>
    <w:rsid w:val="00C57F04"/>
    <w:rsid w:val="00C602DD"/>
    <w:rsid w:val="00C6071E"/>
    <w:rsid w:val="00C608FA"/>
    <w:rsid w:val="00C615D8"/>
    <w:rsid w:val="00C63079"/>
    <w:rsid w:val="00C630C8"/>
    <w:rsid w:val="00C63B92"/>
    <w:rsid w:val="00C64327"/>
    <w:rsid w:val="00C647C5"/>
    <w:rsid w:val="00C6484E"/>
    <w:rsid w:val="00C65841"/>
    <w:rsid w:val="00C6664B"/>
    <w:rsid w:val="00C6688D"/>
    <w:rsid w:val="00C66FCB"/>
    <w:rsid w:val="00C67E6F"/>
    <w:rsid w:val="00C71F6C"/>
    <w:rsid w:val="00C72AF3"/>
    <w:rsid w:val="00C72E0A"/>
    <w:rsid w:val="00C75248"/>
    <w:rsid w:val="00C75628"/>
    <w:rsid w:val="00C758EF"/>
    <w:rsid w:val="00C7619C"/>
    <w:rsid w:val="00C762D4"/>
    <w:rsid w:val="00C77157"/>
    <w:rsid w:val="00C776F8"/>
    <w:rsid w:val="00C77E88"/>
    <w:rsid w:val="00C81305"/>
    <w:rsid w:val="00C82155"/>
    <w:rsid w:val="00C825C0"/>
    <w:rsid w:val="00C82E65"/>
    <w:rsid w:val="00C83B58"/>
    <w:rsid w:val="00C85DE5"/>
    <w:rsid w:val="00C872F0"/>
    <w:rsid w:val="00C875BA"/>
    <w:rsid w:val="00C9094A"/>
    <w:rsid w:val="00C90ED2"/>
    <w:rsid w:val="00C916DA"/>
    <w:rsid w:val="00C917FF"/>
    <w:rsid w:val="00C91AC9"/>
    <w:rsid w:val="00C91C54"/>
    <w:rsid w:val="00C9242A"/>
    <w:rsid w:val="00C92E60"/>
    <w:rsid w:val="00C936E6"/>
    <w:rsid w:val="00C93896"/>
    <w:rsid w:val="00C93E41"/>
    <w:rsid w:val="00C94320"/>
    <w:rsid w:val="00C9474C"/>
    <w:rsid w:val="00C94868"/>
    <w:rsid w:val="00C94941"/>
    <w:rsid w:val="00C952D5"/>
    <w:rsid w:val="00C9540A"/>
    <w:rsid w:val="00C96864"/>
    <w:rsid w:val="00CA0557"/>
    <w:rsid w:val="00CA0B9A"/>
    <w:rsid w:val="00CA1780"/>
    <w:rsid w:val="00CA2098"/>
    <w:rsid w:val="00CA2406"/>
    <w:rsid w:val="00CA4256"/>
    <w:rsid w:val="00CA5779"/>
    <w:rsid w:val="00CA5BEA"/>
    <w:rsid w:val="00CA655F"/>
    <w:rsid w:val="00CA71E9"/>
    <w:rsid w:val="00CA7824"/>
    <w:rsid w:val="00CB13C3"/>
    <w:rsid w:val="00CB15B3"/>
    <w:rsid w:val="00CB17AC"/>
    <w:rsid w:val="00CB1D1D"/>
    <w:rsid w:val="00CB1F04"/>
    <w:rsid w:val="00CB22B7"/>
    <w:rsid w:val="00CB2785"/>
    <w:rsid w:val="00CB33CB"/>
    <w:rsid w:val="00CB3A0A"/>
    <w:rsid w:val="00CB4B45"/>
    <w:rsid w:val="00CB4BFF"/>
    <w:rsid w:val="00CB4CF4"/>
    <w:rsid w:val="00CB5C38"/>
    <w:rsid w:val="00CB66F1"/>
    <w:rsid w:val="00CB6C3F"/>
    <w:rsid w:val="00CB7BCA"/>
    <w:rsid w:val="00CC0138"/>
    <w:rsid w:val="00CC0D6B"/>
    <w:rsid w:val="00CC0E47"/>
    <w:rsid w:val="00CC0F66"/>
    <w:rsid w:val="00CC2895"/>
    <w:rsid w:val="00CC2951"/>
    <w:rsid w:val="00CC4059"/>
    <w:rsid w:val="00CC4668"/>
    <w:rsid w:val="00CC49F7"/>
    <w:rsid w:val="00CC4D3E"/>
    <w:rsid w:val="00CC4E77"/>
    <w:rsid w:val="00CC50EE"/>
    <w:rsid w:val="00CC7051"/>
    <w:rsid w:val="00CC757E"/>
    <w:rsid w:val="00CD01B9"/>
    <w:rsid w:val="00CD0302"/>
    <w:rsid w:val="00CD09B6"/>
    <w:rsid w:val="00CD0C9D"/>
    <w:rsid w:val="00CD0F69"/>
    <w:rsid w:val="00CD10CC"/>
    <w:rsid w:val="00CD14E6"/>
    <w:rsid w:val="00CD1816"/>
    <w:rsid w:val="00CD1847"/>
    <w:rsid w:val="00CD18A4"/>
    <w:rsid w:val="00CD1A32"/>
    <w:rsid w:val="00CD1A44"/>
    <w:rsid w:val="00CD50C4"/>
    <w:rsid w:val="00CD5852"/>
    <w:rsid w:val="00CD5BD1"/>
    <w:rsid w:val="00CD5D78"/>
    <w:rsid w:val="00CD5E11"/>
    <w:rsid w:val="00CD6119"/>
    <w:rsid w:val="00CD7066"/>
    <w:rsid w:val="00CE00E9"/>
    <w:rsid w:val="00CE05E8"/>
    <w:rsid w:val="00CE0B03"/>
    <w:rsid w:val="00CE1350"/>
    <w:rsid w:val="00CE1735"/>
    <w:rsid w:val="00CE194D"/>
    <w:rsid w:val="00CE23BE"/>
    <w:rsid w:val="00CE2FE0"/>
    <w:rsid w:val="00CE3D3E"/>
    <w:rsid w:val="00CE3E58"/>
    <w:rsid w:val="00CE444A"/>
    <w:rsid w:val="00CE4C19"/>
    <w:rsid w:val="00CE59E1"/>
    <w:rsid w:val="00CE5AB4"/>
    <w:rsid w:val="00CE6162"/>
    <w:rsid w:val="00CE69C5"/>
    <w:rsid w:val="00CE7126"/>
    <w:rsid w:val="00CE7D8A"/>
    <w:rsid w:val="00CF1127"/>
    <w:rsid w:val="00CF1B0D"/>
    <w:rsid w:val="00CF20B3"/>
    <w:rsid w:val="00CF3F71"/>
    <w:rsid w:val="00CF469F"/>
    <w:rsid w:val="00CF4AAA"/>
    <w:rsid w:val="00CF4BE2"/>
    <w:rsid w:val="00CF503E"/>
    <w:rsid w:val="00CF6978"/>
    <w:rsid w:val="00CF6B90"/>
    <w:rsid w:val="00CF6E4A"/>
    <w:rsid w:val="00CF7032"/>
    <w:rsid w:val="00D00CAF"/>
    <w:rsid w:val="00D01B49"/>
    <w:rsid w:val="00D02FD4"/>
    <w:rsid w:val="00D0301A"/>
    <w:rsid w:val="00D03C09"/>
    <w:rsid w:val="00D03CD0"/>
    <w:rsid w:val="00D0461E"/>
    <w:rsid w:val="00D04C8E"/>
    <w:rsid w:val="00D0506B"/>
    <w:rsid w:val="00D05171"/>
    <w:rsid w:val="00D059D1"/>
    <w:rsid w:val="00D05E5B"/>
    <w:rsid w:val="00D06707"/>
    <w:rsid w:val="00D06753"/>
    <w:rsid w:val="00D07833"/>
    <w:rsid w:val="00D114D4"/>
    <w:rsid w:val="00D1152E"/>
    <w:rsid w:val="00D116BF"/>
    <w:rsid w:val="00D12CC8"/>
    <w:rsid w:val="00D143A6"/>
    <w:rsid w:val="00D146FE"/>
    <w:rsid w:val="00D14A09"/>
    <w:rsid w:val="00D150DC"/>
    <w:rsid w:val="00D16B72"/>
    <w:rsid w:val="00D1710B"/>
    <w:rsid w:val="00D1779B"/>
    <w:rsid w:val="00D17C07"/>
    <w:rsid w:val="00D20F98"/>
    <w:rsid w:val="00D210B8"/>
    <w:rsid w:val="00D21A1D"/>
    <w:rsid w:val="00D22B1C"/>
    <w:rsid w:val="00D2302C"/>
    <w:rsid w:val="00D2384D"/>
    <w:rsid w:val="00D23C00"/>
    <w:rsid w:val="00D247DF"/>
    <w:rsid w:val="00D25A5E"/>
    <w:rsid w:val="00D25C68"/>
    <w:rsid w:val="00D26F4B"/>
    <w:rsid w:val="00D27ADD"/>
    <w:rsid w:val="00D30F67"/>
    <w:rsid w:val="00D311FF"/>
    <w:rsid w:val="00D32057"/>
    <w:rsid w:val="00D3226E"/>
    <w:rsid w:val="00D335DA"/>
    <w:rsid w:val="00D346E8"/>
    <w:rsid w:val="00D34A61"/>
    <w:rsid w:val="00D363E3"/>
    <w:rsid w:val="00D36708"/>
    <w:rsid w:val="00D36ED3"/>
    <w:rsid w:val="00D36F30"/>
    <w:rsid w:val="00D36F37"/>
    <w:rsid w:val="00D37326"/>
    <w:rsid w:val="00D37775"/>
    <w:rsid w:val="00D40C83"/>
    <w:rsid w:val="00D4168D"/>
    <w:rsid w:val="00D416DC"/>
    <w:rsid w:val="00D41EE8"/>
    <w:rsid w:val="00D42262"/>
    <w:rsid w:val="00D425C1"/>
    <w:rsid w:val="00D42CDA"/>
    <w:rsid w:val="00D43041"/>
    <w:rsid w:val="00D43877"/>
    <w:rsid w:val="00D43E70"/>
    <w:rsid w:val="00D44368"/>
    <w:rsid w:val="00D44754"/>
    <w:rsid w:val="00D45727"/>
    <w:rsid w:val="00D46A11"/>
    <w:rsid w:val="00D50100"/>
    <w:rsid w:val="00D50F2B"/>
    <w:rsid w:val="00D5237F"/>
    <w:rsid w:val="00D53F37"/>
    <w:rsid w:val="00D54F73"/>
    <w:rsid w:val="00D55238"/>
    <w:rsid w:val="00D5636F"/>
    <w:rsid w:val="00D566C6"/>
    <w:rsid w:val="00D569B1"/>
    <w:rsid w:val="00D56A68"/>
    <w:rsid w:val="00D57064"/>
    <w:rsid w:val="00D571FB"/>
    <w:rsid w:val="00D57613"/>
    <w:rsid w:val="00D57C65"/>
    <w:rsid w:val="00D57E20"/>
    <w:rsid w:val="00D6035F"/>
    <w:rsid w:val="00D606D5"/>
    <w:rsid w:val="00D61E59"/>
    <w:rsid w:val="00D621C1"/>
    <w:rsid w:val="00D62C3A"/>
    <w:rsid w:val="00D6312F"/>
    <w:rsid w:val="00D63E54"/>
    <w:rsid w:val="00D6449C"/>
    <w:rsid w:val="00D6564F"/>
    <w:rsid w:val="00D657EA"/>
    <w:rsid w:val="00D65B48"/>
    <w:rsid w:val="00D66FF8"/>
    <w:rsid w:val="00D678A8"/>
    <w:rsid w:val="00D7179B"/>
    <w:rsid w:val="00D72070"/>
    <w:rsid w:val="00D7278A"/>
    <w:rsid w:val="00D73249"/>
    <w:rsid w:val="00D733B4"/>
    <w:rsid w:val="00D734B5"/>
    <w:rsid w:val="00D73689"/>
    <w:rsid w:val="00D75143"/>
    <w:rsid w:val="00D751DB"/>
    <w:rsid w:val="00D754F3"/>
    <w:rsid w:val="00D755A8"/>
    <w:rsid w:val="00D76307"/>
    <w:rsid w:val="00D7680D"/>
    <w:rsid w:val="00D76A9A"/>
    <w:rsid w:val="00D76BC9"/>
    <w:rsid w:val="00D77DA2"/>
    <w:rsid w:val="00D80876"/>
    <w:rsid w:val="00D80906"/>
    <w:rsid w:val="00D8140B"/>
    <w:rsid w:val="00D81550"/>
    <w:rsid w:val="00D8179B"/>
    <w:rsid w:val="00D82131"/>
    <w:rsid w:val="00D82147"/>
    <w:rsid w:val="00D835A0"/>
    <w:rsid w:val="00D83632"/>
    <w:rsid w:val="00D83C9A"/>
    <w:rsid w:val="00D8447A"/>
    <w:rsid w:val="00D84ED6"/>
    <w:rsid w:val="00D84F9B"/>
    <w:rsid w:val="00D85628"/>
    <w:rsid w:val="00D85EDE"/>
    <w:rsid w:val="00D86163"/>
    <w:rsid w:val="00D866A2"/>
    <w:rsid w:val="00D86CDD"/>
    <w:rsid w:val="00D877B1"/>
    <w:rsid w:val="00D87A6E"/>
    <w:rsid w:val="00D87BEE"/>
    <w:rsid w:val="00D911CB"/>
    <w:rsid w:val="00D930D7"/>
    <w:rsid w:val="00D93398"/>
    <w:rsid w:val="00D93A26"/>
    <w:rsid w:val="00D941C4"/>
    <w:rsid w:val="00D94BC1"/>
    <w:rsid w:val="00D9544F"/>
    <w:rsid w:val="00D95C5F"/>
    <w:rsid w:val="00D95F5D"/>
    <w:rsid w:val="00D96ECA"/>
    <w:rsid w:val="00DA017D"/>
    <w:rsid w:val="00DA02E6"/>
    <w:rsid w:val="00DA14EE"/>
    <w:rsid w:val="00DA3850"/>
    <w:rsid w:val="00DA3946"/>
    <w:rsid w:val="00DA4A81"/>
    <w:rsid w:val="00DA5356"/>
    <w:rsid w:val="00DA5D39"/>
    <w:rsid w:val="00DA77FF"/>
    <w:rsid w:val="00DB0D74"/>
    <w:rsid w:val="00DB136A"/>
    <w:rsid w:val="00DB138C"/>
    <w:rsid w:val="00DB5E15"/>
    <w:rsid w:val="00DB69A0"/>
    <w:rsid w:val="00DB767E"/>
    <w:rsid w:val="00DB7A0E"/>
    <w:rsid w:val="00DB7FB2"/>
    <w:rsid w:val="00DC0035"/>
    <w:rsid w:val="00DC0647"/>
    <w:rsid w:val="00DC1C40"/>
    <w:rsid w:val="00DC2AD9"/>
    <w:rsid w:val="00DC2AEE"/>
    <w:rsid w:val="00DC2E85"/>
    <w:rsid w:val="00DC30C5"/>
    <w:rsid w:val="00DC34CB"/>
    <w:rsid w:val="00DC3A3E"/>
    <w:rsid w:val="00DC628E"/>
    <w:rsid w:val="00DC6422"/>
    <w:rsid w:val="00DC7373"/>
    <w:rsid w:val="00DC764B"/>
    <w:rsid w:val="00DC78BE"/>
    <w:rsid w:val="00DC78EC"/>
    <w:rsid w:val="00DD0D17"/>
    <w:rsid w:val="00DD13AB"/>
    <w:rsid w:val="00DD14B7"/>
    <w:rsid w:val="00DD22A5"/>
    <w:rsid w:val="00DD299A"/>
    <w:rsid w:val="00DD38B7"/>
    <w:rsid w:val="00DD3A87"/>
    <w:rsid w:val="00DD40A3"/>
    <w:rsid w:val="00DD4134"/>
    <w:rsid w:val="00DD4B2B"/>
    <w:rsid w:val="00DD4F9E"/>
    <w:rsid w:val="00DD57F7"/>
    <w:rsid w:val="00DD60E4"/>
    <w:rsid w:val="00DD7BD4"/>
    <w:rsid w:val="00DE0422"/>
    <w:rsid w:val="00DE09AF"/>
    <w:rsid w:val="00DE0B10"/>
    <w:rsid w:val="00DE11B0"/>
    <w:rsid w:val="00DE142A"/>
    <w:rsid w:val="00DE20B3"/>
    <w:rsid w:val="00DE2CD8"/>
    <w:rsid w:val="00DE3725"/>
    <w:rsid w:val="00DE4049"/>
    <w:rsid w:val="00DE4D6B"/>
    <w:rsid w:val="00DE6533"/>
    <w:rsid w:val="00DE6884"/>
    <w:rsid w:val="00DE68BB"/>
    <w:rsid w:val="00DE7347"/>
    <w:rsid w:val="00DE7D1D"/>
    <w:rsid w:val="00DF0B3A"/>
    <w:rsid w:val="00DF132D"/>
    <w:rsid w:val="00DF1866"/>
    <w:rsid w:val="00DF189A"/>
    <w:rsid w:val="00DF1C00"/>
    <w:rsid w:val="00DF2803"/>
    <w:rsid w:val="00DF2A13"/>
    <w:rsid w:val="00DF2CB1"/>
    <w:rsid w:val="00DF361F"/>
    <w:rsid w:val="00DF391B"/>
    <w:rsid w:val="00DF3D10"/>
    <w:rsid w:val="00DF41F4"/>
    <w:rsid w:val="00DF4A2A"/>
    <w:rsid w:val="00DF4DE1"/>
    <w:rsid w:val="00DF5201"/>
    <w:rsid w:val="00DF5BA7"/>
    <w:rsid w:val="00DF7910"/>
    <w:rsid w:val="00E00AA1"/>
    <w:rsid w:val="00E01B37"/>
    <w:rsid w:val="00E01B63"/>
    <w:rsid w:val="00E01B7B"/>
    <w:rsid w:val="00E033AA"/>
    <w:rsid w:val="00E05A09"/>
    <w:rsid w:val="00E05C66"/>
    <w:rsid w:val="00E06D57"/>
    <w:rsid w:val="00E07FFE"/>
    <w:rsid w:val="00E10FFD"/>
    <w:rsid w:val="00E135B9"/>
    <w:rsid w:val="00E13C5C"/>
    <w:rsid w:val="00E13F0D"/>
    <w:rsid w:val="00E14442"/>
    <w:rsid w:val="00E1488A"/>
    <w:rsid w:val="00E15A6D"/>
    <w:rsid w:val="00E161A2"/>
    <w:rsid w:val="00E17436"/>
    <w:rsid w:val="00E20CD5"/>
    <w:rsid w:val="00E21678"/>
    <w:rsid w:val="00E21F0F"/>
    <w:rsid w:val="00E21FE5"/>
    <w:rsid w:val="00E22BE1"/>
    <w:rsid w:val="00E22E6B"/>
    <w:rsid w:val="00E23BD6"/>
    <w:rsid w:val="00E24AB0"/>
    <w:rsid w:val="00E25440"/>
    <w:rsid w:val="00E26638"/>
    <w:rsid w:val="00E26A27"/>
    <w:rsid w:val="00E26D70"/>
    <w:rsid w:val="00E30A7C"/>
    <w:rsid w:val="00E30F29"/>
    <w:rsid w:val="00E318EF"/>
    <w:rsid w:val="00E3199B"/>
    <w:rsid w:val="00E31D97"/>
    <w:rsid w:val="00E324CF"/>
    <w:rsid w:val="00E33B8C"/>
    <w:rsid w:val="00E3416B"/>
    <w:rsid w:val="00E360EB"/>
    <w:rsid w:val="00E361FB"/>
    <w:rsid w:val="00E36DA9"/>
    <w:rsid w:val="00E36FFA"/>
    <w:rsid w:val="00E37023"/>
    <w:rsid w:val="00E370A4"/>
    <w:rsid w:val="00E37886"/>
    <w:rsid w:val="00E37CCB"/>
    <w:rsid w:val="00E37DA1"/>
    <w:rsid w:val="00E4040C"/>
    <w:rsid w:val="00E40741"/>
    <w:rsid w:val="00E41EBD"/>
    <w:rsid w:val="00E427C0"/>
    <w:rsid w:val="00E428E7"/>
    <w:rsid w:val="00E43116"/>
    <w:rsid w:val="00E434DC"/>
    <w:rsid w:val="00E440E6"/>
    <w:rsid w:val="00E45304"/>
    <w:rsid w:val="00E45B5E"/>
    <w:rsid w:val="00E45DB4"/>
    <w:rsid w:val="00E45E22"/>
    <w:rsid w:val="00E463FF"/>
    <w:rsid w:val="00E47CEC"/>
    <w:rsid w:val="00E47DC3"/>
    <w:rsid w:val="00E51F50"/>
    <w:rsid w:val="00E52454"/>
    <w:rsid w:val="00E52BD6"/>
    <w:rsid w:val="00E53382"/>
    <w:rsid w:val="00E54037"/>
    <w:rsid w:val="00E54793"/>
    <w:rsid w:val="00E54DCF"/>
    <w:rsid w:val="00E55662"/>
    <w:rsid w:val="00E5618A"/>
    <w:rsid w:val="00E5773F"/>
    <w:rsid w:val="00E577DB"/>
    <w:rsid w:val="00E602E2"/>
    <w:rsid w:val="00E61042"/>
    <w:rsid w:val="00E61A6B"/>
    <w:rsid w:val="00E61DDC"/>
    <w:rsid w:val="00E6232D"/>
    <w:rsid w:val="00E62D58"/>
    <w:rsid w:val="00E638A7"/>
    <w:rsid w:val="00E64EFA"/>
    <w:rsid w:val="00E655A7"/>
    <w:rsid w:val="00E66B72"/>
    <w:rsid w:val="00E6737F"/>
    <w:rsid w:val="00E6746D"/>
    <w:rsid w:val="00E679F6"/>
    <w:rsid w:val="00E70993"/>
    <w:rsid w:val="00E70C59"/>
    <w:rsid w:val="00E70D9F"/>
    <w:rsid w:val="00E7115A"/>
    <w:rsid w:val="00E727EB"/>
    <w:rsid w:val="00E72D87"/>
    <w:rsid w:val="00E7311F"/>
    <w:rsid w:val="00E7331A"/>
    <w:rsid w:val="00E738B0"/>
    <w:rsid w:val="00E73E27"/>
    <w:rsid w:val="00E73EB4"/>
    <w:rsid w:val="00E73F4B"/>
    <w:rsid w:val="00E7536E"/>
    <w:rsid w:val="00E75906"/>
    <w:rsid w:val="00E76365"/>
    <w:rsid w:val="00E765DD"/>
    <w:rsid w:val="00E774B1"/>
    <w:rsid w:val="00E77559"/>
    <w:rsid w:val="00E77CE1"/>
    <w:rsid w:val="00E80AC1"/>
    <w:rsid w:val="00E80FAA"/>
    <w:rsid w:val="00E81AC6"/>
    <w:rsid w:val="00E81F17"/>
    <w:rsid w:val="00E82A24"/>
    <w:rsid w:val="00E82F7A"/>
    <w:rsid w:val="00E83448"/>
    <w:rsid w:val="00E83D75"/>
    <w:rsid w:val="00E848E8"/>
    <w:rsid w:val="00E84D45"/>
    <w:rsid w:val="00E8580B"/>
    <w:rsid w:val="00E8690F"/>
    <w:rsid w:val="00E90188"/>
    <w:rsid w:val="00E9055E"/>
    <w:rsid w:val="00E905F8"/>
    <w:rsid w:val="00E91AA7"/>
    <w:rsid w:val="00E923EA"/>
    <w:rsid w:val="00E935AA"/>
    <w:rsid w:val="00E93F43"/>
    <w:rsid w:val="00E94B7C"/>
    <w:rsid w:val="00E959E9"/>
    <w:rsid w:val="00E959F2"/>
    <w:rsid w:val="00E96962"/>
    <w:rsid w:val="00E9728E"/>
    <w:rsid w:val="00E97FE0"/>
    <w:rsid w:val="00EA01C6"/>
    <w:rsid w:val="00EA1A6E"/>
    <w:rsid w:val="00EA2ABF"/>
    <w:rsid w:val="00EA3215"/>
    <w:rsid w:val="00EA33E9"/>
    <w:rsid w:val="00EA347B"/>
    <w:rsid w:val="00EA3A03"/>
    <w:rsid w:val="00EA44D6"/>
    <w:rsid w:val="00EA521D"/>
    <w:rsid w:val="00EA552D"/>
    <w:rsid w:val="00EA55C5"/>
    <w:rsid w:val="00EA5872"/>
    <w:rsid w:val="00EA6210"/>
    <w:rsid w:val="00EA71D2"/>
    <w:rsid w:val="00EA727E"/>
    <w:rsid w:val="00EB04EB"/>
    <w:rsid w:val="00EB1C45"/>
    <w:rsid w:val="00EB1C66"/>
    <w:rsid w:val="00EB2A28"/>
    <w:rsid w:val="00EB45BE"/>
    <w:rsid w:val="00EB4A7B"/>
    <w:rsid w:val="00EB670C"/>
    <w:rsid w:val="00EB6CFD"/>
    <w:rsid w:val="00EC04DD"/>
    <w:rsid w:val="00EC1889"/>
    <w:rsid w:val="00EC1DA6"/>
    <w:rsid w:val="00EC2693"/>
    <w:rsid w:val="00EC3088"/>
    <w:rsid w:val="00EC31A9"/>
    <w:rsid w:val="00EC3AE7"/>
    <w:rsid w:val="00EC4ACB"/>
    <w:rsid w:val="00EC55AF"/>
    <w:rsid w:val="00EC6C4F"/>
    <w:rsid w:val="00EC79E6"/>
    <w:rsid w:val="00EC7BA1"/>
    <w:rsid w:val="00ED0E56"/>
    <w:rsid w:val="00ED21BF"/>
    <w:rsid w:val="00ED21DE"/>
    <w:rsid w:val="00ED38F3"/>
    <w:rsid w:val="00ED3CCB"/>
    <w:rsid w:val="00ED59E9"/>
    <w:rsid w:val="00ED5BB9"/>
    <w:rsid w:val="00ED67A3"/>
    <w:rsid w:val="00ED6F9E"/>
    <w:rsid w:val="00ED743E"/>
    <w:rsid w:val="00ED749C"/>
    <w:rsid w:val="00EE06F0"/>
    <w:rsid w:val="00EE0EBF"/>
    <w:rsid w:val="00EE123D"/>
    <w:rsid w:val="00EE28F3"/>
    <w:rsid w:val="00EE2B25"/>
    <w:rsid w:val="00EE33DF"/>
    <w:rsid w:val="00EE4610"/>
    <w:rsid w:val="00EE585D"/>
    <w:rsid w:val="00EE5EA5"/>
    <w:rsid w:val="00EE62CF"/>
    <w:rsid w:val="00EE674C"/>
    <w:rsid w:val="00EE6757"/>
    <w:rsid w:val="00EE6B14"/>
    <w:rsid w:val="00EE7205"/>
    <w:rsid w:val="00EE7AA6"/>
    <w:rsid w:val="00EF0637"/>
    <w:rsid w:val="00EF1F06"/>
    <w:rsid w:val="00EF2642"/>
    <w:rsid w:val="00EF3104"/>
    <w:rsid w:val="00EF31D0"/>
    <w:rsid w:val="00EF328C"/>
    <w:rsid w:val="00EF3F68"/>
    <w:rsid w:val="00EF3F7F"/>
    <w:rsid w:val="00EF4A63"/>
    <w:rsid w:val="00EF52AB"/>
    <w:rsid w:val="00EF5884"/>
    <w:rsid w:val="00EF5E1C"/>
    <w:rsid w:val="00EF62E0"/>
    <w:rsid w:val="00EF77DE"/>
    <w:rsid w:val="00EF7CC0"/>
    <w:rsid w:val="00F00307"/>
    <w:rsid w:val="00F0115A"/>
    <w:rsid w:val="00F01BB0"/>
    <w:rsid w:val="00F0232C"/>
    <w:rsid w:val="00F05707"/>
    <w:rsid w:val="00F05981"/>
    <w:rsid w:val="00F070FD"/>
    <w:rsid w:val="00F07C33"/>
    <w:rsid w:val="00F10307"/>
    <w:rsid w:val="00F10B68"/>
    <w:rsid w:val="00F11420"/>
    <w:rsid w:val="00F11AAE"/>
    <w:rsid w:val="00F1217A"/>
    <w:rsid w:val="00F12843"/>
    <w:rsid w:val="00F12A29"/>
    <w:rsid w:val="00F131B3"/>
    <w:rsid w:val="00F14838"/>
    <w:rsid w:val="00F152CA"/>
    <w:rsid w:val="00F15AA1"/>
    <w:rsid w:val="00F16A23"/>
    <w:rsid w:val="00F16F65"/>
    <w:rsid w:val="00F22586"/>
    <w:rsid w:val="00F22D72"/>
    <w:rsid w:val="00F23DA9"/>
    <w:rsid w:val="00F24562"/>
    <w:rsid w:val="00F24972"/>
    <w:rsid w:val="00F25E5B"/>
    <w:rsid w:val="00F2621F"/>
    <w:rsid w:val="00F26C71"/>
    <w:rsid w:val="00F27921"/>
    <w:rsid w:val="00F27AA1"/>
    <w:rsid w:val="00F300BA"/>
    <w:rsid w:val="00F306D9"/>
    <w:rsid w:val="00F3163E"/>
    <w:rsid w:val="00F31B72"/>
    <w:rsid w:val="00F32B01"/>
    <w:rsid w:val="00F32EA6"/>
    <w:rsid w:val="00F33274"/>
    <w:rsid w:val="00F3367D"/>
    <w:rsid w:val="00F34415"/>
    <w:rsid w:val="00F34A55"/>
    <w:rsid w:val="00F35114"/>
    <w:rsid w:val="00F353B4"/>
    <w:rsid w:val="00F359A9"/>
    <w:rsid w:val="00F3702F"/>
    <w:rsid w:val="00F4010C"/>
    <w:rsid w:val="00F4038C"/>
    <w:rsid w:val="00F405F1"/>
    <w:rsid w:val="00F40833"/>
    <w:rsid w:val="00F417B6"/>
    <w:rsid w:val="00F41AA8"/>
    <w:rsid w:val="00F439AA"/>
    <w:rsid w:val="00F44515"/>
    <w:rsid w:val="00F44BAE"/>
    <w:rsid w:val="00F454C0"/>
    <w:rsid w:val="00F45697"/>
    <w:rsid w:val="00F45B9A"/>
    <w:rsid w:val="00F45C7E"/>
    <w:rsid w:val="00F465EF"/>
    <w:rsid w:val="00F47D57"/>
    <w:rsid w:val="00F5086D"/>
    <w:rsid w:val="00F50F65"/>
    <w:rsid w:val="00F52024"/>
    <w:rsid w:val="00F53B37"/>
    <w:rsid w:val="00F54D5A"/>
    <w:rsid w:val="00F55FD4"/>
    <w:rsid w:val="00F560F0"/>
    <w:rsid w:val="00F56CB2"/>
    <w:rsid w:val="00F57061"/>
    <w:rsid w:val="00F576EA"/>
    <w:rsid w:val="00F57AB4"/>
    <w:rsid w:val="00F57D04"/>
    <w:rsid w:val="00F606D1"/>
    <w:rsid w:val="00F60F10"/>
    <w:rsid w:val="00F6105D"/>
    <w:rsid w:val="00F62003"/>
    <w:rsid w:val="00F62E37"/>
    <w:rsid w:val="00F63813"/>
    <w:rsid w:val="00F6433E"/>
    <w:rsid w:val="00F64827"/>
    <w:rsid w:val="00F64901"/>
    <w:rsid w:val="00F6512F"/>
    <w:rsid w:val="00F6527F"/>
    <w:rsid w:val="00F6528D"/>
    <w:rsid w:val="00F65B26"/>
    <w:rsid w:val="00F65C25"/>
    <w:rsid w:val="00F65F76"/>
    <w:rsid w:val="00F65FB6"/>
    <w:rsid w:val="00F661DA"/>
    <w:rsid w:val="00F67122"/>
    <w:rsid w:val="00F67387"/>
    <w:rsid w:val="00F6787C"/>
    <w:rsid w:val="00F679A6"/>
    <w:rsid w:val="00F706D0"/>
    <w:rsid w:val="00F70AD7"/>
    <w:rsid w:val="00F70BE7"/>
    <w:rsid w:val="00F70BED"/>
    <w:rsid w:val="00F719F1"/>
    <w:rsid w:val="00F71AA4"/>
    <w:rsid w:val="00F71F57"/>
    <w:rsid w:val="00F745E9"/>
    <w:rsid w:val="00F74AF5"/>
    <w:rsid w:val="00F74B73"/>
    <w:rsid w:val="00F75B9E"/>
    <w:rsid w:val="00F768B8"/>
    <w:rsid w:val="00F773CA"/>
    <w:rsid w:val="00F809DD"/>
    <w:rsid w:val="00F80A8D"/>
    <w:rsid w:val="00F81147"/>
    <w:rsid w:val="00F81F53"/>
    <w:rsid w:val="00F8280F"/>
    <w:rsid w:val="00F82CB2"/>
    <w:rsid w:val="00F83A3B"/>
    <w:rsid w:val="00F83D04"/>
    <w:rsid w:val="00F8412C"/>
    <w:rsid w:val="00F84C57"/>
    <w:rsid w:val="00F84D5E"/>
    <w:rsid w:val="00F85714"/>
    <w:rsid w:val="00F85749"/>
    <w:rsid w:val="00F85D4B"/>
    <w:rsid w:val="00F8683A"/>
    <w:rsid w:val="00F8790B"/>
    <w:rsid w:val="00F90620"/>
    <w:rsid w:val="00F90754"/>
    <w:rsid w:val="00F91CE9"/>
    <w:rsid w:val="00F92BCC"/>
    <w:rsid w:val="00F92F00"/>
    <w:rsid w:val="00F95FEC"/>
    <w:rsid w:val="00F960D0"/>
    <w:rsid w:val="00F96240"/>
    <w:rsid w:val="00FA12D0"/>
    <w:rsid w:val="00FA1463"/>
    <w:rsid w:val="00FA15AE"/>
    <w:rsid w:val="00FA1782"/>
    <w:rsid w:val="00FA1D16"/>
    <w:rsid w:val="00FA2DC7"/>
    <w:rsid w:val="00FA3AE9"/>
    <w:rsid w:val="00FA3EE1"/>
    <w:rsid w:val="00FA42A4"/>
    <w:rsid w:val="00FA5E7B"/>
    <w:rsid w:val="00FA615F"/>
    <w:rsid w:val="00FA6665"/>
    <w:rsid w:val="00FA6A26"/>
    <w:rsid w:val="00FA6DF1"/>
    <w:rsid w:val="00FA739F"/>
    <w:rsid w:val="00FA751C"/>
    <w:rsid w:val="00FB09BD"/>
    <w:rsid w:val="00FB0A86"/>
    <w:rsid w:val="00FB179C"/>
    <w:rsid w:val="00FB24D4"/>
    <w:rsid w:val="00FB31F0"/>
    <w:rsid w:val="00FB3F81"/>
    <w:rsid w:val="00FB4308"/>
    <w:rsid w:val="00FB4D11"/>
    <w:rsid w:val="00FB5030"/>
    <w:rsid w:val="00FB5945"/>
    <w:rsid w:val="00FB6AF3"/>
    <w:rsid w:val="00FB7E10"/>
    <w:rsid w:val="00FC00EA"/>
    <w:rsid w:val="00FC068F"/>
    <w:rsid w:val="00FC0AAA"/>
    <w:rsid w:val="00FC3481"/>
    <w:rsid w:val="00FC3956"/>
    <w:rsid w:val="00FC430D"/>
    <w:rsid w:val="00FC4A29"/>
    <w:rsid w:val="00FC5538"/>
    <w:rsid w:val="00FC728A"/>
    <w:rsid w:val="00FC7FE4"/>
    <w:rsid w:val="00FD00BD"/>
    <w:rsid w:val="00FD046B"/>
    <w:rsid w:val="00FD0779"/>
    <w:rsid w:val="00FD0F4F"/>
    <w:rsid w:val="00FD0FCE"/>
    <w:rsid w:val="00FD167A"/>
    <w:rsid w:val="00FD2613"/>
    <w:rsid w:val="00FD265C"/>
    <w:rsid w:val="00FD2B20"/>
    <w:rsid w:val="00FD311C"/>
    <w:rsid w:val="00FD3454"/>
    <w:rsid w:val="00FD3631"/>
    <w:rsid w:val="00FD4B97"/>
    <w:rsid w:val="00FD581C"/>
    <w:rsid w:val="00FE0A15"/>
    <w:rsid w:val="00FE1219"/>
    <w:rsid w:val="00FE17A3"/>
    <w:rsid w:val="00FE1DEF"/>
    <w:rsid w:val="00FE25A3"/>
    <w:rsid w:val="00FE268C"/>
    <w:rsid w:val="00FE2981"/>
    <w:rsid w:val="00FE2CFC"/>
    <w:rsid w:val="00FE4077"/>
    <w:rsid w:val="00FE5536"/>
    <w:rsid w:val="00FE5A6B"/>
    <w:rsid w:val="00FE64A7"/>
    <w:rsid w:val="00FE693C"/>
    <w:rsid w:val="00FE6D2E"/>
    <w:rsid w:val="00FE753D"/>
    <w:rsid w:val="00FE75A2"/>
    <w:rsid w:val="00FE77DD"/>
    <w:rsid w:val="00FF1AA4"/>
    <w:rsid w:val="00FF294B"/>
    <w:rsid w:val="00FF2E48"/>
    <w:rsid w:val="00FF2E73"/>
    <w:rsid w:val="00FF32E6"/>
    <w:rsid w:val="00FF3724"/>
    <w:rsid w:val="00FF3D76"/>
    <w:rsid w:val="00FF4864"/>
    <w:rsid w:val="00FF4FC1"/>
    <w:rsid w:val="00FF4FE1"/>
    <w:rsid w:val="00FF5632"/>
    <w:rsid w:val="00FF586D"/>
    <w:rsid w:val="00FF604E"/>
    <w:rsid w:val="00FF6F3C"/>
    <w:rsid w:val="00FF71D6"/>
    <w:rsid w:val="00FF7810"/>
    <w:rsid w:val="00FF7855"/>
    <w:rsid w:val="00FF7C6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7B08965"/>
  <w15:docId w15:val="{16EAB9F1-AF0B-46A1-9A52-690375A7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748"/>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775B9B"/>
    <w:pPr>
      <w:pBdr>
        <w:bottom w:val="single" w:sz="4" w:space="14" w:color="1F497D" w:themeColor="text2"/>
      </w:pBdr>
      <w:spacing w:after="480"/>
      <w:outlineLvl w:val="0"/>
    </w:pPr>
    <w:rPr>
      <w:rFonts w:ascii="Calibri" w:hAnsi="Calibri" w:cs="Arial"/>
      <w:b/>
      <w:bCs/>
      <w:caps/>
      <w:color w:val="1F497D" w:themeColor="text2"/>
      <w:kern w:val="32"/>
      <w:sz w:val="44"/>
      <w:szCs w:val="36"/>
    </w:rPr>
  </w:style>
  <w:style w:type="paragraph" w:styleId="Heading2">
    <w:name w:val="heading 2"/>
    <w:basedOn w:val="HeadingBase"/>
    <w:next w:val="Normal"/>
    <w:link w:val="Heading2Char"/>
    <w:qFormat/>
    <w:rsid w:val="0050032F"/>
    <w:pPr>
      <w:spacing w:before="240" w:after="180"/>
      <w:outlineLvl w:val="1"/>
    </w:pPr>
    <w:rPr>
      <w:rFonts w:ascii="Calibri" w:hAnsi="Calibri" w:cs="Arial"/>
      <w:b/>
      <w:bCs/>
      <w:iCs/>
      <w:smallCaps/>
      <w:color w:val="1F497D" w:themeColor="text2"/>
      <w:sz w:val="32"/>
      <w:szCs w:val="28"/>
    </w:rPr>
  </w:style>
  <w:style w:type="paragraph" w:styleId="Heading3">
    <w:name w:val="heading 3"/>
    <w:basedOn w:val="HeadingBase"/>
    <w:next w:val="Normal"/>
    <w:link w:val="Heading3Char"/>
    <w:qFormat/>
    <w:rsid w:val="009747B9"/>
    <w:pPr>
      <w:spacing w:before="300" w:after="240"/>
      <w:outlineLvl w:val="2"/>
    </w:pPr>
    <w:rPr>
      <w:rFonts w:ascii="Calibri" w:hAnsi="Calibri" w:cs="Arial"/>
      <w:b/>
      <w:bCs/>
      <w:color w:val="1F497D" w:themeColor="text2"/>
      <w:sz w:val="29"/>
      <w:szCs w:val="29"/>
    </w:rPr>
  </w:style>
  <w:style w:type="paragraph" w:styleId="Heading4">
    <w:name w:val="heading 4"/>
    <w:basedOn w:val="HeadingBase"/>
    <w:next w:val="Normal"/>
    <w:link w:val="Heading4Char"/>
    <w:qFormat/>
    <w:rsid w:val="001F342D"/>
    <w:pPr>
      <w:spacing w:before="120" w:after="120"/>
      <w:outlineLvl w:val="3"/>
    </w:pPr>
    <w:rPr>
      <w:b/>
      <w:bCs/>
      <w:i/>
      <w:sz w:val="22"/>
      <w:szCs w:val="22"/>
    </w:rPr>
  </w:style>
  <w:style w:type="paragraph" w:styleId="Heading5">
    <w:name w:val="heading 5"/>
    <w:basedOn w:val="HeadingBase"/>
    <w:next w:val="Normal"/>
    <w:link w:val="Heading5Char"/>
    <w:qFormat/>
    <w:rsid w:val="001F342D"/>
    <w:pPr>
      <w:spacing w:after="120"/>
      <w:outlineLvl w:val="4"/>
    </w:pPr>
    <w:rPr>
      <w:b/>
      <w:bCs/>
      <w:iCs/>
    </w:rPr>
  </w:style>
  <w:style w:type="paragraph" w:styleId="Heading6">
    <w:name w:val="heading 6"/>
    <w:basedOn w:val="HeadingBase"/>
    <w:next w:val="Normal"/>
    <w:link w:val="Heading6Char"/>
    <w:qFormat/>
    <w:rsid w:val="001F342D"/>
    <w:pPr>
      <w:spacing w:after="120"/>
      <w:outlineLvl w:val="5"/>
    </w:pPr>
    <w:rPr>
      <w:bCs/>
      <w:szCs w:val="22"/>
    </w:rPr>
  </w:style>
  <w:style w:type="paragraph" w:styleId="Heading7">
    <w:name w:val="heading 7"/>
    <w:basedOn w:val="HeadingBase"/>
    <w:next w:val="Normal"/>
    <w:link w:val="Heading7Char"/>
    <w:qFormat/>
    <w:rsid w:val="001F342D"/>
    <w:pPr>
      <w:spacing w:after="120"/>
      <w:outlineLvl w:val="6"/>
    </w:pPr>
    <w:rPr>
      <w:szCs w:val="24"/>
    </w:rPr>
  </w:style>
  <w:style w:type="paragraph" w:styleId="Heading8">
    <w:name w:val="heading 8"/>
    <w:basedOn w:val="HeadingBase"/>
    <w:next w:val="Normal"/>
    <w:link w:val="Heading8Char"/>
    <w:qFormat/>
    <w:rsid w:val="001F342D"/>
    <w:pPr>
      <w:spacing w:after="120"/>
      <w:outlineLvl w:val="7"/>
    </w:pPr>
    <w:rPr>
      <w:iCs/>
      <w:szCs w:val="24"/>
    </w:rPr>
  </w:style>
  <w:style w:type="paragraph" w:styleId="Heading9">
    <w:name w:val="heading 9"/>
    <w:basedOn w:val="HeadingBase"/>
    <w:next w:val="Normal"/>
    <w:link w:val="Heading9Char"/>
    <w:qFormat/>
    <w:rsid w:val="001F342D"/>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Main">
    <w:name w:val="Cover Title Main"/>
    <w:basedOn w:val="HeadingBase"/>
    <w:next w:val="Normal"/>
    <w:rsid w:val="00E37CCB"/>
    <w:pPr>
      <w:keepNext w:val="0"/>
      <w:pBdr>
        <w:bottom w:val="single" w:sz="8" w:space="14" w:color="1F497D" w:themeColor="text2"/>
      </w:pBdr>
      <w:spacing w:after="720"/>
      <w:jc w:val="right"/>
    </w:pPr>
    <w:rPr>
      <w:rFonts w:ascii="Calibri" w:hAnsi="Calibri"/>
      <w:b/>
      <w:color w:val="1F497D" w:themeColor="text2"/>
      <w:sz w:val="48"/>
    </w:rPr>
  </w:style>
  <w:style w:type="paragraph" w:customStyle="1" w:styleId="FooterEven">
    <w:name w:val="Footer Even"/>
    <w:basedOn w:val="FooterOdd"/>
    <w:rsid w:val="00824115"/>
    <w:pPr>
      <w:jc w:val="left"/>
    </w:pPr>
  </w:style>
  <w:style w:type="paragraph" w:customStyle="1" w:styleId="FooterOdd">
    <w:name w:val="Footer Odd"/>
    <w:basedOn w:val="Footer"/>
    <w:rsid w:val="00824115"/>
    <w:pPr>
      <w:jc w:val="right"/>
    </w:pPr>
    <w:rPr>
      <w:rFonts w:ascii="Arial" w:hAnsi="Arial"/>
      <w:color w:val="1F497D" w:themeColor="text2"/>
      <w:sz w:val="18"/>
    </w:rPr>
  </w:style>
  <w:style w:type="paragraph" w:styleId="Header">
    <w:name w:val="header"/>
    <w:basedOn w:val="HeadingBase"/>
    <w:link w:val="HeaderChar"/>
    <w:rsid w:val="001F342D"/>
    <w:rPr>
      <w:rFonts w:asciiTheme="minorHAnsi" w:hAnsiTheme="minorHAnsi"/>
      <w:sz w:val="22"/>
    </w:rPr>
  </w:style>
  <w:style w:type="character" w:customStyle="1" w:styleId="HeaderChar">
    <w:name w:val="Header Char"/>
    <w:basedOn w:val="DefaultParagraphFont"/>
    <w:link w:val="Header"/>
    <w:rsid w:val="001F342D"/>
    <w:rPr>
      <w:rFonts w:eastAsia="Times New Roman" w:cs="Times New Roman"/>
      <w:color w:val="4F81BD" w:themeColor="accent1"/>
      <w:szCs w:val="20"/>
      <w:lang w:eastAsia="en-AU"/>
    </w:rPr>
  </w:style>
  <w:style w:type="paragraph" w:customStyle="1" w:styleId="HeaderOdd">
    <w:name w:val="Header Odd"/>
    <w:basedOn w:val="Header"/>
    <w:rsid w:val="009879BD"/>
    <w:pPr>
      <w:jc w:val="right"/>
    </w:pPr>
    <w:rPr>
      <w:rFonts w:ascii="Arial" w:hAnsi="Arial"/>
      <w:color w:val="1F497D" w:themeColor="text2"/>
      <w:sz w:val="18"/>
    </w:rPr>
  </w:style>
  <w:style w:type="paragraph" w:styleId="Footer">
    <w:name w:val="footer"/>
    <w:basedOn w:val="HeadingBase"/>
    <w:link w:val="FooterChar"/>
    <w:rsid w:val="001F342D"/>
    <w:rPr>
      <w:rFonts w:asciiTheme="minorHAnsi" w:hAnsiTheme="minorHAnsi"/>
      <w:sz w:val="22"/>
    </w:rPr>
  </w:style>
  <w:style w:type="character" w:customStyle="1" w:styleId="FooterChar">
    <w:name w:val="Footer Char"/>
    <w:basedOn w:val="DefaultParagraphFont"/>
    <w:link w:val="Footer"/>
    <w:rsid w:val="001F342D"/>
    <w:rPr>
      <w:rFonts w:eastAsia="Times New Roman" w:cs="Times New Roman"/>
      <w:color w:val="4F81BD" w:themeColor="accent1"/>
      <w:szCs w:val="20"/>
      <w:lang w:eastAsia="en-AU"/>
    </w:rPr>
  </w:style>
  <w:style w:type="character" w:styleId="Hyperlink">
    <w:name w:val="Hyperlink"/>
    <w:basedOn w:val="DefaultParagraphFont"/>
    <w:uiPriority w:val="99"/>
    <w:rsid w:val="005E5CBF"/>
    <w:rPr>
      <w:b/>
      <w:color w:val="1F497D" w:themeColor="text2"/>
      <w:u w:val="none"/>
    </w:rPr>
  </w:style>
  <w:style w:type="paragraph" w:customStyle="1" w:styleId="ChartGraphic">
    <w:name w:val="Chart Graphic"/>
    <w:basedOn w:val="HeadingBase"/>
    <w:next w:val="Normal"/>
    <w:rsid w:val="001F342D"/>
    <w:pPr>
      <w:jc w:val="center"/>
    </w:pPr>
  </w:style>
  <w:style w:type="paragraph" w:customStyle="1" w:styleId="SinglePara">
    <w:name w:val="Single Para"/>
    <w:basedOn w:val="Normal"/>
    <w:rsid w:val="00BC5F58"/>
    <w:pPr>
      <w:spacing w:after="0" w:line="240" w:lineRule="auto"/>
    </w:pPr>
    <w:rPr>
      <w:rFonts w:ascii="Times New Roman" w:hAnsi="Times New Roman"/>
      <w:sz w:val="24"/>
    </w:rPr>
  </w:style>
  <w:style w:type="paragraph" w:styleId="BalloonText">
    <w:name w:val="Balloon Text"/>
    <w:basedOn w:val="Normal"/>
    <w:link w:val="BalloonTextChar"/>
    <w:semiHidden/>
    <w:rsid w:val="001F342D"/>
    <w:rPr>
      <w:rFonts w:ascii="Tahoma" w:hAnsi="Tahoma" w:cs="Tahoma"/>
      <w:sz w:val="16"/>
      <w:szCs w:val="16"/>
    </w:rPr>
  </w:style>
  <w:style w:type="character" w:customStyle="1" w:styleId="BalloonTextChar">
    <w:name w:val="Balloon Text Char"/>
    <w:basedOn w:val="DefaultParagraphFont"/>
    <w:link w:val="BalloonText"/>
    <w:semiHidden/>
    <w:rsid w:val="001F342D"/>
    <w:rPr>
      <w:rFonts w:ascii="Tahoma" w:eastAsia="Times New Roman" w:hAnsi="Tahoma" w:cs="Tahoma"/>
      <w:sz w:val="16"/>
      <w:szCs w:val="16"/>
      <w:lang w:eastAsia="en-AU"/>
    </w:rPr>
  </w:style>
  <w:style w:type="character" w:customStyle="1" w:styleId="Heading2Char">
    <w:name w:val="Heading 2 Char"/>
    <w:basedOn w:val="DefaultParagraphFont"/>
    <w:link w:val="Heading2"/>
    <w:rsid w:val="0050032F"/>
    <w:rPr>
      <w:rFonts w:ascii="Calibri" w:eastAsia="Times New Roman" w:hAnsi="Calibri" w:cs="Arial"/>
      <w:b/>
      <w:bCs/>
      <w:iCs/>
      <w:smallCaps/>
      <w:color w:val="1F497D" w:themeColor="text2"/>
      <w:sz w:val="32"/>
      <w:szCs w:val="28"/>
      <w:lang w:eastAsia="en-AU"/>
    </w:rPr>
  </w:style>
  <w:style w:type="paragraph" w:customStyle="1" w:styleId="OutlineNumbered1">
    <w:name w:val="Outline Numbered 1"/>
    <w:basedOn w:val="Normal"/>
    <w:link w:val="OutlineNumbered1Char"/>
    <w:rsid w:val="00067902"/>
    <w:pPr>
      <w:numPr>
        <w:numId w:val="9"/>
      </w:numPr>
    </w:pPr>
  </w:style>
  <w:style w:type="character" w:customStyle="1" w:styleId="OutlineNumbered1Char">
    <w:name w:val="Outline Numbered 1 Char"/>
    <w:basedOn w:val="DefaultParagraphFont"/>
    <w:link w:val="OutlineNumbered1"/>
    <w:locked/>
    <w:rsid w:val="00067902"/>
    <w:rPr>
      <w:rFonts w:ascii="Calibri" w:eastAsia="Times New Roman" w:hAnsi="Calibri" w:cs="Times New Roman"/>
      <w:szCs w:val="20"/>
      <w:lang w:eastAsia="en-AU"/>
    </w:rPr>
  </w:style>
  <w:style w:type="paragraph" w:customStyle="1" w:styleId="OutlineNumbered2">
    <w:name w:val="Outline Numbered 2"/>
    <w:basedOn w:val="Normal"/>
    <w:rsid w:val="001F342D"/>
    <w:pPr>
      <w:numPr>
        <w:ilvl w:val="1"/>
        <w:numId w:val="9"/>
      </w:numPr>
    </w:pPr>
  </w:style>
  <w:style w:type="paragraph" w:customStyle="1" w:styleId="OutlineNumbered3">
    <w:name w:val="Outline Numbered 3"/>
    <w:basedOn w:val="Normal"/>
    <w:rsid w:val="001F342D"/>
    <w:pPr>
      <w:numPr>
        <w:ilvl w:val="2"/>
        <w:numId w:val="9"/>
      </w:numPr>
    </w:pPr>
  </w:style>
  <w:style w:type="paragraph" w:customStyle="1" w:styleId="Bullet">
    <w:name w:val="Bullet"/>
    <w:aliases w:val="b,b1,b + line,Body,level 1,Bullet + line"/>
    <w:basedOn w:val="Normal"/>
    <w:link w:val="BulletChar"/>
    <w:qFormat/>
    <w:rsid w:val="00367696"/>
    <w:pPr>
      <w:numPr>
        <w:numId w:val="1"/>
      </w:numPr>
    </w:pPr>
  </w:style>
  <w:style w:type="character" w:customStyle="1" w:styleId="BulletChar">
    <w:name w:val="Bullet Char"/>
    <w:aliases w:val="b Char,b + line Char Char,b Char Char,b1 Char,b + line Char,Body Char,level 1 Char,Bullet + line Char,Number Char,Bullets Char,L Char,List Paragraph1 Char,List Paragraph11 Char,Recommendation Char,List Paragraph2 Char,List Paragraph Char"/>
    <w:basedOn w:val="DefaultParagraphFont"/>
    <w:link w:val="Bullet"/>
    <w:qFormat/>
    <w:locked/>
    <w:rsid w:val="00367696"/>
    <w:rPr>
      <w:rFonts w:ascii="Calibri" w:eastAsia="Times New Roman" w:hAnsi="Calibri" w:cs="Times New Roman"/>
      <w:szCs w:val="20"/>
      <w:lang w:eastAsia="en-AU"/>
    </w:rPr>
  </w:style>
  <w:style w:type="paragraph" w:customStyle="1" w:styleId="Dash">
    <w:name w:val="Dash"/>
    <w:basedOn w:val="Normal"/>
    <w:link w:val="DashChar"/>
    <w:qFormat/>
    <w:rsid w:val="001F342D"/>
    <w:pPr>
      <w:numPr>
        <w:ilvl w:val="1"/>
        <w:numId w:val="1"/>
      </w:numPr>
    </w:pPr>
  </w:style>
  <w:style w:type="paragraph" w:customStyle="1" w:styleId="DoubleDot">
    <w:name w:val="Double Dot"/>
    <w:basedOn w:val="Normal"/>
    <w:qFormat/>
    <w:rsid w:val="001F342D"/>
    <w:pPr>
      <w:numPr>
        <w:ilvl w:val="2"/>
        <w:numId w:val="1"/>
      </w:numPr>
    </w:pPr>
  </w:style>
  <w:style w:type="character" w:customStyle="1" w:styleId="Heading1Char">
    <w:name w:val="Heading 1 Char"/>
    <w:basedOn w:val="DefaultParagraphFont"/>
    <w:link w:val="Heading1"/>
    <w:rsid w:val="00775B9B"/>
    <w:rPr>
      <w:rFonts w:ascii="Calibri" w:eastAsia="Times New Roman" w:hAnsi="Calibri" w:cs="Arial"/>
      <w:b/>
      <w:bCs/>
      <w:caps/>
      <w:color w:val="1F497D" w:themeColor="text2"/>
      <w:kern w:val="32"/>
      <w:sz w:val="44"/>
      <w:szCs w:val="36"/>
      <w:lang w:eastAsia="en-AU"/>
    </w:rPr>
  </w:style>
  <w:style w:type="paragraph" w:styleId="FootnoteText">
    <w:name w:val="footnote text"/>
    <w:basedOn w:val="Normal"/>
    <w:link w:val="FootnoteTextChar"/>
    <w:rsid w:val="001F342D"/>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rsid w:val="001F342D"/>
    <w:rPr>
      <w:rFonts w:eastAsia="Times New Roman" w:cs="Times New Roman"/>
      <w:sz w:val="18"/>
      <w:szCs w:val="20"/>
      <w:lang w:eastAsia="en-AU"/>
    </w:rPr>
  </w:style>
  <w:style w:type="character" w:styleId="FootnoteReference">
    <w:name w:val="footnote reference"/>
    <w:basedOn w:val="DefaultParagraphFont"/>
    <w:rsid w:val="001F342D"/>
    <w:rPr>
      <w:vertAlign w:val="superscript"/>
    </w:rPr>
  </w:style>
  <w:style w:type="paragraph" w:customStyle="1" w:styleId="Heading1noTOC">
    <w:name w:val="Heading 1 no TOC"/>
    <w:basedOn w:val="Heading1"/>
    <w:next w:val="Normal"/>
    <w:rsid w:val="00F6105D"/>
    <w:pPr>
      <w:outlineLvl w:val="9"/>
    </w:pPr>
    <w:rPr>
      <w:color w:val="003E74"/>
      <w:szCs w:val="48"/>
    </w:rPr>
  </w:style>
  <w:style w:type="paragraph" w:styleId="ListParagraph">
    <w:name w:val="List Paragraph"/>
    <w:basedOn w:val="Normal"/>
    <w:uiPriority w:val="34"/>
    <w:qFormat/>
    <w:rsid w:val="00FD2B20"/>
    <w:pPr>
      <w:ind w:left="720"/>
      <w:contextualSpacing/>
    </w:pPr>
  </w:style>
  <w:style w:type="character" w:customStyle="1" w:styleId="DashChar">
    <w:name w:val="Dash Char"/>
    <w:basedOn w:val="DefaultParagraphFont"/>
    <w:link w:val="Dash"/>
    <w:locked/>
    <w:rsid w:val="00FD2B20"/>
    <w:rPr>
      <w:rFonts w:ascii="Calibri" w:eastAsia="Times New Roman" w:hAnsi="Calibri" w:cs="Times New Roman"/>
      <w:szCs w:val="20"/>
      <w:lang w:eastAsia="en-AU"/>
    </w:rPr>
  </w:style>
  <w:style w:type="character" w:styleId="CommentReference">
    <w:name w:val="annotation reference"/>
    <w:basedOn w:val="DefaultParagraphFont"/>
    <w:semiHidden/>
    <w:rsid w:val="001F342D"/>
    <w:rPr>
      <w:sz w:val="16"/>
      <w:szCs w:val="16"/>
    </w:rPr>
  </w:style>
  <w:style w:type="paragraph" w:styleId="CommentText">
    <w:name w:val="annotation text"/>
    <w:basedOn w:val="Normal"/>
    <w:link w:val="CommentTextChar"/>
    <w:semiHidden/>
    <w:rsid w:val="001F342D"/>
  </w:style>
  <w:style w:type="character" w:customStyle="1" w:styleId="CommentTextChar">
    <w:name w:val="Comment Text Char"/>
    <w:basedOn w:val="DefaultParagraphFont"/>
    <w:link w:val="CommentText"/>
    <w:semiHidden/>
    <w:rsid w:val="001F342D"/>
    <w:rPr>
      <w:rFonts w:eastAsia="Times New Roman" w:cs="Times New Roman"/>
      <w:szCs w:val="20"/>
      <w:lang w:eastAsia="en-AU"/>
    </w:rPr>
  </w:style>
  <w:style w:type="paragraph" w:styleId="CommentSubject">
    <w:name w:val="annotation subject"/>
    <w:basedOn w:val="CommentText"/>
    <w:next w:val="CommentText"/>
    <w:link w:val="CommentSubjectChar"/>
    <w:semiHidden/>
    <w:rsid w:val="001F342D"/>
    <w:rPr>
      <w:b/>
      <w:bCs/>
    </w:rPr>
  </w:style>
  <w:style w:type="character" w:customStyle="1" w:styleId="CommentSubjectChar">
    <w:name w:val="Comment Subject Char"/>
    <w:basedOn w:val="CommentTextChar"/>
    <w:link w:val="CommentSubject"/>
    <w:semiHidden/>
    <w:rsid w:val="001F342D"/>
    <w:rPr>
      <w:rFonts w:eastAsia="Times New Roman" w:cs="Times New Roman"/>
      <w:b/>
      <w:bCs/>
      <w:szCs w:val="20"/>
      <w:lang w:eastAsia="en-AU"/>
    </w:rPr>
  </w:style>
  <w:style w:type="character" w:styleId="Emphasis">
    <w:name w:val="Emphasis"/>
    <w:basedOn w:val="DefaultParagraphFont"/>
    <w:uiPriority w:val="20"/>
    <w:qFormat/>
    <w:rsid w:val="0012006F"/>
    <w:rPr>
      <w:i/>
      <w:iCs/>
    </w:rPr>
  </w:style>
  <w:style w:type="table" w:styleId="TableGrid">
    <w:name w:val="Table Grid"/>
    <w:basedOn w:val="TableNormal"/>
    <w:rsid w:val="001F342D"/>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Default">
    <w:name w:val="Default"/>
    <w:rsid w:val="00E7311F"/>
    <w:pPr>
      <w:autoSpaceDE w:val="0"/>
      <w:autoSpaceDN w:val="0"/>
      <w:adjustRightInd w:val="0"/>
      <w:spacing w:after="0" w:line="240" w:lineRule="auto"/>
    </w:pPr>
    <w:rPr>
      <w:rFonts w:ascii="Book Antiqua" w:hAnsi="Book Antiqua" w:cs="Book Antiqua"/>
      <w:color w:val="000000"/>
      <w:sz w:val="24"/>
      <w:szCs w:val="24"/>
    </w:rPr>
  </w:style>
  <w:style w:type="paragraph" w:styleId="EndnoteText">
    <w:name w:val="endnote text"/>
    <w:basedOn w:val="Normal"/>
    <w:link w:val="EndnoteTextChar"/>
    <w:semiHidden/>
    <w:rsid w:val="001F342D"/>
  </w:style>
  <w:style w:type="character" w:customStyle="1" w:styleId="EndnoteTextChar">
    <w:name w:val="Endnote Text Char"/>
    <w:basedOn w:val="DefaultParagraphFont"/>
    <w:link w:val="EndnoteText"/>
    <w:semiHidden/>
    <w:rsid w:val="001F342D"/>
    <w:rPr>
      <w:rFonts w:eastAsia="Times New Roman" w:cs="Times New Roman"/>
      <w:szCs w:val="20"/>
      <w:lang w:eastAsia="en-AU"/>
    </w:rPr>
  </w:style>
  <w:style w:type="character" w:styleId="EndnoteReference">
    <w:name w:val="endnote reference"/>
    <w:basedOn w:val="DefaultParagraphFont"/>
    <w:semiHidden/>
    <w:rsid w:val="001F342D"/>
    <w:rPr>
      <w:vertAlign w:val="superscript"/>
    </w:rPr>
  </w:style>
  <w:style w:type="paragraph" w:customStyle="1" w:styleId="p1">
    <w:name w:val="p1"/>
    <w:basedOn w:val="Normal"/>
    <w:rsid w:val="001F0034"/>
    <w:pPr>
      <w:spacing w:after="0" w:line="240" w:lineRule="auto"/>
    </w:pPr>
    <w:rPr>
      <w:rFonts w:ascii=".SF UI Text" w:eastAsiaTheme="minorHAnsi" w:hAnsi=".SF UI Text"/>
      <w:color w:val="454545"/>
      <w:sz w:val="26"/>
      <w:szCs w:val="26"/>
    </w:rPr>
  </w:style>
  <w:style w:type="paragraph" w:customStyle="1" w:styleId="p2">
    <w:name w:val="p2"/>
    <w:basedOn w:val="Normal"/>
    <w:rsid w:val="001F0034"/>
    <w:pPr>
      <w:spacing w:after="0" w:line="240" w:lineRule="auto"/>
    </w:pPr>
    <w:rPr>
      <w:rFonts w:ascii=".SF UI Text" w:eastAsiaTheme="minorHAnsi" w:hAnsi=".SF UI Text"/>
      <w:color w:val="454545"/>
      <w:sz w:val="26"/>
      <w:szCs w:val="26"/>
    </w:rPr>
  </w:style>
  <w:style w:type="character" w:customStyle="1" w:styleId="s1">
    <w:name w:val="s1"/>
    <w:basedOn w:val="DefaultParagraphFont"/>
    <w:rsid w:val="001F0034"/>
    <w:rPr>
      <w:rFonts w:ascii=".SFUIText" w:hAnsi=".SFUIText" w:hint="default"/>
      <w:b w:val="0"/>
      <w:bCs w:val="0"/>
      <w:i w:val="0"/>
      <w:iCs w:val="0"/>
      <w:sz w:val="34"/>
      <w:szCs w:val="34"/>
    </w:rPr>
  </w:style>
  <w:style w:type="paragraph" w:styleId="BodyText">
    <w:name w:val="Body Text"/>
    <w:link w:val="BodyTextChar"/>
    <w:qFormat/>
    <w:rsid w:val="00E738B0"/>
    <w:pPr>
      <w:spacing w:after="120"/>
      <w:jc w:val="both"/>
    </w:pPr>
    <w:rPr>
      <w:rFonts w:ascii="Calibri" w:eastAsiaTheme="minorEastAsia" w:hAnsi="Calibri"/>
      <w:sz w:val="21"/>
      <w:lang w:val="en-GB" w:eastAsia="en-GB"/>
    </w:rPr>
  </w:style>
  <w:style w:type="character" w:customStyle="1" w:styleId="BodyTextChar">
    <w:name w:val="Body Text Char"/>
    <w:basedOn w:val="DefaultParagraphFont"/>
    <w:link w:val="BodyText"/>
    <w:rsid w:val="00E738B0"/>
    <w:rPr>
      <w:rFonts w:ascii="Calibri" w:eastAsiaTheme="minorEastAsia" w:hAnsi="Calibri"/>
      <w:sz w:val="21"/>
      <w:lang w:val="en-GB" w:eastAsia="en-GB"/>
    </w:rPr>
  </w:style>
  <w:style w:type="paragraph" w:styleId="Revision">
    <w:name w:val="Revision"/>
    <w:hidden/>
    <w:uiPriority w:val="99"/>
    <w:semiHidden/>
    <w:rsid w:val="00AC1884"/>
    <w:pPr>
      <w:spacing w:after="0" w:line="240" w:lineRule="auto"/>
    </w:pPr>
    <w:rPr>
      <w:rFonts w:ascii="Book Antiqua" w:eastAsia="Times New Roman" w:hAnsi="Book Antiqua" w:cs="Times New Roman"/>
      <w:color w:val="000000"/>
      <w:sz w:val="20"/>
      <w:szCs w:val="20"/>
      <w:lang w:eastAsia="en-AU"/>
    </w:rPr>
  </w:style>
  <w:style w:type="character" w:customStyle="1" w:styleId="Heading8Char">
    <w:name w:val="Heading 8 Char"/>
    <w:basedOn w:val="DefaultParagraphFont"/>
    <w:link w:val="Heading8"/>
    <w:rsid w:val="001F342D"/>
    <w:rPr>
      <w:rFonts w:asciiTheme="majorHAnsi" w:eastAsia="Times New Roman" w:hAnsiTheme="majorHAnsi" w:cs="Times New Roman"/>
      <w:iCs/>
      <w:color w:val="4F81BD" w:themeColor="accent1"/>
      <w:sz w:val="20"/>
      <w:szCs w:val="24"/>
      <w:lang w:eastAsia="en-AU"/>
    </w:rPr>
  </w:style>
  <w:style w:type="character" w:customStyle="1" w:styleId="Heading3Char">
    <w:name w:val="Heading 3 Char"/>
    <w:basedOn w:val="DefaultParagraphFont"/>
    <w:link w:val="Heading3"/>
    <w:rsid w:val="009747B9"/>
    <w:rPr>
      <w:rFonts w:ascii="Calibri" w:eastAsia="Times New Roman" w:hAnsi="Calibri" w:cs="Arial"/>
      <w:b/>
      <w:bCs/>
      <w:color w:val="1F497D" w:themeColor="text2"/>
      <w:sz w:val="29"/>
      <w:szCs w:val="29"/>
      <w:lang w:eastAsia="en-AU"/>
    </w:rPr>
  </w:style>
  <w:style w:type="paragraph" w:styleId="NormalWeb">
    <w:name w:val="Normal (Web)"/>
    <w:basedOn w:val="Normal"/>
    <w:uiPriority w:val="99"/>
    <w:rsid w:val="001F342D"/>
    <w:pPr>
      <w:spacing w:line="312" w:lineRule="atLeast"/>
    </w:pPr>
    <w:rPr>
      <w:sz w:val="24"/>
      <w:szCs w:val="24"/>
    </w:rPr>
  </w:style>
  <w:style w:type="paragraph" w:styleId="TOCHeading">
    <w:name w:val="TOC Heading"/>
    <w:basedOn w:val="Heading1"/>
    <w:next w:val="Normal"/>
    <w:uiPriority w:val="39"/>
    <w:unhideWhenUsed/>
    <w:qFormat/>
    <w:rsid w:val="00C374CD"/>
    <w:pPr>
      <w:spacing w:line="276" w:lineRule="auto"/>
      <w:outlineLvl w:val="9"/>
    </w:pPr>
    <w:rPr>
      <w:lang w:val="en-US" w:eastAsia="ja-JP"/>
    </w:rPr>
  </w:style>
  <w:style w:type="paragraph" w:styleId="TOC2">
    <w:name w:val="toc 2"/>
    <w:basedOn w:val="HeadingBase"/>
    <w:next w:val="Normal"/>
    <w:uiPriority w:val="39"/>
    <w:rsid w:val="00695BF3"/>
    <w:pPr>
      <w:tabs>
        <w:tab w:val="right" w:leader="dot" w:pos="9072"/>
      </w:tabs>
      <w:spacing w:before="80" w:after="60"/>
      <w:ind w:left="882" w:right="804" w:hanging="655"/>
    </w:pPr>
    <w:rPr>
      <w:rFonts w:ascii="Calibri" w:hAnsi="Calibri"/>
      <w:noProof/>
      <w:color w:val="auto"/>
      <w:sz w:val="22"/>
      <w:szCs w:val="21"/>
    </w:rPr>
  </w:style>
  <w:style w:type="paragraph" w:styleId="TOC1">
    <w:name w:val="toc 1"/>
    <w:basedOn w:val="HeadingBase"/>
    <w:next w:val="Normal"/>
    <w:uiPriority w:val="39"/>
    <w:rsid w:val="00775B9B"/>
    <w:pPr>
      <w:tabs>
        <w:tab w:val="right" w:leader="dot" w:pos="9072"/>
      </w:tabs>
      <w:spacing w:before="180"/>
      <w:ind w:right="851"/>
    </w:pPr>
    <w:rPr>
      <w:rFonts w:ascii="Calibri" w:hAnsi="Calibri"/>
      <w:b/>
      <w:caps/>
      <w:color w:val="1F497D" w:themeColor="text2"/>
      <w:sz w:val="24"/>
      <w:szCs w:val="22"/>
    </w:rPr>
  </w:style>
  <w:style w:type="paragraph" w:styleId="TOC3">
    <w:name w:val="toc 3"/>
    <w:basedOn w:val="Normal"/>
    <w:next w:val="Normal"/>
    <w:uiPriority w:val="39"/>
    <w:rsid w:val="001F342D"/>
    <w:pPr>
      <w:tabs>
        <w:tab w:val="right" w:leader="dot" w:pos="9072"/>
      </w:tabs>
      <w:spacing w:before="20" w:after="0" w:line="240" w:lineRule="auto"/>
      <w:ind w:left="284" w:right="851"/>
    </w:pPr>
  </w:style>
  <w:style w:type="character" w:customStyle="1" w:styleId="Heading4Char">
    <w:name w:val="Heading 4 Char"/>
    <w:basedOn w:val="DefaultParagraphFont"/>
    <w:link w:val="Heading4"/>
    <w:rsid w:val="001F342D"/>
    <w:rPr>
      <w:rFonts w:asciiTheme="majorHAnsi" w:eastAsia="Times New Roman" w:hAnsiTheme="majorHAnsi" w:cs="Times New Roman"/>
      <w:b/>
      <w:bCs/>
      <w:i/>
      <w:color w:val="4F81BD" w:themeColor="accent1"/>
      <w:lang w:eastAsia="en-AU"/>
    </w:rPr>
  </w:style>
  <w:style w:type="character" w:customStyle="1" w:styleId="Heading5Char">
    <w:name w:val="Heading 5 Char"/>
    <w:basedOn w:val="DefaultParagraphFont"/>
    <w:link w:val="Heading5"/>
    <w:rsid w:val="001F342D"/>
    <w:rPr>
      <w:rFonts w:asciiTheme="majorHAnsi" w:eastAsia="Times New Roman" w:hAnsiTheme="majorHAnsi" w:cs="Times New Roman"/>
      <w:b/>
      <w:bCs/>
      <w:iCs/>
      <w:color w:val="4F81BD" w:themeColor="accent1"/>
      <w:sz w:val="20"/>
      <w:szCs w:val="20"/>
      <w:lang w:eastAsia="en-AU"/>
    </w:rPr>
  </w:style>
  <w:style w:type="character" w:customStyle="1" w:styleId="Heading6Char">
    <w:name w:val="Heading 6 Char"/>
    <w:basedOn w:val="DefaultParagraphFont"/>
    <w:link w:val="Heading6"/>
    <w:rsid w:val="001F342D"/>
    <w:rPr>
      <w:rFonts w:asciiTheme="majorHAnsi" w:eastAsia="Times New Roman" w:hAnsiTheme="majorHAnsi" w:cs="Times New Roman"/>
      <w:bCs/>
      <w:color w:val="4F81BD" w:themeColor="accent1"/>
      <w:sz w:val="20"/>
      <w:lang w:eastAsia="en-AU"/>
    </w:rPr>
  </w:style>
  <w:style w:type="character" w:customStyle="1" w:styleId="Heading7Char">
    <w:name w:val="Heading 7 Char"/>
    <w:basedOn w:val="DefaultParagraphFont"/>
    <w:link w:val="Heading7"/>
    <w:rsid w:val="001F342D"/>
    <w:rPr>
      <w:rFonts w:asciiTheme="majorHAnsi" w:eastAsia="Times New Roman" w:hAnsiTheme="majorHAnsi" w:cs="Times New Roman"/>
      <w:color w:val="4F81BD" w:themeColor="accent1"/>
      <w:sz w:val="20"/>
      <w:szCs w:val="24"/>
      <w:lang w:eastAsia="en-AU"/>
    </w:rPr>
  </w:style>
  <w:style w:type="character" w:customStyle="1" w:styleId="Heading9Char">
    <w:name w:val="Heading 9 Char"/>
    <w:basedOn w:val="DefaultParagraphFont"/>
    <w:link w:val="Heading9"/>
    <w:rsid w:val="001F342D"/>
    <w:rPr>
      <w:rFonts w:asciiTheme="majorHAnsi" w:eastAsia="Times New Roman" w:hAnsiTheme="majorHAnsi" w:cs="Arial"/>
      <w:color w:val="4F81BD" w:themeColor="accent1"/>
      <w:sz w:val="20"/>
      <w:lang w:eastAsia="en-AU"/>
    </w:rPr>
  </w:style>
  <w:style w:type="paragraph" w:customStyle="1" w:styleId="HeadingBase">
    <w:name w:val="Heading Base"/>
    <w:next w:val="Normal"/>
    <w:rsid w:val="001F342D"/>
    <w:pPr>
      <w:keepNext/>
      <w:spacing w:after="0" w:line="240" w:lineRule="auto"/>
    </w:pPr>
    <w:rPr>
      <w:rFonts w:asciiTheme="majorHAnsi" w:eastAsia="Times New Roman" w:hAnsiTheme="majorHAnsi" w:cs="Times New Roman"/>
      <w:color w:val="4F81BD" w:themeColor="accent1"/>
      <w:sz w:val="20"/>
      <w:szCs w:val="20"/>
      <w:lang w:eastAsia="en-AU"/>
    </w:rPr>
  </w:style>
  <w:style w:type="paragraph" w:customStyle="1" w:styleId="TableGraphic">
    <w:name w:val="Table Graphic"/>
    <w:basedOn w:val="HeadingBase"/>
    <w:next w:val="Normal"/>
    <w:rsid w:val="001F342D"/>
  </w:style>
  <w:style w:type="paragraph" w:customStyle="1" w:styleId="AlphaParagraph">
    <w:name w:val="Alpha Paragraph"/>
    <w:basedOn w:val="Normal"/>
    <w:qFormat/>
    <w:rsid w:val="001F342D"/>
    <w:pPr>
      <w:numPr>
        <w:numId w:val="3"/>
      </w:numPr>
    </w:pPr>
  </w:style>
  <w:style w:type="paragraph" w:customStyle="1" w:styleId="AppendixHeading">
    <w:name w:val="Appendix Heading"/>
    <w:basedOn w:val="HeadingBase"/>
    <w:next w:val="Normal"/>
    <w:rsid w:val="001F342D"/>
    <w:pPr>
      <w:spacing w:before="720" w:after="360"/>
      <w:outlineLvl w:val="0"/>
    </w:pPr>
    <w:rPr>
      <w:sz w:val="36"/>
      <w:szCs w:val="36"/>
    </w:rPr>
  </w:style>
  <w:style w:type="character" w:customStyle="1" w:styleId="Bold">
    <w:name w:val="Bold"/>
    <w:basedOn w:val="DefaultParagraphFont"/>
    <w:rsid w:val="001F342D"/>
    <w:rPr>
      <w:b/>
    </w:rPr>
  </w:style>
  <w:style w:type="paragraph" w:customStyle="1" w:styleId="BoxTextBase">
    <w:name w:val="Box Text Base"/>
    <w:basedOn w:val="Normal"/>
    <w:rsid w:val="001F342D"/>
  </w:style>
  <w:style w:type="paragraph" w:customStyle="1" w:styleId="BoxBullet">
    <w:name w:val="Box Bullet"/>
    <w:basedOn w:val="BoxTextBase"/>
    <w:rsid w:val="001F342D"/>
    <w:pPr>
      <w:numPr>
        <w:numId w:val="2"/>
      </w:numPr>
    </w:pPr>
  </w:style>
  <w:style w:type="paragraph" w:customStyle="1" w:styleId="BoxDash">
    <w:name w:val="Box Dash"/>
    <w:basedOn w:val="Normal"/>
    <w:rsid w:val="001F342D"/>
    <w:pPr>
      <w:numPr>
        <w:ilvl w:val="1"/>
        <w:numId w:val="2"/>
      </w:numPr>
    </w:pPr>
  </w:style>
  <w:style w:type="paragraph" w:customStyle="1" w:styleId="BoxDoubleDot">
    <w:name w:val="Box Double Dot"/>
    <w:basedOn w:val="BoxTextBase"/>
    <w:rsid w:val="001F342D"/>
    <w:pPr>
      <w:numPr>
        <w:ilvl w:val="2"/>
        <w:numId w:val="2"/>
      </w:numPr>
    </w:pPr>
  </w:style>
  <w:style w:type="paragraph" w:customStyle="1" w:styleId="BoxHeading">
    <w:name w:val="Box Heading"/>
    <w:basedOn w:val="HeadingBase"/>
    <w:next w:val="Normal"/>
    <w:rsid w:val="001F342D"/>
    <w:pPr>
      <w:spacing w:before="240" w:after="120"/>
    </w:pPr>
    <w:rPr>
      <w:b/>
      <w:sz w:val="22"/>
    </w:rPr>
  </w:style>
  <w:style w:type="paragraph" w:customStyle="1" w:styleId="BoxText">
    <w:name w:val="Box Text"/>
    <w:basedOn w:val="BoxTextBase"/>
    <w:rsid w:val="001F342D"/>
  </w:style>
  <w:style w:type="paragraph" w:styleId="NormalIndent">
    <w:name w:val="Normal Indent"/>
    <w:basedOn w:val="Normal"/>
    <w:rsid w:val="001F342D"/>
    <w:pPr>
      <w:ind w:left="567"/>
    </w:pPr>
  </w:style>
  <w:style w:type="paragraph" w:customStyle="1" w:styleId="ChartandTableFootnoteAlpha">
    <w:name w:val="Chart and Table Footnote Alpha"/>
    <w:rsid w:val="001F342D"/>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1F342D"/>
    <w:pPr>
      <w:spacing w:after="20"/>
      <w:jc w:val="center"/>
    </w:pPr>
    <w:rPr>
      <w:b/>
      <w:sz w:val="24"/>
    </w:rPr>
  </w:style>
  <w:style w:type="paragraph" w:customStyle="1" w:styleId="ChartorTableNote">
    <w:name w:val="Chart or Table Note"/>
    <w:next w:val="Normal"/>
    <w:rsid w:val="001F342D"/>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1F342D"/>
    <w:pPr>
      <w:spacing w:after="20"/>
      <w:jc w:val="center"/>
    </w:pPr>
  </w:style>
  <w:style w:type="paragraph" w:customStyle="1" w:styleId="Classification">
    <w:name w:val="Classification"/>
    <w:basedOn w:val="HeadingBase"/>
    <w:next w:val="Footer"/>
    <w:rsid w:val="001F342D"/>
    <w:pPr>
      <w:spacing w:after="120"/>
      <w:jc w:val="center"/>
    </w:pPr>
    <w:rPr>
      <w:b/>
      <w:smallCaps/>
    </w:rPr>
  </w:style>
  <w:style w:type="paragraph" w:customStyle="1" w:styleId="ContentsHeading">
    <w:name w:val="Contents Heading"/>
    <w:basedOn w:val="HeadingBase"/>
    <w:next w:val="Normal"/>
    <w:rsid w:val="001F342D"/>
    <w:pPr>
      <w:spacing w:after="360"/>
    </w:pPr>
    <w:rPr>
      <w:sz w:val="36"/>
      <w:szCs w:val="36"/>
    </w:rPr>
  </w:style>
  <w:style w:type="paragraph" w:customStyle="1" w:styleId="CoverTitleSub">
    <w:name w:val="Cover Title Sub"/>
    <w:basedOn w:val="CoverTitleMain"/>
    <w:rsid w:val="00775B9B"/>
    <w:pPr>
      <w:pBdr>
        <w:bottom w:val="none" w:sz="0" w:space="0" w:color="auto"/>
      </w:pBdr>
      <w:spacing w:before="240"/>
    </w:pPr>
    <w:rPr>
      <w:sz w:val="62"/>
    </w:rPr>
  </w:style>
  <w:style w:type="paragraph" w:customStyle="1" w:styleId="Covertitlelevel3">
    <w:name w:val="Cover title level 3"/>
    <w:basedOn w:val="CoverTitleSub"/>
    <w:rsid w:val="001F342D"/>
    <w:pPr>
      <w:spacing w:after="120"/>
    </w:pPr>
    <w:rPr>
      <w:sz w:val="28"/>
      <w:szCs w:val="28"/>
    </w:rPr>
  </w:style>
  <w:style w:type="paragraph" w:customStyle="1" w:styleId="Figuregraphic">
    <w:name w:val="Figure graphic"/>
    <w:basedOn w:val="Normal"/>
    <w:rsid w:val="001F342D"/>
    <w:pPr>
      <w:spacing w:line="240" w:lineRule="auto"/>
      <w:jc w:val="center"/>
    </w:pPr>
  </w:style>
  <w:style w:type="paragraph" w:customStyle="1" w:styleId="FigureHeading">
    <w:name w:val="Figure Heading"/>
    <w:basedOn w:val="HeadingBase"/>
    <w:next w:val="Figuregraphic"/>
    <w:rsid w:val="001F342D"/>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1F342D"/>
    <w:pPr>
      <w:spacing w:after="20"/>
      <w:jc w:val="center"/>
    </w:pPr>
  </w:style>
  <w:style w:type="paragraph" w:customStyle="1" w:styleId="TableMainHeading">
    <w:name w:val="Table Main Heading"/>
    <w:basedOn w:val="HeadingBase"/>
    <w:next w:val="TableGraphic"/>
    <w:rsid w:val="001F342D"/>
    <w:pPr>
      <w:spacing w:after="20"/>
    </w:pPr>
    <w:rPr>
      <w:b/>
      <w:sz w:val="22"/>
    </w:rPr>
  </w:style>
  <w:style w:type="paragraph" w:customStyle="1" w:styleId="FooterCentered">
    <w:name w:val="Footer Centered"/>
    <w:basedOn w:val="Footer"/>
    <w:rsid w:val="001F342D"/>
    <w:pPr>
      <w:jc w:val="center"/>
    </w:pPr>
  </w:style>
  <w:style w:type="character" w:customStyle="1" w:styleId="FramedFooter">
    <w:name w:val="Framed Footer"/>
    <w:rsid w:val="001F342D"/>
    <w:rPr>
      <w:rFonts w:ascii="Arial" w:hAnsi="Arial"/>
      <w:sz w:val="18"/>
    </w:rPr>
  </w:style>
  <w:style w:type="character" w:customStyle="1" w:styleId="FramedHeader">
    <w:name w:val="Framed Header"/>
    <w:basedOn w:val="DefaultParagraphFont"/>
    <w:rsid w:val="001F342D"/>
    <w:rPr>
      <w:rFonts w:ascii="Arial" w:hAnsi="Arial"/>
      <w:dstrike w:val="0"/>
      <w:color w:val="auto"/>
      <w:sz w:val="18"/>
      <w:vertAlign w:val="baseline"/>
    </w:rPr>
  </w:style>
  <w:style w:type="paragraph" w:customStyle="1" w:styleId="HeaderEven">
    <w:name w:val="Header Even"/>
    <w:basedOn w:val="Header"/>
    <w:rsid w:val="00824115"/>
    <w:rPr>
      <w:rFonts w:ascii="Arial" w:hAnsi="Arial"/>
      <w:color w:val="1F497D" w:themeColor="text2"/>
      <w:sz w:val="18"/>
    </w:rPr>
  </w:style>
  <w:style w:type="character" w:customStyle="1" w:styleId="italic">
    <w:name w:val="italic"/>
    <w:basedOn w:val="DefaultParagraphFont"/>
    <w:rsid w:val="001F342D"/>
    <w:rPr>
      <w:i/>
    </w:rPr>
  </w:style>
  <w:style w:type="paragraph" w:customStyle="1" w:styleId="NormalIndentItalics">
    <w:name w:val="Normal Indent Italics"/>
    <w:basedOn w:val="NormalIndent"/>
    <w:rsid w:val="001F342D"/>
    <w:rPr>
      <w:i/>
    </w:rPr>
  </w:style>
  <w:style w:type="paragraph" w:customStyle="1" w:styleId="OneLevelNumberedParagraph">
    <w:name w:val="One Level Numbered Paragraph"/>
    <w:basedOn w:val="Normal"/>
    <w:rsid w:val="001F342D"/>
    <w:pPr>
      <w:numPr>
        <w:numId w:val="8"/>
      </w:numPr>
    </w:pPr>
  </w:style>
  <w:style w:type="character" w:styleId="PageNumber">
    <w:name w:val="page number"/>
    <w:basedOn w:val="DefaultParagraphFont"/>
    <w:rsid w:val="001F342D"/>
    <w:rPr>
      <w:rFonts w:ascii="Arial" w:hAnsi="Arial"/>
      <w:sz w:val="18"/>
    </w:rPr>
  </w:style>
  <w:style w:type="paragraph" w:customStyle="1" w:styleId="Principle">
    <w:name w:val="Principle"/>
    <w:basedOn w:val="Normal"/>
    <w:rsid w:val="001F342D"/>
    <w:pPr>
      <w:keepNext/>
      <w:spacing w:after="60" w:line="240" w:lineRule="auto"/>
      <w:ind w:left="573"/>
    </w:pPr>
    <w:rPr>
      <w:rFonts w:ascii="Book Antiqua" w:hAnsi="Book Antiqua"/>
      <w:i/>
      <w:sz w:val="20"/>
      <w:szCs w:val="22"/>
    </w:rPr>
  </w:style>
  <w:style w:type="paragraph" w:customStyle="1" w:styleId="RecommendationTextBase">
    <w:name w:val="Recommendation Text Base"/>
    <w:basedOn w:val="Normal"/>
    <w:rsid w:val="001F342D"/>
    <w:rPr>
      <w:i/>
    </w:rPr>
  </w:style>
  <w:style w:type="paragraph" w:customStyle="1" w:styleId="RecommendationBullet">
    <w:name w:val="Recommendation Bullet"/>
    <w:basedOn w:val="RecommendationTextBase"/>
    <w:rsid w:val="001F342D"/>
    <w:pPr>
      <w:numPr>
        <w:numId w:val="10"/>
      </w:numPr>
    </w:pPr>
  </w:style>
  <w:style w:type="paragraph" w:customStyle="1" w:styleId="RecommendationDash">
    <w:name w:val="Recommendation Dash"/>
    <w:basedOn w:val="RecommendationTextBase"/>
    <w:rsid w:val="001F342D"/>
    <w:pPr>
      <w:numPr>
        <w:ilvl w:val="1"/>
        <w:numId w:val="10"/>
      </w:numPr>
    </w:pPr>
  </w:style>
  <w:style w:type="paragraph" w:customStyle="1" w:styleId="RecommendationDoubleDot">
    <w:name w:val="Recommendation Double Dot"/>
    <w:basedOn w:val="RecommendationTextBase"/>
    <w:rsid w:val="001F342D"/>
    <w:pPr>
      <w:numPr>
        <w:ilvl w:val="2"/>
        <w:numId w:val="10"/>
      </w:numPr>
    </w:pPr>
  </w:style>
  <w:style w:type="paragraph" w:customStyle="1" w:styleId="RecommendationHeading">
    <w:name w:val="Recommendation Heading"/>
    <w:basedOn w:val="HeadingBase"/>
    <w:next w:val="Normal"/>
    <w:rsid w:val="001F342D"/>
    <w:pPr>
      <w:spacing w:before="120" w:after="240"/>
    </w:pPr>
    <w:rPr>
      <w:b/>
      <w:sz w:val="22"/>
    </w:rPr>
  </w:style>
  <w:style w:type="paragraph" w:customStyle="1" w:styleId="RecommendationText">
    <w:name w:val="Recommendation Text"/>
    <w:basedOn w:val="RecommendationTextBase"/>
    <w:rsid w:val="001F342D"/>
  </w:style>
  <w:style w:type="paragraph" w:customStyle="1" w:styleId="Romannumeral">
    <w:name w:val="Roman numeral"/>
    <w:basedOn w:val="Normal"/>
    <w:rsid w:val="001F342D"/>
    <w:pPr>
      <w:numPr>
        <w:numId w:val="11"/>
      </w:numPr>
    </w:pPr>
  </w:style>
  <w:style w:type="paragraph" w:customStyle="1" w:styleId="SingleParagraph">
    <w:name w:val="Single Paragraph"/>
    <w:basedOn w:val="Normal"/>
    <w:rsid w:val="001F342D"/>
    <w:pPr>
      <w:spacing w:after="0"/>
    </w:pPr>
  </w:style>
  <w:style w:type="paragraph" w:customStyle="1" w:styleId="SingleParagraphIndent">
    <w:name w:val="Single Paragraph Indent"/>
    <w:basedOn w:val="SingleParagraph"/>
    <w:rsid w:val="001F342D"/>
    <w:pPr>
      <w:ind w:left="567"/>
    </w:pPr>
  </w:style>
  <w:style w:type="paragraph" w:customStyle="1" w:styleId="TableSecondHeading">
    <w:name w:val="Table Second Heading"/>
    <w:basedOn w:val="HeadingBase"/>
    <w:next w:val="TableGraphic"/>
    <w:rsid w:val="001F342D"/>
    <w:pPr>
      <w:spacing w:after="20"/>
    </w:pPr>
  </w:style>
  <w:style w:type="paragraph" w:customStyle="1" w:styleId="TableTextBase">
    <w:name w:val="Table Text Base"/>
    <w:rsid w:val="001F342D"/>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ColumnHeadingLeft"/>
    <w:rsid w:val="00EC04DD"/>
    <w:pPr>
      <w:jc w:val="center"/>
    </w:pPr>
    <w:rPr>
      <w:lang w:eastAsia="en-US"/>
    </w:rPr>
  </w:style>
  <w:style w:type="paragraph" w:customStyle="1" w:styleId="TableColumnHeadingBase">
    <w:name w:val="Table Column Heading Base"/>
    <w:basedOn w:val="Normal"/>
    <w:rsid w:val="001F342D"/>
    <w:pPr>
      <w:spacing w:before="40" w:after="40" w:line="240" w:lineRule="auto"/>
    </w:pPr>
    <w:rPr>
      <w:rFonts w:ascii="Arial" w:hAnsi="Arial"/>
      <w:b/>
      <w:sz w:val="16"/>
    </w:rPr>
  </w:style>
  <w:style w:type="paragraph" w:customStyle="1" w:styleId="TableColumnHeadingLeft">
    <w:name w:val="Table Column Heading Left"/>
    <w:basedOn w:val="TableColumnHeadingBase"/>
    <w:rsid w:val="002C432E"/>
    <w:pPr>
      <w:spacing w:before="100" w:after="100" w:line="240" w:lineRule="exact"/>
    </w:pPr>
    <w:rPr>
      <w:rFonts w:ascii="Calibri" w:hAnsi="Calibri"/>
      <w:sz w:val="20"/>
    </w:rPr>
  </w:style>
  <w:style w:type="paragraph" w:customStyle="1" w:styleId="TableColumnHeadingRight">
    <w:name w:val="Table Column Heading Right"/>
    <w:basedOn w:val="TableColumnHeadingBase"/>
    <w:rsid w:val="001F342D"/>
    <w:pPr>
      <w:jc w:val="right"/>
    </w:pPr>
  </w:style>
  <w:style w:type="paragraph" w:customStyle="1" w:styleId="TableMainHeadingContd">
    <w:name w:val="Table Main Heading Contd"/>
    <w:basedOn w:val="HeadingBase"/>
    <w:next w:val="TableGraphic"/>
    <w:rsid w:val="001F342D"/>
    <w:pPr>
      <w:pageBreakBefore/>
      <w:spacing w:after="20"/>
    </w:pPr>
    <w:rPr>
      <w:b/>
      <w:sz w:val="22"/>
    </w:rPr>
  </w:style>
  <w:style w:type="paragraph" w:customStyle="1" w:styleId="TableTextCentered">
    <w:name w:val="Table Text Centered"/>
    <w:basedOn w:val="TableTextLeft"/>
    <w:rsid w:val="00EC04DD"/>
    <w:pPr>
      <w:jc w:val="center"/>
    </w:pPr>
    <w:rPr>
      <w:lang w:eastAsia="en-US"/>
    </w:rPr>
  </w:style>
  <w:style w:type="paragraph" w:customStyle="1" w:styleId="TableTextIndented">
    <w:name w:val="Table Text Indented"/>
    <w:basedOn w:val="TableTextBase"/>
    <w:rsid w:val="001F342D"/>
    <w:pPr>
      <w:ind w:left="284"/>
    </w:pPr>
  </w:style>
  <w:style w:type="paragraph" w:customStyle="1" w:styleId="TableTextLeft">
    <w:name w:val="Table Text Left"/>
    <w:basedOn w:val="TableTextBase"/>
    <w:rsid w:val="00EC04DD"/>
    <w:pPr>
      <w:spacing w:before="80" w:after="80" w:line="240" w:lineRule="exact"/>
    </w:pPr>
    <w:rPr>
      <w:rFonts w:ascii="Calibri" w:hAnsi="Calibri"/>
      <w:sz w:val="20"/>
    </w:rPr>
  </w:style>
  <w:style w:type="paragraph" w:customStyle="1" w:styleId="TableTextRight">
    <w:name w:val="Table Text Right"/>
    <w:basedOn w:val="TableTextBase"/>
    <w:rsid w:val="001F342D"/>
    <w:pPr>
      <w:jc w:val="right"/>
    </w:pPr>
  </w:style>
  <w:style w:type="paragraph" w:styleId="TOC4">
    <w:name w:val="toc 4"/>
    <w:basedOn w:val="Normal"/>
    <w:next w:val="Normal"/>
    <w:rsid w:val="001F342D"/>
    <w:pPr>
      <w:tabs>
        <w:tab w:val="right" w:leader="dot" w:pos="9072"/>
      </w:tabs>
      <w:spacing w:after="0" w:line="240" w:lineRule="auto"/>
      <w:ind w:left="284" w:right="851"/>
    </w:pPr>
  </w:style>
  <w:style w:type="paragraph" w:styleId="BodyTextIndent2">
    <w:name w:val="Body Text Indent 2"/>
    <w:basedOn w:val="Normal"/>
    <w:link w:val="BodyTextIndent2Char"/>
    <w:rsid w:val="001F342D"/>
    <w:pPr>
      <w:spacing w:after="120" w:line="480" w:lineRule="auto"/>
      <w:ind w:left="283"/>
    </w:pPr>
  </w:style>
  <w:style w:type="character" w:customStyle="1" w:styleId="BodyTextIndent2Char">
    <w:name w:val="Body Text Indent 2 Char"/>
    <w:basedOn w:val="DefaultParagraphFont"/>
    <w:link w:val="BodyTextIndent2"/>
    <w:rsid w:val="001F342D"/>
    <w:rPr>
      <w:rFonts w:eastAsia="Times New Roman" w:cs="Times New Roman"/>
      <w:szCs w:val="20"/>
      <w:lang w:eastAsia="en-AU"/>
    </w:rPr>
  </w:style>
  <w:style w:type="character" w:customStyle="1" w:styleId="BoldandItalic">
    <w:name w:val="Bold and Italic"/>
    <w:basedOn w:val="DefaultParagraphFont"/>
    <w:rsid w:val="001F342D"/>
    <w:rPr>
      <w:rFonts w:ascii="Arial" w:hAnsi="Arial"/>
      <w:b/>
      <w:i/>
    </w:rPr>
  </w:style>
  <w:style w:type="paragraph" w:styleId="Caption">
    <w:name w:val="caption"/>
    <w:basedOn w:val="Normal"/>
    <w:next w:val="Normal"/>
    <w:qFormat/>
    <w:rsid w:val="001F342D"/>
    <w:rPr>
      <w:b/>
      <w:bCs/>
    </w:rPr>
  </w:style>
  <w:style w:type="paragraph" w:styleId="DocumentMap">
    <w:name w:val="Document Map"/>
    <w:basedOn w:val="Normal"/>
    <w:link w:val="DocumentMapChar"/>
    <w:semiHidden/>
    <w:rsid w:val="001F342D"/>
    <w:pPr>
      <w:shd w:val="clear" w:color="auto" w:fill="00CCFF"/>
    </w:pPr>
    <w:rPr>
      <w:rFonts w:ascii="Tahoma" w:hAnsi="Tahoma" w:cs="Tahoma"/>
    </w:rPr>
  </w:style>
  <w:style w:type="character" w:customStyle="1" w:styleId="DocumentMapChar">
    <w:name w:val="Document Map Char"/>
    <w:basedOn w:val="DefaultParagraphFont"/>
    <w:link w:val="DocumentMap"/>
    <w:semiHidden/>
    <w:rsid w:val="001F342D"/>
    <w:rPr>
      <w:rFonts w:ascii="Tahoma" w:eastAsia="Times New Roman" w:hAnsi="Tahoma" w:cs="Tahoma"/>
      <w:szCs w:val="20"/>
      <w:shd w:val="clear" w:color="auto" w:fill="00CCFF"/>
      <w:lang w:eastAsia="en-AU"/>
    </w:rPr>
  </w:style>
  <w:style w:type="character" w:styleId="FollowedHyperlink">
    <w:name w:val="FollowedHyperlink"/>
    <w:basedOn w:val="DefaultParagraphFont"/>
    <w:rsid w:val="001F342D"/>
    <w:rPr>
      <w:color w:val="auto"/>
      <w:u w:val="none"/>
    </w:rPr>
  </w:style>
  <w:style w:type="paragraph" w:styleId="Index1">
    <w:name w:val="index 1"/>
    <w:basedOn w:val="Normal"/>
    <w:next w:val="Normal"/>
    <w:autoRedefine/>
    <w:semiHidden/>
    <w:rsid w:val="001F342D"/>
    <w:pPr>
      <w:ind w:left="200" w:hanging="200"/>
    </w:pPr>
  </w:style>
  <w:style w:type="paragraph" w:styleId="Index2">
    <w:name w:val="index 2"/>
    <w:basedOn w:val="Normal"/>
    <w:next w:val="Normal"/>
    <w:autoRedefine/>
    <w:semiHidden/>
    <w:rsid w:val="001F342D"/>
    <w:pPr>
      <w:ind w:left="400" w:hanging="200"/>
    </w:pPr>
  </w:style>
  <w:style w:type="paragraph" w:styleId="Index3">
    <w:name w:val="index 3"/>
    <w:basedOn w:val="Normal"/>
    <w:next w:val="Normal"/>
    <w:autoRedefine/>
    <w:semiHidden/>
    <w:rsid w:val="001F342D"/>
    <w:pPr>
      <w:ind w:left="600" w:hanging="200"/>
    </w:pPr>
  </w:style>
  <w:style w:type="paragraph" w:styleId="Index4">
    <w:name w:val="index 4"/>
    <w:basedOn w:val="Normal"/>
    <w:next w:val="Normal"/>
    <w:autoRedefine/>
    <w:semiHidden/>
    <w:rsid w:val="001F342D"/>
    <w:pPr>
      <w:ind w:left="800" w:hanging="200"/>
    </w:pPr>
  </w:style>
  <w:style w:type="paragraph" w:styleId="Index5">
    <w:name w:val="index 5"/>
    <w:basedOn w:val="Normal"/>
    <w:next w:val="Normal"/>
    <w:autoRedefine/>
    <w:semiHidden/>
    <w:rsid w:val="001F342D"/>
    <w:pPr>
      <w:ind w:left="1000" w:hanging="200"/>
    </w:pPr>
  </w:style>
  <w:style w:type="paragraph" w:styleId="Index6">
    <w:name w:val="index 6"/>
    <w:basedOn w:val="Normal"/>
    <w:next w:val="Normal"/>
    <w:autoRedefine/>
    <w:semiHidden/>
    <w:rsid w:val="001F342D"/>
    <w:pPr>
      <w:ind w:left="1200" w:hanging="200"/>
    </w:pPr>
  </w:style>
  <w:style w:type="paragraph" w:styleId="Index7">
    <w:name w:val="index 7"/>
    <w:basedOn w:val="Normal"/>
    <w:next w:val="Normal"/>
    <w:autoRedefine/>
    <w:semiHidden/>
    <w:rsid w:val="001F342D"/>
    <w:pPr>
      <w:ind w:left="1400" w:hanging="200"/>
    </w:pPr>
  </w:style>
  <w:style w:type="paragraph" w:styleId="Index8">
    <w:name w:val="index 8"/>
    <w:basedOn w:val="Normal"/>
    <w:next w:val="Normal"/>
    <w:autoRedefine/>
    <w:semiHidden/>
    <w:rsid w:val="001F342D"/>
    <w:pPr>
      <w:ind w:left="1600" w:hanging="200"/>
    </w:pPr>
  </w:style>
  <w:style w:type="paragraph" w:styleId="Index9">
    <w:name w:val="index 9"/>
    <w:basedOn w:val="Normal"/>
    <w:next w:val="Normal"/>
    <w:autoRedefine/>
    <w:semiHidden/>
    <w:rsid w:val="001F342D"/>
    <w:pPr>
      <w:ind w:left="1800" w:hanging="200"/>
    </w:pPr>
  </w:style>
  <w:style w:type="paragraph" w:styleId="IndexHeading">
    <w:name w:val="index heading"/>
    <w:basedOn w:val="Normal"/>
    <w:next w:val="Index1"/>
    <w:semiHidden/>
    <w:rsid w:val="001F342D"/>
    <w:rPr>
      <w:rFonts w:ascii="Arial" w:hAnsi="Arial" w:cs="Arial"/>
      <w:b/>
      <w:bCs/>
    </w:rPr>
  </w:style>
  <w:style w:type="paragraph" w:styleId="MacroText">
    <w:name w:val="macro"/>
    <w:link w:val="MacroTextChar"/>
    <w:semiHidden/>
    <w:rsid w:val="001F342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1F342D"/>
    <w:rPr>
      <w:rFonts w:ascii="Courier New" w:eastAsia="Times New Roman" w:hAnsi="Courier New" w:cs="Courier New"/>
      <w:color w:val="000000"/>
      <w:sz w:val="20"/>
      <w:szCs w:val="20"/>
      <w:lang w:eastAsia="en-AU"/>
    </w:rPr>
  </w:style>
  <w:style w:type="numbering" w:customStyle="1" w:styleId="OutlineList">
    <w:name w:val="OutlineList"/>
    <w:uiPriority w:val="99"/>
    <w:rsid w:val="001F342D"/>
    <w:pPr>
      <w:numPr>
        <w:numId w:val="5"/>
      </w:numPr>
    </w:pPr>
  </w:style>
  <w:style w:type="paragraph" w:customStyle="1" w:styleId="PictureCentred">
    <w:name w:val="Picture Centred"/>
    <w:basedOn w:val="Normal"/>
    <w:rsid w:val="001F342D"/>
    <w:pPr>
      <w:spacing w:before="120" w:line="240" w:lineRule="atLeast"/>
      <w:jc w:val="center"/>
    </w:pPr>
  </w:style>
  <w:style w:type="paragraph" w:customStyle="1" w:styleId="PictureLeft">
    <w:name w:val="Picture Left"/>
    <w:basedOn w:val="PictureCentred"/>
    <w:rsid w:val="001F342D"/>
    <w:pPr>
      <w:jc w:val="left"/>
    </w:pPr>
  </w:style>
  <w:style w:type="paragraph" w:customStyle="1" w:styleId="PictureIndent">
    <w:name w:val="Picture Indent"/>
    <w:basedOn w:val="PictureLeft"/>
    <w:rsid w:val="001F342D"/>
    <w:pPr>
      <w:ind w:left="284"/>
    </w:pPr>
  </w:style>
  <w:style w:type="paragraph" w:styleId="TableofAuthorities">
    <w:name w:val="table of authorities"/>
    <w:basedOn w:val="Normal"/>
    <w:next w:val="Normal"/>
    <w:rsid w:val="001F342D"/>
    <w:pPr>
      <w:ind w:left="200" w:hanging="200"/>
    </w:pPr>
  </w:style>
  <w:style w:type="paragraph" w:styleId="TableofFigures">
    <w:name w:val="table of figures"/>
    <w:basedOn w:val="Normal"/>
    <w:next w:val="Normal"/>
    <w:rsid w:val="001F342D"/>
  </w:style>
  <w:style w:type="paragraph" w:styleId="TOAHeading">
    <w:name w:val="toa heading"/>
    <w:basedOn w:val="Normal"/>
    <w:next w:val="Normal"/>
    <w:semiHidden/>
    <w:rsid w:val="001F342D"/>
    <w:pPr>
      <w:spacing w:before="120"/>
    </w:pPr>
    <w:rPr>
      <w:rFonts w:ascii="Arial" w:hAnsi="Arial" w:cs="Arial"/>
      <w:b/>
      <w:bCs/>
      <w:sz w:val="24"/>
      <w:szCs w:val="24"/>
    </w:rPr>
  </w:style>
  <w:style w:type="paragraph" w:styleId="TOC5">
    <w:name w:val="toc 5"/>
    <w:basedOn w:val="Normal"/>
    <w:next w:val="Normal"/>
    <w:autoRedefine/>
    <w:semiHidden/>
    <w:rsid w:val="001F342D"/>
    <w:pPr>
      <w:ind w:left="800"/>
    </w:pPr>
  </w:style>
  <w:style w:type="paragraph" w:styleId="TOC6">
    <w:name w:val="toc 6"/>
    <w:basedOn w:val="Normal"/>
    <w:next w:val="Normal"/>
    <w:autoRedefine/>
    <w:semiHidden/>
    <w:rsid w:val="001F342D"/>
    <w:pPr>
      <w:ind w:left="1000"/>
    </w:pPr>
  </w:style>
  <w:style w:type="paragraph" w:styleId="TOC7">
    <w:name w:val="toc 7"/>
    <w:basedOn w:val="Normal"/>
    <w:next w:val="Normal"/>
    <w:autoRedefine/>
    <w:semiHidden/>
    <w:rsid w:val="001F342D"/>
    <w:pPr>
      <w:ind w:left="1200"/>
    </w:pPr>
  </w:style>
  <w:style w:type="paragraph" w:styleId="TOC8">
    <w:name w:val="toc 8"/>
    <w:basedOn w:val="Normal"/>
    <w:next w:val="Normal"/>
    <w:autoRedefine/>
    <w:semiHidden/>
    <w:rsid w:val="001F342D"/>
    <w:pPr>
      <w:ind w:left="1400"/>
    </w:pPr>
  </w:style>
  <w:style w:type="paragraph" w:styleId="TOC9">
    <w:name w:val="toc 9"/>
    <w:basedOn w:val="Normal"/>
    <w:next w:val="Normal"/>
    <w:autoRedefine/>
    <w:semiHidden/>
    <w:rsid w:val="001F342D"/>
    <w:pPr>
      <w:ind w:left="1600"/>
    </w:pPr>
  </w:style>
  <w:style w:type="numbering" w:customStyle="1" w:styleId="BulletedList">
    <w:name w:val="Bulleted List"/>
    <w:uiPriority w:val="99"/>
    <w:rsid w:val="001F342D"/>
    <w:pPr>
      <w:numPr>
        <w:numId w:val="1"/>
      </w:numPr>
    </w:pPr>
  </w:style>
  <w:style w:type="numbering" w:customStyle="1" w:styleId="BoxBulletedList">
    <w:name w:val="Box Bulleted List"/>
    <w:uiPriority w:val="99"/>
    <w:rsid w:val="001F342D"/>
    <w:pPr>
      <w:numPr>
        <w:numId w:val="2"/>
      </w:numPr>
    </w:pPr>
  </w:style>
  <w:style w:type="numbering" w:customStyle="1" w:styleId="AlphaParagraphList">
    <w:name w:val="Alpha Paragraph List"/>
    <w:uiPriority w:val="99"/>
    <w:rsid w:val="001F342D"/>
    <w:pPr>
      <w:numPr>
        <w:numId w:val="3"/>
      </w:numPr>
    </w:pPr>
  </w:style>
  <w:style w:type="numbering" w:customStyle="1" w:styleId="OneLevelList">
    <w:name w:val="OneLevelList"/>
    <w:uiPriority w:val="99"/>
    <w:rsid w:val="001F342D"/>
    <w:pPr>
      <w:numPr>
        <w:numId w:val="4"/>
      </w:numPr>
    </w:pPr>
  </w:style>
  <w:style w:type="numbering" w:customStyle="1" w:styleId="RecommendationBulletList">
    <w:name w:val="RecommendationBulletList"/>
    <w:uiPriority w:val="99"/>
    <w:rsid w:val="001F342D"/>
    <w:pPr>
      <w:numPr>
        <w:numId w:val="6"/>
      </w:numPr>
    </w:pPr>
  </w:style>
  <w:style w:type="numbering" w:customStyle="1" w:styleId="RomanNumeralList">
    <w:name w:val="RomanNumeralList"/>
    <w:uiPriority w:val="99"/>
    <w:rsid w:val="001F342D"/>
    <w:pPr>
      <w:numPr>
        <w:numId w:val="7"/>
      </w:numPr>
    </w:pPr>
  </w:style>
  <w:style w:type="numbering" w:customStyle="1" w:styleId="ChartandTableFootnoteAlphaList">
    <w:name w:val="ChartandTableFootnoteAlphaList"/>
    <w:uiPriority w:val="99"/>
    <w:rsid w:val="001F342D"/>
    <w:pPr>
      <w:numPr>
        <w:numId w:val="12"/>
      </w:numPr>
    </w:pPr>
  </w:style>
  <w:style w:type="paragraph" w:customStyle="1" w:styleId="TableTextBullet">
    <w:name w:val="Table Text Bullet"/>
    <w:basedOn w:val="TableTextBase"/>
    <w:rsid w:val="00EC04DD"/>
    <w:pPr>
      <w:numPr>
        <w:numId w:val="14"/>
      </w:numPr>
      <w:spacing w:before="80" w:after="80" w:line="240" w:lineRule="exact"/>
    </w:pPr>
    <w:rPr>
      <w:rFonts w:ascii="Calibri" w:hAnsi="Calibri"/>
      <w:sz w:val="20"/>
    </w:rPr>
  </w:style>
  <w:style w:type="numbering" w:customStyle="1" w:styleId="TableTestBulletList">
    <w:name w:val="Table Test Bullet List"/>
    <w:uiPriority w:val="99"/>
    <w:rsid w:val="001F342D"/>
    <w:pPr>
      <w:numPr>
        <w:numId w:val="13"/>
      </w:numPr>
    </w:pPr>
  </w:style>
  <w:style w:type="numbering" w:customStyle="1" w:styleId="TableTextBulletList">
    <w:name w:val="Table Text Bullet List"/>
    <w:uiPriority w:val="99"/>
    <w:rsid w:val="001F342D"/>
    <w:pPr>
      <w:numPr>
        <w:numId w:val="14"/>
      </w:numPr>
    </w:pPr>
  </w:style>
  <w:style w:type="paragraph" w:customStyle="1" w:styleId="StyleTableTextBulletLinespacingExactly13pt">
    <w:name w:val="Style Table Text Bullet + Line spacing:  Exactly 13 pt"/>
    <w:basedOn w:val="TableTextBullet"/>
    <w:rsid w:val="001F342D"/>
    <w:pPr>
      <w:numPr>
        <w:numId w:val="0"/>
      </w:numPr>
      <w:spacing w:line="260" w:lineRule="exact"/>
    </w:pPr>
  </w:style>
  <w:style w:type="paragraph" w:customStyle="1" w:styleId="Heading2NotNumbered">
    <w:name w:val="Heading 2 Not Numbered"/>
    <w:basedOn w:val="Heading2"/>
    <w:next w:val="Normal"/>
    <w:rsid w:val="005E5CBF"/>
    <w:pPr>
      <w:spacing w:before="300"/>
    </w:pPr>
    <w:rPr>
      <w:b w:val="0"/>
      <w:smallCaps w:val="0"/>
      <w:sz w:val="36"/>
    </w:rPr>
  </w:style>
  <w:style w:type="paragraph" w:customStyle="1" w:styleId="TableTextDash">
    <w:name w:val="Table Text Dash"/>
    <w:basedOn w:val="TableTextBullet"/>
    <w:rsid w:val="002C19BD"/>
    <w:pPr>
      <w:numPr>
        <w:numId w:val="15"/>
      </w:numPr>
    </w:pPr>
  </w:style>
  <w:style w:type="character" w:styleId="Strong">
    <w:name w:val="Strong"/>
    <w:basedOn w:val="DefaultParagraphFont"/>
    <w:uiPriority w:val="22"/>
    <w:qFormat/>
    <w:rsid w:val="00A309A5"/>
    <w:rPr>
      <w:b/>
      <w:bCs/>
    </w:rPr>
  </w:style>
  <w:style w:type="paragraph" w:customStyle="1" w:styleId="CoverTitleSubDate">
    <w:name w:val="Cover Title Sub Date"/>
    <w:basedOn w:val="CoverTitleSub"/>
    <w:rsid w:val="00775B9B"/>
    <w:rPr>
      <w:caps/>
      <w:sz w:val="44"/>
    </w:rPr>
  </w:style>
  <w:style w:type="table" w:styleId="LightList-Accent5">
    <w:name w:val="Light List Accent 5"/>
    <w:basedOn w:val="TableNormal"/>
    <w:uiPriority w:val="61"/>
    <w:rsid w:val="0050032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561AD1"/>
    <w:pPr>
      <w:spacing w:after="0" w:line="240" w:lineRule="auto"/>
    </w:pPr>
    <w:rPr>
      <w:rFonts w:eastAsiaTheme="minorEastAsia" w:cs="Times New Roman"/>
      <w:lang w:eastAsia="en-AU"/>
    </w:rPr>
  </w:style>
  <w:style w:type="paragraph" w:customStyle="1" w:styleId="Heading214pt">
    <w:name w:val="Heading 2 14 pt"/>
    <w:basedOn w:val="Heading2"/>
    <w:next w:val="Normal"/>
    <w:rsid w:val="004F0797"/>
    <w:pPr>
      <w:spacing w:before="120" w:after="240"/>
    </w:pPr>
    <w:rPr>
      <w:rFonts w:ascii="Times New Roman" w:hAnsi="Times New Roman" w:cs="Times New Roman"/>
      <w:bCs w:val="0"/>
      <w:iCs w:val="0"/>
      <w:smallCaps w:val="0"/>
      <w:color w:val="auto"/>
      <w:sz w:val="28"/>
    </w:rPr>
  </w:style>
  <w:style w:type="paragraph" w:styleId="z-TopofForm">
    <w:name w:val="HTML Top of Form"/>
    <w:basedOn w:val="Normal"/>
    <w:next w:val="Normal"/>
    <w:link w:val="z-TopofFormChar"/>
    <w:hidden/>
    <w:uiPriority w:val="99"/>
    <w:semiHidden/>
    <w:unhideWhenUsed/>
    <w:rsid w:val="00AA491A"/>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A491A"/>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unhideWhenUsed/>
    <w:rsid w:val="00AA491A"/>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A491A"/>
    <w:rPr>
      <w:rFonts w:ascii="Arial" w:eastAsia="Times New Roman" w:hAnsi="Arial" w:cs="Arial"/>
      <w:vanish/>
      <w:sz w:val="16"/>
      <w:szCs w:val="16"/>
      <w:lang w:eastAsia="en-AU"/>
    </w:rPr>
  </w:style>
  <w:style w:type="character" w:styleId="PlaceholderText">
    <w:name w:val="Placeholder Text"/>
    <w:basedOn w:val="DefaultParagraphFont"/>
    <w:uiPriority w:val="99"/>
    <w:semiHidden/>
    <w:rsid w:val="002B678C"/>
    <w:rPr>
      <w:color w:val="808080"/>
    </w:rPr>
  </w:style>
  <w:style w:type="table" w:customStyle="1" w:styleId="GridTable1Light1">
    <w:name w:val="Grid Table 1 Light1"/>
    <w:basedOn w:val="TableNormal"/>
    <w:uiPriority w:val="46"/>
    <w:rsid w:val="009770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17333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0121">
      <w:bodyDiv w:val="1"/>
      <w:marLeft w:val="0"/>
      <w:marRight w:val="0"/>
      <w:marTop w:val="0"/>
      <w:marBottom w:val="0"/>
      <w:divBdr>
        <w:top w:val="none" w:sz="0" w:space="0" w:color="auto"/>
        <w:left w:val="none" w:sz="0" w:space="0" w:color="auto"/>
        <w:bottom w:val="none" w:sz="0" w:space="0" w:color="auto"/>
        <w:right w:val="none" w:sz="0" w:space="0" w:color="auto"/>
      </w:divBdr>
    </w:div>
    <w:div w:id="101540380">
      <w:bodyDiv w:val="1"/>
      <w:marLeft w:val="0"/>
      <w:marRight w:val="0"/>
      <w:marTop w:val="0"/>
      <w:marBottom w:val="0"/>
      <w:divBdr>
        <w:top w:val="none" w:sz="0" w:space="0" w:color="auto"/>
        <w:left w:val="none" w:sz="0" w:space="0" w:color="auto"/>
        <w:bottom w:val="none" w:sz="0" w:space="0" w:color="auto"/>
        <w:right w:val="none" w:sz="0" w:space="0" w:color="auto"/>
      </w:divBdr>
    </w:div>
    <w:div w:id="126165108">
      <w:bodyDiv w:val="1"/>
      <w:marLeft w:val="0"/>
      <w:marRight w:val="0"/>
      <w:marTop w:val="0"/>
      <w:marBottom w:val="0"/>
      <w:divBdr>
        <w:top w:val="none" w:sz="0" w:space="0" w:color="auto"/>
        <w:left w:val="none" w:sz="0" w:space="0" w:color="auto"/>
        <w:bottom w:val="none" w:sz="0" w:space="0" w:color="auto"/>
        <w:right w:val="none" w:sz="0" w:space="0" w:color="auto"/>
      </w:divBdr>
    </w:div>
    <w:div w:id="254481720">
      <w:bodyDiv w:val="1"/>
      <w:marLeft w:val="0"/>
      <w:marRight w:val="0"/>
      <w:marTop w:val="0"/>
      <w:marBottom w:val="0"/>
      <w:divBdr>
        <w:top w:val="none" w:sz="0" w:space="0" w:color="auto"/>
        <w:left w:val="none" w:sz="0" w:space="0" w:color="auto"/>
        <w:bottom w:val="none" w:sz="0" w:space="0" w:color="auto"/>
        <w:right w:val="none" w:sz="0" w:space="0" w:color="auto"/>
      </w:divBdr>
    </w:div>
    <w:div w:id="254630949">
      <w:bodyDiv w:val="1"/>
      <w:marLeft w:val="0"/>
      <w:marRight w:val="0"/>
      <w:marTop w:val="0"/>
      <w:marBottom w:val="0"/>
      <w:divBdr>
        <w:top w:val="none" w:sz="0" w:space="0" w:color="auto"/>
        <w:left w:val="none" w:sz="0" w:space="0" w:color="auto"/>
        <w:bottom w:val="none" w:sz="0" w:space="0" w:color="auto"/>
        <w:right w:val="none" w:sz="0" w:space="0" w:color="auto"/>
      </w:divBdr>
      <w:divsChild>
        <w:div w:id="1384793279">
          <w:marLeft w:val="0"/>
          <w:marRight w:val="0"/>
          <w:marTop w:val="0"/>
          <w:marBottom w:val="0"/>
          <w:divBdr>
            <w:top w:val="none" w:sz="0" w:space="0" w:color="auto"/>
            <w:left w:val="none" w:sz="0" w:space="0" w:color="auto"/>
            <w:bottom w:val="none" w:sz="0" w:space="0" w:color="auto"/>
            <w:right w:val="none" w:sz="0" w:space="0" w:color="auto"/>
          </w:divBdr>
          <w:divsChild>
            <w:div w:id="2407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9516">
      <w:bodyDiv w:val="1"/>
      <w:marLeft w:val="0"/>
      <w:marRight w:val="0"/>
      <w:marTop w:val="0"/>
      <w:marBottom w:val="0"/>
      <w:divBdr>
        <w:top w:val="none" w:sz="0" w:space="0" w:color="auto"/>
        <w:left w:val="none" w:sz="0" w:space="0" w:color="auto"/>
        <w:bottom w:val="none" w:sz="0" w:space="0" w:color="auto"/>
        <w:right w:val="none" w:sz="0" w:space="0" w:color="auto"/>
      </w:divBdr>
    </w:div>
    <w:div w:id="356467280">
      <w:bodyDiv w:val="1"/>
      <w:marLeft w:val="0"/>
      <w:marRight w:val="0"/>
      <w:marTop w:val="0"/>
      <w:marBottom w:val="0"/>
      <w:divBdr>
        <w:top w:val="none" w:sz="0" w:space="0" w:color="auto"/>
        <w:left w:val="none" w:sz="0" w:space="0" w:color="auto"/>
        <w:bottom w:val="none" w:sz="0" w:space="0" w:color="auto"/>
        <w:right w:val="none" w:sz="0" w:space="0" w:color="auto"/>
      </w:divBdr>
    </w:div>
    <w:div w:id="584728167">
      <w:bodyDiv w:val="1"/>
      <w:marLeft w:val="0"/>
      <w:marRight w:val="0"/>
      <w:marTop w:val="0"/>
      <w:marBottom w:val="0"/>
      <w:divBdr>
        <w:top w:val="none" w:sz="0" w:space="0" w:color="auto"/>
        <w:left w:val="none" w:sz="0" w:space="0" w:color="auto"/>
        <w:bottom w:val="none" w:sz="0" w:space="0" w:color="auto"/>
        <w:right w:val="none" w:sz="0" w:space="0" w:color="auto"/>
      </w:divBdr>
      <w:divsChild>
        <w:div w:id="50345885">
          <w:marLeft w:val="0"/>
          <w:marRight w:val="0"/>
          <w:marTop w:val="0"/>
          <w:marBottom w:val="0"/>
          <w:divBdr>
            <w:top w:val="none" w:sz="0" w:space="0" w:color="auto"/>
            <w:left w:val="none" w:sz="0" w:space="0" w:color="auto"/>
            <w:bottom w:val="none" w:sz="0" w:space="0" w:color="auto"/>
            <w:right w:val="none" w:sz="0" w:space="0" w:color="auto"/>
          </w:divBdr>
          <w:divsChild>
            <w:div w:id="1744058345">
              <w:marLeft w:val="0"/>
              <w:marRight w:val="0"/>
              <w:marTop w:val="0"/>
              <w:marBottom w:val="0"/>
              <w:divBdr>
                <w:top w:val="none" w:sz="0" w:space="0" w:color="auto"/>
                <w:left w:val="none" w:sz="0" w:space="0" w:color="auto"/>
                <w:bottom w:val="none" w:sz="0" w:space="0" w:color="auto"/>
                <w:right w:val="none" w:sz="0" w:space="0" w:color="auto"/>
              </w:divBdr>
              <w:divsChild>
                <w:div w:id="1313673894">
                  <w:marLeft w:val="0"/>
                  <w:marRight w:val="0"/>
                  <w:marTop w:val="0"/>
                  <w:marBottom w:val="0"/>
                  <w:divBdr>
                    <w:top w:val="none" w:sz="0" w:space="0" w:color="auto"/>
                    <w:left w:val="none" w:sz="0" w:space="0" w:color="auto"/>
                    <w:bottom w:val="none" w:sz="0" w:space="0" w:color="auto"/>
                    <w:right w:val="none" w:sz="0" w:space="0" w:color="auto"/>
                  </w:divBdr>
                  <w:divsChild>
                    <w:div w:id="1623266030">
                      <w:marLeft w:val="0"/>
                      <w:marRight w:val="0"/>
                      <w:marTop w:val="0"/>
                      <w:marBottom w:val="0"/>
                      <w:divBdr>
                        <w:top w:val="none" w:sz="0" w:space="0" w:color="auto"/>
                        <w:left w:val="none" w:sz="0" w:space="0" w:color="auto"/>
                        <w:bottom w:val="none" w:sz="0" w:space="0" w:color="auto"/>
                        <w:right w:val="none" w:sz="0" w:space="0" w:color="auto"/>
                      </w:divBdr>
                      <w:divsChild>
                        <w:div w:id="81151744">
                          <w:marLeft w:val="0"/>
                          <w:marRight w:val="0"/>
                          <w:marTop w:val="0"/>
                          <w:marBottom w:val="0"/>
                          <w:divBdr>
                            <w:top w:val="none" w:sz="0" w:space="0" w:color="auto"/>
                            <w:left w:val="none" w:sz="0" w:space="0" w:color="auto"/>
                            <w:bottom w:val="none" w:sz="0" w:space="0" w:color="auto"/>
                            <w:right w:val="none" w:sz="0" w:space="0" w:color="auto"/>
                          </w:divBdr>
                          <w:divsChild>
                            <w:div w:id="353388929">
                              <w:marLeft w:val="0"/>
                              <w:marRight w:val="0"/>
                              <w:marTop w:val="0"/>
                              <w:marBottom w:val="0"/>
                              <w:divBdr>
                                <w:top w:val="none" w:sz="0" w:space="0" w:color="auto"/>
                                <w:left w:val="none" w:sz="0" w:space="0" w:color="auto"/>
                                <w:bottom w:val="none" w:sz="0" w:space="0" w:color="auto"/>
                                <w:right w:val="none" w:sz="0" w:space="0" w:color="auto"/>
                              </w:divBdr>
                              <w:divsChild>
                                <w:div w:id="1637056268">
                                  <w:marLeft w:val="0"/>
                                  <w:marRight w:val="0"/>
                                  <w:marTop w:val="0"/>
                                  <w:marBottom w:val="0"/>
                                  <w:divBdr>
                                    <w:top w:val="none" w:sz="0" w:space="0" w:color="auto"/>
                                    <w:left w:val="none" w:sz="0" w:space="0" w:color="auto"/>
                                    <w:bottom w:val="none" w:sz="0" w:space="0" w:color="auto"/>
                                    <w:right w:val="none" w:sz="0" w:space="0" w:color="auto"/>
                                  </w:divBdr>
                                  <w:divsChild>
                                    <w:div w:id="1177036401">
                                      <w:marLeft w:val="0"/>
                                      <w:marRight w:val="0"/>
                                      <w:marTop w:val="0"/>
                                      <w:marBottom w:val="0"/>
                                      <w:divBdr>
                                        <w:top w:val="none" w:sz="0" w:space="0" w:color="auto"/>
                                        <w:left w:val="none" w:sz="0" w:space="0" w:color="auto"/>
                                        <w:bottom w:val="none" w:sz="0" w:space="0" w:color="auto"/>
                                        <w:right w:val="none" w:sz="0" w:space="0" w:color="auto"/>
                                      </w:divBdr>
                                      <w:divsChild>
                                        <w:div w:id="1538472375">
                                          <w:marLeft w:val="0"/>
                                          <w:marRight w:val="0"/>
                                          <w:marTop w:val="0"/>
                                          <w:marBottom w:val="0"/>
                                          <w:divBdr>
                                            <w:top w:val="none" w:sz="0" w:space="0" w:color="auto"/>
                                            <w:left w:val="none" w:sz="0" w:space="0" w:color="auto"/>
                                            <w:bottom w:val="none" w:sz="0" w:space="0" w:color="auto"/>
                                            <w:right w:val="none" w:sz="0" w:space="0" w:color="auto"/>
                                          </w:divBdr>
                                          <w:divsChild>
                                            <w:div w:id="3561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5258168">
      <w:bodyDiv w:val="1"/>
      <w:marLeft w:val="0"/>
      <w:marRight w:val="0"/>
      <w:marTop w:val="0"/>
      <w:marBottom w:val="0"/>
      <w:divBdr>
        <w:top w:val="none" w:sz="0" w:space="0" w:color="auto"/>
        <w:left w:val="none" w:sz="0" w:space="0" w:color="auto"/>
        <w:bottom w:val="none" w:sz="0" w:space="0" w:color="auto"/>
        <w:right w:val="none" w:sz="0" w:space="0" w:color="auto"/>
      </w:divBdr>
    </w:div>
    <w:div w:id="750659475">
      <w:bodyDiv w:val="1"/>
      <w:marLeft w:val="0"/>
      <w:marRight w:val="0"/>
      <w:marTop w:val="0"/>
      <w:marBottom w:val="0"/>
      <w:divBdr>
        <w:top w:val="none" w:sz="0" w:space="0" w:color="auto"/>
        <w:left w:val="none" w:sz="0" w:space="0" w:color="auto"/>
        <w:bottom w:val="none" w:sz="0" w:space="0" w:color="auto"/>
        <w:right w:val="none" w:sz="0" w:space="0" w:color="auto"/>
      </w:divBdr>
      <w:divsChild>
        <w:div w:id="320089022">
          <w:marLeft w:val="0"/>
          <w:marRight w:val="0"/>
          <w:marTop w:val="0"/>
          <w:marBottom w:val="0"/>
          <w:divBdr>
            <w:top w:val="single" w:sz="6" w:space="0" w:color="CCCCCC"/>
            <w:left w:val="single" w:sz="6" w:space="0" w:color="CCCCCC"/>
            <w:bottom w:val="single" w:sz="6" w:space="0" w:color="CCCCCC"/>
            <w:right w:val="single" w:sz="6" w:space="0" w:color="CCCCCC"/>
          </w:divBdr>
          <w:divsChild>
            <w:div w:id="633870408">
              <w:marLeft w:val="150"/>
              <w:marRight w:val="150"/>
              <w:marTop w:val="0"/>
              <w:marBottom w:val="0"/>
              <w:divBdr>
                <w:top w:val="none" w:sz="0" w:space="0" w:color="auto"/>
                <w:left w:val="none" w:sz="0" w:space="0" w:color="auto"/>
                <w:bottom w:val="none" w:sz="0" w:space="0" w:color="auto"/>
                <w:right w:val="none" w:sz="0" w:space="0" w:color="auto"/>
              </w:divBdr>
              <w:divsChild>
                <w:div w:id="59330707">
                  <w:marLeft w:val="0"/>
                  <w:marRight w:val="0"/>
                  <w:marTop w:val="0"/>
                  <w:marBottom w:val="600"/>
                  <w:divBdr>
                    <w:top w:val="none" w:sz="0" w:space="0" w:color="auto"/>
                    <w:left w:val="none" w:sz="0" w:space="0" w:color="auto"/>
                    <w:bottom w:val="none" w:sz="0" w:space="0" w:color="auto"/>
                    <w:right w:val="none" w:sz="0" w:space="0" w:color="auto"/>
                  </w:divBdr>
                  <w:divsChild>
                    <w:div w:id="524756336">
                      <w:marLeft w:val="0"/>
                      <w:marRight w:val="0"/>
                      <w:marTop w:val="0"/>
                      <w:marBottom w:val="0"/>
                      <w:divBdr>
                        <w:top w:val="none" w:sz="0" w:space="0" w:color="auto"/>
                        <w:left w:val="none" w:sz="0" w:space="0" w:color="auto"/>
                        <w:bottom w:val="none" w:sz="0" w:space="0" w:color="auto"/>
                        <w:right w:val="none" w:sz="0" w:space="0" w:color="auto"/>
                      </w:divBdr>
                    </w:div>
                    <w:div w:id="1390767349">
                      <w:marLeft w:val="0"/>
                      <w:marRight w:val="0"/>
                      <w:marTop w:val="0"/>
                      <w:marBottom w:val="0"/>
                      <w:divBdr>
                        <w:top w:val="none" w:sz="0" w:space="0" w:color="auto"/>
                        <w:left w:val="none" w:sz="0" w:space="0" w:color="auto"/>
                        <w:bottom w:val="none" w:sz="0" w:space="0" w:color="auto"/>
                        <w:right w:val="none" w:sz="0" w:space="0" w:color="auto"/>
                      </w:divBdr>
                    </w:div>
                    <w:div w:id="5227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91842">
      <w:bodyDiv w:val="1"/>
      <w:marLeft w:val="0"/>
      <w:marRight w:val="0"/>
      <w:marTop w:val="0"/>
      <w:marBottom w:val="0"/>
      <w:divBdr>
        <w:top w:val="none" w:sz="0" w:space="0" w:color="auto"/>
        <w:left w:val="none" w:sz="0" w:space="0" w:color="auto"/>
        <w:bottom w:val="none" w:sz="0" w:space="0" w:color="auto"/>
        <w:right w:val="none" w:sz="0" w:space="0" w:color="auto"/>
      </w:divBdr>
    </w:div>
    <w:div w:id="771319610">
      <w:bodyDiv w:val="1"/>
      <w:marLeft w:val="0"/>
      <w:marRight w:val="0"/>
      <w:marTop w:val="0"/>
      <w:marBottom w:val="0"/>
      <w:divBdr>
        <w:top w:val="none" w:sz="0" w:space="0" w:color="auto"/>
        <w:left w:val="none" w:sz="0" w:space="0" w:color="auto"/>
        <w:bottom w:val="none" w:sz="0" w:space="0" w:color="auto"/>
        <w:right w:val="none" w:sz="0" w:space="0" w:color="auto"/>
      </w:divBdr>
    </w:div>
    <w:div w:id="794372780">
      <w:bodyDiv w:val="1"/>
      <w:marLeft w:val="0"/>
      <w:marRight w:val="0"/>
      <w:marTop w:val="0"/>
      <w:marBottom w:val="0"/>
      <w:divBdr>
        <w:top w:val="none" w:sz="0" w:space="0" w:color="auto"/>
        <w:left w:val="none" w:sz="0" w:space="0" w:color="auto"/>
        <w:bottom w:val="none" w:sz="0" w:space="0" w:color="auto"/>
        <w:right w:val="none" w:sz="0" w:space="0" w:color="auto"/>
      </w:divBdr>
    </w:div>
    <w:div w:id="843083508">
      <w:bodyDiv w:val="1"/>
      <w:marLeft w:val="0"/>
      <w:marRight w:val="0"/>
      <w:marTop w:val="0"/>
      <w:marBottom w:val="0"/>
      <w:divBdr>
        <w:top w:val="none" w:sz="0" w:space="0" w:color="auto"/>
        <w:left w:val="none" w:sz="0" w:space="0" w:color="auto"/>
        <w:bottom w:val="none" w:sz="0" w:space="0" w:color="auto"/>
        <w:right w:val="none" w:sz="0" w:space="0" w:color="auto"/>
      </w:divBdr>
    </w:div>
    <w:div w:id="873158944">
      <w:bodyDiv w:val="1"/>
      <w:marLeft w:val="0"/>
      <w:marRight w:val="0"/>
      <w:marTop w:val="0"/>
      <w:marBottom w:val="0"/>
      <w:divBdr>
        <w:top w:val="none" w:sz="0" w:space="0" w:color="auto"/>
        <w:left w:val="none" w:sz="0" w:space="0" w:color="auto"/>
        <w:bottom w:val="none" w:sz="0" w:space="0" w:color="auto"/>
        <w:right w:val="none" w:sz="0" w:space="0" w:color="auto"/>
      </w:divBdr>
      <w:divsChild>
        <w:div w:id="1628469851">
          <w:marLeft w:val="0"/>
          <w:marRight w:val="0"/>
          <w:marTop w:val="0"/>
          <w:marBottom w:val="0"/>
          <w:divBdr>
            <w:top w:val="none" w:sz="0" w:space="0" w:color="auto"/>
            <w:left w:val="none" w:sz="0" w:space="0" w:color="auto"/>
            <w:bottom w:val="none" w:sz="0" w:space="0" w:color="auto"/>
            <w:right w:val="none" w:sz="0" w:space="0" w:color="auto"/>
          </w:divBdr>
          <w:divsChild>
            <w:div w:id="969550947">
              <w:marLeft w:val="0"/>
              <w:marRight w:val="0"/>
              <w:marTop w:val="0"/>
              <w:marBottom w:val="0"/>
              <w:divBdr>
                <w:top w:val="none" w:sz="0" w:space="0" w:color="auto"/>
                <w:left w:val="none" w:sz="0" w:space="0" w:color="auto"/>
                <w:bottom w:val="none" w:sz="0" w:space="0" w:color="auto"/>
                <w:right w:val="none" w:sz="0" w:space="0" w:color="auto"/>
              </w:divBdr>
              <w:divsChild>
                <w:div w:id="561595675">
                  <w:marLeft w:val="0"/>
                  <w:marRight w:val="0"/>
                  <w:marTop w:val="0"/>
                  <w:marBottom w:val="0"/>
                  <w:divBdr>
                    <w:top w:val="none" w:sz="0" w:space="0" w:color="auto"/>
                    <w:left w:val="none" w:sz="0" w:space="0" w:color="auto"/>
                    <w:bottom w:val="none" w:sz="0" w:space="0" w:color="auto"/>
                    <w:right w:val="none" w:sz="0" w:space="0" w:color="auto"/>
                  </w:divBdr>
                  <w:divsChild>
                    <w:div w:id="112479291">
                      <w:marLeft w:val="0"/>
                      <w:marRight w:val="0"/>
                      <w:marTop w:val="0"/>
                      <w:marBottom w:val="0"/>
                      <w:divBdr>
                        <w:top w:val="none" w:sz="0" w:space="0" w:color="auto"/>
                        <w:left w:val="none" w:sz="0" w:space="0" w:color="auto"/>
                        <w:bottom w:val="none" w:sz="0" w:space="0" w:color="auto"/>
                        <w:right w:val="none" w:sz="0" w:space="0" w:color="auto"/>
                      </w:divBdr>
                      <w:divsChild>
                        <w:div w:id="1015304998">
                          <w:marLeft w:val="0"/>
                          <w:marRight w:val="0"/>
                          <w:marTop w:val="0"/>
                          <w:marBottom w:val="0"/>
                          <w:divBdr>
                            <w:top w:val="none" w:sz="0" w:space="0" w:color="auto"/>
                            <w:left w:val="none" w:sz="0" w:space="0" w:color="auto"/>
                            <w:bottom w:val="none" w:sz="0" w:space="0" w:color="auto"/>
                            <w:right w:val="none" w:sz="0" w:space="0" w:color="auto"/>
                          </w:divBdr>
                          <w:divsChild>
                            <w:div w:id="1983268860">
                              <w:marLeft w:val="0"/>
                              <w:marRight w:val="0"/>
                              <w:marTop w:val="0"/>
                              <w:marBottom w:val="0"/>
                              <w:divBdr>
                                <w:top w:val="none" w:sz="0" w:space="0" w:color="auto"/>
                                <w:left w:val="none" w:sz="0" w:space="0" w:color="auto"/>
                                <w:bottom w:val="none" w:sz="0" w:space="0" w:color="auto"/>
                                <w:right w:val="none" w:sz="0" w:space="0" w:color="auto"/>
                              </w:divBdr>
                              <w:divsChild>
                                <w:div w:id="1303198977">
                                  <w:marLeft w:val="0"/>
                                  <w:marRight w:val="0"/>
                                  <w:marTop w:val="0"/>
                                  <w:marBottom w:val="0"/>
                                  <w:divBdr>
                                    <w:top w:val="none" w:sz="0" w:space="0" w:color="auto"/>
                                    <w:left w:val="none" w:sz="0" w:space="0" w:color="auto"/>
                                    <w:bottom w:val="none" w:sz="0" w:space="0" w:color="auto"/>
                                    <w:right w:val="none" w:sz="0" w:space="0" w:color="auto"/>
                                  </w:divBdr>
                                  <w:divsChild>
                                    <w:div w:id="676886103">
                                      <w:marLeft w:val="0"/>
                                      <w:marRight w:val="0"/>
                                      <w:marTop w:val="0"/>
                                      <w:marBottom w:val="0"/>
                                      <w:divBdr>
                                        <w:top w:val="none" w:sz="0" w:space="0" w:color="auto"/>
                                        <w:left w:val="none" w:sz="0" w:space="0" w:color="auto"/>
                                        <w:bottom w:val="none" w:sz="0" w:space="0" w:color="auto"/>
                                        <w:right w:val="none" w:sz="0" w:space="0" w:color="auto"/>
                                      </w:divBdr>
                                      <w:divsChild>
                                        <w:div w:id="166873167">
                                          <w:marLeft w:val="0"/>
                                          <w:marRight w:val="0"/>
                                          <w:marTop w:val="0"/>
                                          <w:marBottom w:val="0"/>
                                          <w:divBdr>
                                            <w:top w:val="none" w:sz="0" w:space="0" w:color="auto"/>
                                            <w:left w:val="none" w:sz="0" w:space="0" w:color="auto"/>
                                            <w:bottom w:val="none" w:sz="0" w:space="0" w:color="auto"/>
                                            <w:right w:val="none" w:sz="0" w:space="0" w:color="auto"/>
                                          </w:divBdr>
                                        </w:div>
                                      </w:divsChild>
                                    </w:div>
                                    <w:div w:id="1625503019">
                                      <w:marLeft w:val="0"/>
                                      <w:marRight w:val="0"/>
                                      <w:marTop w:val="0"/>
                                      <w:marBottom w:val="0"/>
                                      <w:divBdr>
                                        <w:top w:val="none" w:sz="0" w:space="0" w:color="auto"/>
                                        <w:left w:val="none" w:sz="0" w:space="0" w:color="auto"/>
                                        <w:bottom w:val="none" w:sz="0" w:space="0" w:color="auto"/>
                                        <w:right w:val="none" w:sz="0" w:space="0" w:color="auto"/>
                                      </w:divBdr>
                                      <w:divsChild>
                                        <w:div w:id="1452480489">
                                          <w:marLeft w:val="0"/>
                                          <w:marRight w:val="0"/>
                                          <w:marTop w:val="0"/>
                                          <w:marBottom w:val="0"/>
                                          <w:divBdr>
                                            <w:top w:val="none" w:sz="0" w:space="0" w:color="auto"/>
                                            <w:left w:val="none" w:sz="0" w:space="0" w:color="auto"/>
                                            <w:bottom w:val="none" w:sz="0" w:space="0" w:color="auto"/>
                                            <w:right w:val="none" w:sz="0" w:space="0" w:color="auto"/>
                                          </w:divBdr>
                                          <w:divsChild>
                                            <w:div w:id="3375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832214">
      <w:bodyDiv w:val="1"/>
      <w:marLeft w:val="0"/>
      <w:marRight w:val="0"/>
      <w:marTop w:val="0"/>
      <w:marBottom w:val="0"/>
      <w:divBdr>
        <w:top w:val="none" w:sz="0" w:space="0" w:color="auto"/>
        <w:left w:val="none" w:sz="0" w:space="0" w:color="auto"/>
        <w:bottom w:val="none" w:sz="0" w:space="0" w:color="auto"/>
        <w:right w:val="none" w:sz="0" w:space="0" w:color="auto"/>
      </w:divBdr>
    </w:div>
    <w:div w:id="1046445491">
      <w:bodyDiv w:val="1"/>
      <w:marLeft w:val="0"/>
      <w:marRight w:val="0"/>
      <w:marTop w:val="0"/>
      <w:marBottom w:val="0"/>
      <w:divBdr>
        <w:top w:val="none" w:sz="0" w:space="0" w:color="auto"/>
        <w:left w:val="none" w:sz="0" w:space="0" w:color="auto"/>
        <w:bottom w:val="none" w:sz="0" w:space="0" w:color="auto"/>
        <w:right w:val="none" w:sz="0" w:space="0" w:color="auto"/>
      </w:divBdr>
    </w:div>
    <w:div w:id="1125123307">
      <w:bodyDiv w:val="1"/>
      <w:marLeft w:val="0"/>
      <w:marRight w:val="0"/>
      <w:marTop w:val="0"/>
      <w:marBottom w:val="0"/>
      <w:divBdr>
        <w:top w:val="none" w:sz="0" w:space="0" w:color="auto"/>
        <w:left w:val="none" w:sz="0" w:space="0" w:color="auto"/>
        <w:bottom w:val="none" w:sz="0" w:space="0" w:color="auto"/>
        <w:right w:val="none" w:sz="0" w:space="0" w:color="auto"/>
      </w:divBdr>
    </w:div>
    <w:div w:id="1137181378">
      <w:bodyDiv w:val="1"/>
      <w:marLeft w:val="0"/>
      <w:marRight w:val="0"/>
      <w:marTop w:val="0"/>
      <w:marBottom w:val="0"/>
      <w:divBdr>
        <w:top w:val="none" w:sz="0" w:space="0" w:color="auto"/>
        <w:left w:val="none" w:sz="0" w:space="0" w:color="auto"/>
        <w:bottom w:val="none" w:sz="0" w:space="0" w:color="auto"/>
        <w:right w:val="none" w:sz="0" w:space="0" w:color="auto"/>
      </w:divBdr>
    </w:div>
    <w:div w:id="1179811276">
      <w:bodyDiv w:val="1"/>
      <w:marLeft w:val="0"/>
      <w:marRight w:val="0"/>
      <w:marTop w:val="0"/>
      <w:marBottom w:val="0"/>
      <w:divBdr>
        <w:top w:val="none" w:sz="0" w:space="0" w:color="auto"/>
        <w:left w:val="none" w:sz="0" w:space="0" w:color="auto"/>
        <w:bottom w:val="none" w:sz="0" w:space="0" w:color="auto"/>
        <w:right w:val="none" w:sz="0" w:space="0" w:color="auto"/>
      </w:divBdr>
      <w:divsChild>
        <w:div w:id="220944552">
          <w:marLeft w:val="0"/>
          <w:marRight w:val="0"/>
          <w:marTop w:val="0"/>
          <w:marBottom w:val="0"/>
          <w:divBdr>
            <w:top w:val="none" w:sz="0" w:space="0" w:color="auto"/>
            <w:left w:val="none" w:sz="0" w:space="0" w:color="auto"/>
            <w:bottom w:val="none" w:sz="0" w:space="0" w:color="auto"/>
            <w:right w:val="none" w:sz="0" w:space="0" w:color="auto"/>
          </w:divBdr>
          <w:divsChild>
            <w:div w:id="332147405">
              <w:marLeft w:val="-225"/>
              <w:marRight w:val="-225"/>
              <w:marTop w:val="0"/>
              <w:marBottom w:val="0"/>
              <w:divBdr>
                <w:top w:val="none" w:sz="0" w:space="0" w:color="auto"/>
                <w:left w:val="none" w:sz="0" w:space="0" w:color="auto"/>
                <w:bottom w:val="none" w:sz="0" w:space="0" w:color="auto"/>
                <w:right w:val="none" w:sz="0" w:space="0" w:color="auto"/>
              </w:divBdr>
              <w:divsChild>
                <w:div w:id="130535306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210722164">
      <w:bodyDiv w:val="1"/>
      <w:marLeft w:val="0"/>
      <w:marRight w:val="0"/>
      <w:marTop w:val="0"/>
      <w:marBottom w:val="0"/>
      <w:divBdr>
        <w:top w:val="none" w:sz="0" w:space="0" w:color="auto"/>
        <w:left w:val="none" w:sz="0" w:space="0" w:color="auto"/>
        <w:bottom w:val="none" w:sz="0" w:space="0" w:color="auto"/>
        <w:right w:val="none" w:sz="0" w:space="0" w:color="auto"/>
      </w:divBdr>
      <w:divsChild>
        <w:div w:id="780299620">
          <w:marLeft w:val="0"/>
          <w:marRight w:val="0"/>
          <w:marTop w:val="0"/>
          <w:marBottom w:val="0"/>
          <w:divBdr>
            <w:top w:val="none" w:sz="0" w:space="0" w:color="auto"/>
            <w:left w:val="none" w:sz="0" w:space="0" w:color="auto"/>
            <w:bottom w:val="none" w:sz="0" w:space="0" w:color="auto"/>
            <w:right w:val="none" w:sz="0" w:space="0" w:color="auto"/>
          </w:divBdr>
          <w:divsChild>
            <w:div w:id="1848598969">
              <w:marLeft w:val="-225"/>
              <w:marRight w:val="-225"/>
              <w:marTop w:val="0"/>
              <w:marBottom w:val="0"/>
              <w:divBdr>
                <w:top w:val="none" w:sz="0" w:space="0" w:color="auto"/>
                <w:left w:val="none" w:sz="0" w:space="0" w:color="auto"/>
                <w:bottom w:val="none" w:sz="0" w:space="0" w:color="auto"/>
                <w:right w:val="none" w:sz="0" w:space="0" w:color="auto"/>
              </w:divBdr>
              <w:divsChild>
                <w:div w:id="19888975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223054326">
      <w:bodyDiv w:val="1"/>
      <w:marLeft w:val="0"/>
      <w:marRight w:val="0"/>
      <w:marTop w:val="0"/>
      <w:marBottom w:val="0"/>
      <w:divBdr>
        <w:top w:val="none" w:sz="0" w:space="0" w:color="auto"/>
        <w:left w:val="none" w:sz="0" w:space="0" w:color="auto"/>
        <w:bottom w:val="none" w:sz="0" w:space="0" w:color="auto"/>
        <w:right w:val="none" w:sz="0" w:space="0" w:color="auto"/>
      </w:divBdr>
    </w:div>
    <w:div w:id="1320498324">
      <w:bodyDiv w:val="1"/>
      <w:marLeft w:val="0"/>
      <w:marRight w:val="0"/>
      <w:marTop w:val="0"/>
      <w:marBottom w:val="0"/>
      <w:divBdr>
        <w:top w:val="none" w:sz="0" w:space="0" w:color="auto"/>
        <w:left w:val="none" w:sz="0" w:space="0" w:color="auto"/>
        <w:bottom w:val="none" w:sz="0" w:space="0" w:color="auto"/>
        <w:right w:val="none" w:sz="0" w:space="0" w:color="auto"/>
      </w:divBdr>
    </w:div>
    <w:div w:id="1352074978">
      <w:bodyDiv w:val="1"/>
      <w:marLeft w:val="0"/>
      <w:marRight w:val="0"/>
      <w:marTop w:val="0"/>
      <w:marBottom w:val="0"/>
      <w:divBdr>
        <w:top w:val="none" w:sz="0" w:space="0" w:color="auto"/>
        <w:left w:val="none" w:sz="0" w:space="0" w:color="auto"/>
        <w:bottom w:val="none" w:sz="0" w:space="0" w:color="auto"/>
        <w:right w:val="none" w:sz="0" w:space="0" w:color="auto"/>
      </w:divBdr>
    </w:div>
    <w:div w:id="1389111391">
      <w:bodyDiv w:val="1"/>
      <w:marLeft w:val="0"/>
      <w:marRight w:val="0"/>
      <w:marTop w:val="0"/>
      <w:marBottom w:val="0"/>
      <w:divBdr>
        <w:top w:val="none" w:sz="0" w:space="0" w:color="auto"/>
        <w:left w:val="none" w:sz="0" w:space="0" w:color="auto"/>
        <w:bottom w:val="none" w:sz="0" w:space="0" w:color="auto"/>
        <w:right w:val="none" w:sz="0" w:space="0" w:color="auto"/>
      </w:divBdr>
    </w:div>
    <w:div w:id="1406875426">
      <w:bodyDiv w:val="1"/>
      <w:marLeft w:val="0"/>
      <w:marRight w:val="0"/>
      <w:marTop w:val="0"/>
      <w:marBottom w:val="0"/>
      <w:divBdr>
        <w:top w:val="none" w:sz="0" w:space="0" w:color="auto"/>
        <w:left w:val="none" w:sz="0" w:space="0" w:color="auto"/>
        <w:bottom w:val="none" w:sz="0" w:space="0" w:color="auto"/>
        <w:right w:val="none" w:sz="0" w:space="0" w:color="auto"/>
      </w:divBdr>
    </w:div>
    <w:div w:id="1419015271">
      <w:bodyDiv w:val="1"/>
      <w:marLeft w:val="0"/>
      <w:marRight w:val="0"/>
      <w:marTop w:val="0"/>
      <w:marBottom w:val="0"/>
      <w:divBdr>
        <w:top w:val="none" w:sz="0" w:space="0" w:color="auto"/>
        <w:left w:val="none" w:sz="0" w:space="0" w:color="auto"/>
        <w:bottom w:val="none" w:sz="0" w:space="0" w:color="auto"/>
        <w:right w:val="none" w:sz="0" w:space="0" w:color="auto"/>
      </w:divBdr>
    </w:div>
    <w:div w:id="1423801036">
      <w:bodyDiv w:val="1"/>
      <w:marLeft w:val="0"/>
      <w:marRight w:val="0"/>
      <w:marTop w:val="0"/>
      <w:marBottom w:val="0"/>
      <w:divBdr>
        <w:top w:val="none" w:sz="0" w:space="0" w:color="auto"/>
        <w:left w:val="none" w:sz="0" w:space="0" w:color="auto"/>
        <w:bottom w:val="none" w:sz="0" w:space="0" w:color="auto"/>
        <w:right w:val="none" w:sz="0" w:space="0" w:color="auto"/>
      </w:divBdr>
    </w:div>
    <w:div w:id="1435709733">
      <w:bodyDiv w:val="1"/>
      <w:marLeft w:val="0"/>
      <w:marRight w:val="0"/>
      <w:marTop w:val="0"/>
      <w:marBottom w:val="0"/>
      <w:divBdr>
        <w:top w:val="none" w:sz="0" w:space="0" w:color="auto"/>
        <w:left w:val="none" w:sz="0" w:space="0" w:color="auto"/>
        <w:bottom w:val="none" w:sz="0" w:space="0" w:color="auto"/>
        <w:right w:val="none" w:sz="0" w:space="0" w:color="auto"/>
      </w:divBdr>
    </w:div>
    <w:div w:id="1513177109">
      <w:bodyDiv w:val="1"/>
      <w:marLeft w:val="0"/>
      <w:marRight w:val="0"/>
      <w:marTop w:val="0"/>
      <w:marBottom w:val="0"/>
      <w:divBdr>
        <w:top w:val="none" w:sz="0" w:space="0" w:color="auto"/>
        <w:left w:val="none" w:sz="0" w:space="0" w:color="auto"/>
        <w:bottom w:val="none" w:sz="0" w:space="0" w:color="auto"/>
        <w:right w:val="none" w:sz="0" w:space="0" w:color="auto"/>
      </w:divBdr>
      <w:divsChild>
        <w:div w:id="79759940">
          <w:marLeft w:val="0"/>
          <w:marRight w:val="0"/>
          <w:marTop w:val="0"/>
          <w:marBottom w:val="0"/>
          <w:divBdr>
            <w:top w:val="none" w:sz="0" w:space="0" w:color="auto"/>
            <w:left w:val="none" w:sz="0" w:space="0" w:color="auto"/>
            <w:bottom w:val="none" w:sz="0" w:space="0" w:color="auto"/>
            <w:right w:val="none" w:sz="0" w:space="0" w:color="auto"/>
          </w:divBdr>
          <w:divsChild>
            <w:div w:id="1867401685">
              <w:marLeft w:val="0"/>
              <w:marRight w:val="0"/>
              <w:marTop w:val="0"/>
              <w:marBottom w:val="0"/>
              <w:divBdr>
                <w:top w:val="none" w:sz="0" w:space="0" w:color="auto"/>
                <w:left w:val="none" w:sz="0" w:space="0" w:color="auto"/>
                <w:bottom w:val="none" w:sz="0" w:space="0" w:color="auto"/>
                <w:right w:val="none" w:sz="0" w:space="0" w:color="auto"/>
              </w:divBdr>
              <w:divsChild>
                <w:div w:id="1339652518">
                  <w:marLeft w:val="0"/>
                  <w:marRight w:val="0"/>
                  <w:marTop w:val="0"/>
                  <w:marBottom w:val="0"/>
                  <w:divBdr>
                    <w:top w:val="none" w:sz="0" w:space="0" w:color="auto"/>
                    <w:left w:val="none" w:sz="0" w:space="0" w:color="auto"/>
                    <w:bottom w:val="none" w:sz="0" w:space="0" w:color="auto"/>
                    <w:right w:val="none" w:sz="0" w:space="0" w:color="auto"/>
                  </w:divBdr>
                  <w:divsChild>
                    <w:div w:id="1271889063">
                      <w:marLeft w:val="150"/>
                      <w:marRight w:val="150"/>
                      <w:marTop w:val="0"/>
                      <w:marBottom w:val="0"/>
                      <w:divBdr>
                        <w:top w:val="none" w:sz="0" w:space="0" w:color="auto"/>
                        <w:left w:val="none" w:sz="0" w:space="0" w:color="auto"/>
                        <w:bottom w:val="none" w:sz="0" w:space="0" w:color="auto"/>
                        <w:right w:val="none" w:sz="0" w:space="0" w:color="auto"/>
                      </w:divBdr>
                      <w:divsChild>
                        <w:div w:id="327292508">
                          <w:marLeft w:val="0"/>
                          <w:marRight w:val="0"/>
                          <w:marTop w:val="0"/>
                          <w:marBottom w:val="0"/>
                          <w:divBdr>
                            <w:top w:val="none" w:sz="0" w:space="0" w:color="auto"/>
                            <w:left w:val="none" w:sz="0" w:space="0" w:color="auto"/>
                            <w:bottom w:val="none" w:sz="0" w:space="0" w:color="auto"/>
                            <w:right w:val="none" w:sz="0" w:space="0" w:color="auto"/>
                          </w:divBdr>
                          <w:divsChild>
                            <w:div w:id="1979021792">
                              <w:marLeft w:val="0"/>
                              <w:marRight w:val="0"/>
                              <w:marTop w:val="0"/>
                              <w:marBottom w:val="0"/>
                              <w:divBdr>
                                <w:top w:val="none" w:sz="0" w:space="0" w:color="auto"/>
                                <w:left w:val="none" w:sz="0" w:space="0" w:color="auto"/>
                                <w:bottom w:val="none" w:sz="0" w:space="0" w:color="auto"/>
                                <w:right w:val="none" w:sz="0" w:space="0" w:color="auto"/>
                              </w:divBdr>
                              <w:divsChild>
                                <w:div w:id="591402225">
                                  <w:marLeft w:val="0"/>
                                  <w:marRight w:val="0"/>
                                  <w:marTop w:val="0"/>
                                  <w:marBottom w:val="0"/>
                                  <w:divBdr>
                                    <w:top w:val="none" w:sz="0" w:space="0" w:color="auto"/>
                                    <w:left w:val="none" w:sz="0" w:space="0" w:color="auto"/>
                                    <w:bottom w:val="none" w:sz="0" w:space="0" w:color="auto"/>
                                    <w:right w:val="none" w:sz="0" w:space="0" w:color="auto"/>
                                  </w:divBdr>
                                  <w:divsChild>
                                    <w:div w:id="239993156">
                                      <w:marLeft w:val="0"/>
                                      <w:marRight w:val="0"/>
                                      <w:marTop w:val="0"/>
                                      <w:marBottom w:val="0"/>
                                      <w:divBdr>
                                        <w:top w:val="none" w:sz="0" w:space="0" w:color="auto"/>
                                        <w:left w:val="none" w:sz="0" w:space="0" w:color="auto"/>
                                        <w:bottom w:val="none" w:sz="0" w:space="0" w:color="auto"/>
                                        <w:right w:val="none" w:sz="0" w:space="0" w:color="auto"/>
                                      </w:divBdr>
                                      <w:divsChild>
                                        <w:div w:id="1973167480">
                                          <w:marLeft w:val="0"/>
                                          <w:marRight w:val="0"/>
                                          <w:marTop w:val="0"/>
                                          <w:marBottom w:val="0"/>
                                          <w:divBdr>
                                            <w:top w:val="none" w:sz="0" w:space="0" w:color="auto"/>
                                            <w:left w:val="none" w:sz="0" w:space="0" w:color="auto"/>
                                            <w:bottom w:val="none" w:sz="0" w:space="0" w:color="auto"/>
                                            <w:right w:val="none" w:sz="0" w:space="0" w:color="auto"/>
                                          </w:divBdr>
                                          <w:divsChild>
                                            <w:div w:id="1145851465">
                                              <w:marLeft w:val="0"/>
                                              <w:marRight w:val="0"/>
                                              <w:marTop w:val="0"/>
                                              <w:marBottom w:val="0"/>
                                              <w:divBdr>
                                                <w:top w:val="none" w:sz="0" w:space="0" w:color="auto"/>
                                                <w:left w:val="none" w:sz="0" w:space="0" w:color="auto"/>
                                                <w:bottom w:val="none" w:sz="0" w:space="0" w:color="auto"/>
                                                <w:right w:val="none" w:sz="0" w:space="0" w:color="auto"/>
                                              </w:divBdr>
                                              <w:divsChild>
                                                <w:div w:id="17481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01169">
                              <w:marLeft w:val="0"/>
                              <w:marRight w:val="0"/>
                              <w:marTop w:val="0"/>
                              <w:marBottom w:val="0"/>
                              <w:divBdr>
                                <w:top w:val="none" w:sz="0" w:space="0" w:color="auto"/>
                                <w:left w:val="none" w:sz="0" w:space="0" w:color="auto"/>
                                <w:bottom w:val="none" w:sz="0" w:space="0" w:color="auto"/>
                                <w:right w:val="none" w:sz="0" w:space="0" w:color="auto"/>
                              </w:divBdr>
                              <w:divsChild>
                                <w:div w:id="259458047">
                                  <w:marLeft w:val="0"/>
                                  <w:marRight w:val="0"/>
                                  <w:marTop w:val="0"/>
                                  <w:marBottom w:val="0"/>
                                  <w:divBdr>
                                    <w:top w:val="none" w:sz="0" w:space="0" w:color="auto"/>
                                    <w:left w:val="none" w:sz="0" w:space="0" w:color="auto"/>
                                    <w:bottom w:val="none" w:sz="0" w:space="0" w:color="auto"/>
                                    <w:right w:val="none" w:sz="0" w:space="0" w:color="auto"/>
                                  </w:divBdr>
                                  <w:divsChild>
                                    <w:div w:id="6230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4536">
                              <w:marLeft w:val="0"/>
                              <w:marRight w:val="0"/>
                              <w:marTop w:val="0"/>
                              <w:marBottom w:val="0"/>
                              <w:divBdr>
                                <w:top w:val="none" w:sz="0" w:space="0" w:color="auto"/>
                                <w:left w:val="none" w:sz="0" w:space="0" w:color="auto"/>
                                <w:bottom w:val="none" w:sz="0" w:space="0" w:color="auto"/>
                                <w:right w:val="none" w:sz="0" w:space="0" w:color="auto"/>
                              </w:divBdr>
                              <w:divsChild>
                                <w:div w:id="1642882216">
                                  <w:marLeft w:val="0"/>
                                  <w:marRight w:val="0"/>
                                  <w:marTop w:val="0"/>
                                  <w:marBottom w:val="0"/>
                                  <w:divBdr>
                                    <w:top w:val="none" w:sz="0" w:space="0" w:color="auto"/>
                                    <w:left w:val="none" w:sz="0" w:space="0" w:color="auto"/>
                                    <w:bottom w:val="none" w:sz="0" w:space="0" w:color="auto"/>
                                    <w:right w:val="none" w:sz="0" w:space="0" w:color="auto"/>
                                  </w:divBdr>
                                  <w:divsChild>
                                    <w:div w:id="1197814133">
                                      <w:marLeft w:val="0"/>
                                      <w:marRight w:val="0"/>
                                      <w:marTop w:val="0"/>
                                      <w:marBottom w:val="0"/>
                                      <w:divBdr>
                                        <w:top w:val="none" w:sz="0" w:space="0" w:color="auto"/>
                                        <w:left w:val="none" w:sz="0" w:space="0" w:color="auto"/>
                                        <w:bottom w:val="none" w:sz="0" w:space="0" w:color="auto"/>
                                        <w:right w:val="none" w:sz="0" w:space="0" w:color="auto"/>
                                      </w:divBdr>
                                      <w:divsChild>
                                        <w:div w:id="1159347453">
                                          <w:marLeft w:val="0"/>
                                          <w:marRight w:val="0"/>
                                          <w:marTop w:val="0"/>
                                          <w:marBottom w:val="0"/>
                                          <w:divBdr>
                                            <w:top w:val="none" w:sz="0" w:space="0" w:color="auto"/>
                                            <w:left w:val="none" w:sz="0" w:space="0" w:color="auto"/>
                                            <w:bottom w:val="none" w:sz="0" w:space="0" w:color="auto"/>
                                            <w:right w:val="none" w:sz="0" w:space="0" w:color="auto"/>
                                          </w:divBdr>
                                          <w:divsChild>
                                            <w:div w:id="20472090">
                                              <w:marLeft w:val="0"/>
                                              <w:marRight w:val="0"/>
                                              <w:marTop w:val="0"/>
                                              <w:marBottom w:val="0"/>
                                              <w:divBdr>
                                                <w:top w:val="none" w:sz="0" w:space="0" w:color="auto"/>
                                                <w:left w:val="none" w:sz="0" w:space="0" w:color="auto"/>
                                                <w:bottom w:val="none" w:sz="0" w:space="0" w:color="auto"/>
                                                <w:right w:val="none" w:sz="0" w:space="0" w:color="auto"/>
                                              </w:divBdr>
                                              <w:divsChild>
                                                <w:div w:id="12001499">
                                                  <w:marLeft w:val="300"/>
                                                  <w:marRight w:val="-300"/>
                                                  <w:marTop w:val="0"/>
                                                  <w:marBottom w:val="0"/>
                                                  <w:divBdr>
                                                    <w:top w:val="none" w:sz="0" w:space="0" w:color="auto"/>
                                                    <w:left w:val="single" w:sz="6" w:space="31" w:color="AAAAAA"/>
                                                    <w:bottom w:val="none" w:sz="0" w:space="0" w:color="auto"/>
                                                    <w:right w:val="none" w:sz="0" w:space="0" w:color="auto"/>
                                                  </w:divBdr>
                                                  <w:divsChild>
                                                    <w:div w:id="1997148575">
                                                      <w:marLeft w:val="-450"/>
                                                      <w:marRight w:val="1200"/>
                                                      <w:marTop w:val="0"/>
                                                      <w:marBottom w:val="0"/>
                                                      <w:divBdr>
                                                        <w:top w:val="none" w:sz="0" w:space="0" w:color="auto"/>
                                                        <w:left w:val="none" w:sz="0" w:space="0" w:color="auto"/>
                                                        <w:bottom w:val="none" w:sz="0" w:space="0" w:color="auto"/>
                                                        <w:right w:val="none" w:sz="0" w:space="0" w:color="auto"/>
                                                      </w:divBdr>
                                                      <w:divsChild>
                                                        <w:div w:id="575015687">
                                                          <w:marLeft w:val="0"/>
                                                          <w:marRight w:val="0"/>
                                                          <w:marTop w:val="0"/>
                                                          <w:marBottom w:val="0"/>
                                                          <w:divBdr>
                                                            <w:top w:val="none" w:sz="0" w:space="0" w:color="auto"/>
                                                            <w:left w:val="none" w:sz="0" w:space="0" w:color="auto"/>
                                                            <w:bottom w:val="none" w:sz="0" w:space="0" w:color="auto"/>
                                                            <w:right w:val="none" w:sz="0" w:space="0" w:color="auto"/>
                                                          </w:divBdr>
                                                        </w:div>
                                                        <w:div w:id="415707152">
                                                          <w:marLeft w:val="0"/>
                                                          <w:marRight w:val="0"/>
                                                          <w:marTop w:val="0"/>
                                                          <w:marBottom w:val="0"/>
                                                          <w:divBdr>
                                                            <w:top w:val="none" w:sz="0" w:space="0" w:color="auto"/>
                                                            <w:left w:val="none" w:sz="0" w:space="0" w:color="auto"/>
                                                            <w:bottom w:val="none" w:sz="0" w:space="0" w:color="auto"/>
                                                            <w:right w:val="none" w:sz="0" w:space="0" w:color="auto"/>
                                                          </w:divBdr>
                                                        </w:div>
                                                        <w:div w:id="1681658701">
                                                          <w:marLeft w:val="0"/>
                                                          <w:marRight w:val="0"/>
                                                          <w:marTop w:val="0"/>
                                                          <w:marBottom w:val="0"/>
                                                          <w:divBdr>
                                                            <w:top w:val="none" w:sz="0" w:space="0" w:color="auto"/>
                                                            <w:left w:val="none" w:sz="0" w:space="0" w:color="auto"/>
                                                            <w:bottom w:val="none" w:sz="0" w:space="0" w:color="auto"/>
                                                            <w:right w:val="none" w:sz="0" w:space="0" w:color="auto"/>
                                                          </w:divBdr>
                                                        </w:div>
                                                        <w:div w:id="5362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238365">
                              <w:marLeft w:val="0"/>
                              <w:marRight w:val="0"/>
                              <w:marTop w:val="0"/>
                              <w:marBottom w:val="0"/>
                              <w:divBdr>
                                <w:top w:val="none" w:sz="0" w:space="0" w:color="auto"/>
                                <w:left w:val="none" w:sz="0" w:space="0" w:color="auto"/>
                                <w:bottom w:val="none" w:sz="0" w:space="0" w:color="auto"/>
                                <w:right w:val="none" w:sz="0" w:space="0" w:color="auto"/>
                              </w:divBdr>
                              <w:divsChild>
                                <w:div w:id="1345280979">
                                  <w:marLeft w:val="0"/>
                                  <w:marRight w:val="0"/>
                                  <w:marTop w:val="0"/>
                                  <w:marBottom w:val="0"/>
                                  <w:divBdr>
                                    <w:top w:val="none" w:sz="0" w:space="0" w:color="auto"/>
                                    <w:left w:val="none" w:sz="0" w:space="0" w:color="auto"/>
                                    <w:bottom w:val="none" w:sz="0" w:space="0" w:color="auto"/>
                                    <w:right w:val="none" w:sz="0" w:space="0" w:color="auto"/>
                                  </w:divBdr>
                                  <w:divsChild>
                                    <w:div w:id="1961187696">
                                      <w:marLeft w:val="0"/>
                                      <w:marRight w:val="0"/>
                                      <w:marTop w:val="0"/>
                                      <w:marBottom w:val="0"/>
                                      <w:divBdr>
                                        <w:top w:val="none" w:sz="0" w:space="0" w:color="auto"/>
                                        <w:left w:val="none" w:sz="0" w:space="0" w:color="auto"/>
                                        <w:bottom w:val="none" w:sz="0" w:space="0" w:color="auto"/>
                                        <w:right w:val="none" w:sz="0" w:space="0" w:color="auto"/>
                                      </w:divBdr>
                                      <w:divsChild>
                                        <w:div w:id="1620139705">
                                          <w:marLeft w:val="0"/>
                                          <w:marRight w:val="0"/>
                                          <w:marTop w:val="0"/>
                                          <w:marBottom w:val="0"/>
                                          <w:divBdr>
                                            <w:top w:val="none" w:sz="0" w:space="0" w:color="auto"/>
                                            <w:left w:val="none" w:sz="0" w:space="0" w:color="auto"/>
                                            <w:bottom w:val="none" w:sz="0" w:space="0" w:color="auto"/>
                                            <w:right w:val="none" w:sz="0" w:space="0" w:color="auto"/>
                                          </w:divBdr>
                                          <w:divsChild>
                                            <w:div w:id="2127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903">
                              <w:marLeft w:val="0"/>
                              <w:marRight w:val="0"/>
                              <w:marTop w:val="0"/>
                              <w:marBottom w:val="0"/>
                              <w:divBdr>
                                <w:top w:val="none" w:sz="0" w:space="0" w:color="auto"/>
                                <w:left w:val="none" w:sz="0" w:space="0" w:color="auto"/>
                                <w:bottom w:val="none" w:sz="0" w:space="0" w:color="auto"/>
                                <w:right w:val="none" w:sz="0" w:space="0" w:color="auto"/>
                              </w:divBdr>
                              <w:divsChild>
                                <w:div w:id="2053767959">
                                  <w:marLeft w:val="0"/>
                                  <w:marRight w:val="0"/>
                                  <w:marTop w:val="0"/>
                                  <w:marBottom w:val="0"/>
                                  <w:divBdr>
                                    <w:top w:val="none" w:sz="0" w:space="0" w:color="auto"/>
                                    <w:left w:val="none" w:sz="0" w:space="0" w:color="auto"/>
                                    <w:bottom w:val="none" w:sz="0" w:space="0" w:color="auto"/>
                                    <w:right w:val="none" w:sz="0" w:space="0" w:color="auto"/>
                                  </w:divBdr>
                                  <w:divsChild>
                                    <w:div w:id="9004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85127">
                              <w:marLeft w:val="0"/>
                              <w:marRight w:val="0"/>
                              <w:marTop w:val="0"/>
                              <w:marBottom w:val="0"/>
                              <w:divBdr>
                                <w:top w:val="none" w:sz="0" w:space="0" w:color="auto"/>
                                <w:left w:val="none" w:sz="0" w:space="0" w:color="auto"/>
                                <w:bottom w:val="none" w:sz="0" w:space="0" w:color="auto"/>
                                <w:right w:val="none" w:sz="0" w:space="0" w:color="auto"/>
                              </w:divBdr>
                              <w:divsChild>
                                <w:div w:id="1050614057">
                                  <w:marLeft w:val="0"/>
                                  <w:marRight w:val="0"/>
                                  <w:marTop w:val="0"/>
                                  <w:marBottom w:val="0"/>
                                  <w:divBdr>
                                    <w:top w:val="none" w:sz="0" w:space="0" w:color="auto"/>
                                    <w:left w:val="none" w:sz="0" w:space="0" w:color="auto"/>
                                    <w:bottom w:val="none" w:sz="0" w:space="0" w:color="auto"/>
                                    <w:right w:val="none" w:sz="0" w:space="0" w:color="auto"/>
                                  </w:divBdr>
                                  <w:divsChild>
                                    <w:div w:id="785856941">
                                      <w:marLeft w:val="0"/>
                                      <w:marRight w:val="0"/>
                                      <w:marTop w:val="0"/>
                                      <w:marBottom w:val="0"/>
                                      <w:divBdr>
                                        <w:top w:val="none" w:sz="0" w:space="0" w:color="auto"/>
                                        <w:left w:val="none" w:sz="0" w:space="0" w:color="auto"/>
                                        <w:bottom w:val="none" w:sz="0" w:space="0" w:color="auto"/>
                                        <w:right w:val="none" w:sz="0" w:space="0" w:color="auto"/>
                                      </w:divBdr>
                                      <w:divsChild>
                                        <w:div w:id="329798469">
                                          <w:marLeft w:val="0"/>
                                          <w:marRight w:val="0"/>
                                          <w:marTop w:val="0"/>
                                          <w:marBottom w:val="0"/>
                                          <w:divBdr>
                                            <w:top w:val="none" w:sz="0" w:space="0" w:color="auto"/>
                                            <w:left w:val="none" w:sz="0" w:space="0" w:color="auto"/>
                                            <w:bottom w:val="none" w:sz="0" w:space="0" w:color="auto"/>
                                            <w:right w:val="none" w:sz="0" w:space="0" w:color="auto"/>
                                          </w:divBdr>
                                          <w:divsChild>
                                            <w:div w:id="454369794">
                                              <w:marLeft w:val="0"/>
                                              <w:marRight w:val="0"/>
                                              <w:marTop w:val="0"/>
                                              <w:marBottom w:val="0"/>
                                              <w:divBdr>
                                                <w:top w:val="none" w:sz="0" w:space="0" w:color="auto"/>
                                                <w:left w:val="none" w:sz="0" w:space="0" w:color="auto"/>
                                                <w:bottom w:val="none" w:sz="0" w:space="0" w:color="auto"/>
                                                <w:right w:val="none" w:sz="0" w:space="0" w:color="auto"/>
                                              </w:divBdr>
                                              <w:divsChild>
                                                <w:div w:id="1904176700">
                                                  <w:marLeft w:val="0"/>
                                                  <w:marRight w:val="0"/>
                                                  <w:marTop w:val="0"/>
                                                  <w:marBottom w:val="0"/>
                                                  <w:divBdr>
                                                    <w:top w:val="none" w:sz="0" w:space="0" w:color="auto"/>
                                                    <w:left w:val="none" w:sz="0" w:space="0" w:color="auto"/>
                                                    <w:bottom w:val="none" w:sz="0" w:space="0" w:color="auto"/>
                                                    <w:right w:val="none" w:sz="0" w:space="0" w:color="auto"/>
                                                  </w:divBdr>
                                                  <w:divsChild>
                                                    <w:div w:id="99641663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17238571">
                                              <w:marLeft w:val="0"/>
                                              <w:marRight w:val="0"/>
                                              <w:marTop w:val="0"/>
                                              <w:marBottom w:val="0"/>
                                              <w:divBdr>
                                                <w:top w:val="none" w:sz="0" w:space="0" w:color="auto"/>
                                                <w:left w:val="none" w:sz="0" w:space="0" w:color="auto"/>
                                                <w:bottom w:val="none" w:sz="0" w:space="0" w:color="auto"/>
                                                <w:right w:val="none" w:sz="0" w:space="0" w:color="auto"/>
                                              </w:divBdr>
                                            </w:div>
                                            <w:div w:id="1195969105">
                                              <w:marLeft w:val="0"/>
                                              <w:marRight w:val="0"/>
                                              <w:marTop w:val="0"/>
                                              <w:marBottom w:val="0"/>
                                              <w:divBdr>
                                                <w:top w:val="none" w:sz="0" w:space="0" w:color="auto"/>
                                                <w:left w:val="none" w:sz="0" w:space="0" w:color="auto"/>
                                                <w:bottom w:val="none" w:sz="0" w:space="0" w:color="auto"/>
                                                <w:right w:val="none" w:sz="0" w:space="0" w:color="auto"/>
                                              </w:divBdr>
                                            </w:div>
                                            <w:div w:id="1124033501">
                                              <w:marLeft w:val="0"/>
                                              <w:marRight w:val="0"/>
                                              <w:marTop w:val="0"/>
                                              <w:marBottom w:val="0"/>
                                              <w:divBdr>
                                                <w:top w:val="none" w:sz="0" w:space="0" w:color="auto"/>
                                                <w:left w:val="none" w:sz="0" w:space="0" w:color="auto"/>
                                                <w:bottom w:val="none" w:sz="0" w:space="0" w:color="auto"/>
                                                <w:right w:val="none" w:sz="0" w:space="0" w:color="auto"/>
                                              </w:divBdr>
                                            </w:div>
                                            <w:div w:id="15454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03110">
                                  <w:marLeft w:val="0"/>
                                  <w:marRight w:val="0"/>
                                  <w:marTop w:val="0"/>
                                  <w:marBottom w:val="0"/>
                                  <w:divBdr>
                                    <w:top w:val="none" w:sz="0" w:space="0" w:color="auto"/>
                                    <w:left w:val="none" w:sz="0" w:space="0" w:color="auto"/>
                                    <w:bottom w:val="none" w:sz="0" w:space="0" w:color="auto"/>
                                    <w:right w:val="none" w:sz="0" w:space="0" w:color="auto"/>
                                  </w:divBdr>
                                  <w:divsChild>
                                    <w:div w:id="2128618660">
                                      <w:marLeft w:val="0"/>
                                      <w:marRight w:val="0"/>
                                      <w:marTop w:val="0"/>
                                      <w:marBottom w:val="0"/>
                                      <w:divBdr>
                                        <w:top w:val="none" w:sz="0" w:space="0" w:color="auto"/>
                                        <w:left w:val="none" w:sz="0" w:space="0" w:color="auto"/>
                                        <w:bottom w:val="none" w:sz="0" w:space="0" w:color="auto"/>
                                        <w:right w:val="none" w:sz="0" w:space="0" w:color="auto"/>
                                      </w:divBdr>
                                      <w:divsChild>
                                        <w:div w:id="1963026489">
                                          <w:marLeft w:val="0"/>
                                          <w:marRight w:val="0"/>
                                          <w:marTop w:val="0"/>
                                          <w:marBottom w:val="0"/>
                                          <w:divBdr>
                                            <w:top w:val="none" w:sz="0" w:space="0" w:color="auto"/>
                                            <w:left w:val="none" w:sz="0" w:space="0" w:color="auto"/>
                                            <w:bottom w:val="none" w:sz="0" w:space="0" w:color="auto"/>
                                            <w:right w:val="none" w:sz="0" w:space="0" w:color="auto"/>
                                          </w:divBdr>
                                          <w:divsChild>
                                            <w:div w:id="1335037754">
                                              <w:marLeft w:val="0"/>
                                              <w:marRight w:val="0"/>
                                              <w:marTop w:val="0"/>
                                              <w:marBottom w:val="0"/>
                                              <w:divBdr>
                                                <w:top w:val="none" w:sz="0" w:space="0" w:color="auto"/>
                                                <w:left w:val="none" w:sz="0" w:space="0" w:color="auto"/>
                                                <w:bottom w:val="none" w:sz="0" w:space="0" w:color="auto"/>
                                                <w:right w:val="none" w:sz="0" w:space="0" w:color="auto"/>
                                              </w:divBdr>
                                              <w:divsChild>
                                                <w:div w:id="1391660021">
                                                  <w:marLeft w:val="0"/>
                                                  <w:marRight w:val="0"/>
                                                  <w:marTop w:val="0"/>
                                                  <w:marBottom w:val="0"/>
                                                  <w:divBdr>
                                                    <w:top w:val="none" w:sz="0" w:space="0" w:color="auto"/>
                                                    <w:left w:val="none" w:sz="0" w:space="0" w:color="auto"/>
                                                    <w:bottom w:val="none" w:sz="0" w:space="0" w:color="auto"/>
                                                    <w:right w:val="none" w:sz="0" w:space="0" w:color="auto"/>
                                                  </w:divBdr>
                                                  <w:divsChild>
                                                    <w:div w:id="108510873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591154113">
                                              <w:marLeft w:val="0"/>
                                              <w:marRight w:val="0"/>
                                              <w:marTop w:val="0"/>
                                              <w:marBottom w:val="0"/>
                                              <w:divBdr>
                                                <w:top w:val="none" w:sz="0" w:space="0" w:color="auto"/>
                                                <w:left w:val="none" w:sz="0" w:space="0" w:color="auto"/>
                                                <w:bottom w:val="none" w:sz="0" w:space="0" w:color="auto"/>
                                                <w:right w:val="none" w:sz="0" w:space="0" w:color="auto"/>
                                              </w:divBdr>
                                            </w:div>
                                            <w:div w:id="186718923">
                                              <w:marLeft w:val="0"/>
                                              <w:marRight w:val="0"/>
                                              <w:marTop w:val="0"/>
                                              <w:marBottom w:val="0"/>
                                              <w:divBdr>
                                                <w:top w:val="none" w:sz="0" w:space="0" w:color="auto"/>
                                                <w:left w:val="none" w:sz="0" w:space="0" w:color="auto"/>
                                                <w:bottom w:val="none" w:sz="0" w:space="0" w:color="auto"/>
                                                <w:right w:val="none" w:sz="0" w:space="0" w:color="auto"/>
                                              </w:divBdr>
                                            </w:div>
                                            <w:div w:id="1279489951">
                                              <w:marLeft w:val="0"/>
                                              <w:marRight w:val="0"/>
                                              <w:marTop w:val="0"/>
                                              <w:marBottom w:val="0"/>
                                              <w:divBdr>
                                                <w:top w:val="none" w:sz="0" w:space="0" w:color="auto"/>
                                                <w:left w:val="none" w:sz="0" w:space="0" w:color="auto"/>
                                                <w:bottom w:val="none" w:sz="0" w:space="0" w:color="auto"/>
                                                <w:right w:val="none" w:sz="0" w:space="0" w:color="auto"/>
                                              </w:divBdr>
                                            </w:div>
                                            <w:div w:id="12847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88165">
                                  <w:marLeft w:val="0"/>
                                  <w:marRight w:val="0"/>
                                  <w:marTop w:val="0"/>
                                  <w:marBottom w:val="0"/>
                                  <w:divBdr>
                                    <w:top w:val="none" w:sz="0" w:space="0" w:color="auto"/>
                                    <w:left w:val="none" w:sz="0" w:space="0" w:color="auto"/>
                                    <w:bottom w:val="none" w:sz="0" w:space="0" w:color="auto"/>
                                    <w:right w:val="none" w:sz="0" w:space="0" w:color="auto"/>
                                  </w:divBdr>
                                  <w:divsChild>
                                    <w:div w:id="38433745">
                                      <w:marLeft w:val="0"/>
                                      <w:marRight w:val="0"/>
                                      <w:marTop w:val="0"/>
                                      <w:marBottom w:val="0"/>
                                      <w:divBdr>
                                        <w:top w:val="none" w:sz="0" w:space="0" w:color="auto"/>
                                        <w:left w:val="none" w:sz="0" w:space="0" w:color="auto"/>
                                        <w:bottom w:val="none" w:sz="0" w:space="0" w:color="auto"/>
                                        <w:right w:val="none" w:sz="0" w:space="0" w:color="auto"/>
                                      </w:divBdr>
                                      <w:divsChild>
                                        <w:div w:id="1578711007">
                                          <w:marLeft w:val="0"/>
                                          <w:marRight w:val="0"/>
                                          <w:marTop w:val="0"/>
                                          <w:marBottom w:val="0"/>
                                          <w:divBdr>
                                            <w:top w:val="none" w:sz="0" w:space="0" w:color="auto"/>
                                            <w:left w:val="none" w:sz="0" w:space="0" w:color="auto"/>
                                            <w:bottom w:val="none" w:sz="0" w:space="0" w:color="auto"/>
                                            <w:right w:val="none" w:sz="0" w:space="0" w:color="auto"/>
                                          </w:divBdr>
                                          <w:divsChild>
                                            <w:div w:id="1799686902">
                                              <w:marLeft w:val="0"/>
                                              <w:marRight w:val="0"/>
                                              <w:marTop w:val="0"/>
                                              <w:marBottom w:val="0"/>
                                              <w:divBdr>
                                                <w:top w:val="none" w:sz="0" w:space="0" w:color="auto"/>
                                                <w:left w:val="none" w:sz="0" w:space="0" w:color="auto"/>
                                                <w:bottom w:val="none" w:sz="0" w:space="0" w:color="auto"/>
                                                <w:right w:val="none" w:sz="0" w:space="0" w:color="auto"/>
                                              </w:divBdr>
                                              <w:divsChild>
                                                <w:div w:id="940458395">
                                                  <w:marLeft w:val="0"/>
                                                  <w:marRight w:val="0"/>
                                                  <w:marTop w:val="0"/>
                                                  <w:marBottom w:val="0"/>
                                                  <w:divBdr>
                                                    <w:top w:val="none" w:sz="0" w:space="0" w:color="auto"/>
                                                    <w:left w:val="none" w:sz="0" w:space="0" w:color="auto"/>
                                                    <w:bottom w:val="none" w:sz="0" w:space="0" w:color="auto"/>
                                                    <w:right w:val="none" w:sz="0" w:space="0" w:color="auto"/>
                                                  </w:divBdr>
                                                  <w:divsChild>
                                                    <w:div w:id="7082647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139369601">
                                              <w:marLeft w:val="0"/>
                                              <w:marRight w:val="0"/>
                                              <w:marTop w:val="0"/>
                                              <w:marBottom w:val="0"/>
                                              <w:divBdr>
                                                <w:top w:val="none" w:sz="0" w:space="0" w:color="auto"/>
                                                <w:left w:val="none" w:sz="0" w:space="0" w:color="auto"/>
                                                <w:bottom w:val="none" w:sz="0" w:space="0" w:color="auto"/>
                                                <w:right w:val="none" w:sz="0" w:space="0" w:color="auto"/>
                                              </w:divBdr>
                                            </w:div>
                                            <w:div w:id="400182022">
                                              <w:marLeft w:val="0"/>
                                              <w:marRight w:val="0"/>
                                              <w:marTop w:val="0"/>
                                              <w:marBottom w:val="0"/>
                                              <w:divBdr>
                                                <w:top w:val="none" w:sz="0" w:space="0" w:color="auto"/>
                                                <w:left w:val="none" w:sz="0" w:space="0" w:color="auto"/>
                                                <w:bottom w:val="none" w:sz="0" w:space="0" w:color="auto"/>
                                                <w:right w:val="none" w:sz="0" w:space="0" w:color="auto"/>
                                              </w:divBdr>
                                            </w:div>
                                            <w:div w:id="1620406934">
                                              <w:marLeft w:val="0"/>
                                              <w:marRight w:val="0"/>
                                              <w:marTop w:val="0"/>
                                              <w:marBottom w:val="0"/>
                                              <w:divBdr>
                                                <w:top w:val="none" w:sz="0" w:space="0" w:color="auto"/>
                                                <w:left w:val="none" w:sz="0" w:space="0" w:color="auto"/>
                                                <w:bottom w:val="none" w:sz="0" w:space="0" w:color="auto"/>
                                                <w:right w:val="none" w:sz="0" w:space="0" w:color="auto"/>
                                              </w:divBdr>
                                            </w:div>
                                            <w:div w:id="6056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6208">
                                  <w:marLeft w:val="0"/>
                                  <w:marRight w:val="0"/>
                                  <w:marTop w:val="0"/>
                                  <w:marBottom w:val="0"/>
                                  <w:divBdr>
                                    <w:top w:val="none" w:sz="0" w:space="0" w:color="auto"/>
                                    <w:left w:val="none" w:sz="0" w:space="0" w:color="auto"/>
                                    <w:bottom w:val="none" w:sz="0" w:space="0" w:color="auto"/>
                                    <w:right w:val="none" w:sz="0" w:space="0" w:color="auto"/>
                                  </w:divBdr>
                                  <w:divsChild>
                                    <w:div w:id="20059564">
                                      <w:marLeft w:val="0"/>
                                      <w:marRight w:val="0"/>
                                      <w:marTop w:val="0"/>
                                      <w:marBottom w:val="0"/>
                                      <w:divBdr>
                                        <w:top w:val="none" w:sz="0" w:space="0" w:color="auto"/>
                                        <w:left w:val="none" w:sz="0" w:space="0" w:color="auto"/>
                                        <w:bottom w:val="none" w:sz="0" w:space="0" w:color="auto"/>
                                        <w:right w:val="none" w:sz="0" w:space="0" w:color="auto"/>
                                      </w:divBdr>
                                      <w:divsChild>
                                        <w:div w:id="828447422">
                                          <w:marLeft w:val="0"/>
                                          <w:marRight w:val="0"/>
                                          <w:marTop w:val="0"/>
                                          <w:marBottom w:val="0"/>
                                          <w:divBdr>
                                            <w:top w:val="none" w:sz="0" w:space="0" w:color="auto"/>
                                            <w:left w:val="none" w:sz="0" w:space="0" w:color="auto"/>
                                            <w:bottom w:val="none" w:sz="0" w:space="0" w:color="auto"/>
                                            <w:right w:val="none" w:sz="0" w:space="0" w:color="auto"/>
                                          </w:divBdr>
                                          <w:divsChild>
                                            <w:div w:id="1019161986">
                                              <w:marLeft w:val="0"/>
                                              <w:marRight w:val="0"/>
                                              <w:marTop w:val="0"/>
                                              <w:marBottom w:val="0"/>
                                              <w:divBdr>
                                                <w:top w:val="none" w:sz="0" w:space="0" w:color="auto"/>
                                                <w:left w:val="none" w:sz="0" w:space="0" w:color="auto"/>
                                                <w:bottom w:val="none" w:sz="0" w:space="0" w:color="auto"/>
                                                <w:right w:val="none" w:sz="0" w:space="0" w:color="auto"/>
                                              </w:divBdr>
                                              <w:divsChild>
                                                <w:div w:id="1066412940">
                                                  <w:marLeft w:val="0"/>
                                                  <w:marRight w:val="0"/>
                                                  <w:marTop w:val="0"/>
                                                  <w:marBottom w:val="0"/>
                                                  <w:divBdr>
                                                    <w:top w:val="none" w:sz="0" w:space="0" w:color="auto"/>
                                                    <w:left w:val="none" w:sz="0" w:space="0" w:color="auto"/>
                                                    <w:bottom w:val="none" w:sz="0" w:space="0" w:color="auto"/>
                                                    <w:right w:val="none" w:sz="0" w:space="0" w:color="auto"/>
                                                  </w:divBdr>
                                                  <w:divsChild>
                                                    <w:div w:id="63402773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26691147">
                                              <w:marLeft w:val="0"/>
                                              <w:marRight w:val="0"/>
                                              <w:marTop w:val="0"/>
                                              <w:marBottom w:val="0"/>
                                              <w:divBdr>
                                                <w:top w:val="none" w:sz="0" w:space="0" w:color="auto"/>
                                                <w:left w:val="none" w:sz="0" w:space="0" w:color="auto"/>
                                                <w:bottom w:val="none" w:sz="0" w:space="0" w:color="auto"/>
                                                <w:right w:val="none" w:sz="0" w:space="0" w:color="auto"/>
                                              </w:divBdr>
                                            </w:div>
                                            <w:div w:id="591544872">
                                              <w:marLeft w:val="0"/>
                                              <w:marRight w:val="0"/>
                                              <w:marTop w:val="0"/>
                                              <w:marBottom w:val="0"/>
                                              <w:divBdr>
                                                <w:top w:val="none" w:sz="0" w:space="0" w:color="auto"/>
                                                <w:left w:val="none" w:sz="0" w:space="0" w:color="auto"/>
                                                <w:bottom w:val="none" w:sz="0" w:space="0" w:color="auto"/>
                                                <w:right w:val="none" w:sz="0" w:space="0" w:color="auto"/>
                                              </w:divBdr>
                                            </w:div>
                                            <w:div w:id="1268200554">
                                              <w:marLeft w:val="0"/>
                                              <w:marRight w:val="0"/>
                                              <w:marTop w:val="0"/>
                                              <w:marBottom w:val="0"/>
                                              <w:divBdr>
                                                <w:top w:val="none" w:sz="0" w:space="0" w:color="auto"/>
                                                <w:left w:val="none" w:sz="0" w:space="0" w:color="auto"/>
                                                <w:bottom w:val="none" w:sz="0" w:space="0" w:color="auto"/>
                                                <w:right w:val="none" w:sz="0" w:space="0" w:color="auto"/>
                                              </w:divBdr>
                                            </w:div>
                                            <w:div w:id="9327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1394">
                                  <w:marLeft w:val="0"/>
                                  <w:marRight w:val="0"/>
                                  <w:marTop w:val="0"/>
                                  <w:marBottom w:val="0"/>
                                  <w:divBdr>
                                    <w:top w:val="none" w:sz="0" w:space="0" w:color="auto"/>
                                    <w:left w:val="none" w:sz="0" w:space="0" w:color="auto"/>
                                    <w:bottom w:val="none" w:sz="0" w:space="0" w:color="auto"/>
                                    <w:right w:val="none" w:sz="0" w:space="0" w:color="auto"/>
                                  </w:divBdr>
                                  <w:divsChild>
                                    <w:div w:id="1083255190">
                                      <w:marLeft w:val="0"/>
                                      <w:marRight w:val="0"/>
                                      <w:marTop w:val="0"/>
                                      <w:marBottom w:val="0"/>
                                      <w:divBdr>
                                        <w:top w:val="none" w:sz="0" w:space="0" w:color="auto"/>
                                        <w:left w:val="none" w:sz="0" w:space="0" w:color="auto"/>
                                        <w:bottom w:val="none" w:sz="0" w:space="0" w:color="auto"/>
                                        <w:right w:val="none" w:sz="0" w:space="0" w:color="auto"/>
                                      </w:divBdr>
                                      <w:divsChild>
                                        <w:div w:id="2136898714">
                                          <w:marLeft w:val="0"/>
                                          <w:marRight w:val="0"/>
                                          <w:marTop w:val="0"/>
                                          <w:marBottom w:val="0"/>
                                          <w:divBdr>
                                            <w:top w:val="none" w:sz="0" w:space="0" w:color="auto"/>
                                            <w:left w:val="none" w:sz="0" w:space="0" w:color="auto"/>
                                            <w:bottom w:val="none" w:sz="0" w:space="0" w:color="auto"/>
                                            <w:right w:val="none" w:sz="0" w:space="0" w:color="auto"/>
                                          </w:divBdr>
                                          <w:divsChild>
                                            <w:div w:id="717169259">
                                              <w:marLeft w:val="0"/>
                                              <w:marRight w:val="0"/>
                                              <w:marTop w:val="0"/>
                                              <w:marBottom w:val="0"/>
                                              <w:divBdr>
                                                <w:top w:val="none" w:sz="0" w:space="0" w:color="auto"/>
                                                <w:left w:val="none" w:sz="0" w:space="0" w:color="auto"/>
                                                <w:bottom w:val="none" w:sz="0" w:space="0" w:color="auto"/>
                                                <w:right w:val="none" w:sz="0" w:space="0" w:color="auto"/>
                                              </w:divBdr>
                                              <w:divsChild>
                                                <w:div w:id="1671906436">
                                                  <w:marLeft w:val="0"/>
                                                  <w:marRight w:val="0"/>
                                                  <w:marTop w:val="0"/>
                                                  <w:marBottom w:val="0"/>
                                                  <w:divBdr>
                                                    <w:top w:val="none" w:sz="0" w:space="0" w:color="auto"/>
                                                    <w:left w:val="none" w:sz="0" w:space="0" w:color="auto"/>
                                                    <w:bottom w:val="none" w:sz="0" w:space="0" w:color="auto"/>
                                                    <w:right w:val="none" w:sz="0" w:space="0" w:color="auto"/>
                                                  </w:divBdr>
                                                  <w:divsChild>
                                                    <w:div w:id="77806588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78579263">
                                              <w:marLeft w:val="0"/>
                                              <w:marRight w:val="0"/>
                                              <w:marTop w:val="0"/>
                                              <w:marBottom w:val="0"/>
                                              <w:divBdr>
                                                <w:top w:val="none" w:sz="0" w:space="0" w:color="auto"/>
                                                <w:left w:val="none" w:sz="0" w:space="0" w:color="auto"/>
                                                <w:bottom w:val="none" w:sz="0" w:space="0" w:color="auto"/>
                                                <w:right w:val="none" w:sz="0" w:space="0" w:color="auto"/>
                                              </w:divBdr>
                                            </w:div>
                                            <w:div w:id="1718355067">
                                              <w:marLeft w:val="0"/>
                                              <w:marRight w:val="0"/>
                                              <w:marTop w:val="0"/>
                                              <w:marBottom w:val="0"/>
                                              <w:divBdr>
                                                <w:top w:val="none" w:sz="0" w:space="0" w:color="auto"/>
                                                <w:left w:val="none" w:sz="0" w:space="0" w:color="auto"/>
                                                <w:bottom w:val="none" w:sz="0" w:space="0" w:color="auto"/>
                                                <w:right w:val="none" w:sz="0" w:space="0" w:color="auto"/>
                                              </w:divBdr>
                                            </w:div>
                                            <w:div w:id="1062414047">
                                              <w:marLeft w:val="0"/>
                                              <w:marRight w:val="0"/>
                                              <w:marTop w:val="0"/>
                                              <w:marBottom w:val="0"/>
                                              <w:divBdr>
                                                <w:top w:val="none" w:sz="0" w:space="0" w:color="auto"/>
                                                <w:left w:val="none" w:sz="0" w:space="0" w:color="auto"/>
                                                <w:bottom w:val="none" w:sz="0" w:space="0" w:color="auto"/>
                                                <w:right w:val="none" w:sz="0" w:space="0" w:color="auto"/>
                                              </w:divBdr>
                                            </w:div>
                                            <w:div w:id="19853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22161">
                              <w:marLeft w:val="0"/>
                              <w:marRight w:val="0"/>
                              <w:marTop w:val="0"/>
                              <w:marBottom w:val="0"/>
                              <w:divBdr>
                                <w:top w:val="none" w:sz="0" w:space="0" w:color="auto"/>
                                <w:left w:val="none" w:sz="0" w:space="0" w:color="auto"/>
                                <w:bottom w:val="none" w:sz="0" w:space="0" w:color="auto"/>
                                <w:right w:val="none" w:sz="0" w:space="0" w:color="auto"/>
                              </w:divBdr>
                              <w:divsChild>
                                <w:div w:id="190995481">
                                  <w:marLeft w:val="0"/>
                                  <w:marRight w:val="0"/>
                                  <w:marTop w:val="0"/>
                                  <w:marBottom w:val="0"/>
                                  <w:divBdr>
                                    <w:top w:val="none" w:sz="0" w:space="0" w:color="auto"/>
                                    <w:left w:val="none" w:sz="0" w:space="0" w:color="auto"/>
                                    <w:bottom w:val="none" w:sz="0" w:space="0" w:color="auto"/>
                                    <w:right w:val="none" w:sz="0" w:space="0" w:color="auto"/>
                                  </w:divBdr>
                                  <w:divsChild>
                                    <w:div w:id="8817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3795">
                              <w:marLeft w:val="0"/>
                              <w:marRight w:val="0"/>
                              <w:marTop w:val="0"/>
                              <w:marBottom w:val="0"/>
                              <w:divBdr>
                                <w:top w:val="none" w:sz="0" w:space="0" w:color="auto"/>
                                <w:left w:val="none" w:sz="0" w:space="0" w:color="auto"/>
                                <w:bottom w:val="none" w:sz="0" w:space="0" w:color="auto"/>
                                <w:right w:val="none" w:sz="0" w:space="0" w:color="auto"/>
                              </w:divBdr>
                              <w:divsChild>
                                <w:div w:id="1152061894">
                                  <w:marLeft w:val="0"/>
                                  <w:marRight w:val="0"/>
                                  <w:marTop w:val="0"/>
                                  <w:marBottom w:val="0"/>
                                  <w:divBdr>
                                    <w:top w:val="none" w:sz="0" w:space="0" w:color="auto"/>
                                    <w:left w:val="none" w:sz="0" w:space="0" w:color="auto"/>
                                    <w:bottom w:val="none" w:sz="0" w:space="0" w:color="auto"/>
                                    <w:right w:val="none" w:sz="0" w:space="0" w:color="auto"/>
                                  </w:divBdr>
                                  <w:divsChild>
                                    <w:div w:id="1463421708">
                                      <w:marLeft w:val="0"/>
                                      <w:marRight w:val="0"/>
                                      <w:marTop w:val="0"/>
                                      <w:marBottom w:val="0"/>
                                      <w:divBdr>
                                        <w:top w:val="none" w:sz="0" w:space="0" w:color="auto"/>
                                        <w:left w:val="none" w:sz="0" w:space="0" w:color="auto"/>
                                        <w:bottom w:val="none" w:sz="0" w:space="0" w:color="auto"/>
                                        <w:right w:val="none" w:sz="0" w:space="0" w:color="auto"/>
                                      </w:divBdr>
                                      <w:divsChild>
                                        <w:div w:id="140926424">
                                          <w:marLeft w:val="0"/>
                                          <w:marRight w:val="0"/>
                                          <w:marTop w:val="0"/>
                                          <w:marBottom w:val="0"/>
                                          <w:divBdr>
                                            <w:top w:val="none" w:sz="0" w:space="0" w:color="auto"/>
                                            <w:left w:val="none" w:sz="0" w:space="0" w:color="auto"/>
                                            <w:bottom w:val="none" w:sz="0" w:space="0" w:color="auto"/>
                                            <w:right w:val="none" w:sz="0" w:space="0" w:color="auto"/>
                                          </w:divBdr>
                                          <w:divsChild>
                                            <w:div w:id="673537778">
                                              <w:marLeft w:val="0"/>
                                              <w:marRight w:val="0"/>
                                              <w:marTop w:val="0"/>
                                              <w:marBottom w:val="0"/>
                                              <w:divBdr>
                                                <w:top w:val="none" w:sz="0" w:space="0" w:color="auto"/>
                                                <w:left w:val="none" w:sz="0" w:space="0" w:color="auto"/>
                                                <w:bottom w:val="none" w:sz="0" w:space="0" w:color="auto"/>
                                                <w:right w:val="none" w:sz="0" w:space="0" w:color="auto"/>
                                              </w:divBdr>
                                              <w:divsChild>
                                                <w:div w:id="869486808">
                                                  <w:marLeft w:val="0"/>
                                                  <w:marRight w:val="0"/>
                                                  <w:marTop w:val="0"/>
                                                  <w:marBottom w:val="0"/>
                                                  <w:divBdr>
                                                    <w:top w:val="none" w:sz="0" w:space="0" w:color="auto"/>
                                                    <w:left w:val="none" w:sz="0" w:space="0" w:color="auto"/>
                                                    <w:bottom w:val="none" w:sz="0" w:space="0" w:color="auto"/>
                                                    <w:right w:val="none" w:sz="0" w:space="0" w:color="auto"/>
                                                  </w:divBdr>
                                                  <w:divsChild>
                                                    <w:div w:id="1169950705">
                                                      <w:marLeft w:val="0"/>
                                                      <w:marRight w:val="0"/>
                                                      <w:marTop w:val="0"/>
                                                      <w:marBottom w:val="0"/>
                                                      <w:divBdr>
                                                        <w:top w:val="none" w:sz="0" w:space="0" w:color="auto"/>
                                                        <w:left w:val="none" w:sz="0" w:space="0" w:color="auto"/>
                                                        <w:bottom w:val="none" w:sz="0" w:space="0" w:color="auto"/>
                                                        <w:right w:val="none" w:sz="0" w:space="0" w:color="auto"/>
                                                      </w:divBdr>
                                                      <w:divsChild>
                                                        <w:div w:id="1974825956">
                                                          <w:marLeft w:val="0"/>
                                                          <w:marRight w:val="0"/>
                                                          <w:marTop w:val="0"/>
                                                          <w:marBottom w:val="0"/>
                                                          <w:divBdr>
                                                            <w:top w:val="none" w:sz="0" w:space="0" w:color="auto"/>
                                                            <w:left w:val="none" w:sz="0" w:space="0" w:color="auto"/>
                                                            <w:bottom w:val="none" w:sz="0" w:space="0" w:color="auto"/>
                                                            <w:right w:val="none" w:sz="0" w:space="0" w:color="auto"/>
                                                          </w:divBdr>
                                                        </w:div>
                                                        <w:div w:id="937520415">
                                                          <w:marLeft w:val="0"/>
                                                          <w:marRight w:val="0"/>
                                                          <w:marTop w:val="0"/>
                                                          <w:marBottom w:val="0"/>
                                                          <w:divBdr>
                                                            <w:top w:val="none" w:sz="0" w:space="0" w:color="auto"/>
                                                            <w:left w:val="none" w:sz="0" w:space="0" w:color="auto"/>
                                                            <w:bottom w:val="none" w:sz="0" w:space="0" w:color="auto"/>
                                                            <w:right w:val="none" w:sz="0" w:space="0" w:color="auto"/>
                                                          </w:divBdr>
                                                        </w:div>
                                                        <w:div w:id="414786398">
                                                          <w:marLeft w:val="0"/>
                                                          <w:marRight w:val="0"/>
                                                          <w:marTop w:val="0"/>
                                                          <w:marBottom w:val="0"/>
                                                          <w:divBdr>
                                                            <w:top w:val="none" w:sz="0" w:space="0" w:color="auto"/>
                                                            <w:left w:val="none" w:sz="0" w:space="0" w:color="auto"/>
                                                            <w:bottom w:val="none" w:sz="0" w:space="0" w:color="auto"/>
                                                            <w:right w:val="none" w:sz="0" w:space="0" w:color="auto"/>
                                                          </w:divBdr>
                                                        </w:div>
                                                        <w:div w:id="1685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6994">
                                                  <w:marLeft w:val="0"/>
                                                  <w:marRight w:val="0"/>
                                                  <w:marTop w:val="0"/>
                                                  <w:marBottom w:val="0"/>
                                                  <w:divBdr>
                                                    <w:top w:val="none" w:sz="0" w:space="0" w:color="auto"/>
                                                    <w:left w:val="none" w:sz="0" w:space="0" w:color="auto"/>
                                                    <w:bottom w:val="none" w:sz="0" w:space="0" w:color="auto"/>
                                                    <w:right w:val="none" w:sz="0" w:space="0" w:color="auto"/>
                                                  </w:divBdr>
                                                  <w:divsChild>
                                                    <w:div w:id="509956158">
                                                      <w:marLeft w:val="0"/>
                                                      <w:marRight w:val="0"/>
                                                      <w:marTop w:val="0"/>
                                                      <w:marBottom w:val="0"/>
                                                      <w:divBdr>
                                                        <w:top w:val="none" w:sz="0" w:space="0" w:color="auto"/>
                                                        <w:left w:val="none" w:sz="0" w:space="0" w:color="auto"/>
                                                        <w:bottom w:val="none" w:sz="0" w:space="0" w:color="auto"/>
                                                        <w:right w:val="none" w:sz="0" w:space="0" w:color="auto"/>
                                                      </w:divBdr>
                                                      <w:divsChild>
                                                        <w:div w:id="2000301512">
                                                          <w:marLeft w:val="0"/>
                                                          <w:marRight w:val="0"/>
                                                          <w:marTop w:val="0"/>
                                                          <w:marBottom w:val="0"/>
                                                          <w:divBdr>
                                                            <w:top w:val="none" w:sz="0" w:space="0" w:color="auto"/>
                                                            <w:left w:val="none" w:sz="0" w:space="0" w:color="auto"/>
                                                            <w:bottom w:val="none" w:sz="0" w:space="0" w:color="auto"/>
                                                            <w:right w:val="none" w:sz="0" w:space="0" w:color="auto"/>
                                                          </w:divBdr>
                                                        </w:div>
                                                        <w:div w:id="1692603904">
                                                          <w:marLeft w:val="0"/>
                                                          <w:marRight w:val="0"/>
                                                          <w:marTop w:val="0"/>
                                                          <w:marBottom w:val="0"/>
                                                          <w:divBdr>
                                                            <w:top w:val="none" w:sz="0" w:space="0" w:color="auto"/>
                                                            <w:left w:val="none" w:sz="0" w:space="0" w:color="auto"/>
                                                            <w:bottom w:val="none" w:sz="0" w:space="0" w:color="auto"/>
                                                            <w:right w:val="none" w:sz="0" w:space="0" w:color="auto"/>
                                                          </w:divBdr>
                                                        </w:div>
                                                        <w:div w:id="1111247683">
                                                          <w:marLeft w:val="0"/>
                                                          <w:marRight w:val="0"/>
                                                          <w:marTop w:val="0"/>
                                                          <w:marBottom w:val="0"/>
                                                          <w:divBdr>
                                                            <w:top w:val="none" w:sz="0" w:space="0" w:color="auto"/>
                                                            <w:left w:val="none" w:sz="0" w:space="0" w:color="auto"/>
                                                            <w:bottom w:val="none" w:sz="0" w:space="0" w:color="auto"/>
                                                            <w:right w:val="none" w:sz="0" w:space="0" w:color="auto"/>
                                                          </w:divBdr>
                                                        </w:div>
                                                        <w:div w:id="13107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4511">
                                                  <w:marLeft w:val="0"/>
                                                  <w:marRight w:val="0"/>
                                                  <w:marTop w:val="0"/>
                                                  <w:marBottom w:val="0"/>
                                                  <w:divBdr>
                                                    <w:top w:val="none" w:sz="0" w:space="0" w:color="auto"/>
                                                    <w:left w:val="none" w:sz="0" w:space="0" w:color="auto"/>
                                                    <w:bottom w:val="none" w:sz="0" w:space="0" w:color="auto"/>
                                                    <w:right w:val="none" w:sz="0" w:space="0" w:color="auto"/>
                                                  </w:divBdr>
                                                  <w:divsChild>
                                                    <w:div w:id="99615583">
                                                      <w:marLeft w:val="0"/>
                                                      <w:marRight w:val="0"/>
                                                      <w:marTop w:val="0"/>
                                                      <w:marBottom w:val="0"/>
                                                      <w:divBdr>
                                                        <w:top w:val="none" w:sz="0" w:space="0" w:color="auto"/>
                                                        <w:left w:val="none" w:sz="0" w:space="0" w:color="auto"/>
                                                        <w:bottom w:val="none" w:sz="0" w:space="0" w:color="auto"/>
                                                        <w:right w:val="none" w:sz="0" w:space="0" w:color="auto"/>
                                                      </w:divBdr>
                                                      <w:divsChild>
                                                        <w:div w:id="877166008">
                                                          <w:marLeft w:val="0"/>
                                                          <w:marRight w:val="0"/>
                                                          <w:marTop w:val="0"/>
                                                          <w:marBottom w:val="0"/>
                                                          <w:divBdr>
                                                            <w:top w:val="none" w:sz="0" w:space="0" w:color="auto"/>
                                                            <w:left w:val="none" w:sz="0" w:space="0" w:color="auto"/>
                                                            <w:bottom w:val="none" w:sz="0" w:space="0" w:color="auto"/>
                                                            <w:right w:val="none" w:sz="0" w:space="0" w:color="auto"/>
                                                          </w:divBdr>
                                                        </w:div>
                                                        <w:div w:id="1239705068">
                                                          <w:marLeft w:val="0"/>
                                                          <w:marRight w:val="0"/>
                                                          <w:marTop w:val="0"/>
                                                          <w:marBottom w:val="0"/>
                                                          <w:divBdr>
                                                            <w:top w:val="none" w:sz="0" w:space="0" w:color="auto"/>
                                                            <w:left w:val="none" w:sz="0" w:space="0" w:color="auto"/>
                                                            <w:bottom w:val="none" w:sz="0" w:space="0" w:color="auto"/>
                                                            <w:right w:val="none" w:sz="0" w:space="0" w:color="auto"/>
                                                          </w:divBdr>
                                                        </w:div>
                                                        <w:div w:id="981230184">
                                                          <w:marLeft w:val="0"/>
                                                          <w:marRight w:val="0"/>
                                                          <w:marTop w:val="0"/>
                                                          <w:marBottom w:val="0"/>
                                                          <w:divBdr>
                                                            <w:top w:val="none" w:sz="0" w:space="0" w:color="auto"/>
                                                            <w:left w:val="none" w:sz="0" w:space="0" w:color="auto"/>
                                                            <w:bottom w:val="none" w:sz="0" w:space="0" w:color="auto"/>
                                                            <w:right w:val="none" w:sz="0" w:space="0" w:color="auto"/>
                                                          </w:divBdr>
                                                        </w:div>
                                                        <w:div w:id="4823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048068">
                              <w:marLeft w:val="0"/>
                              <w:marRight w:val="0"/>
                              <w:marTop w:val="0"/>
                              <w:marBottom w:val="0"/>
                              <w:divBdr>
                                <w:top w:val="none" w:sz="0" w:space="0" w:color="auto"/>
                                <w:left w:val="none" w:sz="0" w:space="0" w:color="auto"/>
                                <w:bottom w:val="none" w:sz="0" w:space="0" w:color="auto"/>
                                <w:right w:val="none" w:sz="0" w:space="0" w:color="auto"/>
                              </w:divBdr>
                              <w:divsChild>
                                <w:div w:id="1483740016">
                                  <w:marLeft w:val="0"/>
                                  <w:marRight w:val="0"/>
                                  <w:marTop w:val="0"/>
                                  <w:marBottom w:val="0"/>
                                  <w:divBdr>
                                    <w:top w:val="none" w:sz="0" w:space="0" w:color="auto"/>
                                    <w:left w:val="none" w:sz="0" w:space="0" w:color="auto"/>
                                    <w:bottom w:val="none" w:sz="0" w:space="0" w:color="auto"/>
                                    <w:right w:val="none" w:sz="0" w:space="0" w:color="auto"/>
                                  </w:divBdr>
                                  <w:divsChild>
                                    <w:div w:id="1562405057">
                                      <w:marLeft w:val="0"/>
                                      <w:marRight w:val="0"/>
                                      <w:marTop w:val="0"/>
                                      <w:marBottom w:val="0"/>
                                      <w:divBdr>
                                        <w:top w:val="none" w:sz="0" w:space="0" w:color="auto"/>
                                        <w:left w:val="none" w:sz="0" w:space="0" w:color="auto"/>
                                        <w:bottom w:val="none" w:sz="0" w:space="0" w:color="auto"/>
                                        <w:right w:val="none" w:sz="0" w:space="0" w:color="auto"/>
                                      </w:divBdr>
                                      <w:divsChild>
                                        <w:div w:id="741409728">
                                          <w:marLeft w:val="0"/>
                                          <w:marRight w:val="0"/>
                                          <w:marTop w:val="0"/>
                                          <w:marBottom w:val="0"/>
                                          <w:divBdr>
                                            <w:top w:val="none" w:sz="0" w:space="0" w:color="auto"/>
                                            <w:left w:val="none" w:sz="0" w:space="0" w:color="auto"/>
                                            <w:bottom w:val="none" w:sz="0" w:space="0" w:color="auto"/>
                                            <w:right w:val="none" w:sz="0" w:space="0" w:color="auto"/>
                                          </w:divBdr>
                                          <w:divsChild>
                                            <w:div w:id="8475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32425">
                              <w:marLeft w:val="0"/>
                              <w:marRight w:val="0"/>
                              <w:marTop w:val="0"/>
                              <w:marBottom w:val="0"/>
                              <w:divBdr>
                                <w:top w:val="none" w:sz="0" w:space="0" w:color="auto"/>
                                <w:left w:val="none" w:sz="0" w:space="0" w:color="auto"/>
                                <w:bottom w:val="none" w:sz="0" w:space="0" w:color="auto"/>
                                <w:right w:val="none" w:sz="0" w:space="0" w:color="auto"/>
                              </w:divBdr>
                              <w:divsChild>
                                <w:div w:id="1534539348">
                                  <w:marLeft w:val="0"/>
                                  <w:marRight w:val="0"/>
                                  <w:marTop w:val="0"/>
                                  <w:marBottom w:val="0"/>
                                  <w:divBdr>
                                    <w:top w:val="none" w:sz="0" w:space="0" w:color="auto"/>
                                    <w:left w:val="none" w:sz="0" w:space="0" w:color="auto"/>
                                    <w:bottom w:val="none" w:sz="0" w:space="0" w:color="auto"/>
                                    <w:right w:val="none" w:sz="0" w:space="0" w:color="auto"/>
                                  </w:divBdr>
                                  <w:divsChild>
                                    <w:div w:id="1466315048">
                                      <w:marLeft w:val="0"/>
                                      <w:marRight w:val="0"/>
                                      <w:marTop w:val="0"/>
                                      <w:marBottom w:val="0"/>
                                      <w:divBdr>
                                        <w:top w:val="none" w:sz="0" w:space="0" w:color="auto"/>
                                        <w:left w:val="none" w:sz="0" w:space="0" w:color="auto"/>
                                        <w:bottom w:val="none" w:sz="0" w:space="0" w:color="auto"/>
                                        <w:right w:val="none" w:sz="0" w:space="0" w:color="auto"/>
                                      </w:divBdr>
                                      <w:divsChild>
                                        <w:div w:id="81927117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83861">
          <w:marLeft w:val="0"/>
          <w:marRight w:val="0"/>
          <w:marTop w:val="0"/>
          <w:marBottom w:val="0"/>
          <w:divBdr>
            <w:top w:val="single" w:sz="6" w:space="4" w:color="FFFFFF"/>
            <w:left w:val="single" w:sz="6" w:space="8" w:color="FFFFFF"/>
            <w:bottom w:val="single" w:sz="6" w:space="4" w:color="FFFFFF"/>
            <w:right w:val="single" w:sz="6" w:space="8" w:color="FFFFFF"/>
          </w:divBdr>
        </w:div>
      </w:divsChild>
    </w:div>
    <w:div w:id="1514958363">
      <w:bodyDiv w:val="1"/>
      <w:marLeft w:val="0"/>
      <w:marRight w:val="0"/>
      <w:marTop w:val="0"/>
      <w:marBottom w:val="0"/>
      <w:divBdr>
        <w:top w:val="none" w:sz="0" w:space="0" w:color="auto"/>
        <w:left w:val="none" w:sz="0" w:space="0" w:color="auto"/>
        <w:bottom w:val="none" w:sz="0" w:space="0" w:color="auto"/>
        <w:right w:val="none" w:sz="0" w:space="0" w:color="auto"/>
      </w:divBdr>
    </w:div>
    <w:div w:id="1535776159">
      <w:bodyDiv w:val="1"/>
      <w:marLeft w:val="0"/>
      <w:marRight w:val="0"/>
      <w:marTop w:val="0"/>
      <w:marBottom w:val="0"/>
      <w:divBdr>
        <w:top w:val="none" w:sz="0" w:space="0" w:color="auto"/>
        <w:left w:val="none" w:sz="0" w:space="0" w:color="auto"/>
        <w:bottom w:val="none" w:sz="0" w:space="0" w:color="auto"/>
        <w:right w:val="none" w:sz="0" w:space="0" w:color="auto"/>
      </w:divBdr>
      <w:divsChild>
        <w:div w:id="303586016">
          <w:marLeft w:val="0"/>
          <w:marRight w:val="0"/>
          <w:marTop w:val="0"/>
          <w:marBottom w:val="0"/>
          <w:divBdr>
            <w:top w:val="none" w:sz="0" w:space="0" w:color="auto"/>
            <w:left w:val="none" w:sz="0" w:space="0" w:color="auto"/>
            <w:bottom w:val="none" w:sz="0" w:space="0" w:color="auto"/>
            <w:right w:val="none" w:sz="0" w:space="0" w:color="auto"/>
          </w:divBdr>
          <w:divsChild>
            <w:div w:id="1436437536">
              <w:marLeft w:val="0"/>
              <w:marRight w:val="0"/>
              <w:marTop w:val="0"/>
              <w:marBottom w:val="0"/>
              <w:divBdr>
                <w:top w:val="none" w:sz="0" w:space="0" w:color="auto"/>
                <w:left w:val="none" w:sz="0" w:space="0" w:color="auto"/>
                <w:bottom w:val="none" w:sz="0" w:space="0" w:color="auto"/>
                <w:right w:val="none" w:sz="0" w:space="0" w:color="auto"/>
              </w:divBdr>
              <w:divsChild>
                <w:div w:id="1073091240">
                  <w:marLeft w:val="0"/>
                  <w:marRight w:val="0"/>
                  <w:marTop w:val="0"/>
                  <w:marBottom w:val="0"/>
                  <w:divBdr>
                    <w:top w:val="none" w:sz="0" w:space="0" w:color="auto"/>
                    <w:left w:val="none" w:sz="0" w:space="0" w:color="auto"/>
                    <w:bottom w:val="none" w:sz="0" w:space="0" w:color="auto"/>
                    <w:right w:val="none" w:sz="0" w:space="0" w:color="auto"/>
                  </w:divBdr>
                  <w:divsChild>
                    <w:div w:id="937911371">
                      <w:marLeft w:val="0"/>
                      <w:marRight w:val="0"/>
                      <w:marTop w:val="0"/>
                      <w:marBottom w:val="0"/>
                      <w:divBdr>
                        <w:top w:val="none" w:sz="0" w:space="0" w:color="auto"/>
                        <w:left w:val="none" w:sz="0" w:space="0" w:color="auto"/>
                        <w:bottom w:val="none" w:sz="0" w:space="0" w:color="auto"/>
                        <w:right w:val="none" w:sz="0" w:space="0" w:color="auto"/>
                      </w:divBdr>
                      <w:divsChild>
                        <w:div w:id="163402205">
                          <w:marLeft w:val="0"/>
                          <w:marRight w:val="0"/>
                          <w:marTop w:val="0"/>
                          <w:marBottom w:val="0"/>
                          <w:divBdr>
                            <w:top w:val="none" w:sz="0" w:space="0" w:color="auto"/>
                            <w:left w:val="none" w:sz="0" w:space="0" w:color="auto"/>
                            <w:bottom w:val="none" w:sz="0" w:space="0" w:color="auto"/>
                            <w:right w:val="none" w:sz="0" w:space="0" w:color="auto"/>
                          </w:divBdr>
                          <w:divsChild>
                            <w:div w:id="291442105">
                              <w:marLeft w:val="0"/>
                              <w:marRight w:val="0"/>
                              <w:marTop w:val="0"/>
                              <w:marBottom w:val="0"/>
                              <w:divBdr>
                                <w:top w:val="none" w:sz="0" w:space="0" w:color="auto"/>
                                <w:left w:val="none" w:sz="0" w:space="0" w:color="auto"/>
                                <w:bottom w:val="none" w:sz="0" w:space="0" w:color="auto"/>
                                <w:right w:val="none" w:sz="0" w:space="0" w:color="auto"/>
                              </w:divBdr>
                              <w:divsChild>
                                <w:div w:id="2025745773">
                                  <w:marLeft w:val="0"/>
                                  <w:marRight w:val="0"/>
                                  <w:marTop w:val="0"/>
                                  <w:marBottom w:val="0"/>
                                  <w:divBdr>
                                    <w:top w:val="none" w:sz="0" w:space="0" w:color="auto"/>
                                    <w:left w:val="none" w:sz="0" w:space="0" w:color="auto"/>
                                    <w:bottom w:val="none" w:sz="0" w:space="0" w:color="auto"/>
                                    <w:right w:val="none" w:sz="0" w:space="0" w:color="auto"/>
                                  </w:divBdr>
                                  <w:divsChild>
                                    <w:div w:id="1272670178">
                                      <w:marLeft w:val="0"/>
                                      <w:marRight w:val="0"/>
                                      <w:marTop w:val="0"/>
                                      <w:marBottom w:val="0"/>
                                      <w:divBdr>
                                        <w:top w:val="none" w:sz="0" w:space="0" w:color="auto"/>
                                        <w:left w:val="none" w:sz="0" w:space="0" w:color="auto"/>
                                        <w:bottom w:val="none" w:sz="0" w:space="0" w:color="auto"/>
                                        <w:right w:val="none" w:sz="0" w:space="0" w:color="auto"/>
                                      </w:divBdr>
                                      <w:divsChild>
                                        <w:div w:id="1621304775">
                                          <w:marLeft w:val="0"/>
                                          <w:marRight w:val="0"/>
                                          <w:marTop w:val="0"/>
                                          <w:marBottom w:val="0"/>
                                          <w:divBdr>
                                            <w:top w:val="none" w:sz="0" w:space="0" w:color="auto"/>
                                            <w:left w:val="none" w:sz="0" w:space="0" w:color="auto"/>
                                            <w:bottom w:val="none" w:sz="0" w:space="0" w:color="auto"/>
                                            <w:right w:val="none" w:sz="0" w:space="0" w:color="auto"/>
                                          </w:divBdr>
                                          <w:divsChild>
                                            <w:div w:id="14108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134746">
      <w:bodyDiv w:val="1"/>
      <w:marLeft w:val="0"/>
      <w:marRight w:val="0"/>
      <w:marTop w:val="0"/>
      <w:marBottom w:val="0"/>
      <w:divBdr>
        <w:top w:val="none" w:sz="0" w:space="0" w:color="auto"/>
        <w:left w:val="none" w:sz="0" w:space="0" w:color="auto"/>
        <w:bottom w:val="none" w:sz="0" w:space="0" w:color="auto"/>
        <w:right w:val="none" w:sz="0" w:space="0" w:color="auto"/>
      </w:divBdr>
    </w:div>
    <w:div w:id="1568178104">
      <w:bodyDiv w:val="1"/>
      <w:marLeft w:val="0"/>
      <w:marRight w:val="0"/>
      <w:marTop w:val="0"/>
      <w:marBottom w:val="0"/>
      <w:divBdr>
        <w:top w:val="none" w:sz="0" w:space="0" w:color="auto"/>
        <w:left w:val="none" w:sz="0" w:space="0" w:color="auto"/>
        <w:bottom w:val="none" w:sz="0" w:space="0" w:color="auto"/>
        <w:right w:val="none" w:sz="0" w:space="0" w:color="auto"/>
      </w:divBdr>
    </w:div>
    <w:div w:id="1627197647">
      <w:bodyDiv w:val="1"/>
      <w:marLeft w:val="0"/>
      <w:marRight w:val="0"/>
      <w:marTop w:val="0"/>
      <w:marBottom w:val="0"/>
      <w:divBdr>
        <w:top w:val="none" w:sz="0" w:space="0" w:color="auto"/>
        <w:left w:val="none" w:sz="0" w:space="0" w:color="auto"/>
        <w:bottom w:val="none" w:sz="0" w:space="0" w:color="auto"/>
        <w:right w:val="none" w:sz="0" w:space="0" w:color="auto"/>
      </w:divBdr>
    </w:div>
    <w:div w:id="1707870235">
      <w:bodyDiv w:val="1"/>
      <w:marLeft w:val="0"/>
      <w:marRight w:val="0"/>
      <w:marTop w:val="0"/>
      <w:marBottom w:val="0"/>
      <w:divBdr>
        <w:top w:val="none" w:sz="0" w:space="0" w:color="auto"/>
        <w:left w:val="none" w:sz="0" w:space="0" w:color="auto"/>
        <w:bottom w:val="none" w:sz="0" w:space="0" w:color="auto"/>
        <w:right w:val="none" w:sz="0" w:space="0" w:color="auto"/>
      </w:divBdr>
    </w:div>
    <w:div w:id="1760179529">
      <w:bodyDiv w:val="1"/>
      <w:marLeft w:val="0"/>
      <w:marRight w:val="0"/>
      <w:marTop w:val="0"/>
      <w:marBottom w:val="0"/>
      <w:divBdr>
        <w:top w:val="none" w:sz="0" w:space="0" w:color="auto"/>
        <w:left w:val="none" w:sz="0" w:space="0" w:color="auto"/>
        <w:bottom w:val="none" w:sz="0" w:space="0" w:color="auto"/>
        <w:right w:val="none" w:sz="0" w:space="0" w:color="auto"/>
      </w:divBdr>
    </w:div>
    <w:div w:id="1791119396">
      <w:bodyDiv w:val="1"/>
      <w:marLeft w:val="0"/>
      <w:marRight w:val="0"/>
      <w:marTop w:val="0"/>
      <w:marBottom w:val="0"/>
      <w:divBdr>
        <w:top w:val="none" w:sz="0" w:space="0" w:color="auto"/>
        <w:left w:val="none" w:sz="0" w:space="0" w:color="auto"/>
        <w:bottom w:val="none" w:sz="0" w:space="0" w:color="auto"/>
        <w:right w:val="none" w:sz="0" w:space="0" w:color="auto"/>
      </w:divBdr>
    </w:div>
    <w:div w:id="1795126880">
      <w:bodyDiv w:val="1"/>
      <w:marLeft w:val="0"/>
      <w:marRight w:val="0"/>
      <w:marTop w:val="0"/>
      <w:marBottom w:val="0"/>
      <w:divBdr>
        <w:top w:val="none" w:sz="0" w:space="0" w:color="auto"/>
        <w:left w:val="none" w:sz="0" w:space="0" w:color="auto"/>
        <w:bottom w:val="none" w:sz="0" w:space="0" w:color="auto"/>
        <w:right w:val="none" w:sz="0" w:space="0" w:color="auto"/>
      </w:divBdr>
    </w:div>
    <w:div w:id="1801193817">
      <w:bodyDiv w:val="1"/>
      <w:marLeft w:val="0"/>
      <w:marRight w:val="0"/>
      <w:marTop w:val="0"/>
      <w:marBottom w:val="0"/>
      <w:divBdr>
        <w:top w:val="none" w:sz="0" w:space="0" w:color="auto"/>
        <w:left w:val="none" w:sz="0" w:space="0" w:color="auto"/>
        <w:bottom w:val="none" w:sz="0" w:space="0" w:color="auto"/>
        <w:right w:val="none" w:sz="0" w:space="0" w:color="auto"/>
      </w:divBdr>
    </w:div>
    <w:div w:id="1804342576">
      <w:bodyDiv w:val="1"/>
      <w:marLeft w:val="0"/>
      <w:marRight w:val="0"/>
      <w:marTop w:val="0"/>
      <w:marBottom w:val="0"/>
      <w:divBdr>
        <w:top w:val="none" w:sz="0" w:space="0" w:color="auto"/>
        <w:left w:val="none" w:sz="0" w:space="0" w:color="auto"/>
        <w:bottom w:val="none" w:sz="0" w:space="0" w:color="auto"/>
        <w:right w:val="none" w:sz="0" w:space="0" w:color="auto"/>
      </w:divBdr>
    </w:div>
    <w:div w:id="1831748941">
      <w:bodyDiv w:val="1"/>
      <w:marLeft w:val="0"/>
      <w:marRight w:val="0"/>
      <w:marTop w:val="0"/>
      <w:marBottom w:val="0"/>
      <w:divBdr>
        <w:top w:val="none" w:sz="0" w:space="0" w:color="auto"/>
        <w:left w:val="none" w:sz="0" w:space="0" w:color="auto"/>
        <w:bottom w:val="none" w:sz="0" w:space="0" w:color="auto"/>
        <w:right w:val="none" w:sz="0" w:space="0" w:color="auto"/>
      </w:divBdr>
    </w:div>
    <w:div w:id="1839612179">
      <w:bodyDiv w:val="1"/>
      <w:marLeft w:val="0"/>
      <w:marRight w:val="0"/>
      <w:marTop w:val="0"/>
      <w:marBottom w:val="0"/>
      <w:divBdr>
        <w:top w:val="none" w:sz="0" w:space="0" w:color="auto"/>
        <w:left w:val="none" w:sz="0" w:space="0" w:color="auto"/>
        <w:bottom w:val="none" w:sz="0" w:space="0" w:color="auto"/>
        <w:right w:val="none" w:sz="0" w:space="0" w:color="auto"/>
      </w:divBdr>
    </w:div>
    <w:div w:id="1918125458">
      <w:bodyDiv w:val="1"/>
      <w:marLeft w:val="30"/>
      <w:marRight w:val="30"/>
      <w:marTop w:val="0"/>
      <w:marBottom w:val="0"/>
      <w:divBdr>
        <w:top w:val="none" w:sz="0" w:space="0" w:color="auto"/>
        <w:left w:val="none" w:sz="0" w:space="0" w:color="auto"/>
        <w:bottom w:val="none" w:sz="0" w:space="0" w:color="auto"/>
        <w:right w:val="none" w:sz="0" w:space="0" w:color="auto"/>
      </w:divBdr>
      <w:divsChild>
        <w:div w:id="243875781">
          <w:marLeft w:val="0"/>
          <w:marRight w:val="0"/>
          <w:marTop w:val="0"/>
          <w:marBottom w:val="0"/>
          <w:divBdr>
            <w:top w:val="none" w:sz="0" w:space="0" w:color="auto"/>
            <w:left w:val="none" w:sz="0" w:space="0" w:color="auto"/>
            <w:bottom w:val="none" w:sz="0" w:space="0" w:color="auto"/>
            <w:right w:val="none" w:sz="0" w:space="0" w:color="auto"/>
          </w:divBdr>
          <w:divsChild>
            <w:div w:id="1004631575">
              <w:marLeft w:val="0"/>
              <w:marRight w:val="0"/>
              <w:marTop w:val="0"/>
              <w:marBottom w:val="0"/>
              <w:divBdr>
                <w:top w:val="none" w:sz="0" w:space="0" w:color="auto"/>
                <w:left w:val="none" w:sz="0" w:space="0" w:color="auto"/>
                <w:bottom w:val="none" w:sz="0" w:space="0" w:color="auto"/>
                <w:right w:val="none" w:sz="0" w:space="0" w:color="auto"/>
              </w:divBdr>
              <w:divsChild>
                <w:div w:id="1142313404">
                  <w:marLeft w:val="180"/>
                  <w:marRight w:val="0"/>
                  <w:marTop w:val="0"/>
                  <w:marBottom w:val="0"/>
                  <w:divBdr>
                    <w:top w:val="none" w:sz="0" w:space="0" w:color="auto"/>
                    <w:left w:val="none" w:sz="0" w:space="0" w:color="auto"/>
                    <w:bottom w:val="none" w:sz="0" w:space="0" w:color="auto"/>
                    <w:right w:val="none" w:sz="0" w:space="0" w:color="auto"/>
                  </w:divBdr>
                  <w:divsChild>
                    <w:div w:id="4719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8479">
      <w:bodyDiv w:val="1"/>
      <w:marLeft w:val="0"/>
      <w:marRight w:val="0"/>
      <w:marTop w:val="0"/>
      <w:marBottom w:val="0"/>
      <w:divBdr>
        <w:top w:val="none" w:sz="0" w:space="0" w:color="auto"/>
        <w:left w:val="none" w:sz="0" w:space="0" w:color="auto"/>
        <w:bottom w:val="none" w:sz="0" w:space="0" w:color="auto"/>
        <w:right w:val="none" w:sz="0" w:space="0" w:color="auto"/>
      </w:divBdr>
    </w:div>
    <w:div w:id="2101559959">
      <w:bodyDiv w:val="1"/>
      <w:marLeft w:val="0"/>
      <w:marRight w:val="0"/>
      <w:marTop w:val="0"/>
      <w:marBottom w:val="0"/>
      <w:divBdr>
        <w:top w:val="none" w:sz="0" w:space="0" w:color="auto"/>
        <w:left w:val="none" w:sz="0" w:space="0" w:color="auto"/>
        <w:bottom w:val="none" w:sz="0" w:space="0" w:color="auto"/>
        <w:right w:val="none" w:sz="0" w:space="0" w:color="auto"/>
      </w:divBdr>
    </w:div>
    <w:div w:id="21148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creativecommons.org/licenses/by/3.0/au/deed.en" TargetMode="External"/><Relationship Id="rId26" Type="http://schemas.openxmlformats.org/officeDocument/2006/relationships/header" Target="header6.xml"/><Relationship Id="rId39" Type="http://schemas.openxmlformats.org/officeDocument/2006/relationships/footer" Target="footer9.xml"/><Relationship Id="rId21" Type="http://schemas.openxmlformats.org/officeDocument/2006/relationships/hyperlink" Target="http://creativecommons.org/licenses/by/3.0/au/deed.en" TargetMode="Externa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footer" Target="footer11.xml"/><Relationship Id="rId50" Type="http://schemas.openxmlformats.org/officeDocument/2006/relationships/hyperlink" Target="mailto:FIRBCompliance@treasury.gov.au" TargetMode="External"/><Relationship Id="rId55" Type="http://schemas.openxmlformats.org/officeDocument/2006/relationships/footer" Target="footer1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footer" Target="footer6.xml"/><Relationship Id="rId38" Type="http://schemas.openxmlformats.org/officeDocument/2006/relationships/header" Target="header12.xml"/><Relationship Id="rId46"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wmf"/><Relationship Id="rId29" Type="http://schemas.openxmlformats.org/officeDocument/2006/relationships/header" Target="header8.xml"/><Relationship Id="rId41" Type="http://schemas.openxmlformats.org/officeDocument/2006/relationships/header" Target="header13.xml"/><Relationship Id="rId54"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eader" Target="header9.xml"/><Relationship Id="rId37" Type="http://schemas.openxmlformats.org/officeDocument/2006/relationships/footer" Target="footer8.xml"/><Relationship Id="rId40" Type="http://schemas.openxmlformats.org/officeDocument/2006/relationships/image" Target="media/image3.png"/><Relationship Id="rId45" Type="http://schemas.openxmlformats.org/officeDocument/2006/relationships/header" Target="header16.xml"/><Relationship Id="rId53" Type="http://schemas.openxmlformats.org/officeDocument/2006/relationships/header" Target="header2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medialiaison@treasury.gov.au" TargetMode="External"/><Relationship Id="rId28" Type="http://schemas.openxmlformats.org/officeDocument/2006/relationships/header" Target="header7.xml"/><Relationship Id="rId36" Type="http://schemas.openxmlformats.org/officeDocument/2006/relationships/footer" Target="footer7.xml"/><Relationship Id="rId49" Type="http://schemas.openxmlformats.org/officeDocument/2006/relationships/hyperlink" Target="mailto:FIRBEnquiries@treasury.gov.au" TargetMode="External"/><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creativecommons.org/licenses/by/3.0/au/legalcode" TargetMode="External"/><Relationship Id="rId31" Type="http://schemas.openxmlformats.org/officeDocument/2006/relationships/footer" Target="footer5.xml"/><Relationship Id="rId44" Type="http://schemas.openxmlformats.org/officeDocument/2006/relationships/header" Target="header15.xml"/><Relationship Id="rId52"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pmc.gov.au/government/commonwealth-coat-arms"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11.xml"/><Relationship Id="rId43" Type="http://schemas.openxmlformats.org/officeDocument/2006/relationships/footer" Target="footer10.xml"/><Relationship Id="rId48" Type="http://schemas.openxmlformats.org/officeDocument/2006/relationships/header" Target="header18.xm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image" Target="media/image4.png"/><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firb.gov.au/guidance-resources" TargetMode="External"/><Relationship Id="rId2" Type="http://schemas.openxmlformats.org/officeDocument/2006/relationships/hyperlink" Target="https://firb.gov.au/about-firb/regulator-performance-framework" TargetMode="External"/><Relationship Id="rId1" Type="http://schemas.openxmlformats.org/officeDocument/2006/relationships/hyperlink" Target="https://firb.gov.au/about-firb/regulator-performance-frame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_dlc_DocId xmlns="0f563589-9cf9-4143-b1eb-fb0534803d38">2020MG-101-8039</_dlc_DocId>
    <_dlc_DocIdUrl xmlns="0f563589-9cf9-4143-b1eb-fb0534803d38">
      <Url>http://tweb/sites/mg/fitpd/_layouts/15/DocIdRedir.aspx?ID=2020MG-101-8039</Url>
      <Description>2020MG-101-8039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B18ED31BC681A4CA399A533FCF9B71E" ma:contentTypeVersion="26811" ma:contentTypeDescription=" " ma:contentTypeScope="" ma:versionID="1e43a89670af25120645bdb102ab555c">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d218e6875a75cb0deb55b6f28f452bc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AE-20260-Destroy 7 years after action completed|623f5ec9-ec5d-4824-8e13-9c9bfc51fe7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71351-DA0F-4927-B3BA-CBC25F418AD4}">
  <ds:schemaRefs>
    <ds:schemaRef ds:uri="office.server.policy"/>
  </ds:schemaRefs>
</ds:datastoreItem>
</file>

<file path=customXml/itemProps2.xml><?xml version="1.0" encoding="utf-8"?>
<ds:datastoreItem xmlns:ds="http://schemas.openxmlformats.org/officeDocument/2006/customXml" ds:itemID="{F7E1434C-9EA7-4FFB-A2D4-E306A5FF69DA}">
  <ds:schemaRefs>
    <ds:schemaRef ds:uri="http://schemas.microsoft.com/sharepoint/events"/>
  </ds:schemaRefs>
</ds:datastoreItem>
</file>

<file path=customXml/itemProps3.xml><?xml version="1.0" encoding="utf-8"?>
<ds:datastoreItem xmlns:ds="http://schemas.openxmlformats.org/officeDocument/2006/customXml" ds:itemID="{0983C069-310D-4432-A640-69077413DEE2}">
  <ds:schemaRefs>
    <ds:schemaRef ds:uri="http://schemas.microsoft.com/sharepoint/v3/contenttype/forms"/>
  </ds:schemaRefs>
</ds:datastoreItem>
</file>

<file path=customXml/itemProps4.xml><?xml version="1.0" encoding="utf-8"?>
<ds:datastoreItem xmlns:ds="http://schemas.openxmlformats.org/officeDocument/2006/customXml" ds:itemID="{5953F70A-EECF-4AD5-BC0D-7D1BC91A86EF}">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d4dd4adf-ddb3-46a3-8d7c-fab3fb2a6bc7"/>
    <ds:schemaRef ds:uri="http://www.w3.org/XML/1998/namespace"/>
    <ds:schemaRef ds:uri="http://purl.org/dc/dcmitype/"/>
  </ds:schemaRefs>
</ds:datastoreItem>
</file>

<file path=customXml/itemProps5.xml><?xml version="1.0" encoding="utf-8"?>
<ds:datastoreItem xmlns:ds="http://schemas.openxmlformats.org/officeDocument/2006/customXml" ds:itemID="{0ECEBB9C-0D3F-497F-90E0-5C5BC161C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F572E55-643A-45DD-9B6D-EC166E72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5</TotalTime>
  <Pages>23</Pages>
  <Words>6540</Words>
  <Characters>39148</Characters>
  <Application>Microsoft Office Word</Application>
  <DocSecurity>0</DocSecurity>
  <Lines>666</Lines>
  <Paragraphs>264</Paragraphs>
  <ScaleCrop>false</ScaleCrop>
  <HeadingPairs>
    <vt:vector size="2" baseType="variant">
      <vt:variant>
        <vt:lpstr>Title</vt:lpstr>
      </vt:variant>
      <vt:variant>
        <vt:i4>1</vt:i4>
      </vt:variant>
    </vt:vector>
  </HeadingPairs>
  <TitlesOfParts>
    <vt:vector size="1" baseType="lpstr">
      <vt:lpstr>Regulator Performance Framework Administration of Australia's Foreign Investment Framework Report 2017-18</vt:lpstr>
    </vt:vector>
  </TitlesOfParts>
  <Company>Australian Government - The Treasury</Company>
  <LinksUpToDate>false</LinksUpToDate>
  <CharactersWithSpaces>45532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 Performance Framework Administration of Australia's Foreign Investment Framework Report 2018-19</dc:title>
  <dc:creator>Foreign Investment Review Board</dc:creator>
  <cp:lastModifiedBy>Hill, Christine</cp:lastModifiedBy>
  <cp:revision>5</cp:revision>
  <cp:lastPrinted>2020-02-27T04:56:00Z</cp:lastPrinted>
  <dcterms:created xsi:type="dcterms:W3CDTF">2020-02-27T04:59:00Z</dcterms:created>
  <dcterms:modified xsi:type="dcterms:W3CDTF">2020-02-27T06:05:00Z</dcterms:modified>
</cp:coreProperties>
</file>