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4FB9A" w14:textId="5E59B78E" w:rsidR="001607BB" w:rsidRPr="00A84283" w:rsidRDefault="0088032B" w:rsidP="007049A3">
      <w:pPr>
        <w:pStyle w:val="Circletext"/>
      </w:pPr>
      <w:r>
        <w:t xml:space="preserve">     </w:t>
      </w:r>
    </w:p>
    <w:p w14:paraId="7C89E40F" w14:textId="3878C510" w:rsidR="00823C66" w:rsidRPr="000814CB" w:rsidRDefault="00823C66" w:rsidP="00FE4773"/>
    <w:p w14:paraId="0C2CD78C" w14:textId="6AB87AD9" w:rsidR="00823C66" w:rsidRPr="000814CB" w:rsidRDefault="00823C66" w:rsidP="00FE4773">
      <w:bookmarkStart w:id="0" w:name="_GoBack"/>
      <w:bookmarkEnd w:id="0"/>
    </w:p>
    <w:p w14:paraId="424DD9F5" w14:textId="18CE2CA3" w:rsidR="00823C66" w:rsidRPr="000814CB" w:rsidRDefault="00823C66" w:rsidP="002F150A">
      <w:pPr>
        <w:pStyle w:val="CoverTitleMain"/>
      </w:pPr>
      <w:r w:rsidRPr="000814CB">
        <w:t>Foreign Investment</w:t>
      </w:r>
    </w:p>
    <w:p w14:paraId="1B32CC2A" w14:textId="55B4D07B" w:rsidR="00823C66" w:rsidRPr="000814CB" w:rsidRDefault="00823C66" w:rsidP="002F150A">
      <w:pPr>
        <w:pStyle w:val="CoverTitleMain"/>
      </w:pPr>
      <w:r w:rsidRPr="000814CB">
        <w:t>Review Board</w:t>
      </w:r>
    </w:p>
    <w:p w14:paraId="14AED3A8" w14:textId="0580B335" w:rsidR="00823C66" w:rsidRPr="000814CB" w:rsidRDefault="00823C66" w:rsidP="00FE4773"/>
    <w:p w14:paraId="3567B266" w14:textId="6ECD374B" w:rsidR="00823C66" w:rsidRPr="000814CB" w:rsidRDefault="00823C66" w:rsidP="002F150A">
      <w:pPr>
        <w:pStyle w:val="CoverTitleSub"/>
        <w:jc w:val="right"/>
      </w:pPr>
      <w:r w:rsidRPr="000814CB">
        <w:t>Annual Report</w:t>
      </w:r>
    </w:p>
    <w:p w14:paraId="5BE1D0FE" w14:textId="6A949513" w:rsidR="00823C66" w:rsidRDefault="00823C66" w:rsidP="002F150A">
      <w:pPr>
        <w:pStyle w:val="CoverTitleSub"/>
        <w:jc w:val="right"/>
      </w:pPr>
      <w:r w:rsidRPr="000814CB">
        <w:t>2018-19</w:t>
      </w:r>
    </w:p>
    <w:p w14:paraId="08FC3EAB" w14:textId="77777777" w:rsidR="00757660" w:rsidRDefault="00757660">
      <w:pPr>
        <w:spacing w:after="0" w:line="240" w:lineRule="auto"/>
        <w:jc w:val="left"/>
        <w:sectPr w:rsidR="00757660" w:rsidSect="00757660">
          <w:headerReference w:type="even" r:id="rId13"/>
          <w:headerReference w:type="default" r:id="rId14"/>
          <w:footerReference w:type="even" r:id="rId15"/>
          <w:footerReference w:type="default" r:id="rId16"/>
          <w:headerReference w:type="first" r:id="rId17"/>
          <w:footerReference w:type="first" r:id="rId18"/>
          <w:pgSz w:w="11906" w:h="16838" w:code="9"/>
          <w:pgMar w:top="2466" w:right="2098" w:bottom="2466" w:left="2098" w:header="1899" w:footer="1899" w:gutter="0"/>
          <w:pgNumType w:start="1"/>
          <w:cols w:space="708"/>
          <w:titlePg/>
          <w:docGrid w:linePitch="360"/>
        </w:sectPr>
      </w:pPr>
    </w:p>
    <w:p w14:paraId="4C784679" w14:textId="2C8816A5" w:rsidR="00757660" w:rsidRPr="00CB54C2" w:rsidRDefault="00757660" w:rsidP="00757660">
      <w:r w:rsidRPr="00CB54C2">
        <w:rPr>
          <w:rFonts w:ascii="Symbol" w:hAnsi="Symbol"/>
        </w:rPr>
        <w:lastRenderedPageBreak/>
        <w:t></w:t>
      </w:r>
      <w:r w:rsidRPr="00CB54C2">
        <w:t xml:space="preserve"> Commonwealth of Australia </w:t>
      </w:r>
      <w:r>
        <w:t>2020</w:t>
      </w:r>
    </w:p>
    <w:p w14:paraId="3D347556" w14:textId="77777777" w:rsidR="00757660" w:rsidRPr="00CB54C2" w:rsidRDefault="00757660" w:rsidP="00757660">
      <w:pPr>
        <w:jc w:val="left"/>
      </w:pPr>
      <w:r w:rsidRPr="00C0790A">
        <w:t>ISSN 0155</w:t>
      </w:r>
      <w:r>
        <w:t>–</w:t>
      </w:r>
      <w:r w:rsidRPr="00C0790A">
        <w:t>0802 (print)</w:t>
      </w:r>
      <w:r w:rsidRPr="00C0790A">
        <w:br/>
        <w:t>ISSN 2204</w:t>
      </w:r>
      <w:r>
        <w:t>–</w:t>
      </w:r>
      <w:r w:rsidRPr="00C0790A">
        <w:t>0927 (web)</w:t>
      </w:r>
    </w:p>
    <w:p w14:paraId="208634DE" w14:textId="77777777" w:rsidR="00757660" w:rsidRPr="00CB54C2" w:rsidRDefault="00757660" w:rsidP="00757660">
      <w:r w:rsidRPr="00CB54C2">
        <w:t xml:space="preserve">This publication is available for your use under a </w:t>
      </w:r>
      <w:hyperlink r:id="rId19" w:history="1">
        <w:r w:rsidRPr="00CB54C2">
          <w:t>Creative Commons Attribution 3.0 Australia</w:t>
        </w:r>
      </w:hyperlink>
      <w:r w:rsidRPr="00CB54C2">
        <w:t xml:space="preserve"> licence, with the exception of the Commonwealth Coat of Arms, the Treasury logo, photographs, images, signatures and where otherwise stated. The full licence terms are available from </w:t>
      </w:r>
      <w:hyperlink r:id="rId20" w:history="1">
        <w:r w:rsidRPr="00CB54C2">
          <w:t>http://creativecommons.org/licenses/by/3.0/au/legalcode</w:t>
        </w:r>
      </w:hyperlink>
      <w:r w:rsidRPr="00CB54C2">
        <w:t>.</w:t>
      </w:r>
    </w:p>
    <w:p w14:paraId="57A6ED35" w14:textId="77777777" w:rsidR="00757660" w:rsidRPr="00CB54C2" w:rsidRDefault="00757660" w:rsidP="00757660">
      <w:pPr>
        <w:spacing w:after="120" w:line="240" w:lineRule="auto"/>
      </w:pPr>
      <w:r w:rsidRPr="00CB54C2">
        <w:rPr>
          <w:noProof/>
        </w:rPr>
        <w:drawing>
          <wp:inline distT="0" distB="0" distL="0" distR="0" wp14:anchorId="6C188CBB" wp14:editId="04DBE5A9">
            <wp:extent cx="810895" cy="286385"/>
            <wp:effectExtent l="0" t="0" r="8255" b="0"/>
            <wp:docPr id="36" name="Picture 36" descr="Descrip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0895" cy="286385"/>
                    </a:xfrm>
                    <a:prstGeom prst="rect">
                      <a:avLst/>
                    </a:prstGeom>
                    <a:noFill/>
                    <a:ln>
                      <a:noFill/>
                    </a:ln>
                  </pic:spPr>
                </pic:pic>
              </a:graphicData>
            </a:graphic>
          </wp:inline>
        </w:drawing>
      </w:r>
    </w:p>
    <w:p w14:paraId="39E6EBD0" w14:textId="77777777" w:rsidR="00757660" w:rsidRPr="00CB54C2" w:rsidRDefault="00757660" w:rsidP="00A42FAB">
      <w:pPr>
        <w:tabs>
          <w:tab w:val="left" w:pos="1650"/>
        </w:tabs>
        <w:spacing w:after="80"/>
      </w:pPr>
      <w:r w:rsidRPr="00CB54C2">
        <w:t>Use of Treasury material under a</w:t>
      </w:r>
      <w:r w:rsidRPr="00CB54C2">
        <w:rPr>
          <w:rFonts w:cs="Calibri"/>
          <w:sz w:val="24"/>
          <w:szCs w:val="24"/>
        </w:rPr>
        <w:t xml:space="preserve"> </w:t>
      </w:r>
      <w:hyperlink r:id="rId22" w:history="1">
        <w:r w:rsidRPr="00CB54C2">
          <w:t>Creative Commons Attribution 3.0 Australia</w:t>
        </w:r>
      </w:hyperlink>
      <w:r w:rsidRPr="00CB54C2">
        <w:t xml:space="preserve"> licence requires you to attribute the work (but not in any way that suggests that the Treasury endorses you or your use of the work).</w:t>
      </w:r>
    </w:p>
    <w:p w14:paraId="6AF15111" w14:textId="77777777" w:rsidR="00757660" w:rsidRPr="00CB54C2" w:rsidRDefault="00757660" w:rsidP="00757660">
      <w:pPr>
        <w:tabs>
          <w:tab w:val="left" w:pos="4152"/>
        </w:tabs>
        <w:ind w:left="567"/>
        <w:rPr>
          <w:i/>
        </w:rPr>
      </w:pPr>
      <w:r w:rsidRPr="00CB54C2">
        <w:rPr>
          <w:i/>
        </w:rPr>
        <w:t>Treasury material used ‘as supplied’.</w:t>
      </w:r>
    </w:p>
    <w:p w14:paraId="46BFF675" w14:textId="77777777" w:rsidR="00757660" w:rsidRPr="00CB54C2" w:rsidRDefault="00757660" w:rsidP="00A42FAB">
      <w:pPr>
        <w:spacing w:after="80"/>
      </w:pPr>
      <w:r w:rsidRPr="00CB54C2">
        <w:t>Provided you have not modified or transformed Treasury material in any way including, for example, by changing the Treasury text; calculating percentage changes; graphing or charting data; or deriving new statistics from published Treasury statistics — then Treasury prefers the following attribution:</w:t>
      </w:r>
    </w:p>
    <w:p w14:paraId="4D5EB4F4" w14:textId="77777777" w:rsidR="00757660" w:rsidRPr="00CB54C2" w:rsidRDefault="00757660" w:rsidP="00757660">
      <w:pPr>
        <w:ind w:left="567"/>
      </w:pPr>
      <w:r w:rsidRPr="00CB54C2">
        <w:rPr>
          <w:i/>
        </w:rPr>
        <w:t>Source</w:t>
      </w:r>
      <w:r w:rsidRPr="00CB54C2">
        <w:t xml:space="preserve">: </w:t>
      </w:r>
      <w:r w:rsidRPr="00CB54C2">
        <w:rPr>
          <w:i/>
        </w:rPr>
        <w:t>The Treasury.</w:t>
      </w:r>
    </w:p>
    <w:p w14:paraId="4550D54C" w14:textId="77777777" w:rsidR="00757660" w:rsidRPr="00CB54C2" w:rsidRDefault="00757660" w:rsidP="00A42FAB">
      <w:pPr>
        <w:spacing w:after="40"/>
        <w:rPr>
          <w:b/>
        </w:rPr>
      </w:pPr>
      <w:r w:rsidRPr="00CB54C2">
        <w:rPr>
          <w:b/>
        </w:rPr>
        <w:t>Derivative material</w:t>
      </w:r>
    </w:p>
    <w:p w14:paraId="4913AA96" w14:textId="77777777" w:rsidR="00757660" w:rsidRPr="00CB54C2" w:rsidRDefault="00757660" w:rsidP="00757660">
      <w:pPr>
        <w:spacing w:after="120"/>
      </w:pPr>
      <w:r w:rsidRPr="00CB54C2">
        <w:t>If you have modified or transformed Treasury material, or derived new material from those of the Treasury in any way, then Treasury prefers the following attribution:</w:t>
      </w:r>
    </w:p>
    <w:p w14:paraId="12841E80" w14:textId="77777777" w:rsidR="00757660" w:rsidRPr="00CB54C2" w:rsidRDefault="00757660" w:rsidP="00757660">
      <w:pPr>
        <w:tabs>
          <w:tab w:val="left" w:pos="4152"/>
        </w:tabs>
        <w:ind w:left="567"/>
        <w:rPr>
          <w:i/>
        </w:rPr>
      </w:pPr>
      <w:r w:rsidRPr="00CB54C2">
        <w:rPr>
          <w:i/>
        </w:rPr>
        <w:t>Based on The Australian Government the Treasury</w:t>
      </w:r>
    </w:p>
    <w:p w14:paraId="7192DE74" w14:textId="77777777" w:rsidR="00757660" w:rsidRPr="00CB54C2" w:rsidRDefault="00757660" w:rsidP="00757660">
      <w:pPr>
        <w:spacing w:after="40"/>
        <w:rPr>
          <w:b/>
        </w:rPr>
      </w:pPr>
      <w:r w:rsidRPr="00CB54C2">
        <w:rPr>
          <w:b/>
        </w:rPr>
        <w:t>Use of the Coat of Arms</w:t>
      </w:r>
    </w:p>
    <w:p w14:paraId="225169DB" w14:textId="77777777" w:rsidR="00A42FAB" w:rsidRPr="006627B4" w:rsidRDefault="00A42FAB" w:rsidP="00A42FAB">
      <w:r>
        <w:t xml:space="preserve">The terms under which the Coat of Arms can be used are set out on the Department of the Prime Minister and Cabinet website (see </w:t>
      </w:r>
      <w:hyperlink r:id="rId23" w:history="1">
        <w:r w:rsidRPr="00A42FAB">
          <w:t>www.pmc.gov.au/government/commonwealth-coat-arms</w:t>
        </w:r>
      </w:hyperlink>
      <w:r>
        <w:t>).</w:t>
      </w:r>
    </w:p>
    <w:p w14:paraId="2FC13983" w14:textId="77777777" w:rsidR="00757660" w:rsidRPr="00CB54C2" w:rsidRDefault="00757660" w:rsidP="00A42FAB">
      <w:pPr>
        <w:spacing w:after="40"/>
        <w:rPr>
          <w:b/>
        </w:rPr>
      </w:pPr>
      <w:r w:rsidRPr="00CB54C2">
        <w:rPr>
          <w:b/>
        </w:rPr>
        <w:t>Other uses</w:t>
      </w:r>
    </w:p>
    <w:p w14:paraId="22C8300E" w14:textId="77777777" w:rsidR="00757660" w:rsidRPr="00CB54C2" w:rsidRDefault="00757660" w:rsidP="00757660">
      <w:pPr>
        <w:spacing w:after="100"/>
      </w:pPr>
      <w:r w:rsidRPr="00CB54C2">
        <w:t>Inquiries regarding this licence and any other use of this document are welcome at:</w:t>
      </w:r>
    </w:p>
    <w:p w14:paraId="74E85E47" w14:textId="31916490" w:rsidR="00757660" w:rsidRPr="00CB54C2" w:rsidRDefault="00757660" w:rsidP="00A42FAB">
      <w:pPr>
        <w:ind w:left="720"/>
        <w:jc w:val="left"/>
      </w:pPr>
      <w:r w:rsidRPr="00CB54C2">
        <w:t>Manager</w:t>
      </w:r>
      <w:r w:rsidRPr="00CB54C2">
        <w:br/>
        <w:t xml:space="preserve">Communications </w:t>
      </w:r>
      <w:r w:rsidRPr="00CB54C2">
        <w:br/>
        <w:t>The Treasury</w:t>
      </w:r>
      <w:r w:rsidRPr="00CB54C2">
        <w:br/>
        <w:t xml:space="preserve">Langton Crescent </w:t>
      </w:r>
      <w:r w:rsidRPr="00CB54C2">
        <w:br/>
        <w:t>Parkes ACT 2600</w:t>
      </w:r>
      <w:r w:rsidRPr="00CB54C2">
        <w:br/>
        <w:t xml:space="preserve">Email: </w:t>
      </w:r>
      <w:hyperlink r:id="rId24" w:history="1">
        <w:r w:rsidR="00A42FAB" w:rsidRPr="00A42FAB">
          <w:rPr>
            <w:rStyle w:val="Hyperlink"/>
            <w:color w:val="auto"/>
          </w:rPr>
          <w:t>media@treasury.gov.au</w:t>
        </w:r>
      </w:hyperlink>
    </w:p>
    <w:p w14:paraId="1175B7CA" w14:textId="77777777" w:rsidR="00757660" w:rsidRPr="00A42FAB" w:rsidRDefault="00757660" w:rsidP="00757660">
      <w:pPr>
        <w:spacing w:after="0"/>
        <w:rPr>
          <w:color w:val="auto"/>
        </w:rPr>
        <w:sectPr w:rsidR="00757660" w:rsidRPr="00A42FAB" w:rsidSect="00497197">
          <w:headerReference w:type="even" r:id="rId25"/>
          <w:headerReference w:type="default" r:id="rId26"/>
          <w:footerReference w:type="even" r:id="rId27"/>
          <w:footerReference w:type="default" r:id="rId28"/>
          <w:headerReference w:type="first" r:id="rId29"/>
          <w:footerReference w:type="first" r:id="rId30"/>
          <w:pgSz w:w="11907" w:h="16840" w:code="9"/>
          <w:pgMar w:top="2466" w:right="2098" w:bottom="2466" w:left="2098" w:header="1899" w:footer="1899" w:gutter="0"/>
          <w:pgNumType w:fmt="lowerRoman"/>
          <w:cols w:space="720"/>
          <w:titlePg/>
          <w:docGrid w:linePitch="360"/>
        </w:sectPr>
      </w:pPr>
      <w:r w:rsidRPr="00A42FAB">
        <w:rPr>
          <w:color w:val="auto"/>
        </w:rPr>
        <w:t xml:space="preserve">A copy of this document appears on the Foreign Investment Review Board website at </w:t>
      </w:r>
      <w:hyperlink r:id="rId31" w:history="1">
        <w:r w:rsidRPr="00A42FAB">
          <w:rPr>
            <w:rStyle w:val="Hyperlink"/>
            <w:color w:val="auto"/>
          </w:rPr>
          <w:t>www.firb.gov.au</w:t>
        </w:r>
      </w:hyperlink>
      <w:r w:rsidRPr="00A42FAB">
        <w:rPr>
          <w:color w:val="auto"/>
        </w:rPr>
        <w:t>.</w:t>
      </w:r>
    </w:p>
    <w:p w14:paraId="3654F4B0" w14:textId="60F8CAA8" w:rsidR="00A84283" w:rsidRPr="00A84283" w:rsidRDefault="00F74653" w:rsidP="000814CB">
      <w:pPr>
        <w:jc w:val="right"/>
        <w:rPr>
          <w:b/>
          <w:color w:val="auto"/>
        </w:rPr>
      </w:pPr>
      <w:r>
        <w:lastRenderedPageBreak/>
        <w:t>4</w:t>
      </w:r>
      <w:r w:rsidR="00FB6BFE">
        <w:t xml:space="preserve"> May </w:t>
      </w:r>
      <w:r w:rsidR="00D125F2">
        <w:t>2020</w:t>
      </w:r>
    </w:p>
    <w:p w14:paraId="594DB5DE" w14:textId="4926F2E8" w:rsidR="00A84283" w:rsidRPr="00A84283" w:rsidRDefault="00A84283" w:rsidP="000814CB">
      <w:pPr>
        <w:jc w:val="left"/>
      </w:pPr>
      <w:r w:rsidRPr="00A84283">
        <w:t>The Hon Josh Frydenberg MP</w:t>
      </w:r>
      <w:r w:rsidR="00B95941">
        <w:br/>
      </w:r>
      <w:r w:rsidRPr="00A84283">
        <w:t>Treasurer</w:t>
      </w:r>
      <w:r w:rsidR="00B95941">
        <w:br/>
      </w:r>
      <w:r w:rsidRPr="00A84283">
        <w:t>Parliament House</w:t>
      </w:r>
      <w:r w:rsidR="00B95941">
        <w:br/>
      </w:r>
      <w:r w:rsidRPr="00A84283">
        <w:t xml:space="preserve">CANBERRA </w:t>
      </w:r>
      <w:r w:rsidR="000A20BC">
        <w:t xml:space="preserve"> </w:t>
      </w:r>
      <w:r w:rsidRPr="00A84283">
        <w:t>ACT</w:t>
      </w:r>
      <w:r w:rsidR="000A20BC">
        <w:t xml:space="preserve"> </w:t>
      </w:r>
      <w:r w:rsidRPr="00A84283">
        <w:t xml:space="preserve"> 2600</w:t>
      </w:r>
    </w:p>
    <w:p w14:paraId="1546F585" w14:textId="5C3AF410" w:rsidR="00A84283" w:rsidRPr="00A84283" w:rsidRDefault="00A84283" w:rsidP="002E2EFE">
      <w:r w:rsidRPr="00A84283">
        <w:t>Dear Treasurer</w:t>
      </w:r>
      <w:r w:rsidR="00011127">
        <w:t xml:space="preserve"> </w:t>
      </w:r>
    </w:p>
    <w:p w14:paraId="4C345F0C" w14:textId="5C317F67" w:rsidR="001A279A" w:rsidRPr="001A279A" w:rsidRDefault="001A279A" w:rsidP="002E2EFE">
      <w:r w:rsidRPr="001A279A">
        <w:t xml:space="preserve">It is my pleasure to present to you the annual report of the </w:t>
      </w:r>
      <w:r w:rsidR="00B31414">
        <w:t>Foreign Investment Review Board </w:t>
      </w:r>
      <w:r w:rsidRPr="001A279A">
        <w:t>(</w:t>
      </w:r>
      <w:r w:rsidR="00B31414">
        <w:t>the Board</w:t>
      </w:r>
      <w:r w:rsidRPr="001A279A">
        <w:t>) for the year ending 30</w:t>
      </w:r>
      <w:r w:rsidR="006D51C1">
        <w:t> June </w:t>
      </w:r>
      <w:r w:rsidRPr="001A279A">
        <w:t xml:space="preserve">2019. The report has been prepared in accordance with the </w:t>
      </w:r>
      <w:r w:rsidR="00B31414">
        <w:t>Board</w:t>
      </w:r>
      <w:r w:rsidRPr="001A279A">
        <w:t>’s responsibilities to advise the Government on foreign investment</w:t>
      </w:r>
      <w:r w:rsidR="00367CF0">
        <w:t> </w:t>
      </w:r>
      <w:r w:rsidRPr="001A279A">
        <w:t>matters.</w:t>
      </w:r>
    </w:p>
    <w:p w14:paraId="0D78AEB1" w14:textId="1A70EEF4" w:rsidR="006736B1" w:rsidRDefault="006736B1" w:rsidP="002E2EFE">
      <w:r>
        <w:t>As in previous years</w:t>
      </w:r>
      <w:r w:rsidR="0008397C">
        <w:t xml:space="preserve">, the </w:t>
      </w:r>
      <w:r w:rsidR="00B31414">
        <w:t>Board</w:t>
      </w:r>
      <w:r w:rsidR="0008397C">
        <w:t xml:space="preserve"> assesse</w:t>
      </w:r>
      <w:r w:rsidR="00CA45CF">
        <w:t>d a number of high profile investment applications including Nippon Paint’s $3.8</w:t>
      </w:r>
      <w:r w:rsidR="00681BAC">
        <w:t> </w:t>
      </w:r>
      <w:r w:rsidR="00CA45CF">
        <w:t xml:space="preserve">billion takeover of the </w:t>
      </w:r>
      <w:r w:rsidR="006E7EFB">
        <w:t xml:space="preserve">DuluxGroup, </w:t>
      </w:r>
      <w:r w:rsidR="00CA45CF">
        <w:t>the proposed acquisition of AP</w:t>
      </w:r>
      <w:r w:rsidR="009C13E8">
        <w:t>A</w:t>
      </w:r>
      <w:r w:rsidR="00CA45CF">
        <w:t xml:space="preserve"> Group by a consortium led by CK Asset Holdings Limited</w:t>
      </w:r>
      <w:r w:rsidR="006E7EFB">
        <w:t xml:space="preserve"> and </w:t>
      </w:r>
      <w:r w:rsidR="00CA45CF">
        <w:t xml:space="preserve">the acquisition of Sirtex Medical Limited by the majority Chinese owned joint bidders CDH </w:t>
      </w:r>
      <w:r w:rsidR="0008397C">
        <w:t>Investments</w:t>
      </w:r>
      <w:r w:rsidR="007508ED">
        <w:t xml:space="preserve">, China Grand </w:t>
      </w:r>
      <w:r w:rsidR="00FB463F">
        <w:t>Pharmaceutical</w:t>
      </w:r>
      <w:r w:rsidR="007508ED">
        <w:t xml:space="preserve"> and Healthcare Holdings Limited</w:t>
      </w:r>
      <w:r w:rsidR="00CA45CF">
        <w:t>.</w:t>
      </w:r>
    </w:p>
    <w:p w14:paraId="2FCB8046" w14:textId="36A2410E" w:rsidR="00832B6E" w:rsidRDefault="00C54968" w:rsidP="002E2EFE">
      <w:r>
        <w:t xml:space="preserve">The report provides </w:t>
      </w:r>
      <w:r w:rsidR="00B77BD8">
        <w:t xml:space="preserve">data on </w:t>
      </w:r>
      <w:r>
        <w:t xml:space="preserve">proposed foreign investment </w:t>
      </w:r>
      <w:r w:rsidR="00B77BD8">
        <w:t xml:space="preserve">in </w:t>
      </w:r>
      <w:r>
        <w:t xml:space="preserve">2018-19. </w:t>
      </w:r>
      <w:r w:rsidR="00A26150">
        <w:t>The</w:t>
      </w:r>
      <w:r w:rsidR="0008397C">
        <w:t xml:space="preserve"> value of </w:t>
      </w:r>
      <w:r w:rsidR="00B77BD8">
        <w:t>proposed</w:t>
      </w:r>
      <w:r w:rsidR="00B77BD8" w:rsidRPr="001D47CC">
        <w:t xml:space="preserve"> </w:t>
      </w:r>
      <w:r w:rsidR="0008397C" w:rsidRPr="001D47CC">
        <w:t>investment</w:t>
      </w:r>
      <w:r>
        <w:t xml:space="preserve"> application</w:t>
      </w:r>
      <w:r w:rsidR="0008397C">
        <w:t>s</w:t>
      </w:r>
      <w:r w:rsidR="0008397C" w:rsidRPr="001D47CC">
        <w:t xml:space="preserve"> </w:t>
      </w:r>
      <w:r w:rsidR="00832B6E">
        <w:t xml:space="preserve">increased </w:t>
      </w:r>
      <w:r w:rsidR="0008397C" w:rsidRPr="00814EFB">
        <w:t>by $67.9</w:t>
      </w:r>
      <w:r w:rsidR="00B14826" w:rsidRPr="00814EFB">
        <w:t> </w:t>
      </w:r>
      <w:r w:rsidR="0008397C" w:rsidRPr="00814EFB">
        <w:t>billion to $231.0</w:t>
      </w:r>
      <w:r w:rsidR="00B14826" w:rsidRPr="00814EFB">
        <w:t> </w:t>
      </w:r>
      <w:r w:rsidR="0008397C" w:rsidRPr="00814EFB">
        <w:t>billion</w:t>
      </w:r>
      <w:r w:rsidR="004F2390" w:rsidRPr="00814EFB">
        <w:t xml:space="preserve">, with the number of </w:t>
      </w:r>
      <w:r w:rsidR="00A26150" w:rsidRPr="00814EFB">
        <w:t xml:space="preserve">transactions </w:t>
      </w:r>
      <w:r w:rsidR="004F2390" w:rsidRPr="00814EFB">
        <w:t>valued at $2</w:t>
      </w:r>
      <w:r w:rsidR="00B14826" w:rsidRPr="00814EFB">
        <w:t> </w:t>
      </w:r>
      <w:r w:rsidR="004F2390" w:rsidRPr="00814EFB">
        <w:t>billion or great</w:t>
      </w:r>
      <w:r w:rsidR="004F2390" w:rsidRPr="002A5FAE">
        <w:t>er</w:t>
      </w:r>
      <w:r w:rsidR="004F2390">
        <w:t xml:space="preserve"> increasing from </w:t>
      </w:r>
      <w:r w:rsidR="00FB4AE9">
        <w:t>two</w:t>
      </w:r>
      <w:r w:rsidR="004F2390">
        <w:t xml:space="preserve"> in 2</w:t>
      </w:r>
      <w:r w:rsidR="005D6511">
        <w:t>017</w:t>
      </w:r>
      <w:r w:rsidR="005D6511">
        <w:noBreakHyphen/>
      </w:r>
      <w:r w:rsidR="004F2390">
        <w:t>18 to 23 during this reporting period</w:t>
      </w:r>
      <w:r w:rsidR="0008397C">
        <w:t xml:space="preserve">. </w:t>
      </w:r>
      <w:r w:rsidR="00487D73">
        <w:t>Business investment is at its highest level since 2015-16 and this year it increased by over $65 billion</w:t>
      </w:r>
      <w:r w:rsidR="00D7404B">
        <w:t xml:space="preserve"> to $216.2 billion</w:t>
      </w:r>
      <w:r w:rsidR="00487D73">
        <w:t>.</w:t>
      </w:r>
    </w:p>
    <w:p w14:paraId="0BA19B3E" w14:textId="7D82335F" w:rsidR="00212F52" w:rsidRDefault="00C54968" w:rsidP="002E2EFE">
      <w:r>
        <w:t>While</w:t>
      </w:r>
      <w:r w:rsidR="00090976">
        <w:t xml:space="preserve"> the </w:t>
      </w:r>
      <w:r w:rsidR="0008397C">
        <w:t xml:space="preserve">number of </w:t>
      </w:r>
      <w:r w:rsidR="00301EF8" w:rsidRPr="001D47CC">
        <w:t xml:space="preserve">proposed transactions </w:t>
      </w:r>
      <w:r w:rsidR="0008397C">
        <w:t>approved</w:t>
      </w:r>
      <w:r>
        <w:t xml:space="preserve"> dropped</w:t>
      </w:r>
      <w:r w:rsidR="0008397C">
        <w:t xml:space="preserve"> </w:t>
      </w:r>
      <w:r w:rsidR="00090976">
        <w:t>by approximately 2</w:t>
      </w:r>
      <w:r w:rsidR="00A1460C">
        <w:t>,</w:t>
      </w:r>
      <w:r w:rsidR="00090976">
        <w:t>500</w:t>
      </w:r>
      <w:r w:rsidR="00487D73">
        <w:t xml:space="preserve"> as a </w:t>
      </w:r>
      <w:r w:rsidR="0008397C">
        <w:t xml:space="preserve">result of </w:t>
      </w:r>
      <w:r w:rsidR="00B55DF6">
        <w:t xml:space="preserve">a </w:t>
      </w:r>
      <w:r w:rsidR="00212F52">
        <w:t xml:space="preserve">fall </w:t>
      </w:r>
      <w:r w:rsidR="00B55DF6">
        <w:t xml:space="preserve">in the number of </w:t>
      </w:r>
      <w:r w:rsidR="00A1460C">
        <w:t>residential real estate applications</w:t>
      </w:r>
      <w:r>
        <w:t>, t</w:t>
      </w:r>
      <w:r w:rsidR="00212F52">
        <w:t xml:space="preserve">he </w:t>
      </w:r>
      <w:r w:rsidR="0008397C">
        <w:t>value of proposed investments</w:t>
      </w:r>
      <w:r w:rsidR="00DB71A1">
        <w:t xml:space="preserve"> in this sector </w:t>
      </w:r>
      <w:r>
        <w:t>actually</w:t>
      </w:r>
      <w:r w:rsidR="007A71F7">
        <w:t xml:space="preserve"> </w:t>
      </w:r>
      <w:r w:rsidR="00DB71A1">
        <w:t>increase</w:t>
      </w:r>
      <w:r>
        <w:t>d</w:t>
      </w:r>
      <w:r w:rsidR="00DB71A1">
        <w:t xml:space="preserve"> by </w:t>
      </w:r>
      <w:r w:rsidR="00487D73">
        <w:t xml:space="preserve">over </w:t>
      </w:r>
      <w:r w:rsidR="00DB71A1">
        <w:t>$2</w:t>
      </w:r>
      <w:r w:rsidR="005D6511">
        <w:t> </w:t>
      </w:r>
      <w:r w:rsidR="00DB71A1">
        <w:t>billion</w:t>
      </w:r>
      <w:r w:rsidR="00212F52">
        <w:t xml:space="preserve"> to $14.8 billion</w:t>
      </w:r>
      <w:r w:rsidR="0008397C">
        <w:t>.</w:t>
      </w:r>
      <w:r w:rsidR="00A1460C">
        <w:t xml:space="preserve"> </w:t>
      </w:r>
    </w:p>
    <w:p w14:paraId="3956CEA6" w14:textId="3252E700" w:rsidR="002D1966" w:rsidRDefault="00C54968" w:rsidP="003155C9">
      <w:r>
        <w:t>In 2018-19, as in 2017-18</w:t>
      </w:r>
      <w:r w:rsidR="00F12896">
        <w:t>, t</w:t>
      </w:r>
      <w:r w:rsidR="000E2FAF" w:rsidRPr="009C13E8">
        <w:t xml:space="preserve">he United States </w:t>
      </w:r>
      <w:r w:rsidR="00F12896">
        <w:t>was the largest source</w:t>
      </w:r>
      <w:r w:rsidR="000E2FAF" w:rsidRPr="009C13E8">
        <w:t xml:space="preserve"> country</w:t>
      </w:r>
      <w:r w:rsidR="000A20BC">
        <w:t xml:space="preserve"> </w:t>
      </w:r>
      <w:r w:rsidR="00F12896">
        <w:t xml:space="preserve">of </w:t>
      </w:r>
      <w:r w:rsidR="000A20BC">
        <w:t>proposed investment</w:t>
      </w:r>
      <w:r w:rsidR="00F12896">
        <w:t xml:space="preserve"> applications, by</w:t>
      </w:r>
      <w:r w:rsidR="0085249D">
        <w:t xml:space="preserve"> value</w:t>
      </w:r>
      <w:r w:rsidR="00F12896">
        <w:t>.</w:t>
      </w:r>
      <w:r w:rsidR="00487D73">
        <w:t xml:space="preserve"> </w:t>
      </w:r>
      <w:r w:rsidR="002736B9" w:rsidRPr="009C13E8">
        <w:t xml:space="preserve">Canada </w:t>
      </w:r>
      <w:r w:rsidR="00F12896">
        <w:t xml:space="preserve">was the next largest source country </w:t>
      </w:r>
      <w:r w:rsidR="000E2FAF" w:rsidRPr="009C13E8">
        <w:t>followed by Singapore</w:t>
      </w:r>
      <w:r w:rsidR="00F12896">
        <w:t>,</w:t>
      </w:r>
      <w:r w:rsidR="0028562D" w:rsidRPr="009C13E8">
        <w:t xml:space="preserve"> Japan</w:t>
      </w:r>
      <w:r w:rsidR="00F12896">
        <w:t xml:space="preserve"> and</w:t>
      </w:r>
      <w:r w:rsidR="0028562D" w:rsidRPr="009C13E8">
        <w:t xml:space="preserve"> China</w:t>
      </w:r>
      <w:r w:rsidR="00F12896">
        <w:t>. The reducti</w:t>
      </w:r>
      <w:r w:rsidR="002126E2">
        <w:t>o</w:t>
      </w:r>
      <w:r w:rsidR="00F12896">
        <w:t>n in proposed investment applications, by value, from China reflects</w:t>
      </w:r>
      <w:r w:rsidR="0028562D" w:rsidRPr="009C13E8">
        <w:t xml:space="preserve"> </w:t>
      </w:r>
      <w:r w:rsidR="00F83673">
        <w:t xml:space="preserve">an ongoing </w:t>
      </w:r>
      <w:r w:rsidR="00F83673" w:rsidRPr="009C13E8">
        <w:t xml:space="preserve">downward trend </w:t>
      </w:r>
      <w:r w:rsidR="00F83673">
        <w:t xml:space="preserve">in the value of Chinese investment </w:t>
      </w:r>
      <w:r w:rsidR="00F83673" w:rsidRPr="009C13E8">
        <w:t xml:space="preserve">from its </w:t>
      </w:r>
      <w:r w:rsidR="00F83673">
        <w:t>peak in 2015</w:t>
      </w:r>
      <w:r w:rsidR="00F83673">
        <w:noBreakHyphen/>
      </w:r>
      <w:r w:rsidR="00F83673" w:rsidRPr="009C13E8">
        <w:t>16</w:t>
      </w:r>
      <w:r w:rsidR="00F83673">
        <w:t xml:space="preserve">. </w:t>
      </w:r>
      <w:r w:rsidR="003155C9">
        <w:t xml:space="preserve">This </w:t>
      </w:r>
      <w:r w:rsidR="0085249D">
        <w:t xml:space="preserve">can be attributed to </w:t>
      </w:r>
      <w:r w:rsidR="003155C9">
        <w:t xml:space="preserve">a range of factors </w:t>
      </w:r>
      <w:r w:rsidR="00A20C9B">
        <w:t>such as</w:t>
      </w:r>
      <w:r w:rsidR="003155C9">
        <w:t xml:space="preserve"> </w:t>
      </w:r>
      <w:r w:rsidR="00D125F2">
        <w:t xml:space="preserve">China’s internal domestic policy </w:t>
      </w:r>
      <w:r w:rsidR="007A71F7">
        <w:t xml:space="preserve">settings </w:t>
      </w:r>
      <w:r w:rsidR="00A20C9B">
        <w:t xml:space="preserve">including </w:t>
      </w:r>
      <w:r w:rsidR="00557BCC">
        <w:t>increased scrutiny of outbound investment</w:t>
      </w:r>
      <w:r w:rsidR="00E5297A">
        <w:t xml:space="preserve"> and</w:t>
      </w:r>
      <w:r w:rsidR="003155C9">
        <w:t xml:space="preserve"> </w:t>
      </w:r>
      <w:r w:rsidR="00A20C9B">
        <w:t xml:space="preserve">stricter </w:t>
      </w:r>
      <w:r w:rsidR="003155C9">
        <w:t>capital controls</w:t>
      </w:r>
      <w:r w:rsidR="00557BCC">
        <w:t xml:space="preserve">. </w:t>
      </w:r>
      <w:r w:rsidR="007A71F7">
        <w:t xml:space="preserve">The fall in Chinese investment </w:t>
      </w:r>
      <w:r w:rsidR="003155C9">
        <w:t xml:space="preserve">reflects a broader trend </w:t>
      </w:r>
      <w:r w:rsidR="007A71F7">
        <w:t>which has seen</w:t>
      </w:r>
      <w:r w:rsidR="003155C9">
        <w:t xml:space="preserve"> </w:t>
      </w:r>
      <w:r w:rsidR="003155C9" w:rsidRPr="00BD1666">
        <w:t>a decline in outbound</w:t>
      </w:r>
      <w:r w:rsidR="002126E2">
        <w:t xml:space="preserve"> global</w:t>
      </w:r>
      <w:r w:rsidR="003155C9" w:rsidRPr="00BD1666">
        <w:t xml:space="preserve"> Chinese </w:t>
      </w:r>
      <w:r w:rsidR="003155C9">
        <w:t>investment</w:t>
      </w:r>
      <w:r w:rsidR="003155C9" w:rsidRPr="00BD1666">
        <w:t xml:space="preserve"> </w:t>
      </w:r>
      <w:r w:rsidR="003155C9">
        <w:t>since 2016.</w:t>
      </w:r>
    </w:p>
    <w:p w14:paraId="012613ED" w14:textId="3548B6DE" w:rsidR="001A279A" w:rsidRDefault="001A279A" w:rsidP="002E2EFE">
      <w:r w:rsidRPr="001A279A">
        <w:t xml:space="preserve">During the year, the Board </w:t>
      </w:r>
      <w:r w:rsidR="00E50913">
        <w:t xml:space="preserve">continued </w:t>
      </w:r>
      <w:r w:rsidR="009C13E8">
        <w:t>its out</w:t>
      </w:r>
      <w:r w:rsidRPr="001A279A">
        <w:t>reach to stakeholders to build a deeper understanding of the Government’s approach to foreign investment in Australia, particularly in relation to sensitive assets such as critical infrastructure</w:t>
      </w:r>
      <w:r w:rsidR="00557BCC">
        <w:t xml:space="preserve"> or where there </w:t>
      </w:r>
      <w:r w:rsidR="00613775">
        <w:t>were</w:t>
      </w:r>
      <w:r w:rsidR="00557BCC">
        <w:t xml:space="preserve"> large holdings of personal information</w:t>
      </w:r>
      <w:r w:rsidRPr="001A279A">
        <w:t xml:space="preserve">. A key message </w:t>
      </w:r>
      <w:r w:rsidR="00330D21">
        <w:t xml:space="preserve">was </w:t>
      </w:r>
      <w:r w:rsidRPr="001A279A">
        <w:t xml:space="preserve">the need for early engagement so that any national interest concerns are identified, assessed and managed as early as possible. </w:t>
      </w:r>
      <w:r w:rsidR="0080730B">
        <w:t xml:space="preserve">These were key issues for discussion </w:t>
      </w:r>
      <w:r w:rsidR="0080289D">
        <w:t>in my meetings with investors in Hong Kong and Beijing</w:t>
      </w:r>
      <w:r w:rsidR="0085249D">
        <w:t xml:space="preserve"> in September 2019,</w:t>
      </w:r>
      <w:r w:rsidR="002D32CE">
        <w:t xml:space="preserve"> </w:t>
      </w:r>
      <w:r w:rsidR="0080289D">
        <w:t xml:space="preserve">which was the first visit from a FIRB Chair since 2015.  </w:t>
      </w:r>
    </w:p>
    <w:p w14:paraId="6ED53A32" w14:textId="65F5B815" w:rsidR="0080730B" w:rsidRDefault="0080289D" w:rsidP="0080730B">
      <w:pPr>
        <w:pStyle w:val="Bullet"/>
        <w:numPr>
          <w:ilvl w:val="0"/>
          <w:numId w:val="0"/>
        </w:numPr>
      </w:pPr>
      <w:r>
        <w:lastRenderedPageBreak/>
        <w:t>T</w:t>
      </w:r>
      <w:r w:rsidR="00DA3144">
        <w:t>he Board has been closely following reforms to foreign investment screening regimes in key economies, including the United States, United Kingdom, China and New Zealand</w:t>
      </w:r>
      <w:r>
        <w:t xml:space="preserve"> </w:t>
      </w:r>
      <w:r w:rsidR="0080730B">
        <w:t xml:space="preserve">where </w:t>
      </w:r>
      <w:r>
        <w:t xml:space="preserve">recent </w:t>
      </w:r>
      <w:r w:rsidR="0080730B">
        <w:t>changes have enhance</w:t>
      </w:r>
      <w:r w:rsidR="0085249D">
        <w:t>d</w:t>
      </w:r>
      <w:r w:rsidR="0080730B">
        <w:t xml:space="preserve"> </w:t>
      </w:r>
      <w:r>
        <w:t xml:space="preserve">the </w:t>
      </w:r>
      <w:r w:rsidR="0080730B">
        <w:t xml:space="preserve">powers of </w:t>
      </w:r>
      <w:r w:rsidR="0080730B" w:rsidRPr="001322C9">
        <w:t>governments to scrutinise investment, particularly in sensitive sectors</w:t>
      </w:r>
      <w:r w:rsidR="0080730B">
        <w:t>.</w:t>
      </w:r>
    </w:p>
    <w:p w14:paraId="512A7CB1" w14:textId="7BAF6244" w:rsidR="001A279A" w:rsidRPr="001A279A" w:rsidDel="004B436F" w:rsidRDefault="001A279A" w:rsidP="002E2EFE">
      <w:r w:rsidRPr="001A279A" w:rsidDel="004B436F">
        <w:t xml:space="preserve">The Board continues to </w:t>
      </w:r>
      <w:r w:rsidR="00F55D89" w:rsidDel="004B436F">
        <w:t xml:space="preserve">monitor broader </w:t>
      </w:r>
      <w:r w:rsidRPr="001A279A" w:rsidDel="004B436F">
        <w:t xml:space="preserve">developments </w:t>
      </w:r>
      <w:r w:rsidR="00F55D89" w:rsidDel="004B436F">
        <w:t xml:space="preserve">which may have </w:t>
      </w:r>
      <w:r w:rsidRPr="001A279A" w:rsidDel="004B436F">
        <w:t xml:space="preserve">implications for foreign investment. In </w:t>
      </w:r>
      <w:r w:rsidR="00F55D89" w:rsidDel="004B436F">
        <w:t xml:space="preserve">January 2020, </w:t>
      </w:r>
      <w:r w:rsidR="00DA3144" w:rsidDel="004B436F">
        <w:t xml:space="preserve">the </w:t>
      </w:r>
      <w:r w:rsidRPr="001A279A" w:rsidDel="004B436F">
        <w:t xml:space="preserve">Critical Minerals Facilitation Office </w:t>
      </w:r>
      <w:r w:rsidR="00E122B8" w:rsidDel="004B436F">
        <w:t xml:space="preserve">(the Office) </w:t>
      </w:r>
      <w:r w:rsidRPr="001A279A" w:rsidDel="004B436F">
        <w:t>within the Department of Industry</w:t>
      </w:r>
      <w:r w:rsidR="007A71F7" w:rsidDel="004B436F">
        <w:t>, Science, Energy and Resources</w:t>
      </w:r>
      <w:r w:rsidRPr="001A279A" w:rsidDel="004B436F">
        <w:t xml:space="preserve"> </w:t>
      </w:r>
      <w:r w:rsidR="00F55D89" w:rsidDel="004B436F">
        <w:t xml:space="preserve">was launched </w:t>
      </w:r>
      <w:r w:rsidRPr="001A279A" w:rsidDel="004B436F">
        <w:t>to support the development of critical mineral projects</w:t>
      </w:r>
      <w:r w:rsidR="007A71F7" w:rsidDel="004B436F">
        <w:t>, including rare earths</w:t>
      </w:r>
      <w:r w:rsidRPr="001A279A" w:rsidDel="004B436F">
        <w:t xml:space="preserve">. Foreign investment </w:t>
      </w:r>
      <w:r w:rsidR="004C50AE" w:rsidDel="004B436F">
        <w:t xml:space="preserve">is expected to remain important to the </w:t>
      </w:r>
      <w:r w:rsidR="00B46B19" w:rsidDel="004B436F">
        <w:t xml:space="preserve">development </w:t>
      </w:r>
      <w:r w:rsidRPr="001A279A" w:rsidDel="004B436F">
        <w:t>of critical minerals</w:t>
      </w:r>
      <w:r w:rsidR="007A71F7" w:rsidDel="004B436F">
        <w:t xml:space="preserve"> where it is not contrary to the national interest</w:t>
      </w:r>
      <w:r w:rsidRPr="001A279A" w:rsidDel="004B436F">
        <w:t xml:space="preserve">. </w:t>
      </w:r>
      <w:r w:rsidR="00E122B8" w:rsidDel="004B436F">
        <w:t>Close engagement</w:t>
      </w:r>
      <w:r w:rsidRPr="001A279A" w:rsidDel="004B436F">
        <w:t xml:space="preserve"> will </w:t>
      </w:r>
      <w:r w:rsidR="00AC637F" w:rsidDel="004B436F">
        <w:t xml:space="preserve">continue </w:t>
      </w:r>
      <w:r w:rsidRPr="001A279A" w:rsidDel="004B436F">
        <w:t xml:space="preserve">with the Office given its work </w:t>
      </w:r>
      <w:r w:rsidR="00AC637F" w:rsidDel="004B436F">
        <w:t xml:space="preserve">can provide important insights </w:t>
      </w:r>
      <w:r w:rsidR="00DA3144" w:rsidDel="004B436F">
        <w:t xml:space="preserve">into </w:t>
      </w:r>
      <w:r w:rsidR="00E122B8" w:rsidDel="004B436F">
        <w:t>the Board’s</w:t>
      </w:r>
      <w:r w:rsidR="00397FE8" w:rsidDel="004B436F">
        <w:t xml:space="preserve"> assessment of foreign investment </w:t>
      </w:r>
      <w:r w:rsidR="00B95941" w:rsidDel="004B436F">
        <w:t>applications</w:t>
      </w:r>
      <w:r w:rsidRPr="001A279A" w:rsidDel="004B436F">
        <w:t>.</w:t>
      </w:r>
    </w:p>
    <w:p w14:paraId="4B0D0A76" w14:textId="25F3A66A" w:rsidR="00301EF8" w:rsidRDefault="00DA3144" w:rsidP="002E2EFE">
      <w:r>
        <w:t xml:space="preserve">Compliance continued to be a focus during the year. </w:t>
      </w:r>
      <w:r w:rsidR="00301EF8" w:rsidRPr="00301EF8">
        <w:t xml:space="preserve">Treasury </w:t>
      </w:r>
      <w:r w:rsidR="00FD313E">
        <w:t xml:space="preserve">completed </w:t>
      </w:r>
      <w:r w:rsidR="00301EF8" w:rsidRPr="00301EF8">
        <w:t>nine business investment audits</w:t>
      </w:r>
      <w:r w:rsidR="00FD313E">
        <w:t xml:space="preserve">, representing </w:t>
      </w:r>
      <w:r w:rsidR="00DB6908">
        <w:t>$2.84 billion worth of proposed investment</w:t>
      </w:r>
      <w:r w:rsidR="00301EF8" w:rsidRPr="00301EF8">
        <w:t>. The results of the audit program indicated that, largely, investors are meeting their obligations. The ATO</w:t>
      </w:r>
      <w:r w:rsidR="00397FE8">
        <w:t xml:space="preserve"> </w:t>
      </w:r>
      <w:r w:rsidR="00301EF8" w:rsidRPr="00301EF8">
        <w:t>completed 1,068</w:t>
      </w:r>
      <w:r w:rsidR="006D51C1">
        <w:t> </w:t>
      </w:r>
      <w:r w:rsidR="00301EF8" w:rsidRPr="00301EF8">
        <w:t xml:space="preserve">residential real estate </w:t>
      </w:r>
      <w:r w:rsidR="006D51C1">
        <w:t>investigations, identifying 600 </w:t>
      </w:r>
      <w:r w:rsidR="00301EF8" w:rsidRPr="00301EF8">
        <w:t>properties that were in breach – a similar figure to that identified in 2017</w:t>
      </w:r>
      <w:r w:rsidR="005D6511">
        <w:noBreakHyphen/>
      </w:r>
      <w:r w:rsidR="00301EF8" w:rsidRPr="00301EF8">
        <w:t>18</w:t>
      </w:r>
      <w:r w:rsidR="00397FE8">
        <w:t xml:space="preserve"> </w:t>
      </w:r>
      <w:r w:rsidR="00FD313E">
        <w:t xml:space="preserve">– with the ATO pursuing </w:t>
      </w:r>
      <w:r w:rsidR="00301EF8" w:rsidRPr="00301EF8">
        <w:t xml:space="preserve">divestments, retrospective approvals and variations </w:t>
      </w:r>
      <w:r w:rsidR="00FD313E">
        <w:t xml:space="preserve">to </w:t>
      </w:r>
      <w:r w:rsidR="00301EF8" w:rsidRPr="00301EF8">
        <w:t>conditions</w:t>
      </w:r>
      <w:r w:rsidR="00397FE8">
        <w:t xml:space="preserve"> in response to these breaches</w:t>
      </w:r>
      <w:r w:rsidR="00301EF8" w:rsidRPr="00301EF8">
        <w:t>.</w:t>
      </w:r>
    </w:p>
    <w:p w14:paraId="327DD772" w14:textId="44CC1BAA" w:rsidR="0080289D" w:rsidRPr="001A279A" w:rsidRDefault="0080289D" w:rsidP="0080289D">
      <w:r w:rsidRPr="001A279A">
        <w:t xml:space="preserve">Looking ahead, </w:t>
      </w:r>
      <w:r w:rsidR="00241852">
        <w:t xml:space="preserve">in the 2019-20 Budget </w:t>
      </w:r>
      <w:r>
        <w:t xml:space="preserve">funding </w:t>
      </w:r>
      <w:r w:rsidR="002323CB">
        <w:t xml:space="preserve">was </w:t>
      </w:r>
      <w:r w:rsidR="00241852">
        <w:t xml:space="preserve">provided </w:t>
      </w:r>
      <w:r>
        <w:t xml:space="preserve">to Treasury and other </w:t>
      </w:r>
      <w:r w:rsidRPr="001A279A">
        <w:t>Commonwealth agencies</w:t>
      </w:r>
      <w:r>
        <w:t>, including the Department of Home Affairs,</w:t>
      </w:r>
      <w:r w:rsidRPr="001A279A">
        <w:t xml:space="preserve"> to identify and assess national interest issues (particularly national security risks) arising from foreign investment at the sectoral level</w:t>
      </w:r>
      <w:r w:rsidR="002323CB">
        <w:t>. This work</w:t>
      </w:r>
      <w:r>
        <w:t xml:space="preserve"> will </w:t>
      </w:r>
      <w:r w:rsidR="006C1106">
        <w:t xml:space="preserve">help </w:t>
      </w:r>
      <w:r w:rsidRPr="001A279A">
        <w:t>inform</w:t>
      </w:r>
      <w:r w:rsidR="00241852">
        <w:t xml:space="preserve"> the Board’s assessment of</w:t>
      </w:r>
      <w:r w:rsidRPr="001A279A">
        <w:t xml:space="preserve"> </w:t>
      </w:r>
      <w:r w:rsidR="00241852">
        <w:t xml:space="preserve">the </w:t>
      </w:r>
      <w:r w:rsidRPr="001A279A">
        <w:t xml:space="preserve">national interest with respect to individual foreign investment proposals. </w:t>
      </w:r>
      <w:r w:rsidR="00241852">
        <w:t>I</w:t>
      </w:r>
      <w:r w:rsidR="006C1106">
        <w:t xml:space="preserve">t </w:t>
      </w:r>
      <w:r w:rsidRPr="001A279A">
        <w:t xml:space="preserve">will </w:t>
      </w:r>
      <w:r w:rsidR="00241852">
        <w:t xml:space="preserve">also </w:t>
      </w:r>
      <w:r w:rsidRPr="001A279A">
        <w:t xml:space="preserve">help identify opportunities to address </w:t>
      </w:r>
      <w:r w:rsidR="00241852">
        <w:t xml:space="preserve">sectoral </w:t>
      </w:r>
      <w:r w:rsidRPr="001A279A">
        <w:t xml:space="preserve">policy issues through regulatory mechanisms or reform </w:t>
      </w:r>
      <w:r w:rsidR="00564F67">
        <w:t xml:space="preserve">within and </w:t>
      </w:r>
      <w:r w:rsidR="00613775">
        <w:t xml:space="preserve">outside of </w:t>
      </w:r>
      <w:r w:rsidRPr="001A279A">
        <w:t xml:space="preserve">the </w:t>
      </w:r>
      <w:r>
        <w:t>existing foreign investment framework</w:t>
      </w:r>
      <w:r w:rsidRPr="001A279A">
        <w:t>.</w:t>
      </w:r>
    </w:p>
    <w:p w14:paraId="2D6E0F32" w14:textId="2356C778" w:rsidR="002323CB" w:rsidRDefault="002323CB" w:rsidP="002E2EFE">
      <w:r>
        <w:t>The upcoming Senate</w:t>
      </w:r>
      <w:r w:rsidR="007A71F7">
        <w:t xml:space="preserve"> Economics Reference Committee</w:t>
      </w:r>
      <w:r>
        <w:t xml:space="preserve"> Inquiry </w:t>
      </w:r>
      <w:r w:rsidRPr="002A2E21">
        <w:t>into foreign investment proposals</w:t>
      </w:r>
      <w:r w:rsidR="006A5E8B">
        <w:t xml:space="preserve">, which is scheduled to report by 7 September 2020, will be an opportunity for the public to provide its views on the foreign investment framework and for Government to explain </w:t>
      </w:r>
      <w:r w:rsidR="00564F67">
        <w:t xml:space="preserve">foreign investment </w:t>
      </w:r>
      <w:r w:rsidR="006A5E8B">
        <w:t>policy settings.</w:t>
      </w:r>
      <w:r>
        <w:t xml:space="preserve"> </w:t>
      </w:r>
    </w:p>
    <w:p w14:paraId="6CE3E247" w14:textId="12BD0DFE" w:rsidR="00A84283" w:rsidRPr="00A84283" w:rsidRDefault="00A84283" w:rsidP="002E2EFE">
      <w:r w:rsidRPr="00A84283">
        <w:t xml:space="preserve">I would like to </w:t>
      </w:r>
      <w:r w:rsidR="00241852">
        <w:t xml:space="preserve">take the opportunity to </w:t>
      </w:r>
      <w:r w:rsidRPr="00A84283">
        <w:t>thank my</w:t>
      </w:r>
      <w:r w:rsidR="00397FE8">
        <w:t xml:space="preserve"> Board</w:t>
      </w:r>
      <w:r w:rsidRPr="00A84283">
        <w:t xml:space="preserve"> colleagues for their ongoi</w:t>
      </w:r>
      <w:r w:rsidR="00F25B01">
        <w:t xml:space="preserve">ng contribution and commitment. </w:t>
      </w:r>
      <w:r w:rsidRPr="00A84283">
        <w:t xml:space="preserve">I welcome </w:t>
      </w:r>
      <w:r w:rsidR="00A208F4">
        <w:t>Ms</w:t>
      </w:r>
      <w:r w:rsidR="005D6511">
        <w:t> Meg </w:t>
      </w:r>
      <w:r w:rsidR="00A208F4">
        <w:t>M</w:t>
      </w:r>
      <w:r w:rsidR="008B5424">
        <w:t>cDonald</w:t>
      </w:r>
      <w:r w:rsidR="00F25B01">
        <w:t xml:space="preserve"> to the Board</w:t>
      </w:r>
      <w:r w:rsidR="008B5424">
        <w:t>,</w:t>
      </w:r>
      <w:r w:rsidRPr="00A84283">
        <w:t xml:space="preserve"> who bring</w:t>
      </w:r>
      <w:r w:rsidR="008B5424">
        <w:t>s</w:t>
      </w:r>
      <w:r w:rsidRPr="00A84283">
        <w:t xml:space="preserve"> a </w:t>
      </w:r>
      <w:r w:rsidR="00B95941">
        <w:t xml:space="preserve">wealth of experience in </w:t>
      </w:r>
      <w:r w:rsidR="00F25B01">
        <w:t>the resources and the environmental sectors, as well as significant expertise in intergovernmental relations</w:t>
      </w:r>
      <w:r w:rsidRPr="00A84283">
        <w:t xml:space="preserve">. </w:t>
      </w:r>
    </w:p>
    <w:p w14:paraId="7D6CAB09" w14:textId="5CEAADFA" w:rsidR="00A84283" w:rsidRPr="00A84283" w:rsidRDefault="00970AF6" w:rsidP="002E2EFE">
      <w:r>
        <w:rPr>
          <w:noProof/>
        </w:rPr>
        <w:pict w14:anchorId="2CAF74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pt;margin-top:17.15pt;width:108.8pt;height:32.45pt;z-index:251660302;mso-position-horizontal-relative:text;mso-position-vertical-relative:text">
            <v:imagedata r:id="rId32" o:title="David Irvine signature"/>
            <w10:wrap type="square"/>
          </v:shape>
        </w:pict>
      </w:r>
      <w:r w:rsidR="00A84283" w:rsidRPr="00A84283">
        <w:t>Yours sincerely</w:t>
      </w:r>
    </w:p>
    <w:p w14:paraId="4CEA722D" w14:textId="3E97B43F" w:rsidR="00A84283" w:rsidRPr="00A84283" w:rsidRDefault="00A84283" w:rsidP="002E2EFE"/>
    <w:p w14:paraId="778B73C6" w14:textId="708417E1" w:rsidR="005F3B81" w:rsidRDefault="00A84283" w:rsidP="005F3B81">
      <w:pPr>
        <w:sectPr w:rsidR="005F3B81" w:rsidSect="000B30A5">
          <w:headerReference w:type="even" r:id="rId33"/>
          <w:headerReference w:type="default" r:id="rId34"/>
          <w:headerReference w:type="first" r:id="rId35"/>
          <w:footerReference w:type="first" r:id="rId36"/>
          <w:pgSz w:w="11906" w:h="16838" w:code="9"/>
          <w:pgMar w:top="2466" w:right="2098" w:bottom="2466" w:left="2098" w:header="1899" w:footer="1899" w:gutter="0"/>
          <w:pgNumType w:fmt="lowerRoman" w:start="1"/>
          <w:cols w:space="708"/>
          <w:titlePg/>
          <w:docGrid w:linePitch="360"/>
        </w:sectPr>
      </w:pPr>
      <w:r w:rsidRPr="00A84283">
        <w:t>David</w:t>
      </w:r>
      <w:r w:rsidR="005D6511">
        <w:t> Irvine </w:t>
      </w:r>
      <w:r w:rsidRPr="00A84283">
        <w:t>AO</w:t>
      </w:r>
      <w:r w:rsidR="00D0262E">
        <w:br/>
      </w:r>
      <w:r w:rsidRPr="00A84283">
        <w:t>Chair</w:t>
      </w:r>
      <w:bookmarkStart w:id="1" w:name="_Toc31303004"/>
    </w:p>
    <w:p w14:paraId="23373C41" w14:textId="07EBAE54" w:rsidR="00A84283" w:rsidRPr="00A01F38" w:rsidRDefault="00A84283" w:rsidP="00EC2A92">
      <w:pPr>
        <w:pStyle w:val="Heading1"/>
      </w:pPr>
      <w:bookmarkStart w:id="2" w:name="_Toc33625833"/>
      <w:r w:rsidRPr="00A01F38">
        <w:lastRenderedPageBreak/>
        <w:t>CONTENTS</w:t>
      </w:r>
      <w:bookmarkEnd w:id="1"/>
      <w:bookmarkEnd w:id="2"/>
    </w:p>
    <w:p w14:paraId="32BAE9D0" w14:textId="3604A285" w:rsidR="00EC2A92" w:rsidRDefault="00986A91">
      <w:pPr>
        <w:pStyle w:val="TOC1"/>
        <w:rPr>
          <w:rFonts w:asciiTheme="minorHAnsi" w:eastAsiaTheme="minorEastAsia" w:hAnsiTheme="minorHAnsi" w:cstheme="minorBidi"/>
          <w:b w:val="0"/>
          <w:caps w:val="0"/>
          <w:color w:val="auto"/>
          <w:sz w:val="22"/>
        </w:rPr>
      </w:pPr>
      <w:r>
        <w:fldChar w:fldCharType="begin"/>
      </w:r>
      <w:r w:rsidRPr="007149D6">
        <w:instrText xml:space="preserve"> TOC \o "2-2" \h \z \t "Heading 1,1,Appendix Heading,1,Style1,3" </w:instrText>
      </w:r>
      <w:r>
        <w:fldChar w:fldCharType="separate"/>
      </w:r>
      <w:hyperlink w:anchor="_Toc33625833" w:history="1">
        <w:r w:rsidR="00EC2A92" w:rsidRPr="0031292F">
          <w:rPr>
            <w:rStyle w:val="Hyperlink"/>
          </w:rPr>
          <w:t>CONTENTS</w:t>
        </w:r>
        <w:r w:rsidR="00EC2A92">
          <w:rPr>
            <w:webHidden/>
          </w:rPr>
          <w:tab/>
        </w:r>
        <w:r w:rsidR="00EC2A92">
          <w:rPr>
            <w:webHidden/>
          </w:rPr>
          <w:fldChar w:fldCharType="begin"/>
        </w:r>
        <w:r w:rsidR="00EC2A92">
          <w:rPr>
            <w:webHidden/>
          </w:rPr>
          <w:instrText xml:space="preserve"> PAGEREF _Toc33625833 \h </w:instrText>
        </w:r>
        <w:r w:rsidR="00EC2A92">
          <w:rPr>
            <w:webHidden/>
          </w:rPr>
        </w:r>
        <w:r w:rsidR="00EC2A92">
          <w:rPr>
            <w:webHidden/>
          </w:rPr>
          <w:fldChar w:fldCharType="separate"/>
        </w:r>
        <w:r w:rsidR="00DC6915">
          <w:rPr>
            <w:webHidden/>
          </w:rPr>
          <w:t>iii</w:t>
        </w:r>
        <w:r w:rsidR="00EC2A92">
          <w:rPr>
            <w:webHidden/>
          </w:rPr>
          <w:fldChar w:fldCharType="end"/>
        </w:r>
      </w:hyperlink>
    </w:p>
    <w:p w14:paraId="47A8A635" w14:textId="40ECBF90" w:rsidR="00EC2A92" w:rsidRDefault="00970AF6">
      <w:pPr>
        <w:pStyle w:val="TOC1"/>
        <w:rPr>
          <w:rFonts w:asciiTheme="minorHAnsi" w:eastAsiaTheme="minorEastAsia" w:hAnsiTheme="minorHAnsi" w:cstheme="minorBidi"/>
          <w:b w:val="0"/>
          <w:caps w:val="0"/>
          <w:color w:val="auto"/>
          <w:sz w:val="22"/>
        </w:rPr>
      </w:pPr>
      <w:hyperlink w:anchor="_Toc33625834" w:history="1">
        <w:r w:rsidR="00EC2A92" w:rsidRPr="0031292F">
          <w:rPr>
            <w:rStyle w:val="Hyperlink"/>
          </w:rPr>
          <w:t>EXECUTIVE SUMMARY</w:t>
        </w:r>
        <w:r w:rsidR="00EC2A92">
          <w:rPr>
            <w:webHidden/>
          </w:rPr>
          <w:tab/>
        </w:r>
        <w:r w:rsidR="00EC2A92">
          <w:rPr>
            <w:webHidden/>
          </w:rPr>
          <w:fldChar w:fldCharType="begin"/>
        </w:r>
        <w:r w:rsidR="00EC2A92">
          <w:rPr>
            <w:webHidden/>
          </w:rPr>
          <w:instrText xml:space="preserve"> PAGEREF _Toc33625834 \h </w:instrText>
        </w:r>
        <w:r w:rsidR="00EC2A92">
          <w:rPr>
            <w:webHidden/>
          </w:rPr>
        </w:r>
        <w:r w:rsidR="00EC2A92">
          <w:rPr>
            <w:webHidden/>
          </w:rPr>
          <w:fldChar w:fldCharType="separate"/>
        </w:r>
        <w:r w:rsidR="00DC6915">
          <w:rPr>
            <w:webHidden/>
          </w:rPr>
          <w:t>vii</w:t>
        </w:r>
        <w:r w:rsidR="00EC2A92">
          <w:rPr>
            <w:webHidden/>
          </w:rPr>
          <w:fldChar w:fldCharType="end"/>
        </w:r>
      </w:hyperlink>
    </w:p>
    <w:p w14:paraId="2BFD0A55" w14:textId="558E8532" w:rsidR="00EC2A92" w:rsidRDefault="00970AF6">
      <w:pPr>
        <w:pStyle w:val="TOC1"/>
        <w:rPr>
          <w:rFonts w:asciiTheme="minorHAnsi" w:eastAsiaTheme="minorEastAsia" w:hAnsiTheme="minorHAnsi" w:cstheme="minorBidi"/>
          <w:b w:val="0"/>
          <w:caps w:val="0"/>
          <w:color w:val="auto"/>
          <w:sz w:val="22"/>
        </w:rPr>
      </w:pPr>
      <w:hyperlink w:anchor="_Toc33625835" w:history="1">
        <w:r w:rsidR="00EC2A92" w:rsidRPr="0031292F">
          <w:rPr>
            <w:rStyle w:val="Hyperlink"/>
          </w:rPr>
          <w:t>OVERVIEW OF REPORT</w:t>
        </w:r>
        <w:r w:rsidR="00EC2A92">
          <w:rPr>
            <w:webHidden/>
          </w:rPr>
          <w:tab/>
        </w:r>
        <w:r w:rsidR="00EC2A92">
          <w:rPr>
            <w:webHidden/>
          </w:rPr>
          <w:fldChar w:fldCharType="begin"/>
        </w:r>
        <w:r w:rsidR="00EC2A92">
          <w:rPr>
            <w:webHidden/>
          </w:rPr>
          <w:instrText xml:space="preserve"> PAGEREF _Toc33625835 \h </w:instrText>
        </w:r>
        <w:r w:rsidR="00EC2A92">
          <w:rPr>
            <w:webHidden/>
          </w:rPr>
        </w:r>
        <w:r w:rsidR="00EC2A92">
          <w:rPr>
            <w:webHidden/>
          </w:rPr>
          <w:fldChar w:fldCharType="separate"/>
        </w:r>
        <w:r w:rsidR="00DC6915">
          <w:rPr>
            <w:webHidden/>
          </w:rPr>
          <w:t>ix</w:t>
        </w:r>
        <w:r w:rsidR="00EC2A92">
          <w:rPr>
            <w:webHidden/>
          </w:rPr>
          <w:fldChar w:fldCharType="end"/>
        </w:r>
      </w:hyperlink>
    </w:p>
    <w:p w14:paraId="0FCC7C43" w14:textId="161702DC" w:rsidR="00EC2A92" w:rsidRDefault="00970AF6">
      <w:pPr>
        <w:pStyle w:val="TOC1"/>
        <w:rPr>
          <w:rFonts w:asciiTheme="minorHAnsi" w:eastAsiaTheme="minorEastAsia" w:hAnsiTheme="minorHAnsi" w:cstheme="minorBidi"/>
          <w:b w:val="0"/>
          <w:caps w:val="0"/>
          <w:color w:val="auto"/>
          <w:sz w:val="22"/>
        </w:rPr>
      </w:pPr>
      <w:hyperlink w:anchor="_Toc33625837" w:history="1">
        <w:r w:rsidR="00EC2A92" w:rsidRPr="0031292F">
          <w:rPr>
            <w:rStyle w:val="Hyperlink"/>
          </w:rPr>
          <w:t>Chapter One: The Foreign Investment Review Board</w:t>
        </w:r>
        <w:r w:rsidR="00EC2A92">
          <w:rPr>
            <w:webHidden/>
          </w:rPr>
          <w:tab/>
        </w:r>
        <w:r w:rsidR="00EC2A92">
          <w:rPr>
            <w:webHidden/>
          </w:rPr>
          <w:fldChar w:fldCharType="begin"/>
        </w:r>
        <w:r w:rsidR="00EC2A92">
          <w:rPr>
            <w:webHidden/>
          </w:rPr>
          <w:instrText xml:space="preserve"> PAGEREF _Toc33625837 \h </w:instrText>
        </w:r>
        <w:r w:rsidR="00EC2A92">
          <w:rPr>
            <w:webHidden/>
          </w:rPr>
        </w:r>
        <w:r w:rsidR="00EC2A92">
          <w:rPr>
            <w:webHidden/>
          </w:rPr>
          <w:fldChar w:fldCharType="separate"/>
        </w:r>
        <w:r w:rsidR="00DC6915">
          <w:rPr>
            <w:webHidden/>
          </w:rPr>
          <w:t>1</w:t>
        </w:r>
        <w:r w:rsidR="00EC2A92">
          <w:rPr>
            <w:webHidden/>
          </w:rPr>
          <w:fldChar w:fldCharType="end"/>
        </w:r>
      </w:hyperlink>
    </w:p>
    <w:p w14:paraId="32C7C120" w14:textId="139A3780" w:rsidR="00EC2A92" w:rsidRDefault="00970AF6">
      <w:pPr>
        <w:pStyle w:val="TOC2"/>
        <w:rPr>
          <w:rFonts w:asciiTheme="minorHAnsi" w:eastAsiaTheme="minorEastAsia" w:hAnsiTheme="minorHAnsi" w:cstheme="minorBidi"/>
          <w:color w:val="auto"/>
          <w:sz w:val="22"/>
          <w:szCs w:val="22"/>
        </w:rPr>
      </w:pPr>
      <w:hyperlink w:anchor="_Toc33625838" w:history="1">
        <w:r w:rsidR="00EC2A92" w:rsidRPr="0031292F">
          <w:rPr>
            <w:rStyle w:val="Hyperlink"/>
          </w:rPr>
          <w:t>Board responsibilities</w:t>
        </w:r>
        <w:r w:rsidR="00EC2A92">
          <w:rPr>
            <w:webHidden/>
          </w:rPr>
          <w:tab/>
        </w:r>
        <w:r w:rsidR="00EC2A92">
          <w:rPr>
            <w:webHidden/>
          </w:rPr>
          <w:fldChar w:fldCharType="begin"/>
        </w:r>
        <w:r w:rsidR="00EC2A92">
          <w:rPr>
            <w:webHidden/>
          </w:rPr>
          <w:instrText xml:space="preserve"> PAGEREF _Toc33625838 \h </w:instrText>
        </w:r>
        <w:r w:rsidR="00EC2A92">
          <w:rPr>
            <w:webHidden/>
          </w:rPr>
        </w:r>
        <w:r w:rsidR="00EC2A92">
          <w:rPr>
            <w:webHidden/>
          </w:rPr>
          <w:fldChar w:fldCharType="separate"/>
        </w:r>
        <w:r w:rsidR="00DC6915">
          <w:rPr>
            <w:webHidden/>
          </w:rPr>
          <w:t>1</w:t>
        </w:r>
        <w:r w:rsidR="00EC2A92">
          <w:rPr>
            <w:webHidden/>
          </w:rPr>
          <w:fldChar w:fldCharType="end"/>
        </w:r>
      </w:hyperlink>
    </w:p>
    <w:p w14:paraId="3448B79A" w14:textId="77816423" w:rsidR="00EC2A92" w:rsidRDefault="00970AF6">
      <w:pPr>
        <w:pStyle w:val="TOC2"/>
        <w:rPr>
          <w:rFonts w:asciiTheme="minorHAnsi" w:eastAsiaTheme="minorEastAsia" w:hAnsiTheme="minorHAnsi" w:cstheme="minorBidi"/>
          <w:color w:val="auto"/>
          <w:sz w:val="22"/>
          <w:szCs w:val="22"/>
        </w:rPr>
      </w:pPr>
      <w:hyperlink w:anchor="_Toc33625839" w:history="1">
        <w:r w:rsidR="00EC2A92" w:rsidRPr="0031292F">
          <w:rPr>
            <w:rStyle w:val="Hyperlink"/>
          </w:rPr>
          <w:t>Board membership</w:t>
        </w:r>
        <w:r w:rsidR="00EC2A92">
          <w:rPr>
            <w:webHidden/>
          </w:rPr>
          <w:tab/>
        </w:r>
        <w:r w:rsidR="00EC2A92">
          <w:rPr>
            <w:webHidden/>
          </w:rPr>
          <w:fldChar w:fldCharType="begin"/>
        </w:r>
        <w:r w:rsidR="00EC2A92">
          <w:rPr>
            <w:webHidden/>
          </w:rPr>
          <w:instrText xml:space="preserve"> PAGEREF _Toc33625839 \h </w:instrText>
        </w:r>
        <w:r w:rsidR="00EC2A92">
          <w:rPr>
            <w:webHidden/>
          </w:rPr>
        </w:r>
        <w:r w:rsidR="00EC2A92">
          <w:rPr>
            <w:webHidden/>
          </w:rPr>
          <w:fldChar w:fldCharType="separate"/>
        </w:r>
        <w:r w:rsidR="00DC6915">
          <w:rPr>
            <w:webHidden/>
          </w:rPr>
          <w:t>2</w:t>
        </w:r>
        <w:r w:rsidR="00EC2A92">
          <w:rPr>
            <w:webHidden/>
          </w:rPr>
          <w:fldChar w:fldCharType="end"/>
        </w:r>
      </w:hyperlink>
    </w:p>
    <w:p w14:paraId="64B853A7" w14:textId="1D5BF3F3" w:rsidR="00EC2A92" w:rsidRDefault="00970AF6">
      <w:pPr>
        <w:pStyle w:val="TOC2"/>
        <w:rPr>
          <w:rFonts w:asciiTheme="minorHAnsi" w:eastAsiaTheme="minorEastAsia" w:hAnsiTheme="minorHAnsi" w:cstheme="minorBidi"/>
          <w:color w:val="auto"/>
          <w:sz w:val="22"/>
          <w:szCs w:val="22"/>
        </w:rPr>
      </w:pPr>
      <w:hyperlink w:anchor="_Toc33625840" w:history="1">
        <w:r w:rsidR="00EC2A92" w:rsidRPr="0031292F">
          <w:rPr>
            <w:rStyle w:val="Hyperlink"/>
          </w:rPr>
          <w:t>Public speeches</w:t>
        </w:r>
        <w:r w:rsidR="00EC2A92">
          <w:rPr>
            <w:webHidden/>
          </w:rPr>
          <w:tab/>
        </w:r>
        <w:r w:rsidR="00EC2A92">
          <w:rPr>
            <w:webHidden/>
          </w:rPr>
          <w:fldChar w:fldCharType="begin"/>
        </w:r>
        <w:r w:rsidR="00EC2A92">
          <w:rPr>
            <w:webHidden/>
          </w:rPr>
          <w:instrText xml:space="preserve"> PAGEREF _Toc33625840 \h </w:instrText>
        </w:r>
        <w:r w:rsidR="00EC2A92">
          <w:rPr>
            <w:webHidden/>
          </w:rPr>
        </w:r>
        <w:r w:rsidR="00EC2A92">
          <w:rPr>
            <w:webHidden/>
          </w:rPr>
          <w:fldChar w:fldCharType="separate"/>
        </w:r>
        <w:r w:rsidR="00DC6915">
          <w:rPr>
            <w:webHidden/>
          </w:rPr>
          <w:t>8</w:t>
        </w:r>
        <w:r w:rsidR="00EC2A92">
          <w:rPr>
            <w:webHidden/>
          </w:rPr>
          <w:fldChar w:fldCharType="end"/>
        </w:r>
      </w:hyperlink>
    </w:p>
    <w:p w14:paraId="0E6E1D2A" w14:textId="072980C6" w:rsidR="00EC2A92" w:rsidRDefault="00970AF6">
      <w:pPr>
        <w:pStyle w:val="TOC2"/>
        <w:rPr>
          <w:rFonts w:asciiTheme="minorHAnsi" w:eastAsiaTheme="minorEastAsia" w:hAnsiTheme="minorHAnsi" w:cstheme="minorBidi"/>
          <w:color w:val="auto"/>
          <w:sz w:val="22"/>
          <w:szCs w:val="22"/>
        </w:rPr>
      </w:pPr>
      <w:hyperlink w:anchor="_Toc33625841" w:history="1">
        <w:r w:rsidR="00EC2A92" w:rsidRPr="0031292F">
          <w:rPr>
            <w:rStyle w:val="Hyperlink"/>
          </w:rPr>
          <w:t>FIRB agencies</w:t>
        </w:r>
        <w:r w:rsidR="00EC2A92">
          <w:rPr>
            <w:webHidden/>
          </w:rPr>
          <w:tab/>
        </w:r>
        <w:r w:rsidR="00EC2A92">
          <w:rPr>
            <w:webHidden/>
          </w:rPr>
          <w:fldChar w:fldCharType="begin"/>
        </w:r>
        <w:r w:rsidR="00EC2A92">
          <w:rPr>
            <w:webHidden/>
          </w:rPr>
          <w:instrText xml:space="preserve"> PAGEREF _Toc33625841 \h </w:instrText>
        </w:r>
        <w:r w:rsidR="00EC2A92">
          <w:rPr>
            <w:webHidden/>
          </w:rPr>
        </w:r>
        <w:r w:rsidR="00EC2A92">
          <w:rPr>
            <w:webHidden/>
          </w:rPr>
          <w:fldChar w:fldCharType="separate"/>
        </w:r>
        <w:r w:rsidR="00DC6915">
          <w:rPr>
            <w:webHidden/>
          </w:rPr>
          <w:t>8</w:t>
        </w:r>
        <w:r w:rsidR="00EC2A92">
          <w:rPr>
            <w:webHidden/>
          </w:rPr>
          <w:fldChar w:fldCharType="end"/>
        </w:r>
      </w:hyperlink>
    </w:p>
    <w:p w14:paraId="31619286" w14:textId="08489818" w:rsidR="00EC2A92" w:rsidRDefault="00970AF6">
      <w:pPr>
        <w:pStyle w:val="TOC2"/>
        <w:rPr>
          <w:rFonts w:asciiTheme="minorHAnsi" w:eastAsiaTheme="minorEastAsia" w:hAnsiTheme="minorHAnsi" w:cstheme="minorBidi"/>
          <w:color w:val="auto"/>
          <w:sz w:val="22"/>
          <w:szCs w:val="22"/>
        </w:rPr>
      </w:pPr>
      <w:hyperlink w:anchor="_Toc33625842" w:history="1">
        <w:r w:rsidR="00EC2A92" w:rsidRPr="0031292F">
          <w:rPr>
            <w:rStyle w:val="Hyperlink"/>
          </w:rPr>
          <w:t>Stakeholder engagement</w:t>
        </w:r>
        <w:r w:rsidR="00EC2A92">
          <w:rPr>
            <w:webHidden/>
          </w:rPr>
          <w:tab/>
        </w:r>
        <w:r w:rsidR="00EC2A92">
          <w:rPr>
            <w:webHidden/>
          </w:rPr>
          <w:fldChar w:fldCharType="begin"/>
        </w:r>
        <w:r w:rsidR="00EC2A92">
          <w:rPr>
            <w:webHidden/>
          </w:rPr>
          <w:instrText xml:space="preserve"> PAGEREF _Toc33625842 \h </w:instrText>
        </w:r>
        <w:r w:rsidR="00EC2A92">
          <w:rPr>
            <w:webHidden/>
          </w:rPr>
        </w:r>
        <w:r w:rsidR="00EC2A92">
          <w:rPr>
            <w:webHidden/>
          </w:rPr>
          <w:fldChar w:fldCharType="separate"/>
        </w:r>
        <w:r w:rsidR="00DC6915">
          <w:rPr>
            <w:webHidden/>
          </w:rPr>
          <w:t>8</w:t>
        </w:r>
        <w:r w:rsidR="00EC2A92">
          <w:rPr>
            <w:webHidden/>
          </w:rPr>
          <w:fldChar w:fldCharType="end"/>
        </w:r>
      </w:hyperlink>
    </w:p>
    <w:p w14:paraId="073EF659" w14:textId="5AF8556C" w:rsidR="00EC2A92" w:rsidRDefault="00970AF6">
      <w:pPr>
        <w:pStyle w:val="TOC2"/>
        <w:rPr>
          <w:rFonts w:asciiTheme="minorHAnsi" w:eastAsiaTheme="minorEastAsia" w:hAnsiTheme="minorHAnsi" w:cstheme="minorBidi"/>
          <w:color w:val="auto"/>
          <w:sz w:val="22"/>
          <w:szCs w:val="22"/>
        </w:rPr>
      </w:pPr>
      <w:hyperlink w:anchor="_Toc33625843" w:history="1">
        <w:r w:rsidR="00EC2A92" w:rsidRPr="0031292F">
          <w:rPr>
            <w:rStyle w:val="Hyperlink"/>
          </w:rPr>
          <w:t>Operational costs</w:t>
        </w:r>
        <w:r w:rsidR="00EC2A92">
          <w:rPr>
            <w:webHidden/>
          </w:rPr>
          <w:tab/>
        </w:r>
        <w:r w:rsidR="00EC2A92">
          <w:rPr>
            <w:webHidden/>
          </w:rPr>
          <w:fldChar w:fldCharType="begin"/>
        </w:r>
        <w:r w:rsidR="00EC2A92">
          <w:rPr>
            <w:webHidden/>
          </w:rPr>
          <w:instrText xml:space="preserve"> PAGEREF _Toc33625843 \h </w:instrText>
        </w:r>
        <w:r w:rsidR="00EC2A92">
          <w:rPr>
            <w:webHidden/>
          </w:rPr>
        </w:r>
        <w:r w:rsidR="00EC2A92">
          <w:rPr>
            <w:webHidden/>
          </w:rPr>
          <w:fldChar w:fldCharType="separate"/>
        </w:r>
        <w:r w:rsidR="00DC6915">
          <w:rPr>
            <w:webHidden/>
          </w:rPr>
          <w:t>10</w:t>
        </w:r>
        <w:r w:rsidR="00EC2A92">
          <w:rPr>
            <w:webHidden/>
          </w:rPr>
          <w:fldChar w:fldCharType="end"/>
        </w:r>
      </w:hyperlink>
    </w:p>
    <w:p w14:paraId="157D7BBE" w14:textId="761D44FF" w:rsidR="00EC2A92" w:rsidRDefault="00970AF6">
      <w:pPr>
        <w:pStyle w:val="TOC1"/>
        <w:rPr>
          <w:rFonts w:asciiTheme="minorHAnsi" w:eastAsiaTheme="minorEastAsia" w:hAnsiTheme="minorHAnsi" w:cstheme="minorBidi"/>
          <w:b w:val="0"/>
          <w:caps w:val="0"/>
          <w:color w:val="auto"/>
          <w:sz w:val="22"/>
        </w:rPr>
      </w:pPr>
      <w:hyperlink w:anchor="_Toc33625844" w:history="1">
        <w:r w:rsidR="00EC2A92" w:rsidRPr="0031292F">
          <w:rPr>
            <w:rStyle w:val="Hyperlink"/>
          </w:rPr>
          <w:t>Chapter Two: The Foreign Investment Framework</w:t>
        </w:r>
        <w:r w:rsidR="00EC2A92">
          <w:rPr>
            <w:webHidden/>
          </w:rPr>
          <w:tab/>
        </w:r>
        <w:r w:rsidR="00EC2A92">
          <w:rPr>
            <w:webHidden/>
          </w:rPr>
          <w:fldChar w:fldCharType="begin"/>
        </w:r>
        <w:r w:rsidR="00EC2A92">
          <w:rPr>
            <w:webHidden/>
          </w:rPr>
          <w:instrText xml:space="preserve"> PAGEREF _Toc33625844 \h </w:instrText>
        </w:r>
        <w:r w:rsidR="00EC2A92">
          <w:rPr>
            <w:webHidden/>
          </w:rPr>
        </w:r>
        <w:r w:rsidR="00EC2A92">
          <w:rPr>
            <w:webHidden/>
          </w:rPr>
          <w:fldChar w:fldCharType="separate"/>
        </w:r>
        <w:r w:rsidR="00DC6915">
          <w:rPr>
            <w:webHidden/>
          </w:rPr>
          <w:t>11</w:t>
        </w:r>
        <w:r w:rsidR="00EC2A92">
          <w:rPr>
            <w:webHidden/>
          </w:rPr>
          <w:fldChar w:fldCharType="end"/>
        </w:r>
      </w:hyperlink>
    </w:p>
    <w:p w14:paraId="0A00DF79" w14:textId="2BA68418" w:rsidR="00EC2A92" w:rsidRDefault="00970AF6">
      <w:pPr>
        <w:pStyle w:val="TOC2"/>
        <w:rPr>
          <w:rFonts w:asciiTheme="minorHAnsi" w:eastAsiaTheme="minorEastAsia" w:hAnsiTheme="minorHAnsi" w:cstheme="minorBidi"/>
          <w:color w:val="auto"/>
          <w:sz w:val="22"/>
          <w:szCs w:val="22"/>
        </w:rPr>
      </w:pPr>
      <w:hyperlink w:anchor="_Toc33625845" w:history="1">
        <w:r w:rsidR="00EC2A92" w:rsidRPr="0031292F">
          <w:rPr>
            <w:rStyle w:val="Hyperlink"/>
            <w:rFonts w:eastAsia="Calibri"/>
          </w:rPr>
          <w:t>Foreign investment policies and priorities</w:t>
        </w:r>
        <w:r w:rsidR="00EC2A92">
          <w:rPr>
            <w:webHidden/>
          </w:rPr>
          <w:tab/>
        </w:r>
        <w:r w:rsidR="00EC2A92">
          <w:rPr>
            <w:webHidden/>
          </w:rPr>
          <w:fldChar w:fldCharType="begin"/>
        </w:r>
        <w:r w:rsidR="00EC2A92">
          <w:rPr>
            <w:webHidden/>
          </w:rPr>
          <w:instrText xml:space="preserve"> PAGEREF _Toc33625845 \h </w:instrText>
        </w:r>
        <w:r w:rsidR="00EC2A92">
          <w:rPr>
            <w:webHidden/>
          </w:rPr>
        </w:r>
        <w:r w:rsidR="00EC2A92">
          <w:rPr>
            <w:webHidden/>
          </w:rPr>
          <w:fldChar w:fldCharType="separate"/>
        </w:r>
        <w:r w:rsidR="00DC6915">
          <w:rPr>
            <w:webHidden/>
          </w:rPr>
          <w:t>11</w:t>
        </w:r>
        <w:r w:rsidR="00EC2A92">
          <w:rPr>
            <w:webHidden/>
          </w:rPr>
          <w:fldChar w:fldCharType="end"/>
        </w:r>
      </w:hyperlink>
    </w:p>
    <w:p w14:paraId="5E89E851" w14:textId="10A3FFDC" w:rsidR="00EC2A92" w:rsidRDefault="00970AF6">
      <w:pPr>
        <w:pStyle w:val="TOC1"/>
        <w:rPr>
          <w:rFonts w:asciiTheme="minorHAnsi" w:eastAsiaTheme="minorEastAsia" w:hAnsiTheme="minorHAnsi" w:cstheme="minorBidi"/>
          <w:b w:val="0"/>
          <w:caps w:val="0"/>
          <w:color w:val="auto"/>
          <w:sz w:val="22"/>
        </w:rPr>
      </w:pPr>
      <w:hyperlink w:anchor="_Toc33625846" w:history="1">
        <w:r w:rsidR="00EC2A92" w:rsidRPr="0031292F">
          <w:rPr>
            <w:rStyle w:val="Hyperlink"/>
          </w:rPr>
          <w:t>Chapter Three: Applications Data</w:t>
        </w:r>
        <w:r w:rsidR="00EC2A92">
          <w:rPr>
            <w:webHidden/>
          </w:rPr>
          <w:tab/>
        </w:r>
        <w:r w:rsidR="00EC2A92">
          <w:rPr>
            <w:webHidden/>
          </w:rPr>
          <w:fldChar w:fldCharType="begin"/>
        </w:r>
        <w:r w:rsidR="00EC2A92">
          <w:rPr>
            <w:webHidden/>
          </w:rPr>
          <w:instrText xml:space="preserve"> PAGEREF _Toc33625846 \h </w:instrText>
        </w:r>
        <w:r w:rsidR="00EC2A92">
          <w:rPr>
            <w:webHidden/>
          </w:rPr>
        </w:r>
        <w:r w:rsidR="00EC2A92">
          <w:rPr>
            <w:webHidden/>
          </w:rPr>
          <w:fldChar w:fldCharType="separate"/>
        </w:r>
        <w:r w:rsidR="00DC6915">
          <w:rPr>
            <w:webHidden/>
          </w:rPr>
          <w:t>17</w:t>
        </w:r>
        <w:r w:rsidR="00EC2A92">
          <w:rPr>
            <w:webHidden/>
          </w:rPr>
          <w:fldChar w:fldCharType="end"/>
        </w:r>
      </w:hyperlink>
    </w:p>
    <w:p w14:paraId="6BA25094" w14:textId="27E1C7CE" w:rsidR="00EC2A92" w:rsidRDefault="00970AF6">
      <w:pPr>
        <w:pStyle w:val="TOC2"/>
        <w:rPr>
          <w:rFonts w:asciiTheme="minorHAnsi" w:eastAsiaTheme="minorEastAsia" w:hAnsiTheme="minorHAnsi" w:cstheme="minorBidi"/>
          <w:color w:val="auto"/>
          <w:sz w:val="22"/>
          <w:szCs w:val="22"/>
        </w:rPr>
      </w:pPr>
      <w:hyperlink w:anchor="_Toc33625847" w:history="1">
        <w:r w:rsidR="00EC2A92" w:rsidRPr="0031292F">
          <w:rPr>
            <w:rStyle w:val="Hyperlink"/>
          </w:rPr>
          <w:t>Overall applications considered</w:t>
        </w:r>
        <w:r w:rsidR="00EC2A92">
          <w:rPr>
            <w:webHidden/>
          </w:rPr>
          <w:tab/>
        </w:r>
        <w:r w:rsidR="00EC2A92">
          <w:rPr>
            <w:webHidden/>
          </w:rPr>
          <w:fldChar w:fldCharType="begin"/>
        </w:r>
        <w:r w:rsidR="00EC2A92">
          <w:rPr>
            <w:webHidden/>
          </w:rPr>
          <w:instrText xml:space="preserve"> PAGEREF _Toc33625847 \h </w:instrText>
        </w:r>
        <w:r w:rsidR="00EC2A92">
          <w:rPr>
            <w:webHidden/>
          </w:rPr>
        </w:r>
        <w:r w:rsidR="00EC2A92">
          <w:rPr>
            <w:webHidden/>
          </w:rPr>
          <w:fldChar w:fldCharType="separate"/>
        </w:r>
        <w:r w:rsidR="00DC6915">
          <w:rPr>
            <w:webHidden/>
          </w:rPr>
          <w:t>18</w:t>
        </w:r>
        <w:r w:rsidR="00EC2A92">
          <w:rPr>
            <w:webHidden/>
          </w:rPr>
          <w:fldChar w:fldCharType="end"/>
        </w:r>
      </w:hyperlink>
    </w:p>
    <w:p w14:paraId="4CFA1FD9" w14:textId="6E1BF174" w:rsidR="00EC2A92" w:rsidRDefault="00970AF6">
      <w:pPr>
        <w:pStyle w:val="TOC2"/>
        <w:rPr>
          <w:rFonts w:asciiTheme="minorHAnsi" w:eastAsiaTheme="minorEastAsia" w:hAnsiTheme="minorHAnsi" w:cstheme="minorBidi"/>
          <w:color w:val="auto"/>
          <w:sz w:val="22"/>
          <w:szCs w:val="22"/>
        </w:rPr>
      </w:pPr>
      <w:hyperlink w:anchor="_Toc33625848" w:history="1">
        <w:r w:rsidR="00EC2A92" w:rsidRPr="0031292F">
          <w:rPr>
            <w:rStyle w:val="Hyperlink"/>
          </w:rPr>
          <w:t>Approvals overview</w:t>
        </w:r>
        <w:r w:rsidR="00EC2A92">
          <w:rPr>
            <w:webHidden/>
          </w:rPr>
          <w:tab/>
        </w:r>
        <w:r w:rsidR="00EC2A92">
          <w:rPr>
            <w:webHidden/>
          </w:rPr>
          <w:fldChar w:fldCharType="begin"/>
        </w:r>
        <w:r w:rsidR="00EC2A92">
          <w:rPr>
            <w:webHidden/>
          </w:rPr>
          <w:instrText xml:space="preserve"> PAGEREF _Toc33625848 \h </w:instrText>
        </w:r>
        <w:r w:rsidR="00EC2A92">
          <w:rPr>
            <w:webHidden/>
          </w:rPr>
        </w:r>
        <w:r w:rsidR="00EC2A92">
          <w:rPr>
            <w:webHidden/>
          </w:rPr>
          <w:fldChar w:fldCharType="separate"/>
        </w:r>
        <w:r w:rsidR="00DC6915">
          <w:rPr>
            <w:webHidden/>
          </w:rPr>
          <w:t>20</w:t>
        </w:r>
        <w:r w:rsidR="00EC2A92">
          <w:rPr>
            <w:webHidden/>
          </w:rPr>
          <w:fldChar w:fldCharType="end"/>
        </w:r>
      </w:hyperlink>
    </w:p>
    <w:p w14:paraId="32A498D5" w14:textId="56E6CA41" w:rsidR="00EC2A92" w:rsidRDefault="00970AF6">
      <w:pPr>
        <w:pStyle w:val="TOC2"/>
        <w:rPr>
          <w:rFonts w:asciiTheme="minorHAnsi" w:eastAsiaTheme="minorEastAsia" w:hAnsiTheme="minorHAnsi" w:cstheme="minorBidi"/>
          <w:color w:val="auto"/>
          <w:sz w:val="22"/>
          <w:szCs w:val="22"/>
        </w:rPr>
      </w:pPr>
      <w:hyperlink w:anchor="_Toc33625849" w:history="1">
        <w:r w:rsidR="00EC2A92" w:rsidRPr="0031292F">
          <w:rPr>
            <w:rStyle w:val="Hyperlink"/>
          </w:rPr>
          <w:t>Approvals by industry sector</w:t>
        </w:r>
        <w:r w:rsidR="00EC2A92">
          <w:rPr>
            <w:webHidden/>
          </w:rPr>
          <w:tab/>
        </w:r>
        <w:r w:rsidR="00EC2A92">
          <w:rPr>
            <w:webHidden/>
          </w:rPr>
          <w:fldChar w:fldCharType="begin"/>
        </w:r>
        <w:r w:rsidR="00EC2A92">
          <w:rPr>
            <w:webHidden/>
          </w:rPr>
          <w:instrText xml:space="preserve"> PAGEREF _Toc33625849 \h </w:instrText>
        </w:r>
        <w:r w:rsidR="00EC2A92">
          <w:rPr>
            <w:webHidden/>
          </w:rPr>
        </w:r>
        <w:r w:rsidR="00EC2A92">
          <w:rPr>
            <w:webHidden/>
          </w:rPr>
          <w:fldChar w:fldCharType="separate"/>
        </w:r>
        <w:r w:rsidR="00DC6915">
          <w:rPr>
            <w:webHidden/>
          </w:rPr>
          <w:t>21</w:t>
        </w:r>
        <w:r w:rsidR="00EC2A92">
          <w:rPr>
            <w:webHidden/>
          </w:rPr>
          <w:fldChar w:fldCharType="end"/>
        </w:r>
      </w:hyperlink>
    </w:p>
    <w:p w14:paraId="6F87E46A" w14:textId="24C55E44" w:rsidR="00EC2A92" w:rsidRDefault="00970AF6">
      <w:pPr>
        <w:pStyle w:val="TOC2"/>
        <w:rPr>
          <w:rFonts w:asciiTheme="minorHAnsi" w:eastAsiaTheme="minorEastAsia" w:hAnsiTheme="minorHAnsi" w:cstheme="minorBidi"/>
          <w:color w:val="auto"/>
          <w:sz w:val="22"/>
          <w:szCs w:val="22"/>
        </w:rPr>
      </w:pPr>
      <w:hyperlink w:anchor="_Toc33625850" w:history="1">
        <w:r w:rsidR="00EC2A92" w:rsidRPr="0031292F">
          <w:rPr>
            <w:rStyle w:val="Hyperlink"/>
          </w:rPr>
          <w:t>New business approvals</w:t>
        </w:r>
        <w:r w:rsidR="00EC2A92">
          <w:rPr>
            <w:webHidden/>
          </w:rPr>
          <w:tab/>
        </w:r>
        <w:r w:rsidR="00EC2A92">
          <w:rPr>
            <w:webHidden/>
          </w:rPr>
          <w:fldChar w:fldCharType="begin"/>
        </w:r>
        <w:r w:rsidR="00EC2A92">
          <w:rPr>
            <w:webHidden/>
          </w:rPr>
          <w:instrText xml:space="preserve"> PAGEREF _Toc33625850 \h </w:instrText>
        </w:r>
        <w:r w:rsidR="00EC2A92">
          <w:rPr>
            <w:webHidden/>
          </w:rPr>
        </w:r>
        <w:r w:rsidR="00EC2A92">
          <w:rPr>
            <w:webHidden/>
          </w:rPr>
          <w:fldChar w:fldCharType="separate"/>
        </w:r>
        <w:r w:rsidR="00DC6915">
          <w:rPr>
            <w:webHidden/>
          </w:rPr>
          <w:t>34</w:t>
        </w:r>
        <w:r w:rsidR="00EC2A92">
          <w:rPr>
            <w:webHidden/>
          </w:rPr>
          <w:fldChar w:fldCharType="end"/>
        </w:r>
      </w:hyperlink>
    </w:p>
    <w:p w14:paraId="4B52A9D2" w14:textId="1353AD73" w:rsidR="00EC2A92" w:rsidRDefault="00970AF6">
      <w:pPr>
        <w:pStyle w:val="TOC2"/>
        <w:rPr>
          <w:rFonts w:asciiTheme="minorHAnsi" w:eastAsiaTheme="minorEastAsia" w:hAnsiTheme="minorHAnsi" w:cstheme="minorBidi"/>
          <w:color w:val="auto"/>
          <w:sz w:val="22"/>
          <w:szCs w:val="22"/>
        </w:rPr>
      </w:pPr>
      <w:hyperlink w:anchor="_Toc33625851" w:history="1">
        <w:r w:rsidR="00EC2A92" w:rsidRPr="0031292F">
          <w:rPr>
            <w:rStyle w:val="Hyperlink"/>
          </w:rPr>
          <w:t>Investor countries</w:t>
        </w:r>
        <w:r w:rsidR="00EC2A92">
          <w:rPr>
            <w:webHidden/>
          </w:rPr>
          <w:tab/>
        </w:r>
        <w:r w:rsidR="00EC2A92">
          <w:rPr>
            <w:webHidden/>
          </w:rPr>
          <w:fldChar w:fldCharType="begin"/>
        </w:r>
        <w:r w:rsidR="00EC2A92">
          <w:rPr>
            <w:webHidden/>
          </w:rPr>
          <w:instrText xml:space="preserve"> PAGEREF _Toc33625851 \h </w:instrText>
        </w:r>
        <w:r w:rsidR="00EC2A92">
          <w:rPr>
            <w:webHidden/>
          </w:rPr>
        </w:r>
        <w:r w:rsidR="00EC2A92">
          <w:rPr>
            <w:webHidden/>
          </w:rPr>
          <w:fldChar w:fldCharType="separate"/>
        </w:r>
        <w:r w:rsidR="00DC6915">
          <w:rPr>
            <w:webHidden/>
          </w:rPr>
          <w:t>34</w:t>
        </w:r>
        <w:r w:rsidR="00EC2A92">
          <w:rPr>
            <w:webHidden/>
          </w:rPr>
          <w:fldChar w:fldCharType="end"/>
        </w:r>
      </w:hyperlink>
    </w:p>
    <w:p w14:paraId="3D49CC1C" w14:textId="6EB961D1" w:rsidR="00EC2A92" w:rsidRDefault="00970AF6">
      <w:pPr>
        <w:pStyle w:val="TOC2"/>
        <w:rPr>
          <w:rFonts w:asciiTheme="minorHAnsi" w:eastAsiaTheme="minorEastAsia" w:hAnsiTheme="minorHAnsi" w:cstheme="minorBidi"/>
          <w:color w:val="auto"/>
          <w:sz w:val="22"/>
          <w:szCs w:val="22"/>
        </w:rPr>
      </w:pPr>
      <w:hyperlink w:anchor="_Toc33625852" w:history="1">
        <w:r w:rsidR="00EC2A92" w:rsidRPr="0031292F">
          <w:rPr>
            <w:rStyle w:val="Hyperlink"/>
          </w:rPr>
          <w:t>Variations</w:t>
        </w:r>
        <w:r w:rsidR="00EC2A92">
          <w:rPr>
            <w:webHidden/>
          </w:rPr>
          <w:tab/>
        </w:r>
        <w:r w:rsidR="00EC2A92">
          <w:rPr>
            <w:webHidden/>
          </w:rPr>
          <w:fldChar w:fldCharType="begin"/>
        </w:r>
        <w:r w:rsidR="00EC2A92">
          <w:rPr>
            <w:webHidden/>
          </w:rPr>
          <w:instrText xml:space="preserve"> PAGEREF _Toc33625852 \h </w:instrText>
        </w:r>
        <w:r w:rsidR="00EC2A92">
          <w:rPr>
            <w:webHidden/>
          </w:rPr>
        </w:r>
        <w:r w:rsidR="00EC2A92">
          <w:rPr>
            <w:webHidden/>
          </w:rPr>
          <w:fldChar w:fldCharType="separate"/>
        </w:r>
        <w:r w:rsidR="00DC6915">
          <w:rPr>
            <w:webHidden/>
          </w:rPr>
          <w:t>38</w:t>
        </w:r>
        <w:r w:rsidR="00EC2A92">
          <w:rPr>
            <w:webHidden/>
          </w:rPr>
          <w:fldChar w:fldCharType="end"/>
        </w:r>
      </w:hyperlink>
    </w:p>
    <w:p w14:paraId="53281A73" w14:textId="34A7EE9B" w:rsidR="00EC2A92" w:rsidRDefault="00970AF6">
      <w:pPr>
        <w:pStyle w:val="TOC2"/>
        <w:rPr>
          <w:rFonts w:asciiTheme="minorHAnsi" w:eastAsiaTheme="minorEastAsia" w:hAnsiTheme="minorHAnsi" w:cstheme="minorBidi"/>
          <w:color w:val="auto"/>
          <w:sz w:val="22"/>
          <w:szCs w:val="22"/>
        </w:rPr>
      </w:pPr>
      <w:hyperlink w:anchor="_Toc33625853" w:history="1">
        <w:r w:rsidR="00EC2A92" w:rsidRPr="0031292F">
          <w:rPr>
            <w:rStyle w:val="Hyperlink"/>
          </w:rPr>
          <w:t>Vacancy fees</w:t>
        </w:r>
        <w:r w:rsidR="00EC2A92">
          <w:rPr>
            <w:webHidden/>
          </w:rPr>
          <w:tab/>
        </w:r>
        <w:r w:rsidR="00EC2A92">
          <w:rPr>
            <w:webHidden/>
          </w:rPr>
          <w:fldChar w:fldCharType="begin"/>
        </w:r>
        <w:r w:rsidR="00EC2A92">
          <w:rPr>
            <w:webHidden/>
          </w:rPr>
          <w:instrText xml:space="preserve"> PAGEREF _Toc33625853 \h </w:instrText>
        </w:r>
        <w:r w:rsidR="00EC2A92">
          <w:rPr>
            <w:webHidden/>
          </w:rPr>
        </w:r>
        <w:r w:rsidR="00EC2A92">
          <w:rPr>
            <w:webHidden/>
          </w:rPr>
          <w:fldChar w:fldCharType="separate"/>
        </w:r>
        <w:r w:rsidR="00DC6915">
          <w:rPr>
            <w:webHidden/>
          </w:rPr>
          <w:t>41</w:t>
        </w:r>
        <w:r w:rsidR="00EC2A92">
          <w:rPr>
            <w:webHidden/>
          </w:rPr>
          <w:fldChar w:fldCharType="end"/>
        </w:r>
      </w:hyperlink>
    </w:p>
    <w:p w14:paraId="448B842B" w14:textId="3445E18B" w:rsidR="00EC2A92" w:rsidRDefault="00970AF6">
      <w:pPr>
        <w:pStyle w:val="TOC2"/>
        <w:rPr>
          <w:rFonts w:asciiTheme="minorHAnsi" w:eastAsiaTheme="minorEastAsia" w:hAnsiTheme="minorHAnsi" w:cstheme="minorBidi"/>
          <w:color w:val="auto"/>
          <w:sz w:val="22"/>
          <w:szCs w:val="22"/>
        </w:rPr>
      </w:pPr>
      <w:hyperlink w:anchor="_Toc33625854" w:history="1">
        <w:r w:rsidR="00EC2A92" w:rsidRPr="0031292F">
          <w:rPr>
            <w:rStyle w:val="Hyperlink"/>
          </w:rPr>
          <w:t>Foreign investment fee collections</w:t>
        </w:r>
        <w:r w:rsidR="00EC2A92">
          <w:rPr>
            <w:webHidden/>
          </w:rPr>
          <w:tab/>
        </w:r>
        <w:r w:rsidR="00EC2A92">
          <w:rPr>
            <w:webHidden/>
          </w:rPr>
          <w:fldChar w:fldCharType="begin"/>
        </w:r>
        <w:r w:rsidR="00EC2A92">
          <w:rPr>
            <w:webHidden/>
          </w:rPr>
          <w:instrText xml:space="preserve"> PAGEREF _Toc33625854 \h </w:instrText>
        </w:r>
        <w:r w:rsidR="00EC2A92">
          <w:rPr>
            <w:webHidden/>
          </w:rPr>
        </w:r>
        <w:r w:rsidR="00EC2A92">
          <w:rPr>
            <w:webHidden/>
          </w:rPr>
          <w:fldChar w:fldCharType="separate"/>
        </w:r>
        <w:r w:rsidR="00DC6915">
          <w:rPr>
            <w:webHidden/>
          </w:rPr>
          <w:t>41</w:t>
        </w:r>
        <w:r w:rsidR="00EC2A92">
          <w:rPr>
            <w:webHidden/>
          </w:rPr>
          <w:fldChar w:fldCharType="end"/>
        </w:r>
      </w:hyperlink>
    </w:p>
    <w:p w14:paraId="375A5005" w14:textId="731CA257" w:rsidR="00EC2A92" w:rsidRDefault="00970AF6">
      <w:pPr>
        <w:pStyle w:val="TOC1"/>
        <w:rPr>
          <w:rFonts w:asciiTheme="minorHAnsi" w:eastAsiaTheme="minorEastAsia" w:hAnsiTheme="minorHAnsi" w:cstheme="minorBidi"/>
          <w:b w:val="0"/>
          <w:caps w:val="0"/>
          <w:color w:val="auto"/>
          <w:sz w:val="22"/>
        </w:rPr>
      </w:pPr>
      <w:hyperlink w:anchor="_Toc33625855" w:history="1">
        <w:r w:rsidR="00EC2A92" w:rsidRPr="0031292F">
          <w:rPr>
            <w:rStyle w:val="Hyperlink"/>
          </w:rPr>
          <w:t>Chapter Four: Compliance</w:t>
        </w:r>
        <w:r w:rsidR="00EC2A92">
          <w:rPr>
            <w:webHidden/>
          </w:rPr>
          <w:tab/>
        </w:r>
        <w:r w:rsidR="00EC2A92">
          <w:rPr>
            <w:webHidden/>
          </w:rPr>
          <w:fldChar w:fldCharType="begin"/>
        </w:r>
        <w:r w:rsidR="00EC2A92">
          <w:rPr>
            <w:webHidden/>
          </w:rPr>
          <w:instrText xml:space="preserve"> PAGEREF _Toc33625855 \h </w:instrText>
        </w:r>
        <w:r w:rsidR="00EC2A92">
          <w:rPr>
            <w:webHidden/>
          </w:rPr>
        </w:r>
        <w:r w:rsidR="00EC2A92">
          <w:rPr>
            <w:webHidden/>
          </w:rPr>
          <w:fldChar w:fldCharType="separate"/>
        </w:r>
        <w:r w:rsidR="00DC6915">
          <w:rPr>
            <w:webHidden/>
          </w:rPr>
          <w:t>43</w:t>
        </w:r>
        <w:r w:rsidR="00EC2A92">
          <w:rPr>
            <w:webHidden/>
          </w:rPr>
          <w:fldChar w:fldCharType="end"/>
        </w:r>
      </w:hyperlink>
    </w:p>
    <w:p w14:paraId="1EBCA6F6" w14:textId="317CEB6F" w:rsidR="00EC2A92" w:rsidRDefault="00970AF6">
      <w:pPr>
        <w:pStyle w:val="TOC2"/>
        <w:rPr>
          <w:rFonts w:asciiTheme="minorHAnsi" w:eastAsiaTheme="minorEastAsia" w:hAnsiTheme="minorHAnsi" w:cstheme="minorBidi"/>
          <w:color w:val="auto"/>
          <w:sz w:val="22"/>
          <w:szCs w:val="22"/>
        </w:rPr>
      </w:pPr>
      <w:hyperlink w:anchor="_Toc33625856" w:history="1">
        <w:r w:rsidR="00EC2A92" w:rsidRPr="0031292F">
          <w:rPr>
            <w:rStyle w:val="Hyperlink"/>
          </w:rPr>
          <w:t>Compliance approach</w:t>
        </w:r>
        <w:r w:rsidR="00EC2A92">
          <w:rPr>
            <w:webHidden/>
          </w:rPr>
          <w:tab/>
        </w:r>
        <w:r w:rsidR="00EC2A92">
          <w:rPr>
            <w:webHidden/>
          </w:rPr>
          <w:fldChar w:fldCharType="begin"/>
        </w:r>
        <w:r w:rsidR="00EC2A92">
          <w:rPr>
            <w:webHidden/>
          </w:rPr>
          <w:instrText xml:space="preserve"> PAGEREF _Toc33625856 \h </w:instrText>
        </w:r>
        <w:r w:rsidR="00EC2A92">
          <w:rPr>
            <w:webHidden/>
          </w:rPr>
        </w:r>
        <w:r w:rsidR="00EC2A92">
          <w:rPr>
            <w:webHidden/>
          </w:rPr>
          <w:fldChar w:fldCharType="separate"/>
        </w:r>
        <w:r w:rsidR="00DC6915">
          <w:rPr>
            <w:webHidden/>
          </w:rPr>
          <w:t>43</w:t>
        </w:r>
        <w:r w:rsidR="00EC2A92">
          <w:rPr>
            <w:webHidden/>
          </w:rPr>
          <w:fldChar w:fldCharType="end"/>
        </w:r>
      </w:hyperlink>
    </w:p>
    <w:p w14:paraId="465DE85C" w14:textId="3CD3624E" w:rsidR="00EC2A92" w:rsidRDefault="00970AF6">
      <w:pPr>
        <w:pStyle w:val="TOC2"/>
        <w:rPr>
          <w:rFonts w:asciiTheme="minorHAnsi" w:eastAsiaTheme="minorEastAsia" w:hAnsiTheme="minorHAnsi" w:cstheme="minorBidi"/>
          <w:color w:val="auto"/>
          <w:sz w:val="22"/>
          <w:szCs w:val="22"/>
        </w:rPr>
      </w:pPr>
      <w:hyperlink w:anchor="_Toc33625857" w:history="1">
        <w:r w:rsidR="00EC2A92" w:rsidRPr="0031292F">
          <w:rPr>
            <w:rStyle w:val="Hyperlink"/>
          </w:rPr>
          <w:t>Education and promotion</w:t>
        </w:r>
        <w:r w:rsidR="00EC2A92">
          <w:rPr>
            <w:webHidden/>
          </w:rPr>
          <w:tab/>
        </w:r>
        <w:r w:rsidR="00EC2A92">
          <w:rPr>
            <w:webHidden/>
          </w:rPr>
          <w:fldChar w:fldCharType="begin"/>
        </w:r>
        <w:r w:rsidR="00EC2A92">
          <w:rPr>
            <w:webHidden/>
          </w:rPr>
          <w:instrText xml:space="preserve"> PAGEREF _Toc33625857 \h </w:instrText>
        </w:r>
        <w:r w:rsidR="00EC2A92">
          <w:rPr>
            <w:webHidden/>
          </w:rPr>
        </w:r>
        <w:r w:rsidR="00EC2A92">
          <w:rPr>
            <w:webHidden/>
          </w:rPr>
          <w:fldChar w:fldCharType="separate"/>
        </w:r>
        <w:r w:rsidR="00DC6915">
          <w:rPr>
            <w:webHidden/>
          </w:rPr>
          <w:t>43</w:t>
        </w:r>
        <w:r w:rsidR="00EC2A92">
          <w:rPr>
            <w:webHidden/>
          </w:rPr>
          <w:fldChar w:fldCharType="end"/>
        </w:r>
      </w:hyperlink>
    </w:p>
    <w:p w14:paraId="1BA7E5B8" w14:textId="04562059" w:rsidR="00EC2A92" w:rsidRDefault="00970AF6">
      <w:pPr>
        <w:pStyle w:val="TOC2"/>
        <w:rPr>
          <w:rFonts w:asciiTheme="minorHAnsi" w:eastAsiaTheme="minorEastAsia" w:hAnsiTheme="minorHAnsi" w:cstheme="minorBidi"/>
          <w:color w:val="auto"/>
          <w:sz w:val="22"/>
          <w:szCs w:val="22"/>
        </w:rPr>
      </w:pPr>
      <w:hyperlink w:anchor="_Toc33625858" w:history="1">
        <w:r w:rsidR="00EC2A92" w:rsidRPr="0031292F">
          <w:rPr>
            <w:rStyle w:val="Hyperlink"/>
          </w:rPr>
          <w:t>Treasury’s compliance activities</w:t>
        </w:r>
        <w:r w:rsidR="00EC2A92">
          <w:rPr>
            <w:webHidden/>
          </w:rPr>
          <w:tab/>
        </w:r>
        <w:r w:rsidR="00EC2A92">
          <w:rPr>
            <w:webHidden/>
          </w:rPr>
          <w:fldChar w:fldCharType="begin"/>
        </w:r>
        <w:r w:rsidR="00EC2A92">
          <w:rPr>
            <w:webHidden/>
          </w:rPr>
          <w:instrText xml:space="preserve"> PAGEREF _Toc33625858 \h </w:instrText>
        </w:r>
        <w:r w:rsidR="00EC2A92">
          <w:rPr>
            <w:webHidden/>
          </w:rPr>
        </w:r>
        <w:r w:rsidR="00EC2A92">
          <w:rPr>
            <w:webHidden/>
          </w:rPr>
          <w:fldChar w:fldCharType="separate"/>
        </w:r>
        <w:r w:rsidR="00DC6915">
          <w:rPr>
            <w:webHidden/>
          </w:rPr>
          <w:t>44</w:t>
        </w:r>
        <w:r w:rsidR="00EC2A92">
          <w:rPr>
            <w:webHidden/>
          </w:rPr>
          <w:fldChar w:fldCharType="end"/>
        </w:r>
      </w:hyperlink>
    </w:p>
    <w:p w14:paraId="13248496" w14:textId="2B6A7C13" w:rsidR="00EC2A92" w:rsidRDefault="00970AF6">
      <w:pPr>
        <w:pStyle w:val="TOC2"/>
        <w:rPr>
          <w:rFonts w:asciiTheme="minorHAnsi" w:eastAsiaTheme="minorEastAsia" w:hAnsiTheme="minorHAnsi" w:cstheme="minorBidi"/>
          <w:color w:val="auto"/>
          <w:sz w:val="22"/>
          <w:szCs w:val="22"/>
        </w:rPr>
      </w:pPr>
      <w:hyperlink w:anchor="_Toc33625859" w:history="1">
        <w:r w:rsidR="00EC2A92" w:rsidRPr="0031292F">
          <w:rPr>
            <w:rStyle w:val="Hyperlink"/>
          </w:rPr>
          <w:t>ATO’s residential real estate compliance activities</w:t>
        </w:r>
        <w:r w:rsidR="00EC2A92">
          <w:rPr>
            <w:webHidden/>
          </w:rPr>
          <w:tab/>
        </w:r>
        <w:r w:rsidR="00EC2A92">
          <w:rPr>
            <w:webHidden/>
          </w:rPr>
          <w:fldChar w:fldCharType="begin"/>
        </w:r>
        <w:r w:rsidR="00EC2A92">
          <w:rPr>
            <w:webHidden/>
          </w:rPr>
          <w:instrText xml:space="preserve"> PAGEREF _Toc33625859 \h </w:instrText>
        </w:r>
        <w:r w:rsidR="00EC2A92">
          <w:rPr>
            <w:webHidden/>
          </w:rPr>
        </w:r>
        <w:r w:rsidR="00EC2A92">
          <w:rPr>
            <w:webHidden/>
          </w:rPr>
          <w:fldChar w:fldCharType="separate"/>
        </w:r>
        <w:r w:rsidR="00DC6915">
          <w:rPr>
            <w:webHidden/>
          </w:rPr>
          <w:t>45</w:t>
        </w:r>
        <w:r w:rsidR="00EC2A92">
          <w:rPr>
            <w:webHidden/>
          </w:rPr>
          <w:fldChar w:fldCharType="end"/>
        </w:r>
      </w:hyperlink>
    </w:p>
    <w:p w14:paraId="7AFF1F91" w14:textId="7AEF2206" w:rsidR="00EC2A92" w:rsidRDefault="00970AF6">
      <w:pPr>
        <w:pStyle w:val="TOC1"/>
        <w:rPr>
          <w:rFonts w:asciiTheme="minorHAnsi" w:eastAsiaTheme="minorEastAsia" w:hAnsiTheme="minorHAnsi" w:cstheme="minorBidi"/>
          <w:b w:val="0"/>
          <w:caps w:val="0"/>
          <w:color w:val="auto"/>
          <w:sz w:val="22"/>
        </w:rPr>
      </w:pPr>
      <w:hyperlink w:anchor="_Toc33625860" w:history="1">
        <w:r w:rsidR="00EC2A92" w:rsidRPr="0031292F">
          <w:rPr>
            <w:rStyle w:val="Hyperlink"/>
          </w:rPr>
          <w:t>Appendix A: Board Meetings during 2018–19</w:t>
        </w:r>
        <w:r w:rsidR="00EC2A92">
          <w:rPr>
            <w:webHidden/>
          </w:rPr>
          <w:tab/>
        </w:r>
        <w:r w:rsidR="00EC2A92">
          <w:rPr>
            <w:webHidden/>
          </w:rPr>
          <w:fldChar w:fldCharType="begin"/>
        </w:r>
        <w:r w:rsidR="00EC2A92">
          <w:rPr>
            <w:webHidden/>
          </w:rPr>
          <w:instrText xml:space="preserve"> PAGEREF _Toc33625860 \h </w:instrText>
        </w:r>
        <w:r w:rsidR="00EC2A92">
          <w:rPr>
            <w:webHidden/>
          </w:rPr>
        </w:r>
        <w:r w:rsidR="00EC2A92">
          <w:rPr>
            <w:webHidden/>
          </w:rPr>
          <w:fldChar w:fldCharType="separate"/>
        </w:r>
        <w:r w:rsidR="00DC6915">
          <w:rPr>
            <w:webHidden/>
          </w:rPr>
          <w:t>51</w:t>
        </w:r>
        <w:r w:rsidR="00EC2A92">
          <w:rPr>
            <w:webHidden/>
          </w:rPr>
          <w:fldChar w:fldCharType="end"/>
        </w:r>
      </w:hyperlink>
    </w:p>
    <w:p w14:paraId="286AFCE8" w14:textId="6B9B6A37" w:rsidR="00EC2A92" w:rsidRDefault="00970AF6">
      <w:pPr>
        <w:pStyle w:val="TOC1"/>
        <w:rPr>
          <w:rFonts w:asciiTheme="minorHAnsi" w:eastAsiaTheme="minorEastAsia" w:hAnsiTheme="minorHAnsi" w:cstheme="minorBidi"/>
          <w:b w:val="0"/>
          <w:caps w:val="0"/>
          <w:color w:val="auto"/>
          <w:sz w:val="22"/>
        </w:rPr>
      </w:pPr>
      <w:hyperlink w:anchor="_Toc33625861" w:history="1">
        <w:r w:rsidR="00EC2A92" w:rsidRPr="0031292F">
          <w:rPr>
            <w:rStyle w:val="Hyperlink"/>
          </w:rPr>
          <w:t>Appendix B: Methodological and Data Caveats</w:t>
        </w:r>
        <w:r w:rsidR="00EC2A92">
          <w:rPr>
            <w:webHidden/>
          </w:rPr>
          <w:tab/>
        </w:r>
        <w:r w:rsidR="00EC2A92">
          <w:rPr>
            <w:webHidden/>
          </w:rPr>
          <w:fldChar w:fldCharType="begin"/>
        </w:r>
        <w:r w:rsidR="00EC2A92">
          <w:rPr>
            <w:webHidden/>
          </w:rPr>
          <w:instrText xml:space="preserve"> PAGEREF _Toc33625861 \h </w:instrText>
        </w:r>
        <w:r w:rsidR="00EC2A92">
          <w:rPr>
            <w:webHidden/>
          </w:rPr>
        </w:r>
        <w:r w:rsidR="00EC2A92">
          <w:rPr>
            <w:webHidden/>
          </w:rPr>
          <w:fldChar w:fldCharType="separate"/>
        </w:r>
        <w:r w:rsidR="00DC6915">
          <w:rPr>
            <w:webHidden/>
          </w:rPr>
          <w:t>53</w:t>
        </w:r>
        <w:r w:rsidR="00EC2A92">
          <w:rPr>
            <w:webHidden/>
          </w:rPr>
          <w:fldChar w:fldCharType="end"/>
        </w:r>
      </w:hyperlink>
    </w:p>
    <w:p w14:paraId="2B75143E" w14:textId="6431777B" w:rsidR="00EC2A92" w:rsidRDefault="00970AF6">
      <w:pPr>
        <w:pStyle w:val="TOC2"/>
        <w:rPr>
          <w:rFonts w:asciiTheme="minorHAnsi" w:eastAsiaTheme="minorEastAsia" w:hAnsiTheme="minorHAnsi" w:cstheme="minorBidi"/>
          <w:color w:val="auto"/>
          <w:sz w:val="22"/>
          <w:szCs w:val="22"/>
        </w:rPr>
      </w:pPr>
      <w:hyperlink w:anchor="_Toc33625862" w:history="1">
        <w:r w:rsidR="00EC2A92" w:rsidRPr="0031292F">
          <w:rPr>
            <w:rStyle w:val="Hyperlink"/>
          </w:rPr>
          <w:t>Methodological and data caveats</w:t>
        </w:r>
        <w:r w:rsidR="00EC2A92">
          <w:rPr>
            <w:webHidden/>
          </w:rPr>
          <w:tab/>
        </w:r>
        <w:r w:rsidR="00EC2A92">
          <w:rPr>
            <w:webHidden/>
          </w:rPr>
          <w:fldChar w:fldCharType="begin"/>
        </w:r>
        <w:r w:rsidR="00EC2A92">
          <w:rPr>
            <w:webHidden/>
          </w:rPr>
          <w:instrText xml:space="preserve"> PAGEREF _Toc33625862 \h </w:instrText>
        </w:r>
        <w:r w:rsidR="00EC2A92">
          <w:rPr>
            <w:webHidden/>
          </w:rPr>
        </w:r>
        <w:r w:rsidR="00EC2A92">
          <w:rPr>
            <w:webHidden/>
          </w:rPr>
          <w:fldChar w:fldCharType="separate"/>
        </w:r>
        <w:r w:rsidR="00DC6915">
          <w:rPr>
            <w:webHidden/>
          </w:rPr>
          <w:t>53</w:t>
        </w:r>
        <w:r w:rsidR="00EC2A92">
          <w:rPr>
            <w:webHidden/>
          </w:rPr>
          <w:fldChar w:fldCharType="end"/>
        </w:r>
      </w:hyperlink>
    </w:p>
    <w:p w14:paraId="45965EB2" w14:textId="12F39C73" w:rsidR="00EC2A92" w:rsidRDefault="00970AF6">
      <w:pPr>
        <w:pStyle w:val="TOC1"/>
        <w:rPr>
          <w:rFonts w:asciiTheme="minorHAnsi" w:eastAsiaTheme="minorEastAsia" w:hAnsiTheme="minorHAnsi" w:cstheme="minorBidi"/>
          <w:b w:val="0"/>
          <w:caps w:val="0"/>
          <w:color w:val="auto"/>
          <w:sz w:val="22"/>
        </w:rPr>
      </w:pPr>
      <w:hyperlink w:anchor="_Toc33625863" w:history="1">
        <w:r w:rsidR="00EC2A92" w:rsidRPr="0031292F">
          <w:rPr>
            <w:rStyle w:val="Hyperlink"/>
          </w:rPr>
          <w:t>Appendix C: Examination and Approval Process</w:t>
        </w:r>
        <w:r w:rsidR="00EC2A92">
          <w:rPr>
            <w:webHidden/>
          </w:rPr>
          <w:tab/>
        </w:r>
        <w:r w:rsidR="00EC2A92">
          <w:rPr>
            <w:webHidden/>
          </w:rPr>
          <w:fldChar w:fldCharType="begin"/>
        </w:r>
        <w:r w:rsidR="00EC2A92">
          <w:rPr>
            <w:webHidden/>
          </w:rPr>
          <w:instrText xml:space="preserve"> PAGEREF _Toc33625863 \h </w:instrText>
        </w:r>
        <w:r w:rsidR="00EC2A92">
          <w:rPr>
            <w:webHidden/>
          </w:rPr>
        </w:r>
        <w:r w:rsidR="00EC2A92">
          <w:rPr>
            <w:webHidden/>
          </w:rPr>
          <w:fldChar w:fldCharType="separate"/>
        </w:r>
        <w:r w:rsidR="00DC6915">
          <w:rPr>
            <w:webHidden/>
          </w:rPr>
          <w:t>59</w:t>
        </w:r>
        <w:r w:rsidR="00EC2A92">
          <w:rPr>
            <w:webHidden/>
          </w:rPr>
          <w:fldChar w:fldCharType="end"/>
        </w:r>
      </w:hyperlink>
    </w:p>
    <w:p w14:paraId="34BBBA24" w14:textId="073DAEA4" w:rsidR="00EC2A92" w:rsidRDefault="00970AF6">
      <w:pPr>
        <w:pStyle w:val="TOC2"/>
        <w:rPr>
          <w:rFonts w:asciiTheme="minorHAnsi" w:eastAsiaTheme="minorEastAsia" w:hAnsiTheme="minorHAnsi" w:cstheme="minorBidi"/>
          <w:color w:val="auto"/>
          <w:sz w:val="22"/>
          <w:szCs w:val="22"/>
        </w:rPr>
      </w:pPr>
      <w:hyperlink w:anchor="_Toc33625864" w:history="1">
        <w:r w:rsidR="00EC2A92" w:rsidRPr="0031292F">
          <w:rPr>
            <w:rStyle w:val="Hyperlink"/>
          </w:rPr>
          <w:t>Board involvement</w:t>
        </w:r>
        <w:r w:rsidR="00EC2A92">
          <w:rPr>
            <w:webHidden/>
          </w:rPr>
          <w:tab/>
        </w:r>
        <w:r w:rsidR="00EC2A92">
          <w:rPr>
            <w:webHidden/>
          </w:rPr>
          <w:fldChar w:fldCharType="begin"/>
        </w:r>
        <w:r w:rsidR="00EC2A92">
          <w:rPr>
            <w:webHidden/>
          </w:rPr>
          <w:instrText xml:space="preserve"> PAGEREF _Toc33625864 \h </w:instrText>
        </w:r>
        <w:r w:rsidR="00EC2A92">
          <w:rPr>
            <w:webHidden/>
          </w:rPr>
        </w:r>
        <w:r w:rsidR="00EC2A92">
          <w:rPr>
            <w:webHidden/>
          </w:rPr>
          <w:fldChar w:fldCharType="separate"/>
        </w:r>
        <w:r w:rsidR="00DC6915">
          <w:rPr>
            <w:webHidden/>
          </w:rPr>
          <w:t>59</w:t>
        </w:r>
        <w:r w:rsidR="00EC2A92">
          <w:rPr>
            <w:webHidden/>
          </w:rPr>
          <w:fldChar w:fldCharType="end"/>
        </w:r>
      </w:hyperlink>
    </w:p>
    <w:p w14:paraId="20E0CB00" w14:textId="0AF8F468" w:rsidR="00EC2A92" w:rsidRDefault="00970AF6">
      <w:pPr>
        <w:pStyle w:val="TOC2"/>
        <w:rPr>
          <w:rFonts w:asciiTheme="minorHAnsi" w:eastAsiaTheme="minorEastAsia" w:hAnsiTheme="minorHAnsi" w:cstheme="minorBidi"/>
          <w:color w:val="auto"/>
          <w:sz w:val="22"/>
          <w:szCs w:val="22"/>
        </w:rPr>
      </w:pPr>
      <w:hyperlink w:anchor="_Toc33625865" w:history="1">
        <w:r w:rsidR="00EC2A92" w:rsidRPr="0031292F">
          <w:rPr>
            <w:rStyle w:val="Hyperlink"/>
          </w:rPr>
          <w:t>Handling of commercially sensitive and personal information</w:t>
        </w:r>
        <w:r w:rsidR="00EC2A92">
          <w:rPr>
            <w:webHidden/>
          </w:rPr>
          <w:tab/>
        </w:r>
        <w:r w:rsidR="00EC2A92">
          <w:rPr>
            <w:webHidden/>
          </w:rPr>
          <w:fldChar w:fldCharType="begin"/>
        </w:r>
        <w:r w:rsidR="00EC2A92">
          <w:rPr>
            <w:webHidden/>
          </w:rPr>
          <w:instrText xml:space="preserve"> PAGEREF _Toc33625865 \h </w:instrText>
        </w:r>
        <w:r w:rsidR="00EC2A92">
          <w:rPr>
            <w:webHidden/>
          </w:rPr>
        </w:r>
        <w:r w:rsidR="00EC2A92">
          <w:rPr>
            <w:webHidden/>
          </w:rPr>
          <w:fldChar w:fldCharType="separate"/>
        </w:r>
        <w:r w:rsidR="00DC6915">
          <w:rPr>
            <w:webHidden/>
          </w:rPr>
          <w:t>59</w:t>
        </w:r>
        <w:r w:rsidR="00EC2A92">
          <w:rPr>
            <w:webHidden/>
          </w:rPr>
          <w:fldChar w:fldCharType="end"/>
        </w:r>
      </w:hyperlink>
    </w:p>
    <w:p w14:paraId="6AD88342" w14:textId="1FD40BDD" w:rsidR="00EC2A92" w:rsidRDefault="00970AF6">
      <w:pPr>
        <w:pStyle w:val="TOC2"/>
        <w:rPr>
          <w:rFonts w:asciiTheme="minorHAnsi" w:eastAsiaTheme="minorEastAsia" w:hAnsiTheme="minorHAnsi" w:cstheme="minorBidi"/>
          <w:color w:val="auto"/>
          <w:sz w:val="22"/>
          <w:szCs w:val="22"/>
        </w:rPr>
      </w:pPr>
      <w:hyperlink w:anchor="_Toc33625866" w:history="1">
        <w:r w:rsidR="00EC2A92" w:rsidRPr="0031292F">
          <w:rPr>
            <w:rStyle w:val="Hyperlink"/>
          </w:rPr>
          <w:t>Application screening process</w:t>
        </w:r>
        <w:r w:rsidR="00EC2A92">
          <w:rPr>
            <w:webHidden/>
          </w:rPr>
          <w:tab/>
        </w:r>
        <w:r w:rsidR="00EC2A92">
          <w:rPr>
            <w:webHidden/>
          </w:rPr>
          <w:fldChar w:fldCharType="begin"/>
        </w:r>
        <w:r w:rsidR="00EC2A92">
          <w:rPr>
            <w:webHidden/>
          </w:rPr>
          <w:instrText xml:space="preserve"> PAGEREF _Toc33625866 \h </w:instrText>
        </w:r>
        <w:r w:rsidR="00EC2A92">
          <w:rPr>
            <w:webHidden/>
          </w:rPr>
        </w:r>
        <w:r w:rsidR="00EC2A92">
          <w:rPr>
            <w:webHidden/>
          </w:rPr>
          <w:fldChar w:fldCharType="separate"/>
        </w:r>
        <w:r w:rsidR="00DC6915">
          <w:rPr>
            <w:webHidden/>
          </w:rPr>
          <w:t>60</w:t>
        </w:r>
        <w:r w:rsidR="00EC2A92">
          <w:rPr>
            <w:webHidden/>
          </w:rPr>
          <w:fldChar w:fldCharType="end"/>
        </w:r>
      </w:hyperlink>
    </w:p>
    <w:p w14:paraId="0F306707" w14:textId="06F7B470" w:rsidR="00EC2A92" w:rsidRDefault="00970AF6">
      <w:pPr>
        <w:pStyle w:val="TOC1"/>
        <w:rPr>
          <w:rFonts w:asciiTheme="minorHAnsi" w:eastAsiaTheme="minorEastAsia" w:hAnsiTheme="minorHAnsi" w:cstheme="minorBidi"/>
          <w:b w:val="0"/>
          <w:caps w:val="0"/>
          <w:color w:val="auto"/>
          <w:sz w:val="22"/>
        </w:rPr>
      </w:pPr>
      <w:hyperlink w:anchor="_Toc33625867" w:history="1">
        <w:r w:rsidR="00EC2A92" w:rsidRPr="0031292F">
          <w:rPr>
            <w:rStyle w:val="Hyperlink"/>
          </w:rPr>
          <w:t>Appendix D: Glossary</w:t>
        </w:r>
        <w:r w:rsidR="00EC2A92">
          <w:rPr>
            <w:webHidden/>
          </w:rPr>
          <w:tab/>
        </w:r>
        <w:r w:rsidR="00EC2A92">
          <w:rPr>
            <w:webHidden/>
          </w:rPr>
          <w:fldChar w:fldCharType="begin"/>
        </w:r>
        <w:r w:rsidR="00EC2A92">
          <w:rPr>
            <w:webHidden/>
          </w:rPr>
          <w:instrText xml:space="preserve"> PAGEREF _Toc33625867 \h </w:instrText>
        </w:r>
        <w:r w:rsidR="00EC2A92">
          <w:rPr>
            <w:webHidden/>
          </w:rPr>
        </w:r>
        <w:r w:rsidR="00EC2A92">
          <w:rPr>
            <w:webHidden/>
          </w:rPr>
          <w:fldChar w:fldCharType="separate"/>
        </w:r>
        <w:r w:rsidR="00DC6915">
          <w:rPr>
            <w:webHidden/>
          </w:rPr>
          <w:t>63</w:t>
        </w:r>
        <w:r w:rsidR="00EC2A92">
          <w:rPr>
            <w:webHidden/>
          </w:rPr>
          <w:fldChar w:fldCharType="end"/>
        </w:r>
      </w:hyperlink>
    </w:p>
    <w:p w14:paraId="241B40F7" w14:textId="193B0715" w:rsidR="00A84283" w:rsidRPr="00D02A55" w:rsidRDefault="00986A91" w:rsidP="00A42FAB">
      <w:pPr>
        <w:pStyle w:val="TOC1"/>
      </w:pPr>
      <w:r>
        <w:rPr>
          <w:b w:val="0"/>
          <w:smallCaps/>
        </w:rPr>
        <w:lastRenderedPageBreak/>
        <w:fldChar w:fldCharType="end"/>
      </w:r>
      <w:bookmarkStart w:id="3" w:name="_Toc31303005"/>
      <w:r w:rsidR="00A84283" w:rsidRPr="00D02A55">
        <w:t>TABLES</w:t>
      </w:r>
      <w:bookmarkEnd w:id="3"/>
    </w:p>
    <w:p w14:paraId="0DD33ED4" w14:textId="39FE2493" w:rsidR="00AC38C6" w:rsidRDefault="00D02A55">
      <w:pPr>
        <w:pStyle w:val="TOC2"/>
        <w:rPr>
          <w:rFonts w:asciiTheme="minorHAnsi" w:eastAsiaTheme="minorEastAsia" w:hAnsiTheme="minorHAnsi" w:cstheme="minorBidi"/>
          <w:color w:val="auto"/>
          <w:sz w:val="22"/>
          <w:szCs w:val="22"/>
        </w:rPr>
      </w:pPr>
      <w:r>
        <w:fldChar w:fldCharType="begin"/>
      </w:r>
      <w:r>
        <w:instrText xml:space="preserve"> TOC \h \z \t "Table Main Heading,2" </w:instrText>
      </w:r>
      <w:r>
        <w:fldChar w:fldCharType="separate"/>
      </w:r>
      <w:hyperlink w:anchor="_Toc33521347" w:history="1">
        <w:r w:rsidR="00AC38C6" w:rsidRPr="0004211B">
          <w:rPr>
            <w:rStyle w:val="Hyperlink"/>
          </w:rPr>
          <w:t>Table 3.1: Applications considered: 2015–16 to 2018–19 (number of applications)</w:t>
        </w:r>
        <w:r w:rsidR="00AC38C6">
          <w:rPr>
            <w:webHidden/>
          </w:rPr>
          <w:tab/>
        </w:r>
        <w:r w:rsidR="00AC38C6">
          <w:rPr>
            <w:webHidden/>
          </w:rPr>
          <w:fldChar w:fldCharType="begin"/>
        </w:r>
        <w:r w:rsidR="00AC38C6">
          <w:rPr>
            <w:webHidden/>
          </w:rPr>
          <w:instrText xml:space="preserve"> PAGEREF _Toc33521347 \h </w:instrText>
        </w:r>
        <w:r w:rsidR="00AC38C6">
          <w:rPr>
            <w:webHidden/>
          </w:rPr>
        </w:r>
        <w:r w:rsidR="00AC38C6">
          <w:rPr>
            <w:webHidden/>
          </w:rPr>
          <w:fldChar w:fldCharType="separate"/>
        </w:r>
        <w:r w:rsidR="00DC6915">
          <w:rPr>
            <w:webHidden/>
          </w:rPr>
          <w:t>19</w:t>
        </w:r>
        <w:r w:rsidR="00AC38C6">
          <w:rPr>
            <w:webHidden/>
          </w:rPr>
          <w:fldChar w:fldCharType="end"/>
        </w:r>
      </w:hyperlink>
    </w:p>
    <w:p w14:paraId="7C1DF366" w14:textId="26214169" w:rsidR="00AC38C6" w:rsidRDefault="00970AF6">
      <w:pPr>
        <w:pStyle w:val="TOC2"/>
        <w:rPr>
          <w:rFonts w:asciiTheme="minorHAnsi" w:eastAsiaTheme="minorEastAsia" w:hAnsiTheme="minorHAnsi" w:cstheme="minorBidi"/>
          <w:color w:val="auto"/>
          <w:sz w:val="22"/>
          <w:szCs w:val="22"/>
        </w:rPr>
      </w:pPr>
      <w:hyperlink w:anchor="_Toc33521348" w:history="1">
        <w:r w:rsidR="00AC38C6" w:rsidRPr="0004211B">
          <w:rPr>
            <w:rStyle w:val="Hyperlink"/>
          </w:rPr>
          <w:t>Table 3.2: Applications decided: 2015–16 to 2018–19 (value of proposed investment)</w:t>
        </w:r>
        <w:r w:rsidR="00AC38C6">
          <w:rPr>
            <w:webHidden/>
          </w:rPr>
          <w:tab/>
        </w:r>
        <w:r w:rsidR="00AC38C6">
          <w:rPr>
            <w:webHidden/>
          </w:rPr>
          <w:fldChar w:fldCharType="begin"/>
        </w:r>
        <w:r w:rsidR="00AC38C6">
          <w:rPr>
            <w:webHidden/>
          </w:rPr>
          <w:instrText xml:space="preserve"> PAGEREF _Toc33521348 \h </w:instrText>
        </w:r>
        <w:r w:rsidR="00AC38C6">
          <w:rPr>
            <w:webHidden/>
          </w:rPr>
        </w:r>
        <w:r w:rsidR="00AC38C6">
          <w:rPr>
            <w:webHidden/>
          </w:rPr>
          <w:fldChar w:fldCharType="separate"/>
        </w:r>
        <w:r w:rsidR="00DC6915">
          <w:rPr>
            <w:webHidden/>
          </w:rPr>
          <w:t>20</w:t>
        </w:r>
        <w:r w:rsidR="00AC38C6">
          <w:rPr>
            <w:webHidden/>
          </w:rPr>
          <w:fldChar w:fldCharType="end"/>
        </w:r>
      </w:hyperlink>
    </w:p>
    <w:p w14:paraId="240F8C96" w14:textId="296DBD0A" w:rsidR="00AC38C6" w:rsidRDefault="00970AF6">
      <w:pPr>
        <w:pStyle w:val="TOC2"/>
        <w:rPr>
          <w:rFonts w:asciiTheme="minorHAnsi" w:eastAsiaTheme="minorEastAsia" w:hAnsiTheme="minorHAnsi" w:cstheme="minorBidi"/>
          <w:color w:val="auto"/>
          <w:sz w:val="22"/>
          <w:szCs w:val="22"/>
        </w:rPr>
      </w:pPr>
      <w:hyperlink w:anchor="_Toc33521349" w:history="1">
        <w:r w:rsidR="00AC38C6" w:rsidRPr="0004211B">
          <w:rPr>
            <w:rStyle w:val="Hyperlink"/>
          </w:rPr>
          <w:t>Table 3.3: Total approvals by value of proposed investment range: 2015–16 to 2018–19 (number and value of approvals)</w:t>
        </w:r>
        <w:r w:rsidR="00AC38C6">
          <w:rPr>
            <w:webHidden/>
          </w:rPr>
          <w:tab/>
        </w:r>
        <w:r w:rsidR="00AC38C6">
          <w:rPr>
            <w:webHidden/>
          </w:rPr>
          <w:fldChar w:fldCharType="begin"/>
        </w:r>
        <w:r w:rsidR="00AC38C6">
          <w:rPr>
            <w:webHidden/>
          </w:rPr>
          <w:instrText xml:space="preserve"> PAGEREF _Toc33521349 \h </w:instrText>
        </w:r>
        <w:r w:rsidR="00AC38C6">
          <w:rPr>
            <w:webHidden/>
          </w:rPr>
        </w:r>
        <w:r w:rsidR="00AC38C6">
          <w:rPr>
            <w:webHidden/>
          </w:rPr>
          <w:fldChar w:fldCharType="separate"/>
        </w:r>
        <w:r w:rsidR="00DC6915">
          <w:rPr>
            <w:webHidden/>
          </w:rPr>
          <w:t>21</w:t>
        </w:r>
        <w:r w:rsidR="00AC38C6">
          <w:rPr>
            <w:webHidden/>
          </w:rPr>
          <w:fldChar w:fldCharType="end"/>
        </w:r>
      </w:hyperlink>
    </w:p>
    <w:p w14:paraId="03912C24" w14:textId="1B6C599A" w:rsidR="00AC38C6" w:rsidRDefault="00970AF6">
      <w:pPr>
        <w:pStyle w:val="TOC2"/>
        <w:rPr>
          <w:rFonts w:asciiTheme="minorHAnsi" w:eastAsiaTheme="minorEastAsia" w:hAnsiTheme="minorHAnsi" w:cstheme="minorBidi"/>
          <w:color w:val="auto"/>
          <w:sz w:val="22"/>
          <w:szCs w:val="22"/>
        </w:rPr>
      </w:pPr>
      <w:hyperlink w:anchor="_Toc33521350" w:history="1">
        <w:r w:rsidR="00AC38C6" w:rsidRPr="0004211B">
          <w:rPr>
            <w:rStyle w:val="Hyperlink"/>
          </w:rPr>
          <w:t>Table 3.4: Total approvals by industry sector: 2015–16 to 2018–19</w:t>
        </w:r>
        <w:r w:rsidR="00AC38C6">
          <w:rPr>
            <w:webHidden/>
          </w:rPr>
          <w:tab/>
        </w:r>
        <w:r w:rsidR="00AC38C6">
          <w:rPr>
            <w:webHidden/>
          </w:rPr>
          <w:fldChar w:fldCharType="begin"/>
        </w:r>
        <w:r w:rsidR="00AC38C6">
          <w:rPr>
            <w:webHidden/>
          </w:rPr>
          <w:instrText xml:space="preserve"> PAGEREF _Toc33521350 \h </w:instrText>
        </w:r>
        <w:r w:rsidR="00AC38C6">
          <w:rPr>
            <w:webHidden/>
          </w:rPr>
        </w:r>
        <w:r w:rsidR="00AC38C6">
          <w:rPr>
            <w:webHidden/>
          </w:rPr>
          <w:fldChar w:fldCharType="separate"/>
        </w:r>
        <w:r w:rsidR="00DC6915">
          <w:rPr>
            <w:webHidden/>
          </w:rPr>
          <w:t>23</w:t>
        </w:r>
        <w:r w:rsidR="00AC38C6">
          <w:rPr>
            <w:webHidden/>
          </w:rPr>
          <w:fldChar w:fldCharType="end"/>
        </w:r>
      </w:hyperlink>
    </w:p>
    <w:p w14:paraId="735705CA" w14:textId="36640AC4" w:rsidR="00AC38C6" w:rsidRDefault="00970AF6">
      <w:pPr>
        <w:pStyle w:val="TOC2"/>
        <w:rPr>
          <w:rFonts w:asciiTheme="minorHAnsi" w:eastAsiaTheme="minorEastAsia" w:hAnsiTheme="minorHAnsi" w:cstheme="minorBidi"/>
          <w:color w:val="auto"/>
          <w:sz w:val="22"/>
          <w:szCs w:val="22"/>
        </w:rPr>
      </w:pPr>
      <w:hyperlink w:anchor="_Toc33521351" w:history="1">
        <w:r w:rsidR="00AC38C6" w:rsidRPr="0004211B">
          <w:rPr>
            <w:rStyle w:val="Hyperlink"/>
          </w:rPr>
          <w:t>Table 3.5: Manufacturing, electricity and gas sector approvals: 2015–16 to 2018–19</w:t>
        </w:r>
        <w:r w:rsidR="00AC38C6">
          <w:rPr>
            <w:webHidden/>
          </w:rPr>
          <w:tab/>
        </w:r>
        <w:r w:rsidR="00AC38C6">
          <w:rPr>
            <w:webHidden/>
          </w:rPr>
          <w:fldChar w:fldCharType="begin"/>
        </w:r>
        <w:r w:rsidR="00AC38C6">
          <w:rPr>
            <w:webHidden/>
          </w:rPr>
          <w:instrText xml:space="preserve"> PAGEREF _Toc33521351 \h </w:instrText>
        </w:r>
        <w:r w:rsidR="00AC38C6">
          <w:rPr>
            <w:webHidden/>
          </w:rPr>
        </w:r>
        <w:r w:rsidR="00AC38C6">
          <w:rPr>
            <w:webHidden/>
          </w:rPr>
          <w:fldChar w:fldCharType="separate"/>
        </w:r>
        <w:r w:rsidR="00DC6915">
          <w:rPr>
            <w:webHidden/>
          </w:rPr>
          <w:t>24</w:t>
        </w:r>
        <w:r w:rsidR="00AC38C6">
          <w:rPr>
            <w:webHidden/>
          </w:rPr>
          <w:fldChar w:fldCharType="end"/>
        </w:r>
      </w:hyperlink>
    </w:p>
    <w:p w14:paraId="6C8616BC" w14:textId="41A6DF3D" w:rsidR="00AC38C6" w:rsidRDefault="00970AF6">
      <w:pPr>
        <w:pStyle w:val="TOC2"/>
        <w:rPr>
          <w:rFonts w:asciiTheme="minorHAnsi" w:eastAsiaTheme="minorEastAsia" w:hAnsiTheme="minorHAnsi" w:cstheme="minorBidi"/>
          <w:color w:val="auto"/>
          <w:sz w:val="22"/>
          <w:szCs w:val="22"/>
        </w:rPr>
      </w:pPr>
      <w:hyperlink w:anchor="_Toc33521352" w:history="1">
        <w:r w:rsidR="00AC38C6" w:rsidRPr="0004211B">
          <w:rPr>
            <w:rStyle w:val="Hyperlink"/>
          </w:rPr>
          <w:t>Table 3.6: Mineral exploration and development sector approvals: 2015–16 to 2018–19</w:t>
        </w:r>
        <w:r w:rsidR="00AC38C6">
          <w:rPr>
            <w:webHidden/>
          </w:rPr>
          <w:tab/>
        </w:r>
        <w:r w:rsidR="00AC38C6">
          <w:rPr>
            <w:webHidden/>
          </w:rPr>
          <w:fldChar w:fldCharType="begin"/>
        </w:r>
        <w:r w:rsidR="00AC38C6">
          <w:rPr>
            <w:webHidden/>
          </w:rPr>
          <w:instrText xml:space="preserve"> PAGEREF _Toc33521352 \h </w:instrText>
        </w:r>
        <w:r w:rsidR="00AC38C6">
          <w:rPr>
            <w:webHidden/>
          </w:rPr>
        </w:r>
        <w:r w:rsidR="00AC38C6">
          <w:rPr>
            <w:webHidden/>
          </w:rPr>
          <w:fldChar w:fldCharType="separate"/>
        </w:r>
        <w:r w:rsidR="00DC6915">
          <w:rPr>
            <w:webHidden/>
          </w:rPr>
          <w:t>26</w:t>
        </w:r>
        <w:r w:rsidR="00AC38C6">
          <w:rPr>
            <w:webHidden/>
          </w:rPr>
          <w:fldChar w:fldCharType="end"/>
        </w:r>
      </w:hyperlink>
    </w:p>
    <w:p w14:paraId="6F2309FA" w14:textId="57B0944A" w:rsidR="00AC38C6" w:rsidRDefault="00970AF6">
      <w:pPr>
        <w:pStyle w:val="TOC2"/>
        <w:rPr>
          <w:rFonts w:asciiTheme="minorHAnsi" w:eastAsiaTheme="minorEastAsia" w:hAnsiTheme="minorHAnsi" w:cstheme="minorBidi"/>
          <w:color w:val="auto"/>
          <w:sz w:val="22"/>
          <w:szCs w:val="22"/>
        </w:rPr>
      </w:pPr>
      <w:hyperlink w:anchor="_Toc33521353" w:history="1">
        <w:r w:rsidR="00AC38C6" w:rsidRPr="0004211B">
          <w:rPr>
            <w:rStyle w:val="Hyperlink"/>
          </w:rPr>
          <w:t>Table 3.7: Services sector approvals: 2015–16 to 2018–19</w:t>
        </w:r>
        <w:r w:rsidR="00AC38C6">
          <w:rPr>
            <w:webHidden/>
          </w:rPr>
          <w:tab/>
        </w:r>
        <w:r w:rsidR="00AC38C6">
          <w:rPr>
            <w:webHidden/>
          </w:rPr>
          <w:fldChar w:fldCharType="begin"/>
        </w:r>
        <w:r w:rsidR="00AC38C6">
          <w:rPr>
            <w:webHidden/>
          </w:rPr>
          <w:instrText xml:space="preserve"> PAGEREF _Toc33521353 \h </w:instrText>
        </w:r>
        <w:r w:rsidR="00AC38C6">
          <w:rPr>
            <w:webHidden/>
          </w:rPr>
        </w:r>
        <w:r w:rsidR="00AC38C6">
          <w:rPr>
            <w:webHidden/>
          </w:rPr>
          <w:fldChar w:fldCharType="separate"/>
        </w:r>
        <w:r w:rsidR="00DC6915">
          <w:rPr>
            <w:webHidden/>
          </w:rPr>
          <w:t>27</w:t>
        </w:r>
        <w:r w:rsidR="00AC38C6">
          <w:rPr>
            <w:webHidden/>
          </w:rPr>
          <w:fldChar w:fldCharType="end"/>
        </w:r>
      </w:hyperlink>
    </w:p>
    <w:p w14:paraId="2E42BA60" w14:textId="23D029F7" w:rsidR="00AC38C6" w:rsidRDefault="00970AF6">
      <w:pPr>
        <w:pStyle w:val="TOC2"/>
        <w:rPr>
          <w:rFonts w:asciiTheme="minorHAnsi" w:eastAsiaTheme="minorEastAsia" w:hAnsiTheme="minorHAnsi" w:cstheme="minorBidi"/>
          <w:color w:val="auto"/>
          <w:sz w:val="22"/>
          <w:szCs w:val="22"/>
        </w:rPr>
      </w:pPr>
      <w:hyperlink w:anchor="_Toc33521354" w:history="1">
        <w:r w:rsidR="00AC38C6" w:rsidRPr="0004211B">
          <w:rPr>
            <w:rStyle w:val="Hyperlink"/>
          </w:rPr>
          <w:t>Table 3.8: Commercial real estate approvals, by type: 2015–16 to 2018–19</w:t>
        </w:r>
        <w:r w:rsidR="00AC38C6">
          <w:rPr>
            <w:webHidden/>
          </w:rPr>
          <w:tab/>
        </w:r>
        <w:r w:rsidR="00AC38C6">
          <w:rPr>
            <w:webHidden/>
          </w:rPr>
          <w:fldChar w:fldCharType="begin"/>
        </w:r>
        <w:r w:rsidR="00AC38C6">
          <w:rPr>
            <w:webHidden/>
          </w:rPr>
          <w:instrText xml:space="preserve"> PAGEREF _Toc33521354 \h </w:instrText>
        </w:r>
        <w:r w:rsidR="00AC38C6">
          <w:rPr>
            <w:webHidden/>
          </w:rPr>
        </w:r>
        <w:r w:rsidR="00AC38C6">
          <w:rPr>
            <w:webHidden/>
          </w:rPr>
          <w:fldChar w:fldCharType="separate"/>
        </w:r>
        <w:r w:rsidR="00DC6915">
          <w:rPr>
            <w:webHidden/>
          </w:rPr>
          <w:t>29</w:t>
        </w:r>
        <w:r w:rsidR="00AC38C6">
          <w:rPr>
            <w:webHidden/>
          </w:rPr>
          <w:fldChar w:fldCharType="end"/>
        </w:r>
      </w:hyperlink>
    </w:p>
    <w:p w14:paraId="50F4C6C5" w14:textId="463932EB" w:rsidR="00AC38C6" w:rsidRDefault="00970AF6">
      <w:pPr>
        <w:pStyle w:val="TOC2"/>
        <w:rPr>
          <w:rFonts w:asciiTheme="minorHAnsi" w:eastAsiaTheme="minorEastAsia" w:hAnsiTheme="minorHAnsi" w:cstheme="minorBidi"/>
          <w:color w:val="auto"/>
          <w:sz w:val="22"/>
          <w:szCs w:val="22"/>
        </w:rPr>
      </w:pPr>
      <w:hyperlink w:anchor="_Toc33521355" w:history="1">
        <w:r w:rsidR="00AC38C6" w:rsidRPr="0004211B">
          <w:rPr>
            <w:rStyle w:val="Hyperlink"/>
          </w:rPr>
          <w:t>Table 3.9: State and territory distribution of proposed investment in commercial real estate in 2018–19</w:t>
        </w:r>
        <w:r w:rsidR="00AC38C6">
          <w:rPr>
            <w:webHidden/>
          </w:rPr>
          <w:tab/>
        </w:r>
        <w:r w:rsidR="00AC38C6">
          <w:rPr>
            <w:webHidden/>
          </w:rPr>
          <w:fldChar w:fldCharType="begin"/>
        </w:r>
        <w:r w:rsidR="00AC38C6">
          <w:rPr>
            <w:webHidden/>
          </w:rPr>
          <w:instrText xml:space="preserve"> PAGEREF _Toc33521355 \h </w:instrText>
        </w:r>
        <w:r w:rsidR="00AC38C6">
          <w:rPr>
            <w:webHidden/>
          </w:rPr>
        </w:r>
        <w:r w:rsidR="00AC38C6">
          <w:rPr>
            <w:webHidden/>
          </w:rPr>
          <w:fldChar w:fldCharType="separate"/>
        </w:r>
        <w:r w:rsidR="00DC6915">
          <w:rPr>
            <w:webHidden/>
          </w:rPr>
          <w:t>29</w:t>
        </w:r>
        <w:r w:rsidR="00AC38C6">
          <w:rPr>
            <w:webHidden/>
          </w:rPr>
          <w:fldChar w:fldCharType="end"/>
        </w:r>
      </w:hyperlink>
    </w:p>
    <w:p w14:paraId="597A61DC" w14:textId="49B80EB8" w:rsidR="00AC38C6" w:rsidRDefault="00970AF6">
      <w:pPr>
        <w:pStyle w:val="TOC2"/>
        <w:rPr>
          <w:rFonts w:asciiTheme="minorHAnsi" w:eastAsiaTheme="minorEastAsia" w:hAnsiTheme="minorHAnsi" w:cstheme="minorBidi"/>
          <w:color w:val="auto"/>
          <w:sz w:val="22"/>
          <w:szCs w:val="22"/>
        </w:rPr>
      </w:pPr>
      <w:hyperlink w:anchor="_Toc33521356" w:history="1">
        <w:r w:rsidR="00AC38C6" w:rsidRPr="0004211B">
          <w:rPr>
            <w:rStyle w:val="Hyperlink"/>
          </w:rPr>
          <w:t>Table 3.10: Residential real estate approvals, by type: 2015–16 to 2018–19</w:t>
        </w:r>
        <w:r w:rsidR="00AC38C6">
          <w:rPr>
            <w:webHidden/>
          </w:rPr>
          <w:tab/>
        </w:r>
        <w:r w:rsidR="00AC38C6">
          <w:rPr>
            <w:webHidden/>
          </w:rPr>
          <w:fldChar w:fldCharType="begin"/>
        </w:r>
        <w:r w:rsidR="00AC38C6">
          <w:rPr>
            <w:webHidden/>
          </w:rPr>
          <w:instrText xml:space="preserve"> PAGEREF _Toc33521356 \h </w:instrText>
        </w:r>
        <w:r w:rsidR="00AC38C6">
          <w:rPr>
            <w:webHidden/>
          </w:rPr>
        </w:r>
        <w:r w:rsidR="00AC38C6">
          <w:rPr>
            <w:webHidden/>
          </w:rPr>
          <w:fldChar w:fldCharType="separate"/>
        </w:r>
        <w:r w:rsidR="00DC6915">
          <w:rPr>
            <w:webHidden/>
          </w:rPr>
          <w:t>32</w:t>
        </w:r>
        <w:r w:rsidR="00AC38C6">
          <w:rPr>
            <w:webHidden/>
          </w:rPr>
          <w:fldChar w:fldCharType="end"/>
        </w:r>
      </w:hyperlink>
    </w:p>
    <w:p w14:paraId="47091D26" w14:textId="2EF0C2A9" w:rsidR="00AC38C6" w:rsidRDefault="00970AF6">
      <w:pPr>
        <w:pStyle w:val="TOC2"/>
        <w:rPr>
          <w:rFonts w:asciiTheme="minorHAnsi" w:eastAsiaTheme="minorEastAsia" w:hAnsiTheme="minorHAnsi" w:cstheme="minorBidi"/>
          <w:color w:val="auto"/>
          <w:sz w:val="22"/>
          <w:szCs w:val="22"/>
        </w:rPr>
      </w:pPr>
      <w:hyperlink w:anchor="_Toc33521357" w:history="1">
        <w:r w:rsidR="00AC38C6" w:rsidRPr="0004211B">
          <w:rPr>
            <w:rStyle w:val="Hyperlink"/>
          </w:rPr>
          <w:t>Table 3.11: State and territory distribution of proposed investment in residential real estate in 2018–19</w:t>
        </w:r>
        <w:r w:rsidR="00AC38C6">
          <w:rPr>
            <w:webHidden/>
          </w:rPr>
          <w:tab/>
        </w:r>
        <w:r w:rsidR="00AC38C6">
          <w:rPr>
            <w:webHidden/>
          </w:rPr>
          <w:fldChar w:fldCharType="begin"/>
        </w:r>
        <w:r w:rsidR="00AC38C6">
          <w:rPr>
            <w:webHidden/>
          </w:rPr>
          <w:instrText xml:space="preserve"> PAGEREF _Toc33521357 \h </w:instrText>
        </w:r>
        <w:r w:rsidR="00AC38C6">
          <w:rPr>
            <w:webHidden/>
          </w:rPr>
        </w:r>
        <w:r w:rsidR="00AC38C6">
          <w:rPr>
            <w:webHidden/>
          </w:rPr>
          <w:fldChar w:fldCharType="separate"/>
        </w:r>
        <w:r w:rsidR="00DC6915">
          <w:rPr>
            <w:webHidden/>
          </w:rPr>
          <w:t>33</w:t>
        </w:r>
        <w:r w:rsidR="00AC38C6">
          <w:rPr>
            <w:webHidden/>
          </w:rPr>
          <w:fldChar w:fldCharType="end"/>
        </w:r>
      </w:hyperlink>
    </w:p>
    <w:p w14:paraId="43B007AE" w14:textId="79F8C512" w:rsidR="00AC38C6" w:rsidRDefault="00970AF6">
      <w:pPr>
        <w:pStyle w:val="TOC2"/>
        <w:rPr>
          <w:rFonts w:asciiTheme="minorHAnsi" w:eastAsiaTheme="minorEastAsia" w:hAnsiTheme="minorHAnsi" w:cstheme="minorBidi"/>
          <w:color w:val="auto"/>
          <w:sz w:val="22"/>
          <w:szCs w:val="22"/>
        </w:rPr>
      </w:pPr>
      <w:hyperlink w:anchor="_Toc33521358" w:history="1">
        <w:r w:rsidR="00AC38C6" w:rsidRPr="0004211B">
          <w:rPr>
            <w:rStyle w:val="Hyperlink"/>
          </w:rPr>
          <w:t>Table 3.12: State and territory distribution of proposed investment in residential real estate, by type in 2018</w:t>
        </w:r>
        <w:r w:rsidR="00AC38C6" w:rsidRPr="0004211B">
          <w:rPr>
            <w:rStyle w:val="Hyperlink"/>
          </w:rPr>
          <w:noBreakHyphen/>
          <w:t>19</w:t>
        </w:r>
        <w:r w:rsidR="00AC38C6">
          <w:rPr>
            <w:webHidden/>
          </w:rPr>
          <w:tab/>
        </w:r>
        <w:r w:rsidR="00AC38C6">
          <w:rPr>
            <w:webHidden/>
          </w:rPr>
          <w:fldChar w:fldCharType="begin"/>
        </w:r>
        <w:r w:rsidR="00AC38C6">
          <w:rPr>
            <w:webHidden/>
          </w:rPr>
          <w:instrText xml:space="preserve"> PAGEREF _Toc33521358 \h </w:instrText>
        </w:r>
        <w:r w:rsidR="00AC38C6">
          <w:rPr>
            <w:webHidden/>
          </w:rPr>
        </w:r>
        <w:r w:rsidR="00AC38C6">
          <w:rPr>
            <w:webHidden/>
          </w:rPr>
          <w:fldChar w:fldCharType="separate"/>
        </w:r>
        <w:r w:rsidR="00DC6915">
          <w:rPr>
            <w:webHidden/>
          </w:rPr>
          <w:t>33</w:t>
        </w:r>
        <w:r w:rsidR="00AC38C6">
          <w:rPr>
            <w:webHidden/>
          </w:rPr>
          <w:fldChar w:fldCharType="end"/>
        </w:r>
      </w:hyperlink>
    </w:p>
    <w:p w14:paraId="532385FC" w14:textId="2BE1AF39" w:rsidR="00AC38C6" w:rsidRDefault="00970AF6">
      <w:pPr>
        <w:pStyle w:val="TOC2"/>
        <w:rPr>
          <w:rFonts w:asciiTheme="minorHAnsi" w:eastAsiaTheme="minorEastAsia" w:hAnsiTheme="minorHAnsi" w:cstheme="minorBidi"/>
          <w:color w:val="auto"/>
          <w:sz w:val="22"/>
          <w:szCs w:val="22"/>
        </w:rPr>
      </w:pPr>
      <w:hyperlink w:anchor="_Toc33521359" w:history="1">
        <w:r w:rsidR="00AC38C6" w:rsidRPr="0004211B">
          <w:rPr>
            <w:rStyle w:val="Hyperlink"/>
          </w:rPr>
          <w:t>Table 3.13: New business approvals by industry sector: 2015-16 to 2018-19</w:t>
        </w:r>
        <w:r w:rsidR="00AC38C6">
          <w:rPr>
            <w:webHidden/>
          </w:rPr>
          <w:tab/>
        </w:r>
        <w:r w:rsidR="00AC38C6">
          <w:rPr>
            <w:webHidden/>
          </w:rPr>
          <w:fldChar w:fldCharType="begin"/>
        </w:r>
        <w:r w:rsidR="00AC38C6">
          <w:rPr>
            <w:webHidden/>
          </w:rPr>
          <w:instrText xml:space="preserve"> PAGEREF _Toc33521359 \h </w:instrText>
        </w:r>
        <w:r w:rsidR="00AC38C6">
          <w:rPr>
            <w:webHidden/>
          </w:rPr>
        </w:r>
        <w:r w:rsidR="00AC38C6">
          <w:rPr>
            <w:webHidden/>
          </w:rPr>
          <w:fldChar w:fldCharType="separate"/>
        </w:r>
        <w:r w:rsidR="00DC6915">
          <w:rPr>
            <w:webHidden/>
          </w:rPr>
          <w:t>34</w:t>
        </w:r>
        <w:r w:rsidR="00AC38C6">
          <w:rPr>
            <w:webHidden/>
          </w:rPr>
          <w:fldChar w:fldCharType="end"/>
        </w:r>
      </w:hyperlink>
    </w:p>
    <w:p w14:paraId="14D80458" w14:textId="3E5BD31D" w:rsidR="00AC38C6" w:rsidRDefault="00970AF6">
      <w:pPr>
        <w:pStyle w:val="TOC2"/>
        <w:rPr>
          <w:rFonts w:asciiTheme="minorHAnsi" w:eastAsiaTheme="minorEastAsia" w:hAnsiTheme="minorHAnsi" w:cstheme="minorBidi"/>
          <w:color w:val="auto"/>
          <w:sz w:val="22"/>
          <w:szCs w:val="22"/>
        </w:rPr>
      </w:pPr>
      <w:hyperlink w:anchor="_Toc33521360" w:history="1">
        <w:r w:rsidR="00AC38C6" w:rsidRPr="0004211B">
          <w:rPr>
            <w:rStyle w:val="Hyperlink"/>
          </w:rPr>
          <w:t>Table 3.14 Approvals by country of investor, by industry sector in 2018-19</w:t>
        </w:r>
        <w:r w:rsidR="00AC38C6">
          <w:rPr>
            <w:webHidden/>
          </w:rPr>
          <w:tab/>
        </w:r>
        <w:r w:rsidR="00AC38C6">
          <w:rPr>
            <w:webHidden/>
          </w:rPr>
          <w:fldChar w:fldCharType="begin"/>
        </w:r>
        <w:r w:rsidR="00AC38C6">
          <w:rPr>
            <w:webHidden/>
          </w:rPr>
          <w:instrText xml:space="preserve"> PAGEREF _Toc33521360 \h </w:instrText>
        </w:r>
        <w:r w:rsidR="00AC38C6">
          <w:rPr>
            <w:webHidden/>
          </w:rPr>
        </w:r>
        <w:r w:rsidR="00AC38C6">
          <w:rPr>
            <w:webHidden/>
          </w:rPr>
          <w:fldChar w:fldCharType="separate"/>
        </w:r>
        <w:r w:rsidR="00DC6915">
          <w:rPr>
            <w:webHidden/>
          </w:rPr>
          <w:t>36</w:t>
        </w:r>
        <w:r w:rsidR="00AC38C6">
          <w:rPr>
            <w:webHidden/>
          </w:rPr>
          <w:fldChar w:fldCharType="end"/>
        </w:r>
      </w:hyperlink>
    </w:p>
    <w:p w14:paraId="3E2B57BF" w14:textId="2CBCDD01" w:rsidR="00AC38C6" w:rsidRDefault="00970AF6">
      <w:pPr>
        <w:pStyle w:val="TOC2"/>
        <w:rPr>
          <w:rFonts w:asciiTheme="minorHAnsi" w:eastAsiaTheme="minorEastAsia" w:hAnsiTheme="minorHAnsi" w:cstheme="minorBidi"/>
          <w:color w:val="auto"/>
          <w:sz w:val="22"/>
          <w:szCs w:val="22"/>
        </w:rPr>
      </w:pPr>
      <w:hyperlink w:anchor="_Toc33521361" w:history="1">
        <w:r w:rsidR="00AC38C6" w:rsidRPr="0004211B">
          <w:rPr>
            <w:rStyle w:val="Hyperlink"/>
          </w:rPr>
          <w:t>Table 3.15: Variations considered: 2017-18 to 2018-19 (number of variations by variation type)</w:t>
        </w:r>
        <w:r w:rsidR="00AC38C6">
          <w:rPr>
            <w:webHidden/>
          </w:rPr>
          <w:tab/>
        </w:r>
        <w:r w:rsidR="00AC38C6">
          <w:rPr>
            <w:webHidden/>
          </w:rPr>
          <w:fldChar w:fldCharType="begin"/>
        </w:r>
        <w:r w:rsidR="00AC38C6">
          <w:rPr>
            <w:webHidden/>
          </w:rPr>
          <w:instrText xml:space="preserve"> PAGEREF _Toc33521361 \h </w:instrText>
        </w:r>
        <w:r w:rsidR="00AC38C6">
          <w:rPr>
            <w:webHidden/>
          </w:rPr>
        </w:r>
        <w:r w:rsidR="00AC38C6">
          <w:rPr>
            <w:webHidden/>
          </w:rPr>
          <w:fldChar w:fldCharType="separate"/>
        </w:r>
        <w:r w:rsidR="00DC6915">
          <w:rPr>
            <w:webHidden/>
          </w:rPr>
          <w:t>39</w:t>
        </w:r>
        <w:r w:rsidR="00AC38C6">
          <w:rPr>
            <w:webHidden/>
          </w:rPr>
          <w:fldChar w:fldCharType="end"/>
        </w:r>
      </w:hyperlink>
    </w:p>
    <w:p w14:paraId="1FD20192" w14:textId="4CC4DE25" w:rsidR="00AC38C6" w:rsidRDefault="00970AF6">
      <w:pPr>
        <w:pStyle w:val="TOC2"/>
        <w:rPr>
          <w:rFonts w:asciiTheme="minorHAnsi" w:eastAsiaTheme="minorEastAsia" w:hAnsiTheme="minorHAnsi" w:cstheme="minorBidi"/>
          <w:color w:val="auto"/>
          <w:sz w:val="22"/>
          <w:szCs w:val="22"/>
        </w:rPr>
      </w:pPr>
      <w:hyperlink w:anchor="_Toc33521362" w:history="1">
        <w:r w:rsidR="00AC38C6" w:rsidRPr="0004211B">
          <w:rPr>
            <w:rStyle w:val="Hyperlink"/>
          </w:rPr>
          <w:t>Table 3.16: Variations approved: 2017-18 to 2018-19 (number of variations by variation reason)</w:t>
        </w:r>
        <w:r w:rsidR="00AC38C6">
          <w:rPr>
            <w:webHidden/>
          </w:rPr>
          <w:tab/>
        </w:r>
        <w:r w:rsidR="00AC38C6">
          <w:rPr>
            <w:webHidden/>
          </w:rPr>
          <w:fldChar w:fldCharType="begin"/>
        </w:r>
        <w:r w:rsidR="00AC38C6">
          <w:rPr>
            <w:webHidden/>
          </w:rPr>
          <w:instrText xml:space="preserve"> PAGEREF _Toc33521362 \h </w:instrText>
        </w:r>
        <w:r w:rsidR="00AC38C6">
          <w:rPr>
            <w:webHidden/>
          </w:rPr>
        </w:r>
        <w:r w:rsidR="00AC38C6">
          <w:rPr>
            <w:webHidden/>
          </w:rPr>
          <w:fldChar w:fldCharType="separate"/>
        </w:r>
        <w:r w:rsidR="00DC6915">
          <w:rPr>
            <w:webHidden/>
          </w:rPr>
          <w:t>39</w:t>
        </w:r>
        <w:r w:rsidR="00AC38C6">
          <w:rPr>
            <w:webHidden/>
          </w:rPr>
          <w:fldChar w:fldCharType="end"/>
        </w:r>
      </w:hyperlink>
    </w:p>
    <w:p w14:paraId="569306F1" w14:textId="6AAD0CCD" w:rsidR="00AC38C6" w:rsidRDefault="00970AF6">
      <w:pPr>
        <w:pStyle w:val="TOC2"/>
        <w:rPr>
          <w:rFonts w:asciiTheme="minorHAnsi" w:eastAsiaTheme="minorEastAsia" w:hAnsiTheme="minorHAnsi" w:cstheme="minorBidi"/>
          <w:color w:val="auto"/>
          <w:sz w:val="22"/>
          <w:szCs w:val="22"/>
        </w:rPr>
      </w:pPr>
      <w:hyperlink w:anchor="_Toc33521363" w:history="1">
        <w:r w:rsidR="00AC38C6" w:rsidRPr="0004211B">
          <w:rPr>
            <w:rStyle w:val="Hyperlink"/>
            <w:bCs/>
          </w:rPr>
          <w:t>Table 3.17: Vacancy fee statistics – 1 July 2018 to 30 June 2019</w:t>
        </w:r>
        <w:r w:rsidR="00AC38C6">
          <w:rPr>
            <w:webHidden/>
          </w:rPr>
          <w:tab/>
        </w:r>
        <w:r w:rsidR="00AC38C6">
          <w:rPr>
            <w:webHidden/>
          </w:rPr>
          <w:fldChar w:fldCharType="begin"/>
        </w:r>
        <w:r w:rsidR="00AC38C6">
          <w:rPr>
            <w:webHidden/>
          </w:rPr>
          <w:instrText xml:space="preserve"> PAGEREF _Toc33521363 \h </w:instrText>
        </w:r>
        <w:r w:rsidR="00AC38C6">
          <w:rPr>
            <w:webHidden/>
          </w:rPr>
        </w:r>
        <w:r w:rsidR="00AC38C6">
          <w:rPr>
            <w:webHidden/>
          </w:rPr>
          <w:fldChar w:fldCharType="separate"/>
        </w:r>
        <w:r w:rsidR="00DC6915">
          <w:rPr>
            <w:webHidden/>
          </w:rPr>
          <w:t>41</w:t>
        </w:r>
        <w:r w:rsidR="00AC38C6">
          <w:rPr>
            <w:webHidden/>
          </w:rPr>
          <w:fldChar w:fldCharType="end"/>
        </w:r>
      </w:hyperlink>
    </w:p>
    <w:p w14:paraId="617E41A3" w14:textId="6E9D27D2" w:rsidR="00AC38C6" w:rsidRDefault="00970AF6">
      <w:pPr>
        <w:pStyle w:val="TOC2"/>
        <w:rPr>
          <w:rFonts w:asciiTheme="minorHAnsi" w:eastAsiaTheme="minorEastAsia" w:hAnsiTheme="minorHAnsi" w:cstheme="minorBidi"/>
          <w:color w:val="auto"/>
          <w:sz w:val="22"/>
          <w:szCs w:val="22"/>
        </w:rPr>
      </w:pPr>
      <w:hyperlink w:anchor="_Toc33521364" w:history="1">
        <w:r w:rsidR="00AC38C6" w:rsidRPr="0004211B">
          <w:rPr>
            <w:rStyle w:val="Hyperlink"/>
          </w:rPr>
          <w:t>Table 3.18: Foreign investment fee collections: 2016-17 to 2018-19</w:t>
        </w:r>
        <w:r w:rsidR="00AC38C6">
          <w:rPr>
            <w:webHidden/>
          </w:rPr>
          <w:tab/>
        </w:r>
        <w:r w:rsidR="00AC38C6">
          <w:rPr>
            <w:webHidden/>
          </w:rPr>
          <w:fldChar w:fldCharType="begin"/>
        </w:r>
        <w:r w:rsidR="00AC38C6">
          <w:rPr>
            <w:webHidden/>
          </w:rPr>
          <w:instrText xml:space="preserve"> PAGEREF _Toc33521364 \h </w:instrText>
        </w:r>
        <w:r w:rsidR="00AC38C6">
          <w:rPr>
            <w:webHidden/>
          </w:rPr>
        </w:r>
        <w:r w:rsidR="00AC38C6">
          <w:rPr>
            <w:webHidden/>
          </w:rPr>
          <w:fldChar w:fldCharType="separate"/>
        </w:r>
        <w:r w:rsidR="00DC6915">
          <w:rPr>
            <w:webHidden/>
          </w:rPr>
          <w:t>42</w:t>
        </w:r>
        <w:r w:rsidR="00AC38C6">
          <w:rPr>
            <w:webHidden/>
          </w:rPr>
          <w:fldChar w:fldCharType="end"/>
        </w:r>
      </w:hyperlink>
    </w:p>
    <w:p w14:paraId="43A8EE3F" w14:textId="08C7F2AB" w:rsidR="00AC38C6" w:rsidRDefault="00970AF6">
      <w:pPr>
        <w:pStyle w:val="TOC2"/>
        <w:rPr>
          <w:rFonts w:asciiTheme="minorHAnsi" w:eastAsiaTheme="minorEastAsia" w:hAnsiTheme="minorHAnsi" w:cstheme="minorBidi"/>
          <w:color w:val="auto"/>
          <w:sz w:val="22"/>
          <w:szCs w:val="22"/>
        </w:rPr>
      </w:pPr>
      <w:hyperlink w:anchor="_Toc33521365" w:history="1">
        <w:r w:rsidR="00AC38C6" w:rsidRPr="0004211B">
          <w:rPr>
            <w:rStyle w:val="Hyperlink"/>
          </w:rPr>
          <w:t>Table 4.1: Residential real estate compliance investigations in 2017-18 and 2018-19</w:t>
        </w:r>
        <w:r w:rsidR="00AC38C6">
          <w:rPr>
            <w:webHidden/>
          </w:rPr>
          <w:tab/>
        </w:r>
        <w:r w:rsidR="00AC38C6">
          <w:rPr>
            <w:webHidden/>
          </w:rPr>
          <w:fldChar w:fldCharType="begin"/>
        </w:r>
        <w:r w:rsidR="00AC38C6">
          <w:rPr>
            <w:webHidden/>
          </w:rPr>
          <w:instrText xml:space="preserve"> PAGEREF _Toc33521365 \h </w:instrText>
        </w:r>
        <w:r w:rsidR="00AC38C6">
          <w:rPr>
            <w:webHidden/>
          </w:rPr>
        </w:r>
        <w:r w:rsidR="00AC38C6">
          <w:rPr>
            <w:webHidden/>
          </w:rPr>
          <w:fldChar w:fldCharType="separate"/>
        </w:r>
        <w:r w:rsidR="00DC6915">
          <w:rPr>
            <w:webHidden/>
          </w:rPr>
          <w:t>46</w:t>
        </w:r>
        <w:r w:rsidR="00AC38C6">
          <w:rPr>
            <w:webHidden/>
          </w:rPr>
          <w:fldChar w:fldCharType="end"/>
        </w:r>
      </w:hyperlink>
    </w:p>
    <w:p w14:paraId="42C8AD2B" w14:textId="3B506E00" w:rsidR="00AC38C6" w:rsidRDefault="00970AF6">
      <w:pPr>
        <w:pStyle w:val="TOC2"/>
        <w:rPr>
          <w:rFonts w:asciiTheme="minorHAnsi" w:eastAsiaTheme="minorEastAsia" w:hAnsiTheme="minorHAnsi" w:cstheme="minorBidi"/>
          <w:color w:val="auto"/>
          <w:sz w:val="22"/>
          <w:szCs w:val="22"/>
        </w:rPr>
      </w:pPr>
      <w:hyperlink w:anchor="_Toc33521366" w:history="1">
        <w:r w:rsidR="00AC38C6" w:rsidRPr="0004211B">
          <w:rPr>
            <w:rStyle w:val="Hyperlink"/>
          </w:rPr>
          <w:t>Table 4.2: Outcomes of residential real estate investigations that identified breaches in 2017-18 and 2018-19</w:t>
        </w:r>
        <w:r w:rsidR="00AC38C6">
          <w:rPr>
            <w:webHidden/>
          </w:rPr>
          <w:tab/>
        </w:r>
        <w:r w:rsidR="00AC38C6">
          <w:rPr>
            <w:webHidden/>
          </w:rPr>
          <w:fldChar w:fldCharType="begin"/>
        </w:r>
        <w:r w:rsidR="00AC38C6">
          <w:rPr>
            <w:webHidden/>
          </w:rPr>
          <w:instrText xml:space="preserve"> PAGEREF _Toc33521366 \h </w:instrText>
        </w:r>
        <w:r w:rsidR="00AC38C6">
          <w:rPr>
            <w:webHidden/>
          </w:rPr>
        </w:r>
        <w:r w:rsidR="00AC38C6">
          <w:rPr>
            <w:webHidden/>
          </w:rPr>
          <w:fldChar w:fldCharType="separate"/>
        </w:r>
        <w:r w:rsidR="00DC6915">
          <w:rPr>
            <w:webHidden/>
          </w:rPr>
          <w:t>47</w:t>
        </w:r>
        <w:r w:rsidR="00AC38C6">
          <w:rPr>
            <w:webHidden/>
          </w:rPr>
          <w:fldChar w:fldCharType="end"/>
        </w:r>
      </w:hyperlink>
    </w:p>
    <w:p w14:paraId="27A832FF" w14:textId="5D78709F" w:rsidR="00AC38C6" w:rsidRDefault="00970AF6">
      <w:pPr>
        <w:pStyle w:val="TOC2"/>
        <w:rPr>
          <w:rFonts w:asciiTheme="minorHAnsi" w:eastAsiaTheme="minorEastAsia" w:hAnsiTheme="minorHAnsi" w:cstheme="minorBidi"/>
          <w:color w:val="auto"/>
          <w:sz w:val="22"/>
          <w:szCs w:val="22"/>
        </w:rPr>
      </w:pPr>
      <w:hyperlink w:anchor="_Toc33521367" w:history="1">
        <w:r w:rsidR="00AC38C6" w:rsidRPr="0004211B">
          <w:rPr>
            <w:rStyle w:val="Hyperlink"/>
          </w:rPr>
          <w:t>Table 4.3: Source of residential real estate cases in 2017-18 and 2018-19</w:t>
        </w:r>
        <w:r w:rsidR="00AC38C6">
          <w:rPr>
            <w:webHidden/>
          </w:rPr>
          <w:tab/>
        </w:r>
        <w:r w:rsidR="00AC38C6">
          <w:rPr>
            <w:webHidden/>
          </w:rPr>
          <w:fldChar w:fldCharType="begin"/>
        </w:r>
        <w:r w:rsidR="00AC38C6">
          <w:rPr>
            <w:webHidden/>
          </w:rPr>
          <w:instrText xml:space="preserve"> PAGEREF _Toc33521367 \h </w:instrText>
        </w:r>
        <w:r w:rsidR="00AC38C6">
          <w:rPr>
            <w:webHidden/>
          </w:rPr>
        </w:r>
        <w:r w:rsidR="00AC38C6">
          <w:rPr>
            <w:webHidden/>
          </w:rPr>
          <w:fldChar w:fldCharType="separate"/>
        </w:r>
        <w:r w:rsidR="00DC6915">
          <w:rPr>
            <w:webHidden/>
          </w:rPr>
          <w:t>48</w:t>
        </w:r>
        <w:r w:rsidR="00AC38C6">
          <w:rPr>
            <w:webHidden/>
          </w:rPr>
          <w:fldChar w:fldCharType="end"/>
        </w:r>
      </w:hyperlink>
    </w:p>
    <w:p w14:paraId="7AB93B72" w14:textId="46C3B5DC" w:rsidR="00AC38C6" w:rsidRDefault="00970AF6">
      <w:pPr>
        <w:pStyle w:val="TOC2"/>
        <w:rPr>
          <w:rFonts w:asciiTheme="minorHAnsi" w:eastAsiaTheme="minorEastAsia" w:hAnsiTheme="minorHAnsi" w:cstheme="minorBidi"/>
          <w:color w:val="auto"/>
          <w:sz w:val="22"/>
          <w:szCs w:val="22"/>
        </w:rPr>
      </w:pPr>
      <w:hyperlink w:anchor="_Toc33521368" w:history="1">
        <w:r w:rsidR="00AC38C6" w:rsidRPr="0004211B">
          <w:rPr>
            <w:rStyle w:val="Hyperlink"/>
          </w:rPr>
          <w:t>Table 4.4: Outcomes of completed residential real estate investigations by source in 2017</w:t>
        </w:r>
        <w:r w:rsidR="00AC38C6" w:rsidRPr="0004211B">
          <w:rPr>
            <w:rStyle w:val="Hyperlink"/>
          </w:rPr>
          <w:noBreakHyphen/>
          <w:t>18 and 2018</w:t>
        </w:r>
        <w:r w:rsidR="00AC38C6" w:rsidRPr="0004211B">
          <w:rPr>
            <w:rStyle w:val="Hyperlink"/>
          </w:rPr>
          <w:noBreakHyphen/>
          <w:t>19</w:t>
        </w:r>
        <w:r w:rsidR="00AC38C6">
          <w:rPr>
            <w:webHidden/>
          </w:rPr>
          <w:tab/>
        </w:r>
        <w:r w:rsidR="00AC38C6">
          <w:rPr>
            <w:webHidden/>
          </w:rPr>
          <w:fldChar w:fldCharType="begin"/>
        </w:r>
        <w:r w:rsidR="00AC38C6">
          <w:rPr>
            <w:webHidden/>
          </w:rPr>
          <w:instrText xml:space="preserve"> PAGEREF _Toc33521368 \h </w:instrText>
        </w:r>
        <w:r w:rsidR="00AC38C6">
          <w:rPr>
            <w:webHidden/>
          </w:rPr>
        </w:r>
        <w:r w:rsidR="00AC38C6">
          <w:rPr>
            <w:webHidden/>
          </w:rPr>
          <w:fldChar w:fldCharType="separate"/>
        </w:r>
        <w:r w:rsidR="00DC6915">
          <w:rPr>
            <w:webHidden/>
          </w:rPr>
          <w:t>49</w:t>
        </w:r>
        <w:r w:rsidR="00AC38C6">
          <w:rPr>
            <w:webHidden/>
          </w:rPr>
          <w:fldChar w:fldCharType="end"/>
        </w:r>
      </w:hyperlink>
    </w:p>
    <w:p w14:paraId="2F2A8A50" w14:textId="5F2A93FE" w:rsidR="00AC38C6" w:rsidRDefault="00970AF6">
      <w:pPr>
        <w:pStyle w:val="TOC2"/>
        <w:rPr>
          <w:rFonts w:asciiTheme="minorHAnsi" w:eastAsiaTheme="minorEastAsia" w:hAnsiTheme="minorHAnsi" w:cstheme="minorBidi"/>
          <w:color w:val="auto"/>
          <w:sz w:val="22"/>
          <w:szCs w:val="22"/>
        </w:rPr>
      </w:pPr>
      <w:hyperlink w:anchor="_Toc33521369" w:history="1">
        <w:r w:rsidR="00AC38C6" w:rsidRPr="0004211B">
          <w:rPr>
            <w:rStyle w:val="Hyperlink"/>
          </w:rPr>
          <w:t>Table 4.5: Infringement notices issued in relation to residential real estate in 2017</w:t>
        </w:r>
        <w:r w:rsidR="00AC38C6" w:rsidRPr="0004211B">
          <w:rPr>
            <w:rStyle w:val="Hyperlink"/>
          </w:rPr>
          <w:noBreakHyphen/>
          <w:t>18 and 2018-19</w:t>
        </w:r>
        <w:r w:rsidR="00AC38C6">
          <w:rPr>
            <w:webHidden/>
          </w:rPr>
          <w:tab/>
        </w:r>
        <w:r w:rsidR="00AC38C6">
          <w:rPr>
            <w:webHidden/>
          </w:rPr>
          <w:fldChar w:fldCharType="begin"/>
        </w:r>
        <w:r w:rsidR="00AC38C6">
          <w:rPr>
            <w:webHidden/>
          </w:rPr>
          <w:instrText xml:space="preserve"> PAGEREF _Toc33521369 \h </w:instrText>
        </w:r>
        <w:r w:rsidR="00AC38C6">
          <w:rPr>
            <w:webHidden/>
          </w:rPr>
        </w:r>
        <w:r w:rsidR="00AC38C6">
          <w:rPr>
            <w:webHidden/>
          </w:rPr>
          <w:fldChar w:fldCharType="separate"/>
        </w:r>
        <w:r w:rsidR="00DC6915">
          <w:rPr>
            <w:webHidden/>
          </w:rPr>
          <w:t>49</w:t>
        </w:r>
        <w:r w:rsidR="00AC38C6">
          <w:rPr>
            <w:webHidden/>
          </w:rPr>
          <w:fldChar w:fldCharType="end"/>
        </w:r>
      </w:hyperlink>
    </w:p>
    <w:p w14:paraId="0E08E952" w14:textId="6276B238" w:rsidR="00AC38C6" w:rsidRDefault="00970AF6">
      <w:pPr>
        <w:pStyle w:val="TOC2"/>
        <w:rPr>
          <w:rFonts w:asciiTheme="minorHAnsi" w:eastAsiaTheme="minorEastAsia" w:hAnsiTheme="minorHAnsi" w:cstheme="minorBidi"/>
          <w:color w:val="auto"/>
          <w:sz w:val="22"/>
          <w:szCs w:val="22"/>
        </w:rPr>
      </w:pPr>
      <w:hyperlink w:anchor="_Toc33521370" w:history="1">
        <w:r w:rsidR="00AC38C6" w:rsidRPr="0004211B">
          <w:rPr>
            <w:rStyle w:val="Hyperlink"/>
          </w:rPr>
          <w:t>Table A.1: Board meeting attendance during 2018–19</w:t>
        </w:r>
        <w:r w:rsidR="00AC38C6">
          <w:rPr>
            <w:webHidden/>
          </w:rPr>
          <w:tab/>
        </w:r>
        <w:r w:rsidR="00AC38C6">
          <w:rPr>
            <w:webHidden/>
          </w:rPr>
          <w:fldChar w:fldCharType="begin"/>
        </w:r>
        <w:r w:rsidR="00AC38C6">
          <w:rPr>
            <w:webHidden/>
          </w:rPr>
          <w:instrText xml:space="preserve"> PAGEREF _Toc33521370 \h </w:instrText>
        </w:r>
        <w:r w:rsidR="00AC38C6">
          <w:rPr>
            <w:webHidden/>
          </w:rPr>
        </w:r>
        <w:r w:rsidR="00AC38C6">
          <w:rPr>
            <w:webHidden/>
          </w:rPr>
          <w:fldChar w:fldCharType="separate"/>
        </w:r>
        <w:r w:rsidR="00DC6915">
          <w:rPr>
            <w:webHidden/>
          </w:rPr>
          <w:t>51</w:t>
        </w:r>
        <w:r w:rsidR="00AC38C6">
          <w:rPr>
            <w:webHidden/>
          </w:rPr>
          <w:fldChar w:fldCharType="end"/>
        </w:r>
      </w:hyperlink>
    </w:p>
    <w:p w14:paraId="450D7176" w14:textId="70D09AE5" w:rsidR="009B6781" w:rsidRPr="00A84283" w:rsidRDefault="00D02A55" w:rsidP="002E2EFE">
      <w:r>
        <w:fldChar w:fldCharType="end"/>
      </w:r>
    </w:p>
    <w:p w14:paraId="74F21265" w14:textId="77777777" w:rsidR="006F0D93" w:rsidRDefault="006F0D93" w:rsidP="00D02A55">
      <w:pPr>
        <w:pStyle w:val="Heading1noTOC"/>
        <w:sectPr w:rsidR="006F0D93" w:rsidSect="0065724D">
          <w:headerReference w:type="first" r:id="rId37"/>
          <w:pgSz w:w="11906" w:h="16838" w:code="9"/>
          <w:pgMar w:top="2466" w:right="2098" w:bottom="2466" w:left="2098" w:header="1899" w:footer="1899" w:gutter="0"/>
          <w:pgNumType w:fmt="lowerRoman"/>
          <w:cols w:space="708"/>
          <w:titlePg/>
          <w:docGrid w:linePitch="360"/>
        </w:sectPr>
      </w:pPr>
      <w:bookmarkStart w:id="4" w:name="_Toc31303006"/>
    </w:p>
    <w:p w14:paraId="7EF43B41" w14:textId="40A840FF" w:rsidR="00A84283" w:rsidRPr="00D02A55" w:rsidRDefault="00757660" w:rsidP="007149D6">
      <w:pPr>
        <w:pStyle w:val="TOAHeading"/>
      </w:pPr>
      <w:r>
        <w:lastRenderedPageBreak/>
        <w:t>BOXES</w:t>
      </w:r>
      <w:r w:rsidR="008E42BF">
        <w:t xml:space="preserve">, </w:t>
      </w:r>
      <w:r w:rsidR="00A84283" w:rsidRPr="00D02A55">
        <w:t>CHARTS AND FIGURES</w:t>
      </w:r>
      <w:bookmarkEnd w:id="4"/>
    </w:p>
    <w:p w14:paraId="69A7482A" w14:textId="0B45CE0F" w:rsidR="00AC38C6" w:rsidRDefault="00336D6D">
      <w:pPr>
        <w:pStyle w:val="TOC2"/>
        <w:rPr>
          <w:rFonts w:asciiTheme="minorHAnsi" w:eastAsiaTheme="minorEastAsia" w:hAnsiTheme="minorHAnsi" w:cstheme="minorBidi"/>
          <w:color w:val="auto"/>
          <w:sz w:val="22"/>
          <w:szCs w:val="22"/>
        </w:rPr>
      </w:pPr>
      <w:r>
        <w:fldChar w:fldCharType="begin"/>
      </w:r>
      <w:r>
        <w:instrText xml:space="preserve"> TOC \h \z \t "Box Heading,2,Chart Main Heading,2" </w:instrText>
      </w:r>
      <w:r>
        <w:fldChar w:fldCharType="separate"/>
      </w:r>
      <w:hyperlink r:id="rId38" w:anchor="_Toc33521371" w:history="1">
        <w:r w:rsidR="00AC38C6" w:rsidRPr="00BB59E3">
          <w:rPr>
            <w:rStyle w:val="Hyperlink"/>
          </w:rPr>
          <w:t>Box 1: International developments in foreign investment screening</w:t>
        </w:r>
        <w:r w:rsidR="00AC38C6">
          <w:rPr>
            <w:webHidden/>
          </w:rPr>
          <w:tab/>
        </w:r>
        <w:r w:rsidR="00AC38C6">
          <w:rPr>
            <w:webHidden/>
          </w:rPr>
          <w:fldChar w:fldCharType="begin"/>
        </w:r>
        <w:r w:rsidR="00AC38C6">
          <w:rPr>
            <w:webHidden/>
          </w:rPr>
          <w:instrText xml:space="preserve"> PAGEREF _Toc33521371 \h </w:instrText>
        </w:r>
        <w:r w:rsidR="00AC38C6">
          <w:rPr>
            <w:webHidden/>
          </w:rPr>
        </w:r>
        <w:r w:rsidR="00AC38C6">
          <w:rPr>
            <w:webHidden/>
          </w:rPr>
          <w:fldChar w:fldCharType="separate"/>
        </w:r>
        <w:r w:rsidR="00DC6915">
          <w:rPr>
            <w:webHidden/>
          </w:rPr>
          <w:t>14</w:t>
        </w:r>
        <w:r w:rsidR="00AC38C6">
          <w:rPr>
            <w:webHidden/>
          </w:rPr>
          <w:fldChar w:fldCharType="end"/>
        </w:r>
      </w:hyperlink>
    </w:p>
    <w:p w14:paraId="51886632" w14:textId="3EAB0409" w:rsidR="00AC38C6" w:rsidRDefault="00970AF6">
      <w:pPr>
        <w:pStyle w:val="TOC2"/>
        <w:rPr>
          <w:rFonts w:asciiTheme="minorHAnsi" w:eastAsiaTheme="minorEastAsia" w:hAnsiTheme="minorHAnsi" w:cstheme="minorBidi"/>
          <w:color w:val="auto"/>
          <w:sz w:val="22"/>
          <w:szCs w:val="22"/>
        </w:rPr>
      </w:pPr>
      <w:hyperlink w:anchor="_Toc33521372" w:history="1">
        <w:r w:rsidR="00AC38C6" w:rsidRPr="00BB59E3">
          <w:rPr>
            <w:rStyle w:val="Hyperlink"/>
          </w:rPr>
          <w:t>Chart 3.1: Approvals value by industry sector: 2017–18 and 2018–19</w:t>
        </w:r>
        <w:r w:rsidR="00AC38C6">
          <w:rPr>
            <w:webHidden/>
          </w:rPr>
          <w:tab/>
        </w:r>
        <w:r w:rsidR="00AC38C6">
          <w:rPr>
            <w:webHidden/>
          </w:rPr>
          <w:fldChar w:fldCharType="begin"/>
        </w:r>
        <w:r w:rsidR="00AC38C6">
          <w:rPr>
            <w:webHidden/>
          </w:rPr>
          <w:instrText xml:space="preserve"> PAGEREF _Toc33521372 \h </w:instrText>
        </w:r>
        <w:r w:rsidR="00AC38C6">
          <w:rPr>
            <w:webHidden/>
          </w:rPr>
        </w:r>
        <w:r w:rsidR="00AC38C6">
          <w:rPr>
            <w:webHidden/>
          </w:rPr>
          <w:fldChar w:fldCharType="separate"/>
        </w:r>
        <w:r w:rsidR="00DC6915">
          <w:rPr>
            <w:webHidden/>
          </w:rPr>
          <w:t>21</w:t>
        </w:r>
        <w:r w:rsidR="00AC38C6">
          <w:rPr>
            <w:webHidden/>
          </w:rPr>
          <w:fldChar w:fldCharType="end"/>
        </w:r>
      </w:hyperlink>
    </w:p>
    <w:p w14:paraId="78C57E6D" w14:textId="7AC9A894" w:rsidR="00AC38C6" w:rsidRDefault="00970AF6">
      <w:pPr>
        <w:pStyle w:val="TOC2"/>
        <w:rPr>
          <w:rFonts w:asciiTheme="minorHAnsi" w:eastAsiaTheme="minorEastAsia" w:hAnsiTheme="minorHAnsi" w:cstheme="minorBidi"/>
          <w:color w:val="auto"/>
          <w:sz w:val="22"/>
          <w:szCs w:val="22"/>
        </w:rPr>
      </w:pPr>
      <w:hyperlink w:anchor="_Toc33521373" w:history="1">
        <w:r w:rsidR="00AC38C6" w:rsidRPr="00BB59E3">
          <w:rPr>
            <w:rStyle w:val="Hyperlink"/>
          </w:rPr>
          <w:t>Chart 3.2: Share of total value of approvals, by industry sector in 2018–19</w:t>
        </w:r>
        <w:r w:rsidR="00AC38C6">
          <w:rPr>
            <w:webHidden/>
          </w:rPr>
          <w:tab/>
        </w:r>
        <w:r w:rsidR="00AC38C6">
          <w:rPr>
            <w:webHidden/>
          </w:rPr>
          <w:fldChar w:fldCharType="begin"/>
        </w:r>
        <w:r w:rsidR="00AC38C6">
          <w:rPr>
            <w:webHidden/>
          </w:rPr>
          <w:instrText xml:space="preserve"> PAGEREF _Toc33521373 \h </w:instrText>
        </w:r>
        <w:r w:rsidR="00AC38C6">
          <w:rPr>
            <w:webHidden/>
          </w:rPr>
        </w:r>
        <w:r w:rsidR="00AC38C6">
          <w:rPr>
            <w:webHidden/>
          </w:rPr>
          <w:fldChar w:fldCharType="separate"/>
        </w:r>
        <w:r w:rsidR="00DC6915">
          <w:rPr>
            <w:webHidden/>
          </w:rPr>
          <w:t>22</w:t>
        </w:r>
        <w:r w:rsidR="00AC38C6">
          <w:rPr>
            <w:webHidden/>
          </w:rPr>
          <w:fldChar w:fldCharType="end"/>
        </w:r>
      </w:hyperlink>
    </w:p>
    <w:p w14:paraId="4B901BE0" w14:textId="4D5E06F2" w:rsidR="00AC38C6" w:rsidRDefault="00970AF6">
      <w:pPr>
        <w:pStyle w:val="TOC2"/>
        <w:rPr>
          <w:rFonts w:asciiTheme="minorHAnsi" w:eastAsiaTheme="minorEastAsia" w:hAnsiTheme="minorHAnsi" w:cstheme="minorBidi"/>
          <w:color w:val="auto"/>
          <w:sz w:val="22"/>
          <w:szCs w:val="22"/>
        </w:rPr>
      </w:pPr>
      <w:hyperlink w:anchor="_Toc33521374" w:history="1">
        <w:r w:rsidR="00AC38C6" w:rsidRPr="00BB59E3">
          <w:rPr>
            <w:rStyle w:val="Hyperlink"/>
          </w:rPr>
          <w:t>Chart 3.3: Share of residential real estate approvals by state and territory in 2018</w:t>
        </w:r>
        <w:r w:rsidR="00AC38C6" w:rsidRPr="00BB59E3">
          <w:rPr>
            <w:rStyle w:val="Hyperlink"/>
          </w:rPr>
          <w:noBreakHyphen/>
          <w:t>19, by number</w:t>
        </w:r>
        <w:r w:rsidR="00AC38C6">
          <w:rPr>
            <w:webHidden/>
          </w:rPr>
          <w:tab/>
        </w:r>
        <w:r w:rsidR="00AC38C6">
          <w:rPr>
            <w:webHidden/>
          </w:rPr>
          <w:fldChar w:fldCharType="begin"/>
        </w:r>
        <w:r w:rsidR="00AC38C6">
          <w:rPr>
            <w:webHidden/>
          </w:rPr>
          <w:instrText xml:space="preserve"> PAGEREF _Toc33521374 \h </w:instrText>
        </w:r>
        <w:r w:rsidR="00AC38C6">
          <w:rPr>
            <w:webHidden/>
          </w:rPr>
        </w:r>
        <w:r w:rsidR="00AC38C6">
          <w:rPr>
            <w:webHidden/>
          </w:rPr>
          <w:fldChar w:fldCharType="separate"/>
        </w:r>
        <w:r w:rsidR="00DC6915">
          <w:rPr>
            <w:webHidden/>
          </w:rPr>
          <w:t>30</w:t>
        </w:r>
        <w:r w:rsidR="00AC38C6">
          <w:rPr>
            <w:webHidden/>
          </w:rPr>
          <w:fldChar w:fldCharType="end"/>
        </w:r>
      </w:hyperlink>
    </w:p>
    <w:p w14:paraId="728A3903" w14:textId="6B140B53" w:rsidR="00AC38C6" w:rsidRDefault="00970AF6">
      <w:pPr>
        <w:pStyle w:val="TOC2"/>
        <w:rPr>
          <w:rFonts w:asciiTheme="minorHAnsi" w:eastAsiaTheme="minorEastAsia" w:hAnsiTheme="minorHAnsi" w:cstheme="minorBidi"/>
          <w:color w:val="auto"/>
          <w:sz w:val="22"/>
          <w:szCs w:val="22"/>
        </w:rPr>
      </w:pPr>
      <w:hyperlink w:anchor="_Toc33521375" w:history="1">
        <w:r w:rsidR="00AC38C6" w:rsidRPr="00BB59E3">
          <w:rPr>
            <w:rStyle w:val="Hyperlink"/>
          </w:rPr>
          <w:t>Chart 4.1: Location of residential real estate breaches identified in 2018</w:t>
        </w:r>
        <w:r w:rsidR="00AC38C6" w:rsidRPr="00BB59E3">
          <w:rPr>
            <w:rStyle w:val="Hyperlink"/>
          </w:rPr>
          <w:noBreakHyphen/>
          <w:t>19</w:t>
        </w:r>
        <w:r w:rsidR="00AC38C6">
          <w:rPr>
            <w:webHidden/>
          </w:rPr>
          <w:tab/>
        </w:r>
        <w:r w:rsidR="00AC38C6">
          <w:rPr>
            <w:webHidden/>
          </w:rPr>
          <w:fldChar w:fldCharType="begin"/>
        </w:r>
        <w:r w:rsidR="00AC38C6">
          <w:rPr>
            <w:webHidden/>
          </w:rPr>
          <w:instrText xml:space="preserve"> PAGEREF _Toc33521375 \h </w:instrText>
        </w:r>
        <w:r w:rsidR="00AC38C6">
          <w:rPr>
            <w:webHidden/>
          </w:rPr>
        </w:r>
        <w:r w:rsidR="00AC38C6">
          <w:rPr>
            <w:webHidden/>
          </w:rPr>
          <w:fldChar w:fldCharType="separate"/>
        </w:r>
        <w:r w:rsidR="00DC6915">
          <w:rPr>
            <w:webHidden/>
          </w:rPr>
          <w:t>48</w:t>
        </w:r>
        <w:r w:rsidR="00AC38C6">
          <w:rPr>
            <w:webHidden/>
          </w:rPr>
          <w:fldChar w:fldCharType="end"/>
        </w:r>
      </w:hyperlink>
    </w:p>
    <w:p w14:paraId="47C71243" w14:textId="67BA1AE9" w:rsidR="009B6781" w:rsidRPr="00A84283" w:rsidRDefault="00336D6D" w:rsidP="002E2EFE">
      <w:r>
        <w:fldChar w:fldCharType="end"/>
      </w:r>
    </w:p>
    <w:p w14:paraId="07CA5620" w14:textId="53B36DA6" w:rsidR="00A84283" w:rsidRDefault="00A84283" w:rsidP="007149D6">
      <w:pPr>
        <w:pStyle w:val="TOAHeading"/>
      </w:pPr>
      <w:bookmarkStart w:id="5" w:name="_Toc31303007"/>
      <w:r w:rsidRPr="00D02A55">
        <w:t>CASE STUDIES</w:t>
      </w:r>
      <w:bookmarkEnd w:id="5"/>
    </w:p>
    <w:p w14:paraId="11254A7B" w14:textId="4ADFC9BE" w:rsidR="00AC38C6" w:rsidRDefault="00060DB2">
      <w:pPr>
        <w:pStyle w:val="TOC2"/>
        <w:rPr>
          <w:rFonts w:asciiTheme="minorHAnsi" w:eastAsiaTheme="minorEastAsia" w:hAnsiTheme="minorHAnsi" w:cstheme="minorBidi"/>
          <w:color w:val="auto"/>
          <w:sz w:val="22"/>
          <w:szCs w:val="22"/>
        </w:rPr>
      </w:pPr>
      <w:r w:rsidRPr="005D2015">
        <w:fldChar w:fldCharType="begin"/>
      </w:r>
      <w:r w:rsidRPr="005D2015">
        <w:instrText xml:space="preserve"> TOC \h \z \t "Case Study Heading,2" </w:instrText>
      </w:r>
      <w:r w:rsidRPr="005D2015">
        <w:fldChar w:fldCharType="separate"/>
      </w:r>
      <w:hyperlink r:id="rId39" w:anchor="_Toc33521376" w:history="1">
        <w:r w:rsidR="00AC38C6" w:rsidRPr="0010178A">
          <w:rPr>
            <w:rStyle w:val="Hyperlink"/>
          </w:rPr>
          <w:t>Micro-X case study</w:t>
        </w:r>
        <w:r w:rsidR="00AC38C6">
          <w:rPr>
            <w:webHidden/>
          </w:rPr>
          <w:tab/>
        </w:r>
        <w:r w:rsidR="00AC38C6">
          <w:rPr>
            <w:webHidden/>
          </w:rPr>
          <w:fldChar w:fldCharType="begin"/>
        </w:r>
        <w:r w:rsidR="00AC38C6">
          <w:rPr>
            <w:webHidden/>
          </w:rPr>
          <w:instrText xml:space="preserve"> PAGEREF _Toc33521376 \h </w:instrText>
        </w:r>
        <w:r w:rsidR="00AC38C6">
          <w:rPr>
            <w:webHidden/>
          </w:rPr>
        </w:r>
        <w:r w:rsidR="00AC38C6">
          <w:rPr>
            <w:webHidden/>
          </w:rPr>
          <w:fldChar w:fldCharType="separate"/>
        </w:r>
        <w:r w:rsidR="00DC6915">
          <w:rPr>
            <w:webHidden/>
          </w:rPr>
          <w:t>12</w:t>
        </w:r>
        <w:r w:rsidR="00AC38C6">
          <w:rPr>
            <w:webHidden/>
          </w:rPr>
          <w:fldChar w:fldCharType="end"/>
        </w:r>
      </w:hyperlink>
    </w:p>
    <w:p w14:paraId="5EA71371" w14:textId="14DAFAEC" w:rsidR="00AC38C6" w:rsidRDefault="00970AF6">
      <w:pPr>
        <w:pStyle w:val="TOC2"/>
        <w:rPr>
          <w:rFonts w:asciiTheme="minorHAnsi" w:eastAsiaTheme="minorEastAsia" w:hAnsiTheme="minorHAnsi" w:cstheme="minorBidi"/>
          <w:color w:val="auto"/>
          <w:sz w:val="22"/>
          <w:szCs w:val="22"/>
        </w:rPr>
      </w:pPr>
      <w:hyperlink r:id="rId40" w:anchor="_Toc33521377" w:history="1">
        <w:r w:rsidR="00AC38C6" w:rsidRPr="0010178A">
          <w:rPr>
            <w:rStyle w:val="Hyperlink"/>
          </w:rPr>
          <w:t>DuluxGroup case study</w:t>
        </w:r>
        <w:r w:rsidR="00AC38C6">
          <w:rPr>
            <w:webHidden/>
          </w:rPr>
          <w:tab/>
        </w:r>
        <w:r w:rsidR="00AC38C6">
          <w:rPr>
            <w:webHidden/>
          </w:rPr>
          <w:fldChar w:fldCharType="begin"/>
        </w:r>
        <w:r w:rsidR="00AC38C6">
          <w:rPr>
            <w:webHidden/>
          </w:rPr>
          <w:instrText xml:space="preserve"> PAGEREF _Toc33521377 \h </w:instrText>
        </w:r>
        <w:r w:rsidR="00AC38C6">
          <w:rPr>
            <w:webHidden/>
          </w:rPr>
        </w:r>
        <w:r w:rsidR="00AC38C6">
          <w:rPr>
            <w:webHidden/>
          </w:rPr>
          <w:fldChar w:fldCharType="separate"/>
        </w:r>
        <w:r w:rsidR="00DC6915">
          <w:rPr>
            <w:webHidden/>
          </w:rPr>
          <w:t>25</w:t>
        </w:r>
        <w:r w:rsidR="00AC38C6">
          <w:rPr>
            <w:webHidden/>
          </w:rPr>
          <w:fldChar w:fldCharType="end"/>
        </w:r>
      </w:hyperlink>
    </w:p>
    <w:p w14:paraId="4AA1D02F" w14:textId="32687410" w:rsidR="00AC38C6" w:rsidRDefault="00970AF6">
      <w:pPr>
        <w:pStyle w:val="TOC2"/>
        <w:rPr>
          <w:rFonts w:asciiTheme="minorHAnsi" w:eastAsiaTheme="minorEastAsia" w:hAnsiTheme="minorHAnsi" w:cstheme="minorBidi"/>
          <w:color w:val="auto"/>
          <w:sz w:val="22"/>
          <w:szCs w:val="22"/>
        </w:rPr>
      </w:pPr>
      <w:hyperlink r:id="rId41" w:anchor="_Toc33521378" w:history="1">
        <w:r w:rsidR="00AC38C6" w:rsidRPr="0010178A">
          <w:rPr>
            <w:rStyle w:val="Hyperlink"/>
          </w:rPr>
          <w:t>Sirtex case study</w:t>
        </w:r>
        <w:r w:rsidR="00AC38C6">
          <w:rPr>
            <w:webHidden/>
          </w:rPr>
          <w:tab/>
        </w:r>
        <w:r w:rsidR="00AC38C6">
          <w:rPr>
            <w:webHidden/>
          </w:rPr>
          <w:fldChar w:fldCharType="begin"/>
        </w:r>
        <w:r w:rsidR="00AC38C6">
          <w:rPr>
            <w:webHidden/>
          </w:rPr>
          <w:instrText xml:space="preserve"> PAGEREF _Toc33521378 \h </w:instrText>
        </w:r>
        <w:r w:rsidR="00AC38C6">
          <w:rPr>
            <w:webHidden/>
          </w:rPr>
        </w:r>
        <w:r w:rsidR="00AC38C6">
          <w:rPr>
            <w:webHidden/>
          </w:rPr>
          <w:fldChar w:fldCharType="separate"/>
        </w:r>
        <w:r w:rsidR="00DC6915">
          <w:rPr>
            <w:webHidden/>
          </w:rPr>
          <w:t>28</w:t>
        </w:r>
        <w:r w:rsidR="00AC38C6">
          <w:rPr>
            <w:webHidden/>
          </w:rPr>
          <w:fldChar w:fldCharType="end"/>
        </w:r>
      </w:hyperlink>
    </w:p>
    <w:p w14:paraId="413CA796" w14:textId="752B172F" w:rsidR="00D02A55" w:rsidRPr="005D2015" w:rsidRDefault="00060DB2" w:rsidP="00D02A55">
      <w:pPr>
        <w:rPr>
          <w:color w:val="auto"/>
        </w:rPr>
      </w:pPr>
      <w:r w:rsidRPr="005D2015">
        <w:fldChar w:fldCharType="end"/>
      </w:r>
    </w:p>
    <w:p w14:paraId="7C64C147" w14:textId="77777777" w:rsidR="00A84283" w:rsidRPr="00A84283" w:rsidRDefault="00A84283" w:rsidP="001C7EE6">
      <w:pPr>
        <w:pStyle w:val="Circletext"/>
      </w:pPr>
    </w:p>
    <w:p w14:paraId="418D9458" w14:textId="77777777" w:rsidR="00F6633B" w:rsidRDefault="00F6633B" w:rsidP="00D70C5D">
      <w:pPr>
        <w:pStyle w:val="Heading1"/>
        <w:sectPr w:rsidR="00F6633B" w:rsidSect="006F0D93">
          <w:footerReference w:type="even" r:id="rId42"/>
          <w:footerReference w:type="default" r:id="rId43"/>
          <w:headerReference w:type="first" r:id="rId44"/>
          <w:pgSz w:w="11906" w:h="16838" w:code="9"/>
          <w:pgMar w:top="2466" w:right="2098" w:bottom="2466" w:left="2098" w:header="1899" w:footer="1899" w:gutter="0"/>
          <w:pgNumType w:fmt="lowerRoman"/>
          <w:cols w:space="708"/>
          <w:titlePg/>
          <w:docGrid w:linePitch="360"/>
        </w:sectPr>
      </w:pPr>
      <w:bookmarkStart w:id="6" w:name="_Toc31296890"/>
      <w:bookmarkStart w:id="7" w:name="_Toc31636008"/>
      <w:bookmarkStart w:id="8" w:name="_Toc31642777"/>
    </w:p>
    <w:p w14:paraId="016B8A33" w14:textId="0E3F27D8" w:rsidR="00A84283" w:rsidRPr="00D70C5D" w:rsidRDefault="00A84283" w:rsidP="007149D6">
      <w:pPr>
        <w:pStyle w:val="Heading1"/>
      </w:pPr>
      <w:bookmarkStart w:id="9" w:name="_Toc32247786"/>
      <w:bookmarkStart w:id="10" w:name="_Toc33625834"/>
      <w:r w:rsidRPr="00D70C5D">
        <w:lastRenderedPageBreak/>
        <w:t>EXECUTIVE SUMMARY</w:t>
      </w:r>
      <w:bookmarkEnd w:id="6"/>
      <w:bookmarkEnd w:id="7"/>
      <w:bookmarkEnd w:id="8"/>
      <w:bookmarkEnd w:id="9"/>
      <w:bookmarkEnd w:id="10"/>
      <w:r w:rsidRPr="00D70C5D">
        <w:t xml:space="preserve"> </w:t>
      </w:r>
    </w:p>
    <w:p w14:paraId="2A6D1131" w14:textId="7256B2D7" w:rsidR="000C378E" w:rsidRDefault="000C378E" w:rsidP="002E2EFE">
      <w:pPr>
        <w:pStyle w:val="Bullet"/>
      </w:pPr>
      <w:r>
        <w:t xml:space="preserve">Data in this report reflects </w:t>
      </w:r>
      <w:r w:rsidR="00B77BD8">
        <w:t>proposed foreign investment</w:t>
      </w:r>
      <w:r>
        <w:t xml:space="preserve"> </w:t>
      </w:r>
      <w:r w:rsidR="00B77BD8">
        <w:t xml:space="preserve">in </w:t>
      </w:r>
      <w:r>
        <w:t>2018-19</w:t>
      </w:r>
      <w:r w:rsidR="00B77BD8">
        <w:t>, thereby providing information regarding flows of proposed investment into Australia in the period</w:t>
      </w:r>
      <w:r>
        <w:t>.</w:t>
      </w:r>
    </w:p>
    <w:p w14:paraId="6C4550AA" w14:textId="74E904E1" w:rsidR="00962532" w:rsidRPr="002E2EFE" w:rsidRDefault="0042120A" w:rsidP="002E2EFE">
      <w:pPr>
        <w:pStyle w:val="Bullet"/>
      </w:pPr>
      <w:r w:rsidRPr="002E2EFE">
        <w:t>In 2018</w:t>
      </w:r>
      <w:r>
        <w:noBreakHyphen/>
      </w:r>
      <w:r w:rsidR="00613775">
        <w:t>19</w:t>
      </w:r>
      <w:r w:rsidR="001703ED" w:rsidRPr="002E2EFE">
        <w:t xml:space="preserve">, </w:t>
      </w:r>
      <w:r w:rsidR="008D55D0" w:rsidRPr="002E2EFE">
        <w:t>Australia remain</w:t>
      </w:r>
      <w:r w:rsidR="001703ED" w:rsidRPr="002E2EFE">
        <w:t>ed</w:t>
      </w:r>
      <w:r w:rsidR="008D55D0" w:rsidRPr="002E2EFE">
        <w:t xml:space="preserve"> an attractive destination for foreign direct investment</w:t>
      </w:r>
      <w:r w:rsidR="00A37DBA">
        <w:t xml:space="preserve"> (FDI)</w:t>
      </w:r>
      <w:r w:rsidR="00962532" w:rsidRPr="002E2EFE">
        <w:t>.</w:t>
      </w:r>
    </w:p>
    <w:p w14:paraId="29AA0BB9" w14:textId="2FD3C58B" w:rsidR="00DA3966" w:rsidRPr="002E2EFE" w:rsidRDefault="0042120A" w:rsidP="002E2EFE">
      <w:pPr>
        <w:pStyle w:val="Bullet"/>
      </w:pPr>
      <w:r>
        <w:t>T</w:t>
      </w:r>
      <w:r w:rsidR="001703ED" w:rsidRPr="002E2EFE">
        <w:t xml:space="preserve">he combined approved investment value increased by </w:t>
      </w:r>
      <w:r w:rsidR="00AF2603" w:rsidRPr="0051010F">
        <w:t>$67.9</w:t>
      </w:r>
      <w:r w:rsidR="001703ED" w:rsidRPr="0051010F">
        <w:t> billion to $231.0 billion.</w:t>
      </w:r>
      <w:r w:rsidR="001703ED" w:rsidRPr="002E2EFE">
        <w:t xml:space="preserve"> </w:t>
      </w:r>
      <w:r w:rsidR="00DA3966" w:rsidRPr="002E2EFE">
        <w:t>This was driven by an increase in the number of approvals valued at $2</w:t>
      </w:r>
      <w:r w:rsidR="00FB4AE9">
        <w:t> </w:t>
      </w:r>
      <w:r w:rsidR="00DA3966" w:rsidRPr="002E2EFE">
        <w:t xml:space="preserve">billion or more from </w:t>
      </w:r>
      <w:r w:rsidR="00FB4AE9">
        <w:t>two</w:t>
      </w:r>
      <w:r w:rsidR="00DA3966" w:rsidRPr="002E2EFE">
        <w:t xml:space="preserve"> in 2017</w:t>
      </w:r>
      <w:r w:rsidR="00FB4AE9">
        <w:noBreakHyphen/>
      </w:r>
      <w:r w:rsidR="00DA3966" w:rsidRPr="002E2EFE">
        <w:t>18 to 23</w:t>
      </w:r>
      <w:r w:rsidR="009748D3" w:rsidRPr="002E2EFE">
        <w:t xml:space="preserve"> in the current reporting period</w:t>
      </w:r>
      <w:r w:rsidR="00DA3966" w:rsidRPr="002E2EFE">
        <w:t xml:space="preserve">. </w:t>
      </w:r>
      <w:r w:rsidR="006C2BB5">
        <w:t>This included a $16.6 </w:t>
      </w:r>
      <w:r w:rsidR="00D8583C">
        <w:t>billion corporate restructure, representing almost 25</w:t>
      </w:r>
      <w:r w:rsidR="006C2BB5">
        <w:t> per </w:t>
      </w:r>
      <w:r w:rsidR="00D8583C">
        <w:t>cent of the overall increase in the value of approved</w:t>
      </w:r>
      <w:r w:rsidR="00367CF0">
        <w:t> </w:t>
      </w:r>
      <w:r w:rsidR="00D8583C">
        <w:t xml:space="preserve">investment. </w:t>
      </w:r>
    </w:p>
    <w:p w14:paraId="39135E57" w14:textId="46B2D543" w:rsidR="00042486" w:rsidRPr="002E2EFE" w:rsidDel="00392B0F" w:rsidRDefault="009748D3" w:rsidP="002E2EFE">
      <w:pPr>
        <w:pStyle w:val="Bullet"/>
      </w:pPr>
      <w:r w:rsidRPr="002E2EFE">
        <w:t>Accompanying the increase in value</w:t>
      </w:r>
      <w:r w:rsidR="001703ED" w:rsidRPr="002E2EFE">
        <w:t xml:space="preserve">, however, </w:t>
      </w:r>
      <w:r w:rsidRPr="002E2EFE">
        <w:t xml:space="preserve">was </w:t>
      </w:r>
      <w:r w:rsidR="00042486" w:rsidRPr="002E2EFE">
        <w:t xml:space="preserve">a </w:t>
      </w:r>
      <w:r w:rsidR="0087166C" w:rsidRPr="002E2EFE">
        <w:t xml:space="preserve">decline </w:t>
      </w:r>
      <w:r w:rsidR="00042486" w:rsidRPr="002E2EFE">
        <w:t xml:space="preserve">in the number of proposed transactions approved by </w:t>
      </w:r>
      <w:r w:rsidR="0087166C" w:rsidRPr="002E2EFE">
        <w:t>almost 2,500</w:t>
      </w:r>
      <w:r w:rsidR="00395B56" w:rsidRPr="002E2EFE">
        <w:t xml:space="preserve"> </w:t>
      </w:r>
      <w:r w:rsidR="0087166C" w:rsidRPr="002E2EFE">
        <w:t xml:space="preserve">compared with </w:t>
      </w:r>
      <w:r w:rsidR="00042486" w:rsidRPr="002E2EFE">
        <w:t>the previous year</w:t>
      </w:r>
      <w:r w:rsidR="00395B56" w:rsidRPr="002E2EFE">
        <w:t>.</w:t>
      </w:r>
      <w:r w:rsidR="00042486" w:rsidRPr="002E2EFE">
        <w:t xml:space="preserve"> This drop is </w:t>
      </w:r>
      <w:r w:rsidR="00180F61">
        <w:t xml:space="preserve">predominately </w:t>
      </w:r>
      <w:r w:rsidR="00042486" w:rsidRPr="002E2EFE">
        <w:t xml:space="preserve">the result of a </w:t>
      </w:r>
      <w:r w:rsidRPr="002E2EFE">
        <w:t xml:space="preserve">fall </w:t>
      </w:r>
      <w:r w:rsidR="00042486" w:rsidRPr="002E2EFE">
        <w:t xml:space="preserve">in the number of </w:t>
      </w:r>
      <w:r w:rsidR="001A5FCA">
        <w:t xml:space="preserve">approved </w:t>
      </w:r>
      <w:r w:rsidR="00042486" w:rsidRPr="002E2EFE">
        <w:t>residential real estate applications.</w:t>
      </w:r>
      <w:r w:rsidR="006F758B" w:rsidRPr="002E2EFE">
        <w:t xml:space="preserve"> </w:t>
      </w:r>
    </w:p>
    <w:p w14:paraId="24800C6C" w14:textId="17F709F9" w:rsidR="00A84283" w:rsidRPr="002E2EFE" w:rsidRDefault="00201A0D" w:rsidP="002E2EFE">
      <w:pPr>
        <w:pStyle w:val="Bullet"/>
      </w:pPr>
      <w:r w:rsidRPr="002E2EFE">
        <w:t xml:space="preserve">Outside of residential </w:t>
      </w:r>
      <w:r w:rsidR="00A46DD1" w:rsidRPr="002E2EFE">
        <w:t>real estate</w:t>
      </w:r>
      <w:r w:rsidRPr="002E2EFE">
        <w:t>, a</w:t>
      </w:r>
      <w:r w:rsidR="00A84283" w:rsidRPr="002E2EFE">
        <w:t xml:space="preserve"> total of </w:t>
      </w:r>
      <w:r w:rsidR="000E54D0" w:rsidRPr="002E2EFE">
        <w:t>1,175</w:t>
      </w:r>
      <w:r w:rsidR="00A84283" w:rsidRPr="002E2EFE">
        <w:t xml:space="preserve"> business applications worth $</w:t>
      </w:r>
      <w:r w:rsidR="000E54D0" w:rsidRPr="002E2EFE">
        <w:t>216.</w:t>
      </w:r>
      <w:r w:rsidR="009407BC">
        <w:t>2</w:t>
      </w:r>
      <w:r w:rsidR="000D01EC">
        <w:t> </w:t>
      </w:r>
      <w:r w:rsidR="00A84283" w:rsidRPr="002E2EFE">
        <w:t>billion were approved in 201</w:t>
      </w:r>
      <w:r w:rsidR="00E0203E" w:rsidRPr="002E2EFE">
        <w:t>8</w:t>
      </w:r>
      <w:r w:rsidR="000D01EC">
        <w:noBreakHyphen/>
      </w:r>
      <w:r w:rsidR="00A84283" w:rsidRPr="002E2EFE">
        <w:t>1</w:t>
      </w:r>
      <w:r w:rsidR="00E0203E" w:rsidRPr="002E2EFE">
        <w:t>9</w:t>
      </w:r>
      <w:r w:rsidR="00AA14B6">
        <w:t xml:space="preserve">, as compared </w:t>
      </w:r>
      <w:r w:rsidR="00EF44B4" w:rsidRPr="002E2EFE">
        <w:t xml:space="preserve">to the </w:t>
      </w:r>
      <w:r w:rsidR="00FD2B61" w:rsidRPr="002E2EFE">
        <w:t xml:space="preserve">1,024 </w:t>
      </w:r>
      <w:r w:rsidR="00D5192D" w:rsidRPr="002E2EFE">
        <w:t xml:space="preserve">business </w:t>
      </w:r>
      <w:r w:rsidR="00FD2B61" w:rsidRPr="002E2EFE">
        <w:t>approvals worth $150.6</w:t>
      </w:r>
      <w:r w:rsidR="000D01EC">
        <w:t> </w:t>
      </w:r>
      <w:r w:rsidR="00FD2B61" w:rsidRPr="002E2EFE">
        <w:t>billion</w:t>
      </w:r>
      <w:r w:rsidR="005167DC" w:rsidRPr="002E2EFE">
        <w:t xml:space="preserve"> of proposed investment</w:t>
      </w:r>
      <w:r w:rsidR="00D5192D" w:rsidRPr="002E2EFE">
        <w:t xml:space="preserve"> in 2017</w:t>
      </w:r>
      <w:r w:rsidR="000D01EC">
        <w:noBreakHyphen/>
      </w:r>
      <w:r w:rsidR="00D5192D" w:rsidRPr="002E2EFE">
        <w:t>18</w:t>
      </w:r>
      <w:r w:rsidR="00FD2B61" w:rsidRPr="002E2EFE">
        <w:t xml:space="preserve">. </w:t>
      </w:r>
      <w:r w:rsidR="0042120A">
        <w:t>Proposed business investment is now at its highest level since 2015-16.</w:t>
      </w:r>
    </w:p>
    <w:p w14:paraId="5810ABAE" w14:textId="4CFF89D4" w:rsidR="00814BF6" w:rsidRPr="002E2EFE" w:rsidRDefault="00180F61" w:rsidP="002E2EFE">
      <w:pPr>
        <w:pStyle w:val="Bullet"/>
      </w:pPr>
      <w:r>
        <w:t>As in 2017-18, t</w:t>
      </w:r>
      <w:r w:rsidR="009748D3" w:rsidRPr="002E2EFE">
        <w:t xml:space="preserve">he </w:t>
      </w:r>
      <w:r w:rsidR="0085431C" w:rsidRPr="002E2EFE">
        <w:t xml:space="preserve">United States </w:t>
      </w:r>
      <w:r>
        <w:t>is</w:t>
      </w:r>
      <w:r w:rsidRPr="002E2EFE">
        <w:t xml:space="preserve"> </w:t>
      </w:r>
      <w:r w:rsidR="0085431C" w:rsidRPr="002E2EFE">
        <w:t xml:space="preserve">the </w:t>
      </w:r>
      <w:r w:rsidR="00A84283" w:rsidRPr="002E2EFE">
        <w:t xml:space="preserve">largest source country for approved proposed investment </w:t>
      </w:r>
      <w:r w:rsidR="00AA14B6">
        <w:t>by value</w:t>
      </w:r>
      <w:r w:rsidR="0085431C" w:rsidRPr="002E2EFE">
        <w:t xml:space="preserve">, </w:t>
      </w:r>
      <w:r w:rsidR="00814BF6" w:rsidRPr="002E2EFE">
        <w:t>followed by Canada, Singapore, Japan and China.</w:t>
      </w:r>
    </w:p>
    <w:p w14:paraId="5F694FF1" w14:textId="7ACEF8A7" w:rsidR="00A84283" w:rsidRPr="002E2EFE" w:rsidRDefault="00624EC3" w:rsidP="002E2EFE">
      <w:pPr>
        <w:pStyle w:val="Bullet"/>
      </w:pPr>
      <w:r w:rsidRPr="002E2EFE">
        <w:t xml:space="preserve">For </w:t>
      </w:r>
      <w:r w:rsidR="00814BF6" w:rsidRPr="002E2EFE">
        <w:t>the United States</w:t>
      </w:r>
      <w:r w:rsidRPr="002E2EFE">
        <w:t>,</w:t>
      </w:r>
      <w:r w:rsidR="00814BF6" w:rsidRPr="002E2EFE">
        <w:t xml:space="preserve"> </w:t>
      </w:r>
      <w:r w:rsidR="0085431C" w:rsidRPr="002E2EFE">
        <w:t>the value of approvals</w:t>
      </w:r>
      <w:r w:rsidR="00CF05C3" w:rsidRPr="002E2EFE">
        <w:t xml:space="preserve"> </w:t>
      </w:r>
      <w:r w:rsidR="00814BF6" w:rsidRPr="002E2EFE">
        <w:t>ro</w:t>
      </w:r>
      <w:r w:rsidR="00C633CC" w:rsidRPr="002E2EFE">
        <w:t>se</w:t>
      </w:r>
      <w:r w:rsidR="0085431C" w:rsidRPr="002E2EFE">
        <w:t xml:space="preserve"> </w:t>
      </w:r>
      <w:r w:rsidR="00A84283" w:rsidRPr="002E2EFE">
        <w:t>from $</w:t>
      </w:r>
      <w:r w:rsidR="00CF05C3" w:rsidRPr="002E2EFE">
        <w:t>3</w:t>
      </w:r>
      <w:r w:rsidR="00A84283" w:rsidRPr="002E2EFE">
        <w:t>6.5</w:t>
      </w:r>
      <w:r w:rsidR="000D01EC">
        <w:t> </w:t>
      </w:r>
      <w:r w:rsidR="00A84283" w:rsidRPr="002E2EFE">
        <w:t>billion in 201</w:t>
      </w:r>
      <w:r w:rsidR="00CF05C3" w:rsidRPr="002E2EFE">
        <w:t>7</w:t>
      </w:r>
      <w:r w:rsidR="000D01EC">
        <w:noBreakHyphen/>
      </w:r>
      <w:r w:rsidR="00A84283" w:rsidRPr="002E2EFE">
        <w:t>1</w:t>
      </w:r>
      <w:r w:rsidR="00CF05C3" w:rsidRPr="002E2EFE">
        <w:t>8</w:t>
      </w:r>
      <w:r w:rsidR="00A84283" w:rsidRPr="002E2EFE">
        <w:t xml:space="preserve"> to $5</w:t>
      </w:r>
      <w:r w:rsidR="0085431C" w:rsidRPr="002E2EFE">
        <w:t>8.2</w:t>
      </w:r>
      <w:r w:rsidR="000D01EC">
        <w:t> </w:t>
      </w:r>
      <w:r w:rsidR="00A84283" w:rsidRPr="002E2EFE">
        <w:t xml:space="preserve">billion. </w:t>
      </w:r>
      <w:r w:rsidR="00EF2CF5" w:rsidRPr="002E2EFE">
        <w:t>While</w:t>
      </w:r>
      <w:r w:rsidR="00370B41" w:rsidRPr="002E2EFE">
        <w:t xml:space="preserve"> investment in finance and insurance, manufacturing, electricity and gas and </w:t>
      </w:r>
      <w:r w:rsidR="00ED7594" w:rsidRPr="002E2EFE">
        <w:t>mineral exploration and development</w:t>
      </w:r>
      <w:r w:rsidR="005273E2" w:rsidRPr="002E2EFE">
        <w:t xml:space="preserve"> fell</w:t>
      </w:r>
      <w:r w:rsidR="00CF05C3" w:rsidRPr="002E2EFE">
        <w:t xml:space="preserve">, </w:t>
      </w:r>
      <w:r w:rsidRPr="002E2EFE">
        <w:t xml:space="preserve">this was </w:t>
      </w:r>
      <w:r w:rsidR="00ED7594" w:rsidRPr="002E2EFE">
        <w:t xml:space="preserve">offset by strong growth in the </w:t>
      </w:r>
      <w:r w:rsidR="0085431C" w:rsidRPr="002E2EFE">
        <w:t>services and real estate</w:t>
      </w:r>
      <w:r w:rsidR="00ED7594" w:rsidRPr="002E2EFE">
        <w:t xml:space="preserve"> </w:t>
      </w:r>
      <w:r w:rsidR="00BD1666">
        <w:t xml:space="preserve">(commercial and residential) </w:t>
      </w:r>
      <w:r w:rsidR="00ED7594" w:rsidRPr="002E2EFE">
        <w:t>sector</w:t>
      </w:r>
      <w:r w:rsidR="008D1405" w:rsidRPr="002E2EFE">
        <w:t>s</w:t>
      </w:r>
      <w:r w:rsidR="00ED7594" w:rsidRPr="002E2EFE">
        <w:t xml:space="preserve">, </w:t>
      </w:r>
      <w:r w:rsidR="00CF05C3" w:rsidRPr="002E2EFE">
        <w:t xml:space="preserve">and </w:t>
      </w:r>
      <w:r w:rsidR="00ED7594" w:rsidRPr="002E2EFE">
        <w:t xml:space="preserve">to a lesser </w:t>
      </w:r>
      <w:r w:rsidR="00CF05C3" w:rsidRPr="002E2EFE">
        <w:t xml:space="preserve">degree </w:t>
      </w:r>
      <w:r w:rsidR="00ED7594" w:rsidRPr="002E2EFE">
        <w:t>in the agriculture, fishing and forestry sector</w:t>
      </w:r>
      <w:r w:rsidR="0085431C" w:rsidRPr="002E2EFE">
        <w:t>.</w:t>
      </w:r>
      <w:r w:rsidR="00ED7594" w:rsidRPr="002E2EFE">
        <w:t xml:space="preserve"> </w:t>
      </w:r>
      <w:r w:rsidR="002B138A">
        <w:t>Much of the</w:t>
      </w:r>
      <w:r w:rsidR="00EF44B4" w:rsidRPr="002E2EFE">
        <w:t xml:space="preserve"> increase in the value of investment from the United States </w:t>
      </w:r>
      <w:r w:rsidR="00A46DD1" w:rsidRPr="002E2EFE">
        <w:t xml:space="preserve">can be attributed </w:t>
      </w:r>
      <w:r w:rsidR="00B227A2" w:rsidRPr="002E2EFE">
        <w:t xml:space="preserve">to </w:t>
      </w:r>
      <w:r w:rsidR="00DD0C87" w:rsidRPr="002E2EFE">
        <w:t>Walt Disney Company</w:t>
      </w:r>
      <w:r w:rsidR="004631C6" w:rsidRPr="002E2EFE">
        <w:t>’s acquisition</w:t>
      </w:r>
      <w:r w:rsidR="00DD0C87" w:rsidRPr="002E2EFE">
        <w:t xml:space="preserve"> of Twenty-First </w:t>
      </w:r>
      <w:r w:rsidR="00EF44B4" w:rsidRPr="002E2EFE">
        <w:t>C</w:t>
      </w:r>
      <w:r w:rsidR="00DD0C87" w:rsidRPr="002E2EFE">
        <w:t>entury Fox Inc</w:t>
      </w:r>
      <w:r w:rsidR="00EF44B4" w:rsidRPr="002E2EFE">
        <w:t>.</w:t>
      </w:r>
    </w:p>
    <w:p w14:paraId="2D35BD04" w14:textId="1A39333B" w:rsidR="00372B1A" w:rsidRPr="002E2EFE" w:rsidRDefault="00CC03E0" w:rsidP="002E2EFE">
      <w:pPr>
        <w:pStyle w:val="Bullet"/>
      </w:pPr>
      <w:r w:rsidRPr="002E2EFE">
        <w:t>Canadian investors increas</w:t>
      </w:r>
      <w:r w:rsidR="006E6DB0" w:rsidRPr="002E2EFE">
        <w:t>ed</w:t>
      </w:r>
      <w:r w:rsidRPr="002E2EFE">
        <w:t xml:space="preserve"> their total </w:t>
      </w:r>
      <w:r w:rsidR="002E7808" w:rsidRPr="002E2EFE">
        <w:t xml:space="preserve">approved </w:t>
      </w:r>
      <w:r w:rsidR="00B261F1" w:rsidRPr="002E2EFE">
        <w:t xml:space="preserve">proposed </w:t>
      </w:r>
      <w:r w:rsidRPr="002E2EFE">
        <w:t xml:space="preserve">investment </w:t>
      </w:r>
      <w:r w:rsidR="00EF44B4" w:rsidRPr="002E2EFE">
        <w:t>in 2018</w:t>
      </w:r>
      <w:r w:rsidR="000D01EC">
        <w:noBreakHyphen/>
      </w:r>
      <w:r w:rsidR="00EF44B4" w:rsidRPr="002E2EFE">
        <w:t xml:space="preserve">19 </w:t>
      </w:r>
      <w:r w:rsidRPr="002E2EFE">
        <w:t>by</w:t>
      </w:r>
      <w:r w:rsidR="00376F5B" w:rsidRPr="002E2EFE">
        <w:t xml:space="preserve"> nearly</w:t>
      </w:r>
      <w:r w:rsidRPr="002E2EFE">
        <w:t xml:space="preserve"> $1</w:t>
      </w:r>
      <w:r w:rsidR="00376F5B" w:rsidRPr="002E2EFE">
        <w:t>5</w:t>
      </w:r>
      <w:r w:rsidR="000D01EC">
        <w:t> </w:t>
      </w:r>
      <w:r w:rsidRPr="002E2EFE">
        <w:t>billion</w:t>
      </w:r>
      <w:r w:rsidR="00EF44B4" w:rsidRPr="002E2EFE">
        <w:t xml:space="preserve">. </w:t>
      </w:r>
      <w:r w:rsidR="008D1405" w:rsidRPr="002E2EFE">
        <w:t>As t</w:t>
      </w:r>
      <w:r w:rsidR="004D634A" w:rsidRPr="002E2EFE">
        <w:t>he</w:t>
      </w:r>
      <w:r w:rsidR="0014763E" w:rsidRPr="002E2EFE">
        <w:t xml:space="preserve"> number of approvals </w:t>
      </w:r>
      <w:r w:rsidR="00844DDE" w:rsidRPr="002E2EFE">
        <w:t xml:space="preserve">from Canadian investors </w:t>
      </w:r>
      <w:r w:rsidR="0014763E" w:rsidRPr="002E2EFE">
        <w:t>remained relatively constant in 201</w:t>
      </w:r>
      <w:r w:rsidR="004D634A" w:rsidRPr="002E2EFE">
        <w:t>8</w:t>
      </w:r>
      <w:r w:rsidR="000D01EC">
        <w:noBreakHyphen/>
      </w:r>
      <w:r w:rsidR="004D634A" w:rsidRPr="002E2EFE">
        <w:t>19</w:t>
      </w:r>
      <w:r w:rsidR="006416F8" w:rsidRPr="002E2EFE">
        <w:t xml:space="preserve">, Canada’s </w:t>
      </w:r>
      <w:r w:rsidR="0040790E" w:rsidRPr="002E2EFE">
        <w:t xml:space="preserve">lift in the rankings is the result of </w:t>
      </w:r>
      <w:r w:rsidR="0014763E" w:rsidRPr="002E2EFE">
        <w:t xml:space="preserve">increases </w:t>
      </w:r>
      <w:r w:rsidR="004D634A" w:rsidRPr="002E2EFE">
        <w:t xml:space="preserve">in </w:t>
      </w:r>
      <w:r w:rsidR="0040790E" w:rsidRPr="002E2EFE">
        <w:t xml:space="preserve">transaction </w:t>
      </w:r>
      <w:r w:rsidR="004D634A" w:rsidRPr="002E2EFE">
        <w:t>values</w:t>
      </w:r>
      <w:r w:rsidR="00844DDE" w:rsidRPr="002E2EFE">
        <w:t xml:space="preserve"> </w:t>
      </w:r>
      <w:r w:rsidR="0040790E" w:rsidRPr="002E2EFE">
        <w:t xml:space="preserve">in a number of </w:t>
      </w:r>
      <w:r w:rsidR="008D1405" w:rsidRPr="002E2EFE">
        <w:t>sectors</w:t>
      </w:r>
      <w:r w:rsidR="00844DDE" w:rsidRPr="002E2EFE">
        <w:t xml:space="preserve"> (</w:t>
      </w:r>
      <w:r w:rsidR="00AF2603">
        <w:t xml:space="preserve">commercial </w:t>
      </w:r>
      <w:r w:rsidR="004D634A" w:rsidRPr="002E2EFE">
        <w:t>real estate</w:t>
      </w:r>
      <w:r w:rsidR="001D47EF" w:rsidRPr="002E2EFE">
        <w:t xml:space="preserve">, </w:t>
      </w:r>
      <w:r w:rsidR="004D634A" w:rsidRPr="002E2EFE">
        <w:t>services</w:t>
      </w:r>
      <w:r w:rsidR="001D47EF" w:rsidRPr="002E2EFE">
        <w:t xml:space="preserve"> and</w:t>
      </w:r>
      <w:r w:rsidR="004D634A" w:rsidRPr="002E2EFE">
        <w:t xml:space="preserve"> </w:t>
      </w:r>
      <w:r w:rsidR="00844DDE" w:rsidRPr="002E2EFE">
        <w:t>mineral</w:t>
      </w:r>
      <w:r w:rsidR="004D634A" w:rsidRPr="002E2EFE">
        <w:t xml:space="preserve"> exploration and development</w:t>
      </w:r>
      <w:r w:rsidR="00844DDE" w:rsidRPr="002E2EFE">
        <w:t>)</w:t>
      </w:r>
      <w:r w:rsidR="0014763E" w:rsidRPr="002E2EFE">
        <w:t>.</w:t>
      </w:r>
      <w:r w:rsidR="006416F8" w:rsidRPr="002E2EFE">
        <w:t xml:space="preserve"> </w:t>
      </w:r>
    </w:p>
    <w:p w14:paraId="759DCB9A" w14:textId="49999FFF" w:rsidR="0014763E" w:rsidRPr="00BD1666" w:rsidRDefault="004B5A52" w:rsidP="002E2EFE">
      <w:pPr>
        <w:pStyle w:val="Bullet"/>
      </w:pPr>
      <w:r w:rsidRPr="00BD1666">
        <w:t xml:space="preserve">Over the period, </w:t>
      </w:r>
      <w:r w:rsidR="0040790E" w:rsidRPr="00BD1666">
        <w:t xml:space="preserve">there was </w:t>
      </w:r>
      <w:r w:rsidR="00871FE7" w:rsidRPr="00BD1666">
        <w:t xml:space="preserve">a </w:t>
      </w:r>
      <w:r w:rsidR="00376F5B" w:rsidRPr="00BD1666">
        <w:t xml:space="preserve">continued </w:t>
      </w:r>
      <w:r w:rsidR="00871FE7" w:rsidRPr="00BD1666">
        <w:t xml:space="preserve">decline in </w:t>
      </w:r>
      <w:r w:rsidR="00B261F1" w:rsidRPr="00BD1666">
        <w:t xml:space="preserve">approved </w:t>
      </w:r>
      <w:r w:rsidR="002E7808" w:rsidRPr="00BD1666">
        <w:t xml:space="preserve">proposed investment </w:t>
      </w:r>
      <w:r w:rsidR="00970611" w:rsidRPr="00BD1666">
        <w:t xml:space="preserve">by </w:t>
      </w:r>
      <w:r w:rsidR="00871FE7" w:rsidRPr="00BD1666">
        <w:t>both number and value</w:t>
      </w:r>
      <w:r w:rsidR="002E7808" w:rsidRPr="00BD1666">
        <w:t xml:space="preserve"> from China</w:t>
      </w:r>
      <w:r w:rsidR="00871FE7" w:rsidRPr="00BD1666">
        <w:t xml:space="preserve">, </w:t>
      </w:r>
      <w:r w:rsidR="00970611" w:rsidRPr="00BD1666">
        <w:t xml:space="preserve">moving </w:t>
      </w:r>
      <w:r w:rsidR="002E7808" w:rsidRPr="00BD1666">
        <w:t>it</w:t>
      </w:r>
      <w:r w:rsidR="00871FE7" w:rsidRPr="00BD1666">
        <w:t xml:space="preserve"> to </w:t>
      </w:r>
      <w:r w:rsidR="008C7C1B" w:rsidRPr="00BD1666">
        <w:t xml:space="preserve">the </w:t>
      </w:r>
      <w:r w:rsidR="00871FE7" w:rsidRPr="00BD1666">
        <w:t xml:space="preserve">fifth </w:t>
      </w:r>
      <w:r w:rsidR="00EF2CF5" w:rsidRPr="00BD1666">
        <w:t>largest source country</w:t>
      </w:r>
      <w:r w:rsidR="00B261F1" w:rsidRPr="00BD1666">
        <w:t xml:space="preserve"> by value</w:t>
      </w:r>
      <w:r w:rsidR="00C134D0" w:rsidRPr="00BD1666">
        <w:t xml:space="preserve">. </w:t>
      </w:r>
      <w:r w:rsidR="00BF5D03" w:rsidRPr="00BD1666">
        <w:t>T</w:t>
      </w:r>
      <w:r w:rsidR="004D634A" w:rsidRPr="00BD1666">
        <w:t xml:space="preserve">he number of approvals </w:t>
      </w:r>
      <w:r w:rsidR="00844DDE" w:rsidRPr="00BD1666">
        <w:t>decreased by 1,915</w:t>
      </w:r>
      <w:r w:rsidR="00372B1A" w:rsidRPr="00BD1666">
        <w:t>,</w:t>
      </w:r>
      <w:r w:rsidR="00674970" w:rsidRPr="00BD1666">
        <w:t xml:space="preserve"> </w:t>
      </w:r>
      <w:r w:rsidR="001D47CC" w:rsidRPr="00BD1666">
        <w:t xml:space="preserve">accompanied by </w:t>
      </w:r>
      <w:r w:rsidR="00871FE7" w:rsidRPr="00BD1666">
        <w:t>falls in values across all</w:t>
      </w:r>
      <w:r w:rsidR="0014763E" w:rsidRPr="00BD1666">
        <w:t xml:space="preserve"> sectors</w:t>
      </w:r>
      <w:r w:rsidR="00C134D0" w:rsidRPr="00BD1666">
        <w:t xml:space="preserve">. </w:t>
      </w:r>
      <w:r w:rsidR="00B261F1" w:rsidRPr="00BD1666">
        <w:t>Since</w:t>
      </w:r>
      <w:r w:rsidR="00EE11D2" w:rsidRPr="00BD1666">
        <w:t xml:space="preserve"> </w:t>
      </w:r>
      <w:r w:rsidR="00BF5D03" w:rsidRPr="00BD1666">
        <w:t>2015</w:t>
      </w:r>
      <w:r w:rsidR="000D01EC" w:rsidRPr="00BD1666">
        <w:noBreakHyphen/>
      </w:r>
      <w:r w:rsidR="00BF5D03" w:rsidRPr="00BD1666">
        <w:t>16</w:t>
      </w:r>
      <w:r w:rsidR="00E72C2A" w:rsidRPr="00BD1666">
        <w:t xml:space="preserve">, </w:t>
      </w:r>
      <w:r w:rsidR="00970611" w:rsidRPr="00BD1666">
        <w:t xml:space="preserve">Chinese proposed investment into Australia has shown a downward trend, due to </w:t>
      </w:r>
      <w:r w:rsidR="00F606B1">
        <w:t>a range of factors including China’s</w:t>
      </w:r>
      <w:r w:rsidR="00970611" w:rsidRPr="00BD1666">
        <w:t xml:space="preserve"> domestic policy settings that have increased </w:t>
      </w:r>
      <w:r w:rsidR="00970611" w:rsidRPr="00BD1666">
        <w:lastRenderedPageBreak/>
        <w:t>scrutiny over ou</w:t>
      </w:r>
      <w:r w:rsidR="00A37DBA" w:rsidRPr="00BD1666">
        <w:t xml:space="preserve">tbound </w:t>
      </w:r>
      <w:r w:rsidR="000D01EC" w:rsidRPr="00BD1666">
        <w:t>FDI</w:t>
      </w:r>
      <w:r w:rsidR="00FD0FFF">
        <w:t xml:space="preserve"> as well as </w:t>
      </w:r>
      <w:r w:rsidR="00F606B1">
        <w:t xml:space="preserve">stricter </w:t>
      </w:r>
      <w:r w:rsidR="00FD0FFF">
        <w:t>capital controls</w:t>
      </w:r>
      <w:r w:rsidR="00970611" w:rsidRPr="00BD1666">
        <w:t xml:space="preserve">. </w:t>
      </w:r>
      <w:r w:rsidR="00F606B1">
        <w:t xml:space="preserve">This trend </w:t>
      </w:r>
      <w:r w:rsidR="00970611" w:rsidRPr="00BD1666">
        <w:t xml:space="preserve">is also reflected in OECD data, which show </w:t>
      </w:r>
      <w:r w:rsidR="00B261F1" w:rsidRPr="00BD1666">
        <w:t xml:space="preserve">a decline in </w:t>
      </w:r>
      <w:r w:rsidR="00970611" w:rsidRPr="00BD1666">
        <w:t xml:space="preserve">outbound Chinese FDI </w:t>
      </w:r>
      <w:r w:rsidR="006C2BB5">
        <w:t xml:space="preserve">since 2016, with a fall </w:t>
      </w:r>
      <w:r w:rsidR="00B46B19">
        <w:t xml:space="preserve">in value </w:t>
      </w:r>
      <w:r w:rsidR="006C2BB5">
        <w:t xml:space="preserve">of 30 per cent </w:t>
      </w:r>
      <w:r w:rsidR="00B261F1" w:rsidRPr="00BD1666">
        <w:t xml:space="preserve">year-on-year </w:t>
      </w:r>
      <w:r w:rsidR="00970611" w:rsidRPr="00BD1666">
        <w:t>over 2017</w:t>
      </w:r>
      <w:r w:rsidR="000D01EC" w:rsidRPr="00BD1666">
        <w:noBreakHyphen/>
      </w:r>
      <w:r w:rsidR="00970611" w:rsidRPr="00BD1666">
        <w:t>18.</w:t>
      </w:r>
    </w:p>
    <w:p w14:paraId="5DD04AA0" w14:textId="621DFC38" w:rsidR="00A84283" w:rsidRPr="002E2EFE" w:rsidRDefault="00E72C2A" w:rsidP="002E2EFE">
      <w:pPr>
        <w:pStyle w:val="Bullet"/>
      </w:pPr>
      <w:r w:rsidRPr="00F649A4">
        <w:t xml:space="preserve">In terms of investment in particular sectors, in </w:t>
      </w:r>
      <w:r w:rsidR="00A84283" w:rsidRPr="00F649A4">
        <w:t>201</w:t>
      </w:r>
      <w:r w:rsidR="00A34589" w:rsidRPr="00F649A4">
        <w:t>8</w:t>
      </w:r>
      <w:r w:rsidR="004F2943">
        <w:noBreakHyphen/>
      </w:r>
      <w:r w:rsidR="00A34589" w:rsidRPr="00F649A4">
        <w:t>19</w:t>
      </w:r>
      <w:r w:rsidR="00A84283" w:rsidRPr="00F649A4">
        <w:t xml:space="preserve"> </w:t>
      </w:r>
      <w:r w:rsidR="00406F44" w:rsidRPr="00F649A4">
        <w:t xml:space="preserve">the largest by value remained the services </w:t>
      </w:r>
      <w:r w:rsidR="00674970" w:rsidRPr="00F649A4">
        <w:t>sector</w:t>
      </w:r>
      <w:r w:rsidR="004F2943">
        <w:t xml:space="preserve"> (at $76 </w:t>
      </w:r>
      <w:r w:rsidR="0052576F">
        <w:t>billion)</w:t>
      </w:r>
      <w:r w:rsidR="000272AE" w:rsidRPr="00F649A4">
        <w:t>,</w:t>
      </w:r>
      <w:r w:rsidR="00070552" w:rsidRPr="00F649A4">
        <w:t xml:space="preserve"> which includes</w:t>
      </w:r>
      <w:r w:rsidR="00F649A4" w:rsidRPr="00F649A4">
        <w:t xml:space="preserve"> accommodation, communications, construction and health</w:t>
      </w:r>
      <w:r w:rsidR="002C1599">
        <w:t>.</w:t>
      </w:r>
      <w:r w:rsidR="00F649A4">
        <w:t xml:space="preserve"> </w:t>
      </w:r>
      <w:r w:rsidR="002C1599">
        <w:t>There has been</w:t>
      </w:r>
      <w:r w:rsidR="000272AE" w:rsidRPr="002E2EFE">
        <w:t xml:space="preserve"> a rising trend in </w:t>
      </w:r>
      <w:r w:rsidR="002C1599">
        <w:t xml:space="preserve">the </w:t>
      </w:r>
      <w:r w:rsidR="000272AE" w:rsidRPr="002E2EFE">
        <w:t xml:space="preserve">overall value </w:t>
      </w:r>
      <w:r w:rsidR="002C1599">
        <w:t xml:space="preserve">in the services sector </w:t>
      </w:r>
      <w:r w:rsidR="000272AE" w:rsidRPr="002E2EFE">
        <w:t>since 2015</w:t>
      </w:r>
      <w:r w:rsidR="000272AE" w:rsidRPr="002E2EFE">
        <w:noBreakHyphen/>
        <w:t>16</w:t>
      </w:r>
      <w:r w:rsidR="00674970" w:rsidRPr="002E2EFE">
        <w:t xml:space="preserve">. </w:t>
      </w:r>
      <w:r w:rsidRPr="002E2EFE">
        <w:t>The c</w:t>
      </w:r>
      <w:r w:rsidR="00406F44" w:rsidRPr="002E2EFE">
        <w:t xml:space="preserve">ommercial real estate sector </w:t>
      </w:r>
      <w:r w:rsidR="005273E2" w:rsidRPr="002E2EFE">
        <w:t xml:space="preserve">also </w:t>
      </w:r>
      <w:r w:rsidRPr="002E2EFE">
        <w:t xml:space="preserve">attracted </w:t>
      </w:r>
      <w:r w:rsidR="00406F44" w:rsidRPr="002E2EFE">
        <w:t xml:space="preserve">significant </w:t>
      </w:r>
      <w:r w:rsidRPr="002E2EFE">
        <w:t xml:space="preserve">investment </w:t>
      </w:r>
      <w:r w:rsidR="00406F44" w:rsidRPr="002E2EFE">
        <w:t>over the period</w:t>
      </w:r>
      <w:r w:rsidR="00B52722" w:rsidRPr="002E2EFE">
        <w:t xml:space="preserve"> </w:t>
      </w:r>
      <w:r w:rsidR="0052576F">
        <w:t>($73</w:t>
      </w:r>
      <w:r w:rsidR="004F2943">
        <w:t> </w:t>
      </w:r>
      <w:r w:rsidR="0052576F">
        <w:t>billion)</w:t>
      </w:r>
      <w:r w:rsidR="00B52722" w:rsidRPr="002E2EFE">
        <w:t xml:space="preserve"> as did </w:t>
      </w:r>
      <w:r w:rsidR="00070552">
        <w:t xml:space="preserve">the </w:t>
      </w:r>
      <w:r w:rsidR="00A34589" w:rsidRPr="002E2EFE">
        <w:t>manufacturing, electricity and gas</w:t>
      </w:r>
      <w:r w:rsidR="00070552">
        <w:t xml:space="preserve"> sector</w:t>
      </w:r>
      <w:r w:rsidR="006C2BB5">
        <w:t xml:space="preserve"> ($36.7 </w:t>
      </w:r>
      <w:r w:rsidR="0052576F">
        <w:t>billion)</w:t>
      </w:r>
      <w:r w:rsidR="00406F44" w:rsidRPr="002E2EFE">
        <w:t>.</w:t>
      </w:r>
    </w:p>
    <w:p w14:paraId="1ACBB3CB" w14:textId="5A0B34A0" w:rsidR="00A84283" w:rsidRPr="002E2EFE" w:rsidRDefault="00667F9D" w:rsidP="002E2EFE">
      <w:pPr>
        <w:pStyle w:val="Bullet"/>
      </w:pPr>
      <w:r w:rsidRPr="002E2EFE">
        <w:t>While t</w:t>
      </w:r>
      <w:r w:rsidR="00A34589" w:rsidRPr="002E2EFE">
        <w:t xml:space="preserve">he largest number of </w:t>
      </w:r>
      <w:r w:rsidR="002C1599">
        <w:t xml:space="preserve">proposed investment </w:t>
      </w:r>
      <w:r w:rsidR="00A34589" w:rsidRPr="002E2EFE">
        <w:t xml:space="preserve">approvals </w:t>
      </w:r>
      <w:r w:rsidR="00406F44" w:rsidRPr="002E2EFE">
        <w:t>was again in</w:t>
      </w:r>
      <w:r w:rsidR="00406F44" w:rsidRPr="002E2EFE" w:rsidDel="00AE6336">
        <w:t xml:space="preserve"> </w:t>
      </w:r>
      <w:r w:rsidR="00406F44" w:rsidRPr="002E2EFE">
        <w:t>residential real estate</w:t>
      </w:r>
      <w:r w:rsidR="00687DE7">
        <w:t xml:space="preserve"> (7</w:t>
      </w:r>
      <w:r w:rsidR="001A2B46">
        <w:t>,</w:t>
      </w:r>
      <w:r w:rsidR="00687DE7">
        <w:t>513)</w:t>
      </w:r>
      <w:r w:rsidR="00406F44" w:rsidRPr="002E2EFE">
        <w:t xml:space="preserve">, </w:t>
      </w:r>
      <w:r w:rsidRPr="002E2EFE">
        <w:t>the</w:t>
      </w:r>
      <w:r w:rsidR="00AE6336" w:rsidRPr="002E2EFE">
        <w:t xml:space="preserve">re was a drop of </w:t>
      </w:r>
      <w:r w:rsidR="00406F44" w:rsidRPr="002E2EFE">
        <w:t xml:space="preserve">2,523 </w:t>
      </w:r>
      <w:r w:rsidRPr="002E2EFE">
        <w:t xml:space="preserve">compared with </w:t>
      </w:r>
      <w:r w:rsidR="00A37DBA">
        <w:t>2017</w:t>
      </w:r>
      <w:r w:rsidR="00A37DBA">
        <w:noBreakHyphen/>
      </w:r>
      <w:r w:rsidR="00406F44" w:rsidRPr="002E2EFE">
        <w:t>18.</w:t>
      </w:r>
      <w:r w:rsidR="00A84283" w:rsidRPr="002E2EFE">
        <w:t xml:space="preserve"> </w:t>
      </w:r>
      <w:r w:rsidR="00AC528D" w:rsidRPr="002E2EFE">
        <w:t>Despite this fall,</w:t>
      </w:r>
      <w:r w:rsidRPr="002E2EFE">
        <w:t xml:space="preserve"> the total value of residential real estate approvals</w:t>
      </w:r>
      <w:r w:rsidR="00AC528D" w:rsidRPr="002E2EFE">
        <w:t xml:space="preserve"> rose by </w:t>
      </w:r>
      <w:r w:rsidRPr="002E2EFE">
        <w:t>$2.3</w:t>
      </w:r>
      <w:r w:rsidR="004F2943">
        <w:t> </w:t>
      </w:r>
      <w:r w:rsidRPr="002E2EFE">
        <w:t>billion</w:t>
      </w:r>
      <w:r w:rsidR="00AC528D" w:rsidRPr="002E2EFE">
        <w:t xml:space="preserve"> </w:t>
      </w:r>
      <w:r w:rsidR="00F91E4B">
        <w:t xml:space="preserve">to </w:t>
      </w:r>
      <w:r w:rsidR="004F2943">
        <w:t>$14.8 </w:t>
      </w:r>
      <w:r w:rsidR="00687DE7">
        <w:t>billion</w:t>
      </w:r>
      <w:r w:rsidRPr="002E2EFE">
        <w:t>.</w:t>
      </w:r>
      <w:r w:rsidR="0053694C" w:rsidRPr="002E2EFE">
        <w:t xml:space="preserve"> </w:t>
      </w:r>
      <w:r w:rsidR="001A5FCA">
        <w:t>‘For development r</w:t>
      </w:r>
      <w:r w:rsidR="00427394" w:rsidRPr="002E2EFE">
        <w:t xml:space="preserve">esidential real </w:t>
      </w:r>
      <w:r w:rsidR="00427394" w:rsidRPr="001A5FCA">
        <w:t>estate exemption certificates</w:t>
      </w:r>
      <w:r w:rsidR="001A5FCA" w:rsidRPr="001A5FCA">
        <w:t>’</w:t>
      </w:r>
      <w:r w:rsidR="00D65269">
        <w:t xml:space="preserve"> contribute</w:t>
      </w:r>
      <w:r w:rsidR="00FC3E1F">
        <w:t>d</w:t>
      </w:r>
      <w:r w:rsidR="00D65269">
        <w:t xml:space="preserve"> the most to the total value of residential real estate approvals</w:t>
      </w:r>
      <w:r w:rsidR="00427394" w:rsidRPr="002E2EFE">
        <w:t>.</w:t>
      </w:r>
    </w:p>
    <w:p w14:paraId="4E3CD877" w14:textId="782BD1D8" w:rsidR="000A3962" w:rsidRPr="00A84283" w:rsidRDefault="000A3962" w:rsidP="000A3962">
      <w:pPr>
        <w:pStyle w:val="Bullet"/>
      </w:pPr>
      <w:r>
        <w:t xml:space="preserve">In, </w:t>
      </w:r>
      <w:r w:rsidRPr="00A84283">
        <w:t>agriculture, forestry and fishing sector</w:t>
      </w:r>
      <w:r>
        <w:t xml:space="preserve"> there were 197 approvals granted for $7.3 </w:t>
      </w:r>
      <w:r w:rsidRPr="00A84283">
        <w:t>billion worth of proposed investment.</w:t>
      </w:r>
      <w:r w:rsidR="00B94F0E">
        <w:t xml:space="preserve"> Proposed investment applications have remained reasonably stable since 2016-17 with approximately 200 applications </w:t>
      </w:r>
      <w:r w:rsidR="00B77BD8">
        <w:t xml:space="preserve">per year </w:t>
      </w:r>
      <w:r w:rsidR="00B94F0E">
        <w:t>worth between $7 </w:t>
      </w:r>
      <w:r w:rsidR="00146F4A">
        <w:t xml:space="preserve">billion and </w:t>
      </w:r>
      <w:r w:rsidR="00B94F0E">
        <w:t>$8 billion.</w:t>
      </w:r>
    </w:p>
    <w:p w14:paraId="1901D8A7" w14:textId="56B999D5" w:rsidR="00A84283" w:rsidRDefault="008B4BA2" w:rsidP="002E2EFE">
      <w:pPr>
        <w:pStyle w:val="Bullet"/>
      </w:pPr>
      <w:r w:rsidRPr="001A5FCA">
        <w:t>In 2018</w:t>
      </w:r>
      <w:r w:rsidRPr="001A5FCA">
        <w:noBreakHyphen/>
        <w:t>19,</w:t>
      </w:r>
      <w:r w:rsidR="0080746D" w:rsidRPr="001A5FCA">
        <w:t xml:space="preserve"> complia</w:t>
      </w:r>
      <w:r w:rsidR="001B2BDF" w:rsidRPr="001A5FCA">
        <w:t xml:space="preserve">nce </w:t>
      </w:r>
      <w:r w:rsidR="0036707B" w:rsidRPr="001A5FCA">
        <w:t>was</w:t>
      </w:r>
      <w:r w:rsidR="001B2BDF" w:rsidRPr="001A5FCA">
        <w:t xml:space="preserve"> a key focus</w:t>
      </w:r>
      <w:r w:rsidR="0036707B" w:rsidRPr="001A5FCA">
        <w:t xml:space="preserve"> for Treasury and</w:t>
      </w:r>
      <w:r w:rsidR="00A37DBA" w:rsidRPr="001A5FCA">
        <w:t xml:space="preserve"> the Australian Taxation Office </w:t>
      </w:r>
      <w:r w:rsidR="0036707B" w:rsidRPr="001A5FCA">
        <w:t>(ATO)</w:t>
      </w:r>
      <w:r w:rsidR="001B2BDF" w:rsidRPr="001A5FCA">
        <w:t>.</w:t>
      </w:r>
      <w:r w:rsidR="00A84283" w:rsidRPr="001A5FCA" w:rsidDel="001B2BDF">
        <w:t xml:space="preserve"> </w:t>
      </w:r>
      <w:r w:rsidR="00A84283" w:rsidRPr="001A5FCA">
        <w:t xml:space="preserve">Treasury completed </w:t>
      </w:r>
      <w:r w:rsidR="00871763" w:rsidRPr="001A5FCA">
        <w:t>nine</w:t>
      </w:r>
      <w:r w:rsidR="00A84283" w:rsidRPr="001A5FCA">
        <w:t xml:space="preserve"> business investment audits</w:t>
      </w:r>
      <w:r w:rsidR="001B2BDF" w:rsidRPr="001A5FCA">
        <w:t xml:space="preserve">, representing 17 </w:t>
      </w:r>
      <w:r w:rsidR="00871763" w:rsidRPr="001A5FCA">
        <w:t>foreign investme</w:t>
      </w:r>
      <w:r w:rsidRPr="001A5FCA">
        <w:t>nt transactions</w:t>
      </w:r>
      <w:r w:rsidR="00806C7A" w:rsidRPr="001A5FCA" w:rsidDel="001B2BDF">
        <w:t xml:space="preserve"> </w:t>
      </w:r>
      <w:r w:rsidR="001B2BDF" w:rsidRPr="001A5FCA">
        <w:t>worth</w:t>
      </w:r>
      <w:r w:rsidR="002B1057" w:rsidRPr="001A5FCA">
        <w:t xml:space="preserve"> approximately</w:t>
      </w:r>
      <w:r w:rsidR="001B2BDF" w:rsidRPr="001A5FCA">
        <w:t xml:space="preserve"> </w:t>
      </w:r>
      <w:r w:rsidR="00806C7A" w:rsidRPr="001A5FCA">
        <w:t>$2.84</w:t>
      </w:r>
      <w:r w:rsidR="004F2943" w:rsidRPr="001A5FCA">
        <w:t> </w:t>
      </w:r>
      <w:r w:rsidR="00806C7A" w:rsidRPr="001A5FCA">
        <w:t>billion of investment</w:t>
      </w:r>
      <w:r w:rsidRPr="001A5FCA">
        <w:t>. The results of</w:t>
      </w:r>
      <w:r w:rsidR="00871763" w:rsidRPr="001A5FCA">
        <w:t xml:space="preserve"> the audit program</w:t>
      </w:r>
      <w:r w:rsidR="00A84283" w:rsidRPr="001A5FCA">
        <w:t xml:space="preserve"> </w:t>
      </w:r>
      <w:r w:rsidR="00871763" w:rsidRPr="001A5FCA">
        <w:t>indicated that</w:t>
      </w:r>
      <w:r w:rsidR="0036707B" w:rsidRPr="001A5FCA">
        <w:t xml:space="preserve"> </w:t>
      </w:r>
      <w:r w:rsidR="00871763" w:rsidRPr="001A5FCA">
        <w:t>investors are</w:t>
      </w:r>
      <w:r w:rsidR="0036707B" w:rsidRPr="001A5FCA">
        <w:t>, largely,</w:t>
      </w:r>
      <w:r w:rsidR="00871763" w:rsidRPr="001A5FCA">
        <w:t xml:space="preserve"> meeting their obligations</w:t>
      </w:r>
      <w:r w:rsidR="00A84283" w:rsidRPr="001A5FCA">
        <w:t xml:space="preserve">. The </w:t>
      </w:r>
      <w:r w:rsidR="0036707B" w:rsidRPr="001A5FCA">
        <w:t>ATO</w:t>
      </w:r>
      <w:r w:rsidR="00A84283" w:rsidRPr="001A5FCA">
        <w:t xml:space="preserve"> completed </w:t>
      </w:r>
      <w:r w:rsidRPr="001A5FCA">
        <w:t>1,068</w:t>
      </w:r>
      <w:r w:rsidR="00A84283" w:rsidRPr="001A5FCA">
        <w:t xml:space="preserve"> residential real estate investigations</w:t>
      </w:r>
      <w:r w:rsidRPr="001A5FCA">
        <w:t xml:space="preserve">, identifying </w:t>
      </w:r>
      <w:r w:rsidR="00A84283" w:rsidRPr="001A5FCA">
        <w:t>600 properties that were in breach</w:t>
      </w:r>
      <w:r w:rsidR="00E93B08" w:rsidRPr="001A5FCA">
        <w:t xml:space="preserve"> – </w:t>
      </w:r>
      <w:r w:rsidR="002B1057" w:rsidRPr="001A5FCA">
        <w:t xml:space="preserve">the same </w:t>
      </w:r>
      <w:r w:rsidR="001B2BDF" w:rsidRPr="001A5FCA">
        <w:t xml:space="preserve">number </w:t>
      </w:r>
      <w:r w:rsidR="002B1057" w:rsidRPr="001A5FCA">
        <w:t>of properties in breach as</w:t>
      </w:r>
      <w:r w:rsidR="00E93B08" w:rsidRPr="001A5FCA">
        <w:t xml:space="preserve"> in 2017</w:t>
      </w:r>
      <w:r w:rsidR="00E93B08" w:rsidRPr="001A5FCA">
        <w:noBreakHyphen/>
        <w:t>18</w:t>
      </w:r>
      <w:r w:rsidR="00A84283" w:rsidRPr="001A5FCA">
        <w:t xml:space="preserve">. </w:t>
      </w:r>
      <w:r w:rsidR="00E93B08" w:rsidRPr="001A5FCA">
        <w:t xml:space="preserve">Outcomes of </w:t>
      </w:r>
      <w:r w:rsidR="001B2BDF" w:rsidRPr="001A5FCA">
        <w:t xml:space="preserve">these </w:t>
      </w:r>
      <w:r w:rsidR="00E93B08" w:rsidRPr="001A5FCA">
        <w:t>breaches include</w:t>
      </w:r>
      <w:r w:rsidR="001B2BDF" w:rsidRPr="001A5FCA">
        <w:t>d</w:t>
      </w:r>
      <w:r w:rsidR="00E93B08" w:rsidRPr="001A5FCA">
        <w:t xml:space="preserve"> divestments, retrospective approvals</w:t>
      </w:r>
      <w:r w:rsidR="006B0FE5" w:rsidRPr="001A5FCA">
        <w:t>,</w:t>
      </w:r>
      <w:r w:rsidR="00E93B08" w:rsidRPr="001A5FCA">
        <w:t xml:space="preserve"> variations of conditions</w:t>
      </w:r>
      <w:r w:rsidR="006B0FE5" w:rsidRPr="001A5FCA">
        <w:t xml:space="preserve"> and </w:t>
      </w:r>
      <w:r w:rsidR="0069138B" w:rsidRPr="001A5FCA">
        <w:t>raising a vacancy fee liability</w:t>
      </w:r>
      <w:r w:rsidR="00A84283" w:rsidRPr="001A5FCA">
        <w:t xml:space="preserve">. </w:t>
      </w:r>
    </w:p>
    <w:p w14:paraId="294F67B5" w14:textId="2813660C" w:rsidR="00D747C4" w:rsidRPr="001A5FCA" w:rsidRDefault="00512667" w:rsidP="002E2EFE">
      <w:pPr>
        <w:pStyle w:val="Bullet"/>
      </w:pPr>
      <w:r>
        <w:t xml:space="preserve">The Board has continued </w:t>
      </w:r>
      <w:r w:rsidR="00A22928">
        <w:t xml:space="preserve">to keep the foreign investment framework under review to ensure that it keeps pace with domestic and international developments. Over time, we have seen a </w:t>
      </w:r>
      <w:r w:rsidR="00C55E58">
        <w:t>build-up</w:t>
      </w:r>
      <w:r w:rsidR="00A22928">
        <w:t xml:space="preserve"> of the compliance functions of both the ATO and Treasury. The Board continues to monitor </w:t>
      </w:r>
      <w:r w:rsidR="00B77BD8">
        <w:t xml:space="preserve">and assess </w:t>
      </w:r>
      <w:r w:rsidR="00A22928">
        <w:t>the framework</w:t>
      </w:r>
      <w:r w:rsidR="00B77BD8">
        <w:t>,</w:t>
      </w:r>
      <w:r w:rsidR="00A22928">
        <w:t xml:space="preserve"> and provide advice to the Treasurer</w:t>
      </w:r>
      <w:r w:rsidR="00C55E58">
        <w:t xml:space="preserve"> on issues which require government consideration.</w:t>
      </w:r>
    </w:p>
    <w:p w14:paraId="18DD8E3C" w14:textId="77777777" w:rsidR="00E43E52" w:rsidRDefault="00E43E52">
      <w:pPr>
        <w:spacing w:after="0" w:line="240" w:lineRule="auto"/>
        <w:jc w:val="left"/>
        <w:rPr>
          <w:rFonts w:ascii="Calibri" w:hAnsi="Calibri" w:cs="Arial"/>
          <w:b/>
          <w:bCs/>
          <w:caps/>
          <w:color w:val="auto"/>
          <w:kern w:val="32"/>
          <w:sz w:val="36"/>
          <w:szCs w:val="48"/>
        </w:rPr>
      </w:pPr>
      <w:bookmarkStart w:id="11" w:name="_Toc31296891"/>
      <w:bookmarkStart w:id="12" w:name="_Toc31636009"/>
      <w:bookmarkStart w:id="13" w:name="_Toc31642778"/>
      <w:r>
        <w:br w:type="page"/>
      </w:r>
    </w:p>
    <w:p w14:paraId="3989B8E3" w14:textId="1BA8B50D" w:rsidR="00A84283" w:rsidRPr="00FC48F4" w:rsidRDefault="00A84283" w:rsidP="00406C1F">
      <w:pPr>
        <w:pStyle w:val="Heading1"/>
      </w:pPr>
      <w:bookmarkStart w:id="14" w:name="_Toc32247787"/>
      <w:bookmarkStart w:id="15" w:name="_Toc33625835"/>
      <w:r w:rsidRPr="00406C1F">
        <w:lastRenderedPageBreak/>
        <w:t>OVERVIEW OF REPORT</w:t>
      </w:r>
      <w:bookmarkEnd w:id="11"/>
      <w:bookmarkEnd w:id="12"/>
      <w:bookmarkEnd w:id="13"/>
      <w:bookmarkEnd w:id="14"/>
      <w:bookmarkEnd w:id="15"/>
    </w:p>
    <w:p w14:paraId="7386BCE5" w14:textId="77777777" w:rsidR="00A84283" w:rsidRPr="00A84283" w:rsidRDefault="00A84283" w:rsidP="002E2EFE">
      <w:r w:rsidRPr="00A84283">
        <w:t>This report has four chapters and four appendices:</w:t>
      </w:r>
    </w:p>
    <w:p w14:paraId="130994A1" w14:textId="652D3CAA" w:rsidR="00A84283" w:rsidRPr="00A84283" w:rsidRDefault="00A84283" w:rsidP="005F4E3C">
      <w:pPr>
        <w:pStyle w:val="Bullet"/>
      </w:pPr>
      <w:r w:rsidRPr="00A84283">
        <w:t>Chapter one provides an overview of the Foreign Investment Review Board (the Board) and the Foreign Investmen</w:t>
      </w:r>
      <w:r w:rsidR="003F6FF5">
        <w:t>t Review Board agencie</w:t>
      </w:r>
      <w:r w:rsidR="00A37DBA">
        <w:t>s (FIRB agencies)</w:t>
      </w:r>
      <w:r w:rsidR="00367CF0">
        <w:t>,</w:t>
      </w:r>
      <w:r w:rsidR="003F6FF5">
        <w:rPr>
          <w:rStyle w:val="FootnoteReference"/>
          <w:b/>
          <w:color w:val="auto"/>
        </w:rPr>
        <w:footnoteReference w:id="2"/>
      </w:r>
      <w:r w:rsidRPr="00A84283">
        <w:t xml:space="preserve"> including responsibilities, membership and operational costs;</w:t>
      </w:r>
    </w:p>
    <w:p w14:paraId="7197ACA4" w14:textId="34C79DB8" w:rsidR="00A84283" w:rsidRPr="00A84283" w:rsidRDefault="00A84283" w:rsidP="00420F3D">
      <w:pPr>
        <w:pStyle w:val="Bullet"/>
      </w:pPr>
      <w:r w:rsidRPr="00A84283">
        <w:t xml:space="preserve">Chapter two discusses </w:t>
      </w:r>
      <w:r w:rsidR="0046480B">
        <w:t xml:space="preserve">developments </w:t>
      </w:r>
      <w:r w:rsidR="00F91E4B">
        <w:t xml:space="preserve">in domestic and international </w:t>
      </w:r>
      <w:r w:rsidR="0046480B">
        <w:t>foreign investment;</w:t>
      </w:r>
    </w:p>
    <w:p w14:paraId="62C70CB5" w14:textId="04BFE6BA" w:rsidR="00A84283" w:rsidRPr="00A84283" w:rsidRDefault="00A84283" w:rsidP="00420F3D">
      <w:pPr>
        <w:pStyle w:val="Bullet"/>
      </w:pPr>
      <w:r w:rsidRPr="00A84283">
        <w:tab/>
        <w:t>Chapter three analyses data on foreign investment a</w:t>
      </w:r>
      <w:r w:rsidR="00934010">
        <w:t xml:space="preserve">pplications finalised in </w:t>
      </w:r>
      <w:r w:rsidRPr="00A84283">
        <w:t>2018</w:t>
      </w:r>
      <w:r w:rsidR="00B31414">
        <w:noBreakHyphen/>
      </w:r>
      <w:r w:rsidR="00A42FAB">
        <w:t>19. It </w:t>
      </w:r>
      <w:r w:rsidRPr="00A84283">
        <w:t>includes approvals data by number, value, sector, and investor country. It also includes data on variations and foreign investment fee collections;</w:t>
      </w:r>
    </w:p>
    <w:p w14:paraId="093F62C9" w14:textId="07B8775F" w:rsidR="00A84283" w:rsidRPr="00A84283" w:rsidRDefault="00A84283" w:rsidP="00420F3D">
      <w:pPr>
        <w:pStyle w:val="Bullet"/>
      </w:pPr>
      <w:r w:rsidRPr="00A84283">
        <w:tab/>
      </w:r>
      <w:r w:rsidRPr="006D64A2">
        <w:t>Chapter four</w:t>
      </w:r>
      <w:r w:rsidRPr="00A84283">
        <w:t xml:space="preserve"> explains key developments in Australia’s foreign investment compliance program. It discusses the approach to compliance by FIRB agencies, and the work underway to strengthen assurance that foreign persons are meeting their obligations;</w:t>
      </w:r>
    </w:p>
    <w:p w14:paraId="5FBD6321" w14:textId="4D03CF62" w:rsidR="00A84283" w:rsidRPr="00A84283" w:rsidRDefault="00A84283" w:rsidP="00420F3D">
      <w:pPr>
        <w:pStyle w:val="Bullet"/>
      </w:pPr>
      <w:r w:rsidRPr="00A84283">
        <w:tab/>
        <w:t>Appendix A lists Board members’ attendance at Board meetings;</w:t>
      </w:r>
    </w:p>
    <w:p w14:paraId="7F90C5F9" w14:textId="121119C8" w:rsidR="00A84283" w:rsidRPr="00A84283" w:rsidRDefault="00A84283" w:rsidP="00420F3D">
      <w:pPr>
        <w:pStyle w:val="Bullet"/>
      </w:pPr>
      <w:r w:rsidRPr="00A84283">
        <w:tab/>
        <w:t>Appendix B provides an overview of the main methodological and data caveats that apply to applications an</w:t>
      </w:r>
      <w:r w:rsidR="00934010">
        <w:t>d approvals data in this report</w:t>
      </w:r>
      <w:r w:rsidRPr="00A84283">
        <w:t>;</w:t>
      </w:r>
    </w:p>
    <w:p w14:paraId="7007CB41" w14:textId="354868AF" w:rsidR="00A84283" w:rsidRPr="00A84283" w:rsidRDefault="00A84283" w:rsidP="00420F3D">
      <w:pPr>
        <w:pStyle w:val="Bullet"/>
      </w:pPr>
      <w:r w:rsidRPr="00A84283">
        <w:tab/>
        <w:t>Appendix C sets out the examination and approval process for foreign investment applications; and</w:t>
      </w:r>
    </w:p>
    <w:p w14:paraId="41EA9DF6" w14:textId="66DC5E10" w:rsidR="00007363" w:rsidRDefault="00A84283" w:rsidP="00420F3D">
      <w:pPr>
        <w:pStyle w:val="Bullet"/>
      </w:pPr>
      <w:r w:rsidRPr="00A84283">
        <w:tab/>
        <w:t>Appendix D contains a glossary.</w:t>
      </w:r>
    </w:p>
    <w:p w14:paraId="7D4C10C2" w14:textId="77777777" w:rsidR="006F0D93" w:rsidRDefault="006F0D93" w:rsidP="00406C1F">
      <w:pPr>
        <w:pStyle w:val="Heading1"/>
        <w:sectPr w:rsidR="006F0D93" w:rsidSect="00F6633B">
          <w:headerReference w:type="default" r:id="rId45"/>
          <w:headerReference w:type="first" r:id="rId46"/>
          <w:type w:val="oddPage"/>
          <w:pgSz w:w="11906" w:h="16838" w:code="9"/>
          <w:pgMar w:top="2466" w:right="2098" w:bottom="2466" w:left="2098" w:header="1899" w:footer="1899" w:gutter="0"/>
          <w:pgNumType w:fmt="lowerRoman"/>
          <w:cols w:space="708"/>
          <w:titlePg/>
          <w:docGrid w:linePitch="360"/>
        </w:sectPr>
      </w:pPr>
      <w:bookmarkStart w:id="16" w:name="_Toc31296892"/>
      <w:bookmarkStart w:id="17" w:name="_Toc31636010"/>
      <w:bookmarkStart w:id="18" w:name="_Toc31642779"/>
    </w:p>
    <w:p w14:paraId="65E353A4" w14:textId="7D11C8D9" w:rsidR="00C34749" w:rsidRDefault="00C34749" w:rsidP="00406C1F">
      <w:pPr>
        <w:pStyle w:val="Heading1"/>
      </w:pPr>
      <w:bookmarkStart w:id="19" w:name="_Toc33521316"/>
      <w:bookmarkStart w:id="20" w:name="_Toc33625836"/>
      <w:bookmarkStart w:id="21" w:name="_Toc32247788"/>
      <w:r>
        <w:rPr>
          <w:noProof/>
        </w:rPr>
        <w:lastRenderedPageBreak/>
        <w:drawing>
          <wp:anchor distT="0" distB="0" distL="114300" distR="114300" simplePos="0" relativeHeight="251658245" behindDoc="0" locked="0" layoutInCell="1" allowOverlap="1" wp14:anchorId="4949797F" wp14:editId="3FCD2F09">
            <wp:simplePos x="0" y="0"/>
            <wp:positionH relativeFrom="column">
              <wp:posOffset>-6985</wp:posOffset>
            </wp:positionH>
            <wp:positionV relativeFrom="paragraph">
              <wp:posOffset>-260985</wp:posOffset>
            </wp:positionV>
            <wp:extent cx="4896000" cy="2160000"/>
            <wp:effectExtent l="0" t="0" r="0" b="0"/>
            <wp:wrapNone/>
            <wp:docPr id="4" name="Picture 4" descr="Chapter One Heading" title="Chapter On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B AR Part Pages_2016-17_V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96000" cy="2160000"/>
                    </a:xfrm>
                    <a:prstGeom prst="rect">
                      <a:avLst/>
                    </a:prstGeom>
                  </pic:spPr>
                </pic:pic>
              </a:graphicData>
            </a:graphic>
            <wp14:sizeRelH relativeFrom="page">
              <wp14:pctWidth>0</wp14:pctWidth>
            </wp14:sizeRelH>
            <wp14:sizeRelV relativeFrom="page">
              <wp14:pctHeight>0</wp14:pctHeight>
            </wp14:sizeRelV>
          </wp:anchor>
        </w:drawing>
      </w:r>
      <w:bookmarkEnd w:id="19"/>
      <w:bookmarkEnd w:id="20"/>
      <w:r w:rsidR="00DA384B">
        <w:rPr>
          <w:noProof/>
        </w:rPr>
        <w:t>Chapter One heading</w:t>
      </w:r>
    </w:p>
    <w:p w14:paraId="7367D5A7" w14:textId="47DE2042" w:rsidR="00C34749" w:rsidRDefault="00C34749" w:rsidP="00406C1F">
      <w:pPr>
        <w:pStyle w:val="Heading1"/>
      </w:pPr>
    </w:p>
    <w:p w14:paraId="4E163345" w14:textId="658C37AC" w:rsidR="00C34749" w:rsidRDefault="00C34749" w:rsidP="00406C1F">
      <w:pPr>
        <w:pStyle w:val="Heading1"/>
      </w:pPr>
    </w:p>
    <w:p w14:paraId="549C472D" w14:textId="2947173F" w:rsidR="00A84283" w:rsidRPr="001C7EE6" w:rsidRDefault="00A84283" w:rsidP="00406C1F">
      <w:pPr>
        <w:pStyle w:val="Heading1"/>
        <w:rPr>
          <w:color w:val="FFFFFF" w:themeColor="background1"/>
        </w:rPr>
      </w:pPr>
      <w:bookmarkStart w:id="22" w:name="_Toc33625837"/>
      <w:r w:rsidRPr="001C7EE6">
        <w:rPr>
          <w:color w:val="FFFFFF" w:themeColor="background1"/>
        </w:rPr>
        <w:t>Chapter One: The Foreign Investment Review Board</w:t>
      </w:r>
      <w:bookmarkEnd w:id="16"/>
      <w:bookmarkEnd w:id="17"/>
      <w:bookmarkEnd w:id="18"/>
      <w:bookmarkEnd w:id="21"/>
      <w:bookmarkEnd w:id="22"/>
    </w:p>
    <w:p w14:paraId="7B163C5A" w14:textId="343B0AD3" w:rsidR="00C34749" w:rsidRDefault="009068CD" w:rsidP="001C7EE6">
      <w:pPr>
        <w:spacing w:after="360"/>
      </w:pPr>
      <w:r>
        <w:t xml:space="preserve"> </w:t>
      </w:r>
    </w:p>
    <w:p w14:paraId="0A636F67" w14:textId="7E600E77" w:rsidR="00A84283" w:rsidRPr="00A84283" w:rsidRDefault="00A84283" w:rsidP="002E2EFE">
      <w:r w:rsidRPr="00A84283">
        <w:t>This chapter provides an overview of the Board and FIRB agencies, including details on the Board’s responsibilities, the Board’s membership and operational costs.</w:t>
      </w:r>
    </w:p>
    <w:p w14:paraId="23B58508" w14:textId="5449D1F2" w:rsidR="00A84283" w:rsidRPr="00A84283" w:rsidRDefault="00A84283" w:rsidP="002E2EFE">
      <w:r w:rsidRPr="00A84283">
        <w:t>The Board is a non-statutory body established in 1976 to advise the Treasurer and the Government on foreign investment matters. The Board’s functions are advisory only</w:t>
      </w:r>
      <w:r w:rsidR="00F91E4B">
        <w:t xml:space="preserve"> and it</w:t>
      </w:r>
      <w:r w:rsidRPr="00A84283">
        <w:t xml:space="preserve"> does not make binding decisions on foreign investment </w:t>
      </w:r>
      <w:r w:rsidR="00F91E4B">
        <w:t>proposals</w:t>
      </w:r>
      <w:r w:rsidRPr="00A84283">
        <w:t>. Responsibility for making decisions on foreign investment policy and investment proposals rests with the Treasurer.</w:t>
      </w:r>
      <w:r w:rsidR="0080590C" w:rsidRPr="00DB5E25">
        <w:rPr>
          <w:rStyle w:val="FootnoteReference"/>
          <w:color w:val="auto"/>
        </w:rPr>
        <w:footnoteReference w:id="3"/>
      </w:r>
      <w:r w:rsidRPr="00DB5E25">
        <w:t xml:space="preserve"> </w:t>
      </w:r>
    </w:p>
    <w:p w14:paraId="05BD49BE" w14:textId="4C00CB4B" w:rsidR="00A84283" w:rsidRPr="00A84283" w:rsidRDefault="00A84283" w:rsidP="002E2EFE">
      <w:r w:rsidRPr="00A84283">
        <w:t>During 2018</w:t>
      </w:r>
      <w:r w:rsidR="0080590C">
        <w:noBreakHyphen/>
      </w:r>
      <w:r w:rsidRPr="00A84283">
        <w:t xml:space="preserve">19, the Board increased to </w:t>
      </w:r>
      <w:r w:rsidR="00FB5F8B">
        <w:t xml:space="preserve">eight members, comprising </w:t>
      </w:r>
      <w:r w:rsidRPr="00A84283">
        <w:t>seven part-time members</w:t>
      </w:r>
      <w:r w:rsidR="00FB5F8B">
        <w:t xml:space="preserve"> and </w:t>
      </w:r>
      <w:r w:rsidR="00B91D65">
        <w:t>one</w:t>
      </w:r>
      <w:r w:rsidR="004F2943">
        <w:t xml:space="preserve"> full</w:t>
      </w:r>
      <w:r w:rsidR="004F2943">
        <w:noBreakHyphen/>
      </w:r>
      <w:r w:rsidRPr="00A84283">
        <w:t>time executi</w:t>
      </w:r>
      <w:r w:rsidR="0080590C">
        <w:t>ve member</w:t>
      </w:r>
      <w:r w:rsidR="00F91E4B">
        <w:t xml:space="preserve"> </w:t>
      </w:r>
      <w:r w:rsidR="0080590C">
        <w:t>—</w:t>
      </w:r>
      <w:r w:rsidR="00F91E4B">
        <w:t xml:space="preserve"> </w:t>
      </w:r>
      <w:r w:rsidR="0080590C">
        <w:t>the head of Treasury’</w:t>
      </w:r>
      <w:r w:rsidRPr="00A84283">
        <w:t>s Foreign Investment Division. The Government seeks to attract members to the Board with deep knowledge and experience in a range of sectors that can actively contribute to the Board’s responsibilities. Strong probity procedures are in place to ensure any conflicts of interest that may occur are managed</w:t>
      </w:r>
      <w:r w:rsidR="00DB5E25">
        <w:t> </w:t>
      </w:r>
      <w:r w:rsidRPr="00A84283">
        <w:t>appropriately.</w:t>
      </w:r>
    </w:p>
    <w:p w14:paraId="49C2BC97" w14:textId="1CBDC1AF" w:rsidR="00A84283" w:rsidRPr="00A84283" w:rsidRDefault="00A84283" w:rsidP="002E2EFE">
      <w:r w:rsidRPr="00A84283">
        <w:t>The Board considers all applications that are provided to the Treasurer for decision. To facilitate its advice, the Board meets face-to-face monthly</w:t>
      </w:r>
      <w:r w:rsidR="00217031">
        <w:t xml:space="preserve"> and</w:t>
      </w:r>
      <w:r w:rsidRPr="00A84283">
        <w:t xml:space="preserve"> w</w:t>
      </w:r>
      <w:r w:rsidR="0080590C">
        <w:t xml:space="preserve">eekly by telephone, and </w:t>
      </w:r>
      <w:r w:rsidR="00217031">
        <w:t xml:space="preserve">considers matters </w:t>
      </w:r>
      <w:r w:rsidR="0080590C">
        <w:t>out</w:t>
      </w:r>
      <w:r w:rsidR="0080590C">
        <w:noBreakHyphen/>
        <w:t>of</w:t>
      </w:r>
      <w:r w:rsidR="0080590C">
        <w:noBreakHyphen/>
      </w:r>
      <w:r w:rsidRPr="00A84283">
        <w:t>session via email. Appendix A lists Board members’ attendance for the monthly face-to-face meetings during the reporting period.</w:t>
      </w:r>
    </w:p>
    <w:p w14:paraId="4EC9BA08" w14:textId="01161B1F" w:rsidR="00A84283" w:rsidRPr="006D64A2" w:rsidRDefault="004C6BA5" w:rsidP="00406C1F">
      <w:pPr>
        <w:pStyle w:val="Heading2"/>
      </w:pPr>
      <w:bookmarkStart w:id="23" w:name="_Toc31296893"/>
      <w:bookmarkStart w:id="24" w:name="_Toc31636011"/>
      <w:bookmarkStart w:id="25" w:name="_Toc31642780"/>
      <w:bookmarkStart w:id="26" w:name="_Toc32247789"/>
      <w:bookmarkStart w:id="27" w:name="_Toc33625838"/>
      <w:r>
        <w:t>Board</w:t>
      </w:r>
      <w:r w:rsidR="00A84283" w:rsidRPr="00406C1F">
        <w:t xml:space="preserve"> responsibilities</w:t>
      </w:r>
      <w:bookmarkEnd w:id="23"/>
      <w:bookmarkEnd w:id="24"/>
      <w:bookmarkEnd w:id="25"/>
      <w:bookmarkEnd w:id="26"/>
      <w:bookmarkEnd w:id="27"/>
    </w:p>
    <w:p w14:paraId="2BF2A232" w14:textId="77777777" w:rsidR="00A84283" w:rsidRPr="00A84283" w:rsidRDefault="00A84283" w:rsidP="002E2EFE">
      <w:r w:rsidRPr="00A84283">
        <w:t>The role of the Board is to:</w:t>
      </w:r>
    </w:p>
    <w:p w14:paraId="1645111D" w14:textId="0C9C4187" w:rsidR="00A84283" w:rsidRPr="00A84283" w:rsidRDefault="00A84283" w:rsidP="00AD4F91">
      <w:pPr>
        <w:pStyle w:val="Bullet"/>
      </w:pPr>
      <w:r w:rsidRPr="00A84283">
        <w:t xml:space="preserve">examine proposed investments that are subject to the </w:t>
      </w:r>
      <w:r w:rsidRPr="00832223">
        <w:rPr>
          <w:i/>
        </w:rPr>
        <w:t>Foreign Acquisitions and Takeovers Act 1975</w:t>
      </w:r>
      <w:r w:rsidRPr="00A84283">
        <w:t xml:space="preserve"> (the Act) and supporting legislation, and to make recommendations to the </w:t>
      </w:r>
      <w:r w:rsidRPr="00A84283">
        <w:lastRenderedPageBreak/>
        <w:t>Treasurer and other Treasury portfolio ministers on the national interest implications of these proposals;</w:t>
      </w:r>
    </w:p>
    <w:p w14:paraId="72AE3ACE" w14:textId="2D2FFC38" w:rsidR="00A84283" w:rsidRPr="00A84283" w:rsidRDefault="00A84283" w:rsidP="00AD4F91">
      <w:pPr>
        <w:pStyle w:val="Bullet"/>
      </w:pPr>
      <w:r w:rsidRPr="00A84283">
        <w:t>provide advice on the operation of the foreign investment framework and related matters;</w:t>
      </w:r>
    </w:p>
    <w:p w14:paraId="2112F6A9" w14:textId="2AC81871" w:rsidR="00A84283" w:rsidRPr="00A84283" w:rsidRDefault="00A84283" w:rsidP="00AD4F91">
      <w:pPr>
        <w:pStyle w:val="Bullet"/>
      </w:pPr>
      <w:r w:rsidRPr="00A84283">
        <w:t>foster awareness and understanding, both in Aus</w:t>
      </w:r>
      <w:r w:rsidR="00832223">
        <w:t>tralia and abroad, of Australia</w:t>
      </w:r>
      <w:r w:rsidRPr="00A84283">
        <w:t>’s foreign investment policy;</w:t>
      </w:r>
    </w:p>
    <w:p w14:paraId="6F8D74C1" w14:textId="139C1BCF" w:rsidR="00A84283" w:rsidRDefault="00A84283" w:rsidP="00AD4F91">
      <w:pPr>
        <w:pStyle w:val="Bullet"/>
      </w:pPr>
      <w:r w:rsidRPr="00A84283">
        <w:t>provide guidance to foreign persons and their representatives or agents on the operation of the foreign investment framework; and</w:t>
      </w:r>
    </w:p>
    <w:p w14:paraId="20C4F545" w14:textId="7FF7242C" w:rsidR="00A84283" w:rsidRDefault="003D2A8A" w:rsidP="00AD4F91">
      <w:pPr>
        <w:pStyle w:val="Bullet"/>
      </w:pPr>
      <w:r>
        <w:t>monitor and ensure compliance with the foreign investment framework.</w:t>
      </w:r>
    </w:p>
    <w:p w14:paraId="3F0213EF" w14:textId="7488E2E7" w:rsidR="00A84283" w:rsidRPr="006D64A2" w:rsidRDefault="004C6BA5" w:rsidP="00406C1F">
      <w:pPr>
        <w:pStyle w:val="Heading2"/>
      </w:pPr>
      <w:bookmarkStart w:id="28" w:name="_Toc31296894"/>
      <w:bookmarkStart w:id="29" w:name="_Toc31636012"/>
      <w:bookmarkStart w:id="30" w:name="_Toc31642781"/>
      <w:bookmarkStart w:id="31" w:name="_Toc32247790"/>
      <w:bookmarkStart w:id="32" w:name="_Toc33625839"/>
      <w:r>
        <w:t>Board</w:t>
      </w:r>
      <w:r w:rsidR="00A84283" w:rsidRPr="00406C1F">
        <w:t xml:space="preserve"> membership</w:t>
      </w:r>
      <w:bookmarkEnd w:id="28"/>
      <w:bookmarkEnd w:id="29"/>
      <w:bookmarkEnd w:id="30"/>
      <w:bookmarkEnd w:id="31"/>
      <w:bookmarkEnd w:id="32"/>
    </w:p>
    <w:p w14:paraId="4DC396AF" w14:textId="1D5C882F" w:rsidR="00A84283" w:rsidRPr="00A84283" w:rsidRDefault="00832223" w:rsidP="003D2A8A">
      <w:pPr>
        <w:spacing w:line="240" w:lineRule="exact"/>
      </w:pPr>
      <w:r>
        <w:t xml:space="preserve">As at 30 June </w:t>
      </w:r>
      <w:r w:rsidR="00A84283" w:rsidRPr="00A84283">
        <w:t>2019, the Board comprised the following member</w:t>
      </w:r>
      <w:r w:rsidR="00F91E4B">
        <w:t>s</w:t>
      </w:r>
      <w:r w:rsidR="00A84283" w:rsidRPr="00A84283">
        <w:t>.</w:t>
      </w:r>
    </w:p>
    <w:p w14:paraId="63788FC3" w14:textId="5CEA868C" w:rsidR="00A84283" w:rsidRDefault="00A84283" w:rsidP="003D2A8A">
      <w:pPr>
        <w:pStyle w:val="Bullet"/>
        <w:spacing w:line="240" w:lineRule="exact"/>
      </w:pPr>
      <w:r w:rsidRPr="00A84283">
        <w:t>Mr David Irvine AO (Chair)</w:t>
      </w:r>
    </w:p>
    <w:p w14:paraId="08E2E182" w14:textId="4B9C8A74" w:rsidR="00A84283" w:rsidRPr="00A84283" w:rsidRDefault="00A84283" w:rsidP="003D2A8A">
      <w:pPr>
        <w:pStyle w:val="Bullet"/>
        <w:spacing w:line="240" w:lineRule="exact"/>
      </w:pPr>
      <w:r w:rsidRPr="00A84283">
        <w:t>Ms Alice Williams</w:t>
      </w:r>
    </w:p>
    <w:p w14:paraId="02F1FE37" w14:textId="10D8F969" w:rsidR="00A84283" w:rsidRPr="00A84283" w:rsidRDefault="00A84283" w:rsidP="003D2A8A">
      <w:pPr>
        <w:pStyle w:val="Bullet"/>
        <w:spacing w:line="240" w:lineRule="exact"/>
      </w:pPr>
      <w:r w:rsidRPr="00A84283">
        <w:t>Mr David Peever</w:t>
      </w:r>
    </w:p>
    <w:p w14:paraId="18B22A1F" w14:textId="49D8508F" w:rsidR="00A84283" w:rsidRPr="00A84283" w:rsidRDefault="00A84283" w:rsidP="003D2A8A">
      <w:pPr>
        <w:pStyle w:val="Bullet"/>
        <w:spacing w:line="240" w:lineRule="exact"/>
      </w:pPr>
      <w:r w:rsidRPr="00A84283">
        <w:t>The Hon Cheryl Edwardes AM</w:t>
      </w:r>
    </w:p>
    <w:p w14:paraId="0606AC34" w14:textId="42B124A8" w:rsidR="00A84283" w:rsidRPr="00A84283" w:rsidRDefault="00A84283" w:rsidP="003D2A8A">
      <w:pPr>
        <w:pStyle w:val="Bullet"/>
        <w:spacing w:line="240" w:lineRule="exact"/>
      </w:pPr>
      <w:r w:rsidRPr="00A84283">
        <w:t>Ms Teresa Dyson</w:t>
      </w:r>
    </w:p>
    <w:p w14:paraId="4908EF34" w14:textId="7F323A9C" w:rsidR="00A84283" w:rsidRPr="00A84283" w:rsidRDefault="00A84283" w:rsidP="003D2A8A">
      <w:pPr>
        <w:pStyle w:val="Bullet"/>
        <w:spacing w:line="240" w:lineRule="exact"/>
      </w:pPr>
      <w:r w:rsidRPr="00A84283">
        <w:t>The Hon Nick Minchin AO</w:t>
      </w:r>
    </w:p>
    <w:p w14:paraId="76CD6D16" w14:textId="0D0E7F04" w:rsidR="00A84283" w:rsidRPr="00A84283" w:rsidRDefault="00A84283" w:rsidP="003D2A8A">
      <w:pPr>
        <w:pStyle w:val="Bullet"/>
        <w:spacing w:line="240" w:lineRule="exact"/>
      </w:pPr>
      <w:r w:rsidRPr="00A84283">
        <w:t>Ms Margaret (Meg) McDonald</w:t>
      </w:r>
    </w:p>
    <w:p w14:paraId="6061A34B" w14:textId="38F7A82A" w:rsidR="0004056B" w:rsidRDefault="00A84283" w:rsidP="001C7EE6">
      <w:pPr>
        <w:pStyle w:val="Bullet"/>
      </w:pPr>
      <w:r w:rsidRPr="00A84283">
        <w:t>Mr Roger Brake (full</w:t>
      </w:r>
      <w:r w:rsidR="004F2943">
        <w:noBreakHyphen/>
      </w:r>
      <w:r w:rsidRPr="00A84283">
        <w:t>time executive member)</w:t>
      </w:r>
    </w:p>
    <w:p w14:paraId="66CA0C20" w14:textId="4B71566C" w:rsidR="0004056B" w:rsidRPr="00A84283" w:rsidRDefault="0004056B" w:rsidP="001C7EE6">
      <w:pPr>
        <w:pStyle w:val="Bullet"/>
        <w:numPr>
          <w:ilvl w:val="0"/>
          <w:numId w:val="0"/>
        </w:numPr>
        <w:spacing w:line="240" w:lineRule="exact"/>
      </w:pPr>
      <w:r>
        <w:t>Mr Patrick Secker’s term expired on 16 December 2018. Mr Minchin was appointed on 17 December 2018, and Ms McDonald</w:t>
      </w:r>
      <w:r w:rsidRPr="00A84283">
        <w:t xml:space="preserve"> was appointed on</w:t>
      </w:r>
      <w:r>
        <w:t xml:space="preserve"> 26 March 2019</w:t>
      </w:r>
      <w:r w:rsidRPr="00A84283">
        <w:t>.</w:t>
      </w:r>
    </w:p>
    <w:p w14:paraId="29E498D5" w14:textId="39993E1D" w:rsidR="0004056B" w:rsidRDefault="00EC2A92" w:rsidP="001C7EE6">
      <w:pPr>
        <w:pStyle w:val="SingleParagraph"/>
      </w:pPr>
      <w:r>
        <w:rPr>
          <w:noProof/>
        </w:rPr>
        <w:lastRenderedPageBreak/>
        <w:drawing>
          <wp:anchor distT="0" distB="0" distL="114300" distR="114300" simplePos="0" relativeHeight="251658254" behindDoc="0" locked="0" layoutInCell="1" allowOverlap="1" wp14:anchorId="144D1026" wp14:editId="2D400FE3">
            <wp:simplePos x="0" y="0"/>
            <wp:positionH relativeFrom="column">
              <wp:posOffset>-2194</wp:posOffset>
            </wp:positionH>
            <wp:positionV relativeFrom="paragraph">
              <wp:posOffset>2222</wp:posOffset>
            </wp:positionV>
            <wp:extent cx="4895850" cy="3495767"/>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1115_Treasury _20191115_001_36-ps-v2_HighRe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895850" cy="3495767"/>
                    </a:xfrm>
                    <a:prstGeom prst="rect">
                      <a:avLst/>
                    </a:prstGeom>
                  </pic:spPr>
                </pic:pic>
              </a:graphicData>
            </a:graphic>
          </wp:anchor>
        </w:drawing>
      </w:r>
    </w:p>
    <w:p w14:paraId="2E8BC9BE" w14:textId="4552338A" w:rsidR="00A84283" w:rsidRPr="00A84283" w:rsidRDefault="00A84283" w:rsidP="001C7EE6">
      <w:pPr>
        <w:spacing w:line="240" w:lineRule="exact"/>
      </w:pPr>
      <w:r w:rsidRPr="00A84283">
        <w:t xml:space="preserve">The </w:t>
      </w:r>
      <w:r w:rsidR="004C6BA5">
        <w:t>Board</w:t>
      </w:r>
      <w:r w:rsidRPr="00A84283">
        <w:t xml:space="preserve">; (left to right,) </w:t>
      </w:r>
      <w:r w:rsidRPr="00D8583C">
        <w:t>Roger Brake, Meg McDonald, Tere</w:t>
      </w:r>
      <w:r w:rsidR="00A42FAB">
        <w:t>sa Dyson, Alice Williams, Chair </w:t>
      </w:r>
      <w:r w:rsidRPr="00D8583C">
        <w:t>David</w:t>
      </w:r>
      <w:r w:rsidR="003D2A8A">
        <w:t> </w:t>
      </w:r>
      <w:r w:rsidRPr="00D8583C">
        <w:t>Irvine, Cheryl Edwardes and Nick Minchin</w:t>
      </w:r>
      <w:r w:rsidR="007A695C">
        <w:t xml:space="preserve">. </w:t>
      </w:r>
      <w:r w:rsidRPr="00A84283">
        <w:t xml:space="preserve">Absent: </w:t>
      </w:r>
      <w:r w:rsidR="007A695C">
        <w:t xml:space="preserve">David Peever. </w:t>
      </w:r>
      <w:r w:rsidR="0004056B">
        <w:br/>
      </w:r>
      <w:r w:rsidR="007A695C">
        <w:t>15 November</w:t>
      </w:r>
      <w:r w:rsidR="00D31521">
        <w:t xml:space="preserve"> 2019, </w:t>
      </w:r>
      <w:r w:rsidRPr="00A84283">
        <w:t xml:space="preserve">Canberra. </w:t>
      </w:r>
    </w:p>
    <w:p w14:paraId="2BCC7C2A" w14:textId="23D3DC69" w:rsidR="00C34749" w:rsidRDefault="00C34749">
      <w:pPr>
        <w:spacing w:after="0" w:line="240" w:lineRule="auto"/>
        <w:jc w:val="left"/>
        <w:rPr>
          <w:rFonts w:ascii="Calibri" w:hAnsi="Calibri" w:cs="Arial"/>
          <w:b/>
          <w:bCs/>
          <w:color w:val="8E54A2"/>
          <w:sz w:val="24"/>
          <w:szCs w:val="26"/>
        </w:rPr>
      </w:pPr>
      <w:r>
        <w:br w:type="page"/>
      </w:r>
    </w:p>
    <w:p w14:paraId="4E2CD15E" w14:textId="00E6A820" w:rsidR="00A84283" w:rsidRDefault="004C6BA5" w:rsidP="00406C1F">
      <w:pPr>
        <w:pStyle w:val="Heading3"/>
        <w:rPr>
          <w:highlight w:val="yellow"/>
        </w:rPr>
      </w:pPr>
      <w:r>
        <w:lastRenderedPageBreak/>
        <w:t>Board</w:t>
      </w:r>
      <w:r w:rsidR="00A84283" w:rsidRPr="00406C1F">
        <w:t xml:space="preserve"> m</w:t>
      </w:r>
      <w:r w:rsidR="00D31521" w:rsidRPr="00A618B6">
        <w:t xml:space="preserve">embership as of </w:t>
      </w:r>
      <w:r w:rsidR="00687DE7">
        <w:t xml:space="preserve">30 June </w:t>
      </w:r>
      <w:r w:rsidR="00D31521" w:rsidRPr="00D8583C">
        <w:t>2019</w:t>
      </w: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r David Irvine's Bio"/>
        <w:tblDescription w:val="Mr David Irvine AO&#10;Chair and non executive member&#10;Chair since 16 April 2017&#10;Member since 3 December 2015&#10;Mr Irvine has significant national security expertise as a former Director General of both the Australian Security Intelligence Organisation and the Australian Secret Intelligence Service. He is also a former Australian Ambassador to China and former Australian High Commissioner to Papua New Guinea.&#10;Other roles&#10;Adjunct Professor – Australian Graduate School of Policy and Security at Charles Sturt University&#10;Chair – Cyber Security Cooperative Research Centre"/>
      </w:tblPr>
      <w:tblGrid>
        <w:gridCol w:w="5387"/>
        <w:gridCol w:w="2268"/>
      </w:tblGrid>
      <w:tr w:rsidR="00416D19" w:rsidRPr="005106BA" w14:paraId="2BB42FAE" w14:textId="77777777" w:rsidTr="00CB560A">
        <w:trPr>
          <w:trHeight w:val="2680"/>
          <w:tblHeader/>
        </w:trPr>
        <w:tc>
          <w:tcPr>
            <w:tcW w:w="5387" w:type="dxa"/>
          </w:tcPr>
          <w:p w14:paraId="3064490B" w14:textId="77777777" w:rsidR="00416D19" w:rsidRPr="00241E7E" w:rsidRDefault="00416D19" w:rsidP="00497197">
            <w:pPr>
              <w:spacing w:after="200"/>
              <w:rPr>
                <w:rFonts w:ascii="Calibri" w:hAnsi="Calibri"/>
                <w:b/>
                <w:sz w:val="24"/>
              </w:rPr>
            </w:pPr>
            <w:r w:rsidRPr="00241E7E">
              <w:rPr>
                <w:rFonts w:ascii="Calibri" w:hAnsi="Calibri"/>
                <w:b/>
                <w:sz w:val="24"/>
              </w:rPr>
              <w:t>Mr David Irvine AO</w:t>
            </w:r>
          </w:p>
          <w:p w14:paraId="1252F9AD" w14:textId="77777777" w:rsidR="00416D19" w:rsidRPr="00416D19" w:rsidRDefault="00416D19" w:rsidP="00416D19">
            <w:pPr>
              <w:keepNext/>
              <w:keepLines/>
              <w:spacing w:before="200" w:after="120"/>
              <w:outlineLvl w:val="3"/>
              <w:rPr>
                <w:rFonts w:ascii="Calibri" w:eastAsiaTheme="majorEastAsia" w:hAnsi="Calibri" w:cstheme="majorBidi"/>
                <w:b/>
                <w:bCs/>
                <w:i/>
                <w:iCs/>
                <w:color w:val="653979"/>
              </w:rPr>
            </w:pPr>
            <w:r w:rsidRPr="00416D19">
              <w:rPr>
                <w:rFonts w:ascii="Calibri" w:eastAsiaTheme="majorEastAsia" w:hAnsi="Calibri" w:cstheme="majorBidi"/>
                <w:b/>
                <w:bCs/>
                <w:i/>
                <w:iCs/>
                <w:color w:val="653979"/>
              </w:rPr>
              <w:t>Chair and non</w:t>
            </w:r>
            <w:r w:rsidRPr="00416D19">
              <w:rPr>
                <w:rFonts w:ascii="Calibri" w:eastAsiaTheme="majorEastAsia" w:hAnsi="Calibri" w:cstheme="majorBidi"/>
                <w:b/>
                <w:bCs/>
                <w:i/>
                <w:iCs/>
                <w:color w:val="653979"/>
              </w:rPr>
              <w:noBreakHyphen/>
              <w:t>executive member</w:t>
            </w:r>
          </w:p>
          <w:p w14:paraId="144121B1" w14:textId="77777777" w:rsidR="00416D19" w:rsidRDefault="00416D19" w:rsidP="00497197">
            <w:pPr>
              <w:spacing w:after="160"/>
              <w:jc w:val="left"/>
              <w:rPr>
                <w:rFonts w:ascii="Calibri" w:hAnsi="Calibri"/>
              </w:rPr>
            </w:pPr>
            <w:r w:rsidRPr="005106BA">
              <w:rPr>
                <w:rFonts w:ascii="Calibri" w:hAnsi="Calibri"/>
              </w:rPr>
              <w:t>Chair since 16 April 2017</w:t>
            </w:r>
            <w:r w:rsidRPr="005106BA">
              <w:rPr>
                <w:rFonts w:ascii="Calibri" w:hAnsi="Calibri"/>
              </w:rPr>
              <w:br/>
            </w:r>
            <w:r>
              <w:rPr>
                <w:rFonts w:ascii="Calibri" w:hAnsi="Calibri"/>
              </w:rPr>
              <w:t>M</w:t>
            </w:r>
            <w:r w:rsidRPr="005106BA">
              <w:rPr>
                <w:rFonts w:ascii="Calibri" w:hAnsi="Calibri"/>
              </w:rPr>
              <w:t>ember since 3 December 2015</w:t>
            </w:r>
          </w:p>
          <w:p w14:paraId="21B62D7D" w14:textId="3D396070" w:rsidR="00416D19" w:rsidRPr="00416D19" w:rsidRDefault="00416D19" w:rsidP="00416D19">
            <w:pPr>
              <w:keepNext/>
              <w:keepLines/>
              <w:spacing w:after="0"/>
            </w:pPr>
            <w:r w:rsidRPr="00713EEE">
              <w:t>Mr Irvine has significant national security expertise as a former Director</w:t>
            </w:r>
            <w:r>
              <w:noBreakHyphen/>
            </w:r>
            <w:r w:rsidRPr="00713EEE">
              <w:t>General of both the</w:t>
            </w:r>
            <w:r>
              <w:t xml:space="preserve"> </w:t>
            </w:r>
            <w:r w:rsidRPr="00713EEE">
              <w:t>Australian Security Intelligence Organisation</w:t>
            </w:r>
            <w:r>
              <w:t xml:space="preserve"> </w:t>
            </w:r>
            <w:r w:rsidRPr="00713EEE">
              <w:t>and the Australian Secret Intelligence Service.</w:t>
            </w:r>
            <w:r>
              <w:t xml:space="preserve"> </w:t>
            </w:r>
            <w:r w:rsidRPr="00713EEE">
              <w:t>He is also a former</w:t>
            </w:r>
            <w:r>
              <w:t xml:space="preserve"> </w:t>
            </w:r>
            <w:r w:rsidRPr="00713EEE">
              <w:t>Australian Ambassador to China and former Australian High Co</w:t>
            </w:r>
            <w:r>
              <w:t>mmissioner to Papua New Guinea.</w:t>
            </w:r>
          </w:p>
        </w:tc>
        <w:tc>
          <w:tcPr>
            <w:tcW w:w="2268" w:type="dxa"/>
          </w:tcPr>
          <w:p w14:paraId="64FBD200" w14:textId="77777777" w:rsidR="00416D19" w:rsidRPr="005106BA" w:rsidRDefault="00416D19" w:rsidP="00497197">
            <w:pPr>
              <w:pStyle w:val="ChartGraphic"/>
              <w:jc w:val="right"/>
              <w:rPr>
                <w:b/>
                <w:noProof/>
              </w:rPr>
            </w:pPr>
            <w:r w:rsidRPr="005106BA">
              <w:rPr>
                <w:noProof/>
              </w:rPr>
              <w:drawing>
                <wp:inline distT="0" distB="0" distL="0" distR="0" wp14:anchorId="370AD0A6" wp14:editId="26757136">
                  <wp:extent cx="1350000" cy="1782000"/>
                  <wp:effectExtent l="0" t="0" r="3175" b="8890"/>
                  <wp:docPr id="37" name="Picture 37" descr="Photo of Mr David Irvine AO" title="Photo of Mr David Irvine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eb\DavWWWRoot\sites\mg\sbccpd\activity\secretariat\firb\04 23 June 2016\Photos\David_Irvine-00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7337" b="1472"/>
                          <a:stretch/>
                        </pic:blipFill>
                        <pic:spPr bwMode="auto">
                          <a:xfrm>
                            <a:off x="0" y="0"/>
                            <a:ext cx="1350000" cy="178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6D19" w:rsidRPr="005106BA" w14:paraId="3FB25244" w14:textId="77777777" w:rsidTr="00416D19">
        <w:tc>
          <w:tcPr>
            <w:tcW w:w="7655" w:type="dxa"/>
            <w:gridSpan w:val="2"/>
          </w:tcPr>
          <w:p w14:paraId="2498C669" w14:textId="77777777" w:rsidR="00416D19" w:rsidRPr="00416D19" w:rsidRDefault="00416D19" w:rsidP="00FA02B4">
            <w:pPr>
              <w:keepNext/>
              <w:keepLines/>
              <w:spacing w:before="120" w:after="120" w:line="240" w:lineRule="auto"/>
              <w:outlineLvl w:val="3"/>
              <w:rPr>
                <w:rFonts w:ascii="Calibri" w:eastAsiaTheme="majorEastAsia" w:hAnsi="Calibri" w:cstheme="majorBidi"/>
                <w:b/>
                <w:bCs/>
                <w:i/>
                <w:iCs/>
                <w:color w:val="653979"/>
              </w:rPr>
            </w:pPr>
            <w:r w:rsidRPr="00416D19">
              <w:rPr>
                <w:rFonts w:ascii="Calibri" w:eastAsiaTheme="majorEastAsia" w:hAnsi="Calibri" w:cstheme="majorBidi"/>
                <w:b/>
                <w:bCs/>
                <w:i/>
                <w:iCs/>
                <w:color w:val="653979"/>
              </w:rPr>
              <w:t>Other roles</w:t>
            </w:r>
          </w:p>
          <w:p w14:paraId="6E75FE86" w14:textId="5E7F7F7A" w:rsidR="00416D19" w:rsidRPr="00416D19" w:rsidRDefault="00416D19" w:rsidP="00A42FAB">
            <w:r w:rsidRPr="00713EEE">
              <w:t xml:space="preserve">Adjunct Professor </w:t>
            </w:r>
            <w:r>
              <w:t>–</w:t>
            </w:r>
            <w:r w:rsidRPr="00713EEE">
              <w:t xml:space="preserve"> Australian</w:t>
            </w:r>
            <w:r>
              <w:t xml:space="preserve"> </w:t>
            </w:r>
            <w:r w:rsidRPr="00713EEE">
              <w:t>Graduate School of Policy and Security at Charles</w:t>
            </w:r>
            <w:r w:rsidR="00A42FAB">
              <w:t> </w:t>
            </w:r>
            <w:r w:rsidRPr="00713EEE">
              <w:t>Sturt</w:t>
            </w:r>
            <w:r>
              <w:t> </w:t>
            </w:r>
            <w:r w:rsidRPr="00713EEE">
              <w:t>University</w:t>
            </w:r>
            <w:r>
              <w:br/>
            </w:r>
            <w:r w:rsidRPr="00713EEE">
              <w:t xml:space="preserve">Chair </w:t>
            </w:r>
            <w:r>
              <w:t>–</w:t>
            </w:r>
            <w:r w:rsidRPr="00713EEE">
              <w:t xml:space="preserve"> Cyber</w:t>
            </w:r>
            <w:r>
              <w:t xml:space="preserve"> </w:t>
            </w:r>
            <w:r w:rsidRPr="00713EEE">
              <w:t xml:space="preserve">Security </w:t>
            </w:r>
            <w:r>
              <w:t xml:space="preserve">Cooperative </w:t>
            </w:r>
            <w:r w:rsidRPr="00713EEE">
              <w:t>Research C</w:t>
            </w:r>
            <w:r>
              <w:t xml:space="preserve">entre </w:t>
            </w:r>
          </w:p>
        </w:tc>
      </w:tr>
    </w:tbl>
    <w:p w14:paraId="151D3CA3" w14:textId="21AB3747" w:rsidR="00416D19" w:rsidRDefault="00416D19" w:rsidP="00FA02B4">
      <w:pPr>
        <w:pStyle w:val="SingleParagrap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rs Alice Williams Bio"/>
        <w:tblDescription w:val="Ms Alice Williams&#10;Non executive member&#10;Member since 16 July 2015&#10;Ms Williams has over 25 years of senior management and board level experience in the corporate and government sectors. Former directorships include Ansett Australia, the Australian Accounting Standards Board, JP Morgan, NM Rothschild, State Trustees and a Commissioner of the Victorian Competition and Efficiency Commission. &#10;She has been a consultant to listed corporations in Australia, the Gulf States and state and federal regulatory bodies. &#10;Other roles&#10;Director – Cooper Energy Ltd&#10;Director – Defence Health&#10;Director – Djerriwarrh Investments Ltd&#10;Director – Equity Trustees&#10;Director – Tobacco Free Portfolio"/>
      </w:tblPr>
      <w:tblGrid>
        <w:gridCol w:w="5387"/>
        <w:gridCol w:w="2323"/>
      </w:tblGrid>
      <w:tr w:rsidR="00200537" w:rsidRPr="005106BA" w14:paraId="30B27D0B" w14:textId="77777777" w:rsidTr="00CB560A">
        <w:trPr>
          <w:trHeight w:val="1298"/>
          <w:tblHeader/>
        </w:trPr>
        <w:tc>
          <w:tcPr>
            <w:tcW w:w="5387" w:type="dxa"/>
          </w:tcPr>
          <w:p w14:paraId="46C9257B" w14:textId="77777777" w:rsidR="00200537" w:rsidRPr="00241E7E" w:rsidRDefault="00200537" w:rsidP="00497197">
            <w:pPr>
              <w:rPr>
                <w:rFonts w:ascii="Calibri" w:hAnsi="Calibri"/>
                <w:b/>
                <w:sz w:val="24"/>
              </w:rPr>
            </w:pPr>
            <w:r w:rsidRPr="00241E7E">
              <w:rPr>
                <w:rFonts w:ascii="Calibri" w:hAnsi="Calibri"/>
                <w:b/>
                <w:sz w:val="24"/>
              </w:rPr>
              <w:t>Ms Alice Williams</w:t>
            </w:r>
          </w:p>
          <w:p w14:paraId="424F49EA" w14:textId="77777777" w:rsidR="00200537" w:rsidRPr="00416D19" w:rsidRDefault="00200537" w:rsidP="00200537">
            <w:pPr>
              <w:keepNext/>
              <w:keepLines/>
              <w:spacing w:before="200" w:after="120"/>
              <w:outlineLvl w:val="3"/>
              <w:rPr>
                <w:rFonts w:ascii="Calibri" w:eastAsiaTheme="majorEastAsia" w:hAnsi="Calibri" w:cstheme="majorBidi"/>
                <w:b/>
                <w:bCs/>
                <w:i/>
                <w:iCs/>
                <w:color w:val="653979"/>
              </w:rPr>
            </w:pPr>
            <w:r>
              <w:rPr>
                <w:rFonts w:ascii="Calibri" w:eastAsiaTheme="majorEastAsia" w:hAnsi="Calibri" w:cstheme="majorBidi"/>
                <w:b/>
                <w:bCs/>
                <w:i/>
                <w:iCs/>
                <w:color w:val="653979"/>
              </w:rPr>
              <w:t>N</w:t>
            </w:r>
            <w:r w:rsidRPr="00416D19">
              <w:rPr>
                <w:rFonts w:ascii="Calibri" w:eastAsiaTheme="majorEastAsia" w:hAnsi="Calibri" w:cstheme="majorBidi"/>
                <w:b/>
                <w:bCs/>
                <w:i/>
                <w:iCs/>
                <w:color w:val="653979"/>
              </w:rPr>
              <w:t>on</w:t>
            </w:r>
            <w:r w:rsidRPr="00416D19">
              <w:rPr>
                <w:rFonts w:ascii="Calibri" w:eastAsiaTheme="majorEastAsia" w:hAnsi="Calibri" w:cstheme="majorBidi"/>
                <w:b/>
                <w:bCs/>
                <w:i/>
                <w:iCs/>
                <w:color w:val="653979"/>
              </w:rPr>
              <w:noBreakHyphen/>
              <w:t>executive member</w:t>
            </w:r>
          </w:p>
          <w:p w14:paraId="4BAC0CF3" w14:textId="35EA5963" w:rsidR="00200537" w:rsidRPr="00200537" w:rsidRDefault="00200537" w:rsidP="00200537">
            <w:pPr>
              <w:keepNext/>
              <w:keepLines/>
            </w:pPr>
            <w:r>
              <w:t>Member since 16 July 2015</w:t>
            </w:r>
          </w:p>
        </w:tc>
        <w:tc>
          <w:tcPr>
            <w:tcW w:w="2323" w:type="dxa"/>
            <w:vMerge w:val="restart"/>
          </w:tcPr>
          <w:p w14:paraId="2279AB6F" w14:textId="207FC543" w:rsidR="00200537" w:rsidRPr="005106BA" w:rsidRDefault="00200537" w:rsidP="00497197">
            <w:pPr>
              <w:pStyle w:val="ChartGraphic"/>
              <w:jc w:val="right"/>
            </w:pPr>
            <w:r w:rsidRPr="00C468A5">
              <w:rPr>
                <w:b/>
                <w:noProof/>
                <w:sz w:val="24"/>
                <w:szCs w:val="24"/>
              </w:rPr>
              <w:drawing>
                <wp:inline distT="0" distB="0" distL="0" distR="0" wp14:anchorId="60BF52B6" wp14:editId="65B7561E">
                  <wp:extent cx="1289050" cy="1933575"/>
                  <wp:effectExtent l="0" t="0" r="6350" b="9525"/>
                  <wp:docPr id="45" name="Picture 45" descr="Photo of Mrs Alice Williams" title="Photo Mrs Alice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web\DavWWWRoot\sites\mg\sbccpd\activity\secretariat\firb\04 23 June 2016\Photos\Alice_Williams-001.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291006" cy="19365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0537" w:rsidRPr="005106BA" w14:paraId="00AB21EA" w14:textId="77777777" w:rsidTr="00CB560A">
        <w:trPr>
          <w:trHeight w:val="1263"/>
          <w:tblHeader/>
        </w:trPr>
        <w:tc>
          <w:tcPr>
            <w:tcW w:w="5387" w:type="dxa"/>
          </w:tcPr>
          <w:p w14:paraId="4A73DFEB" w14:textId="738013D6" w:rsidR="00BE4830" w:rsidRPr="00EB76D3" w:rsidRDefault="00200537" w:rsidP="00A42FAB">
            <w:pPr>
              <w:spacing w:after="0" w:line="240" w:lineRule="auto"/>
              <w:rPr>
                <w:rFonts w:ascii="Calibri" w:hAnsi="Calibri"/>
              </w:rPr>
            </w:pPr>
            <w:r w:rsidRPr="00713EEE">
              <w:t xml:space="preserve">Ms Williams has over 25 years of senior management and board level experience in the corporate and government sectors. Former directorships include Ansett Australia, the Australian Accounting Standards Board, JP Morgan, NM Rothschild, State Trustees and a Commissioner of the Victorian Competition and </w:t>
            </w:r>
            <w:r w:rsidR="00015B9B" w:rsidRPr="00713EEE">
              <w:t xml:space="preserve">Efficiency Commission. </w:t>
            </w:r>
            <w:r w:rsidR="00015B9B">
              <w:t xml:space="preserve"> </w:t>
            </w:r>
          </w:p>
        </w:tc>
        <w:tc>
          <w:tcPr>
            <w:tcW w:w="2323" w:type="dxa"/>
            <w:vMerge/>
          </w:tcPr>
          <w:p w14:paraId="5A621ACD" w14:textId="77777777" w:rsidR="00200537" w:rsidRPr="00EB76D3" w:rsidRDefault="00200537" w:rsidP="00497197">
            <w:pPr>
              <w:spacing w:after="0" w:line="240" w:lineRule="auto"/>
              <w:rPr>
                <w:rFonts w:ascii="Calibri" w:hAnsi="Calibri"/>
              </w:rPr>
            </w:pPr>
          </w:p>
        </w:tc>
      </w:tr>
      <w:tr w:rsidR="00200537" w:rsidRPr="005106BA" w14:paraId="68931EF9" w14:textId="77777777" w:rsidTr="00497197">
        <w:tc>
          <w:tcPr>
            <w:tcW w:w="7710" w:type="dxa"/>
            <w:gridSpan w:val="2"/>
          </w:tcPr>
          <w:p w14:paraId="4040AFA7" w14:textId="41AA788C" w:rsidR="00200537" w:rsidRPr="00200537" w:rsidRDefault="00200537" w:rsidP="00FA02B4">
            <w:pPr>
              <w:spacing w:after="0" w:line="240" w:lineRule="auto"/>
            </w:pPr>
            <w:r w:rsidRPr="00713EEE">
              <w:t xml:space="preserve">She has been a </w:t>
            </w:r>
            <w:r w:rsidRPr="00200537">
              <w:t xml:space="preserve">consultant to listed corporations in Australia, the Gulf States and state and federal regulatory bodies. </w:t>
            </w:r>
          </w:p>
          <w:p w14:paraId="60ECF4B4" w14:textId="77777777" w:rsidR="00FA02B4" w:rsidRPr="00416D19" w:rsidRDefault="00FA02B4" w:rsidP="00FA02B4">
            <w:pPr>
              <w:keepNext/>
              <w:keepLines/>
              <w:spacing w:before="120" w:after="120"/>
              <w:outlineLvl w:val="3"/>
              <w:rPr>
                <w:rFonts w:ascii="Calibri" w:eastAsiaTheme="majorEastAsia" w:hAnsi="Calibri" w:cstheme="majorBidi"/>
                <w:b/>
                <w:bCs/>
                <w:i/>
                <w:iCs/>
                <w:color w:val="653979"/>
              </w:rPr>
            </w:pPr>
            <w:r w:rsidRPr="00416D19">
              <w:rPr>
                <w:rFonts w:ascii="Calibri" w:eastAsiaTheme="majorEastAsia" w:hAnsi="Calibri" w:cstheme="majorBidi"/>
                <w:b/>
                <w:bCs/>
                <w:i/>
                <w:iCs/>
                <w:color w:val="653979"/>
              </w:rPr>
              <w:t>Other roles</w:t>
            </w:r>
          </w:p>
          <w:p w14:paraId="59929CB8" w14:textId="40D0E4B7" w:rsidR="00200537" w:rsidRPr="005106BA" w:rsidRDefault="00FA02B4" w:rsidP="000E5A17">
            <w:pPr>
              <w:tabs>
                <w:tab w:val="left" w:pos="4672"/>
              </w:tabs>
              <w:spacing w:after="0"/>
              <w:jc w:val="left"/>
              <w:rPr>
                <w:rFonts w:ascii="Calibri" w:hAnsi="Calibri"/>
                <w:noProof/>
              </w:rPr>
            </w:pPr>
            <w:r w:rsidRPr="00713EEE">
              <w:t>Director – Cooper Energy Ltd</w:t>
            </w:r>
            <w:r>
              <w:br/>
            </w:r>
            <w:r w:rsidRPr="00713EEE">
              <w:t>Director – Defence Health</w:t>
            </w:r>
            <w:r>
              <w:br/>
            </w:r>
            <w:r w:rsidRPr="00713EEE">
              <w:t>Director – Djerriwarrh Investments Ltd</w:t>
            </w:r>
            <w:r>
              <w:br/>
            </w:r>
            <w:r w:rsidRPr="00713EEE">
              <w:t>Director – Equity Trustees</w:t>
            </w:r>
          </w:p>
        </w:tc>
      </w:tr>
    </w:tbl>
    <w:p w14:paraId="785BFC05" w14:textId="77777777" w:rsidR="00200537" w:rsidRDefault="00200537" w:rsidP="00422C1D">
      <w:pPr>
        <w:pStyle w:val="SingleParagraph"/>
      </w:pPr>
    </w:p>
    <w:p w14:paraId="66650253" w14:textId="426997D7" w:rsidR="00416D19" w:rsidRDefault="00416D19">
      <w:pPr>
        <w:spacing w:after="0" w:line="240" w:lineRule="auto"/>
        <w:jc w:val="left"/>
        <w:rPr>
          <w:b/>
          <w:sz w:val="24"/>
          <w:szCs w:val="24"/>
        </w:rPr>
      </w:pPr>
      <w:r>
        <w:rPr>
          <w:b/>
          <w:sz w:val="24"/>
          <w:szCs w:val="24"/>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r David Peever Bio"/>
        <w:tblDescription w:val="Mr David Peever&#10;Non executive member&#10;Member since 1 February 2016&#10;Mr Peever retired as Managing Director of Rio Tinto Australia in 2014, after 27 years with the company.&#10;He is a former Vice Chairman of the Minerals Council of Australia and Director of the Business Council of Australia. He was a member of the Prime Minister’s Indigenous Advisory Council and chaired the Minister of Defence’s First Principles Review of the Defence Department as well as the subsequent Implementation Oversight Committee. He is a former Director of Melbourne Business School and was the founding Director of the Stars Foundation which enables education and opportunity for indigenous girls. He is also the former Chairman of Cricket Australia.&#10;Other roles&#10;Chairman – Brisbane Airport Corporation Group of Companies &#10;Chair – First Principles Review Oversight Board&#10;Director – Australian Foundation Financial Investment Company&#10;Director – Naval Group Australia&#10;"/>
      </w:tblPr>
      <w:tblGrid>
        <w:gridCol w:w="5387"/>
        <w:gridCol w:w="2323"/>
      </w:tblGrid>
      <w:tr w:rsidR="00FA02B4" w:rsidRPr="005106BA" w14:paraId="425EBB7B" w14:textId="77777777" w:rsidTr="00CB560A">
        <w:trPr>
          <w:trHeight w:val="1426"/>
          <w:tblHeader/>
        </w:trPr>
        <w:tc>
          <w:tcPr>
            <w:tcW w:w="5387" w:type="dxa"/>
          </w:tcPr>
          <w:p w14:paraId="17A7BE7D" w14:textId="77777777" w:rsidR="00FA02B4" w:rsidRPr="00241E7E" w:rsidRDefault="00FA02B4" w:rsidP="00FA02B4">
            <w:pPr>
              <w:spacing w:after="200"/>
              <w:rPr>
                <w:rFonts w:ascii="Calibri" w:hAnsi="Calibri"/>
                <w:b/>
                <w:sz w:val="24"/>
              </w:rPr>
            </w:pPr>
            <w:r w:rsidRPr="001933E1">
              <w:rPr>
                <w:rFonts w:ascii="Calibri" w:hAnsi="Calibri"/>
                <w:b/>
                <w:sz w:val="24"/>
              </w:rPr>
              <w:lastRenderedPageBreak/>
              <w:t>Mr David Peever</w:t>
            </w:r>
          </w:p>
          <w:p w14:paraId="19437CAE" w14:textId="77777777" w:rsidR="00FA02B4" w:rsidRPr="00416D19" w:rsidRDefault="00FA02B4" w:rsidP="00FA02B4">
            <w:pPr>
              <w:keepNext/>
              <w:keepLines/>
              <w:spacing w:before="200" w:after="120"/>
              <w:outlineLvl w:val="3"/>
              <w:rPr>
                <w:rFonts w:ascii="Calibri" w:eastAsiaTheme="majorEastAsia" w:hAnsi="Calibri" w:cstheme="majorBidi"/>
                <w:b/>
                <w:bCs/>
                <w:i/>
                <w:iCs/>
                <w:color w:val="653979"/>
              </w:rPr>
            </w:pPr>
            <w:r>
              <w:rPr>
                <w:rFonts w:ascii="Calibri" w:eastAsiaTheme="majorEastAsia" w:hAnsi="Calibri" w:cstheme="majorBidi"/>
                <w:b/>
                <w:bCs/>
                <w:i/>
                <w:iCs/>
                <w:color w:val="653979"/>
              </w:rPr>
              <w:t>N</w:t>
            </w:r>
            <w:r w:rsidRPr="00416D19">
              <w:rPr>
                <w:rFonts w:ascii="Calibri" w:eastAsiaTheme="majorEastAsia" w:hAnsi="Calibri" w:cstheme="majorBidi"/>
                <w:b/>
                <w:bCs/>
                <w:i/>
                <w:iCs/>
                <w:color w:val="653979"/>
              </w:rPr>
              <w:t>on</w:t>
            </w:r>
            <w:r w:rsidRPr="00416D19">
              <w:rPr>
                <w:rFonts w:ascii="Calibri" w:eastAsiaTheme="majorEastAsia" w:hAnsi="Calibri" w:cstheme="majorBidi"/>
                <w:b/>
                <w:bCs/>
                <w:i/>
                <w:iCs/>
                <w:color w:val="653979"/>
              </w:rPr>
              <w:noBreakHyphen/>
              <w:t>executive member</w:t>
            </w:r>
          </w:p>
          <w:p w14:paraId="322F93A6" w14:textId="43ADAD90" w:rsidR="00FA02B4" w:rsidRPr="00200537" w:rsidRDefault="00FA02B4" w:rsidP="00FA02B4">
            <w:pPr>
              <w:keepNext/>
              <w:keepLines/>
              <w:spacing w:after="120"/>
            </w:pPr>
            <w:r w:rsidRPr="00713EEE">
              <w:t>Member since 1 February 20</w:t>
            </w:r>
            <w:r>
              <w:t>16</w:t>
            </w:r>
          </w:p>
        </w:tc>
        <w:tc>
          <w:tcPr>
            <w:tcW w:w="2323" w:type="dxa"/>
            <w:vMerge w:val="restart"/>
          </w:tcPr>
          <w:p w14:paraId="66400DCF" w14:textId="591E7286" w:rsidR="00FA02B4" w:rsidRPr="005106BA" w:rsidRDefault="00FA02B4" w:rsidP="00497197">
            <w:pPr>
              <w:pStyle w:val="ChartGraphic"/>
              <w:jc w:val="right"/>
            </w:pPr>
            <w:r w:rsidRPr="009421E6">
              <w:rPr>
                <w:b/>
                <w:noProof/>
                <w:sz w:val="24"/>
                <w:szCs w:val="24"/>
              </w:rPr>
              <w:drawing>
                <wp:inline distT="0" distB="0" distL="0" distR="0" wp14:anchorId="001C712D" wp14:editId="1CE365DE">
                  <wp:extent cx="1411558" cy="1866900"/>
                  <wp:effectExtent l="0" t="0" r="0" b="0"/>
                  <wp:docPr id="47" name="Picture 47" descr="Photo of Mr David Peever" title="Photo Mr David Pe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 of David Peever"/>
                          <pic:cNvPicPr>
                            <a:picLocks noChangeArrowheads="1"/>
                          </pic:cNvPicPr>
                        </pic:nvPicPr>
                        <pic:blipFill rotWithShape="1">
                          <a:blip r:embed="rId51" cstate="print">
                            <a:extLst>
                              <a:ext uri="{28A0092B-C50C-407E-A947-70E740481C1C}">
                                <a14:useLocalDpi xmlns:a14="http://schemas.microsoft.com/office/drawing/2010/main" val="0"/>
                              </a:ext>
                            </a:extLst>
                          </a:blip>
                          <a:srcRect l="10379" r="16626"/>
                          <a:stretch/>
                        </pic:blipFill>
                        <pic:spPr bwMode="auto">
                          <a:xfrm>
                            <a:off x="0" y="0"/>
                            <a:ext cx="1423858" cy="18831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02B4" w:rsidRPr="005106BA" w14:paraId="690C33B4" w14:textId="77777777" w:rsidTr="00CB560A">
        <w:trPr>
          <w:trHeight w:val="1263"/>
          <w:tblHeader/>
        </w:trPr>
        <w:tc>
          <w:tcPr>
            <w:tcW w:w="5387" w:type="dxa"/>
          </w:tcPr>
          <w:p w14:paraId="74B9F088" w14:textId="77777777" w:rsidR="00FA02B4" w:rsidRPr="00713EEE" w:rsidRDefault="00FA02B4" w:rsidP="00FA02B4">
            <w:pPr>
              <w:keepNext/>
              <w:keepLines/>
              <w:spacing w:after="120" w:line="240" w:lineRule="auto"/>
            </w:pPr>
            <w:r w:rsidRPr="00713EEE">
              <w:t>Mr Peever retired as Managing Director of Rio Tinto Australia in 2014, after 27 years with the company.</w:t>
            </w:r>
          </w:p>
          <w:p w14:paraId="474B2C22" w14:textId="3FD35A95" w:rsidR="00FA02B4" w:rsidRPr="00EB76D3" w:rsidRDefault="00FA02B4" w:rsidP="00FA02B4">
            <w:pPr>
              <w:spacing w:after="0" w:line="240" w:lineRule="auto"/>
              <w:rPr>
                <w:rFonts w:ascii="Calibri" w:hAnsi="Calibri"/>
              </w:rPr>
            </w:pPr>
            <w:r w:rsidRPr="00713EEE">
              <w:t xml:space="preserve">He is a former Vice Chairman of the Minerals Council of Australia and Director of the Business Council of Australia. He was a member of the Prime Minister’s Indigenous Advisory Council and chaired the Minister of Defence’s First Principles Review of </w:t>
            </w:r>
          </w:p>
        </w:tc>
        <w:tc>
          <w:tcPr>
            <w:tcW w:w="2323" w:type="dxa"/>
            <w:vMerge/>
          </w:tcPr>
          <w:p w14:paraId="29E8F503" w14:textId="77777777" w:rsidR="00FA02B4" w:rsidRPr="00EB76D3" w:rsidRDefault="00FA02B4" w:rsidP="00497197">
            <w:pPr>
              <w:spacing w:after="0" w:line="240" w:lineRule="auto"/>
              <w:rPr>
                <w:rFonts w:ascii="Calibri" w:hAnsi="Calibri"/>
              </w:rPr>
            </w:pPr>
          </w:p>
        </w:tc>
      </w:tr>
      <w:tr w:rsidR="00FA02B4" w:rsidRPr="005106BA" w14:paraId="4B943D01" w14:textId="77777777" w:rsidTr="00497197">
        <w:tc>
          <w:tcPr>
            <w:tcW w:w="7710" w:type="dxa"/>
            <w:gridSpan w:val="2"/>
          </w:tcPr>
          <w:p w14:paraId="5C69DB72" w14:textId="77777777" w:rsidR="00FA02B4" w:rsidRDefault="00FA02B4" w:rsidP="00FA02B4">
            <w:pPr>
              <w:keepNext/>
              <w:keepLines/>
              <w:spacing w:after="0" w:line="240" w:lineRule="auto"/>
              <w:outlineLvl w:val="3"/>
            </w:pPr>
            <w:r w:rsidRPr="00713EEE">
              <w:t xml:space="preserve">the Defence Department as well as the subsequent Implementation Oversight Committee. He is a former Director of Melbourne Business School and was the founding Director of the Stars Foundation which enables education and opportunity for </w:t>
            </w:r>
            <w:r>
              <w:t>i</w:t>
            </w:r>
            <w:r w:rsidRPr="00713EEE">
              <w:t>ndigenous girls. He is also the former Chairman of Cricket Australia.</w:t>
            </w:r>
          </w:p>
          <w:p w14:paraId="6C53AD02" w14:textId="30FFB259" w:rsidR="00FA02B4" w:rsidRPr="00416D19" w:rsidRDefault="00FA02B4" w:rsidP="00FA02B4">
            <w:pPr>
              <w:keepNext/>
              <w:keepLines/>
              <w:spacing w:before="120" w:after="120"/>
              <w:outlineLvl w:val="3"/>
              <w:rPr>
                <w:rFonts w:ascii="Calibri" w:eastAsiaTheme="majorEastAsia" w:hAnsi="Calibri" w:cstheme="majorBidi"/>
                <w:b/>
                <w:bCs/>
                <w:i/>
                <w:iCs/>
                <w:color w:val="653979"/>
              </w:rPr>
            </w:pPr>
            <w:r w:rsidRPr="00416D19">
              <w:rPr>
                <w:rFonts w:ascii="Calibri" w:eastAsiaTheme="majorEastAsia" w:hAnsi="Calibri" w:cstheme="majorBidi"/>
                <w:b/>
                <w:bCs/>
                <w:i/>
                <w:iCs/>
                <w:color w:val="653979"/>
              </w:rPr>
              <w:t>Other roles</w:t>
            </w:r>
          </w:p>
          <w:p w14:paraId="61210A47" w14:textId="1F81D62D" w:rsidR="00FA02B4" w:rsidRPr="005106BA" w:rsidRDefault="003810FA" w:rsidP="00E41340">
            <w:pPr>
              <w:tabs>
                <w:tab w:val="left" w:pos="4672"/>
              </w:tabs>
              <w:spacing w:after="0"/>
              <w:jc w:val="left"/>
              <w:rPr>
                <w:rFonts w:ascii="Calibri" w:hAnsi="Calibri"/>
                <w:noProof/>
              </w:rPr>
            </w:pPr>
            <w:r w:rsidRPr="00713EEE">
              <w:t xml:space="preserve">Chairman </w:t>
            </w:r>
            <w:r>
              <w:t>–</w:t>
            </w:r>
            <w:r w:rsidRPr="00713EEE">
              <w:t xml:space="preserve"> Brisbane</w:t>
            </w:r>
            <w:r>
              <w:t xml:space="preserve"> </w:t>
            </w:r>
            <w:r w:rsidRPr="00713EEE">
              <w:t xml:space="preserve">Airport Corporation Group of Companies </w:t>
            </w:r>
            <w:r>
              <w:br/>
            </w:r>
            <w:r w:rsidRPr="00713EEE">
              <w:t xml:space="preserve">Chair </w:t>
            </w:r>
            <w:r>
              <w:t>–</w:t>
            </w:r>
            <w:r w:rsidRPr="00713EEE">
              <w:t xml:space="preserve"> First</w:t>
            </w:r>
            <w:r>
              <w:t xml:space="preserve"> </w:t>
            </w:r>
            <w:r w:rsidRPr="00713EEE">
              <w:t>Principles Review Oversight Board</w:t>
            </w:r>
            <w:r>
              <w:br/>
            </w:r>
            <w:r w:rsidRPr="00713EEE">
              <w:t>Director – Australian Foundati</w:t>
            </w:r>
            <w:r>
              <w:t>on Financial Investment Company</w:t>
            </w:r>
            <w:r>
              <w:br/>
            </w:r>
            <w:r w:rsidRPr="00713EEE">
              <w:t>Director – Naval Group Australia</w:t>
            </w:r>
          </w:p>
        </w:tc>
      </w:tr>
    </w:tbl>
    <w:p w14:paraId="57E37694" w14:textId="77777777" w:rsidR="00FA02B4" w:rsidRDefault="00FA02B4" w:rsidP="00FA02B4">
      <w:pPr>
        <w:pStyle w:val="SingleParagrap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e Hon Cheryl Edwards AM Bio"/>
        <w:tblDescription w:val="The Hon Cheryl Edwardes AM&#10;Non executive member&#10;Member since 14 August 2017&#10;Mrs Edwardes brings extensive legal and regulatory experience to the Board. Mrs Edwardes, a solicitor by profession, is a former Minister in the Court Government and was the member for Kingsley for 17 years.&#10;In 1993, she became the first woman to be appointed Attorney General in Western Australia. Mrs Edwardes was awarded an Order of Australia in the Queen’s Birthday Honours 2016 for significant service to the people and Parliament of Western Australia, to the law and to the environment and through executive roles with business, education and community organisations.&#10;Other roles&#10;Commissioner – West Australian Football Commission&#10;Director – VIMY Resources&#10;Director – Flinders Resources&#10;Director – Auscann&#10;"/>
      </w:tblPr>
      <w:tblGrid>
        <w:gridCol w:w="5387"/>
        <w:gridCol w:w="2323"/>
      </w:tblGrid>
      <w:tr w:rsidR="00FA02B4" w:rsidRPr="005106BA" w14:paraId="07F6495B" w14:textId="77777777" w:rsidTr="00CB560A">
        <w:trPr>
          <w:trHeight w:val="1298"/>
          <w:tblHeader/>
        </w:trPr>
        <w:tc>
          <w:tcPr>
            <w:tcW w:w="5387" w:type="dxa"/>
          </w:tcPr>
          <w:p w14:paraId="4C4901DA" w14:textId="09F77DDF" w:rsidR="00FA02B4" w:rsidRPr="00241E7E" w:rsidRDefault="00FA02B4" w:rsidP="00497197">
            <w:pPr>
              <w:spacing w:after="200"/>
              <w:rPr>
                <w:rFonts w:ascii="Calibri" w:hAnsi="Calibri"/>
                <w:b/>
                <w:sz w:val="24"/>
              </w:rPr>
            </w:pPr>
            <w:r>
              <w:rPr>
                <w:rFonts w:ascii="Calibri" w:hAnsi="Calibri"/>
                <w:b/>
                <w:sz w:val="24"/>
              </w:rPr>
              <w:t xml:space="preserve">The </w:t>
            </w:r>
            <w:r w:rsidRPr="009421E6">
              <w:rPr>
                <w:b/>
                <w:sz w:val="24"/>
                <w:szCs w:val="24"/>
              </w:rPr>
              <w:t>Hon Cheryl Edwardes AM</w:t>
            </w:r>
          </w:p>
          <w:p w14:paraId="27D8EC3A" w14:textId="77777777" w:rsidR="00FA02B4" w:rsidRPr="00416D19" w:rsidRDefault="00FA02B4" w:rsidP="00497197">
            <w:pPr>
              <w:keepNext/>
              <w:keepLines/>
              <w:spacing w:before="200" w:after="120"/>
              <w:outlineLvl w:val="3"/>
              <w:rPr>
                <w:rFonts w:ascii="Calibri" w:eastAsiaTheme="majorEastAsia" w:hAnsi="Calibri" w:cstheme="majorBidi"/>
                <w:b/>
                <w:bCs/>
                <w:i/>
                <w:iCs/>
                <w:color w:val="653979"/>
              </w:rPr>
            </w:pPr>
            <w:r>
              <w:rPr>
                <w:rFonts w:ascii="Calibri" w:eastAsiaTheme="majorEastAsia" w:hAnsi="Calibri" w:cstheme="majorBidi"/>
                <w:b/>
                <w:bCs/>
                <w:i/>
                <w:iCs/>
                <w:color w:val="653979"/>
              </w:rPr>
              <w:t>N</w:t>
            </w:r>
            <w:r w:rsidRPr="00416D19">
              <w:rPr>
                <w:rFonts w:ascii="Calibri" w:eastAsiaTheme="majorEastAsia" w:hAnsi="Calibri" w:cstheme="majorBidi"/>
                <w:b/>
                <w:bCs/>
                <w:i/>
                <w:iCs/>
                <w:color w:val="653979"/>
              </w:rPr>
              <w:t>on</w:t>
            </w:r>
            <w:r w:rsidRPr="00416D19">
              <w:rPr>
                <w:rFonts w:ascii="Calibri" w:eastAsiaTheme="majorEastAsia" w:hAnsi="Calibri" w:cstheme="majorBidi"/>
                <w:b/>
                <w:bCs/>
                <w:i/>
                <w:iCs/>
                <w:color w:val="653979"/>
              </w:rPr>
              <w:noBreakHyphen/>
              <w:t>executive member</w:t>
            </w:r>
          </w:p>
          <w:p w14:paraId="47EB335A" w14:textId="3B40C284" w:rsidR="00FA02B4" w:rsidRPr="00200537" w:rsidRDefault="00FA02B4" w:rsidP="00497197">
            <w:pPr>
              <w:keepNext/>
              <w:keepLines/>
            </w:pPr>
            <w:r>
              <w:t>Member since 14 August 2017</w:t>
            </w:r>
          </w:p>
        </w:tc>
        <w:tc>
          <w:tcPr>
            <w:tcW w:w="2323" w:type="dxa"/>
            <w:vMerge w:val="restart"/>
          </w:tcPr>
          <w:p w14:paraId="251DEC13" w14:textId="402B4366" w:rsidR="00FA02B4" w:rsidRPr="005106BA" w:rsidRDefault="00FA02B4" w:rsidP="00497197">
            <w:pPr>
              <w:pStyle w:val="ChartGraphic"/>
              <w:jc w:val="right"/>
            </w:pPr>
            <w:r w:rsidRPr="009421E6">
              <w:rPr>
                <w:b/>
                <w:noProof/>
                <w:sz w:val="24"/>
                <w:szCs w:val="24"/>
              </w:rPr>
              <w:drawing>
                <wp:inline distT="0" distB="0" distL="0" distR="0" wp14:anchorId="6AEA5815" wp14:editId="7094D2BC">
                  <wp:extent cx="1402080" cy="1866227"/>
                  <wp:effectExtent l="0" t="0" r="7620" b="1270"/>
                  <wp:docPr id="49" name="Picture 49" descr="Photo of The Hon Cheryl Edwards AM" title="Photo The Hon Cheryl Edwards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b\DavWWWRoot\sites\mg\fitpd\Lfirbannualrport\2016-17\Report design\Cheryl Edwardes photo.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100" t="3311" r="1" b="11631"/>
                          <a:stretch/>
                        </pic:blipFill>
                        <pic:spPr bwMode="auto">
                          <a:xfrm>
                            <a:off x="0" y="0"/>
                            <a:ext cx="1431636" cy="1905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02B4" w:rsidRPr="005106BA" w14:paraId="624F5CAF" w14:textId="77777777" w:rsidTr="00CB560A">
        <w:trPr>
          <w:trHeight w:val="1263"/>
          <w:tblHeader/>
        </w:trPr>
        <w:tc>
          <w:tcPr>
            <w:tcW w:w="5387" w:type="dxa"/>
          </w:tcPr>
          <w:p w14:paraId="26CB58EB" w14:textId="77777777" w:rsidR="00FA02B4" w:rsidRDefault="00FA02B4" w:rsidP="00015B9B">
            <w:pPr>
              <w:spacing w:after="120" w:line="240" w:lineRule="auto"/>
            </w:pPr>
            <w:r w:rsidRPr="009421E6">
              <w:t>Mrs Edwardes brings extensive legal and regulatory experience to the Board. Mrs Edwardes, a solicitor by profession, is a former Minister in the Court Government and was the member for Kingsley for 17 years</w:t>
            </w:r>
            <w:r>
              <w:t>.</w:t>
            </w:r>
          </w:p>
          <w:p w14:paraId="68955E9C" w14:textId="60EE1DFC" w:rsidR="00FA02B4" w:rsidRPr="00FA02B4" w:rsidRDefault="00FA02B4" w:rsidP="00AD4F91">
            <w:pPr>
              <w:keepNext/>
              <w:keepLines/>
              <w:spacing w:after="0" w:line="240" w:lineRule="auto"/>
            </w:pPr>
            <w:r w:rsidRPr="009421E6">
              <w:t>In 1993, she became the first woman to be appointed Attorney</w:t>
            </w:r>
            <w:r w:rsidR="00A42FAB">
              <w:t> </w:t>
            </w:r>
            <w:r w:rsidRPr="009421E6">
              <w:t xml:space="preserve">General in Western Australia. Mrs Edwardes was awarded an </w:t>
            </w:r>
            <w:r w:rsidR="00A42FAB" w:rsidRPr="009421E6">
              <w:t xml:space="preserve">Order of Australia in </w:t>
            </w:r>
            <w:r w:rsidR="00AD4F91">
              <w:t xml:space="preserve">the Queen’s Birthday </w:t>
            </w:r>
          </w:p>
        </w:tc>
        <w:tc>
          <w:tcPr>
            <w:tcW w:w="2323" w:type="dxa"/>
            <w:vMerge/>
          </w:tcPr>
          <w:p w14:paraId="455B8021" w14:textId="77777777" w:rsidR="00FA02B4" w:rsidRPr="00EB76D3" w:rsidRDefault="00FA02B4" w:rsidP="00497197">
            <w:pPr>
              <w:spacing w:after="0" w:line="240" w:lineRule="auto"/>
              <w:rPr>
                <w:rFonts w:ascii="Calibri" w:hAnsi="Calibri"/>
              </w:rPr>
            </w:pPr>
          </w:p>
        </w:tc>
      </w:tr>
      <w:tr w:rsidR="00FA02B4" w:rsidRPr="005106BA" w14:paraId="6270CCCC" w14:textId="77777777" w:rsidTr="00497197">
        <w:tc>
          <w:tcPr>
            <w:tcW w:w="7710" w:type="dxa"/>
            <w:gridSpan w:val="2"/>
          </w:tcPr>
          <w:p w14:paraId="779519C4" w14:textId="0A09D7AA" w:rsidR="00D16D01" w:rsidRDefault="00AD4F91" w:rsidP="00D16D01">
            <w:pPr>
              <w:keepNext/>
              <w:keepLines/>
              <w:spacing w:after="0" w:line="240" w:lineRule="auto"/>
              <w:outlineLvl w:val="3"/>
              <w:rPr>
                <w:rFonts w:ascii="Calibri" w:eastAsiaTheme="majorEastAsia" w:hAnsi="Calibri" w:cstheme="majorBidi"/>
                <w:b/>
                <w:bCs/>
                <w:i/>
                <w:iCs/>
                <w:color w:val="653979"/>
              </w:rPr>
            </w:pPr>
            <w:r>
              <w:t>Honour </w:t>
            </w:r>
            <w:r w:rsidRPr="009421E6">
              <w:t>2016</w:t>
            </w:r>
            <w:r>
              <w:t xml:space="preserve"> </w:t>
            </w:r>
            <w:r w:rsidR="00015B9B" w:rsidRPr="009421E6">
              <w:t xml:space="preserve">for </w:t>
            </w:r>
            <w:r w:rsidR="00D16D01" w:rsidRPr="009421E6">
              <w:t>significant service to the people and Parliament of Western Australia, to the law and to the environment and through executive roles with business, educati</w:t>
            </w:r>
            <w:r w:rsidR="00D16D01">
              <w:t>on and community organisations.</w:t>
            </w:r>
          </w:p>
          <w:p w14:paraId="3421ABBA" w14:textId="4E002B97" w:rsidR="00FA02B4" w:rsidRPr="00416D19" w:rsidRDefault="00FA02B4" w:rsidP="00497197">
            <w:pPr>
              <w:keepNext/>
              <w:keepLines/>
              <w:spacing w:before="120" w:after="120"/>
              <w:outlineLvl w:val="3"/>
              <w:rPr>
                <w:rFonts w:ascii="Calibri" w:eastAsiaTheme="majorEastAsia" w:hAnsi="Calibri" w:cstheme="majorBidi"/>
                <w:b/>
                <w:bCs/>
                <w:i/>
                <w:iCs/>
                <w:color w:val="653979"/>
              </w:rPr>
            </w:pPr>
            <w:r w:rsidRPr="00416D19">
              <w:rPr>
                <w:rFonts w:ascii="Calibri" w:eastAsiaTheme="majorEastAsia" w:hAnsi="Calibri" w:cstheme="majorBidi"/>
                <w:b/>
                <w:bCs/>
                <w:i/>
                <w:iCs/>
                <w:color w:val="653979"/>
              </w:rPr>
              <w:t>Other roles</w:t>
            </w:r>
          </w:p>
          <w:p w14:paraId="0AC5D45E" w14:textId="1165169B" w:rsidR="00FA02B4" w:rsidRPr="00FA02B4" w:rsidRDefault="00FA02B4" w:rsidP="00D16D01">
            <w:pPr>
              <w:keepLines/>
              <w:spacing w:after="0" w:line="240" w:lineRule="auto"/>
              <w:jc w:val="left"/>
            </w:pPr>
            <w:r w:rsidRPr="009421E6">
              <w:t>Commissioner – West Australian Football Commission</w:t>
            </w:r>
            <w:r>
              <w:br/>
            </w:r>
            <w:r w:rsidRPr="009421E6">
              <w:t xml:space="preserve">Director </w:t>
            </w:r>
            <w:r>
              <w:t>–</w:t>
            </w:r>
            <w:r w:rsidRPr="009421E6">
              <w:t xml:space="preserve"> VIMY</w:t>
            </w:r>
            <w:r>
              <w:t xml:space="preserve"> </w:t>
            </w:r>
            <w:r w:rsidRPr="009421E6">
              <w:t>Resources</w:t>
            </w:r>
            <w:r>
              <w:br/>
            </w:r>
            <w:r w:rsidRPr="009421E6">
              <w:t xml:space="preserve">Director </w:t>
            </w:r>
            <w:r>
              <w:t>–</w:t>
            </w:r>
            <w:r w:rsidRPr="009421E6">
              <w:t xml:space="preserve"> Flinders</w:t>
            </w:r>
            <w:r>
              <w:t xml:space="preserve"> </w:t>
            </w:r>
            <w:r w:rsidRPr="009421E6">
              <w:t>Resources</w:t>
            </w:r>
            <w:r>
              <w:br/>
            </w:r>
            <w:r w:rsidRPr="009421E6">
              <w:t xml:space="preserve">Director </w:t>
            </w:r>
            <w:r>
              <w:t>–</w:t>
            </w:r>
            <w:r w:rsidRPr="009421E6">
              <w:t xml:space="preserve"> A</w:t>
            </w:r>
            <w:r>
              <w:t>uscann</w:t>
            </w:r>
          </w:p>
        </w:tc>
      </w:tr>
    </w:tbl>
    <w:p w14:paraId="1C6DA639" w14:textId="77777777" w:rsidR="00FA02B4" w:rsidRDefault="00FA02B4" w:rsidP="00422C1D">
      <w:pPr>
        <w:pStyle w:val="SingleParagraph"/>
      </w:pPr>
    </w:p>
    <w:p w14:paraId="24E60B60" w14:textId="77777777" w:rsidR="00422C1D" w:rsidRDefault="00422C1D">
      <w:pPr>
        <w:spacing w:after="0" w:line="240" w:lineRule="auto"/>
        <w:jc w:val="left"/>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s Teresa Dyson"/>
        <w:tblDescription w:val="Ms Teresa Dyson&#10;Non executive member&#10;Member since 2 January 2018&#10;Ms Dyson is a non executive director, serving on a range of listed, public and not for profit boards. Ms Dyson has over 25 years of experience as a senior tax adviser, including as a partner at Ashurst and Deloitte, advising on infrastructure, financing, corporate tax issues, mergers and acquisitions activities, the not-for-profit sector, and tax controversy.&#10;She brings corporate and governance experience from a range of sectors. Ms Dyson is a former member and chair of the Board of Taxation.&#10;Other roles&#10;Director – Energy Qld Ltd&#10;Director – Energy Super &#10;Director – Genex Power Ltd&#10;Director – Seven West Media Ltd "/>
      </w:tblPr>
      <w:tblGrid>
        <w:gridCol w:w="5387"/>
        <w:gridCol w:w="2323"/>
      </w:tblGrid>
      <w:tr w:rsidR="00D16D01" w:rsidRPr="005106BA" w14:paraId="1BB86A57" w14:textId="77777777" w:rsidTr="00CB560A">
        <w:trPr>
          <w:trHeight w:val="1298"/>
          <w:tblHeader/>
        </w:trPr>
        <w:tc>
          <w:tcPr>
            <w:tcW w:w="5387" w:type="dxa"/>
          </w:tcPr>
          <w:p w14:paraId="01BC5B74" w14:textId="07A3A7AC" w:rsidR="00D16D01" w:rsidRPr="00241E7E" w:rsidRDefault="00D16D01" w:rsidP="00497197">
            <w:pPr>
              <w:spacing w:after="200"/>
              <w:rPr>
                <w:rFonts w:ascii="Calibri" w:hAnsi="Calibri"/>
                <w:b/>
                <w:sz w:val="24"/>
              </w:rPr>
            </w:pPr>
            <w:r>
              <w:rPr>
                <w:rFonts w:ascii="Calibri" w:hAnsi="Calibri"/>
                <w:b/>
                <w:sz w:val="24"/>
              </w:rPr>
              <w:lastRenderedPageBreak/>
              <w:t xml:space="preserve">Ms </w:t>
            </w:r>
            <w:r w:rsidRPr="009421E6">
              <w:rPr>
                <w:b/>
                <w:sz w:val="24"/>
                <w:szCs w:val="24"/>
              </w:rPr>
              <w:t>Teresa Dyson</w:t>
            </w:r>
          </w:p>
          <w:p w14:paraId="320D188E" w14:textId="77777777" w:rsidR="00D16D01" w:rsidRPr="00416D19" w:rsidRDefault="00D16D01" w:rsidP="00497197">
            <w:pPr>
              <w:keepNext/>
              <w:keepLines/>
              <w:spacing w:before="200" w:after="120"/>
              <w:outlineLvl w:val="3"/>
              <w:rPr>
                <w:rFonts w:ascii="Calibri" w:eastAsiaTheme="majorEastAsia" w:hAnsi="Calibri" w:cstheme="majorBidi"/>
                <w:b/>
                <w:bCs/>
                <w:i/>
                <w:iCs/>
                <w:color w:val="653979"/>
              </w:rPr>
            </w:pPr>
            <w:r>
              <w:rPr>
                <w:rFonts w:ascii="Calibri" w:eastAsiaTheme="majorEastAsia" w:hAnsi="Calibri" w:cstheme="majorBidi"/>
                <w:b/>
                <w:bCs/>
                <w:i/>
                <w:iCs/>
                <w:color w:val="653979"/>
              </w:rPr>
              <w:t>N</w:t>
            </w:r>
            <w:r w:rsidRPr="00416D19">
              <w:rPr>
                <w:rFonts w:ascii="Calibri" w:eastAsiaTheme="majorEastAsia" w:hAnsi="Calibri" w:cstheme="majorBidi"/>
                <w:b/>
                <w:bCs/>
                <w:i/>
                <w:iCs/>
                <w:color w:val="653979"/>
              </w:rPr>
              <w:t>on</w:t>
            </w:r>
            <w:r w:rsidRPr="00416D19">
              <w:rPr>
                <w:rFonts w:ascii="Calibri" w:eastAsiaTheme="majorEastAsia" w:hAnsi="Calibri" w:cstheme="majorBidi"/>
                <w:b/>
                <w:bCs/>
                <w:i/>
                <w:iCs/>
                <w:color w:val="653979"/>
              </w:rPr>
              <w:noBreakHyphen/>
              <w:t>executive member</w:t>
            </w:r>
          </w:p>
          <w:p w14:paraId="3B73C7E5" w14:textId="4A5C190E" w:rsidR="00D16D01" w:rsidRPr="00200537" w:rsidRDefault="00D16D01" w:rsidP="00497197">
            <w:pPr>
              <w:keepNext/>
              <w:keepLines/>
            </w:pPr>
            <w:r>
              <w:t>Member since 2 January 2018</w:t>
            </w:r>
          </w:p>
        </w:tc>
        <w:tc>
          <w:tcPr>
            <w:tcW w:w="2323" w:type="dxa"/>
            <w:vMerge w:val="restart"/>
          </w:tcPr>
          <w:p w14:paraId="63C87188" w14:textId="21F21D31" w:rsidR="00D16D01" w:rsidRPr="005106BA" w:rsidRDefault="00D16D01" w:rsidP="00497197">
            <w:pPr>
              <w:pStyle w:val="ChartGraphic"/>
              <w:jc w:val="right"/>
            </w:pPr>
            <w:r w:rsidRPr="009421E6">
              <w:rPr>
                <w:b/>
                <w:noProof/>
                <w:sz w:val="24"/>
                <w:szCs w:val="24"/>
              </w:rPr>
              <w:drawing>
                <wp:inline distT="0" distB="0" distL="0" distR="0" wp14:anchorId="7680A320" wp14:editId="1CE3B440">
                  <wp:extent cx="1400453" cy="1876425"/>
                  <wp:effectExtent l="0" t="0" r="9525" b="0"/>
                  <wp:docPr id="51" name="Picture 51" descr="Photo of Ms Teresa Dyson" title="Photo Ms Teresa Dy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resa Dyson"/>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9723" r="39816" b="27536"/>
                          <a:stretch/>
                        </pic:blipFill>
                        <pic:spPr bwMode="auto">
                          <a:xfrm>
                            <a:off x="0" y="0"/>
                            <a:ext cx="1409514" cy="18885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6D01" w:rsidRPr="005106BA" w14:paraId="3E176C06" w14:textId="77777777" w:rsidTr="00CB560A">
        <w:trPr>
          <w:trHeight w:val="1263"/>
          <w:tblHeader/>
        </w:trPr>
        <w:tc>
          <w:tcPr>
            <w:tcW w:w="5387" w:type="dxa"/>
          </w:tcPr>
          <w:p w14:paraId="4802FD97" w14:textId="0E18E085" w:rsidR="00D16D01" w:rsidRPr="00FA02B4" w:rsidRDefault="00D16D01" w:rsidP="00D16D01">
            <w:pPr>
              <w:keepNext/>
              <w:keepLines/>
              <w:spacing w:after="0" w:line="240" w:lineRule="auto"/>
            </w:pPr>
            <w:r w:rsidRPr="009421E6">
              <w:t>Ms Dyson is a non</w:t>
            </w:r>
            <w:r>
              <w:noBreakHyphen/>
            </w:r>
            <w:r w:rsidRPr="009421E6">
              <w:t>executive director, serving on a range of listed, public and not</w:t>
            </w:r>
            <w:r>
              <w:noBreakHyphen/>
            </w:r>
            <w:r w:rsidRPr="009421E6">
              <w:t>for</w:t>
            </w:r>
            <w:r>
              <w:noBreakHyphen/>
            </w:r>
            <w:r w:rsidRPr="009421E6">
              <w:t>profit boards. Ms Dyson has over 25</w:t>
            </w:r>
            <w:r>
              <w:t> </w:t>
            </w:r>
            <w:r w:rsidRPr="009421E6">
              <w:t>years of experience as a senior tax adviser, including as a partner at Ashurst and Deloitte, advising on infrastructure, financing, corporate tax issues, mergers and acquisitions activities, the not-for-profit sector, and tax controversy</w:t>
            </w:r>
            <w:r w:rsidR="00015B9B">
              <w:t>.</w:t>
            </w:r>
          </w:p>
        </w:tc>
        <w:tc>
          <w:tcPr>
            <w:tcW w:w="2323" w:type="dxa"/>
            <w:vMerge/>
          </w:tcPr>
          <w:p w14:paraId="35C76917" w14:textId="77777777" w:rsidR="00D16D01" w:rsidRPr="00EB76D3" w:rsidRDefault="00D16D01" w:rsidP="00497197">
            <w:pPr>
              <w:spacing w:after="0" w:line="240" w:lineRule="auto"/>
              <w:rPr>
                <w:rFonts w:ascii="Calibri" w:hAnsi="Calibri"/>
              </w:rPr>
            </w:pPr>
          </w:p>
        </w:tc>
      </w:tr>
      <w:tr w:rsidR="00D16D01" w:rsidRPr="005106BA" w14:paraId="65E8CA0E" w14:textId="77777777" w:rsidTr="00497197">
        <w:tc>
          <w:tcPr>
            <w:tcW w:w="7710" w:type="dxa"/>
            <w:gridSpan w:val="2"/>
          </w:tcPr>
          <w:p w14:paraId="3A34DE81" w14:textId="77777777" w:rsidR="00D16D01" w:rsidRPr="009421E6" w:rsidRDefault="00D16D01" w:rsidP="00D16D01">
            <w:pPr>
              <w:keepNext/>
              <w:keepLines/>
              <w:spacing w:after="120" w:line="240" w:lineRule="auto"/>
            </w:pPr>
            <w:r w:rsidRPr="009421E6">
              <w:t>She brings corporate and governance experience from a range of sectors. Ms Dyson is a former member and chair of the Board of Taxation.</w:t>
            </w:r>
          </w:p>
          <w:p w14:paraId="1A21CCAE" w14:textId="77777777" w:rsidR="00D16D01" w:rsidRPr="00416D19" w:rsidRDefault="00D16D01" w:rsidP="00497197">
            <w:pPr>
              <w:keepNext/>
              <w:keepLines/>
              <w:spacing w:before="120" w:after="120"/>
              <w:outlineLvl w:val="3"/>
              <w:rPr>
                <w:rFonts w:ascii="Calibri" w:eastAsiaTheme="majorEastAsia" w:hAnsi="Calibri" w:cstheme="majorBidi"/>
                <w:b/>
                <w:bCs/>
                <w:i/>
                <w:iCs/>
                <w:color w:val="653979"/>
              </w:rPr>
            </w:pPr>
            <w:r w:rsidRPr="00416D19">
              <w:rPr>
                <w:rFonts w:ascii="Calibri" w:eastAsiaTheme="majorEastAsia" w:hAnsi="Calibri" w:cstheme="majorBidi"/>
                <w:b/>
                <w:bCs/>
                <w:i/>
                <w:iCs/>
                <w:color w:val="653979"/>
              </w:rPr>
              <w:t>Other roles</w:t>
            </w:r>
          </w:p>
          <w:p w14:paraId="1DB5E397" w14:textId="1EFD7465" w:rsidR="00D16D01" w:rsidRPr="00FA02B4" w:rsidRDefault="00D16D01" w:rsidP="00D16D01">
            <w:pPr>
              <w:keepLines/>
              <w:spacing w:after="0" w:line="240" w:lineRule="auto"/>
              <w:jc w:val="left"/>
            </w:pPr>
            <w:r w:rsidRPr="00DC1AFC">
              <w:t>Director – Energy Qld Ltd</w:t>
            </w:r>
            <w:r>
              <w:br/>
            </w:r>
            <w:r w:rsidRPr="00DC1AFC">
              <w:t xml:space="preserve">Director – Energy Super </w:t>
            </w:r>
            <w:r>
              <w:br/>
            </w:r>
            <w:r w:rsidRPr="00DC1AFC">
              <w:t>Director – Genex Power Ltd</w:t>
            </w:r>
            <w:r>
              <w:br/>
            </w:r>
            <w:r w:rsidRPr="00DC1AFC">
              <w:t xml:space="preserve">Director – </w:t>
            </w:r>
            <w:r>
              <w:t xml:space="preserve">Seven West Media Ltd </w:t>
            </w:r>
          </w:p>
        </w:tc>
      </w:tr>
    </w:tbl>
    <w:p w14:paraId="2E9C6FC0" w14:textId="09FDDF71" w:rsidR="00D16D01" w:rsidRDefault="00D16D01" w:rsidP="00D16D01">
      <w:pPr>
        <w:pStyle w:val="SingleParagrap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he Hon Nick Minchin AO Bio"/>
        <w:tblDescription w:val="The Hon Nick Minchin AO&#10;Non executive member&#10;Member since 17 December 2018&#10;Mr Minchin brings wide ranging senior leadership credentials, public policy, industry and international experience to the Board.&#10;Recently, Mr Minchin served as the Australian Consul-General in New York.&#10;Mr Minchin held a number of ministerial positions, including as Minister for Industry, Science and Resources from 1998 until 2001 and Minister for Finance and Administration from 2001 until 2007. While in office, he held the posts of Leader of the Government in the Senate, and Vice President of the Executive Council. Mr Minchin was elected to the Australian Senate for South Australia in July 1993 and served until June 2011."/>
      </w:tblPr>
      <w:tblGrid>
        <w:gridCol w:w="5387"/>
        <w:gridCol w:w="2323"/>
      </w:tblGrid>
      <w:tr w:rsidR="00D16D01" w:rsidRPr="005106BA" w14:paraId="4B4D2A06" w14:textId="77777777" w:rsidTr="00CB560A">
        <w:trPr>
          <w:trHeight w:val="1298"/>
          <w:tblHeader/>
        </w:trPr>
        <w:tc>
          <w:tcPr>
            <w:tcW w:w="5387" w:type="dxa"/>
          </w:tcPr>
          <w:p w14:paraId="71006F57" w14:textId="0CA1A15C" w:rsidR="00D16D01" w:rsidRPr="00241E7E" w:rsidRDefault="00D16D01" w:rsidP="00497197">
            <w:pPr>
              <w:spacing w:after="200"/>
              <w:rPr>
                <w:rFonts w:ascii="Calibri" w:hAnsi="Calibri"/>
                <w:b/>
                <w:sz w:val="24"/>
              </w:rPr>
            </w:pPr>
            <w:r>
              <w:rPr>
                <w:rFonts w:ascii="Calibri" w:hAnsi="Calibri"/>
                <w:b/>
                <w:sz w:val="24"/>
              </w:rPr>
              <w:t xml:space="preserve">The </w:t>
            </w:r>
            <w:r w:rsidRPr="00DC1AFC">
              <w:rPr>
                <w:b/>
                <w:sz w:val="24"/>
                <w:szCs w:val="24"/>
              </w:rPr>
              <w:t>Hon Nick Minchin AO</w:t>
            </w:r>
          </w:p>
          <w:p w14:paraId="38BC51F2" w14:textId="77777777" w:rsidR="00D16D01" w:rsidRPr="00416D19" w:rsidRDefault="00D16D01" w:rsidP="00497197">
            <w:pPr>
              <w:keepNext/>
              <w:keepLines/>
              <w:spacing w:before="200" w:after="120"/>
              <w:outlineLvl w:val="3"/>
              <w:rPr>
                <w:rFonts w:ascii="Calibri" w:eastAsiaTheme="majorEastAsia" w:hAnsi="Calibri" w:cstheme="majorBidi"/>
                <w:b/>
                <w:bCs/>
                <w:i/>
                <w:iCs/>
                <w:color w:val="653979"/>
              </w:rPr>
            </w:pPr>
            <w:r>
              <w:rPr>
                <w:rFonts w:ascii="Calibri" w:eastAsiaTheme="majorEastAsia" w:hAnsi="Calibri" w:cstheme="majorBidi"/>
                <w:b/>
                <w:bCs/>
                <w:i/>
                <w:iCs/>
                <w:color w:val="653979"/>
              </w:rPr>
              <w:t>N</w:t>
            </w:r>
            <w:r w:rsidRPr="00416D19">
              <w:rPr>
                <w:rFonts w:ascii="Calibri" w:eastAsiaTheme="majorEastAsia" w:hAnsi="Calibri" w:cstheme="majorBidi"/>
                <w:b/>
                <w:bCs/>
                <w:i/>
                <w:iCs/>
                <w:color w:val="653979"/>
              </w:rPr>
              <w:t>on</w:t>
            </w:r>
            <w:r w:rsidRPr="00416D19">
              <w:rPr>
                <w:rFonts w:ascii="Calibri" w:eastAsiaTheme="majorEastAsia" w:hAnsi="Calibri" w:cstheme="majorBidi"/>
                <w:b/>
                <w:bCs/>
                <w:i/>
                <w:iCs/>
                <w:color w:val="653979"/>
              </w:rPr>
              <w:noBreakHyphen/>
              <w:t>executive member</w:t>
            </w:r>
          </w:p>
          <w:p w14:paraId="2BA075C6" w14:textId="515D3D6D" w:rsidR="00D16D01" w:rsidRPr="00200537" w:rsidRDefault="00D16D01" w:rsidP="00497197">
            <w:pPr>
              <w:keepNext/>
              <w:keepLines/>
            </w:pPr>
            <w:r>
              <w:t>Member since 17 December 2018</w:t>
            </w:r>
          </w:p>
        </w:tc>
        <w:tc>
          <w:tcPr>
            <w:tcW w:w="2323" w:type="dxa"/>
            <w:vMerge w:val="restart"/>
          </w:tcPr>
          <w:p w14:paraId="45D303FF" w14:textId="0B0189B3" w:rsidR="00D16D01" w:rsidRPr="005106BA" w:rsidRDefault="00D16D01" w:rsidP="00497197">
            <w:pPr>
              <w:pStyle w:val="ChartGraphic"/>
              <w:jc w:val="right"/>
            </w:pPr>
            <w:r w:rsidRPr="00DC1AFC">
              <w:rPr>
                <w:b/>
                <w:noProof/>
                <w:sz w:val="24"/>
                <w:szCs w:val="24"/>
              </w:rPr>
              <w:drawing>
                <wp:inline distT="0" distB="0" distL="0" distR="0" wp14:anchorId="5F7898F4" wp14:editId="7BAA7018">
                  <wp:extent cx="1400175" cy="1816683"/>
                  <wp:effectExtent l="0" t="0" r="0" b="0"/>
                  <wp:docPr id="53" name="Picture 53" descr="Photo of The Hon Nick Minchin AO" title="Photo The Hon Nick Minchin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Nick Minchi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1175" cy="1830955"/>
                          </a:xfrm>
                          <a:prstGeom prst="rect">
                            <a:avLst/>
                          </a:prstGeom>
                          <a:noFill/>
                          <a:ln>
                            <a:noFill/>
                          </a:ln>
                        </pic:spPr>
                      </pic:pic>
                    </a:graphicData>
                  </a:graphic>
                </wp:inline>
              </w:drawing>
            </w:r>
          </w:p>
        </w:tc>
      </w:tr>
      <w:tr w:rsidR="00D16D01" w:rsidRPr="005106BA" w14:paraId="4736F7E0" w14:textId="77777777" w:rsidTr="00CB560A">
        <w:trPr>
          <w:trHeight w:val="1263"/>
          <w:tblHeader/>
        </w:trPr>
        <w:tc>
          <w:tcPr>
            <w:tcW w:w="5387" w:type="dxa"/>
          </w:tcPr>
          <w:p w14:paraId="0843AACB" w14:textId="77777777" w:rsidR="00D16D01" w:rsidRPr="00DC1AFC" w:rsidRDefault="00D16D01" w:rsidP="00782D8C">
            <w:pPr>
              <w:keepNext/>
              <w:keepLines/>
              <w:spacing w:after="120"/>
            </w:pPr>
            <w:r w:rsidRPr="00DC1AFC">
              <w:t>Mr Minchin brings wide ranging senior leadership credentials, public policy, industry and international experience to the Board.</w:t>
            </w:r>
          </w:p>
          <w:p w14:paraId="6A520098" w14:textId="13957698" w:rsidR="00D16D01" w:rsidRPr="00FA02B4" w:rsidRDefault="00D16D01" w:rsidP="00782D8C">
            <w:pPr>
              <w:keepNext/>
              <w:keepLines/>
              <w:spacing w:after="120"/>
            </w:pPr>
            <w:r w:rsidRPr="00DC1AFC">
              <w:t>Recently, Mr Minchin served as the Austral</w:t>
            </w:r>
            <w:r w:rsidR="00782D8C">
              <w:t>ian Consul-General in New York.</w:t>
            </w:r>
          </w:p>
        </w:tc>
        <w:tc>
          <w:tcPr>
            <w:tcW w:w="2323" w:type="dxa"/>
            <w:vMerge/>
          </w:tcPr>
          <w:p w14:paraId="66EDADF2" w14:textId="77777777" w:rsidR="00D16D01" w:rsidRPr="00EB76D3" w:rsidRDefault="00D16D01" w:rsidP="00497197">
            <w:pPr>
              <w:spacing w:after="0" w:line="240" w:lineRule="auto"/>
              <w:rPr>
                <w:rFonts w:ascii="Calibri" w:hAnsi="Calibri"/>
              </w:rPr>
            </w:pPr>
          </w:p>
        </w:tc>
      </w:tr>
      <w:tr w:rsidR="00D16D01" w:rsidRPr="005106BA" w14:paraId="158807CD" w14:textId="77777777" w:rsidTr="00497197">
        <w:tc>
          <w:tcPr>
            <w:tcW w:w="7710" w:type="dxa"/>
            <w:gridSpan w:val="2"/>
          </w:tcPr>
          <w:p w14:paraId="49928869" w14:textId="581D9EF2" w:rsidR="00D16D01" w:rsidRPr="00FA02B4" w:rsidRDefault="00782D8C" w:rsidP="00782D8C">
            <w:pPr>
              <w:keepLines/>
            </w:pPr>
            <w:r w:rsidRPr="00DC1AFC">
              <w:t>Mr Minchin held a number of ministerial positions, including as Minister for Industry, Science and Resources from 1998 until 2001 and Minister for Finance and Administration from 2001 until 2007. While in office, he held the posts of Leader of the Government in the Senate, and Vice President of the Executive Council. Mr Minchin was elected to the Australian Senate for South Australia in July 1</w:t>
            </w:r>
            <w:r>
              <w:t>993 and served until June 2011.</w:t>
            </w:r>
          </w:p>
        </w:tc>
      </w:tr>
    </w:tbl>
    <w:p w14:paraId="6B719C88" w14:textId="4B7A5DCF" w:rsidR="00D16D01" w:rsidRDefault="00D16D01" w:rsidP="00782D8C">
      <w:pPr>
        <w:pStyle w:val="SingleParagraph"/>
      </w:pPr>
    </w:p>
    <w:p w14:paraId="306DB24E" w14:textId="07887DE0" w:rsidR="00782D8C" w:rsidRDefault="00782D8C">
      <w:pPr>
        <w:spacing w:after="0" w:line="240" w:lineRule="auto"/>
        <w:jc w:val="left"/>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s Meg McDonald Bio"/>
        <w:tblDescription w:val="Ms Margaret (Meg) McDonald&#10;Non executive member&#10;Member since 26 March 2019&#10;Ms McDonald has extensive experience in senior public and private sector roles, in Australia and internationally.&#10;Ms McDonald has previously held a number of executive positions including Chief Operating Officer of the Clean Energy Finance Corporation, CEO of Low Carbon Australia Limited (LCAL) and positions with global resources and metals manufacturer Alcoa."/>
      </w:tblPr>
      <w:tblGrid>
        <w:gridCol w:w="5387"/>
        <w:gridCol w:w="2323"/>
      </w:tblGrid>
      <w:tr w:rsidR="00782D8C" w:rsidRPr="005106BA" w14:paraId="6A599395" w14:textId="77777777" w:rsidTr="00CB560A">
        <w:trPr>
          <w:trHeight w:val="1143"/>
          <w:tblHeader/>
        </w:trPr>
        <w:tc>
          <w:tcPr>
            <w:tcW w:w="5387" w:type="dxa"/>
          </w:tcPr>
          <w:p w14:paraId="562A29F7" w14:textId="1E61AC08" w:rsidR="00782D8C" w:rsidRPr="00241E7E" w:rsidRDefault="00782D8C" w:rsidP="00497197">
            <w:pPr>
              <w:spacing w:after="200"/>
              <w:rPr>
                <w:rFonts w:ascii="Calibri" w:hAnsi="Calibri"/>
                <w:b/>
                <w:sz w:val="24"/>
              </w:rPr>
            </w:pPr>
            <w:r>
              <w:rPr>
                <w:rFonts w:ascii="Calibri" w:hAnsi="Calibri"/>
                <w:b/>
                <w:sz w:val="24"/>
              </w:rPr>
              <w:lastRenderedPageBreak/>
              <w:t xml:space="preserve">Ms </w:t>
            </w:r>
            <w:r w:rsidRPr="00DC1AFC">
              <w:rPr>
                <w:b/>
                <w:sz w:val="24"/>
                <w:szCs w:val="24"/>
              </w:rPr>
              <w:t>Margaret (Meg) McDonald</w:t>
            </w:r>
          </w:p>
          <w:p w14:paraId="2A98C0C6" w14:textId="77777777" w:rsidR="00782D8C" w:rsidRPr="00416D19" w:rsidRDefault="00782D8C" w:rsidP="00497197">
            <w:pPr>
              <w:keepNext/>
              <w:keepLines/>
              <w:spacing w:before="200" w:after="120"/>
              <w:outlineLvl w:val="3"/>
              <w:rPr>
                <w:rFonts w:ascii="Calibri" w:eastAsiaTheme="majorEastAsia" w:hAnsi="Calibri" w:cstheme="majorBidi"/>
                <w:b/>
                <w:bCs/>
                <w:i/>
                <w:iCs/>
                <w:color w:val="653979"/>
              </w:rPr>
            </w:pPr>
            <w:r>
              <w:rPr>
                <w:rFonts w:ascii="Calibri" w:eastAsiaTheme="majorEastAsia" w:hAnsi="Calibri" w:cstheme="majorBidi"/>
                <w:b/>
                <w:bCs/>
                <w:i/>
                <w:iCs/>
                <w:color w:val="653979"/>
              </w:rPr>
              <w:t>N</w:t>
            </w:r>
            <w:r w:rsidRPr="00416D19">
              <w:rPr>
                <w:rFonts w:ascii="Calibri" w:eastAsiaTheme="majorEastAsia" w:hAnsi="Calibri" w:cstheme="majorBidi"/>
                <w:b/>
                <w:bCs/>
                <w:i/>
                <w:iCs/>
                <w:color w:val="653979"/>
              </w:rPr>
              <w:t>on</w:t>
            </w:r>
            <w:r w:rsidRPr="00416D19">
              <w:rPr>
                <w:rFonts w:ascii="Calibri" w:eastAsiaTheme="majorEastAsia" w:hAnsi="Calibri" w:cstheme="majorBidi"/>
                <w:b/>
                <w:bCs/>
                <w:i/>
                <w:iCs/>
                <w:color w:val="653979"/>
              </w:rPr>
              <w:noBreakHyphen/>
              <w:t>executive member</w:t>
            </w:r>
          </w:p>
          <w:p w14:paraId="41282FD1" w14:textId="4585EC32" w:rsidR="00782D8C" w:rsidRPr="00200537" w:rsidRDefault="00782D8C" w:rsidP="00782D8C">
            <w:pPr>
              <w:keepNext/>
              <w:keepLines/>
              <w:spacing w:after="120" w:line="240" w:lineRule="auto"/>
            </w:pPr>
            <w:r w:rsidRPr="00DC1AFC">
              <w:t>Member</w:t>
            </w:r>
            <w:r>
              <w:t xml:space="preserve"> since 26 March 2019</w:t>
            </w:r>
          </w:p>
        </w:tc>
        <w:tc>
          <w:tcPr>
            <w:tcW w:w="2323" w:type="dxa"/>
            <w:vMerge w:val="restart"/>
          </w:tcPr>
          <w:p w14:paraId="3DBF2E22" w14:textId="0875E73A" w:rsidR="00782D8C" w:rsidRPr="005106BA" w:rsidRDefault="00782D8C" w:rsidP="00497197">
            <w:pPr>
              <w:pStyle w:val="ChartGraphic"/>
              <w:jc w:val="right"/>
            </w:pPr>
            <w:r w:rsidRPr="00DC1AFC">
              <w:rPr>
                <w:b/>
                <w:noProof/>
                <w:sz w:val="24"/>
                <w:szCs w:val="24"/>
              </w:rPr>
              <w:drawing>
                <wp:inline distT="0" distB="0" distL="0" distR="0" wp14:anchorId="364A8D6A" wp14:editId="71DAEF2C">
                  <wp:extent cx="1388556" cy="1885950"/>
                  <wp:effectExtent l="0" t="0" r="2540" b="0"/>
                  <wp:docPr id="55" name="Picture 55" descr="Photo of Margaret (Meg) McDonald" title="Photo Margaret (Meg)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of Margaret (Meg) McDonal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5557" cy="1895459"/>
                          </a:xfrm>
                          <a:prstGeom prst="rect">
                            <a:avLst/>
                          </a:prstGeom>
                          <a:noFill/>
                          <a:ln>
                            <a:noFill/>
                          </a:ln>
                        </pic:spPr>
                      </pic:pic>
                    </a:graphicData>
                  </a:graphic>
                </wp:inline>
              </w:drawing>
            </w:r>
          </w:p>
        </w:tc>
      </w:tr>
      <w:tr w:rsidR="00782D8C" w:rsidRPr="005106BA" w14:paraId="56BCA4CC" w14:textId="77777777" w:rsidTr="00CB560A">
        <w:trPr>
          <w:trHeight w:val="1783"/>
          <w:tblHeader/>
        </w:trPr>
        <w:tc>
          <w:tcPr>
            <w:tcW w:w="5387" w:type="dxa"/>
          </w:tcPr>
          <w:p w14:paraId="095BD27C" w14:textId="77777777" w:rsidR="00782D8C" w:rsidRPr="00DC1AFC" w:rsidRDefault="00782D8C" w:rsidP="00782D8C">
            <w:pPr>
              <w:keepNext/>
              <w:keepLines/>
              <w:spacing w:after="120" w:line="240" w:lineRule="auto"/>
            </w:pPr>
            <w:r w:rsidRPr="00DC1AFC">
              <w:t>Ms McDonald has extensive experience in senior public and private sector roles, in Australia and internationally.</w:t>
            </w:r>
          </w:p>
          <w:p w14:paraId="097FB50A" w14:textId="4931E939" w:rsidR="00782D8C" w:rsidRPr="00FA02B4" w:rsidRDefault="00782D8C" w:rsidP="00782D8C">
            <w:pPr>
              <w:keepNext/>
              <w:keepLines/>
              <w:spacing w:after="120" w:line="240" w:lineRule="auto"/>
            </w:pPr>
            <w:r w:rsidRPr="00DC1AFC">
              <w:t>Ms McDonald has previously held a number of executive positions including Chief Operating Officer of the Clean Energy Finance Corporation</w:t>
            </w:r>
            <w:r>
              <w:t>,</w:t>
            </w:r>
            <w:r w:rsidRPr="00DC1AFC">
              <w:t xml:space="preserve"> CEO of Low Carbon Australia Limited (LCAL) and positions with global resources</w:t>
            </w:r>
            <w:r>
              <w:t xml:space="preserve"> and metals manufacturer Alcoa.</w:t>
            </w:r>
          </w:p>
        </w:tc>
        <w:tc>
          <w:tcPr>
            <w:tcW w:w="2323" w:type="dxa"/>
            <w:vMerge/>
          </w:tcPr>
          <w:p w14:paraId="0351086B" w14:textId="77777777" w:rsidR="00782D8C" w:rsidRPr="00EB76D3" w:rsidRDefault="00782D8C" w:rsidP="00497197">
            <w:pPr>
              <w:spacing w:after="0" w:line="240" w:lineRule="auto"/>
              <w:rPr>
                <w:rFonts w:ascii="Calibri" w:hAnsi="Calibri"/>
              </w:rPr>
            </w:pPr>
          </w:p>
        </w:tc>
      </w:tr>
      <w:tr w:rsidR="00782D8C" w:rsidRPr="005106BA" w14:paraId="4C4C5301" w14:textId="77777777" w:rsidTr="00497197">
        <w:tc>
          <w:tcPr>
            <w:tcW w:w="7710" w:type="dxa"/>
            <w:gridSpan w:val="2"/>
          </w:tcPr>
          <w:p w14:paraId="0469912D" w14:textId="5F2A62A9" w:rsidR="00782D8C" w:rsidRPr="00DC1AFC" w:rsidRDefault="00782D8C" w:rsidP="00782D8C">
            <w:pPr>
              <w:keepNext/>
              <w:keepLines/>
              <w:spacing w:after="120" w:line="240" w:lineRule="auto"/>
            </w:pPr>
            <w:r w:rsidRPr="00DC1AFC">
              <w:t xml:space="preserve">Ms McDonald was Deputy Ambassador to the United States in Washington DC between 1998 and 2002 and as Australia’s Ambassador for the Environment between 1996 and 1998. </w:t>
            </w:r>
          </w:p>
          <w:p w14:paraId="60F313CF" w14:textId="205AFB76" w:rsidR="00782D8C" w:rsidRPr="00DC1AFC" w:rsidRDefault="00782D8C" w:rsidP="00782D8C">
            <w:pPr>
              <w:keepNext/>
              <w:keepLines/>
              <w:spacing w:after="120" w:line="240" w:lineRule="auto"/>
            </w:pPr>
            <w:r w:rsidRPr="00DC1AFC">
              <w:t>M</w:t>
            </w:r>
            <w:r w:rsidR="00B356A2">
              <w:t xml:space="preserve">s McDonald </w:t>
            </w:r>
            <w:r w:rsidRPr="00DC1AFC">
              <w:t xml:space="preserve">holds an Honours Degree in Applied Science from the University of NSW. </w:t>
            </w:r>
          </w:p>
          <w:p w14:paraId="2654DE1A" w14:textId="77777777" w:rsidR="00782D8C" w:rsidRPr="00416D19" w:rsidRDefault="00782D8C" w:rsidP="00497197">
            <w:pPr>
              <w:keepNext/>
              <w:keepLines/>
              <w:spacing w:before="120" w:after="120"/>
              <w:outlineLvl w:val="3"/>
              <w:rPr>
                <w:rFonts w:ascii="Calibri" w:eastAsiaTheme="majorEastAsia" w:hAnsi="Calibri" w:cstheme="majorBidi"/>
                <w:b/>
                <w:bCs/>
                <w:i/>
                <w:iCs/>
                <w:color w:val="653979"/>
              </w:rPr>
            </w:pPr>
            <w:r w:rsidRPr="00416D19">
              <w:rPr>
                <w:rFonts w:ascii="Calibri" w:eastAsiaTheme="majorEastAsia" w:hAnsi="Calibri" w:cstheme="majorBidi"/>
                <w:b/>
                <w:bCs/>
                <w:i/>
                <w:iCs/>
                <w:color w:val="653979"/>
              </w:rPr>
              <w:t>Other roles</w:t>
            </w:r>
          </w:p>
          <w:p w14:paraId="20D952DB" w14:textId="3C02A9FF" w:rsidR="00782D8C" w:rsidRPr="00FA02B4" w:rsidRDefault="00782D8C" w:rsidP="00B46B19">
            <w:pPr>
              <w:keepLines/>
              <w:spacing w:after="0" w:line="240" w:lineRule="auto"/>
              <w:jc w:val="left"/>
            </w:pPr>
            <w:r w:rsidRPr="00DC1AFC">
              <w:t xml:space="preserve">Director </w:t>
            </w:r>
            <w:r>
              <w:t>–</w:t>
            </w:r>
            <w:r w:rsidRPr="00DC1AFC">
              <w:t xml:space="preserve"> Australian</w:t>
            </w:r>
            <w:r>
              <w:t xml:space="preserve"> </w:t>
            </w:r>
            <w:r w:rsidRPr="00DC1AFC">
              <w:t>Renewable Energy Agency</w:t>
            </w:r>
            <w:r>
              <w:br/>
            </w:r>
            <w:r w:rsidR="00B46B19">
              <w:t>Director</w:t>
            </w:r>
            <w:r w:rsidRPr="00DC1AFC">
              <w:t xml:space="preserve"> </w:t>
            </w:r>
            <w:r>
              <w:t>–</w:t>
            </w:r>
            <w:r w:rsidR="00015B9B">
              <w:t xml:space="preserve"> </w:t>
            </w:r>
            <w:r w:rsidRPr="00DC1AFC">
              <w:t xml:space="preserve">Cooperative Research Centre </w:t>
            </w:r>
            <w:r w:rsidR="00B46B19">
              <w:t>for Low Carbon Living</w:t>
            </w:r>
            <w:r>
              <w:br/>
            </w:r>
            <w:r w:rsidRPr="00DC1AFC">
              <w:t xml:space="preserve">Trustee </w:t>
            </w:r>
            <w:r>
              <w:t>–</w:t>
            </w:r>
            <w:r w:rsidRPr="00DC1AFC">
              <w:t xml:space="preserve"> The</w:t>
            </w:r>
            <w:r>
              <w:t xml:space="preserve"> Nature Conservancy</w:t>
            </w:r>
          </w:p>
        </w:tc>
      </w:tr>
    </w:tbl>
    <w:p w14:paraId="1A51B08D" w14:textId="77777777" w:rsidR="00782D8C" w:rsidRDefault="00782D8C" w:rsidP="00782D8C">
      <w:pPr>
        <w:pStyle w:val="SingleParagrap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Mr Roger Brake Information"/>
        <w:tblDescription w:val="Mr Roger Brake&#10;Executive member&#10;Member since 6 March 2017&#10;The position of executive member is held by the Head of Treasury’s Foreign Investment Division. The executive member provides the link between the Board and the Treasury, which provides support to the Board."/>
      </w:tblPr>
      <w:tblGrid>
        <w:gridCol w:w="5387"/>
        <w:gridCol w:w="2323"/>
      </w:tblGrid>
      <w:tr w:rsidR="00782D8C" w:rsidRPr="005106BA" w14:paraId="4E2D09BE" w14:textId="77777777" w:rsidTr="00CB560A">
        <w:trPr>
          <w:trHeight w:val="1143"/>
          <w:tblHeader/>
        </w:trPr>
        <w:tc>
          <w:tcPr>
            <w:tcW w:w="5387" w:type="dxa"/>
          </w:tcPr>
          <w:p w14:paraId="71EA2734" w14:textId="401735DE" w:rsidR="00782D8C" w:rsidRPr="00241E7E" w:rsidRDefault="00782D8C" w:rsidP="00497197">
            <w:pPr>
              <w:spacing w:after="200"/>
              <w:rPr>
                <w:rFonts w:ascii="Calibri" w:hAnsi="Calibri"/>
                <w:b/>
                <w:sz w:val="24"/>
              </w:rPr>
            </w:pPr>
            <w:r>
              <w:rPr>
                <w:rFonts w:ascii="Calibri" w:hAnsi="Calibri"/>
                <w:b/>
                <w:sz w:val="24"/>
              </w:rPr>
              <w:t xml:space="preserve">Mr </w:t>
            </w:r>
            <w:r w:rsidRPr="00DC1AFC">
              <w:rPr>
                <w:b/>
                <w:sz w:val="24"/>
                <w:szCs w:val="24"/>
              </w:rPr>
              <w:t>Roger Brake</w:t>
            </w:r>
          </w:p>
          <w:p w14:paraId="3EEEF485" w14:textId="4E6044E4" w:rsidR="00782D8C" w:rsidRPr="00416D19" w:rsidRDefault="00782D8C" w:rsidP="00497197">
            <w:pPr>
              <w:keepNext/>
              <w:keepLines/>
              <w:spacing w:before="200" w:after="120"/>
              <w:outlineLvl w:val="3"/>
              <w:rPr>
                <w:rFonts w:ascii="Calibri" w:eastAsiaTheme="majorEastAsia" w:hAnsi="Calibri" w:cstheme="majorBidi"/>
                <w:b/>
                <w:bCs/>
                <w:i/>
                <w:iCs/>
                <w:color w:val="653979"/>
              </w:rPr>
            </w:pPr>
            <w:r>
              <w:rPr>
                <w:rFonts w:ascii="Calibri" w:eastAsiaTheme="majorEastAsia" w:hAnsi="Calibri" w:cstheme="majorBidi"/>
                <w:b/>
                <w:bCs/>
                <w:i/>
                <w:iCs/>
                <w:color w:val="653979"/>
              </w:rPr>
              <w:t>E</w:t>
            </w:r>
            <w:r w:rsidRPr="00416D19">
              <w:rPr>
                <w:rFonts w:ascii="Calibri" w:eastAsiaTheme="majorEastAsia" w:hAnsi="Calibri" w:cstheme="majorBidi"/>
                <w:b/>
                <w:bCs/>
                <w:i/>
                <w:iCs/>
                <w:color w:val="653979"/>
              </w:rPr>
              <w:t>xecutive member</w:t>
            </w:r>
          </w:p>
          <w:p w14:paraId="70276B41" w14:textId="3F719DA9" w:rsidR="00782D8C" w:rsidRPr="00200537" w:rsidRDefault="00782D8C" w:rsidP="00782D8C">
            <w:pPr>
              <w:keepNext/>
              <w:keepLines/>
              <w:spacing w:after="120" w:line="240" w:lineRule="auto"/>
            </w:pPr>
            <w:r>
              <w:t>Member since 6 March 2017</w:t>
            </w:r>
          </w:p>
        </w:tc>
        <w:tc>
          <w:tcPr>
            <w:tcW w:w="2323" w:type="dxa"/>
            <w:vMerge w:val="restart"/>
          </w:tcPr>
          <w:p w14:paraId="334A8DC2" w14:textId="136F4858" w:rsidR="00782D8C" w:rsidRPr="005106BA" w:rsidRDefault="00782D8C" w:rsidP="00497197">
            <w:pPr>
              <w:pStyle w:val="ChartGraphic"/>
              <w:jc w:val="right"/>
            </w:pPr>
            <w:r w:rsidRPr="00DC1AFC">
              <w:rPr>
                <w:b/>
                <w:noProof/>
                <w:sz w:val="24"/>
                <w:szCs w:val="24"/>
              </w:rPr>
              <w:drawing>
                <wp:inline distT="0" distB="0" distL="0" distR="0" wp14:anchorId="155F3089" wp14:editId="40590733">
                  <wp:extent cx="1398549" cy="1905000"/>
                  <wp:effectExtent l="0" t="0" r="0" b="0"/>
                  <wp:docPr id="57" name="Picture 57" descr="Photo of Mr Roger Brake" title="Photo Mr Roger B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eb\DavWWWRoot\sites\mg\fitpd\Lfirbannualrport\2016-17\Report design\Portraits_Roger_Brake.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7550" t="5660" b="4647"/>
                          <a:stretch/>
                        </pic:blipFill>
                        <pic:spPr bwMode="auto">
                          <a:xfrm>
                            <a:off x="0" y="0"/>
                            <a:ext cx="1408076" cy="1917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2D8C" w:rsidRPr="005106BA" w14:paraId="009DC50A" w14:textId="77777777" w:rsidTr="00CB560A">
        <w:trPr>
          <w:trHeight w:val="1523"/>
          <w:tblHeader/>
        </w:trPr>
        <w:tc>
          <w:tcPr>
            <w:tcW w:w="5387" w:type="dxa"/>
          </w:tcPr>
          <w:p w14:paraId="730A6EB4" w14:textId="4EEADEC6" w:rsidR="00782D8C" w:rsidRPr="00FA02B4" w:rsidRDefault="00782D8C" w:rsidP="00782D8C">
            <w:pPr>
              <w:keepLines/>
            </w:pPr>
            <w:r w:rsidRPr="00DC1AFC">
              <w:t xml:space="preserve">The position of executive member is held by the Head of Treasury’s Foreign Investment Division. The executive member provides the link between the Board and the Treasury, which provides </w:t>
            </w:r>
            <w:r>
              <w:t>support to the Board.</w:t>
            </w:r>
          </w:p>
        </w:tc>
        <w:tc>
          <w:tcPr>
            <w:tcW w:w="2323" w:type="dxa"/>
            <w:vMerge/>
          </w:tcPr>
          <w:p w14:paraId="7245F390" w14:textId="77777777" w:rsidR="00782D8C" w:rsidRPr="00EB76D3" w:rsidRDefault="00782D8C" w:rsidP="00497197">
            <w:pPr>
              <w:spacing w:after="0" w:line="240" w:lineRule="auto"/>
              <w:rPr>
                <w:rFonts w:ascii="Calibri" w:hAnsi="Calibri"/>
              </w:rPr>
            </w:pPr>
          </w:p>
        </w:tc>
      </w:tr>
    </w:tbl>
    <w:p w14:paraId="287A44F5" w14:textId="77777777" w:rsidR="00D16D01" w:rsidRDefault="00D16D01" w:rsidP="00D16D01">
      <w:pPr>
        <w:pStyle w:val="SingleParagraph"/>
      </w:pPr>
    </w:p>
    <w:p w14:paraId="2BBC241E" w14:textId="77777777" w:rsidR="00E43E52" w:rsidRDefault="00E43E52">
      <w:pPr>
        <w:spacing w:after="0" w:line="240" w:lineRule="auto"/>
        <w:jc w:val="left"/>
        <w:rPr>
          <w:rFonts w:ascii="Calibri" w:hAnsi="Calibri" w:cs="Arial"/>
          <w:b/>
          <w:bCs/>
          <w:iCs/>
          <w:color w:val="003E74"/>
          <w:sz w:val="28"/>
          <w:szCs w:val="28"/>
        </w:rPr>
      </w:pPr>
      <w:bookmarkStart w:id="33" w:name="_Toc31296895"/>
      <w:bookmarkStart w:id="34" w:name="_Toc31636013"/>
      <w:bookmarkStart w:id="35" w:name="_Toc31642782"/>
      <w:r>
        <w:br w:type="page"/>
      </w:r>
    </w:p>
    <w:p w14:paraId="4FA4384D" w14:textId="5FAE2C62" w:rsidR="00A84283" w:rsidRPr="006D64A2" w:rsidRDefault="00A84283" w:rsidP="00AD4F91">
      <w:pPr>
        <w:pStyle w:val="Heading2"/>
        <w:spacing w:after="200"/>
      </w:pPr>
      <w:bookmarkStart w:id="36" w:name="_Toc32247791"/>
      <w:bookmarkStart w:id="37" w:name="_Toc33625840"/>
      <w:r w:rsidRPr="00406C1F">
        <w:lastRenderedPageBreak/>
        <w:t>Public speeches</w:t>
      </w:r>
      <w:bookmarkEnd w:id="33"/>
      <w:bookmarkEnd w:id="34"/>
      <w:bookmarkEnd w:id="35"/>
      <w:bookmarkEnd w:id="36"/>
      <w:bookmarkEnd w:id="37"/>
    </w:p>
    <w:p w14:paraId="20C25810" w14:textId="60932198" w:rsidR="00A84283" w:rsidRPr="00A84283" w:rsidRDefault="0069138B" w:rsidP="00AD4F91">
      <w:pPr>
        <w:spacing w:after="200"/>
      </w:pPr>
      <w:r>
        <w:t>In</w:t>
      </w:r>
      <w:r w:rsidR="00A84283" w:rsidRPr="00A84283">
        <w:t xml:space="preserve"> 201</w:t>
      </w:r>
      <w:r w:rsidR="009419BA">
        <w:t>8</w:t>
      </w:r>
      <w:r w:rsidR="00252661">
        <w:noBreakHyphen/>
      </w:r>
      <w:r w:rsidR="009419BA">
        <w:t>1</w:t>
      </w:r>
      <w:r w:rsidR="00A84283" w:rsidRPr="00A84283">
        <w:t>9, Mr Irvin</w:t>
      </w:r>
      <w:r w:rsidR="009419BA">
        <w:t xml:space="preserve">e, the Chair of the Board, delivered </w:t>
      </w:r>
      <w:r w:rsidR="00A84283" w:rsidRPr="00A84283">
        <w:t>the keynote address at the 2018 Infrastructure Investors’ Forum: Australia.</w:t>
      </w:r>
      <w:r w:rsidR="009419BA">
        <w:t xml:space="preserve"> </w:t>
      </w:r>
      <w:r>
        <w:t xml:space="preserve">The Chair and Board members also participated in a range of meetings and </w:t>
      </w:r>
      <w:r w:rsidR="00741D34">
        <w:t xml:space="preserve">outreach activities with investors, their representatives and representatives of particular sectors. These forums encourage two-way dialogue, providing </w:t>
      </w:r>
      <w:r w:rsidR="00A84283" w:rsidRPr="00A84283">
        <w:t xml:space="preserve">investors with </w:t>
      </w:r>
      <w:r w:rsidR="00741D34">
        <w:t xml:space="preserve">information on </w:t>
      </w:r>
      <w:r w:rsidR="00A84283" w:rsidRPr="00A84283">
        <w:t>Australia’s foreign investment environment</w:t>
      </w:r>
      <w:r w:rsidR="00741D34">
        <w:t xml:space="preserve"> and the approach to foreign investment screening</w:t>
      </w:r>
      <w:r w:rsidR="00A84283" w:rsidRPr="00A84283">
        <w:t xml:space="preserve">. </w:t>
      </w:r>
      <w:r w:rsidR="00741D34">
        <w:t xml:space="preserve">They </w:t>
      </w:r>
      <w:r w:rsidR="00A84283" w:rsidRPr="00A84283">
        <w:t>allow the Board to gain market intelligence</w:t>
      </w:r>
      <w:r w:rsidR="00741D34">
        <w:t xml:space="preserve"> and insights which feed into its </w:t>
      </w:r>
      <w:r w:rsidR="00A84283" w:rsidRPr="00A84283">
        <w:t xml:space="preserve">advice to the Government. </w:t>
      </w:r>
    </w:p>
    <w:p w14:paraId="5AB91A21" w14:textId="0011564A" w:rsidR="00A84283" w:rsidRPr="00A84283" w:rsidRDefault="00A84283" w:rsidP="00AD4F91">
      <w:pPr>
        <w:spacing w:after="200"/>
      </w:pPr>
      <w:r w:rsidRPr="00A84283">
        <w:t>Mr Irvine’s speeches on foreign investment are available on the FIRB website.</w:t>
      </w:r>
    </w:p>
    <w:p w14:paraId="6E7759F8" w14:textId="48BB0D9F" w:rsidR="00A84283" w:rsidRPr="006D64A2" w:rsidRDefault="00A84283" w:rsidP="00AD4F91">
      <w:pPr>
        <w:pStyle w:val="Heading2"/>
        <w:spacing w:after="200"/>
      </w:pPr>
      <w:bookmarkStart w:id="38" w:name="_Toc31296896"/>
      <w:bookmarkStart w:id="39" w:name="_Toc31636014"/>
      <w:bookmarkStart w:id="40" w:name="_Toc31642783"/>
      <w:bookmarkStart w:id="41" w:name="_Toc32247792"/>
      <w:bookmarkStart w:id="42" w:name="_Toc33625841"/>
      <w:r w:rsidRPr="00406C1F">
        <w:t>FIRB agencies</w:t>
      </w:r>
      <w:bookmarkEnd w:id="38"/>
      <w:bookmarkEnd w:id="39"/>
      <w:bookmarkEnd w:id="40"/>
      <w:bookmarkEnd w:id="41"/>
      <w:bookmarkEnd w:id="42"/>
    </w:p>
    <w:p w14:paraId="73C377A7" w14:textId="10FF2031" w:rsidR="00A84283" w:rsidRPr="00A84283" w:rsidRDefault="00A84283" w:rsidP="00AD4F91">
      <w:pPr>
        <w:spacing w:after="200"/>
      </w:pPr>
      <w:r w:rsidRPr="00A84283">
        <w:t>The Board is supported in its responsibilities by Treasury’s Foreign Investment Division</w:t>
      </w:r>
      <w:r w:rsidR="00687DE7">
        <w:t>,</w:t>
      </w:r>
      <w:r w:rsidRPr="00A84283">
        <w:t xml:space="preserve"> and Public Groups and International in the ATO. Treasury and the ATO are collectively referred to in this report as ‘FIRB agencies’.</w:t>
      </w:r>
    </w:p>
    <w:p w14:paraId="2CD2258D" w14:textId="77777777" w:rsidR="00A84283" w:rsidRPr="006D64A2" w:rsidRDefault="00A84283" w:rsidP="00AD4F91">
      <w:pPr>
        <w:pStyle w:val="Heading3"/>
        <w:spacing w:after="120"/>
      </w:pPr>
      <w:r w:rsidRPr="00406C1F">
        <w:t>Treasury</w:t>
      </w:r>
    </w:p>
    <w:p w14:paraId="14F74AA6" w14:textId="44E7FFFE" w:rsidR="00A84283" w:rsidRPr="00A84283" w:rsidRDefault="003B0DB1" w:rsidP="00AD4F91">
      <w:pPr>
        <w:spacing w:after="200"/>
      </w:pPr>
      <w:r>
        <w:t>The F</w:t>
      </w:r>
      <w:r w:rsidR="00A84283" w:rsidRPr="00A84283">
        <w:t>oreign Investment Divisi</w:t>
      </w:r>
      <w:r w:rsidR="002B71D1">
        <w:t>on is responsible for advising G</w:t>
      </w:r>
      <w:r w:rsidR="00A84283" w:rsidRPr="00A84283">
        <w:t>overnment on all aspects of foreign investment policy. It is also responsible for the day-to-day administration of the foreign investment framework in relation to business, agriculture and sensitive or complex commercial real estate cases.</w:t>
      </w:r>
    </w:p>
    <w:p w14:paraId="6DF76D29" w14:textId="77777777" w:rsidR="00A84283" w:rsidRPr="006D64A2" w:rsidRDefault="00A84283" w:rsidP="00AD4F91">
      <w:pPr>
        <w:pStyle w:val="Heading3"/>
        <w:spacing w:after="120"/>
      </w:pPr>
      <w:r w:rsidRPr="00406C1F">
        <w:t>Australian Taxation Office</w:t>
      </w:r>
    </w:p>
    <w:p w14:paraId="393F2120" w14:textId="544D90A0" w:rsidR="00A84283" w:rsidRPr="00A84283" w:rsidRDefault="00A84283" w:rsidP="00AD4F91">
      <w:pPr>
        <w:spacing w:after="200"/>
      </w:pPr>
      <w:r w:rsidRPr="00A84283">
        <w:t>The ATO administers all aspects of foreign investment in residential real estate</w:t>
      </w:r>
      <w:r w:rsidR="001B271F">
        <w:t>,</w:t>
      </w:r>
      <w:r w:rsidR="006659B3">
        <w:t xml:space="preserve"> non</w:t>
      </w:r>
      <w:r w:rsidR="001B271F">
        <w:noBreakHyphen/>
      </w:r>
      <w:r w:rsidRPr="00A84283">
        <w:t xml:space="preserve">sensitive commercial real estate and corporate </w:t>
      </w:r>
      <w:r w:rsidR="001B271F">
        <w:t>reorganisatio</w:t>
      </w:r>
      <w:r w:rsidR="00636335">
        <w:t>n</w:t>
      </w:r>
      <w:r w:rsidR="001B271F">
        <w:t>s</w:t>
      </w:r>
      <w:r w:rsidRPr="00A84283">
        <w:t>. The ATO also has responsibility for the collection of all foreign investment application</w:t>
      </w:r>
      <w:r w:rsidR="006659B3">
        <w:t xml:space="preserve"> and vacancy</w:t>
      </w:r>
      <w:r w:rsidRPr="00A84283">
        <w:t xml:space="preserve"> fees, and for developing and administering the registers of foreign ownership of agricultural land, water entitlements and residential land.</w:t>
      </w:r>
    </w:p>
    <w:p w14:paraId="45E68E62" w14:textId="03476129" w:rsidR="00A84283" w:rsidRPr="006D64A2" w:rsidRDefault="00A84283" w:rsidP="00AD4F91">
      <w:pPr>
        <w:pStyle w:val="Heading2"/>
        <w:spacing w:after="200"/>
      </w:pPr>
      <w:bookmarkStart w:id="43" w:name="_Toc31296897"/>
      <w:bookmarkStart w:id="44" w:name="_Toc31636015"/>
      <w:bookmarkStart w:id="45" w:name="_Toc31642784"/>
      <w:bookmarkStart w:id="46" w:name="_Toc32247793"/>
      <w:bookmarkStart w:id="47" w:name="_Toc33625842"/>
      <w:r w:rsidRPr="00406C1F">
        <w:t>Stakeholder engagement</w:t>
      </w:r>
      <w:bookmarkEnd w:id="43"/>
      <w:bookmarkEnd w:id="44"/>
      <w:bookmarkEnd w:id="45"/>
      <w:bookmarkEnd w:id="46"/>
      <w:bookmarkEnd w:id="47"/>
    </w:p>
    <w:p w14:paraId="38F12390" w14:textId="77777777" w:rsidR="00A84283" w:rsidRPr="00A84283" w:rsidRDefault="00A84283" w:rsidP="00AD4F91">
      <w:pPr>
        <w:spacing w:after="200"/>
      </w:pPr>
      <w:r w:rsidRPr="00A84283">
        <w:t>Stakeholder engagement by the Board and FIRB agencies focuses on:</w:t>
      </w:r>
    </w:p>
    <w:p w14:paraId="15EE1C9D" w14:textId="44245BB0" w:rsidR="00A84283" w:rsidRPr="00A84283" w:rsidRDefault="00A84283" w:rsidP="00AD4F91">
      <w:pPr>
        <w:pStyle w:val="Bullet"/>
        <w:spacing w:after="160"/>
      </w:pPr>
      <w:r w:rsidRPr="00A84283">
        <w:t>building and maintaining relationships to understand perspectives from the investment community;</w:t>
      </w:r>
    </w:p>
    <w:p w14:paraId="6ACC6995" w14:textId="0690A773" w:rsidR="00A84283" w:rsidRPr="00A84283" w:rsidRDefault="00A84283" w:rsidP="00AD4F91">
      <w:pPr>
        <w:pStyle w:val="Bullet"/>
        <w:spacing w:after="160"/>
      </w:pPr>
      <w:r w:rsidRPr="00A84283">
        <w:t>educating investors and their advisers about the operation of foreign investment rules;</w:t>
      </w:r>
    </w:p>
    <w:p w14:paraId="3EFB5BF6" w14:textId="4E6A0094" w:rsidR="00A84283" w:rsidRPr="00A84283" w:rsidRDefault="00A84283" w:rsidP="00AD4F91">
      <w:pPr>
        <w:pStyle w:val="Bullet"/>
        <w:spacing w:after="160"/>
      </w:pPr>
      <w:r w:rsidRPr="00A84283">
        <w:t>providing information and seeking feedback on foreign investment policy, processes and reforms;</w:t>
      </w:r>
    </w:p>
    <w:p w14:paraId="4C03B652" w14:textId="5EC87E2A" w:rsidR="00A84283" w:rsidRPr="00A84283" w:rsidRDefault="00A84283" w:rsidP="00AD4F91">
      <w:pPr>
        <w:pStyle w:val="Bullet"/>
        <w:spacing w:after="160"/>
      </w:pPr>
      <w:r w:rsidRPr="00A84283">
        <w:t>exploring specific trends and issues to ensure the Board remains informed of emerging issues; and</w:t>
      </w:r>
    </w:p>
    <w:p w14:paraId="45764C58" w14:textId="70E93F13" w:rsidR="00A84283" w:rsidRPr="00A84283" w:rsidRDefault="00A84283" w:rsidP="00AD4F91">
      <w:pPr>
        <w:pStyle w:val="Bullet"/>
        <w:spacing w:after="160"/>
      </w:pPr>
      <w:r w:rsidRPr="00A84283">
        <w:t>working effec</w:t>
      </w:r>
      <w:r w:rsidR="004F0824">
        <w:t>tively with Commonwealth, state</w:t>
      </w:r>
      <w:r w:rsidRPr="00A84283">
        <w:t xml:space="preserve"> and territory consult partners to assess foreign investment applications.</w:t>
      </w:r>
    </w:p>
    <w:p w14:paraId="665B9CAA" w14:textId="77777777" w:rsidR="00A84283" w:rsidRPr="00A84283" w:rsidRDefault="00A84283" w:rsidP="00D8583C">
      <w:pPr>
        <w:pStyle w:val="Heading3"/>
      </w:pPr>
      <w:r w:rsidRPr="00A84283">
        <w:lastRenderedPageBreak/>
        <w:t>Engagement with foreign investors</w:t>
      </w:r>
    </w:p>
    <w:p w14:paraId="639617A6" w14:textId="77777777" w:rsidR="00A84283" w:rsidRPr="00A84283" w:rsidRDefault="00A84283" w:rsidP="002E2EFE">
      <w:r w:rsidRPr="00A84283">
        <w:t>Engagement with foreign investors occurs through channels including:</w:t>
      </w:r>
    </w:p>
    <w:p w14:paraId="101618BE" w14:textId="1CFE18BE" w:rsidR="00A84283" w:rsidRPr="00A84283" w:rsidRDefault="00A84283" w:rsidP="00252661">
      <w:pPr>
        <w:pStyle w:val="Bullet"/>
      </w:pPr>
      <w:r w:rsidRPr="00A84283">
        <w:t>the</w:t>
      </w:r>
      <w:r w:rsidR="004F0824">
        <w:t xml:space="preserve"> FIRB website: This includes up</w:t>
      </w:r>
      <w:r w:rsidR="004F0824">
        <w:noBreakHyphen/>
      </w:r>
      <w:r w:rsidRPr="00A84283">
        <w:t>to</w:t>
      </w:r>
      <w:r w:rsidR="004F0824">
        <w:noBreakHyphen/>
      </w:r>
      <w:r w:rsidRPr="00A84283">
        <w:t>date guidance material</w:t>
      </w:r>
      <w:r w:rsidR="004F0824">
        <w:t xml:space="preserve"> for investors, which in </w:t>
      </w:r>
      <w:r w:rsidRPr="00A84283">
        <w:t>2018</w:t>
      </w:r>
      <w:r w:rsidR="004F0824">
        <w:noBreakHyphen/>
      </w:r>
      <w:r w:rsidRPr="00A84283">
        <w:t xml:space="preserve">19 was accessed by </w:t>
      </w:r>
      <w:r w:rsidR="001B271F">
        <w:t>more than 228,000</w:t>
      </w:r>
      <w:r w:rsidRPr="00A84283">
        <w:t xml:space="preserve"> users from around the world;</w:t>
      </w:r>
    </w:p>
    <w:p w14:paraId="3ABFF7E8" w14:textId="2682A595" w:rsidR="00A84283" w:rsidRPr="00A84283" w:rsidRDefault="00A84283" w:rsidP="00252661">
      <w:pPr>
        <w:pStyle w:val="Bullet"/>
      </w:pPr>
      <w:r w:rsidRPr="00A84283">
        <w:t>foreign investment</w:t>
      </w:r>
      <w:r w:rsidR="004F0824">
        <w:t xml:space="preserve"> email enquiries: In 2018</w:t>
      </w:r>
      <w:r w:rsidR="004F0824">
        <w:noBreakHyphen/>
        <w:t>19, the</w:t>
      </w:r>
      <w:r w:rsidRPr="00A84283">
        <w:t xml:space="preserve"> ATO replied to over </w:t>
      </w:r>
      <w:r w:rsidR="005B5ED3">
        <w:t>10,</w:t>
      </w:r>
      <w:r w:rsidR="00D40BB1">
        <w:t>3</w:t>
      </w:r>
      <w:r w:rsidR="005B5ED3">
        <w:t xml:space="preserve">00 written enquiries </w:t>
      </w:r>
      <w:r w:rsidRPr="00A84283">
        <w:t xml:space="preserve">on foreign investment matters and Treasury responded to over </w:t>
      </w:r>
      <w:r w:rsidR="005B5ED3">
        <w:t>450</w:t>
      </w:r>
      <w:r w:rsidR="004F0824">
        <w:t>. Enquiries ranged from general queries about the foreign investment framework</w:t>
      </w:r>
      <w:r w:rsidR="00546663" w:rsidRPr="00546663">
        <w:t xml:space="preserve"> </w:t>
      </w:r>
      <w:r w:rsidR="00546663">
        <w:t>or sectoral trends</w:t>
      </w:r>
      <w:r w:rsidR="004F0824">
        <w:t xml:space="preserve">, </w:t>
      </w:r>
      <w:r w:rsidR="00546663">
        <w:t>to specific queries about past, prospective and current FIRB applications;</w:t>
      </w:r>
    </w:p>
    <w:p w14:paraId="719652AC" w14:textId="28FBADB2" w:rsidR="00A84283" w:rsidRPr="00A84283" w:rsidRDefault="0091397D" w:rsidP="00252661">
      <w:pPr>
        <w:pStyle w:val="Bullet"/>
      </w:pPr>
      <w:r>
        <w:t xml:space="preserve">the </w:t>
      </w:r>
      <w:r w:rsidR="00A84283" w:rsidRPr="00A84283">
        <w:t>foreign investment enquiries hotline: In 2018</w:t>
      </w:r>
      <w:r w:rsidR="00546663">
        <w:noBreakHyphen/>
      </w:r>
      <w:r w:rsidR="00A84283" w:rsidRPr="00A84283">
        <w:t xml:space="preserve">19, the ATO handled over </w:t>
      </w:r>
      <w:r w:rsidR="005B5ED3">
        <w:t xml:space="preserve">13,000 </w:t>
      </w:r>
      <w:r w:rsidR="00A84283" w:rsidRPr="00A84283">
        <w:t xml:space="preserve">calls on its foreign investment enquiry line and Treasury handled over </w:t>
      </w:r>
      <w:r w:rsidR="00A84283" w:rsidRPr="0091397D">
        <w:t>2,</w:t>
      </w:r>
      <w:r w:rsidR="005B5ED3" w:rsidRPr="0091397D">
        <w:t>300</w:t>
      </w:r>
      <w:r w:rsidR="00A84283" w:rsidRPr="00A84283">
        <w:t xml:space="preserve"> calls. These enquiries ranged from questions about investors’ proposed acquisitions and their regulatory requirements, to media or investor queries about sectoral trends; and</w:t>
      </w:r>
    </w:p>
    <w:p w14:paraId="2EEE970F" w14:textId="5F3A6E2D" w:rsidR="00A84283" w:rsidRPr="00A84283" w:rsidRDefault="00A84283" w:rsidP="00252661">
      <w:pPr>
        <w:pStyle w:val="Bullet"/>
      </w:pPr>
      <w:r w:rsidRPr="00A84283">
        <w:t>face</w:t>
      </w:r>
      <w:r w:rsidR="0091397D">
        <w:t xml:space="preserve">-to-face sessions and webinars </w:t>
      </w:r>
      <w:r w:rsidRPr="00A84283">
        <w:t>with stakeholders: FIRB agencies met with potential foreign investors, their representatives (including with the Law Council of Australia’s Foreign Investment Committee in March), industry peak bodies, and foreign government officials. Both Treasury and the ATO held several stakeholder meetings in 2018</w:t>
      </w:r>
      <w:r w:rsidR="00546663">
        <w:noBreakHyphen/>
      </w:r>
      <w:r w:rsidRPr="00A84283">
        <w:t>19 that were tailored to promote understanding of certain aspects of the foreign investment fr</w:t>
      </w:r>
      <w:r w:rsidR="00546663">
        <w:t xml:space="preserve">amework, and seek stakeholders’ </w:t>
      </w:r>
      <w:r w:rsidRPr="00A84283">
        <w:t>feedback.</w:t>
      </w:r>
    </w:p>
    <w:p w14:paraId="1225D69F" w14:textId="05A2C806" w:rsidR="00A84283" w:rsidRPr="006D64A2" w:rsidRDefault="002B71D1" w:rsidP="00406C1F">
      <w:pPr>
        <w:pStyle w:val="Heading3"/>
      </w:pPr>
      <w:r>
        <w:t>Engagement relating to t</w:t>
      </w:r>
      <w:r w:rsidR="00A84283" w:rsidRPr="00406C1F">
        <w:t xml:space="preserve">he </w:t>
      </w:r>
      <w:r w:rsidR="00A84283" w:rsidRPr="003C2311">
        <w:t xml:space="preserve">2019 </w:t>
      </w:r>
      <w:r w:rsidR="005B5ED3">
        <w:t>F</w:t>
      </w:r>
      <w:r w:rsidR="00A84283" w:rsidRPr="003C2311">
        <w:t xml:space="preserve">ederal </w:t>
      </w:r>
      <w:r w:rsidR="005B5ED3">
        <w:t>E</w:t>
      </w:r>
      <w:r w:rsidR="00A84283" w:rsidRPr="003C2311">
        <w:t>lection</w:t>
      </w:r>
    </w:p>
    <w:p w14:paraId="50A73FC4" w14:textId="4B33E5F3" w:rsidR="00A84283" w:rsidRPr="00A84283" w:rsidRDefault="00A84283" w:rsidP="002E2EFE">
      <w:r w:rsidRPr="00A84283">
        <w:t>On 11 April 2019, the Prime Minister advised the Governor</w:t>
      </w:r>
      <w:r w:rsidR="002179DD">
        <w:noBreakHyphen/>
      </w:r>
      <w:r w:rsidRPr="00A84283">
        <w:t>General t</w:t>
      </w:r>
      <w:r w:rsidR="00AD4F91">
        <w:t>o dissolve the 45th </w:t>
      </w:r>
      <w:r w:rsidRPr="00A84283">
        <w:t xml:space="preserve">Australian Parliament and to issue writs for an election to be held on 18 </w:t>
      </w:r>
      <w:r w:rsidR="00AD3A26">
        <w:t>May 2019. On the same date, a ‘</w:t>
      </w:r>
      <w:r w:rsidRPr="00A84283">
        <w:t>caretaker’ period commenced. During a ca</w:t>
      </w:r>
      <w:r w:rsidR="00AD3A26">
        <w:t>retaker period, the business of g</w:t>
      </w:r>
      <w:r w:rsidRPr="00A84283">
        <w:t>overnment can continue and ordinary matters of administration are still addressed, but the Government avoids making major decisions that could commit an incoming government.</w:t>
      </w:r>
    </w:p>
    <w:p w14:paraId="0EB6C0C1" w14:textId="77777777" w:rsidR="00A84283" w:rsidRPr="00A84283" w:rsidRDefault="00A84283" w:rsidP="002E2EFE">
      <w:r w:rsidRPr="00A84283">
        <w:t>Prior to the commencement of the caretaker period, Treasury placed a notification on the FIRB website that larger, more significant or sensitive investment applications may not be able to proceed during the caretaker period, and invited prospective investors or their advisers to contact Treasury to discuss such proposals.</w:t>
      </w:r>
    </w:p>
    <w:p w14:paraId="465CC64F" w14:textId="6187C426" w:rsidR="00A84283" w:rsidRPr="00A618B6" w:rsidRDefault="00A84283">
      <w:pPr>
        <w:pStyle w:val="Heading3"/>
      </w:pPr>
      <w:r w:rsidRPr="00A618B6">
        <w:t>Engagement with consult</w:t>
      </w:r>
      <w:r w:rsidR="00226D8B" w:rsidRPr="00A618B6">
        <w:t>ation</w:t>
      </w:r>
      <w:r w:rsidRPr="00A618B6">
        <w:t xml:space="preserve"> partners</w:t>
      </w:r>
    </w:p>
    <w:p w14:paraId="70308FED" w14:textId="4941F4BD" w:rsidR="00A84283" w:rsidRPr="00A84283" w:rsidRDefault="00A84283" w:rsidP="002E2EFE">
      <w:r w:rsidRPr="00A84283">
        <w:t>Given the breadth of industries and transactions subject to the foreign investment framework, FIRB agencies rely on building strong relationships with key consult</w:t>
      </w:r>
      <w:r w:rsidR="00226D8B">
        <w:t>ation</w:t>
      </w:r>
      <w:r w:rsidRPr="00A84283">
        <w:t xml:space="preserve"> partners.</w:t>
      </w:r>
    </w:p>
    <w:p w14:paraId="120E5F07" w14:textId="31673CA7" w:rsidR="00A84283" w:rsidRPr="00A84283" w:rsidRDefault="00A84283" w:rsidP="002E2EFE">
      <w:r w:rsidRPr="00A84283">
        <w:t>In 2018–19, Treasury held several meetings to enhance consult partner relationships. This included the Foreign Investment Insights Day on 15</w:t>
      </w:r>
      <w:r w:rsidR="00DE3B72">
        <w:t> </w:t>
      </w:r>
      <w:r w:rsidRPr="00A84283">
        <w:t>May</w:t>
      </w:r>
      <w:r w:rsidR="00DE3B72">
        <w:t> </w:t>
      </w:r>
      <w:r w:rsidRPr="00A84283">
        <w:t>2019, attended by</w:t>
      </w:r>
      <w:r w:rsidR="0091397D">
        <w:t xml:space="preserve"> representatives from</w:t>
      </w:r>
      <w:r w:rsidRPr="00A84283">
        <w:t xml:space="preserve"> </w:t>
      </w:r>
      <w:r w:rsidR="004D2FCE">
        <w:t xml:space="preserve">approximately </w:t>
      </w:r>
      <w:r w:rsidRPr="00A84283">
        <w:t>20 consult</w:t>
      </w:r>
      <w:r w:rsidR="004D2FCE">
        <w:t>ation</w:t>
      </w:r>
      <w:r w:rsidRPr="00A84283">
        <w:t xml:space="preserve"> partners. Topics discussed included managing </w:t>
      </w:r>
      <w:r w:rsidR="00AD3A26">
        <w:t>compliance, sector</w:t>
      </w:r>
      <w:r w:rsidR="005B5ED3">
        <w:t>al analyses</w:t>
      </w:r>
      <w:r w:rsidRPr="00A84283">
        <w:t xml:space="preserve">, collaborating across government, and the outlook for </w:t>
      </w:r>
      <w:r w:rsidR="00AD3A26">
        <w:t xml:space="preserve">mergers and acquisitions. </w:t>
      </w:r>
      <w:r w:rsidRPr="00A84283">
        <w:t>In April and May</w:t>
      </w:r>
      <w:r w:rsidR="0091397D">
        <w:t xml:space="preserve"> 2019</w:t>
      </w:r>
      <w:r w:rsidRPr="00A84283">
        <w:t xml:space="preserve">, Treasury also met with </w:t>
      </w:r>
      <w:r w:rsidR="00AD3A26">
        <w:t>s</w:t>
      </w:r>
      <w:r w:rsidRPr="00A84283">
        <w:t xml:space="preserve">tate and </w:t>
      </w:r>
      <w:r w:rsidR="00AD3A26">
        <w:t>t</w:t>
      </w:r>
      <w:r w:rsidRPr="00A84283">
        <w:t xml:space="preserve">erritory counterparts to </w:t>
      </w:r>
      <w:r w:rsidRPr="00A84283">
        <w:lastRenderedPageBreak/>
        <w:t xml:space="preserve">discuss </w:t>
      </w:r>
      <w:r w:rsidR="004D2FCE">
        <w:t xml:space="preserve">administration of the </w:t>
      </w:r>
      <w:r w:rsidRPr="00A84283">
        <w:t>foreign investment</w:t>
      </w:r>
      <w:r w:rsidR="004D2FCE">
        <w:t xml:space="preserve"> regime</w:t>
      </w:r>
      <w:r w:rsidRPr="00A84283">
        <w:t xml:space="preserve">. In addition, </w:t>
      </w:r>
      <w:r w:rsidR="00576DE1">
        <w:t xml:space="preserve">there were a number of secondments between Treasury and key agencies including </w:t>
      </w:r>
      <w:r w:rsidR="00820265" w:rsidRPr="00820265">
        <w:t>the ATO, the Inspector-General of Taxation and the Critical Infrastructure Centre</w:t>
      </w:r>
      <w:r w:rsidRPr="00A84283">
        <w:t xml:space="preserve">. </w:t>
      </w:r>
    </w:p>
    <w:p w14:paraId="239BECA1" w14:textId="05874375" w:rsidR="00A84283" w:rsidRPr="006D64A2" w:rsidRDefault="00A84283" w:rsidP="00406C1F">
      <w:pPr>
        <w:pStyle w:val="Heading2"/>
      </w:pPr>
      <w:bookmarkStart w:id="48" w:name="_Toc31296898"/>
      <w:bookmarkStart w:id="49" w:name="_Toc31636016"/>
      <w:bookmarkStart w:id="50" w:name="_Toc31642785"/>
      <w:bookmarkStart w:id="51" w:name="_Toc32247794"/>
      <w:bookmarkStart w:id="52" w:name="_Toc33625843"/>
      <w:r w:rsidRPr="00406C1F">
        <w:t>Operational costs</w:t>
      </w:r>
      <w:bookmarkEnd w:id="48"/>
      <w:bookmarkEnd w:id="49"/>
      <w:bookmarkEnd w:id="50"/>
      <w:bookmarkEnd w:id="51"/>
      <w:bookmarkEnd w:id="52"/>
    </w:p>
    <w:p w14:paraId="2FD1A04D" w14:textId="4B53A91E" w:rsidR="00A84283" w:rsidRPr="002744B3" w:rsidRDefault="00A84283" w:rsidP="00814EFB">
      <w:pPr>
        <w:keepNext/>
        <w:tabs>
          <w:tab w:val="right" w:pos="7513"/>
        </w:tabs>
        <w:rPr>
          <w:b/>
          <w:color w:val="auto"/>
        </w:rPr>
      </w:pPr>
      <w:r w:rsidRPr="002744B3">
        <w:rPr>
          <w:b/>
        </w:rPr>
        <w:t xml:space="preserve">The </w:t>
      </w:r>
      <w:r w:rsidR="0091397D">
        <w:rPr>
          <w:b/>
        </w:rPr>
        <w:t>Board</w:t>
      </w:r>
      <w:r w:rsidR="00E11320" w:rsidRPr="002744B3">
        <w:rPr>
          <w:b/>
        </w:rPr>
        <w:tab/>
      </w:r>
      <w:r w:rsidRPr="002744B3">
        <w:rPr>
          <w:b/>
        </w:rPr>
        <w:t>$0.5 million</w:t>
      </w:r>
    </w:p>
    <w:p w14:paraId="17FF6C36" w14:textId="15E640D0" w:rsidR="00A84283" w:rsidRPr="002E2EFE" w:rsidRDefault="00A84283" w:rsidP="002E2EFE">
      <w:r w:rsidRPr="002E2EFE">
        <w:t>Remuneration of Board members in 2018</w:t>
      </w:r>
      <w:r w:rsidR="00AD3A26" w:rsidRPr="002E2EFE">
        <w:noBreakHyphen/>
        <w:t xml:space="preserve">19 was around </w:t>
      </w:r>
      <w:r w:rsidRPr="002E2EFE">
        <w:t>82 per cent of total Board expenses, with the remainder expended on travel, car hire and incidentals. Board members’ fees are determined by the Remuneration Tribunal.</w:t>
      </w:r>
    </w:p>
    <w:p w14:paraId="3CE71CF9" w14:textId="54EAEBDE" w:rsidR="00A84283" w:rsidRPr="00F5333F" w:rsidRDefault="00A84283" w:rsidP="00F5333F">
      <w:pPr>
        <w:tabs>
          <w:tab w:val="right" w:pos="7513"/>
        </w:tabs>
        <w:rPr>
          <w:b/>
        </w:rPr>
      </w:pPr>
      <w:r w:rsidRPr="00F5333F">
        <w:rPr>
          <w:b/>
        </w:rPr>
        <w:t>Treasury</w:t>
      </w:r>
      <w:r w:rsidR="00470342" w:rsidRPr="00F5333F">
        <w:rPr>
          <w:b/>
        </w:rPr>
        <w:tab/>
      </w:r>
      <w:r w:rsidRPr="00F5333F">
        <w:rPr>
          <w:b/>
        </w:rPr>
        <w:t>$8.9 million</w:t>
      </w:r>
    </w:p>
    <w:p w14:paraId="094F4FA2" w14:textId="7953AD12" w:rsidR="00A84283" w:rsidRPr="002E2EFE" w:rsidRDefault="00AD3A26" w:rsidP="002E2EFE">
      <w:r w:rsidRPr="002E2EFE">
        <w:t>Expenses for Treasury’</w:t>
      </w:r>
      <w:r w:rsidR="00A84283" w:rsidRPr="002E2EFE">
        <w:t>s Foreign Investment Division mainly reflect employee salary and administrative costs. Over the course of 2018</w:t>
      </w:r>
      <w:r w:rsidRPr="002E2EFE">
        <w:noBreakHyphen/>
      </w:r>
      <w:r w:rsidR="00A84283" w:rsidRPr="002E2EFE">
        <w:t xml:space="preserve">19, </w:t>
      </w:r>
      <w:r w:rsidR="00687DE7">
        <w:t xml:space="preserve">the Division </w:t>
      </w:r>
      <w:r w:rsidR="00A84283" w:rsidRPr="002E2EFE">
        <w:t>employed</w:t>
      </w:r>
      <w:r w:rsidRPr="002E2EFE">
        <w:t xml:space="preserve"> an average of </w:t>
      </w:r>
      <w:r w:rsidR="009C0C48">
        <w:t>55 </w:t>
      </w:r>
      <w:r w:rsidR="00A84283" w:rsidRPr="002E2EFE">
        <w:t>full</w:t>
      </w:r>
      <w:r w:rsidR="009C0C48">
        <w:noBreakHyphen/>
      </w:r>
      <w:r w:rsidR="00A84283" w:rsidRPr="002E2EFE">
        <w:t>time equivalent Treasury staff, and a number of external contractors and consultants</w:t>
      </w:r>
      <w:r w:rsidR="00C023EB">
        <w:t>,</w:t>
      </w:r>
      <w:r w:rsidR="00A84283" w:rsidRPr="002E2EFE">
        <w:t xml:space="preserve"> including lawyers from the Australian Government Solicitor. </w:t>
      </w:r>
      <w:r w:rsidR="00687DE7">
        <w:t>S</w:t>
      </w:r>
      <w:r w:rsidR="00A84283" w:rsidRPr="002E2EFE">
        <w:t>t</w:t>
      </w:r>
      <w:r w:rsidR="00422C1D">
        <w:t>aff are located in Canberra and </w:t>
      </w:r>
      <w:r w:rsidR="00A84283" w:rsidRPr="002E2EFE">
        <w:t>Sydney.</w:t>
      </w:r>
    </w:p>
    <w:p w14:paraId="42AE9ECB" w14:textId="77777777" w:rsidR="00A84283" w:rsidRPr="00F5333F" w:rsidRDefault="00A84283" w:rsidP="00F649A4">
      <w:pPr>
        <w:keepNext/>
        <w:tabs>
          <w:tab w:val="right" w:pos="7513"/>
        </w:tabs>
        <w:rPr>
          <w:b/>
        </w:rPr>
      </w:pPr>
      <w:r w:rsidRPr="00F5333F">
        <w:rPr>
          <w:b/>
        </w:rPr>
        <w:t>The Australian Taxation Office</w:t>
      </w:r>
      <w:r w:rsidRPr="00F5333F">
        <w:rPr>
          <w:b/>
        </w:rPr>
        <w:tab/>
        <w:t xml:space="preserve">$5.8 million </w:t>
      </w:r>
    </w:p>
    <w:p w14:paraId="400E9A47" w14:textId="0FFE2C62" w:rsidR="00A84283" w:rsidRDefault="00AD3A26" w:rsidP="002E2EFE">
      <w:r w:rsidRPr="002E2EFE">
        <w:t>In 2018</w:t>
      </w:r>
      <w:r w:rsidRPr="002E2EFE">
        <w:noBreakHyphen/>
      </w:r>
      <w:r w:rsidR="00A84283" w:rsidRPr="002E2EFE">
        <w:t xml:space="preserve">19, the ATO employed </w:t>
      </w:r>
      <w:r w:rsidR="00D7075A">
        <w:t>66.5</w:t>
      </w:r>
      <w:r w:rsidR="00A84283" w:rsidRPr="002E2EFE">
        <w:t xml:space="preserve"> full</w:t>
      </w:r>
      <w:r w:rsidR="00470342" w:rsidRPr="002E2EFE">
        <w:noBreakHyphen/>
      </w:r>
      <w:r w:rsidR="00A84283" w:rsidRPr="002E2EFE">
        <w:t>time equivalent staff, employed across the residential real estate application screening process, data matching and compliance activities, application screening of non</w:t>
      </w:r>
      <w:r w:rsidRPr="002E2EFE">
        <w:noBreakHyphen/>
      </w:r>
      <w:r w:rsidR="00A84283" w:rsidRPr="002E2EFE">
        <w:t>sensitive commercial land (vacant and non</w:t>
      </w:r>
      <w:r w:rsidRPr="002E2EFE">
        <w:noBreakHyphen/>
      </w:r>
      <w:r w:rsidR="00A84283" w:rsidRPr="002E2EFE">
        <w:t>vacant) and corporate reorganisations, the development and maintenance of foreign ownership registers, and the development of systems and administration of the annual vacancy fee measure. The ATO’s teams are located across a number of sites including Sydney, Canberra, Newcastle and</w:t>
      </w:r>
      <w:r w:rsidR="00422C1D">
        <w:t> </w:t>
      </w:r>
      <w:r w:rsidR="00A84283" w:rsidRPr="002E2EFE">
        <w:t>Melbourne.</w:t>
      </w:r>
    </w:p>
    <w:p w14:paraId="526CA99C" w14:textId="77777777" w:rsidR="00E43E52" w:rsidRDefault="00E43E52" w:rsidP="002E2EFE"/>
    <w:p w14:paraId="19A19792" w14:textId="77777777" w:rsidR="00E43E52" w:rsidRDefault="00E43E52" w:rsidP="005034DF">
      <w:pPr>
        <w:pStyle w:val="Heading1"/>
        <w:sectPr w:rsidR="00E43E52" w:rsidSect="00652010">
          <w:headerReference w:type="default" r:id="rId57"/>
          <w:headerReference w:type="first" r:id="rId58"/>
          <w:footerReference w:type="first" r:id="rId59"/>
          <w:type w:val="oddPage"/>
          <w:pgSz w:w="11906" w:h="16838" w:code="9"/>
          <w:pgMar w:top="2466" w:right="2098" w:bottom="2466" w:left="2098" w:header="1899" w:footer="1899" w:gutter="0"/>
          <w:pgNumType w:start="1"/>
          <w:cols w:space="708"/>
          <w:titlePg/>
          <w:docGrid w:linePitch="360"/>
        </w:sectPr>
      </w:pPr>
      <w:bookmarkStart w:id="53" w:name="_Toc31296899"/>
      <w:bookmarkStart w:id="54" w:name="_Toc31636017"/>
      <w:bookmarkStart w:id="55" w:name="_Toc31642786"/>
    </w:p>
    <w:p w14:paraId="37F28179" w14:textId="2B780389" w:rsidR="00A84283" w:rsidRPr="001C7EE6" w:rsidRDefault="0004056B" w:rsidP="005034DF">
      <w:pPr>
        <w:pStyle w:val="Heading1"/>
        <w:rPr>
          <w:color w:val="FFFFFF" w:themeColor="background1"/>
        </w:rPr>
      </w:pPr>
      <w:bookmarkStart w:id="56" w:name="_Toc32247795"/>
      <w:bookmarkStart w:id="57" w:name="_Toc33625844"/>
      <w:r>
        <w:rPr>
          <w:noProof/>
        </w:rPr>
        <w:lastRenderedPageBreak/>
        <w:drawing>
          <wp:anchor distT="0" distB="0" distL="114300" distR="114300" simplePos="0" relativeHeight="251658246" behindDoc="0" locked="0" layoutInCell="1" allowOverlap="1" wp14:anchorId="00327CAA" wp14:editId="56BCDAB7">
            <wp:simplePos x="0" y="0"/>
            <wp:positionH relativeFrom="column">
              <wp:posOffset>1270</wp:posOffset>
            </wp:positionH>
            <wp:positionV relativeFrom="paragraph">
              <wp:posOffset>-222885</wp:posOffset>
            </wp:positionV>
            <wp:extent cx="4894580" cy="2160905"/>
            <wp:effectExtent l="0" t="0" r="1270" b="0"/>
            <wp:wrapNone/>
            <wp:docPr id="6" name="Picture 6" descr="Chapter Two Heading" title="Chapter Two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RB AR Part Pages_2016-17_V2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4580" cy="2160905"/>
                    </a:xfrm>
                    <a:prstGeom prst="rect">
                      <a:avLst/>
                    </a:prstGeom>
                  </pic:spPr>
                </pic:pic>
              </a:graphicData>
            </a:graphic>
            <wp14:sizeRelH relativeFrom="page">
              <wp14:pctWidth>0</wp14:pctWidth>
            </wp14:sizeRelH>
            <wp14:sizeRelV relativeFrom="page">
              <wp14:pctHeight>0</wp14:pctHeight>
            </wp14:sizeRelV>
          </wp:anchor>
        </w:drawing>
      </w:r>
      <w:r w:rsidR="00A84283" w:rsidRPr="001C7EE6">
        <w:rPr>
          <w:color w:val="FFFFFF" w:themeColor="background1"/>
        </w:rPr>
        <w:t>Chapter Two: The Foreign Investment Framework</w:t>
      </w:r>
      <w:bookmarkEnd w:id="53"/>
      <w:bookmarkEnd w:id="54"/>
      <w:bookmarkEnd w:id="55"/>
      <w:bookmarkEnd w:id="56"/>
      <w:bookmarkEnd w:id="57"/>
    </w:p>
    <w:p w14:paraId="716F2DCD" w14:textId="3FAB58BC" w:rsidR="0004056B" w:rsidRDefault="0004056B" w:rsidP="00406C1F"/>
    <w:p w14:paraId="4237EF7B" w14:textId="77777777" w:rsidR="0004056B" w:rsidRDefault="0004056B" w:rsidP="00406C1F"/>
    <w:p w14:paraId="4870579E" w14:textId="77777777" w:rsidR="0004056B" w:rsidRDefault="0004056B" w:rsidP="00406C1F"/>
    <w:p w14:paraId="10CEEE73" w14:textId="77777777" w:rsidR="0004056B" w:rsidRDefault="0004056B" w:rsidP="00406C1F"/>
    <w:p w14:paraId="1E1D6FA4" w14:textId="77777777" w:rsidR="0004056B" w:rsidRDefault="0004056B" w:rsidP="00406C1F"/>
    <w:p w14:paraId="6C299BF7" w14:textId="44C6DF76" w:rsidR="0004056B" w:rsidRDefault="0004056B" w:rsidP="001C7EE6">
      <w:pPr>
        <w:spacing w:after="360"/>
      </w:pPr>
      <w:r>
        <w:t xml:space="preserve"> </w:t>
      </w:r>
    </w:p>
    <w:p w14:paraId="13A378F6" w14:textId="542009ED" w:rsidR="00125B1D" w:rsidRPr="006D64A2" w:rsidRDefault="00125B1D" w:rsidP="00406C1F">
      <w:pPr>
        <w:rPr>
          <w:sz w:val="24"/>
        </w:rPr>
      </w:pPr>
      <w:r w:rsidRPr="006D64A2">
        <w:t>This chapter describes trends in foreign investment flows and policy in Australia and around the world,</w:t>
      </w:r>
      <w:r w:rsidR="00F649A4">
        <w:t xml:space="preserve"> and details specific changes to Australia’s foreign investment framework during 2018-19. </w:t>
      </w:r>
    </w:p>
    <w:p w14:paraId="01642B18" w14:textId="77777777" w:rsidR="00125B1D" w:rsidRPr="006D64A2" w:rsidRDefault="00125B1D">
      <w:pPr>
        <w:rPr>
          <w:sz w:val="24"/>
        </w:rPr>
      </w:pPr>
      <w:r w:rsidRPr="006D64A2">
        <w:t xml:space="preserve">It outlines: </w:t>
      </w:r>
    </w:p>
    <w:p w14:paraId="7AD5F442" w14:textId="77777777" w:rsidR="00125B1D" w:rsidRPr="006D64A2" w:rsidRDefault="00125B1D" w:rsidP="002E2EFE">
      <w:pPr>
        <w:pStyle w:val="Bullet"/>
      </w:pPr>
      <w:r w:rsidRPr="006D64A2">
        <w:t xml:space="preserve">Australia’s foreign investment policies and priorities; </w:t>
      </w:r>
    </w:p>
    <w:p w14:paraId="7D087F2F" w14:textId="2C995AE6" w:rsidR="00125B1D" w:rsidRPr="006D64A2" w:rsidRDefault="00125B1D" w:rsidP="002E2EFE">
      <w:pPr>
        <w:pStyle w:val="Bullet"/>
      </w:pPr>
      <w:r w:rsidRPr="006D64A2">
        <w:t xml:space="preserve">changes to global investment flows and screening frameworks; </w:t>
      </w:r>
    </w:p>
    <w:p w14:paraId="701D4BFB" w14:textId="6E066B39" w:rsidR="00C373D2" w:rsidRPr="006D64A2" w:rsidRDefault="00125B1D" w:rsidP="002E2EFE">
      <w:pPr>
        <w:pStyle w:val="Bullet"/>
      </w:pPr>
      <w:r w:rsidRPr="006D64A2">
        <w:t>key developments in Australian foreign investment policy</w:t>
      </w:r>
      <w:r w:rsidR="00E26DF6" w:rsidRPr="009B1194">
        <w:t>, including how changes impact this report;</w:t>
      </w:r>
      <w:r w:rsidR="00C373D2" w:rsidRPr="006D64A2">
        <w:t xml:space="preserve"> </w:t>
      </w:r>
      <w:r w:rsidR="00E26DF6" w:rsidRPr="009B1194">
        <w:t>and</w:t>
      </w:r>
    </w:p>
    <w:p w14:paraId="4A043984" w14:textId="1240E354" w:rsidR="00125B1D" w:rsidRPr="006D64A2" w:rsidRDefault="00C373D2" w:rsidP="002E2EFE">
      <w:pPr>
        <w:pStyle w:val="Bullet"/>
      </w:pPr>
      <w:r w:rsidRPr="006D64A2">
        <w:t>changes made to bring an increased focus on compliance</w:t>
      </w:r>
      <w:r w:rsidR="00E26DF6" w:rsidRPr="009B1194">
        <w:t>.</w:t>
      </w:r>
    </w:p>
    <w:p w14:paraId="1F1F5825" w14:textId="7BAA9923" w:rsidR="00125B1D" w:rsidRPr="00125B1D" w:rsidRDefault="00125B1D" w:rsidP="00406C1F">
      <w:pPr>
        <w:pStyle w:val="Heading2"/>
        <w:rPr>
          <w:rFonts w:eastAsia="Calibri"/>
          <w:sz w:val="22"/>
          <w:szCs w:val="22"/>
          <w:lang w:eastAsia="en-US"/>
        </w:rPr>
      </w:pPr>
      <w:bookmarkStart w:id="58" w:name="_Toc31296900"/>
      <w:bookmarkStart w:id="59" w:name="_Toc31636018"/>
      <w:bookmarkStart w:id="60" w:name="_Toc31642787"/>
      <w:bookmarkStart w:id="61" w:name="_Toc32247796"/>
      <w:bookmarkStart w:id="62" w:name="_Toc33625845"/>
      <w:r w:rsidRPr="006D64A2">
        <w:rPr>
          <w:rFonts w:eastAsia="Calibri"/>
        </w:rPr>
        <w:t>Foreign investment policies and priorities</w:t>
      </w:r>
      <w:bookmarkEnd w:id="58"/>
      <w:bookmarkEnd w:id="59"/>
      <w:bookmarkEnd w:id="60"/>
      <w:bookmarkEnd w:id="61"/>
      <w:bookmarkEnd w:id="62"/>
    </w:p>
    <w:p w14:paraId="10853918" w14:textId="608EA490" w:rsidR="00125B1D" w:rsidRPr="006D64A2" w:rsidRDefault="00125B1D">
      <w:r w:rsidRPr="006D64A2">
        <w:t xml:space="preserve">Foreign investment provides considerable benefits to the Australian people. As a country with abundant </w:t>
      </w:r>
      <w:r w:rsidRPr="006D64A2">
        <w:rPr>
          <w:lang w:eastAsia="en-US"/>
        </w:rPr>
        <w:t>natural resources, a relatively fast-growing population, a highly-skilled workforce and a stable supportive legal regime, Australia is an attractive investment destination with high</w:t>
      </w:r>
      <w:r w:rsidRPr="006D64A2">
        <w:rPr>
          <w:lang w:eastAsia="en-US"/>
        </w:rPr>
        <w:noBreakHyphen/>
        <w:t>quality investment opportunities which cannot be realised from domestic savings alone. Foreign investment allows projects that might otherwise not proceed to go ahead. In doing so, it strengthens the economy, supports jobs growth, and helps raise living standards in Australia.</w:t>
      </w:r>
    </w:p>
    <w:p w14:paraId="61EC034A" w14:textId="6772B7F2" w:rsidR="00125B1D" w:rsidRPr="006D64A2" w:rsidRDefault="00125B1D">
      <w:r w:rsidRPr="006D64A2">
        <w:t xml:space="preserve">Foreign investment is critical to some of Australia’s leading industries. It supports local businesses, infrastructure and regional economies, and drives greater competitiveness, innovation and productivity through new technologies. </w:t>
      </w:r>
      <w:r w:rsidRPr="006D64A2">
        <w:rPr>
          <w:lang w:eastAsia="en-US"/>
        </w:rPr>
        <w:t xml:space="preserve">Analysis </w:t>
      </w:r>
      <w:r w:rsidRPr="008E1C9A">
        <w:rPr>
          <w:lang w:eastAsia="en-US"/>
        </w:rPr>
        <w:t>using 2014-15 data</w:t>
      </w:r>
      <w:r w:rsidRPr="006D64A2">
        <w:rPr>
          <w:lang w:eastAsia="en-US"/>
        </w:rPr>
        <w:t xml:space="preserve"> showed that firms with at least at least 10 per cent foreign ownership supported one in 10 jobs in Australia, employing 1.2 million people and paying higher wages than Australian owned businesses. Businesses supported by </w:t>
      </w:r>
      <w:r w:rsidR="00A37DBA" w:rsidRPr="006D64A2">
        <w:t xml:space="preserve">foreign direct investment (FDI) </w:t>
      </w:r>
      <w:r w:rsidRPr="006D64A2">
        <w:rPr>
          <w:lang w:eastAsia="en-US"/>
        </w:rPr>
        <w:t>hold $2.7</w:t>
      </w:r>
      <w:r w:rsidR="0013608A">
        <w:rPr>
          <w:lang w:eastAsia="en-US"/>
        </w:rPr>
        <w:t> </w:t>
      </w:r>
      <w:r w:rsidRPr="006D64A2">
        <w:rPr>
          <w:lang w:eastAsia="en-US"/>
        </w:rPr>
        <w:t xml:space="preserve">trillion in assets – almost a quarter of Australia’s total assets. These businesses contribute to $286 billion in Industry Value </w:t>
      </w:r>
      <w:r w:rsidRPr="006D64A2">
        <w:rPr>
          <w:lang w:eastAsia="en-US"/>
        </w:rPr>
        <w:lastRenderedPageBreak/>
        <w:t>Add</w:t>
      </w:r>
      <w:r w:rsidR="00DB117B">
        <w:rPr>
          <w:rStyle w:val="FootnoteReference"/>
          <w:lang w:eastAsia="en-US"/>
        </w:rPr>
        <w:footnoteReference w:id="4"/>
      </w:r>
      <w:r w:rsidRPr="006D64A2">
        <w:rPr>
          <w:lang w:eastAsia="en-US"/>
        </w:rPr>
        <w:t xml:space="preserve"> – more than a quarter of the national economy –</w:t>
      </w:r>
      <w:r w:rsidR="00C023EB">
        <w:rPr>
          <w:lang w:eastAsia="en-US"/>
        </w:rPr>
        <w:t xml:space="preserve"> </w:t>
      </w:r>
      <w:r w:rsidRPr="006D64A2">
        <w:rPr>
          <w:lang w:eastAsia="en-US"/>
        </w:rPr>
        <w:t>an</w:t>
      </w:r>
      <w:r w:rsidR="00422C1D">
        <w:rPr>
          <w:lang w:eastAsia="en-US"/>
        </w:rPr>
        <w:t>d are responsible for nearly 30 </w:t>
      </w:r>
      <w:r w:rsidRPr="006D64A2">
        <w:rPr>
          <w:lang w:eastAsia="en-US"/>
        </w:rPr>
        <w:t>per</w:t>
      </w:r>
      <w:r w:rsidR="00422C1D">
        <w:rPr>
          <w:lang w:eastAsia="en-US"/>
        </w:rPr>
        <w:t> </w:t>
      </w:r>
      <w:r w:rsidRPr="006D64A2">
        <w:rPr>
          <w:lang w:eastAsia="en-US"/>
        </w:rPr>
        <w:t>cent of our exports</w:t>
      </w:r>
      <w:r w:rsidR="00DE3B72" w:rsidRPr="00422C1D">
        <w:rPr>
          <w:lang w:eastAsia="en-US"/>
        </w:rPr>
        <w:t>.</w:t>
      </w:r>
      <w:r w:rsidRPr="00422C1D">
        <w:rPr>
          <w:sz w:val="22"/>
          <w:szCs w:val="22"/>
          <w:vertAlign w:val="superscript"/>
          <w:lang w:eastAsia="en-US"/>
        </w:rPr>
        <w:footnoteReference w:id="5"/>
      </w:r>
    </w:p>
    <w:p w14:paraId="327566DC" w14:textId="0A529691" w:rsidR="00AC6F0C" w:rsidRPr="00E67C6D" w:rsidRDefault="00AC6F0C" w:rsidP="00422C1D">
      <w:pPr>
        <w:pStyle w:val="SingleParagraph"/>
      </w:pPr>
      <w:r w:rsidRPr="007C6F91">
        <w:rPr>
          <w:rFonts w:eastAsia="Calibri"/>
          <w:noProof/>
        </w:rPr>
        <mc:AlternateContent>
          <mc:Choice Requires="wps">
            <w:drawing>
              <wp:anchor distT="0" distB="0" distL="114300" distR="114300" simplePos="0" relativeHeight="251658240" behindDoc="0" locked="1" layoutInCell="1" allowOverlap="0" wp14:anchorId="194CD33D" wp14:editId="79AFBF9B">
                <wp:simplePos x="0" y="0"/>
                <wp:positionH relativeFrom="column">
                  <wp:posOffset>1270</wp:posOffset>
                </wp:positionH>
                <wp:positionV relativeFrom="paragraph">
                  <wp:posOffset>166370</wp:posOffset>
                </wp:positionV>
                <wp:extent cx="4895850" cy="6143625"/>
                <wp:effectExtent l="0" t="0" r="0" b="5080"/>
                <wp:wrapSquare wrapText="bothSides"/>
                <wp:docPr id="1" name="Snip and Round Single Corner Rectangle 1"/>
                <wp:cNvGraphicFramePr/>
                <a:graphic xmlns:a="http://schemas.openxmlformats.org/drawingml/2006/main">
                  <a:graphicData uri="http://schemas.microsoft.com/office/word/2010/wordprocessingShape">
                    <wps:wsp>
                      <wps:cNvSpPr/>
                      <wps:spPr>
                        <a:xfrm>
                          <a:off x="0" y="0"/>
                          <a:ext cx="4895850" cy="6143625"/>
                        </a:xfrm>
                        <a:prstGeom prst="snipRoundRect">
                          <a:avLst>
                            <a:gd name="adj1" fmla="val 5531"/>
                            <a:gd name="adj2" fmla="val 10817"/>
                          </a:avLst>
                        </a:prstGeom>
                        <a:solidFill>
                          <a:srgbClr val="653979"/>
                        </a:solidFill>
                        <a:ln w="25400" cap="flat" cmpd="sng" algn="ctr">
                          <a:noFill/>
                          <a:prstDash val="solid"/>
                        </a:ln>
                        <a:effectLst/>
                      </wps:spPr>
                      <wps:txbx>
                        <w:txbxContent>
                          <w:p w14:paraId="33E5D2EA" w14:textId="77777777" w:rsidR="00191EF9" w:rsidRPr="00AC6F0C" w:rsidRDefault="00191EF9" w:rsidP="00AC6F0C">
                            <w:pPr>
                              <w:pStyle w:val="CaseStudyHeading"/>
                              <w:keepNext/>
                              <w:keepLines/>
                            </w:pPr>
                            <w:bookmarkStart w:id="63" w:name="_Toc33521376"/>
                            <w:r w:rsidRPr="00AC6F0C">
                              <w:t>Micro-X case study</w:t>
                            </w:r>
                            <w:bookmarkEnd w:id="63"/>
                          </w:p>
                          <w:p w14:paraId="280CC813" w14:textId="77777777" w:rsidR="00191EF9" w:rsidRPr="00AC6F0C" w:rsidRDefault="00191EF9" w:rsidP="00AC6F0C">
                            <w:pPr>
                              <w:keepNext/>
                              <w:keepLines/>
                              <w:spacing w:after="120" w:line="240" w:lineRule="exact"/>
                              <w:ind w:left="284" w:right="284"/>
                              <w:rPr>
                                <w:rFonts w:ascii="Calibri" w:hAnsi="Calibri"/>
                                <w:color w:val="FFFFFF" w:themeColor="background1"/>
                              </w:rPr>
                            </w:pPr>
                            <w:r w:rsidRPr="00AC6F0C">
                              <w:rPr>
                                <w:rFonts w:ascii="Calibri" w:hAnsi="Calibri"/>
                                <w:color w:val="FFFFFF" w:themeColor="background1"/>
                              </w:rPr>
                              <w:t>Foreign investment in innovative technology start-ups delivers many benefits to Australia including employment in the technology and manufacturing sectors. It also provides access to overseas expertise and enables breakthrough technologies to be brought to market.</w:t>
                            </w:r>
                          </w:p>
                          <w:p w14:paraId="0D6456C6" w14:textId="03C552C7" w:rsidR="00191EF9" w:rsidRPr="00AC6F0C" w:rsidRDefault="00191EF9" w:rsidP="00AC6F0C">
                            <w:pPr>
                              <w:keepNext/>
                              <w:keepLines/>
                              <w:spacing w:after="120" w:line="240" w:lineRule="exact"/>
                              <w:ind w:left="284" w:right="284"/>
                              <w:rPr>
                                <w:rFonts w:ascii="Calibri" w:hAnsi="Calibri"/>
                                <w:color w:val="FFFFFF" w:themeColor="background1"/>
                              </w:rPr>
                            </w:pPr>
                            <w:r w:rsidRPr="00AC6F0C">
                              <w:rPr>
                                <w:rFonts w:ascii="Calibri" w:hAnsi="Calibri"/>
                                <w:color w:val="FFFFFF" w:themeColor="background1"/>
                              </w:rPr>
                              <w:t xml:space="preserve">In 2019, French defence contractor Thales Group acquired Adelaide based technology company Micro X. </w:t>
                            </w:r>
                          </w:p>
                          <w:p w14:paraId="5D61A38C" w14:textId="2BBDD971" w:rsidR="00191EF9" w:rsidRDefault="00191EF9" w:rsidP="00AC6F0C">
                            <w:pPr>
                              <w:keepNext/>
                              <w:keepLines/>
                              <w:spacing w:after="120" w:line="240" w:lineRule="exact"/>
                              <w:ind w:left="284" w:right="284"/>
                              <w:rPr>
                                <w:rFonts w:ascii="Calibri" w:hAnsi="Calibri"/>
                                <w:color w:val="FFFFFF" w:themeColor="background1"/>
                              </w:rPr>
                            </w:pPr>
                            <w:r w:rsidRPr="00AC6F0C">
                              <w:rPr>
                                <w:rFonts w:ascii="Calibri" w:hAnsi="Calibri"/>
                                <w:color w:val="FFFFFF" w:themeColor="background1"/>
                              </w:rPr>
                              <w:t>This investment will allow Micro-X to combine its expertise in carbon nanotube emitter technologies, which enable the unique miniaturisation of a number of x</w:t>
                            </w:r>
                            <w:r>
                              <w:rPr>
                                <w:rFonts w:ascii="Calibri" w:hAnsi="Calibri"/>
                                <w:color w:val="FFFFFF" w:themeColor="background1"/>
                              </w:rPr>
                              <w:noBreakHyphen/>
                            </w:r>
                            <w:r w:rsidRPr="00AC6F0C">
                              <w:rPr>
                                <w:rFonts w:ascii="Calibri" w:hAnsi="Calibri"/>
                                <w:color w:val="FFFFFF" w:themeColor="background1"/>
                              </w:rPr>
                              <w:t xml:space="preserve">ray applications, with Thales’ experience in x-ray devices to deliver innovative products in the medical and security markets. </w:t>
                            </w:r>
                          </w:p>
                          <w:p w14:paraId="17066A08" w14:textId="5E960051" w:rsidR="00191EF9" w:rsidRDefault="00191EF9" w:rsidP="00AC6F0C">
                            <w:pPr>
                              <w:keepNext/>
                              <w:keepLines/>
                              <w:spacing w:after="120" w:line="240" w:lineRule="exact"/>
                              <w:ind w:left="284" w:right="284"/>
                              <w:rPr>
                                <w:rFonts w:ascii="Calibri" w:hAnsi="Calibri"/>
                                <w:color w:val="FFFFFF" w:themeColor="background1"/>
                              </w:rPr>
                            </w:pPr>
                          </w:p>
                          <w:p w14:paraId="140B731B" w14:textId="7F8FDC7A" w:rsidR="00191EF9" w:rsidRDefault="00191EF9" w:rsidP="00AC6F0C">
                            <w:pPr>
                              <w:keepNext/>
                              <w:keepLines/>
                              <w:spacing w:after="120" w:line="240" w:lineRule="exact"/>
                              <w:ind w:left="284" w:right="284"/>
                              <w:rPr>
                                <w:rFonts w:ascii="Calibri" w:hAnsi="Calibri"/>
                                <w:color w:val="FFFFFF" w:themeColor="background1"/>
                              </w:rPr>
                            </w:pPr>
                          </w:p>
                          <w:p w14:paraId="6751DBAD" w14:textId="24A2447E" w:rsidR="00191EF9" w:rsidRDefault="00191EF9" w:rsidP="00AC6F0C">
                            <w:pPr>
                              <w:keepNext/>
                              <w:keepLines/>
                              <w:spacing w:after="120" w:line="240" w:lineRule="exact"/>
                              <w:ind w:left="284" w:right="284"/>
                              <w:rPr>
                                <w:rFonts w:ascii="Calibri" w:hAnsi="Calibri"/>
                                <w:color w:val="FFFFFF" w:themeColor="background1"/>
                              </w:rPr>
                            </w:pPr>
                          </w:p>
                          <w:p w14:paraId="002A650D" w14:textId="33AA66AC" w:rsidR="00191EF9" w:rsidRDefault="00191EF9" w:rsidP="00AC6F0C">
                            <w:pPr>
                              <w:keepNext/>
                              <w:keepLines/>
                              <w:spacing w:after="120" w:line="240" w:lineRule="exact"/>
                              <w:ind w:left="284" w:right="284"/>
                              <w:rPr>
                                <w:rFonts w:ascii="Calibri" w:hAnsi="Calibri"/>
                                <w:color w:val="FFFFFF" w:themeColor="background1"/>
                              </w:rPr>
                            </w:pPr>
                          </w:p>
                          <w:p w14:paraId="2B31ABDA" w14:textId="3714AC58" w:rsidR="00191EF9" w:rsidRDefault="00191EF9" w:rsidP="00AC6F0C">
                            <w:pPr>
                              <w:keepNext/>
                              <w:keepLines/>
                              <w:spacing w:after="120" w:line="240" w:lineRule="exact"/>
                              <w:ind w:left="284" w:right="284"/>
                              <w:rPr>
                                <w:rFonts w:ascii="Calibri" w:hAnsi="Calibri"/>
                                <w:color w:val="FFFFFF" w:themeColor="background1"/>
                              </w:rPr>
                            </w:pPr>
                          </w:p>
                          <w:p w14:paraId="374E48DD" w14:textId="6BFA6424" w:rsidR="00191EF9" w:rsidRDefault="00191EF9" w:rsidP="00AC6F0C">
                            <w:pPr>
                              <w:keepNext/>
                              <w:keepLines/>
                              <w:spacing w:after="120" w:line="240" w:lineRule="exact"/>
                              <w:ind w:left="284" w:right="284"/>
                              <w:rPr>
                                <w:rFonts w:ascii="Calibri" w:hAnsi="Calibri"/>
                                <w:color w:val="FFFFFF" w:themeColor="background1"/>
                              </w:rPr>
                            </w:pPr>
                          </w:p>
                          <w:p w14:paraId="45AD0E80" w14:textId="0394EFCB" w:rsidR="00191EF9" w:rsidRDefault="00191EF9" w:rsidP="00AC6F0C">
                            <w:pPr>
                              <w:keepNext/>
                              <w:keepLines/>
                              <w:spacing w:after="120" w:line="240" w:lineRule="exact"/>
                              <w:ind w:left="284" w:right="284"/>
                              <w:rPr>
                                <w:rFonts w:ascii="Calibri" w:hAnsi="Calibri"/>
                                <w:color w:val="FFFFFF" w:themeColor="background1"/>
                              </w:rPr>
                            </w:pPr>
                          </w:p>
                          <w:p w14:paraId="2BCDCB61" w14:textId="1BBB83E6" w:rsidR="00191EF9" w:rsidRDefault="00191EF9" w:rsidP="00AC6F0C">
                            <w:pPr>
                              <w:keepNext/>
                              <w:keepLines/>
                              <w:spacing w:after="120" w:line="240" w:lineRule="exact"/>
                              <w:ind w:left="284" w:right="284"/>
                              <w:rPr>
                                <w:rFonts w:ascii="Calibri" w:hAnsi="Calibri"/>
                                <w:color w:val="FFFFFF" w:themeColor="background1"/>
                              </w:rPr>
                            </w:pPr>
                          </w:p>
                          <w:p w14:paraId="03BFCB67" w14:textId="26F6B8F0" w:rsidR="00191EF9" w:rsidRDefault="00191EF9" w:rsidP="00AC6F0C">
                            <w:pPr>
                              <w:keepNext/>
                              <w:keepLines/>
                              <w:spacing w:after="120" w:line="240" w:lineRule="exact"/>
                              <w:ind w:left="284" w:right="284"/>
                              <w:rPr>
                                <w:rFonts w:ascii="Calibri" w:hAnsi="Calibri"/>
                                <w:color w:val="FFFFFF" w:themeColor="background1"/>
                              </w:rPr>
                            </w:pPr>
                          </w:p>
                          <w:p w14:paraId="6221897B" w14:textId="4F1B8836" w:rsidR="00191EF9" w:rsidRDefault="00191EF9" w:rsidP="00AC6F0C">
                            <w:pPr>
                              <w:keepNext/>
                              <w:keepLines/>
                              <w:spacing w:after="120" w:line="240" w:lineRule="exact"/>
                              <w:ind w:left="284" w:right="284"/>
                              <w:rPr>
                                <w:rFonts w:ascii="Calibri" w:hAnsi="Calibri"/>
                                <w:color w:val="FFFFFF" w:themeColor="background1"/>
                              </w:rPr>
                            </w:pPr>
                          </w:p>
                          <w:p w14:paraId="6E457254" w14:textId="4F266AD0" w:rsidR="00191EF9" w:rsidRDefault="00191EF9" w:rsidP="00AC6F0C">
                            <w:pPr>
                              <w:keepNext/>
                              <w:keepLines/>
                              <w:spacing w:after="120" w:line="240" w:lineRule="exact"/>
                              <w:ind w:left="284" w:right="284"/>
                              <w:rPr>
                                <w:rFonts w:ascii="Calibri" w:hAnsi="Calibri"/>
                                <w:color w:val="FFFFFF" w:themeColor="background1"/>
                              </w:rPr>
                            </w:pPr>
                          </w:p>
                          <w:p w14:paraId="6D1F6DA7" w14:textId="22972589" w:rsidR="00191EF9" w:rsidRPr="00AC6F0C" w:rsidRDefault="00191EF9" w:rsidP="00AC6F0C">
                            <w:pPr>
                              <w:keepNext/>
                              <w:keepLines/>
                              <w:spacing w:after="120" w:line="240" w:lineRule="exact"/>
                              <w:ind w:left="284" w:right="284"/>
                              <w:jc w:val="center"/>
                              <w:rPr>
                                <w:rFonts w:ascii="Calibri" w:hAnsi="Calibri"/>
                                <w:color w:val="FFFFFF" w:themeColor="background1"/>
                              </w:rPr>
                            </w:pPr>
                            <w:r>
                              <w:rPr>
                                <w:noProof/>
                              </w:rPr>
                              <w:drawing>
                                <wp:inline distT="0" distB="0" distL="0" distR="0" wp14:anchorId="1B87BFF4" wp14:editId="3B7A3C34">
                                  <wp:extent cx="3949200" cy="2545040"/>
                                  <wp:effectExtent l="19050" t="19050" r="13335" b="27305"/>
                                  <wp:docPr id="22" name="Picture 22" descr="Photo of x-rayed items" title="Micro-X case study photo"/>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949200" cy="2545040"/>
                                          </a:xfrm>
                                          <a:prstGeom prst="rect">
                                            <a:avLst/>
                                          </a:prstGeom>
                                          <a:ln>
                                            <a:solidFill>
                                              <a:schemeClr val="bg1"/>
                                            </a:solidFill>
                                          </a:ln>
                                        </pic:spPr>
                                      </pic:pic>
                                    </a:graphicData>
                                  </a:graphic>
                                </wp:inline>
                              </w:drawing>
                            </w:r>
                          </w:p>
                          <w:p w14:paraId="05CC25DA" w14:textId="334D1994" w:rsidR="00191EF9" w:rsidRPr="00AC6F0C" w:rsidRDefault="00191EF9" w:rsidP="00AC6F0C">
                            <w:pPr>
                              <w:keepNext/>
                              <w:keepLines/>
                              <w:spacing w:after="120" w:line="240" w:lineRule="exact"/>
                              <w:ind w:left="284" w:right="284"/>
                              <w:jc w:val="left"/>
                              <w:rPr>
                                <w:rFonts w:ascii="Calibri" w:hAnsi="Calibri"/>
                                <w:color w:val="FFFFFF" w:themeColor="background1"/>
                              </w:rPr>
                            </w:pPr>
                            <w:r w:rsidRPr="00AC6F0C">
                              <w:rPr>
                                <w:rFonts w:ascii="Calibri" w:hAnsi="Calibri"/>
                                <w:color w:val="FFFFFF" w:themeColor="background1"/>
                              </w:rPr>
                              <w:t>Thales, an established global supplier of defence and security technology systems, plans to cross-sell Micro-X’s Mobile Backscatter Imager for assessment of Improvised Explosive Devices, a product manufactured in Adelaide.</w:t>
                            </w:r>
                          </w:p>
                          <w:p w14:paraId="07536CA4" w14:textId="06BBFE9D" w:rsidR="00191EF9" w:rsidRPr="00AC6F0C" w:rsidRDefault="00191EF9" w:rsidP="00AC6F0C">
                            <w:pPr>
                              <w:keepNext/>
                              <w:keepLines/>
                              <w:spacing w:after="120" w:line="240" w:lineRule="exact"/>
                              <w:ind w:left="284" w:right="284"/>
                              <w:rPr>
                                <w:rFonts w:ascii="Calibri" w:hAnsi="Calibri"/>
                                <w:color w:val="FFFFFF" w:themeColor="background1"/>
                              </w:rPr>
                            </w:pPr>
                            <w:r w:rsidRPr="00AC6F0C">
                              <w:rPr>
                                <w:rFonts w:ascii="Calibri" w:hAnsi="Calibri"/>
                                <w:color w:val="FFFFFF" w:themeColor="background1"/>
                              </w:rPr>
                              <w:t>It is expected that the investment will also enable Micro</w:t>
                            </w:r>
                            <w:r w:rsidRPr="00AC6F0C">
                              <w:rPr>
                                <w:rFonts w:ascii="Calibri" w:hAnsi="Calibri"/>
                                <w:color w:val="FFFFFF" w:themeColor="background1"/>
                              </w:rPr>
                              <w:noBreakHyphen/>
                              <w:t>X, based at Adelaide’s Tonsley Innovation District, to hire new research and development staff to support the growth in its business</w:t>
                            </w:r>
                            <w:r>
                              <w:rPr>
                                <w:rFonts w:ascii="Calibri" w:hAnsi="Calibri"/>
                                <w:color w:val="FFFFFF" w:themeColor="background1"/>
                              </w:rPr>
                              <w:t>.</w:t>
                            </w: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CD33D" id="Snip and Round Single Corner Rectangle 1" o:spid="_x0000_s1026" style="position:absolute;left:0;text-align:left;margin-left:.1pt;margin-top:13.1pt;width:385.5pt;height:48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5850,6143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" o:allowoverlap="f" adj="-11796480,,5400" path="m270789,l4366266,r529584,529584l4895850,6143625,,6143625,,270789c,121236,121236,,270789,xe" fillcolor="#653979" stroked="f" strokeweight="2pt">
                <v:stroke joinstyle="miter"/>
                <v:formulas/>
                <v:path arrowok="t" o:connecttype="custom" o:connectlocs="270789,0;4366266,0;4895850,529584;4895850,6143625;0,6143625;0,270789;270789,0" o:connectangles="0,0,0,0,0,0,0" textboxrect="0,0,4895850,6143625"/>
                <v:textbox inset=".5mm,0,.5mm,0">
                  <w:txbxContent>
                    <w:p w14:paraId="33E5D2EA" w14:textId="77777777" w:rsidR="00191EF9" w:rsidRPr="00AC6F0C" w:rsidRDefault="00191EF9" w:rsidP="00AC6F0C">
                      <w:pPr>
                        <w:pStyle w:val="CaseStudyHeading"/>
                        <w:keepNext/>
                        <w:keepLines/>
                      </w:pPr>
                      <w:bookmarkStart w:id="63" w:name="_Toc33521376"/>
                      <w:r w:rsidRPr="00AC6F0C">
                        <w:t>Micro-X case study</w:t>
                      </w:r>
                      <w:bookmarkEnd w:id="63"/>
                    </w:p>
                    <w:p w14:paraId="280CC813" w14:textId="77777777" w:rsidR="00191EF9" w:rsidRPr="00AC6F0C" w:rsidRDefault="00191EF9" w:rsidP="00AC6F0C">
                      <w:pPr>
                        <w:keepNext/>
                        <w:keepLines/>
                        <w:spacing w:after="120" w:line="240" w:lineRule="exact"/>
                        <w:ind w:left="284" w:right="284"/>
                        <w:rPr>
                          <w:rFonts w:ascii="Calibri" w:hAnsi="Calibri"/>
                          <w:color w:val="FFFFFF" w:themeColor="background1"/>
                        </w:rPr>
                      </w:pPr>
                      <w:r w:rsidRPr="00AC6F0C">
                        <w:rPr>
                          <w:rFonts w:ascii="Calibri" w:hAnsi="Calibri"/>
                          <w:color w:val="FFFFFF" w:themeColor="background1"/>
                        </w:rPr>
                        <w:t>Foreign investment in innovative technology start-ups delivers many benefits to Australia including employment in the technology and manufacturing sectors. It also provides access to overseas expertise and enables breakthrough technologies to be brought to market.</w:t>
                      </w:r>
                    </w:p>
                    <w:p w14:paraId="0D6456C6" w14:textId="03C552C7" w:rsidR="00191EF9" w:rsidRPr="00AC6F0C" w:rsidRDefault="00191EF9" w:rsidP="00AC6F0C">
                      <w:pPr>
                        <w:keepNext/>
                        <w:keepLines/>
                        <w:spacing w:after="120" w:line="240" w:lineRule="exact"/>
                        <w:ind w:left="284" w:right="284"/>
                        <w:rPr>
                          <w:rFonts w:ascii="Calibri" w:hAnsi="Calibri"/>
                          <w:color w:val="FFFFFF" w:themeColor="background1"/>
                        </w:rPr>
                      </w:pPr>
                      <w:r w:rsidRPr="00AC6F0C">
                        <w:rPr>
                          <w:rFonts w:ascii="Calibri" w:hAnsi="Calibri"/>
                          <w:color w:val="FFFFFF" w:themeColor="background1"/>
                        </w:rPr>
                        <w:t xml:space="preserve">In 2019, French defence contractor Thales Group acquired Adelaide based technology company Micro X. </w:t>
                      </w:r>
                    </w:p>
                    <w:p w14:paraId="5D61A38C" w14:textId="2BBDD971" w:rsidR="00191EF9" w:rsidRDefault="00191EF9" w:rsidP="00AC6F0C">
                      <w:pPr>
                        <w:keepNext/>
                        <w:keepLines/>
                        <w:spacing w:after="120" w:line="240" w:lineRule="exact"/>
                        <w:ind w:left="284" w:right="284"/>
                        <w:rPr>
                          <w:rFonts w:ascii="Calibri" w:hAnsi="Calibri"/>
                          <w:color w:val="FFFFFF" w:themeColor="background1"/>
                        </w:rPr>
                      </w:pPr>
                      <w:r w:rsidRPr="00AC6F0C">
                        <w:rPr>
                          <w:rFonts w:ascii="Calibri" w:hAnsi="Calibri"/>
                          <w:color w:val="FFFFFF" w:themeColor="background1"/>
                        </w:rPr>
                        <w:t>This investment will allow Micro-X to combine its expertise in carbon nanotube emitter technologies, which enable the unique miniaturisation of a number of x</w:t>
                      </w:r>
                      <w:r>
                        <w:rPr>
                          <w:rFonts w:ascii="Calibri" w:hAnsi="Calibri"/>
                          <w:color w:val="FFFFFF" w:themeColor="background1"/>
                        </w:rPr>
                        <w:noBreakHyphen/>
                      </w:r>
                      <w:r w:rsidRPr="00AC6F0C">
                        <w:rPr>
                          <w:rFonts w:ascii="Calibri" w:hAnsi="Calibri"/>
                          <w:color w:val="FFFFFF" w:themeColor="background1"/>
                        </w:rPr>
                        <w:t xml:space="preserve">ray applications, with Thales’ experience in x-ray devices to deliver innovative products in the medical and security markets. </w:t>
                      </w:r>
                    </w:p>
                    <w:p w14:paraId="17066A08" w14:textId="5E960051" w:rsidR="00191EF9" w:rsidRDefault="00191EF9" w:rsidP="00AC6F0C">
                      <w:pPr>
                        <w:keepNext/>
                        <w:keepLines/>
                        <w:spacing w:after="120" w:line="240" w:lineRule="exact"/>
                        <w:ind w:left="284" w:right="284"/>
                        <w:rPr>
                          <w:rFonts w:ascii="Calibri" w:hAnsi="Calibri"/>
                          <w:color w:val="FFFFFF" w:themeColor="background1"/>
                        </w:rPr>
                      </w:pPr>
                    </w:p>
                    <w:p w14:paraId="140B731B" w14:textId="7F8FDC7A" w:rsidR="00191EF9" w:rsidRDefault="00191EF9" w:rsidP="00AC6F0C">
                      <w:pPr>
                        <w:keepNext/>
                        <w:keepLines/>
                        <w:spacing w:after="120" w:line="240" w:lineRule="exact"/>
                        <w:ind w:left="284" w:right="284"/>
                        <w:rPr>
                          <w:rFonts w:ascii="Calibri" w:hAnsi="Calibri"/>
                          <w:color w:val="FFFFFF" w:themeColor="background1"/>
                        </w:rPr>
                      </w:pPr>
                    </w:p>
                    <w:p w14:paraId="6751DBAD" w14:textId="24A2447E" w:rsidR="00191EF9" w:rsidRDefault="00191EF9" w:rsidP="00AC6F0C">
                      <w:pPr>
                        <w:keepNext/>
                        <w:keepLines/>
                        <w:spacing w:after="120" w:line="240" w:lineRule="exact"/>
                        <w:ind w:left="284" w:right="284"/>
                        <w:rPr>
                          <w:rFonts w:ascii="Calibri" w:hAnsi="Calibri"/>
                          <w:color w:val="FFFFFF" w:themeColor="background1"/>
                        </w:rPr>
                      </w:pPr>
                    </w:p>
                    <w:p w14:paraId="002A650D" w14:textId="33AA66AC" w:rsidR="00191EF9" w:rsidRDefault="00191EF9" w:rsidP="00AC6F0C">
                      <w:pPr>
                        <w:keepNext/>
                        <w:keepLines/>
                        <w:spacing w:after="120" w:line="240" w:lineRule="exact"/>
                        <w:ind w:left="284" w:right="284"/>
                        <w:rPr>
                          <w:rFonts w:ascii="Calibri" w:hAnsi="Calibri"/>
                          <w:color w:val="FFFFFF" w:themeColor="background1"/>
                        </w:rPr>
                      </w:pPr>
                    </w:p>
                    <w:p w14:paraId="2B31ABDA" w14:textId="3714AC58" w:rsidR="00191EF9" w:rsidRDefault="00191EF9" w:rsidP="00AC6F0C">
                      <w:pPr>
                        <w:keepNext/>
                        <w:keepLines/>
                        <w:spacing w:after="120" w:line="240" w:lineRule="exact"/>
                        <w:ind w:left="284" w:right="284"/>
                        <w:rPr>
                          <w:rFonts w:ascii="Calibri" w:hAnsi="Calibri"/>
                          <w:color w:val="FFFFFF" w:themeColor="background1"/>
                        </w:rPr>
                      </w:pPr>
                    </w:p>
                    <w:p w14:paraId="374E48DD" w14:textId="6BFA6424" w:rsidR="00191EF9" w:rsidRDefault="00191EF9" w:rsidP="00AC6F0C">
                      <w:pPr>
                        <w:keepNext/>
                        <w:keepLines/>
                        <w:spacing w:after="120" w:line="240" w:lineRule="exact"/>
                        <w:ind w:left="284" w:right="284"/>
                        <w:rPr>
                          <w:rFonts w:ascii="Calibri" w:hAnsi="Calibri"/>
                          <w:color w:val="FFFFFF" w:themeColor="background1"/>
                        </w:rPr>
                      </w:pPr>
                    </w:p>
                    <w:p w14:paraId="45AD0E80" w14:textId="0394EFCB" w:rsidR="00191EF9" w:rsidRDefault="00191EF9" w:rsidP="00AC6F0C">
                      <w:pPr>
                        <w:keepNext/>
                        <w:keepLines/>
                        <w:spacing w:after="120" w:line="240" w:lineRule="exact"/>
                        <w:ind w:left="284" w:right="284"/>
                        <w:rPr>
                          <w:rFonts w:ascii="Calibri" w:hAnsi="Calibri"/>
                          <w:color w:val="FFFFFF" w:themeColor="background1"/>
                        </w:rPr>
                      </w:pPr>
                    </w:p>
                    <w:p w14:paraId="2BCDCB61" w14:textId="1BBB83E6" w:rsidR="00191EF9" w:rsidRDefault="00191EF9" w:rsidP="00AC6F0C">
                      <w:pPr>
                        <w:keepNext/>
                        <w:keepLines/>
                        <w:spacing w:after="120" w:line="240" w:lineRule="exact"/>
                        <w:ind w:left="284" w:right="284"/>
                        <w:rPr>
                          <w:rFonts w:ascii="Calibri" w:hAnsi="Calibri"/>
                          <w:color w:val="FFFFFF" w:themeColor="background1"/>
                        </w:rPr>
                      </w:pPr>
                    </w:p>
                    <w:p w14:paraId="03BFCB67" w14:textId="26F6B8F0" w:rsidR="00191EF9" w:rsidRDefault="00191EF9" w:rsidP="00AC6F0C">
                      <w:pPr>
                        <w:keepNext/>
                        <w:keepLines/>
                        <w:spacing w:after="120" w:line="240" w:lineRule="exact"/>
                        <w:ind w:left="284" w:right="284"/>
                        <w:rPr>
                          <w:rFonts w:ascii="Calibri" w:hAnsi="Calibri"/>
                          <w:color w:val="FFFFFF" w:themeColor="background1"/>
                        </w:rPr>
                      </w:pPr>
                    </w:p>
                    <w:p w14:paraId="6221897B" w14:textId="4F1B8836" w:rsidR="00191EF9" w:rsidRDefault="00191EF9" w:rsidP="00AC6F0C">
                      <w:pPr>
                        <w:keepNext/>
                        <w:keepLines/>
                        <w:spacing w:after="120" w:line="240" w:lineRule="exact"/>
                        <w:ind w:left="284" w:right="284"/>
                        <w:rPr>
                          <w:rFonts w:ascii="Calibri" w:hAnsi="Calibri"/>
                          <w:color w:val="FFFFFF" w:themeColor="background1"/>
                        </w:rPr>
                      </w:pPr>
                    </w:p>
                    <w:p w14:paraId="6E457254" w14:textId="4F266AD0" w:rsidR="00191EF9" w:rsidRDefault="00191EF9" w:rsidP="00AC6F0C">
                      <w:pPr>
                        <w:keepNext/>
                        <w:keepLines/>
                        <w:spacing w:after="120" w:line="240" w:lineRule="exact"/>
                        <w:ind w:left="284" w:right="284"/>
                        <w:rPr>
                          <w:rFonts w:ascii="Calibri" w:hAnsi="Calibri"/>
                          <w:color w:val="FFFFFF" w:themeColor="background1"/>
                        </w:rPr>
                      </w:pPr>
                    </w:p>
                    <w:p w14:paraId="6D1F6DA7" w14:textId="22972589" w:rsidR="00191EF9" w:rsidRPr="00AC6F0C" w:rsidRDefault="00191EF9" w:rsidP="00AC6F0C">
                      <w:pPr>
                        <w:keepNext/>
                        <w:keepLines/>
                        <w:spacing w:after="120" w:line="240" w:lineRule="exact"/>
                        <w:ind w:left="284" w:right="284"/>
                        <w:jc w:val="center"/>
                        <w:rPr>
                          <w:rFonts w:ascii="Calibri" w:hAnsi="Calibri"/>
                          <w:color w:val="FFFFFF" w:themeColor="background1"/>
                        </w:rPr>
                      </w:pPr>
                      <w:r>
                        <w:rPr>
                          <w:noProof/>
                        </w:rPr>
                        <w:drawing>
                          <wp:inline distT="0" distB="0" distL="0" distR="0" wp14:anchorId="1B87BFF4" wp14:editId="3B7A3C34">
                            <wp:extent cx="3949200" cy="2545040"/>
                            <wp:effectExtent l="19050" t="19050" r="13335" b="27305"/>
                            <wp:docPr id="22" name="Picture 22" descr="Photo of x-rayed items" title="Micro-X case study photo"/>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949200" cy="2545040"/>
                                    </a:xfrm>
                                    <a:prstGeom prst="rect">
                                      <a:avLst/>
                                    </a:prstGeom>
                                    <a:ln>
                                      <a:solidFill>
                                        <a:schemeClr val="bg1"/>
                                      </a:solidFill>
                                    </a:ln>
                                  </pic:spPr>
                                </pic:pic>
                              </a:graphicData>
                            </a:graphic>
                          </wp:inline>
                        </w:drawing>
                      </w:r>
                    </w:p>
                    <w:p w14:paraId="05CC25DA" w14:textId="334D1994" w:rsidR="00191EF9" w:rsidRPr="00AC6F0C" w:rsidRDefault="00191EF9" w:rsidP="00AC6F0C">
                      <w:pPr>
                        <w:keepNext/>
                        <w:keepLines/>
                        <w:spacing w:after="120" w:line="240" w:lineRule="exact"/>
                        <w:ind w:left="284" w:right="284"/>
                        <w:jc w:val="left"/>
                        <w:rPr>
                          <w:rFonts w:ascii="Calibri" w:hAnsi="Calibri"/>
                          <w:color w:val="FFFFFF" w:themeColor="background1"/>
                        </w:rPr>
                      </w:pPr>
                      <w:r w:rsidRPr="00AC6F0C">
                        <w:rPr>
                          <w:rFonts w:ascii="Calibri" w:hAnsi="Calibri"/>
                          <w:color w:val="FFFFFF" w:themeColor="background1"/>
                        </w:rPr>
                        <w:t>Thales, an established global supplier of defence and security technology systems, plans to cross-sell Micro-X’s Mobile Backscatter Imager for assessment of Improvised Explosive Devices, a product manufactured in Adelaide.</w:t>
                      </w:r>
                    </w:p>
                    <w:p w14:paraId="07536CA4" w14:textId="06BBFE9D" w:rsidR="00191EF9" w:rsidRPr="00AC6F0C" w:rsidRDefault="00191EF9" w:rsidP="00AC6F0C">
                      <w:pPr>
                        <w:keepNext/>
                        <w:keepLines/>
                        <w:spacing w:after="120" w:line="240" w:lineRule="exact"/>
                        <w:ind w:left="284" w:right="284"/>
                        <w:rPr>
                          <w:rFonts w:ascii="Calibri" w:hAnsi="Calibri"/>
                          <w:color w:val="FFFFFF" w:themeColor="background1"/>
                        </w:rPr>
                      </w:pPr>
                      <w:r w:rsidRPr="00AC6F0C">
                        <w:rPr>
                          <w:rFonts w:ascii="Calibri" w:hAnsi="Calibri"/>
                          <w:color w:val="FFFFFF" w:themeColor="background1"/>
                        </w:rPr>
                        <w:t>It is expected that the investment will also enable Micro</w:t>
                      </w:r>
                      <w:r w:rsidRPr="00AC6F0C">
                        <w:rPr>
                          <w:rFonts w:ascii="Calibri" w:hAnsi="Calibri"/>
                          <w:color w:val="FFFFFF" w:themeColor="background1"/>
                        </w:rPr>
                        <w:noBreakHyphen/>
                        <w:t>X, based at Adelaide’s Tonsley Innovation District, to hire new research and development staff to support the growth in its business</w:t>
                      </w:r>
                      <w:r>
                        <w:rPr>
                          <w:rFonts w:ascii="Calibri" w:hAnsi="Calibri"/>
                          <w:color w:val="FFFFFF" w:themeColor="background1"/>
                        </w:rPr>
                        <w:t>.</w:t>
                      </w:r>
                    </w:p>
                  </w:txbxContent>
                </v:textbox>
                <w10:wrap type="square"/>
                <w10:anchorlock/>
              </v:shape>
            </w:pict>
          </mc:Fallback>
        </mc:AlternateContent>
      </w:r>
    </w:p>
    <w:p w14:paraId="36472937" w14:textId="2A0DCB9D" w:rsidR="00125B1D" w:rsidRPr="006D64A2" w:rsidRDefault="00125B1D">
      <w:r w:rsidRPr="006D64A2">
        <w:lastRenderedPageBreak/>
        <w:t>The Australian Government’s foreign investment review framework balances these expected benefits with the potential risks from foreign investment. Through a process that is open and non-discriminatory, applications are assessed on a case-by-case basis to ensure investments are not contrary to the national interest. National interest considerations have increasingly included national security issues, including the threats associated with foreign ownership</w:t>
      </w:r>
      <w:r w:rsidR="00C13988" w:rsidRPr="00C13988">
        <w:t xml:space="preserve"> </w:t>
      </w:r>
      <w:r w:rsidR="00C13988" w:rsidRPr="006D64A2">
        <w:t>in a particular sector or control of critical infrastructure</w:t>
      </w:r>
      <w:r w:rsidR="00C13988">
        <w:t>. In these cases,</w:t>
      </w:r>
      <w:r w:rsidRPr="006D64A2">
        <w:t xml:space="preserve"> </w:t>
      </w:r>
      <w:r w:rsidR="00C13988" w:rsidRPr="006D64A2">
        <w:t xml:space="preserve">the </w:t>
      </w:r>
      <w:r w:rsidR="00C13988" w:rsidRPr="00C13988">
        <w:t>Board</w:t>
      </w:r>
      <w:r w:rsidR="00C13988" w:rsidRPr="006D64A2">
        <w:t xml:space="preserve"> will look carefully at a range of factors including the concentration </w:t>
      </w:r>
      <w:r w:rsidR="00C13988">
        <w:t>of ownership. In</w:t>
      </w:r>
      <w:r w:rsidR="00430CB5">
        <w:t xml:space="preserve"> addition, where an acquisition is proposed in </w:t>
      </w:r>
      <w:r w:rsidRPr="006D64A2">
        <w:t>sectors or businesses that hold large amounts of personal data</w:t>
      </w:r>
      <w:r w:rsidR="00430CB5">
        <w:t xml:space="preserve">, the </w:t>
      </w:r>
      <w:r w:rsidRPr="006D64A2">
        <w:t xml:space="preserve">Board will consider how best to protect </w:t>
      </w:r>
      <w:r w:rsidR="00430CB5">
        <w:t xml:space="preserve">this </w:t>
      </w:r>
      <w:r w:rsidRPr="006D64A2">
        <w:t xml:space="preserve">data, </w:t>
      </w:r>
      <w:r w:rsidR="00430CB5">
        <w:t>not only for privacy reasons but also on national security grounds</w:t>
      </w:r>
      <w:r w:rsidRPr="006D64A2">
        <w:t>. If the Treasurer determines that a proposal is contrary to the national interest, it will not be approved or conditions will be applied to</w:t>
      </w:r>
      <w:r w:rsidR="00430CB5">
        <w:t xml:space="preserve"> mitigate any risks to the national interest</w:t>
      </w:r>
      <w:r w:rsidRPr="006D64A2">
        <w:t>.</w:t>
      </w:r>
    </w:p>
    <w:p w14:paraId="6304FC12" w14:textId="7F25D8FB" w:rsidR="00125B1D" w:rsidRPr="00125B1D" w:rsidRDefault="00125B1D">
      <w:pPr>
        <w:pStyle w:val="Heading3"/>
        <w:rPr>
          <w:rFonts w:eastAsia="Calibri"/>
          <w:szCs w:val="22"/>
          <w:lang w:eastAsia="en-US"/>
        </w:rPr>
      </w:pPr>
      <w:r w:rsidRPr="006D64A2">
        <w:rPr>
          <w:rFonts w:eastAsia="Calibri"/>
        </w:rPr>
        <w:t>Changes in global foreign investment flows and foreign investment screening frameworks</w:t>
      </w:r>
    </w:p>
    <w:p w14:paraId="51471741" w14:textId="55E47BAD" w:rsidR="00125B1D" w:rsidRPr="006D64A2" w:rsidRDefault="00125B1D" w:rsidP="00EA5E84">
      <w:pPr>
        <w:widowControl w:val="0"/>
      </w:pPr>
      <w:r w:rsidRPr="006D64A2">
        <w:t xml:space="preserve">Australia remained an attractive destination for FDI during 2018-19. </w:t>
      </w:r>
      <w:r w:rsidR="00D5214F" w:rsidRPr="00D5214F">
        <w:t>OECD data show a 27</w:t>
      </w:r>
      <w:r w:rsidR="00422C1D">
        <w:t> </w:t>
      </w:r>
      <w:r w:rsidR="00D5214F">
        <w:t>per</w:t>
      </w:r>
      <w:r w:rsidR="00422C1D">
        <w:t> </w:t>
      </w:r>
      <w:r w:rsidR="00D5214F">
        <w:t>cent</w:t>
      </w:r>
      <w:r w:rsidR="00D5214F" w:rsidRPr="00D5214F">
        <w:t xml:space="preserve"> decrease in 2018 global FDI flows, which follows a 16</w:t>
      </w:r>
      <w:r w:rsidR="00D5214F">
        <w:t xml:space="preserve"> per cent</w:t>
      </w:r>
      <w:r w:rsidR="00D5214F" w:rsidRPr="00D5214F">
        <w:t xml:space="preserve"> decline in 2017. Australia was one of only five OECD member economies </w:t>
      </w:r>
      <w:r w:rsidR="00D5214F">
        <w:t xml:space="preserve">to record </w:t>
      </w:r>
      <w:r w:rsidR="00D5214F" w:rsidRPr="00D5214F">
        <w:t>increased FDI inflows in 2018</w:t>
      </w:r>
      <w:r w:rsidR="00D5214F">
        <w:t>.</w:t>
      </w:r>
    </w:p>
    <w:p w14:paraId="2F53F4DA" w14:textId="64EA1025" w:rsidR="00125B1D" w:rsidRPr="006D64A2" w:rsidRDefault="00125B1D" w:rsidP="00EA5E84">
      <w:pPr>
        <w:widowControl w:val="0"/>
      </w:pPr>
      <w:r w:rsidRPr="006D64A2">
        <w:t xml:space="preserve">Growing national security concerns have led many countries to review both their policy frameworks for screening inward investment and the way in which they are applied. Two broad trends stood out. </w:t>
      </w:r>
    </w:p>
    <w:p w14:paraId="07619E5C" w14:textId="29C3E9C5" w:rsidR="00125B1D" w:rsidRDefault="00125B1D" w:rsidP="00EA5E84">
      <w:pPr>
        <w:widowControl w:val="0"/>
        <w:rPr>
          <w:noProof/>
        </w:rPr>
      </w:pPr>
      <w:r w:rsidRPr="006D64A2">
        <w:t xml:space="preserve">At a global level, the shift towards policies that liberalise and facilitate investment continued, especially among developing countries which have historically operated more restrictive regimes. At the same time, a number of countries – particularly developed economies that long ago liberalised their investment regimes – have moved to strengthen foreign investment screening on national security grounds (Box </w:t>
      </w:r>
      <w:r w:rsidR="002E02C6">
        <w:t>1</w:t>
      </w:r>
      <w:r w:rsidRPr="006D64A2">
        <w:t xml:space="preserve"> provides further details). This trend </w:t>
      </w:r>
      <w:r w:rsidR="00EA5E84">
        <w:t>reflect</w:t>
      </w:r>
      <w:r w:rsidR="00AB4AB8">
        <w:t>s</w:t>
      </w:r>
      <w:r w:rsidR="00EA5E84">
        <w:t xml:space="preserve"> </w:t>
      </w:r>
      <w:r w:rsidRPr="006D64A2">
        <w:t>growing concerns about geopolitical developments an</w:t>
      </w:r>
      <w:r w:rsidR="00422C1D">
        <w:t>d the risks associated with new </w:t>
      </w:r>
      <w:r w:rsidRPr="006D64A2">
        <w:t>technologies.</w:t>
      </w:r>
      <w:r w:rsidR="00765014" w:rsidRPr="00765014">
        <w:rPr>
          <w:noProof/>
        </w:rPr>
        <w:t xml:space="preserve"> </w:t>
      </w:r>
    </w:p>
    <w:p w14:paraId="5B8F9FC5" w14:textId="15182F7E" w:rsidR="00422C1D" w:rsidRDefault="00422C1D" w:rsidP="00422C1D">
      <w:pPr>
        <w:widowControl w:val="0"/>
        <w:rPr>
          <w:noProof/>
        </w:rPr>
      </w:pPr>
      <w:r>
        <w:rPr>
          <w:noProof/>
        </w:rPr>
        <w:br w:type="page"/>
      </w:r>
    </w:p>
    <w:p w14:paraId="1E56A6F9" w14:textId="456D71D7" w:rsidR="00DB6368" w:rsidRDefault="00DC36CF" w:rsidP="00DC36CF">
      <w:pPr>
        <w:spacing w:after="0" w:line="240" w:lineRule="auto"/>
        <w:jc w:val="left"/>
        <w:rPr>
          <w:noProof/>
        </w:rPr>
      </w:pPr>
      <w:r>
        <w:rPr>
          <w:noProof/>
        </w:rPr>
        <w:lastRenderedPageBreak/>
        <w:br w:type="page"/>
      </w:r>
      <w:r w:rsidRPr="007C6F91">
        <w:rPr>
          <w:rFonts w:ascii="Calibri" w:eastAsia="Calibri" w:hAnsi="Calibri"/>
          <w:noProof/>
        </w:rPr>
        <mc:AlternateContent>
          <mc:Choice Requires="wps">
            <w:drawing>
              <wp:anchor distT="0" distB="0" distL="114300" distR="114300" simplePos="0" relativeHeight="251658244" behindDoc="0" locked="1" layoutInCell="1" allowOverlap="0" wp14:anchorId="5559B283" wp14:editId="7C79FEA8">
                <wp:simplePos x="0" y="0"/>
                <wp:positionH relativeFrom="column">
                  <wp:posOffset>39370</wp:posOffset>
                </wp:positionH>
                <wp:positionV relativeFrom="paragraph">
                  <wp:posOffset>119380</wp:posOffset>
                </wp:positionV>
                <wp:extent cx="4895850" cy="6581775"/>
                <wp:effectExtent l="0" t="0" r="19050" b="28575"/>
                <wp:wrapSquare wrapText="bothSides"/>
                <wp:docPr id="34" name="Snip and Round Single Corner Rectangle 34"/>
                <wp:cNvGraphicFramePr/>
                <a:graphic xmlns:a="http://schemas.openxmlformats.org/drawingml/2006/main">
                  <a:graphicData uri="http://schemas.microsoft.com/office/word/2010/wordprocessingShape">
                    <wps:wsp>
                      <wps:cNvSpPr/>
                      <wps:spPr>
                        <a:xfrm>
                          <a:off x="0" y="0"/>
                          <a:ext cx="4895850" cy="6581775"/>
                        </a:xfrm>
                        <a:prstGeom prst="snipRoundRect">
                          <a:avLst>
                            <a:gd name="adj1" fmla="val 5531"/>
                            <a:gd name="adj2" fmla="val 10817"/>
                          </a:avLst>
                        </a:prstGeom>
                        <a:solidFill>
                          <a:schemeClr val="bg1"/>
                        </a:solidFill>
                        <a:ln w="25400" cap="flat" cmpd="sng" algn="ctr">
                          <a:solidFill>
                            <a:srgbClr val="653979"/>
                          </a:solidFill>
                          <a:prstDash val="solid"/>
                        </a:ln>
                        <a:effectLst/>
                      </wps:spPr>
                      <wps:txbx>
                        <w:txbxContent>
                          <w:p w14:paraId="1CA6D3B3" w14:textId="6CC34A7F" w:rsidR="00191EF9" w:rsidRPr="00DC36CF" w:rsidRDefault="00191EF9" w:rsidP="00DC36CF">
                            <w:pPr>
                              <w:pStyle w:val="BoxHeading"/>
                              <w:rPr>
                                <w:color w:val="000000" w:themeColor="text1"/>
                              </w:rPr>
                            </w:pPr>
                            <w:bookmarkStart w:id="64" w:name="_Toc33521371"/>
                            <w:r w:rsidRPr="00DC36CF">
                              <w:rPr>
                                <w:color w:val="000000" w:themeColor="text1"/>
                              </w:rPr>
                              <w:t xml:space="preserve">Box 1: International developments in foreign </w:t>
                            </w:r>
                            <w:r>
                              <w:rPr>
                                <w:color w:val="000000" w:themeColor="text1"/>
                              </w:rPr>
                              <w:br/>
                            </w:r>
                            <w:r w:rsidRPr="00DC36CF">
                              <w:rPr>
                                <w:color w:val="000000" w:themeColor="text1"/>
                              </w:rPr>
                              <w:t>investment screening</w:t>
                            </w:r>
                            <w:bookmarkEnd w:id="64"/>
                          </w:p>
                          <w:p w14:paraId="47143D63" w14:textId="39DAB5FD" w:rsidR="00191EF9" w:rsidRPr="001322C9" w:rsidRDefault="00191EF9" w:rsidP="00DC36CF">
                            <w:r w:rsidRPr="001322C9">
                              <w:t>Several advanced and emerging economies have recently introduced changes to their foreign investment screening rules</w:t>
                            </w:r>
                            <w:r>
                              <w:t xml:space="preserve"> which</w:t>
                            </w:r>
                            <w:r w:rsidRPr="001322C9">
                              <w:t xml:space="preserve"> generally increase the powers </w:t>
                            </w:r>
                            <w:r>
                              <w:t>of</w:t>
                            </w:r>
                            <w:r w:rsidRPr="001322C9">
                              <w:t xml:space="preserve"> governments to scrutinise investment, particularly in sensitive sectors</w:t>
                            </w:r>
                            <w:r>
                              <w:t xml:space="preserve">. Despite this, </w:t>
                            </w:r>
                            <w:r w:rsidRPr="001322C9">
                              <w:t>international governments overwhelmingly continue to recognise the important benefits of foreign</w:t>
                            </w:r>
                            <w:r>
                              <w:t> </w:t>
                            </w:r>
                            <w:r w:rsidRPr="001322C9">
                              <w:t xml:space="preserve">investment. </w:t>
                            </w:r>
                          </w:p>
                          <w:p w14:paraId="6E83E41E" w14:textId="77777777" w:rsidR="00191EF9" w:rsidRPr="00802385" w:rsidRDefault="00191EF9" w:rsidP="00DC36CF">
                            <w:r w:rsidRPr="00406C1F">
                              <w:t xml:space="preserve">In July 2018, </w:t>
                            </w:r>
                            <w:r w:rsidRPr="00AB4AB8">
                              <w:rPr>
                                <w:b/>
                              </w:rPr>
                              <w:t>the United Kingdom</w:t>
                            </w:r>
                            <w:r w:rsidRPr="00406C1F">
                              <w:t xml:space="preserve"> outlined plans in a White Paper for a n</w:t>
                            </w:r>
                            <w:r w:rsidRPr="00802385">
                              <w:t xml:space="preserve">ew national security power. The </w:t>
                            </w:r>
                            <w:r>
                              <w:t>United Kingdom</w:t>
                            </w:r>
                            <w:r w:rsidRPr="00802385">
                              <w:t xml:space="preserve"> also lowered investment screening </w:t>
                            </w:r>
                            <w:r>
                              <w:t xml:space="preserve">thresholds </w:t>
                            </w:r>
                            <w:r w:rsidRPr="00802385">
                              <w:t>in high</w:t>
                            </w:r>
                            <w:r w:rsidRPr="00802385">
                              <w:noBreakHyphen/>
                              <w:t xml:space="preserve">tech industries, including quantum computing. </w:t>
                            </w:r>
                          </w:p>
                          <w:p w14:paraId="54D334FB" w14:textId="77777777" w:rsidR="00191EF9" w:rsidRPr="00802385" w:rsidRDefault="00191EF9" w:rsidP="00DC36CF">
                            <w:r w:rsidRPr="00A234F8">
                              <w:t xml:space="preserve">In </w:t>
                            </w:r>
                            <w:r>
                              <w:t xml:space="preserve">November 2019, </w:t>
                            </w:r>
                            <w:r w:rsidRPr="00A234F8">
                              <w:t xml:space="preserve">the </w:t>
                            </w:r>
                            <w:r w:rsidRPr="00A234F8">
                              <w:rPr>
                                <w:b/>
                              </w:rPr>
                              <w:t xml:space="preserve">New Zealand </w:t>
                            </w:r>
                            <w:r w:rsidRPr="00A234F8">
                              <w:t xml:space="preserve">government </w:t>
                            </w:r>
                            <w:r>
                              <w:t>announced reforms</w:t>
                            </w:r>
                            <w:r w:rsidRPr="00A234F8">
                              <w:t xml:space="preserve"> to the </w:t>
                            </w:r>
                            <w:r w:rsidRPr="00A234F8">
                              <w:rPr>
                                <w:i/>
                              </w:rPr>
                              <w:t>Overseas Investment Act 2005</w:t>
                            </w:r>
                            <w:r>
                              <w:t xml:space="preserve"> that </w:t>
                            </w:r>
                            <w:r w:rsidRPr="00A234F8">
                              <w:t>enhance compliance powers</w:t>
                            </w:r>
                            <w:r>
                              <w:t>, introduce a ‘national interest test’ (similar to Australia’s)</w:t>
                            </w:r>
                            <w:r w:rsidRPr="00A234F8">
                              <w:t xml:space="preserve"> and </w:t>
                            </w:r>
                            <w:r>
                              <w:t xml:space="preserve">introduce </w:t>
                            </w:r>
                            <w:r w:rsidRPr="00A234F8">
                              <w:t xml:space="preserve">new powers to protect New Zealand’s ‘core interests’, including national security. </w:t>
                            </w:r>
                            <w:r>
                              <w:t>The latter includes mandatory notification requirements for sensitive transactions and a new power to enable the government to call in certain transactions that are not currently screened.</w:t>
                            </w:r>
                          </w:p>
                          <w:p w14:paraId="45A4522E" w14:textId="77777777" w:rsidR="00191EF9" w:rsidRPr="00802385" w:rsidRDefault="00191EF9" w:rsidP="00DC36CF">
                            <w:r w:rsidRPr="00D93B71">
                              <w:t xml:space="preserve">In the </w:t>
                            </w:r>
                            <w:r w:rsidRPr="004934DE">
                              <w:rPr>
                                <w:b/>
                              </w:rPr>
                              <w:t>United States</w:t>
                            </w:r>
                            <w:r w:rsidRPr="00A234F8">
                              <w:rPr>
                                <w:b/>
                              </w:rPr>
                              <w:t>,</w:t>
                            </w:r>
                            <w:r w:rsidRPr="00A234F8">
                              <w:t xml:space="preserve"> the </w:t>
                            </w:r>
                            <w:r w:rsidRPr="00A234F8">
                              <w:rPr>
                                <w:i/>
                              </w:rPr>
                              <w:t>Foreign Investment Risk Review Modernization Act 2018</w:t>
                            </w:r>
                            <w:r w:rsidRPr="00A234F8">
                              <w:t xml:space="preserve"> </w:t>
                            </w:r>
                            <w:r>
                              <w:t>commenced</w:t>
                            </w:r>
                            <w:r w:rsidRPr="00A234F8">
                              <w:t xml:space="preserve"> in November 2018, significantly expanding the government’s powers to review investment in critical technologies, infrastructure and data. </w:t>
                            </w:r>
                            <w:r>
                              <w:t xml:space="preserve">Under regulations that came into effect in </w:t>
                            </w:r>
                            <w:r w:rsidRPr="00CA22A2">
                              <w:t xml:space="preserve">February 2020, </w:t>
                            </w:r>
                            <w:r>
                              <w:t>Australia is one of three countries to be declared an ‘excepted foreign state’, meaning Australian investors can claim an exemption from certain notification and screening requirements.</w:t>
                            </w:r>
                            <w:r w:rsidRPr="00802385">
                              <w:t xml:space="preserve"> </w:t>
                            </w:r>
                          </w:p>
                          <w:p w14:paraId="4BF1961D" w14:textId="77777777" w:rsidR="00191EF9" w:rsidRPr="00802385" w:rsidRDefault="00191EF9" w:rsidP="00DC36CF">
                            <w:r w:rsidRPr="00802385">
                              <w:t xml:space="preserve">In March 2019, </w:t>
                            </w:r>
                            <w:r w:rsidRPr="00666DBB">
                              <w:rPr>
                                <w:b/>
                              </w:rPr>
                              <w:t>China</w:t>
                            </w:r>
                            <w:r w:rsidRPr="006D64A2">
                              <w:t xml:space="preserve"> </w:t>
                            </w:r>
                            <w:r w:rsidRPr="00406C1F">
                              <w:t xml:space="preserve">enacted the </w:t>
                            </w:r>
                            <w:r w:rsidRPr="00802385">
                              <w:rPr>
                                <w:i/>
                              </w:rPr>
                              <w:t>Foreign Investment Law</w:t>
                            </w:r>
                            <w:r w:rsidRPr="00802385">
                              <w:t>, which has implications for foreign firms operating in China or looking to invest in China. In particular, the Law has some provisions to improve transparency and the equal treatment of foreign firms. The Law also includes a provision to permit the review of foreign investment on national security grounds.</w:t>
                            </w:r>
                          </w:p>
                          <w:p w14:paraId="2B106162" w14:textId="2FA5B45A" w:rsidR="00191EF9" w:rsidRPr="00DC36CF" w:rsidRDefault="00191EF9" w:rsidP="00DC36CF">
                            <w:r w:rsidRPr="00802385">
                              <w:t xml:space="preserve">The </w:t>
                            </w:r>
                            <w:r w:rsidRPr="00666DBB">
                              <w:rPr>
                                <w:b/>
                              </w:rPr>
                              <w:t>European Commission</w:t>
                            </w:r>
                            <w:r w:rsidRPr="00406C1F">
                              <w:t xml:space="preserve"> also introduced a new foreign investment screening framework, which </w:t>
                            </w:r>
                            <w:r>
                              <w:t xml:space="preserve">commenced </w:t>
                            </w:r>
                            <w:r w:rsidRPr="00406C1F">
                              <w:t xml:space="preserve">on 10 April 2019. The framework is intended </w:t>
                            </w:r>
                            <w:r>
                              <w:t>to</w:t>
                            </w:r>
                            <w:r w:rsidRPr="00406C1F">
                              <w:t xml:space="preserve"> improv</w:t>
                            </w:r>
                            <w:r w:rsidRPr="00802385">
                              <w:t>e information sharing and cooperation between the individual screening rules of each member state. Several E</w:t>
                            </w:r>
                            <w:r>
                              <w:t xml:space="preserve">uropean </w:t>
                            </w:r>
                            <w:r w:rsidRPr="00802385">
                              <w:t>U</w:t>
                            </w:r>
                            <w:r>
                              <w:t>nion</w:t>
                            </w:r>
                            <w:r w:rsidRPr="00802385">
                              <w:t xml:space="preserve"> members, including France and Germany, have</w:t>
                            </w:r>
                            <w:r>
                              <w:t xml:space="preserve"> recently</w:t>
                            </w:r>
                            <w:r w:rsidRPr="00802385">
                              <w:t xml:space="preserve"> strengthened th</w:t>
                            </w:r>
                            <w:r>
                              <w:t xml:space="preserve">eir foreign investment rules.  </w:t>
                            </w: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9B283" id="Snip and Round Single Corner Rectangle 34" o:spid="_x0000_s1027" style="position:absolute;margin-left:3.1pt;margin-top:9.4pt;width:385.5pt;height:51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5850,6581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" o:allowoverlap="f" adj="-11796480,,5400" path="m270789,l4366266,r529584,529584l4895850,6581775,,6581775,,270789c,121236,121236,,270789,xe" fillcolor="white [3212]" strokecolor="#653979" strokeweight="2pt">
                <v:stroke joinstyle="miter"/>
                <v:formulas/>
                <v:path arrowok="t" o:connecttype="custom" o:connectlocs="270789,0;4366266,0;4895850,529584;4895850,6581775;0,6581775;0,270789;270789,0" o:connectangles="0,0,0,0,0,0,0" textboxrect="0,0,4895850,6581775"/>
                <v:textbox inset=".5mm,0,.5mm,0">
                  <w:txbxContent>
                    <w:p w14:paraId="1CA6D3B3" w14:textId="6CC34A7F" w:rsidR="00191EF9" w:rsidRPr="00DC36CF" w:rsidRDefault="00191EF9" w:rsidP="00DC36CF">
                      <w:pPr>
                        <w:pStyle w:val="BoxHeading"/>
                        <w:rPr>
                          <w:color w:val="000000" w:themeColor="text1"/>
                        </w:rPr>
                      </w:pPr>
                      <w:bookmarkStart w:id="65" w:name="_Toc33521371"/>
                      <w:r w:rsidRPr="00DC36CF">
                        <w:rPr>
                          <w:color w:val="000000" w:themeColor="text1"/>
                        </w:rPr>
                        <w:t xml:space="preserve">Box 1: International developments in foreign </w:t>
                      </w:r>
                      <w:r>
                        <w:rPr>
                          <w:color w:val="000000" w:themeColor="text1"/>
                        </w:rPr>
                        <w:br/>
                      </w:r>
                      <w:r w:rsidRPr="00DC36CF">
                        <w:rPr>
                          <w:color w:val="000000" w:themeColor="text1"/>
                        </w:rPr>
                        <w:t>investment screening</w:t>
                      </w:r>
                      <w:bookmarkEnd w:id="65"/>
                    </w:p>
                    <w:p w14:paraId="47143D63" w14:textId="39DAB5FD" w:rsidR="00191EF9" w:rsidRPr="001322C9" w:rsidRDefault="00191EF9" w:rsidP="00DC36CF">
                      <w:r w:rsidRPr="001322C9">
                        <w:t>Several advanced and emerging economies have recently introduced changes to their foreign investment screening rules</w:t>
                      </w:r>
                      <w:r>
                        <w:t xml:space="preserve"> which</w:t>
                      </w:r>
                      <w:r w:rsidRPr="001322C9">
                        <w:t xml:space="preserve"> generally increase the powers </w:t>
                      </w:r>
                      <w:r>
                        <w:t>of</w:t>
                      </w:r>
                      <w:r w:rsidRPr="001322C9">
                        <w:t xml:space="preserve"> governments to scrutinise investment, particularly in sensitive sectors</w:t>
                      </w:r>
                      <w:r>
                        <w:t xml:space="preserve">. Despite this, </w:t>
                      </w:r>
                      <w:r w:rsidRPr="001322C9">
                        <w:t>international governments overwhelmingly continue to recognise the important benefits of foreign</w:t>
                      </w:r>
                      <w:r>
                        <w:t> </w:t>
                      </w:r>
                      <w:r w:rsidRPr="001322C9">
                        <w:t xml:space="preserve">investment. </w:t>
                      </w:r>
                    </w:p>
                    <w:p w14:paraId="6E83E41E" w14:textId="77777777" w:rsidR="00191EF9" w:rsidRPr="00802385" w:rsidRDefault="00191EF9" w:rsidP="00DC36CF">
                      <w:r w:rsidRPr="00406C1F">
                        <w:t xml:space="preserve">In July 2018, </w:t>
                      </w:r>
                      <w:r w:rsidRPr="00AB4AB8">
                        <w:rPr>
                          <w:b/>
                        </w:rPr>
                        <w:t>the United Kingdom</w:t>
                      </w:r>
                      <w:r w:rsidRPr="00406C1F">
                        <w:t xml:space="preserve"> outlined plans in a White Paper for a n</w:t>
                      </w:r>
                      <w:r w:rsidRPr="00802385">
                        <w:t xml:space="preserve">ew national security power. The </w:t>
                      </w:r>
                      <w:r>
                        <w:t>United Kingdom</w:t>
                      </w:r>
                      <w:r w:rsidRPr="00802385">
                        <w:t xml:space="preserve"> also lowered investment screening </w:t>
                      </w:r>
                      <w:r>
                        <w:t xml:space="preserve">thresholds </w:t>
                      </w:r>
                      <w:r w:rsidRPr="00802385">
                        <w:t>in high</w:t>
                      </w:r>
                      <w:r w:rsidRPr="00802385">
                        <w:noBreakHyphen/>
                        <w:t xml:space="preserve">tech industries, including quantum computing. </w:t>
                      </w:r>
                    </w:p>
                    <w:p w14:paraId="54D334FB" w14:textId="77777777" w:rsidR="00191EF9" w:rsidRPr="00802385" w:rsidRDefault="00191EF9" w:rsidP="00DC36CF">
                      <w:r w:rsidRPr="00A234F8">
                        <w:t xml:space="preserve">In </w:t>
                      </w:r>
                      <w:r>
                        <w:t xml:space="preserve">November 2019, </w:t>
                      </w:r>
                      <w:r w:rsidRPr="00A234F8">
                        <w:t xml:space="preserve">the </w:t>
                      </w:r>
                      <w:r w:rsidRPr="00A234F8">
                        <w:rPr>
                          <w:b/>
                        </w:rPr>
                        <w:t xml:space="preserve">New Zealand </w:t>
                      </w:r>
                      <w:r w:rsidRPr="00A234F8">
                        <w:t xml:space="preserve">government </w:t>
                      </w:r>
                      <w:r>
                        <w:t>announced reforms</w:t>
                      </w:r>
                      <w:r w:rsidRPr="00A234F8">
                        <w:t xml:space="preserve"> to the </w:t>
                      </w:r>
                      <w:r w:rsidRPr="00A234F8">
                        <w:rPr>
                          <w:i/>
                        </w:rPr>
                        <w:t>Overseas Investment Act 2005</w:t>
                      </w:r>
                      <w:r>
                        <w:t xml:space="preserve"> that </w:t>
                      </w:r>
                      <w:r w:rsidRPr="00A234F8">
                        <w:t>enhance compliance powers</w:t>
                      </w:r>
                      <w:r>
                        <w:t>, introduce a ‘national interest test’ (similar to Australia’s)</w:t>
                      </w:r>
                      <w:r w:rsidRPr="00A234F8">
                        <w:t xml:space="preserve"> and </w:t>
                      </w:r>
                      <w:r>
                        <w:t xml:space="preserve">introduce </w:t>
                      </w:r>
                      <w:r w:rsidRPr="00A234F8">
                        <w:t xml:space="preserve">new powers to protect New Zealand’s ‘core interests’, including national security. </w:t>
                      </w:r>
                      <w:r>
                        <w:t>The latter includes mandatory notification requirements for sensitive transactions and a new power to enable the government to call in certain transactions that are not currently screened.</w:t>
                      </w:r>
                    </w:p>
                    <w:p w14:paraId="45A4522E" w14:textId="77777777" w:rsidR="00191EF9" w:rsidRPr="00802385" w:rsidRDefault="00191EF9" w:rsidP="00DC36CF">
                      <w:r w:rsidRPr="00D93B71">
                        <w:t xml:space="preserve">In the </w:t>
                      </w:r>
                      <w:r w:rsidRPr="004934DE">
                        <w:rPr>
                          <w:b/>
                        </w:rPr>
                        <w:t>United States</w:t>
                      </w:r>
                      <w:r w:rsidRPr="00A234F8">
                        <w:rPr>
                          <w:b/>
                        </w:rPr>
                        <w:t>,</w:t>
                      </w:r>
                      <w:r w:rsidRPr="00A234F8">
                        <w:t xml:space="preserve"> the </w:t>
                      </w:r>
                      <w:r w:rsidRPr="00A234F8">
                        <w:rPr>
                          <w:i/>
                        </w:rPr>
                        <w:t>Foreign Investment Risk Review Modernization Act 2018</w:t>
                      </w:r>
                      <w:r w:rsidRPr="00A234F8">
                        <w:t xml:space="preserve"> </w:t>
                      </w:r>
                      <w:r>
                        <w:t>commenced</w:t>
                      </w:r>
                      <w:r w:rsidRPr="00A234F8">
                        <w:t xml:space="preserve"> in November 2018, significantly expanding the government’s powers to review investment in critical technologies, infrastructure and data. </w:t>
                      </w:r>
                      <w:r>
                        <w:t xml:space="preserve">Under regulations that came into effect in </w:t>
                      </w:r>
                      <w:r w:rsidRPr="00CA22A2">
                        <w:t xml:space="preserve">February 2020, </w:t>
                      </w:r>
                      <w:r>
                        <w:t>Australia is one of three countries to be declared an ‘excepted foreign state’, meaning Australian investors can claim an exemption from certain notification and screening requirements.</w:t>
                      </w:r>
                      <w:r w:rsidRPr="00802385">
                        <w:t xml:space="preserve"> </w:t>
                      </w:r>
                    </w:p>
                    <w:p w14:paraId="4BF1961D" w14:textId="77777777" w:rsidR="00191EF9" w:rsidRPr="00802385" w:rsidRDefault="00191EF9" w:rsidP="00DC36CF">
                      <w:r w:rsidRPr="00802385">
                        <w:t xml:space="preserve">In March 2019, </w:t>
                      </w:r>
                      <w:r w:rsidRPr="00666DBB">
                        <w:rPr>
                          <w:b/>
                        </w:rPr>
                        <w:t>China</w:t>
                      </w:r>
                      <w:r w:rsidRPr="006D64A2">
                        <w:t xml:space="preserve"> </w:t>
                      </w:r>
                      <w:r w:rsidRPr="00406C1F">
                        <w:t xml:space="preserve">enacted the </w:t>
                      </w:r>
                      <w:r w:rsidRPr="00802385">
                        <w:rPr>
                          <w:i/>
                        </w:rPr>
                        <w:t>Foreign Investment Law</w:t>
                      </w:r>
                      <w:r w:rsidRPr="00802385">
                        <w:t>, which has implications for foreign firms operating in China or looking to invest in China. In particular, the Law has some provisions to improve transparency and the equal treatment of foreign firms. The Law also includes a provision to permit the review of foreign investment on national security grounds.</w:t>
                      </w:r>
                    </w:p>
                    <w:p w14:paraId="2B106162" w14:textId="2FA5B45A" w:rsidR="00191EF9" w:rsidRPr="00DC36CF" w:rsidRDefault="00191EF9" w:rsidP="00DC36CF">
                      <w:r w:rsidRPr="00802385">
                        <w:t xml:space="preserve">The </w:t>
                      </w:r>
                      <w:r w:rsidRPr="00666DBB">
                        <w:rPr>
                          <w:b/>
                        </w:rPr>
                        <w:t>European Commission</w:t>
                      </w:r>
                      <w:r w:rsidRPr="00406C1F">
                        <w:t xml:space="preserve"> also introduced a new foreign investment screening framework, which </w:t>
                      </w:r>
                      <w:r>
                        <w:t xml:space="preserve">commenced </w:t>
                      </w:r>
                      <w:r w:rsidRPr="00406C1F">
                        <w:t xml:space="preserve">on 10 April 2019. The framework is intended </w:t>
                      </w:r>
                      <w:r>
                        <w:t>to</w:t>
                      </w:r>
                      <w:r w:rsidRPr="00406C1F">
                        <w:t xml:space="preserve"> improv</w:t>
                      </w:r>
                      <w:r w:rsidRPr="00802385">
                        <w:t>e information sharing and cooperation between the individual screening rules of each member state. Several E</w:t>
                      </w:r>
                      <w:r>
                        <w:t xml:space="preserve">uropean </w:t>
                      </w:r>
                      <w:r w:rsidRPr="00802385">
                        <w:t>U</w:t>
                      </w:r>
                      <w:r>
                        <w:t>nion</w:t>
                      </w:r>
                      <w:r w:rsidRPr="00802385">
                        <w:t xml:space="preserve"> members, including France and Germany, have</w:t>
                      </w:r>
                      <w:r>
                        <w:t xml:space="preserve"> recently</w:t>
                      </w:r>
                      <w:r w:rsidRPr="00802385">
                        <w:t xml:space="preserve"> strengthened th</w:t>
                      </w:r>
                      <w:r>
                        <w:t xml:space="preserve">eir foreign investment rules.  </w:t>
                      </w:r>
                    </w:p>
                  </w:txbxContent>
                </v:textbox>
                <w10:wrap type="square"/>
                <w10:anchorlock/>
              </v:shape>
            </w:pict>
          </mc:Fallback>
        </mc:AlternateContent>
      </w:r>
    </w:p>
    <w:p w14:paraId="4704D735" w14:textId="714F4BCC" w:rsidR="00125B1D" w:rsidRPr="006D64A2" w:rsidRDefault="00125B1D" w:rsidP="00406C1F">
      <w:pPr>
        <w:pStyle w:val="Heading3"/>
        <w:rPr>
          <w:rFonts w:eastAsia="Calibri"/>
        </w:rPr>
      </w:pPr>
      <w:r w:rsidRPr="006D64A2">
        <w:lastRenderedPageBreak/>
        <w:t xml:space="preserve">Developments in Australian </w:t>
      </w:r>
      <w:r w:rsidR="00FD4ADB" w:rsidRPr="006D64A2">
        <w:t>foreign investment</w:t>
      </w:r>
      <w:r w:rsidRPr="006D64A2">
        <w:t xml:space="preserve"> </w:t>
      </w:r>
      <w:r w:rsidR="00A62046">
        <w:t>framework</w:t>
      </w:r>
    </w:p>
    <w:p w14:paraId="32E00B6C" w14:textId="6ADE3861" w:rsidR="00CC3E26" w:rsidRDefault="00C55E58" w:rsidP="00F01729">
      <w:pPr>
        <w:keepNext/>
      </w:pPr>
      <w:r>
        <w:t xml:space="preserve">The Board continues to monitor the broader foreign investment environment </w:t>
      </w:r>
      <w:r w:rsidR="00B77BD8">
        <w:t>and</w:t>
      </w:r>
      <w:r>
        <w:t xml:space="preserve"> assess the effectiveness of the framework. </w:t>
      </w:r>
      <w:r w:rsidR="00A8692C">
        <w:t>In 2018-19, the Board, Treasury</w:t>
      </w:r>
      <w:r>
        <w:t xml:space="preserve"> and </w:t>
      </w:r>
      <w:r w:rsidR="00A8692C">
        <w:t xml:space="preserve">the </w:t>
      </w:r>
      <w:r>
        <w:t>ATO en</w:t>
      </w:r>
      <w:r w:rsidR="00CC3E26">
        <w:t xml:space="preserve">gaged </w:t>
      </w:r>
      <w:r w:rsidR="00A8692C">
        <w:t xml:space="preserve">with a range of </w:t>
      </w:r>
      <w:r w:rsidR="00CC3E26">
        <w:t>stakeholders</w:t>
      </w:r>
      <w:r w:rsidR="00A8692C">
        <w:t>, both international and domestic, in order to gain insights into the effectiveness of the framework</w:t>
      </w:r>
      <w:r w:rsidR="00CC3E26">
        <w:t xml:space="preserve">. The views </w:t>
      </w:r>
      <w:r w:rsidR="00A8692C">
        <w:t xml:space="preserve">conveyed by stakeholders </w:t>
      </w:r>
      <w:r w:rsidR="00CC3E26">
        <w:t xml:space="preserve">are important in helping the Board consider the advice </w:t>
      </w:r>
      <w:r w:rsidR="00A8692C">
        <w:t>it</w:t>
      </w:r>
      <w:r w:rsidR="00CC3E26">
        <w:t xml:space="preserve"> provide</w:t>
      </w:r>
      <w:r w:rsidR="00A8692C">
        <w:t>s</w:t>
      </w:r>
      <w:r w:rsidR="00CC3E26">
        <w:t xml:space="preserve"> to the Treasurer on Australia’s domestic policy settings.</w:t>
      </w:r>
    </w:p>
    <w:p w14:paraId="1FC0F767" w14:textId="31F8DA6B" w:rsidR="00125B1D" w:rsidRDefault="00125B1D" w:rsidP="00F01729">
      <w:pPr>
        <w:keepNext/>
      </w:pPr>
      <w:r w:rsidRPr="006D64A2">
        <w:t xml:space="preserve">Australia’s foreign investment review framework and policy settings remained relatively stable during 2018-19. </w:t>
      </w:r>
    </w:p>
    <w:p w14:paraId="54DA853C" w14:textId="0D882464" w:rsidR="00BD6540" w:rsidRPr="006D64A2" w:rsidRDefault="00BD6540">
      <w:pPr>
        <w:pStyle w:val="Heading4"/>
        <w:rPr>
          <w:rFonts w:asciiTheme="minorHAnsi" w:hAnsiTheme="minorHAnsi"/>
          <w:color w:val="000000"/>
          <w:szCs w:val="20"/>
        </w:rPr>
      </w:pPr>
      <w:r>
        <w:t>The Australian opportunity policy</w:t>
      </w:r>
    </w:p>
    <w:p w14:paraId="48DFFA84" w14:textId="05D1803D" w:rsidR="00125B1D" w:rsidRPr="006D64A2" w:rsidRDefault="00C3687F">
      <w:r>
        <w:t>The</w:t>
      </w:r>
      <w:r w:rsidR="00125B1D" w:rsidRPr="006D64A2">
        <w:t xml:space="preserve"> main change </w:t>
      </w:r>
      <w:r>
        <w:t xml:space="preserve">in the period </w:t>
      </w:r>
      <w:r w:rsidR="00125B1D" w:rsidRPr="006D64A2">
        <w:t>concerned the Australian opportunity policy. This policy requires an open and transparent sale process for foreign purchases of agricultural land, thereby ensuring Australian bidders have an opportunity to participate in the sale process.</w:t>
      </w:r>
    </w:p>
    <w:p w14:paraId="539A7A76" w14:textId="65797B91" w:rsidR="00125B1D" w:rsidRDefault="00125B1D">
      <w:pPr>
        <w:rPr>
          <w:color w:val="auto"/>
        </w:rPr>
      </w:pPr>
      <w:r w:rsidRPr="006D64A2">
        <w:t xml:space="preserve">On 26 September 2018, the Government announced it had revised its guidance on how it applies the Australian opportunity policy. The revision, which was made following consultations with stakeholders, included a number of changes. First, instead of applying to all investments in agricultural land by foreign persons, with some exceptions, the requirement was narrowed to sales of agricultural land that are intended to be used for a primary production business or residential development. Second, the requirement was no longer applied to leasehold interests or licences, except where these have freehold characteristics. Third, the guidance note was revised to clarify that the requirement may be satisfied through not only a 30-day public marketing campaign, but also alternative forms of sale process that provide equal or greater participation by Australian bidders. Fourth, the requirement </w:t>
      </w:r>
      <w:r w:rsidR="004623A5">
        <w:t>was</w:t>
      </w:r>
      <w:r w:rsidR="004623A5" w:rsidRPr="006D64A2">
        <w:t xml:space="preserve"> </w:t>
      </w:r>
      <w:r w:rsidRPr="006D64A2">
        <w:t xml:space="preserve">generally not </w:t>
      </w:r>
      <w:r w:rsidR="004623A5" w:rsidRPr="006D64A2">
        <w:t>appl</w:t>
      </w:r>
      <w:r w:rsidR="004623A5">
        <w:t>ied</w:t>
      </w:r>
      <w:r w:rsidR="004623A5" w:rsidRPr="006D64A2">
        <w:t xml:space="preserve"> </w:t>
      </w:r>
      <w:r w:rsidRPr="006D64A2">
        <w:t>to foreign investors that acquire</w:t>
      </w:r>
      <w:r w:rsidR="004623A5">
        <w:t>d</w:t>
      </w:r>
      <w:r w:rsidRPr="006D64A2">
        <w:t xml:space="preserve"> agricultural land and allow</w:t>
      </w:r>
      <w:r w:rsidR="004623A5">
        <w:t>ed</w:t>
      </w:r>
      <w:r w:rsidRPr="006D64A2">
        <w:t xml:space="preserve"> significant Australian participation in the primary production business.</w:t>
      </w:r>
    </w:p>
    <w:p w14:paraId="4F6558DE" w14:textId="5FD813E6" w:rsidR="00C373D2" w:rsidRPr="006D64A2" w:rsidRDefault="00C373D2" w:rsidP="00406C1F">
      <w:pPr>
        <w:pStyle w:val="Heading4"/>
        <w:rPr>
          <w:rFonts w:asciiTheme="minorHAnsi" w:hAnsiTheme="minorHAnsi"/>
          <w:szCs w:val="20"/>
        </w:rPr>
      </w:pPr>
      <w:r w:rsidRPr="006D64A2">
        <w:t>Increased focus on compliance</w:t>
      </w:r>
    </w:p>
    <w:p w14:paraId="60624279" w14:textId="34649EF6" w:rsidR="00B8354E" w:rsidRDefault="00C373D2" w:rsidP="00406C1F">
      <w:r w:rsidRPr="006D64A2">
        <w:t xml:space="preserve">The increased use of conditions over recent years has </w:t>
      </w:r>
      <w:r w:rsidR="003D33B9" w:rsidRPr="002E2EFE">
        <w:t xml:space="preserve">demanded a greater focus on </w:t>
      </w:r>
      <w:r w:rsidRPr="006D64A2">
        <w:t xml:space="preserve">compliance. </w:t>
      </w:r>
      <w:r w:rsidR="00F86117">
        <w:t>S</w:t>
      </w:r>
      <w:r w:rsidRPr="006D64A2">
        <w:t>ince announcing an enhanced approach to compliance</w:t>
      </w:r>
      <w:r w:rsidR="00D2343D">
        <w:t xml:space="preserve"> on sensitive commercial cases</w:t>
      </w:r>
      <w:r w:rsidRPr="006D64A2">
        <w:t xml:space="preserve"> in September 2017, Treasury has been developing and maturing its compliance function</w:t>
      </w:r>
      <w:r w:rsidR="003D33B9" w:rsidRPr="002E2EFE">
        <w:t>. This</w:t>
      </w:r>
      <w:r w:rsidRPr="006D64A2">
        <w:t xml:space="preserve"> included: expanding the size of </w:t>
      </w:r>
      <w:r w:rsidR="00C3687F">
        <w:t>its</w:t>
      </w:r>
      <w:r w:rsidRPr="006D64A2">
        <w:t xml:space="preserve"> compliance unit; dedicating resources to </w:t>
      </w:r>
      <w:r w:rsidR="003D33B9" w:rsidRPr="002E2EFE">
        <w:t xml:space="preserve">improving and standardising </w:t>
      </w:r>
      <w:r w:rsidRPr="006D64A2">
        <w:t>conditions</w:t>
      </w:r>
      <w:r w:rsidR="004623A5">
        <w:t>;</w:t>
      </w:r>
      <w:r w:rsidRPr="006D64A2">
        <w:t xml:space="preserve"> recognising that clearer and more </w:t>
      </w:r>
      <w:r w:rsidR="00D2343D">
        <w:t>targeted</w:t>
      </w:r>
      <w:r w:rsidR="00A62046" w:rsidRPr="006D64A2">
        <w:t xml:space="preserve"> </w:t>
      </w:r>
      <w:r w:rsidRPr="006D64A2">
        <w:t xml:space="preserve">conditions result in better compliance outcomes; scrutinising and improving how compliance monitoring is </w:t>
      </w:r>
      <w:r w:rsidR="003D33B9" w:rsidRPr="002E2EFE">
        <w:t>undertaken</w:t>
      </w:r>
      <w:r w:rsidRPr="006D64A2">
        <w:t xml:space="preserve">; carrying out a stocktake of compliance status on sensitive cases; working more closely with other </w:t>
      </w:r>
      <w:r w:rsidR="00C13AC9">
        <w:t>g</w:t>
      </w:r>
      <w:r w:rsidRPr="006D64A2">
        <w:t>overnment agencies and departments on compliance issues</w:t>
      </w:r>
      <w:r w:rsidR="007F041D" w:rsidRPr="002E2EFE">
        <w:t>;</w:t>
      </w:r>
      <w:r w:rsidRPr="006D64A2">
        <w:t xml:space="preserve"> and clarifying roles and responsibilities</w:t>
      </w:r>
      <w:r w:rsidR="00C13AC9">
        <w:t xml:space="preserve"> of g</w:t>
      </w:r>
      <w:r w:rsidR="007F041D" w:rsidRPr="002E2EFE">
        <w:t>overnment agencies where compliance action is proposed under the Act</w:t>
      </w:r>
      <w:r w:rsidRPr="006D64A2">
        <w:t>.</w:t>
      </w:r>
      <w:r w:rsidR="00C3687F">
        <w:t xml:space="preserve"> </w:t>
      </w:r>
      <w:r w:rsidR="00B8354E" w:rsidRPr="006D64A2">
        <w:t xml:space="preserve">Further </w:t>
      </w:r>
      <w:r w:rsidR="00B8354E" w:rsidRPr="002E2EFE">
        <w:t>detail on compliance activities for the period is outlined in Chapter 4.</w:t>
      </w:r>
    </w:p>
    <w:p w14:paraId="34D826EA" w14:textId="77777777" w:rsidR="00F96DEA" w:rsidRDefault="00F96DEA" w:rsidP="00406C1F"/>
    <w:p w14:paraId="09BE5D5F" w14:textId="77777777" w:rsidR="00D34622" w:rsidRDefault="00D34622" w:rsidP="00257419">
      <w:pPr>
        <w:pStyle w:val="Heading1"/>
        <w:sectPr w:rsidR="00D34622" w:rsidSect="00E43E52">
          <w:type w:val="oddPage"/>
          <w:pgSz w:w="11906" w:h="16838" w:code="9"/>
          <w:pgMar w:top="2466" w:right="2098" w:bottom="2466" w:left="2098" w:header="1899" w:footer="1899" w:gutter="0"/>
          <w:cols w:space="708"/>
          <w:titlePg/>
          <w:docGrid w:linePitch="360"/>
        </w:sectPr>
      </w:pPr>
      <w:bookmarkStart w:id="65" w:name="_Toc31296901"/>
      <w:bookmarkStart w:id="66" w:name="_Toc31636019"/>
      <w:bookmarkStart w:id="67" w:name="_Toc31642788"/>
    </w:p>
    <w:p w14:paraId="68AADE7E" w14:textId="6BF068CA" w:rsidR="00A84283" w:rsidRDefault="0004056B" w:rsidP="00257419">
      <w:pPr>
        <w:pStyle w:val="Heading1"/>
        <w:rPr>
          <w:color w:val="FFFFFF" w:themeColor="background1"/>
        </w:rPr>
      </w:pPr>
      <w:bookmarkStart w:id="68" w:name="_Toc32247797"/>
      <w:bookmarkStart w:id="69" w:name="_Toc33625846"/>
      <w:r>
        <w:rPr>
          <w:noProof/>
        </w:rPr>
        <w:lastRenderedPageBreak/>
        <w:drawing>
          <wp:anchor distT="0" distB="0" distL="114300" distR="114300" simplePos="0" relativeHeight="251658247" behindDoc="0" locked="0" layoutInCell="1" allowOverlap="1" wp14:anchorId="633BA7D2" wp14:editId="71C251BB">
            <wp:simplePos x="0" y="0"/>
            <wp:positionH relativeFrom="column">
              <wp:posOffset>1270</wp:posOffset>
            </wp:positionH>
            <wp:positionV relativeFrom="paragraph">
              <wp:posOffset>-222885</wp:posOffset>
            </wp:positionV>
            <wp:extent cx="4894580" cy="2160905"/>
            <wp:effectExtent l="0" t="0" r="1270" b="0"/>
            <wp:wrapNone/>
            <wp:docPr id="8" name="Picture 8" descr="Chapter Three Heading" title="Chapter Thre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B AR Part Pages_2016-17_V2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4580" cy="2160905"/>
                    </a:xfrm>
                    <a:prstGeom prst="rect">
                      <a:avLst/>
                    </a:prstGeom>
                  </pic:spPr>
                </pic:pic>
              </a:graphicData>
            </a:graphic>
            <wp14:sizeRelH relativeFrom="page">
              <wp14:pctWidth>0</wp14:pctWidth>
            </wp14:sizeRelH>
            <wp14:sizeRelV relativeFrom="page">
              <wp14:pctHeight>0</wp14:pctHeight>
            </wp14:sizeRelV>
          </wp:anchor>
        </w:drawing>
      </w:r>
      <w:r w:rsidR="00A84283" w:rsidRPr="001C7EE6">
        <w:rPr>
          <w:color w:val="FFFFFF" w:themeColor="background1"/>
        </w:rPr>
        <w:t>Chapter Three: Applications Data</w:t>
      </w:r>
      <w:bookmarkEnd w:id="65"/>
      <w:bookmarkEnd w:id="66"/>
      <w:bookmarkEnd w:id="67"/>
      <w:bookmarkEnd w:id="68"/>
      <w:bookmarkEnd w:id="69"/>
    </w:p>
    <w:p w14:paraId="0479294C" w14:textId="62E0FA55" w:rsidR="0004056B" w:rsidRDefault="0004056B" w:rsidP="001C7EE6"/>
    <w:p w14:paraId="38D989D5" w14:textId="6A402884" w:rsidR="0004056B" w:rsidRDefault="0004056B" w:rsidP="001C7EE6"/>
    <w:p w14:paraId="3A5F413F" w14:textId="011E8085" w:rsidR="0004056B" w:rsidRDefault="0004056B" w:rsidP="001C7EE6"/>
    <w:p w14:paraId="0A35143C" w14:textId="56793B3B" w:rsidR="0004056B" w:rsidRDefault="0004056B" w:rsidP="001C7EE6"/>
    <w:p w14:paraId="03E21FD4" w14:textId="77777777" w:rsidR="0004056B" w:rsidRPr="004C50AE" w:rsidRDefault="0004056B" w:rsidP="001C7EE6"/>
    <w:p w14:paraId="74815519" w14:textId="1F75CE21" w:rsidR="0004056B" w:rsidRDefault="0004056B" w:rsidP="001C7EE6">
      <w:pPr>
        <w:spacing w:after="360"/>
      </w:pPr>
      <w:r>
        <w:t xml:space="preserve"> </w:t>
      </w:r>
    </w:p>
    <w:p w14:paraId="7E26820E" w14:textId="7A7EFB73" w:rsidR="00A84283" w:rsidRPr="00A84283" w:rsidRDefault="00A84283" w:rsidP="002E2EFE">
      <w:r w:rsidRPr="00A84283">
        <w:t>This chapter provides an overview of all applications that were finalised during 20</w:t>
      </w:r>
      <w:r w:rsidR="00377C09">
        <w:t>18–19</w:t>
      </w:r>
      <w:r w:rsidRPr="00A84283">
        <w:t>, irrespective of the date the application was submitted. Th</w:t>
      </w:r>
      <w:r w:rsidR="00624F8E">
        <w:t xml:space="preserve">is report refers to </w:t>
      </w:r>
      <w:r w:rsidRPr="00A84283">
        <w:t>‘proposed investment’</w:t>
      </w:r>
      <w:r w:rsidR="008A7F60">
        <w:t xml:space="preserve">, the value of which </w:t>
      </w:r>
      <w:r w:rsidRPr="00A84283">
        <w:t xml:space="preserve">for acquisitions (including securities, real estate or other assets) is the consideration agreed between the parties or, if not yet agreed, a reasonable estimate at the time of the application. </w:t>
      </w:r>
      <w:r w:rsidR="00104B68">
        <w:t>Data on the value of e</w:t>
      </w:r>
      <w:r w:rsidRPr="00A84283">
        <w:t>xpected investment for new businesses is not</w:t>
      </w:r>
      <w:r w:rsidR="00422C1D">
        <w:t> </w:t>
      </w:r>
      <w:r w:rsidRPr="00A84283">
        <w:t>collected.</w:t>
      </w:r>
      <w:r w:rsidR="00A8692C">
        <w:t xml:space="preserve"> The data in this report reflects the proposed investment flows during the period.</w:t>
      </w:r>
    </w:p>
    <w:p w14:paraId="26583DB6" w14:textId="549B70BC" w:rsidR="00A84283" w:rsidRPr="00A84283" w:rsidRDefault="00A84283" w:rsidP="002E2EFE">
      <w:r w:rsidRPr="00A84283">
        <w:t xml:space="preserve">There are a number of caveats to be applied </w:t>
      </w:r>
      <w:r w:rsidR="00482B78">
        <w:t xml:space="preserve">in interpreting </w:t>
      </w:r>
      <w:r w:rsidR="00C13AC9">
        <w:t>the</w:t>
      </w:r>
      <w:r w:rsidR="00482B78">
        <w:t xml:space="preserve"> data, which</w:t>
      </w:r>
      <w:r w:rsidRPr="00A84283">
        <w:t xml:space="preserve"> are set out in detail in Appendix B. Importantly, approvals data does not measure actual total foreign investment made in any year or changes in net foreign ownership levels in Australia. This is because, while a foreign person may be approved to make an acquisition, the acquisition may not proceed. Further, notification is subject to screening thresholds, and therefore not all acquisitions are captured. Trends in actual investment are measured by the Australian Bureau of Statistics (ABS).</w:t>
      </w:r>
      <w:r w:rsidR="00377C09" w:rsidRPr="00422C1D">
        <w:rPr>
          <w:rStyle w:val="FootnoteReference"/>
          <w:color w:val="auto"/>
        </w:rPr>
        <w:footnoteReference w:id="6"/>
      </w:r>
      <w:r w:rsidRPr="00422C1D">
        <w:t xml:space="preserve"> </w:t>
      </w:r>
    </w:p>
    <w:p w14:paraId="224434E1" w14:textId="356C2079" w:rsidR="00A84283" w:rsidRPr="00A84283" w:rsidRDefault="00A84283" w:rsidP="002E2EFE">
      <w:r w:rsidRPr="00A84283">
        <w:t>Policy or legislative changes, and changes to reporting methodologies over time, can limit the comparability of data year</w:t>
      </w:r>
      <w:r w:rsidR="00992076">
        <w:noBreakHyphen/>
        <w:t>to</w:t>
      </w:r>
      <w:r w:rsidR="00992076">
        <w:noBreakHyphen/>
      </w:r>
      <w:r w:rsidRPr="00A84283">
        <w:t>year. Approvals data can also be imp</w:t>
      </w:r>
      <w:r w:rsidR="00992076">
        <w:t>acted by one or more large one</w:t>
      </w:r>
      <w:r w:rsidR="00992076">
        <w:noBreakHyphen/>
      </w:r>
      <w:r w:rsidRPr="00A84283">
        <w:t>off proposed transactions, affecting the comparability of industry data across years.</w:t>
      </w:r>
    </w:p>
    <w:p w14:paraId="2DAD5356" w14:textId="4A7EC0F5" w:rsidR="00A84283" w:rsidRPr="00A84283" w:rsidRDefault="00A84283" w:rsidP="002E2EFE">
      <w:r w:rsidRPr="00A84283">
        <w:t>This chapter deals with applications considered and t</w:t>
      </w:r>
      <w:r w:rsidR="00992076">
        <w:t>he related approvals during 2018</w:t>
      </w:r>
      <w:r w:rsidRPr="00A84283">
        <w:t>–1</w:t>
      </w:r>
      <w:r w:rsidR="00992076">
        <w:t>9</w:t>
      </w:r>
      <w:r w:rsidRPr="00A84283">
        <w:t>, followed by information on variations during the same period. The variations considered are for existing approvals, certificates and orders given during 201</w:t>
      </w:r>
      <w:r w:rsidR="00992076">
        <w:t>8</w:t>
      </w:r>
      <w:r w:rsidRPr="00A84283">
        <w:t>–1</w:t>
      </w:r>
      <w:r w:rsidR="00992076">
        <w:t>9</w:t>
      </w:r>
      <w:r w:rsidRPr="00A84283">
        <w:t xml:space="preserve"> or earlier. </w:t>
      </w:r>
      <w:r w:rsidR="00992076">
        <w:t>Foreign investment</w:t>
      </w:r>
      <w:r w:rsidRPr="00A84283">
        <w:t xml:space="preserve"> </w:t>
      </w:r>
      <w:r w:rsidRPr="00A84283">
        <w:lastRenderedPageBreak/>
        <w:t>fee collection amounts reported by the ATO</w:t>
      </w:r>
      <w:r w:rsidR="00992076">
        <w:t>, including for application fees as well as vacancy fees,</w:t>
      </w:r>
      <w:r w:rsidRPr="00A84283">
        <w:t xml:space="preserve"> are listed at the end of the chapter.</w:t>
      </w:r>
    </w:p>
    <w:p w14:paraId="6D62DB89" w14:textId="76226166" w:rsidR="00A84283" w:rsidRPr="006D64A2" w:rsidRDefault="00A84283" w:rsidP="00CF1A97">
      <w:pPr>
        <w:pStyle w:val="Heading2"/>
      </w:pPr>
      <w:bookmarkStart w:id="70" w:name="_Toc31296902"/>
      <w:bookmarkStart w:id="71" w:name="_Toc31636020"/>
      <w:bookmarkStart w:id="72" w:name="_Toc31642789"/>
      <w:bookmarkStart w:id="73" w:name="_Toc32247798"/>
      <w:bookmarkStart w:id="74" w:name="_Toc33625847"/>
      <w:r w:rsidRPr="006D64A2">
        <w:t>Overall applications considered</w:t>
      </w:r>
      <w:bookmarkEnd w:id="70"/>
      <w:bookmarkEnd w:id="71"/>
      <w:bookmarkEnd w:id="72"/>
      <w:bookmarkEnd w:id="73"/>
      <w:bookmarkEnd w:id="74"/>
    </w:p>
    <w:p w14:paraId="781BC52A" w14:textId="5AEFEC82" w:rsidR="005D29FD" w:rsidRDefault="00A84283" w:rsidP="002E2EFE">
      <w:r w:rsidRPr="00A84283">
        <w:t>In 201</w:t>
      </w:r>
      <w:r w:rsidR="00992076">
        <w:t>8</w:t>
      </w:r>
      <w:r w:rsidRPr="00A84283">
        <w:t>–1</w:t>
      </w:r>
      <w:r w:rsidR="00992076">
        <w:t>9</w:t>
      </w:r>
      <w:r w:rsidRPr="00A84283">
        <w:t xml:space="preserve">, the total number of </w:t>
      </w:r>
      <w:r w:rsidRPr="008E1C9A">
        <w:t xml:space="preserve">applications considered, </w:t>
      </w:r>
      <w:r w:rsidR="00B75CBE" w:rsidRPr="008E1C9A">
        <w:t>excluding variations, was 9,46</w:t>
      </w:r>
      <w:r w:rsidR="00992076" w:rsidRPr="008E1C9A">
        <w:t>6</w:t>
      </w:r>
      <w:r w:rsidR="00422C1D">
        <w:t>. Of the </w:t>
      </w:r>
      <w:r w:rsidR="00B75CBE" w:rsidRPr="008E1C9A">
        <w:t>8,725</w:t>
      </w:r>
      <w:r w:rsidRPr="008E1C9A">
        <w:t xml:space="preserve"> on which a decision was made (that is, not otherwise withdrawn or exempt), </w:t>
      </w:r>
      <w:r w:rsidR="00992076" w:rsidRPr="008E1C9A">
        <w:t>8,724</w:t>
      </w:r>
      <w:r w:rsidR="00AD4F91">
        <w:t> </w:t>
      </w:r>
      <w:r w:rsidRPr="008E1C9A">
        <w:t>were approved for $</w:t>
      </w:r>
      <w:r w:rsidR="00992076" w:rsidRPr="008E1C9A">
        <w:t>23</w:t>
      </w:r>
      <w:r w:rsidR="00820265" w:rsidRPr="008E1C9A">
        <w:t>1</w:t>
      </w:r>
      <w:r w:rsidR="00992076" w:rsidRPr="008E1C9A">
        <w:t>.</w:t>
      </w:r>
      <w:r w:rsidR="00820265" w:rsidRPr="008E1C9A">
        <w:t>0</w:t>
      </w:r>
      <w:r w:rsidRPr="008E1C9A">
        <w:t xml:space="preserve"> b</w:t>
      </w:r>
      <w:r w:rsidR="00FD676F" w:rsidRPr="008E1C9A">
        <w:t>illion of proposed</w:t>
      </w:r>
      <w:r w:rsidR="00FD676F">
        <w:t xml:space="preserve"> investment. </w:t>
      </w:r>
      <w:r w:rsidR="004A0D7C">
        <w:t>T</w:t>
      </w:r>
      <w:r w:rsidRPr="00A84283">
        <w:t xml:space="preserve">his represents a decline </w:t>
      </w:r>
      <w:r w:rsidR="00992076">
        <w:t xml:space="preserve">of </w:t>
      </w:r>
      <w:r w:rsidR="00B75CBE">
        <w:t>2,421</w:t>
      </w:r>
      <w:r w:rsidR="00992076">
        <w:t xml:space="preserve"> </w:t>
      </w:r>
      <w:r w:rsidR="005D29FD">
        <w:t xml:space="preserve">in the number of </w:t>
      </w:r>
      <w:r w:rsidR="00992076">
        <w:t xml:space="preserve">cases </w:t>
      </w:r>
      <w:r w:rsidR="003B2816">
        <w:t>approved</w:t>
      </w:r>
      <w:r w:rsidR="00A45236">
        <w:t xml:space="preserve"> compared to </w:t>
      </w:r>
      <w:r w:rsidR="00D84B36">
        <w:t>2017-18</w:t>
      </w:r>
      <w:r w:rsidR="00A45236">
        <w:t xml:space="preserve"> where there were 11,145</w:t>
      </w:r>
      <w:r w:rsidR="00AD4F91">
        <w:t> </w:t>
      </w:r>
      <w:r w:rsidR="00A45236" w:rsidRPr="00A84283">
        <w:t>approvals</w:t>
      </w:r>
      <w:r w:rsidR="00A45236">
        <w:rPr>
          <w:rStyle w:val="CommentReference"/>
          <w:b/>
        </w:rPr>
        <w:t>.</w:t>
      </w:r>
      <w:r w:rsidR="004A0D7C">
        <w:t xml:space="preserve"> </w:t>
      </w:r>
    </w:p>
    <w:p w14:paraId="048D1A0C" w14:textId="62CE2240" w:rsidR="00A84283" w:rsidRPr="00A84283" w:rsidRDefault="00D65E9B" w:rsidP="002E2EFE">
      <w:r>
        <w:t xml:space="preserve">In 2018-19, the </w:t>
      </w:r>
      <w:r w:rsidR="00A45236">
        <w:t xml:space="preserve">number of </w:t>
      </w:r>
      <w:r w:rsidR="00B36EF4">
        <w:t>business</w:t>
      </w:r>
      <w:r w:rsidR="00091941">
        <w:t xml:space="preserve"> approvals</w:t>
      </w:r>
      <w:r w:rsidR="00A62046">
        <w:t xml:space="preserve"> increased</w:t>
      </w:r>
      <w:r w:rsidR="00091941">
        <w:t xml:space="preserve"> </w:t>
      </w:r>
      <w:r w:rsidR="005D29FD">
        <w:t>by</w:t>
      </w:r>
      <w:r w:rsidR="00091941">
        <w:t xml:space="preserve"> 151</w:t>
      </w:r>
      <w:r w:rsidR="00B36EF4">
        <w:t xml:space="preserve">, </w:t>
      </w:r>
      <w:r w:rsidR="00091941">
        <w:t>mostly in the services and commercial real estate</w:t>
      </w:r>
      <w:r w:rsidR="00B36EF4">
        <w:t xml:space="preserve"> sectors</w:t>
      </w:r>
      <w:r w:rsidR="00091941">
        <w:t xml:space="preserve">. This </w:t>
      </w:r>
      <w:r w:rsidR="00B36EF4">
        <w:t xml:space="preserve">small increase </w:t>
      </w:r>
      <w:r w:rsidR="00091941">
        <w:t>was</w:t>
      </w:r>
      <w:r w:rsidR="00B36EF4">
        <w:t>, however,</w:t>
      </w:r>
      <w:r w:rsidR="00091941">
        <w:t xml:space="preserve"> offset by a decline in residential real estate</w:t>
      </w:r>
      <w:r w:rsidR="00B36EF4">
        <w:t xml:space="preserve"> approvals</w:t>
      </w:r>
      <w:r w:rsidR="00091941">
        <w:t xml:space="preserve"> of 2,523. </w:t>
      </w:r>
      <w:r w:rsidR="004A0D7C">
        <w:t>At the same time</w:t>
      </w:r>
      <w:r w:rsidR="00992076">
        <w:t xml:space="preserve"> </w:t>
      </w:r>
      <w:r w:rsidR="00B36EF4">
        <w:t xml:space="preserve">as the decline in the number of applications, </w:t>
      </w:r>
      <w:r w:rsidR="004A0D7C">
        <w:t xml:space="preserve">the value of </w:t>
      </w:r>
      <w:r w:rsidR="00992076">
        <w:t xml:space="preserve">proposed investment </w:t>
      </w:r>
      <w:r w:rsidR="00177105">
        <w:t xml:space="preserve">approvals </w:t>
      </w:r>
      <w:r w:rsidR="004A0D7C">
        <w:t xml:space="preserve">has </w:t>
      </w:r>
      <w:r w:rsidR="00B36EF4">
        <w:t xml:space="preserve">significantly </w:t>
      </w:r>
      <w:r w:rsidR="004A0D7C">
        <w:t xml:space="preserve">increased by </w:t>
      </w:r>
      <w:r w:rsidR="00992076">
        <w:t>$67.</w:t>
      </w:r>
      <w:r w:rsidR="00820265">
        <w:t>9</w:t>
      </w:r>
      <w:r w:rsidR="00091941">
        <w:t> </w:t>
      </w:r>
      <w:r w:rsidR="00992076">
        <w:t>billion</w:t>
      </w:r>
      <w:r w:rsidR="004A0D7C">
        <w:t xml:space="preserve">, up from </w:t>
      </w:r>
      <w:r w:rsidR="00FD676F">
        <w:t>$163.1 billion</w:t>
      </w:r>
      <w:r w:rsidR="00A84283" w:rsidRPr="00A84283">
        <w:t xml:space="preserve"> </w:t>
      </w:r>
      <w:r w:rsidR="004A0D7C">
        <w:t>in 2017</w:t>
      </w:r>
      <w:r w:rsidR="00820265">
        <w:noBreakHyphen/>
      </w:r>
      <w:r w:rsidR="004A0D7C">
        <w:t xml:space="preserve">18 </w:t>
      </w:r>
      <w:r w:rsidR="00A84283" w:rsidRPr="00A84283">
        <w:t>(see Tables 3.1 and</w:t>
      </w:r>
      <w:r w:rsidR="00847E46">
        <w:t> </w:t>
      </w:r>
      <w:r w:rsidR="00A84283" w:rsidRPr="00A84283">
        <w:t>3.2).</w:t>
      </w:r>
      <w:r w:rsidR="00D67037">
        <w:t xml:space="preserve"> </w:t>
      </w:r>
    </w:p>
    <w:p w14:paraId="342CFAD4" w14:textId="7629AC9A" w:rsidR="00A84283" w:rsidRPr="002E2EFE" w:rsidRDefault="00A84283" w:rsidP="002E2EFE">
      <w:r w:rsidRPr="00177105">
        <w:t xml:space="preserve">The decline in foreign investment application numbers since the introduction of application fees in December 2015, particularly for residential real estate, reflects in part that foreign persons now apply when they are confident about investing. Specific factors that may have contributed to declines or increases in particular sectors are noted </w:t>
      </w:r>
      <w:r w:rsidR="00EC340E" w:rsidRPr="00177105">
        <w:t>in</w:t>
      </w:r>
      <w:r w:rsidRPr="00177105">
        <w:t xml:space="preserve"> the discussion of the relevant sectors.</w:t>
      </w:r>
    </w:p>
    <w:p w14:paraId="3C9F60E5" w14:textId="77777777" w:rsidR="00A84283" w:rsidRPr="006D64A2" w:rsidRDefault="00A84283" w:rsidP="00CF1A97">
      <w:pPr>
        <w:pStyle w:val="Heading3"/>
      </w:pPr>
      <w:r w:rsidRPr="006D64A2">
        <w:t>Conditional approvals</w:t>
      </w:r>
    </w:p>
    <w:p w14:paraId="49550EC7" w14:textId="2846E80A" w:rsidR="00A84283" w:rsidRPr="00A84283" w:rsidRDefault="00A84283" w:rsidP="002E2EFE">
      <w:r w:rsidRPr="00A84283">
        <w:t>Where an application raises national interest concerns, such as potential tax risks, conditions can be imposed on the approval to mitigate the potential risks and ensure the proposed investment is not contrary to the national interest. In 201</w:t>
      </w:r>
      <w:r w:rsidR="00FD676F">
        <w:t>8</w:t>
      </w:r>
      <w:r w:rsidRPr="00A84283">
        <w:t>–1</w:t>
      </w:r>
      <w:r w:rsidR="00FD676F">
        <w:t>9</w:t>
      </w:r>
      <w:r w:rsidRPr="00A84283">
        <w:t xml:space="preserve">, the number of approvals made subject to conditions increased by around </w:t>
      </w:r>
      <w:r w:rsidR="00E408A0">
        <w:t>four</w:t>
      </w:r>
      <w:r w:rsidRPr="00A84283">
        <w:t xml:space="preserve"> percentage points to around </w:t>
      </w:r>
      <w:r w:rsidR="00C13AC9">
        <w:t>48</w:t>
      </w:r>
      <w:r w:rsidRPr="00A84283">
        <w:t xml:space="preserve"> per cent of the total number and over </w:t>
      </w:r>
      <w:r w:rsidR="00E408A0">
        <w:t>80</w:t>
      </w:r>
      <w:r w:rsidRPr="00A84283">
        <w:t xml:space="preserve"> per cent of the total value of approvals. For non-real estate approvals, the majority of conditions related to tax.</w:t>
      </w:r>
    </w:p>
    <w:p w14:paraId="5F24BD1C" w14:textId="77777777" w:rsidR="00A84283" w:rsidRPr="006D64A2" w:rsidRDefault="00A84283" w:rsidP="00CF1A97">
      <w:pPr>
        <w:pStyle w:val="Heading3"/>
      </w:pPr>
      <w:r w:rsidRPr="006D64A2">
        <w:t>Rejections and other outcomes</w:t>
      </w:r>
    </w:p>
    <w:p w14:paraId="1F77CCB1" w14:textId="23A50241" w:rsidR="00A84283" w:rsidRPr="00A84283" w:rsidRDefault="00A84283" w:rsidP="002E2EFE">
      <w:r w:rsidRPr="00A84283">
        <w:t>In 201</w:t>
      </w:r>
      <w:r w:rsidR="00131F19">
        <w:t>8</w:t>
      </w:r>
      <w:r w:rsidRPr="00A84283">
        <w:t>–1</w:t>
      </w:r>
      <w:r w:rsidR="00131F19">
        <w:t>9</w:t>
      </w:r>
      <w:r w:rsidRPr="00A84283">
        <w:t xml:space="preserve">, </w:t>
      </w:r>
      <w:r w:rsidR="00131F19">
        <w:t xml:space="preserve">one </w:t>
      </w:r>
      <w:r w:rsidRPr="00A84283">
        <w:t>application w</w:t>
      </w:r>
      <w:r w:rsidR="00131F19">
        <w:t>as</w:t>
      </w:r>
      <w:r w:rsidRPr="00A84283">
        <w:t xml:space="preserve"> rejected, </w:t>
      </w:r>
      <w:r w:rsidR="00131F19">
        <w:t>meaning the proposed investment was</w:t>
      </w:r>
      <w:r w:rsidRPr="00A84283">
        <w:t xml:space="preserve"> prohibited from proceeding. For information on investments that were required to be divested due to being in breach of the framework, see Chapter </w:t>
      </w:r>
      <w:r w:rsidR="00D251F9">
        <w:t>4</w:t>
      </w:r>
      <w:r w:rsidRPr="00A84283">
        <w:t>: Compliance.</w:t>
      </w:r>
    </w:p>
    <w:p w14:paraId="51F45CE5" w14:textId="4A5F0912" w:rsidR="00A84283" w:rsidRPr="00A84283" w:rsidRDefault="00A64584" w:rsidP="002E2EFE">
      <w:r>
        <w:t>In 2018</w:t>
      </w:r>
      <w:r>
        <w:noBreakHyphen/>
        <w:t>19, n</w:t>
      </w:r>
      <w:r w:rsidR="00A84283" w:rsidRPr="00A84283">
        <w:t>o exemption certificate</w:t>
      </w:r>
      <w:r>
        <w:t xml:space="preserve"> applications were declined, nor were any exemption certificates </w:t>
      </w:r>
      <w:r w:rsidR="00A84283" w:rsidRPr="00A84283">
        <w:t>revoked.</w:t>
      </w:r>
    </w:p>
    <w:p w14:paraId="609A1CBB" w14:textId="4E5BC262" w:rsidR="00A84283" w:rsidRPr="00A84283" w:rsidRDefault="00A84283" w:rsidP="002E2EFE">
      <w:r w:rsidRPr="00A84283">
        <w:t>In 201</w:t>
      </w:r>
      <w:r w:rsidR="00A64584">
        <w:t>8</w:t>
      </w:r>
      <w:r w:rsidRPr="00A84283">
        <w:t>–1</w:t>
      </w:r>
      <w:r w:rsidR="00A64584">
        <w:t>9, 670</w:t>
      </w:r>
      <w:r w:rsidRPr="00A84283">
        <w:t xml:space="preserve"> applications were withdrawn prior to a decision being made</w:t>
      </w:r>
      <w:r w:rsidR="005F7F69">
        <w:t xml:space="preserve">, representing an increase of 26 </w:t>
      </w:r>
      <w:r w:rsidR="00925114">
        <w:t xml:space="preserve">withdrawals </w:t>
      </w:r>
      <w:r w:rsidR="005F7F69">
        <w:t xml:space="preserve">over the </w:t>
      </w:r>
      <w:r w:rsidR="005F7F69" w:rsidRPr="008E1C9A">
        <w:t>prior year</w:t>
      </w:r>
      <w:r w:rsidRPr="008E1C9A">
        <w:t xml:space="preserve">. </w:t>
      </w:r>
      <w:r w:rsidR="00616D74">
        <w:t>Around</w:t>
      </w:r>
      <w:r w:rsidR="00847E46" w:rsidRPr="00616D74">
        <w:t xml:space="preserve"> </w:t>
      </w:r>
      <w:r w:rsidRPr="00616D74">
        <w:t>8</w:t>
      </w:r>
      <w:r w:rsidR="00616D74">
        <w:t>5</w:t>
      </w:r>
      <w:r w:rsidRPr="008E1C9A">
        <w:t xml:space="preserve"> per cent of these related to residential real estate applications. In the resi</w:t>
      </w:r>
      <w:r w:rsidRPr="00A84283">
        <w:t>dential real estate sector</w:t>
      </w:r>
      <w:r w:rsidR="00925114">
        <w:t>,</w:t>
      </w:r>
      <w:r w:rsidRPr="00A84283">
        <w:t xml:space="preserve"> withdrawals may result from applicants submitting a series of applications and subsequently withdrawing their remaining applications once they purchase a property or if the property subject to the application has been sold to other parties. In general, applications may be withdrawn because a foreign person decides not to proceed with a purchase or to defer a purchase for commercial reasons. Also, in </w:t>
      </w:r>
      <w:r w:rsidRPr="00A84283">
        <w:lastRenderedPageBreak/>
        <w:t>competitive bid or tender processes a foreign person may not be shortlisted or be unsuccessful prior to a decision on their application. A small number of withdrawals may relate to assets, land or securities being withdrawn from sale by a vendor, or to the investor consortium composition changing following the submission of an application.</w:t>
      </w:r>
    </w:p>
    <w:p w14:paraId="5BB96596" w14:textId="6783A1DC" w:rsidR="00C71585" w:rsidRDefault="005F7F69" w:rsidP="001C7EE6">
      <w:r>
        <w:t>In 201</w:t>
      </w:r>
      <w:r w:rsidR="00A84283" w:rsidRPr="00A84283">
        <w:t>8</w:t>
      </w:r>
      <w:r>
        <w:noBreakHyphen/>
        <w:t>19, 7</w:t>
      </w:r>
      <w:r w:rsidR="00A84283" w:rsidRPr="00A84283">
        <w:t>1 applications were determined to be exempt</w:t>
      </w:r>
      <w:r>
        <w:t>, 10 more than in the prior year</w:t>
      </w:r>
      <w:r w:rsidR="00A84283" w:rsidRPr="00A84283">
        <w:t xml:space="preserve">. </w:t>
      </w:r>
      <w:r w:rsidR="00847E46">
        <w:t xml:space="preserve">Over 40 per cent of these related to </w:t>
      </w:r>
      <w:r w:rsidR="00FD26EE">
        <w:t xml:space="preserve">residential real estate applications. </w:t>
      </w:r>
      <w:r w:rsidR="00A84283" w:rsidRPr="00A84283">
        <w:t>Exempt refers to where applications have been lodged for a proposed investment that is subsequently determined to be exempt due to the proposed investment meeting the criteria for an exemption in the Act or factors such as the proposed investment not meeting a threshold subject to the Act.</w:t>
      </w:r>
    </w:p>
    <w:p w14:paraId="11615338" w14:textId="4AAD43CA" w:rsidR="00A84283" w:rsidRPr="00E25F71" w:rsidRDefault="00A84283" w:rsidP="00E25F71">
      <w:pPr>
        <w:pStyle w:val="TableMainHeading"/>
      </w:pPr>
      <w:bookmarkStart w:id="75" w:name="_Toc32247762"/>
      <w:bookmarkStart w:id="76" w:name="_Toc33521347"/>
      <w:r w:rsidRPr="00E25F71">
        <w:t>Table 3.1: Applications considered: 201</w:t>
      </w:r>
      <w:r w:rsidR="004B3A78" w:rsidRPr="00E25F71">
        <w:t>5</w:t>
      </w:r>
      <w:r w:rsidRPr="00E25F71">
        <w:t>–1</w:t>
      </w:r>
      <w:r w:rsidR="004B3A78" w:rsidRPr="00E25F71">
        <w:t>6</w:t>
      </w:r>
      <w:r w:rsidRPr="00E25F71">
        <w:t xml:space="preserve"> to 201</w:t>
      </w:r>
      <w:r w:rsidR="004B3A78" w:rsidRPr="00E25F71">
        <w:t>8</w:t>
      </w:r>
      <w:r w:rsidRPr="00E25F71">
        <w:t>–1</w:t>
      </w:r>
      <w:r w:rsidR="004B3A78" w:rsidRPr="00E25F71">
        <w:t>9</w:t>
      </w:r>
      <w:r w:rsidRPr="00E25F71">
        <w:t xml:space="preserve"> (number of </w:t>
      </w:r>
      <w:r w:rsidR="004A74F2" w:rsidRPr="00E25F71">
        <w:t>applications</w:t>
      </w:r>
      <w:r w:rsidR="00384616">
        <w:t>)</w:t>
      </w:r>
      <w:bookmarkEnd w:id="75"/>
      <w:bookmarkEnd w:id="76"/>
    </w:p>
    <w:tbl>
      <w:tblPr>
        <w:tblW w:w="0" w:type="auto"/>
        <w:tblLayout w:type="fixed"/>
        <w:tblLook w:val="04A0" w:firstRow="1" w:lastRow="0" w:firstColumn="1" w:lastColumn="0" w:noHBand="0" w:noVBand="1"/>
      </w:tblPr>
      <w:tblGrid>
        <w:gridCol w:w="2924"/>
        <w:gridCol w:w="1231"/>
        <w:gridCol w:w="1231"/>
        <w:gridCol w:w="1231"/>
        <w:gridCol w:w="1093"/>
      </w:tblGrid>
      <w:tr w:rsidR="00527C3A" w:rsidRPr="00527C3A" w14:paraId="6F1E8A16" w14:textId="77777777" w:rsidTr="00435C2E">
        <w:trPr>
          <w:trHeight w:val="225"/>
        </w:trPr>
        <w:tc>
          <w:tcPr>
            <w:tcW w:w="2924" w:type="dxa"/>
            <w:tcBorders>
              <w:top w:val="single" w:sz="2" w:space="0" w:color="000000" w:themeColor="text1"/>
              <w:left w:val="nil"/>
              <w:bottom w:val="nil"/>
              <w:right w:val="nil"/>
            </w:tcBorders>
            <w:shd w:val="clear" w:color="000000" w:fill="FFFFFF"/>
            <w:noWrap/>
            <w:vAlign w:val="center"/>
            <w:hideMark/>
          </w:tcPr>
          <w:p w14:paraId="0FAB03D1" w14:textId="1EABCB90" w:rsidR="00527C3A" w:rsidRPr="00527C3A" w:rsidRDefault="00527C3A" w:rsidP="00527C3A">
            <w:pPr>
              <w:spacing w:after="0" w:line="240" w:lineRule="auto"/>
              <w:jc w:val="left"/>
              <w:rPr>
                <w:rFonts w:ascii="Arial" w:hAnsi="Arial" w:cs="Arial"/>
                <w:color w:val="auto"/>
                <w:sz w:val="16"/>
                <w:szCs w:val="16"/>
              </w:rPr>
            </w:pPr>
          </w:p>
        </w:tc>
        <w:tc>
          <w:tcPr>
            <w:tcW w:w="1231" w:type="dxa"/>
            <w:tcBorders>
              <w:top w:val="single" w:sz="2" w:space="0" w:color="000000" w:themeColor="text1"/>
              <w:left w:val="nil"/>
              <w:bottom w:val="nil"/>
              <w:right w:val="nil"/>
            </w:tcBorders>
            <w:shd w:val="clear" w:color="000000" w:fill="FFFFFF"/>
            <w:noWrap/>
            <w:vAlign w:val="center"/>
            <w:hideMark/>
          </w:tcPr>
          <w:p w14:paraId="2EBE1A3B" w14:textId="5CD59F1D"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2015-16</w:t>
            </w:r>
          </w:p>
        </w:tc>
        <w:tc>
          <w:tcPr>
            <w:tcW w:w="1231" w:type="dxa"/>
            <w:tcBorders>
              <w:top w:val="single" w:sz="2" w:space="0" w:color="000000" w:themeColor="text1"/>
              <w:left w:val="nil"/>
              <w:bottom w:val="nil"/>
              <w:right w:val="nil"/>
            </w:tcBorders>
            <w:shd w:val="clear" w:color="000000" w:fill="FFFFFF"/>
            <w:noWrap/>
            <w:vAlign w:val="center"/>
            <w:hideMark/>
          </w:tcPr>
          <w:p w14:paraId="4E0110D7" w14:textId="65D7F2A2"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2016-17</w:t>
            </w:r>
          </w:p>
        </w:tc>
        <w:tc>
          <w:tcPr>
            <w:tcW w:w="1231" w:type="dxa"/>
            <w:tcBorders>
              <w:top w:val="single" w:sz="2" w:space="0" w:color="000000" w:themeColor="text1"/>
              <w:left w:val="nil"/>
              <w:bottom w:val="nil"/>
              <w:right w:val="nil"/>
            </w:tcBorders>
            <w:shd w:val="clear" w:color="auto" w:fill="auto"/>
            <w:noWrap/>
            <w:vAlign w:val="center"/>
            <w:hideMark/>
          </w:tcPr>
          <w:p w14:paraId="19EFE5EB" w14:textId="5E31EDE8"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2017-18</w:t>
            </w:r>
          </w:p>
        </w:tc>
        <w:tc>
          <w:tcPr>
            <w:tcW w:w="1093" w:type="dxa"/>
            <w:tcBorders>
              <w:top w:val="single" w:sz="2" w:space="0" w:color="000000" w:themeColor="text1"/>
              <w:left w:val="nil"/>
              <w:bottom w:val="nil"/>
              <w:right w:val="nil"/>
            </w:tcBorders>
            <w:shd w:val="clear" w:color="000000" w:fill="F2F2F2"/>
            <w:noWrap/>
            <w:vAlign w:val="center"/>
            <w:hideMark/>
          </w:tcPr>
          <w:p w14:paraId="23542BBC" w14:textId="45000E0D"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2018-19</w:t>
            </w:r>
          </w:p>
        </w:tc>
      </w:tr>
      <w:tr w:rsidR="00527C3A" w:rsidRPr="00527C3A" w14:paraId="30C2F674" w14:textId="77777777" w:rsidTr="00435C2E">
        <w:trPr>
          <w:trHeight w:val="225"/>
        </w:trPr>
        <w:tc>
          <w:tcPr>
            <w:tcW w:w="2924" w:type="dxa"/>
            <w:tcBorders>
              <w:top w:val="nil"/>
              <w:left w:val="nil"/>
              <w:bottom w:val="single" w:sz="2" w:space="0" w:color="000000" w:themeColor="text1"/>
              <w:right w:val="nil"/>
            </w:tcBorders>
            <w:shd w:val="clear" w:color="000000" w:fill="FFFFFF"/>
            <w:noWrap/>
            <w:vAlign w:val="bottom"/>
            <w:hideMark/>
          </w:tcPr>
          <w:p w14:paraId="01A45014" w14:textId="06AC6CDC" w:rsidR="00527C3A" w:rsidRPr="00527C3A" w:rsidRDefault="00527C3A" w:rsidP="00527C3A">
            <w:pPr>
              <w:spacing w:after="0" w:line="240" w:lineRule="auto"/>
              <w:jc w:val="left"/>
              <w:rPr>
                <w:rFonts w:ascii="Arial" w:hAnsi="Arial" w:cs="Arial"/>
                <w:color w:val="auto"/>
                <w:sz w:val="16"/>
                <w:szCs w:val="16"/>
              </w:rPr>
            </w:pPr>
            <w:r w:rsidRPr="00527C3A">
              <w:rPr>
                <w:rFonts w:ascii="Arial" w:hAnsi="Arial" w:cs="Arial"/>
                <w:color w:val="auto"/>
                <w:sz w:val="16"/>
                <w:szCs w:val="16"/>
              </w:rPr>
              <w:t>Outcome</w:t>
            </w:r>
          </w:p>
        </w:tc>
        <w:tc>
          <w:tcPr>
            <w:tcW w:w="1231" w:type="dxa"/>
            <w:tcBorders>
              <w:top w:val="nil"/>
              <w:left w:val="nil"/>
              <w:bottom w:val="single" w:sz="2" w:space="0" w:color="000000" w:themeColor="text1"/>
              <w:right w:val="nil"/>
            </w:tcBorders>
            <w:shd w:val="clear" w:color="000000" w:fill="FFFFFF"/>
            <w:noWrap/>
            <w:vAlign w:val="bottom"/>
            <w:hideMark/>
          </w:tcPr>
          <w:p w14:paraId="17A0B9E7" w14:textId="10E52D71"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No.</w:t>
            </w:r>
          </w:p>
        </w:tc>
        <w:tc>
          <w:tcPr>
            <w:tcW w:w="1231" w:type="dxa"/>
            <w:tcBorders>
              <w:top w:val="nil"/>
              <w:left w:val="nil"/>
              <w:bottom w:val="single" w:sz="2" w:space="0" w:color="000000" w:themeColor="text1"/>
              <w:right w:val="nil"/>
            </w:tcBorders>
            <w:shd w:val="clear" w:color="000000" w:fill="FFFFFF"/>
            <w:noWrap/>
            <w:vAlign w:val="bottom"/>
            <w:hideMark/>
          </w:tcPr>
          <w:p w14:paraId="0C0893F6" w14:textId="4C93A7C6"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No.</w:t>
            </w:r>
          </w:p>
        </w:tc>
        <w:tc>
          <w:tcPr>
            <w:tcW w:w="1231" w:type="dxa"/>
            <w:tcBorders>
              <w:top w:val="nil"/>
              <w:left w:val="nil"/>
              <w:bottom w:val="single" w:sz="2" w:space="0" w:color="000000" w:themeColor="text1"/>
              <w:right w:val="nil"/>
            </w:tcBorders>
            <w:shd w:val="clear" w:color="auto" w:fill="auto"/>
            <w:noWrap/>
            <w:vAlign w:val="bottom"/>
            <w:hideMark/>
          </w:tcPr>
          <w:p w14:paraId="4020F675" w14:textId="552F7419"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No.</w:t>
            </w:r>
          </w:p>
        </w:tc>
        <w:tc>
          <w:tcPr>
            <w:tcW w:w="1093" w:type="dxa"/>
            <w:tcBorders>
              <w:top w:val="nil"/>
              <w:left w:val="nil"/>
              <w:bottom w:val="single" w:sz="2" w:space="0" w:color="000000" w:themeColor="text1"/>
              <w:right w:val="nil"/>
            </w:tcBorders>
            <w:shd w:val="clear" w:color="000000" w:fill="F2F2F2"/>
            <w:noWrap/>
            <w:vAlign w:val="bottom"/>
            <w:hideMark/>
          </w:tcPr>
          <w:p w14:paraId="4B9BBD88" w14:textId="547CD056"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No.</w:t>
            </w:r>
          </w:p>
        </w:tc>
      </w:tr>
      <w:tr w:rsidR="00527C3A" w:rsidRPr="00527C3A" w14:paraId="65BBE7EE" w14:textId="77777777" w:rsidTr="00435C2E">
        <w:trPr>
          <w:trHeight w:val="105"/>
        </w:trPr>
        <w:tc>
          <w:tcPr>
            <w:tcW w:w="2924" w:type="dxa"/>
            <w:tcBorders>
              <w:top w:val="single" w:sz="2" w:space="0" w:color="000000" w:themeColor="text1"/>
              <w:left w:val="nil"/>
              <w:bottom w:val="nil"/>
              <w:right w:val="nil"/>
            </w:tcBorders>
            <w:shd w:val="clear" w:color="000000" w:fill="FFFFFF"/>
            <w:noWrap/>
            <w:vAlign w:val="bottom"/>
            <w:hideMark/>
          </w:tcPr>
          <w:p w14:paraId="42759722" w14:textId="15549A7F" w:rsidR="00527C3A" w:rsidRPr="00527C3A" w:rsidRDefault="00527C3A" w:rsidP="00527C3A">
            <w:pPr>
              <w:spacing w:after="0" w:line="240" w:lineRule="auto"/>
              <w:jc w:val="left"/>
              <w:rPr>
                <w:rFonts w:ascii="Arial" w:hAnsi="Arial" w:cs="Arial"/>
                <w:color w:val="auto"/>
                <w:sz w:val="16"/>
                <w:szCs w:val="16"/>
              </w:rPr>
            </w:pPr>
          </w:p>
        </w:tc>
        <w:tc>
          <w:tcPr>
            <w:tcW w:w="1231" w:type="dxa"/>
            <w:tcBorders>
              <w:top w:val="single" w:sz="2" w:space="0" w:color="000000" w:themeColor="text1"/>
              <w:left w:val="nil"/>
              <w:bottom w:val="nil"/>
              <w:right w:val="nil"/>
            </w:tcBorders>
            <w:shd w:val="clear" w:color="000000" w:fill="FFFFFF"/>
            <w:noWrap/>
            <w:vAlign w:val="bottom"/>
            <w:hideMark/>
          </w:tcPr>
          <w:p w14:paraId="3433C8C5" w14:textId="627218D5" w:rsidR="00527C3A" w:rsidRPr="00527C3A" w:rsidRDefault="00527C3A" w:rsidP="00527C3A">
            <w:pPr>
              <w:spacing w:after="0" w:line="240" w:lineRule="auto"/>
              <w:jc w:val="right"/>
              <w:rPr>
                <w:rFonts w:ascii="Arial" w:hAnsi="Arial" w:cs="Arial"/>
                <w:color w:val="auto"/>
                <w:sz w:val="16"/>
                <w:szCs w:val="16"/>
              </w:rPr>
            </w:pPr>
          </w:p>
        </w:tc>
        <w:tc>
          <w:tcPr>
            <w:tcW w:w="1231" w:type="dxa"/>
            <w:tcBorders>
              <w:top w:val="single" w:sz="2" w:space="0" w:color="000000" w:themeColor="text1"/>
              <w:left w:val="nil"/>
              <w:bottom w:val="nil"/>
              <w:right w:val="nil"/>
            </w:tcBorders>
            <w:shd w:val="clear" w:color="000000" w:fill="FFFFFF"/>
            <w:noWrap/>
            <w:vAlign w:val="bottom"/>
            <w:hideMark/>
          </w:tcPr>
          <w:p w14:paraId="41AA0A1A" w14:textId="36101D9C" w:rsidR="00527C3A" w:rsidRPr="00527C3A" w:rsidRDefault="00527C3A" w:rsidP="00527C3A">
            <w:pPr>
              <w:spacing w:after="0" w:line="240" w:lineRule="auto"/>
              <w:jc w:val="right"/>
              <w:rPr>
                <w:rFonts w:ascii="Arial" w:hAnsi="Arial" w:cs="Arial"/>
                <w:color w:val="auto"/>
                <w:sz w:val="16"/>
                <w:szCs w:val="16"/>
              </w:rPr>
            </w:pPr>
          </w:p>
        </w:tc>
        <w:tc>
          <w:tcPr>
            <w:tcW w:w="1231" w:type="dxa"/>
            <w:tcBorders>
              <w:top w:val="single" w:sz="2" w:space="0" w:color="000000" w:themeColor="text1"/>
              <w:left w:val="nil"/>
              <w:bottom w:val="nil"/>
              <w:right w:val="nil"/>
            </w:tcBorders>
            <w:shd w:val="clear" w:color="auto" w:fill="auto"/>
            <w:noWrap/>
            <w:vAlign w:val="bottom"/>
            <w:hideMark/>
          </w:tcPr>
          <w:p w14:paraId="33526DCC" w14:textId="77777777" w:rsidR="00527C3A" w:rsidRPr="00527C3A" w:rsidRDefault="00527C3A" w:rsidP="00527C3A">
            <w:pPr>
              <w:spacing w:after="0" w:line="240" w:lineRule="auto"/>
              <w:jc w:val="right"/>
              <w:rPr>
                <w:rFonts w:ascii="Arial" w:hAnsi="Arial" w:cs="Arial"/>
                <w:color w:val="auto"/>
                <w:sz w:val="16"/>
                <w:szCs w:val="16"/>
              </w:rPr>
            </w:pPr>
          </w:p>
        </w:tc>
        <w:tc>
          <w:tcPr>
            <w:tcW w:w="1093" w:type="dxa"/>
            <w:tcBorders>
              <w:top w:val="single" w:sz="2" w:space="0" w:color="000000" w:themeColor="text1"/>
              <w:left w:val="nil"/>
              <w:bottom w:val="nil"/>
              <w:right w:val="nil"/>
            </w:tcBorders>
            <w:shd w:val="clear" w:color="000000" w:fill="F2F2F2"/>
            <w:noWrap/>
            <w:vAlign w:val="bottom"/>
            <w:hideMark/>
          </w:tcPr>
          <w:p w14:paraId="7C4B0997" w14:textId="7E6E3807" w:rsidR="00527C3A" w:rsidRPr="00527C3A" w:rsidRDefault="00527C3A" w:rsidP="00527C3A">
            <w:pPr>
              <w:spacing w:after="0" w:line="240" w:lineRule="auto"/>
              <w:jc w:val="right"/>
              <w:rPr>
                <w:rFonts w:ascii="Arial" w:hAnsi="Arial" w:cs="Arial"/>
                <w:sz w:val="16"/>
                <w:szCs w:val="16"/>
              </w:rPr>
            </w:pPr>
          </w:p>
        </w:tc>
      </w:tr>
      <w:tr w:rsidR="00527C3A" w:rsidRPr="00527C3A" w14:paraId="4B8313FA" w14:textId="77777777" w:rsidTr="00435C2E">
        <w:trPr>
          <w:trHeight w:val="225"/>
        </w:trPr>
        <w:tc>
          <w:tcPr>
            <w:tcW w:w="2924" w:type="dxa"/>
            <w:tcBorders>
              <w:top w:val="nil"/>
              <w:left w:val="nil"/>
              <w:bottom w:val="nil"/>
              <w:right w:val="nil"/>
            </w:tcBorders>
            <w:shd w:val="clear" w:color="000000" w:fill="FFFFFF"/>
            <w:noWrap/>
            <w:vAlign w:val="center"/>
            <w:hideMark/>
          </w:tcPr>
          <w:p w14:paraId="74BD7BE3" w14:textId="7D2432E8" w:rsidR="00527C3A" w:rsidRPr="00527C3A" w:rsidRDefault="00527C3A" w:rsidP="00527C3A">
            <w:pPr>
              <w:spacing w:after="0" w:line="240" w:lineRule="auto"/>
              <w:jc w:val="left"/>
              <w:rPr>
                <w:rFonts w:ascii="Arial" w:hAnsi="Arial" w:cs="Arial"/>
                <w:color w:val="auto"/>
                <w:sz w:val="16"/>
                <w:szCs w:val="16"/>
              </w:rPr>
            </w:pPr>
            <w:r>
              <w:rPr>
                <w:rFonts w:ascii="Arial" w:hAnsi="Arial" w:cs="Arial"/>
                <w:color w:val="auto"/>
                <w:sz w:val="16"/>
                <w:szCs w:val="16"/>
              </w:rPr>
              <w:t>Approved without conditions (a)</w:t>
            </w:r>
          </w:p>
        </w:tc>
        <w:tc>
          <w:tcPr>
            <w:tcW w:w="1231" w:type="dxa"/>
            <w:tcBorders>
              <w:top w:val="nil"/>
              <w:left w:val="nil"/>
              <w:right w:val="nil"/>
            </w:tcBorders>
            <w:shd w:val="clear" w:color="000000" w:fill="FFFFFF"/>
            <w:noWrap/>
            <w:vAlign w:val="center"/>
            <w:hideMark/>
          </w:tcPr>
          <w:p w14:paraId="244698EB"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26,954</w:t>
            </w:r>
          </w:p>
        </w:tc>
        <w:tc>
          <w:tcPr>
            <w:tcW w:w="1231" w:type="dxa"/>
            <w:tcBorders>
              <w:top w:val="nil"/>
              <w:left w:val="nil"/>
              <w:right w:val="nil"/>
            </w:tcBorders>
            <w:shd w:val="clear" w:color="000000" w:fill="FFFFFF"/>
            <w:noWrap/>
            <w:vAlign w:val="center"/>
            <w:hideMark/>
          </w:tcPr>
          <w:p w14:paraId="4365471D"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8,607</w:t>
            </w:r>
          </w:p>
        </w:tc>
        <w:tc>
          <w:tcPr>
            <w:tcW w:w="1231" w:type="dxa"/>
            <w:tcBorders>
              <w:top w:val="nil"/>
              <w:left w:val="nil"/>
              <w:right w:val="nil"/>
            </w:tcBorders>
            <w:shd w:val="clear" w:color="auto" w:fill="auto"/>
            <w:noWrap/>
            <w:vAlign w:val="bottom"/>
            <w:hideMark/>
          </w:tcPr>
          <w:p w14:paraId="1F65F1EA"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6,301</w:t>
            </w:r>
          </w:p>
        </w:tc>
        <w:tc>
          <w:tcPr>
            <w:tcW w:w="1093" w:type="dxa"/>
            <w:tcBorders>
              <w:top w:val="nil"/>
              <w:left w:val="nil"/>
              <w:right w:val="nil"/>
            </w:tcBorders>
            <w:shd w:val="clear" w:color="000000" w:fill="F2F2F2"/>
            <w:noWrap/>
            <w:vAlign w:val="bottom"/>
            <w:hideMark/>
          </w:tcPr>
          <w:p w14:paraId="24FE5156"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4,575</w:t>
            </w:r>
          </w:p>
        </w:tc>
      </w:tr>
      <w:tr w:rsidR="00527C3A" w:rsidRPr="00527C3A" w14:paraId="686B6723" w14:textId="77777777" w:rsidTr="00435C2E">
        <w:trPr>
          <w:trHeight w:val="225"/>
        </w:trPr>
        <w:tc>
          <w:tcPr>
            <w:tcW w:w="2924" w:type="dxa"/>
            <w:tcBorders>
              <w:top w:val="nil"/>
              <w:left w:val="nil"/>
              <w:bottom w:val="nil"/>
              <w:right w:val="nil"/>
            </w:tcBorders>
            <w:shd w:val="clear" w:color="000000" w:fill="FFFFFF"/>
            <w:noWrap/>
            <w:vAlign w:val="center"/>
            <w:hideMark/>
          </w:tcPr>
          <w:p w14:paraId="7EA23F73" w14:textId="3E5691C4" w:rsidR="00527C3A" w:rsidRPr="00527C3A" w:rsidRDefault="00527C3A" w:rsidP="00527C3A">
            <w:pPr>
              <w:spacing w:after="0" w:line="240" w:lineRule="auto"/>
              <w:jc w:val="left"/>
              <w:rPr>
                <w:rFonts w:ascii="Arial" w:hAnsi="Arial" w:cs="Arial"/>
                <w:color w:val="auto"/>
                <w:sz w:val="16"/>
                <w:szCs w:val="16"/>
              </w:rPr>
            </w:pPr>
            <w:r>
              <w:rPr>
                <w:rFonts w:ascii="Arial" w:hAnsi="Arial" w:cs="Arial"/>
                <w:color w:val="auto"/>
                <w:sz w:val="16"/>
                <w:szCs w:val="16"/>
              </w:rPr>
              <w:t>Approved with conditions (a)</w:t>
            </w:r>
          </w:p>
        </w:tc>
        <w:tc>
          <w:tcPr>
            <w:tcW w:w="1231" w:type="dxa"/>
            <w:tcBorders>
              <w:top w:val="nil"/>
              <w:left w:val="nil"/>
              <w:bottom w:val="single" w:sz="2" w:space="0" w:color="000000" w:themeColor="text1"/>
              <w:right w:val="nil"/>
            </w:tcBorders>
            <w:shd w:val="clear" w:color="000000" w:fill="FFFFFF"/>
            <w:noWrap/>
            <w:vAlign w:val="center"/>
            <w:hideMark/>
          </w:tcPr>
          <w:p w14:paraId="3169129E"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14,491</w:t>
            </w:r>
          </w:p>
        </w:tc>
        <w:tc>
          <w:tcPr>
            <w:tcW w:w="1231" w:type="dxa"/>
            <w:tcBorders>
              <w:top w:val="nil"/>
              <w:left w:val="nil"/>
              <w:bottom w:val="single" w:sz="2" w:space="0" w:color="000000" w:themeColor="text1"/>
              <w:right w:val="nil"/>
            </w:tcBorders>
            <w:shd w:val="clear" w:color="000000" w:fill="FFFFFF"/>
            <w:noWrap/>
            <w:vAlign w:val="center"/>
            <w:hideMark/>
          </w:tcPr>
          <w:p w14:paraId="26FC0A59"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5,750</w:t>
            </w:r>
          </w:p>
        </w:tc>
        <w:tc>
          <w:tcPr>
            <w:tcW w:w="1231" w:type="dxa"/>
            <w:tcBorders>
              <w:top w:val="nil"/>
              <w:left w:val="nil"/>
              <w:bottom w:val="single" w:sz="2" w:space="0" w:color="000000" w:themeColor="text1"/>
              <w:right w:val="nil"/>
            </w:tcBorders>
            <w:shd w:val="clear" w:color="auto" w:fill="auto"/>
            <w:noWrap/>
            <w:vAlign w:val="bottom"/>
            <w:hideMark/>
          </w:tcPr>
          <w:p w14:paraId="2E25AEBB"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4,844</w:t>
            </w:r>
          </w:p>
        </w:tc>
        <w:tc>
          <w:tcPr>
            <w:tcW w:w="1093" w:type="dxa"/>
            <w:tcBorders>
              <w:top w:val="nil"/>
              <w:left w:val="nil"/>
              <w:bottom w:val="single" w:sz="2" w:space="0" w:color="000000" w:themeColor="text1"/>
              <w:right w:val="nil"/>
            </w:tcBorders>
            <w:shd w:val="clear" w:color="000000" w:fill="F2F2F2"/>
            <w:noWrap/>
            <w:vAlign w:val="bottom"/>
            <w:hideMark/>
          </w:tcPr>
          <w:p w14:paraId="76AD10D3"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4,149</w:t>
            </w:r>
          </w:p>
        </w:tc>
      </w:tr>
      <w:tr w:rsidR="00527C3A" w:rsidRPr="00527C3A" w14:paraId="45691C21" w14:textId="77777777" w:rsidTr="00435C2E">
        <w:trPr>
          <w:trHeight w:val="225"/>
        </w:trPr>
        <w:tc>
          <w:tcPr>
            <w:tcW w:w="2924" w:type="dxa"/>
            <w:tcBorders>
              <w:top w:val="nil"/>
              <w:left w:val="nil"/>
              <w:bottom w:val="nil"/>
              <w:right w:val="nil"/>
            </w:tcBorders>
            <w:shd w:val="clear" w:color="000000" w:fill="FFFFFF"/>
            <w:noWrap/>
            <w:vAlign w:val="center"/>
            <w:hideMark/>
          </w:tcPr>
          <w:p w14:paraId="7B60868C" w14:textId="466F1633" w:rsidR="00527C3A" w:rsidRPr="00527C3A" w:rsidRDefault="00527C3A" w:rsidP="00527C3A">
            <w:pPr>
              <w:spacing w:after="0" w:line="240" w:lineRule="auto"/>
              <w:jc w:val="left"/>
              <w:rPr>
                <w:rFonts w:ascii="Arial" w:hAnsi="Arial" w:cs="Arial"/>
                <w:b/>
                <w:bCs/>
                <w:color w:val="auto"/>
                <w:sz w:val="16"/>
                <w:szCs w:val="16"/>
              </w:rPr>
            </w:pPr>
            <w:r>
              <w:rPr>
                <w:rFonts w:ascii="Arial" w:hAnsi="Arial" w:cs="Arial"/>
                <w:b/>
                <w:bCs/>
                <w:color w:val="auto"/>
                <w:sz w:val="16"/>
                <w:szCs w:val="16"/>
              </w:rPr>
              <w:t xml:space="preserve">  Total approved</w:t>
            </w:r>
          </w:p>
        </w:tc>
        <w:tc>
          <w:tcPr>
            <w:tcW w:w="1231" w:type="dxa"/>
            <w:tcBorders>
              <w:top w:val="single" w:sz="2" w:space="0" w:color="000000" w:themeColor="text1"/>
              <w:left w:val="nil"/>
              <w:bottom w:val="nil"/>
              <w:right w:val="nil"/>
            </w:tcBorders>
            <w:shd w:val="clear" w:color="000000" w:fill="FFFFFF"/>
            <w:noWrap/>
            <w:vAlign w:val="center"/>
            <w:hideMark/>
          </w:tcPr>
          <w:p w14:paraId="4116AB16" w14:textId="77777777" w:rsidR="00527C3A" w:rsidRPr="00527C3A" w:rsidRDefault="00527C3A" w:rsidP="00527C3A">
            <w:pPr>
              <w:spacing w:after="0" w:line="240" w:lineRule="auto"/>
              <w:jc w:val="right"/>
              <w:rPr>
                <w:rFonts w:ascii="Arial" w:hAnsi="Arial" w:cs="Arial"/>
                <w:b/>
                <w:bCs/>
                <w:color w:val="auto"/>
                <w:sz w:val="16"/>
                <w:szCs w:val="16"/>
              </w:rPr>
            </w:pPr>
            <w:r w:rsidRPr="00527C3A">
              <w:rPr>
                <w:rFonts w:ascii="Arial" w:hAnsi="Arial" w:cs="Arial"/>
                <w:b/>
                <w:bCs/>
                <w:color w:val="auto"/>
                <w:sz w:val="16"/>
                <w:szCs w:val="16"/>
              </w:rPr>
              <w:t>41,445</w:t>
            </w:r>
          </w:p>
        </w:tc>
        <w:tc>
          <w:tcPr>
            <w:tcW w:w="1231" w:type="dxa"/>
            <w:tcBorders>
              <w:top w:val="single" w:sz="2" w:space="0" w:color="000000" w:themeColor="text1"/>
              <w:left w:val="nil"/>
              <w:bottom w:val="nil"/>
              <w:right w:val="nil"/>
            </w:tcBorders>
            <w:shd w:val="clear" w:color="000000" w:fill="FFFFFF"/>
            <w:noWrap/>
            <w:vAlign w:val="center"/>
            <w:hideMark/>
          </w:tcPr>
          <w:p w14:paraId="1DAE3925" w14:textId="77777777" w:rsidR="00527C3A" w:rsidRPr="00527C3A" w:rsidRDefault="00527C3A" w:rsidP="00527C3A">
            <w:pPr>
              <w:spacing w:after="0" w:line="240" w:lineRule="auto"/>
              <w:jc w:val="right"/>
              <w:rPr>
                <w:rFonts w:ascii="Arial" w:hAnsi="Arial" w:cs="Arial"/>
                <w:b/>
                <w:bCs/>
                <w:color w:val="auto"/>
                <w:sz w:val="16"/>
                <w:szCs w:val="16"/>
              </w:rPr>
            </w:pPr>
            <w:r w:rsidRPr="00527C3A">
              <w:rPr>
                <w:rFonts w:ascii="Arial" w:hAnsi="Arial" w:cs="Arial"/>
                <w:b/>
                <w:bCs/>
                <w:color w:val="auto"/>
                <w:sz w:val="16"/>
                <w:szCs w:val="16"/>
              </w:rPr>
              <w:t>14,357</w:t>
            </w:r>
          </w:p>
        </w:tc>
        <w:tc>
          <w:tcPr>
            <w:tcW w:w="1231" w:type="dxa"/>
            <w:tcBorders>
              <w:top w:val="single" w:sz="2" w:space="0" w:color="000000" w:themeColor="text1"/>
              <w:left w:val="nil"/>
              <w:bottom w:val="nil"/>
              <w:right w:val="nil"/>
            </w:tcBorders>
            <w:shd w:val="clear" w:color="auto" w:fill="auto"/>
            <w:noWrap/>
            <w:vAlign w:val="bottom"/>
            <w:hideMark/>
          </w:tcPr>
          <w:p w14:paraId="3FD3053A" w14:textId="77777777" w:rsidR="00527C3A" w:rsidRPr="00527C3A" w:rsidRDefault="00527C3A" w:rsidP="00527C3A">
            <w:pPr>
              <w:spacing w:after="0" w:line="240" w:lineRule="auto"/>
              <w:jc w:val="right"/>
              <w:rPr>
                <w:rFonts w:ascii="Arial" w:hAnsi="Arial" w:cs="Arial"/>
                <w:b/>
                <w:bCs/>
                <w:sz w:val="16"/>
                <w:szCs w:val="16"/>
              </w:rPr>
            </w:pPr>
            <w:r w:rsidRPr="00527C3A">
              <w:rPr>
                <w:rFonts w:ascii="Arial" w:hAnsi="Arial" w:cs="Arial"/>
                <w:b/>
                <w:bCs/>
                <w:sz w:val="16"/>
                <w:szCs w:val="16"/>
              </w:rPr>
              <w:t>11,145</w:t>
            </w:r>
          </w:p>
        </w:tc>
        <w:tc>
          <w:tcPr>
            <w:tcW w:w="1093" w:type="dxa"/>
            <w:tcBorders>
              <w:top w:val="single" w:sz="2" w:space="0" w:color="000000" w:themeColor="text1"/>
              <w:left w:val="nil"/>
              <w:bottom w:val="nil"/>
              <w:right w:val="nil"/>
            </w:tcBorders>
            <w:shd w:val="clear" w:color="000000" w:fill="F2F2F2"/>
            <w:noWrap/>
            <w:vAlign w:val="bottom"/>
            <w:hideMark/>
          </w:tcPr>
          <w:p w14:paraId="1D7C522C" w14:textId="77777777" w:rsidR="00527C3A" w:rsidRPr="00527C3A" w:rsidRDefault="00527C3A" w:rsidP="00527C3A">
            <w:pPr>
              <w:spacing w:after="0" w:line="240" w:lineRule="auto"/>
              <w:jc w:val="right"/>
              <w:rPr>
                <w:rFonts w:ascii="Arial" w:hAnsi="Arial" w:cs="Arial"/>
                <w:b/>
                <w:bCs/>
                <w:sz w:val="16"/>
                <w:szCs w:val="16"/>
              </w:rPr>
            </w:pPr>
            <w:r w:rsidRPr="00527C3A">
              <w:rPr>
                <w:rFonts w:ascii="Arial" w:hAnsi="Arial" w:cs="Arial"/>
                <w:b/>
                <w:bCs/>
                <w:sz w:val="16"/>
                <w:szCs w:val="16"/>
              </w:rPr>
              <w:t>8,724</w:t>
            </w:r>
          </w:p>
        </w:tc>
      </w:tr>
      <w:tr w:rsidR="00527C3A" w:rsidRPr="00527C3A" w14:paraId="53A36EEC" w14:textId="77777777" w:rsidTr="00435C2E">
        <w:trPr>
          <w:trHeight w:val="225"/>
        </w:trPr>
        <w:tc>
          <w:tcPr>
            <w:tcW w:w="2924" w:type="dxa"/>
            <w:tcBorders>
              <w:top w:val="nil"/>
              <w:left w:val="nil"/>
              <w:bottom w:val="nil"/>
              <w:right w:val="nil"/>
            </w:tcBorders>
            <w:shd w:val="clear" w:color="000000" w:fill="FFFFFF"/>
            <w:noWrap/>
            <w:vAlign w:val="center"/>
            <w:hideMark/>
          </w:tcPr>
          <w:p w14:paraId="6C68F607" w14:textId="317C736B" w:rsidR="00527C3A" w:rsidRPr="00527C3A" w:rsidRDefault="00527C3A" w:rsidP="00527C3A">
            <w:pPr>
              <w:spacing w:after="0" w:line="240" w:lineRule="auto"/>
              <w:jc w:val="left"/>
              <w:rPr>
                <w:rFonts w:ascii="Arial" w:hAnsi="Arial" w:cs="Arial"/>
                <w:color w:val="auto"/>
                <w:sz w:val="16"/>
                <w:szCs w:val="16"/>
              </w:rPr>
            </w:pPr>
            <w:r>
              <w:rPr>
                <w:rFonts w:ascii="Arial" w:hAnsi="Arial" w:cs="Arial"/>
                <w:color w:val="auto"/>
                <w:sz w:val="16"/>
                <w:szCs w:val="16"/>
              </w:rPr>
              <w:t>Rejected</w:t>
            </w:r>
          </w:p>
        </w:tc>
        <w:tc>
          <w:tcPr>
            <w:tcW w:w="1231" w:type="dxa"/>
            <w:tcBorders>
              <w:top w:val="nil"/>
              <w:left w:val="nil"/>
              <w:right w:val="nil"/>
            </w:tcBorders>
            <w:shd w:val="clear" w:color="000000" w:fill="FFFFFF"/>
            <w:noWrap/>
            <w:vAlign w:val="center"/>
            <w:hideMark/>
          </w:tcPr>
          <w:p w14:paraId="11B354CB"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5</w:t>
            </w:r>
          </w:p>
        </w:tc>
        <w:tc>
          <w:tcPr>
            <w:tcW w:w="1231" w:type="dxa"/>
            <w:tcBorders>
              <w:top w:val="nil"/>
              <w:left w:val="nil"/>
              <w:right w:val="nil"/>
            </w:tcBorders>
            <w:shd w:val="clear" w:color="000000" w:fill="FFFFFF"/>
            <w:noWrap/>
            <w:vAlign w:val="center"/>
            <w:hideMark/>
          </w:tcPr>
          <w:p w14:paraId="27C8B91A"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3</w:t>
            </w:r>
          </w:p>
        </w:tc>
        <w:tc>
          <w:tcPr>
            <w:tcW w:w="1231" w:type="dxa"/>
            <w:tcBorders>
              <w:top w:val="nil"/>
              <w:left w:val="nil"/>
              <w:right w:val="nil"/>
            </w:tcBorders>
            <w:shd w:val="clear" w:color="auto" w:fill="auto"/>
            <w:noWrap/>
            <w:vAlign w:val="bottom"/>
            <w:hideMark/>
          </w:tcPr>
          <w:p w14:paraId="5A71ED9D"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2</w:t>
            </w:r>
          </w:p>
        </w:tc>
        <w:tc>
          <w:tcPr>
            <w:tcW w:w="1093" w:type="dxa"/>
            <w:tcBorders>
              <w:top w:val="nil"/>
              <w:left w:val="nil"/>
              <w:right w:val="nil"/>
            </w:tcBorders>
            <w:shd w:val="clear" w:color="000000" w:fill="F2F2F2"/>
            <w:noWrap/>
            <w:vAlign w:val="bottom"/>
            <w:hideMark/>
          </w:tcPr>
          <w:p w14:paraId="5FB591B3"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1</w:t>
            </w:r>
          </w:p>
        </w:tc>
      </w:tr>
      <w:tr w:rsidR="00527C3A" w:rsidRPr="00527C3A" w14:paraId="41E81A54" w14:textId="77777777" w:rsidTr="00435C2E">
        <w:trPr>
          <w:trHeight w:val="225"/>
        </w:trPr>
        <w:tc>
          <w:tcPr>
            <w:tcW w:w="2924" w:type="dxa"/>
            <w:tcBorders>
              <w:top w:val="nil"/>
              <w:left w:val="nil"/>
              <w:bottom w:val="nil"/>
              <w:right w:val="nil"/>
            </w:tcBorders>
            <w:shd w:val="clear" w:color="auto" w:fill="auto"/>
            <w:noWrap/>
            <w:vAlign w:val="center"/>
            <w:hideMark/>
          </w:tcPr>
          <w:p w14:paraId="3FE326FB" w14:textId="787CD5E4" w:rsidR="00527C3A" w:rsidRPr="00527C3A" w:rsidRDefault="00527C3A" w:rsidP="00527C3A">
            <w:pPr>
              <w:spacing w:after="0" w:line="240" w:lineRule="auto"/>
              <w:jc w:val="left"/>
              <w:rPr>
                <w:rFonts w:ascii="Arial" w:hAnsi="Arial" w:cs="Arial"/>
                <w:color w:val="auto"/>
                <w:sz w:val="16"/>
                <w:szCs w:val="16"/>
              </w:rPr>
            </w:pPr>
            <w:r>
              <w:rPr>
                <w:rFonts w:ascii="Arial" w:hAnsi="Arial" w:cs="Arial"/>
                <w:color w:val="auto"/>
                <w:sz w:val="16"/>
                <w:szCs w:val="16"/>
              </w:rPr>
              <w:t>Declined</w:t>
            </w:r>
          </w:p>
        </w:tc>
        <w:tc>
          <w:tcPr>
            <w:tcW w:w="1231" w:type="dxa"/>
            <w:tcBorders>
              <w:top w:val="nil"/>
              <w:left w:val="nil"/>
              <w:bottom w:val="single" w:sz="2" w:space="0" w:color="000000" w:themeColor="text1"/>
              <w:right w:val="nil"/>
            </w:tcBorders>
            <w:shd w:val="clear" w:color="000000" w:fill="FFFFFF"/>
            <w:noWrap/>
            <w:vAlign w:val="center"/>
            <w:hideMark/>
          </w:tcPr>
          <w:p w14:paraId="085B3D75"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w:t>
            </w:r>
          </w:p>
        </w:tc>
        <w:tc>
          <w:tcPr>
            <w:tcW w:w="1231" w:type="dxa"/>
            <w:tcBorders>
              <w:top w:val="nil"/>
              <w:left w:val="nil"/>
              <w:bottom w:val="single" w:sz="2" w:space="0" w:color="000000" w:themeColor="text1"/>
              <w:right w:val="nil"/>
            </w:tcBorders>
            <w:shd w:val="clear" w:color="000000" w:fill="FFFFFF"/>
            <w:noWrap/>
            <w:vAlign w:val="center"/>
            <w:hideMark/>
          </w:tcPr>
          <w:p w14:paraId="2F5175EA"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w:t>
            </w:r>
          </w:p>
        </w:tc>
        <w:tc>
          <w:tcPr>
            <w:tcW w:w="1231" w:type="dxa"/>
            <w:tcBorders>
              <w:top w:val="nil"/>
              <w:left w:val="nil"/>
              <w:bottom w:val="single" w:sz="2" w:space="0" w:color="000000" w:themeColor="text1"/>
              <w:right w:val="nil"/>
            </w:tcBorders>
            <w:shd w:val="clear" w:color="auto" w:fill="auto"/>
            <w:noWrap/>
            <w:vAlign w:val="bottom"/>
            <w:hideMark/>
          </w:tcPr>
          <w:p w14:paraId="632565A0"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3</w:t>
            </w:r>
          </w:p>
        </w:tc>
        <w:tc>
          <w:tcPr>
            <w:tcW w:w="1093" w:type="dxa"/>
            <w:tcBorders>
              <w:top w:val="nil"/>
              <w:left w:val="nil"/>
              <w:bottom w:val="single" w:sz="2" w:space="0" w:color="000000" w:themeColor="text1"/>
              <w:right w:val="nil"/>
            </w:tcBorders>
            <w:shd w:val="clear" w:color="000000" w:fill="F2F2F2"/>
            <w:noWrap/>
            <w:vAlign w:val="bottom"/>
            <w:hideMark/>
          </w:tcPr>
          <w:p w14:paraId="2CB8A03D"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w:t>
            </w:r>
          </w:p>
        </w:tc>
      </w:tr>
      <w:tr w:rsidR="00527C3A" w:rsidRPr="00527C3A" w14:paraId="6FB499AF" w14:textId="77777777" w:rsidTr="00435C2E">
        <w:trPr>
          <w:trHeight w:val="225"/>
        </w:trPr>
        <w:tc>
          <w:tcPr>
            <w:tcW w:w="2924" w:type="dxa"/>
            <w:tcBorders>
              <w:top w:val="nil"/>
              <w:left w:val="nil"/>
              <w:bottom w:val="nil"/>
              <w:right w:val="nil"/>
            </w:tcBorders>
            <w:shd w:val="clear" w:color="000000" w:fill="FFFFFF"/>
            <w:noWrap/>
            <w:vAlign w:val="center"/>
            <w:hideMark/>
          </w:tcPr>
          <w:p w14:paraId="0046DE03" w14:textId="2F7ED149" w:rsidR="00527C3A" w:rsidRPr="00527C3A" w:rsidRDefault="00527C3A" w:rsidP="00527C3A">
            <w:pPr>
              <w:spacing w:after="0" w:line="240" w:lineRule="auto"/>
              <w:jc w:val="left"/>
              <w:rPr>
                <w:rFonts w:ascii="Arial" w:hAnsi="Arial" w:cs="Arial"/>
                <w:b/>
                <w:bCs/>
                <w:color w:val="auto"/>
                <w:sz w:val="16"/>
                <w:szCs w:val="16"/>
              </w:rPr>
            </w:pPr>
            <w:r>
              <w:rPr>
                <w:rFonts w:ascii="Arial" w:hAnsi="Arial" w:cs="Arial"/>
                <w:b/>
                <w:bCs/>
                <w:color w:val="auto"/>
                <w:sz w:val="16"/>
                <w:szCs w:val="16"/>
              </w:rPr>
              <w:t xml:space="preserve">  Total decided</w:t>
            </w:r>
          </w:p>
        </w:tc>
        <w:tc>
          <w:tcPr>
            <w:tcW w:w="1231" w:type="dxa"/>
            <w:tcBorders>
              <w:top w:val="single" w:sz="2" w:space="0" w:color="000000" w:themeColor="text1"/>
              <w:left w:val="nil"/>
              <w:bottom w:val="nil"/>
              <w:right w:val="nil"/>
            </w:tcBorders>
            <w:shd w:val="clear" w:color="000000" w:fill="FFFFFF"/>
            <w:noWrap/>
            <w:vAlign w:val="center"/>
            <w:hideMark/>
          </w:tcPr>
          <w:p w14:paraId="39BFD63B" w14:textId="77777777" w:rsidR="00527C3A" w:rsidRPr="00527C3A" w:rsidRDefault="00527C3A" w:rsidP="00527C3A">
            <w:pPr>
              <w:spacing w:after="0" w:line="240" w:lineRule="auto"/>
              <w:jc w:val="right"/>
              <w:rPr>
                <w:rFonts w:ascii="Arial" w:hAnsi="Arial" w:cs="Arial"/>
                <w:b/>
                <w:bCs/>
                <w:color w:val="auto"/>
                <w:sz w:val="16"/>
                <w:szCs w:val="16"/>
              </w:rPr>
            </w:pPr>
            <w:r w:rsidRPr="00527C3A">
              <w:rPr>
                <w:rFonts w:ascii="Arial" w:hAnsi="Arial" w:cs="Arial"/>
                <w:b/>
                <w:bCs/>
                <w:color w:val="auto"/>
                <w:sz w:val="16"/>
                <w:szCs w:val="16"/>
              </w:rPr>
              <w:t>41,450</w:t>
            </w:r>
          </w:p>
        </w:tc>
        <w:tc>
          <w:tcPr>
            <w:tcW w:w="1231" w:type="dxa"/>
            <w:tcBorders>
              <w:top w:val="single" w:sz="2" w:space="0" w:color="000000" w:themeColor="text1"/>
              <w:left w:val="nil"/>
              <w:bottom w:val="nil"/>
              <w:right w:val="nil"/>
            </w:tcBorders>
            <w:shd w:val="clear" w:color="000000" w:fill="FFFFFF"/>
            <w:noWrap/>
            <w:vAlign w:val="center"/>
            <w:hideMark/>
          </w:tcPr>
          <w:p w14:paraId="0F8A77AB" w14:textId="77777777" w:rsidR="00527C3A" w:rsidRPr="00527C3A" w:rsidRDefault="00527C3A" w:rsidP="00527C3A">
            <w:pPr>
              <w:spacing w:after="0" w:line="240" w:lineRule="auto"/>
              <w:jc w:val="right"/>
              <w:rPr>
                <w:rFonts w:ascii="Arial" w:hAnsi="Arial" w:cs="Arial"/>
                <w:b/>
                <w:bCs/>
                <w:color w:val="auto"/>
                <w:sz w:val="16"/>
                <w:szCs w:val="16"/>
              </w:rPr>
            </w:pPr>
            <w:r w:rsidRPr="00527C3A">
              <w:rPr>
                <w:rFonts w:ascii="Arial" w:hAnsi="Arial" w:cs="Arial"/>
                <w:b/>
                <w:bCs/>
                <w:color w:val="auto"/>
                <w:sz w:val="16"/>
                <w:szCs w:val="16"/>
              </w:rPr>
              <w:t>14,360</w:t>
            </w:r>
          </w:p>
        </w:tc>
        <w:tc>
          <w:tcPr>
            <w:tcW w:w="1231" w:type="dxa"/>
            <w:tcBorders>
              <w:top w:val="single" w:sz="2" w:space="0" w:color="000000" w:themeColor="text1"/>
              <w:left w:val="nil"/>
              <w:bottom w:val="nil"/>
              <w:right w:val="nil"/>
            </w:tcBorders>
            <w:shd w:val="clear" w:color="auto" w:fill="auto"/>
            <w:noWrap/>
            <w:vAlign w:val="bottom"/>
            <w:hideMark/>
          </w:tcPr>
          <w:p w14:paraId="4E1DA201" w14:textId="77777777" w:rsidR="00527C3A" w:rsidRPr="00527C3A" w:rsidRDefault="00527C3A" w:rsidP="00527C3A">
            <w:pPr>
              <w:spacing w:after="0" w:line="240" w:lineRule="auto"/>
              <w:jc w:val="right"/>
              <w:rPr>
                <w:rFonts w:ascii="Arial" w:hAnsi="Arial" w:cs="Arial"/>
                <w:b/>
                <w:bCs/>
                <w:sz w:val="16"/>
                <w:szCs w:val="16"/>
              </w:rPr>
            </w:pPr>
            <w:r w:rsidRPr="00527C3A">
              <w:rPr>
                <w:rFonts w:ascii="Arial" w:hAnsi="Arial" w:cs="Arial"/>
                <w:b/>
                <w:bCs/>
                <w:sz w:val="16"/>
                <w:szCs w:val="16"/>
              </w:rPr>
              <w:t>11,150</w:t>
            </w:r>
          </w:p>
        </w:tc>
        <w:tc>
          <w:tcPr>
            <w:tcW w:w="1093" w:type="dxa"/>
            <w:tcBorders>
              <w:top w:val="single" w:sz="2" w:space="0" w:color="000000" w:themeColor="text1"/>
              <w:left w:val="nil"/>
              <w:bottom w:val="nil"/>
              <w:right w:val="nil"/>
            </w:tcBorders>
            <w:shd w:val="clear" w:color="000000" w:fill="F2F2F2"/>
            <w:noWrap/>
            <w:vAlign w:val="bottom"/>
            <w:hideMark/>
          </w:tcPr>
          <w:p w14:paraId="61DCD3C2" w14:textId="77777777" w:rsidR="00527C3A" w:rsidRPr="00527C3A" w:rsidRDefault="00527C3A" w:rsidP="00527C3A">
            <w:pPr>
              <w:spacing w:after="0" w:line="240" w:lineRule="auto"/>
              <w:jc w:val="right"/>
              <w:rPr>
                <w:rFonts w:ascii="Arial" w:hAnsi="Arial" w:cs="Arial"/>
                <w:b/>
                <w:bCs/>
                <w:sz w:val="16"/>
                <w:szCs w:val="16"/>
              </w:rPr>
            </w:pPr>
            <w:r w:rsidRPr="00527C3A">
              <w:rPr>
                <w:rFonts w:ascii="Arial" w:hAnsi="Arial" w:cs="Arial"/>
                <w:b/>
                <w:bCs/>
                <w:sz w:val="16"/>
                <w:szCs w:val="16"/>
              </w:rPr>
              <w:t>8,725</w:t>
            </w:r>
          </w:p>
        </w:tc>
      </w:tr>
      <w:tr w:rsidR="00527C3A" w:rsidRPr="00527C3A" w14:paraId="375399BF" w14:textId="77777777" w:rsidTr="00435C2E">
        <w:trPr>
          <w:trHeight w:val="225"/>
        </w:trPr>
        <w:tc>
          <w:tcPr>
            <w:tcW w:w="2924" w:type="dxa"/>
            <w:tcBorders>
              <w:top w:val="nil"/>
              <w:left w:val="nil"/>
              <w:bottom w:val="nil"/>
              <w:right w:val="nil"/>
            </w:tcBorders>
            <w:shd w:val="clear" w:color="000000" w:fill="FFFFFF"/>
            <w:noWrap/>
            <w:vAlign w:val="center"/>
            <w:hideMark/>
          </w:tcPr>
          <w:p w14:paraId="7E78B11A" w14:textId="69116A49" w:rsidR="00527C3A" w:rsidRPr="00527C3A" w:rsidRDefault="00527C3A" w:rsidP="00527C3A">
            <w:pPr>
              <w:spacing w:after="0" w:line="240" w:lineRule="auto"/>
              <w:jc w:val="left"/>
              <w:rPr>
                <w:rFonts w:ascii="Arial" w:hAnsi="Arial" w:cs="Arial"/>
                <w:color w:val="auto"/>
                <w:sz w:val="16"/>
                <w:szCs w:val="16"/>
              </w:rPr>
            </w:pPr>
            <w:r>
              <w:rPr>
                <w:rFonts w:ascii="Arial" w:hAnsi="Arial" w:cs="Arial"/>
                <w:color w:val="auto"/>
                <w:sz w:val="16"/>
                <w:szCs w:val="16"/>
              </w:rPr>
              <w:t>Withdrawn</w:t>
            </w:r>
          </w:p>
        </w:tc>
        <w:tc>
          <w:tcPr>
            <w:tcW w:w="1231" w:type="dxa"/>
            <w:tcBorders>
              <w:top w:val="nil"/>
              <w:left w:val="nil"/>
              <w:right w:val="nil"/>
            </w:tcBorders>
            <w:shd w:val="clear" w:color="000000" w:fill="FFFFFF"/>
            <w:noWrap/>
            <w:vAlign w:val="center"/>
            <w:hideMark/>
          </w:tcPr>
          <w:p w14:paraId="772F2D40"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1,319</w:t>
            </w:r>
          </w:p>
        </w:tc>
        <w:tc>
          <w:tcPr>
            <w:tcW w:w="1231" w:type="dxa"/>
            <w:tcBorders>
              <w:top w:val="nil"/>
              <w:left w:val="nil"/>
              <w:right w:val="nil"/>
            </w:tcBorders>
            <w:shd w:val="clear" w:color="000000" w:fill="FFFFFF"/>
            <w:noWrap/>
            <w:vAlign w:val="center"/>
            <w:hideMark/>
          </w:tcPr>
          <w:p w14:paraId="67E7E55C"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770</w:t>
            </w:r>
          </w:p>
        </w:tc>
        <w:tc>
          <w:tcPr>
            <w:tcW w:w="1231" w:type="dxa"/>
            <w:tcBorders>
              <w:top w:val="nil"/>
              <w:left w:val="nil"/>
              <w:right w:val="nil"/>
            </w:tcBorders>
            <w:shd w:val="clear" w:color="auto" w:fill="auto"/>
            <w:noWrap/>
            <w:vAlign w:val="bottom"/>
            <w:hideMark/>
          </w:tcPr>
          <w:p w14:paraId="4656F707"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644</w:t>
            </w:r>
          </w:p>
        </w:tc>
        <w:tc>
          <w:tcPr>
            <w:tcW w:w="1093" w:type="dxa"/>
            <w:tcBorders>
              <w:top w:val="nil"/>
              <w:left w:val="nil"/>
              <w:right w:val="nil"/>
            </w:tcBorders>
            <w:shd w:val="clear" w:color="000000" w:fill="F2F2F2"/>
            <w:noWrap/>
            <w:vAlign w:val="bottom"/>
            <w:hideMark/>
          </w:tcPr>
          <w:p w14:paraId="114FA402"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670</w:t>
            </w:r>
          </w:p>
        </w:tc>
      </w:tr>
      <w:tr w:rsidR="00527C3A" w:rsidRPr="00527C3A" w14:paraId="5AF72089" w14:textId="77777777" w:rsidTr="00435C2E">
        <w:trPr>
          <w:trHeight w:val="225"/>
        </w:trPr>
        <w:tc>
          <w:tcPr>
            <w:tcW w:w="2924" w:type="dxa"/>
            <w:tcBorders>
              <w:top w:val="nil"/>
              <w:left w:val="nil"/>
              <w:bottom w:val="nil"/>
              <w:right w:val="nil"/>
            </w:tcBorders>
            <w:shd w:val="clear" w:color="000000" w:fill="FFFFFF"/>
            <w:noWrap/>
            <w:vAlign w:val="center"/>
            <w:hideMark/>
          </w:tcPr>
          <w:p w14:paraId="1D3E16FF" w14:textId="7DF76DCE" w:rsidR="00527C3A" w:rsidRPr="00527C3A" w:rsidRDefault="00527C3A" w:rsidP="00527C3A">
            <w:pPr>
              <w:spacing w:after="0" w:line="240" w:lineRule="auto"/>
              <w:jc w:val="left"/>
              <w:rPr>
                <w:rFonts w:ascii="Arial" w:hAnsi="Arial" w:cs="Arial"/>
                <w:color w:val="auto"/>
                <w:sz w:val="16"/>
                <w:szCs w:val="16"/>
              </w:rPr>
            </w:pPr>
            <w:r>
              <w:rPr>
                <w:rFonts w:ascii="Arial" w:hAnsi="Arial" w:cs="Arial"/>
                <w:color w:val="auto"/>
                <w:sz w:val="16"/>
                <w:szCs w:val="16"/>
              </w:rPr>
              <w:t>Exempt</w:t>
            </w:r>
          </w:p>
        </w:tc>
        <w:tc>
          <w:tcPr>
            <w:tcW w:w="1231" w:type="dxa"/>
            <w:tcBorders>
              <w:top w:val="nil"/>
              <w:left w:val="nil"/>
              <w:right w:val="nil"/>
            </w:tcBorders>
            <w:shd w:val="clear" w:color="000000" w:fill="FFFFFF"/>
            <w:noWrap/>
            <w:vAlign w:val="center"/>
            <w:hideMark/>
          </w:tcPr>
          <w:p w14:paraId="7204E99C"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244</w:t>
            </w:r>
          </w:p>
        </w:tc>
        <w:tc>
          <w:tcPr>
            <w:tcW w:w="1231" w:type="dxa"/>
            <w:tcBorders>
              <w:top w:val="nil"/>
              <w:left w:val="nil"/>
              <w:right w:val="nil"/>
            </w:tcBorders>
            <w:shd w:val="clear" w:color="000000" w:fill="FFFFFF"/>
            <w:noWrap/>
            <w:vAlign w:val="center"/>
            <w:hideMark/>
          </w:tcPr>
          <w:p w14:paraId="4182EF9F" w14:textId="77777777" w:rsidR="00527C3A" w:rsidRPr="00527C3A" w:rsidRDefault="00527C3A" w:rsidP="00527C3A">
            <w:pPr>
              <w:spacing w:after="0" w:line="240" w:lineRule="auto"/>
              <w:jc w:val="right"/>
              <w:rPr>
                <w:rFonts w:ascii="Arial" w:hAnsi="Arial" w:cs="Arial"/>
                <w:color w:val="auto"/>
                <w:sz w:val="16"/>
                <w:szCs w:val="16"/>
              </w:rPr>
            </w:pPr>
            <w:r w:rsidRPr="00527C3A">
              <w:rPr>
                <w:rFonts w:ascii="Arial" w:hAnsi="Arial" w:cs="Arial"/>
                <w:color w:val="auto"/>
                <w:sz w:val="16"/>
                <w:szCs w:val="16"/>
              </w:rPr>
              <w:t>60</w:t>
            </w:r>
          </w:p>
        </w:tc>
        <w:tc>
          <w:tcPr>
            <w:tcW w:w="1231" w:type="dxa"/>
            <w:tcBorders>
              <w:top w:val="nil"/>
              <w:left w:val="nil"/>
              <w:right w:val="nil"/>
            </w:tcBorders>
            <w:shd w:val="clear" w:color="auto" w:fill="auto"/>
            <w:noWrap/>
            <w:vAlign w:val="bottom"/>
            <w:hideMark/>
          </w:tcPr>
          <w:p w14:paraId="572F7A9B"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61</w:t>
            </w:r>
          </w:p>
        </w:tc>
        <w:tc>
          <w:tcPr>
            <w:tcW w:w="1093" w:type="dxa"/>
            <w:tcBorders>
              <w:top w:val="nil"/>
              <w:left w:val="nil"/>
              <w:right w:val="nil"/>
            </w:tcBorders>
            <w:shd w:val="clear" w:color="000000" w:fill="F2F2F2"/>
            <w:noWrap/>
            <w:vAlign w:val="bottom"/>
            <w:hideMark/>
          </w:tcPr>
          <w:p w14:paraId="537F6FF6" w14:textId="77777777" w:rsidR="00527C3A" w:rsidRPr="00527C3A" w:rsidRDefault="00527C3A" w:rsidP="00527C3A">
            <w:pPr>
              <w:spacing w:after="0" w:line="240" w:lineRule="auto"/>
              <w:jc w:val="right"/>
              <w:rPr>
                <w:rFonts w:ascii="Arial" w:hAnsi="Arial" w:cs="Arial"/>
                <w:sz w:val="16"/>
                <w:szCs w:val="16"/>
              </w:rPr>
            </w:pPr>
            <w:r w:rsidRPr="00527C3A">
              <w:rPr>
                <w:rFonts w:ascii="Arial" w:hAnsi="Arial" w:cs="Arial"/>
                <w:sz w:val="16"/>
                <w:szCs w:val="16"/>
              </w:rPr>
              <w:t>71</w:t>
            </w:r>
          </w:p>
        </w:tc>
      </w:tr>
      <w:tr w:rsidR="00527C3A" w:rsidRPr="00527C3A" w14:paraId="15EEC574" w14:textId="77777777" w:rsidTr="00435C2E">
        <w:trPr>
          <w:trHeight w:val="105"/>
        </w:trPr>
        <w:tc>
          <w:tcPr>
            <w:tcW w:w="2924" w:type="dxa"/>
            <w:tcBorders>
              <w:top w:val="nil"/>
              <w:left w:val="nil"/>
              <w:right w:val="nil"/>
            </w:tcBorders>
            <w:shd w:val="clear" w:color="000000" w:fill="FFFFFF"/>
            <w:noWrap/>
            <w:vAlign w:val="center"/>
            <w:hideMark/>
          </w:tcPr>
          <w:p w14:paraId="55A7FE63" w14:textId="43F9963E" w:rsidR="00527C3A" w:rsidRPr="00527C3A" w:rsidRDefault="00527C3A" w:rsidP="00527C3A">
            <w:pPr>
              <w:spacing w:after="0" w:line="240" w:lineRule="auto"/>
              <w:jc w:val="left"/>
              <w:rPr>
                <w:rFonts w:ascii="Arial" w:hAnsi="Arial" w:cs="Arial"/>
                <w:color w:val="auto"/>
                <w:sz w:val="16"/>
                <w:szCs w:val="16"/>
              </w:rPr>
            </w:pPr>
          </w:p>
        </w:tc>
        <w:tc>
          <w:tcPr>
            <w:tcW w:w="1231" w:type="dxa"/>
            <w:tcBorders>
              <w:top w:val="nil"/>
              <w:left w:val="nil"/>
              <w:bottom w:val="single" w:sz="2" w:space="0" w:color="000000" w:themeColor="text1"/>
              <w:right w:val="nil"/>
            </w:tcBorders>
            <w:shd w:val="clear" w:color="000000" w:fill="FFFFFF"/>
            <w:noWrap/>
            <w:vAlign w:val="center"/>
            <w:hideMark/>
          </w:tcPr>
          <w:p w14:paraId="28D6F4E8" w14:textId="3112EEEE" w:rsidR="00527C3A" w:rsidRPr="00527C3A" w:rsidRDefault="00527C3A" w:rsidP="00527C3A">
            <w:pPr>
              <w:spacing w:after="0" w:line="240" w:lineRule="auto"/>
              <w:jc w:val="right"/>
              <w:rPr>
                <w:rFonts w:ascii="Arial" w:hAnsi="Arial" w:cs="Arial"/>
                <w:color w:val="auto"/>
                <w:sz w:val="16"/>
                <w:szCs w:val="16"/>
              </w:rPr>
            </w:pPr>
          </w:p>
        </w:tc>
        <w:tc>
          <w:tcPr>
            <w:tcW w:w="1231" w:type="dxa"/>
            <w:tcBorders>
              <w:top w:val="nil"/>
              <w:left w:val="nil"/>
              <w:bottom w:val="single" w:sz="2" w:space="0" w:color="000000" w:themeColor="text1"/>
              <w:right w:val="nil"/>
            </w:tcBorders>
            <w:shd w:val="clear" w:color="000000" w:fill="FFFFFF"/>
            <w:noWrap/>
            <w:vAlign w:val="center"/>
            <w:hideMark/>
          </w:tcPr>
          <w:p w14:paraId="597E330F" w14:textId="223BA26F" w:rsidR="00527C3A" w:rsidRPr="00527C3A" w:rsidRDefault="00527C3A" w:rsidP="00527C3A">
            <w:pPr>
              <w:spacing w:after="0" w:line="240" w:lineRule="auto"/>
              <w:jc w:val="right"/>
              <w:rPr>
                <w:rFonts w:ascii="Arial" w:hAnsi="Arial" w:cs="Arial"/>
                <w:color w:val="auto"/>
                <w:sz w:val="16"/>
                <w:szCs w:val="16"/>
              </w:rPr>
            </w:pPr>
          </w:p>
        </w:tc>
        <w:tc>
          <w:tcPr>
            <w:tcW w:w="1231" w:type="dxa"/>
            <w:tcBorders>
              <w:top w:val="nil"/>
              <w:left w:val="nil"/>
              <w:bottom w:val="single" w:sz="2" w:space="0" w:color="000000" w:themeColor="text1"/>
              <w:right w:val="nil"/>
            </w:tcBorders>
            <w:shd w:val="clear" w:color="auto" w:fill="auto"/>
            <w:noWrap/>
            <w:vAlign w:val="bottom"/>
            <w:hideMark/>
          </w:tcPr>
          <w:p w14:paraId="5979AAED" w14:textId="77777777" w:rsidR="00527C3A" w:rsidRPr="00527C3A" w:rsidRDefault="00527C3A" w:rsidP="00527C3A">
            <w:pPr>
              <w:spacing w:after="0" w:line="240" w:lineRule="auto"/>
              <w:jc w:val="right"/>
              <w:rPr>
                <w:rFonts w:ascii="Arial" w:hAnsi="Arial" w:cs="Arial"/>
                <w:color w:val="auto"/>
                <w:sz w:val="16"/>
                <w:szCs w:val="16"/>
              </w:rPr>
            </w:pPr>
          </w:p>
        </w:tc>
        <w:tc>
          <w:tcPr>
            <w:tcW w:w="1093" w:type="dxa"/>
            <w:tcBorders>
              <w:top w:val="nil"/>
              <w:left w:val="nil"/>
              <w:bottom w:val="single" w:sz="2" w:space="0" w:color="000000" w:themeColor="text1"/>
              <w:right w:val="nil"/>
            </w:tcBorders>
            <w:shd w:val="clear" w:color="000000" w:fill="F2F2F2"/>
            <w:noWrap/>
            <w:vAlign w:val="bottom"/>
            <w:hideMark/>
          </w:tcPr>
          <w:p w14:paraId="2B9F3631" w14:textId="53D66F53" w:rsidR="00527C3A" w:rsidRPr="00527C3A" w:rsidRDefault="00527C3A" w:rsidP="00527C3A">
            <w:pPr>
              <w:spacing w:after="0" w:line="240" w:lineRule="auto"/>
              <w:jc w:val="right"/>
              <w:rPr>
                <w:rFonts w:ascii="Arial" w:hAnsi="Arial" w:cs="Arial"/>
                <w:sz w:val="16"/>
                <w:szCs w:val="16"/>
              </w:rPr>
            </w:pPr>
          </w:p>
        </w:tc>
      </w:tr>
      <w:tr w:rsidR="00527C3A" w:rsidRPr="00527C3A" w14:paraId="06087A42" w14:textId="77777777" w:rsidTr="00435C2E">
        <w:trPr>
          <w:trHeight w:val="225"/>
        </w:trPr>
        <w:tc>
          <w:tcPr>
            <w:tcW w:w="2924" w:type="dxa"/>
            <w:tcBorders>
              <w:top w:val="nil"/>
              <w:left w:val="nil"/>
              <w:bottom w:val="single" w:sz="2" w:space="0" w:color="000000" w:themeColor="text1"/>
              <w:right w:val="nil"/>
            </w:tcBorders>
            <w:shd w:val="clear" w:color="000000" w:fill="FFFFFF"/>
            <w:noWrap/>
            <w:vAlign w:val="center"/>
            <w:hideMark/>
          </w:tcPr>
          <w:p w14:paraId="0419A9D8" w14:textId="009C51DE" w:rsidR="00527C3A" w:rsidRPr="00527C3A" w:rsidRDefault="00527C3A" w:rsidP="00527C3A">
            <w:pPr>
              <w:spacing w:after="0" w:line="240" w:lineRule="auto"/>
              <w:jc w:val="left"/>
              <w:rPr>
                <w:rFonts w:ascii="Arial" w:hAnsi="Arial" w:cs="Arial"/>
                <w:b/>
                <w:bCs/>
                <w:color w:val="auto"/>
                <w:sz w:val="16"/>
                <w:szCs w:val="16"/>
              </w:rPr>
            </w:pPr>
            <w:r>
              <w:rPr>
                <w:rFonts w:ascii="Arial" w:hAnsi="Arial" w:cs="Arial"/>
                <w:b/>
                <w:bCs/>
                <w:color w:val="auto"/>
                <w:sz w:val="16"/>
                <w:szCs w:val="16"/>
              </w:rPr>
              <w:t>Total considered</w:t>
            </w:r>
          </w:p>
        </w:tc>
        <w:tc>
          <w:tcPr>
            <w:tcW w:w="1231" w:type="dxa"/>
            <w:tcBorders>
              <w:top w:val="single" w:sz="2" w:space="0" w:color="000000" w:themeColor="text1"/>
              <w:left w:val="nil"/>
              <w:bottom w:val="single" w:sz="2" w:space="0" w:color="000000" w:themeColor="text1"/>
              <w:right w:val="nil"/>
            </w:tcBorders>
            <w:shd w:val="clear" w:color="000000" w:fill="FFFFFF"/>
            <w:noWrap/>
            <w:vAlign w:val="center"/>
            <w:hideMark/>
          </w:tcPr>
          <w:p w14:paraId="67956782" w14:textId="77777777" w:rsidR="00527C3A" w:rsidRPr="00527C3A" w:rsidRDefault="00527C3A" w:rsidP="00527C3A">
            <w:pPr>
              <w:spacing w:after="0" w:line="240" w:lineRule="auto"/>
              <w:jc w:val="right"/>
              <w:rPr>
                <w:rFonts w:ascii="Arial" w:hAnsi="Arial" w:cs="Arial"/>
                <w:b/>
                <w:bCs/>
                <w:color w:val="auto"/>
                <w:sz w:val="16"/>
                <w:szCs w:val="16"/>
              </w:rPr>
            </w:pPr>
            <w:r w:rsidRPr="00527C3A">
              <w:rPr>
                <w:rFonts w:ascii="Arial" w:hAnsi="Arial" w:cs="Arial"/>
                <w:b/>
                <w:bCs/>
                <w:color w:val="auto"/>
                <w:sz w:val="16"/>
                <w:szCs w:val="16"/>
              </w:rPr>
              <w:t>43,013</w:t>
            </w:r>
          </w:p>
        </w:tc>
        <w:tc>
          <w:tcPr>
            <w:tcW w:w="1231" w:type="dxa"/>
            <w:tcBorders>
              <w:top w:val="single" w:sz="2" w:space="0" w:color="000000" w:themeColor="text1"/>
              <w:left w:val="nil"/>
              <w:bottom w:val="single" w:sz="2" w:space="0" w:color="000000" w:themeColor="text1"/>
              <w:right w:val="nil"/>
            </w:tcBorders>
            <w:shd w:val="clear" w:color="000000" w:fill="FFFFFF"/>
            <w:noWrap/>
            <w:vAlign w:val="center"/>
            <w:hideMark/>
          </w:tcPr>
          <w:p w14:paraId="69B0CE3A" w14:textId="77777777" w:rsidR="00527C3A" w:rsidRPr="00527C3A" w:rsidRDefault="00527C3A" w:rsidP="00527C3A">
            <w:pPr>
              <w:spacing w:after="0" w:line="240" w:lineRule="auto"/>
              <w:jc w:val="right"/>
              <w:rPr>
                <w:rFonts w:ascii="Arial" w:hAnsi="Arial" w:cs="Arial"/>
                <w:b/>
                <w:bCs/>
                <w:color w:val="auto"/>
                <w:sz w:val="16"/>
                <w:szCs w:val="16"/>
              </w:rPr>
            </w:pPr>
            <w:r w:rsidRPr="00527C3A">
              <w:rPr>
                <w:rFonts w:ascii="Arial" w:hAnsi="Arial" w:cs="Arial"/>
                <w:b/>
                <w:bCs/>
                <w:color w:val="auto"/>
                <w:sz w:val="16"/>
                <w:szCs w:val="16"/>
              </w:rPr>
              <w:t>15,190</w:t>
            </w:r>
          </w:p>
        </w:tc>
        <w:tc>
          <w:tcPr>
            <w:tcW w:w="1231" w:type="dxa"/>
            <w:tcBorders>
              <w:top w:val="single" w:sz="2" w:space="0" w:color="000000" w:themeColor="text1"/>
              <w:left w:val="nil"/>
              <w:bottom w:val="single" w:sz="2" w:space="0" w:color="000000" w:themeColor="text1"/>
              <w:right w:val="nil"/>
            </w:tcBorders>
            <w:shd w:val="clear" w:color="auto" w:fill="auto"/>
            <w:noWrap/>
            <w:vAlign w:val="bottom"/>
            <w:hideMark/>
          </w:tcPr>
          <w:p w14:paraId="3EE46568" w14:textId="77777777" w:rsidR="00527C3A" w:rsidRPr="00527C3A" w:rsidRDefault="00527C3A" w:rsidP="00527C3A">
            <w:pPr>
              <w:spacing w:after="0" w:line="240" w:lineRule="auto"/>
              <w:jc w:val="right"/>
              <w:rPr>
                <w:rFonts w:ascii="Arial" w:hAnsi="Arial" w:cs="Arial"/>
                <w:b/>
                <w:bCs/>
                <w:sz w:val="16"/>
                <w:szCs w:val="16"/>
              </w:rPr>
            </w:pPr>
            <w:r w:rsidRPr="00527C3A">
              <w:rPr>
                <w:rFonts w:ascii="Arial" w:hAnsi="Arial" w:cs="Arial"/>
                <w:b/>
                <w:bCs/>
                <w:sz w:val="16"/>
                <w:szCs w:val="16"/>
              </w:rPr>
              <w:t>11,855</w:t>
            </w:r>
          </w:p>
        </w:tc>
        <w:tc>
          <w:tcPr>
            <w:tcW w:w="1093" w:type="dxa"/>
            <w:tcBorders>
              <w:top w:val="single" w:sz="2" w:space="0" w:color="000000" w:themeColor="text1"/>
              <w:left w:val="nil"/>
              <w:bottom w:val="single" w:sz="2" w:space="0" w:color="000000" w:themeColor="text1"/>
              <w:right w:val="nil"/>
            </w:tcBorders>
            <w:shd w:val="clear" w:color="000000" w:fill="F2F2F2"/>
            <w:noWrap/>
            <w:vAlign w:val="bottom"/>
            <w:hideMark/>
          </w:tcPr>
          <w:p w14:paraId="5B13148E" w14:textId="77777777" w:rsidR="00527C3A" w:rsidRPr="00527C3A" w:rsidRDefault="00527C3A" w:rsidP="00527C3A">
            <w:pPr>
              <w:spacing w:after="0" w:line="240" w:lineRule="auto"/>
              <w:jc w:val="right"/>
              <w:rPr>
                <w:rFonts w:ascii="Arial" w:hAnsi="Arial" w:cs="Arial"/>
                <w:b/>
                <w:bCs/>
                <w:sz w:val="16"/>
                <w:szCs w:val="16"/>
              </w:rPr>
            </w:pPr>
            <w:r w:rsidRPr="00527C3A">
              <w:rPr>
                <w:rFonts w:ascii="Arial" w:hAnsi="Arial" w:cs="Arial"/>
                <w:b/>
                <w:bCs/>
                <w:sz w:val="16"/>
                <w:szCs w:val="16"/>
              </w:rPr>
              <w:t>9,466</w:t>
            </w:r>
          </w:p>
        </w:tc>
      </w:tr>
    </w:tbl>
    <w:p w14:paraId="0377675B" w14:textId="51D2157C" w:rsidR="00A84283" w:rsidRPr="00F408BD" w:rsidRDefault="005F7F69" w:rsidP="009A641E">
      <w:pPr>
        <w:pStyle w:val="ChartorTableFootnote"/>
      </w:pPr>
      <w:r w:rsidRPr="00172858">
        <w:t>As of 2017</w:t>
      </w:r>
      <w:r w:rsidRPr="00172858">
        <w:noBreakHyphen/>
        <w:t>18</w:t>
      </w:r>
      <w:r w:rsidR="00A84283" w:rsidRPr="00CC40C4">
        <w:t>, residential land approvals have included a condition to register on the Residential Land Register. Where this i</w:t>
      </w:r>
      <w:r w:rsidR="00A84283" w:rsidRPr="00F408BD">
        <w:t>s the only condition of the approval, for reporting purposes the approval has been classified as Approved without conditions.</w:t>
      </w:r>
    </w:p>
    <w:p w14:paraId="38BC1C36" w14:textId="140B7A2A" w:rsidR="005F7F69" w:rsidRPr="00E25F71" w:rsidRDefault="00A84283">
      <w:pPr>
        <w:pStyle w:val="ChartorTableNote"/>
      </w:pPr>
      <w:r w:rsidRPr="00E25F71">
        <w:t xml:space="preserve">Notes: </w:t>
      </w:r>
      <w:r w:rsidRPr="00E25F71">
        <w:tab/>
      </w:r>
      <w:r w:rsidR="008C530B" w:rsidRPr="00E25F71">
        <w:t xml:space="preserve">In determining the number of applications considered, an </w:t>
      </w:r>
      <w:r w:rsidR="00384616">
        <w:t>applicant</w:t>
      </w:r>
      <w:r w:rsidR="008C530B" w:rsidRPr="00E25F71">
        <w:t xml:space="preserve"> is required to have paid a foreign investment application fee or had the fee waived or be an exempt application</w:t>
      </w:r>
      <w:r w:rsidRPr="00E25F71">
        <w:t>.</w:t>
      </w:r>
    </w:p>
    <w:p w14:paraId="16BCE560" w14:textId="428D106E" w:rsidR="00A84283" w:rsidRPr="00E25F71" w:rsidRDefault="00A84283" w:rsidP="006D64A2">
      <w:pPr>
        <w:pStyle w:val="ChartorTableNote"/>
      </w:pPr>
      <w:r w:rsidRPr="00E25F71">
        <w:t>Variations considered are not included here. These are separately reported at Tables 3.15 and 3.16.</w:t>
      </w:r>
    </w:p>
    <w:p w14:paraId="67B84001" w14:textId="5C8B1ED3" w:rsidR="00A84283" w:rsidRPr="00E25F71" w:rsidRDefault="00A84283" w:rsidP="00406C1F">
      <w:pPr>
        <w:pStyle w:val="ChartorTableNote"/>
      </w:pPr>
      <w:r w:rsidRPr="00E25F71">
        <w:t xml:space="preserve">Numbers include corporate reorganisations and new businesses. </w:t>
      </w:r>
      <w:r w:rsidR="00A55889" w:rsidRPr="00E25F71">
        <w:t>Corporate reorganisations and new businesses data are excluded from analysis in other sections of this chapter, unless otherwise noted.</w:t>
      </w:r>
      <w:r w:rsidRPr="00E25F71">
        <w:t xml:space="preserve"> </w:t>
      </w:r>
    </w:p>
    <w:p w14:paraId="227C660B" w14:textId="0DC504FF" w:rsidR="00A84283" w:rsidRPr="00E25F71" w:rsidRDefault="00A84283">
      <w:pPr>
        <w:pStyle w:val="ChartorTableNote"/>
      </w:pPr>
      <w:r w:rsidRPr="00E25F71">
        <w:t>Data on declined applications is not separately available for years before 2017</w:t>
      </w:r>
      <w:r w:rsidR="005F7F69" w:rsidRPr="00E25F71">
        <w:noBreakHyphen/>
      </w:r>
      <w:r w:rsidRPr="00E25F71">
        <w:t>18.</w:t>
      </w:r>
    </w:p>
    <w:p w14:paraId="19637B41" w14:textId="3C2EC29E" w:rsidR="00A84283" w:rsidRPr="00E25F71" w:rsidRDefault="005F7F69">
      <w:pPr>
        <w:pStyle w:val="ChartorTableNote"/>
      </w:pPr>
      <w:r w:rsidRPr="00E25F71">
        <w:t>Data from 2015</w:t>
      </w:r>
      <w:r w:rsidRPr="00E25F71">
        <w:noBreakHyphen/>
      </w:r>
      <w:r w:rsidR="00A84283" w:rsidRPr="00E25F71">
        <w:t>16 onwards was impacted by the 1 December 2015 reforms. Data from 2016-17 onwards was impacted by the limiting foreign ownership in new developments reform announced in the 2017</w:t>
      </w:r>
      <w:r w:rsidRPr="00E25F71">
        <w:noBreakHyphen/>
      </w:r>
      <w:r w:rsidR="00A84283" w:rsidRPr="00E25F71">
        <w:t>18 Budget that had immediate effect from Budget night, 7.30pm on Tuesday 9 May 2017. The 2017</w:t>
      </w:r>
      <w:r w:rsidRPr="00E25F71">
        <w:noBreakHyphen/>
      </w:r>
      <w:r w:rsidR="00A84283" w:rsidRPr="00E25F71">
        <w:t>18 data was impacted by the other reforms announced in the 2017</w:t>
      </w:r>
      <w:r w:rsidRPr="00E25F71">
        <w:noBreakHyphen/>
      </w:r>
      <w:r w:rsidR="00A84283" w:rsidRPr="00E25F71">
        <w:t>18 Budget, which were given effect on 1 July 2017. These reforms may affect data comparability.</w:t>
      </w:r>
    </w:p>
    <w:p w14:paraId="187C3C7D" w14:textId="6DCFD73E" w:rsidR="00A84283" w:rsidRDefault="00A84283">
      <w:pPr>
        <w:pStyle w:val="ChartorTableNote"/>
      </w:pPr>
      <w:r w:rsidRPr="00E25F71">
        <w:t xml:space="preserve">Residential retrospective approval numbers are included here, in other applicable tables in this chapter and in Table 4.2, Chapter </w:t>
      </w:r>
      <w:r w:rsidR="00D251F9">
        <w:t>4</w:t>
      </w:r>
      <w:r w:rsidRPr="00E25F71">
        <w:t>: Compliance</w:t>
      </w:r>
      <w:r w:rsidRPr="00406C1F">
        <w:t>.</w:t>
      </w:r>
    </w:p>
    <w:p w14:paraId="598157A3" w14:textId="77777777" w:rsidR="00826C87" w:rsidRPr="00826C87" w:rsidRDefault="00826C87" w:rsidP="00826C87">
      <w:pPr>
        <w:pStyle w:val="SingleParagraph"/>
      </w:pPr>
    </w:p>
    <w:p w14:paraId="71295303" w14:textId="7A17F1C8" w:rsidR="00A84283" w:rsidRPr="00E25F71" w:rsidRDefault="00A84283" w:rsidP="001B3CF4">
      <w:pPr>
        <w:pStyle w:val="TableMainHeading"/>
        <w:keepLines/>
      </w:pPr>
      <w:bookmarkStart w:id="77" w:name="_Toc32247763"/>
      <w:bookmarkStart w:id="78" w:name="_Toc33521348"/>
      <w:r w:rsidRPr="00E25F71">
        <w:lastRenderedPageBreak/>
        <w:t>Table 3.2: Applications decided: 201</w:t>
      </w:r>
      <w:r w:rsidR="004B3A78" w:rsidRPr="00E25F71">
        <w:t>5</w:t>
      </w:r>
      <w:r w:rsidRPr="00E25F71">
        <w:t>–1</w:t>
      </w:r>
      <w:r w:rsidR="004B3A78" w:rsidRPr="00E25F71">
        <w:t>6</w:t>
      </w:r>
      <w:r w:rsidRPr="00E25F71">
        <w:t xml:space="preserve"> to 201</w:t>
      </w:r>
      <w:r w:rsidR="004B3A78" w:rsidRPr="00E25F71">
        <w:t>8</w:t>
      </w:r>
      <w:r w:rsidRPr="00E25F71">
        <w:t>–1</w:t>
      </w:r>
      <w:r w:rsidR="004B3A78" w:rsidRPr="00E25F71">
        <w:t>9</w:t>
      </w:r>
      <w:r w:rsidRPr="00E25F71">
        <w:t xml:space="preserve"> (value of proposed investment)</w:t>
      </w:r>
      <w:bookmarkEnd w:id="77"/>
      <w:bookmarkEnd w:id="78"/>
    </w:p>
    <w:tbl>
      <w:tblPr>
        <w:tblW w:w="5000" w:type="pct"/>
        <w:tblLook w:val="04A0" w:firstRow="1" w:lastRow="0" w:firstColumn="1" w:lastColumn="0" w:noHBand="0" w:noVBand="1"/>
      </w:tblPr>
      <w:tblGrid>
        <w:gridCol w:w="3054"/>
        <w:gridCol w:w="1164"/>
        <w:gridCol w:w="1164"/>
        <w:gridCol w:w="1164"/>
        <w:gridCol w:w="1164"/>
      </w:tblGrid>
      <w:tr w:rsidR="0000256F" w:rsidRPr="0000256F" w14:paraId="4DFC56CB" w14:textId="77777777" w:rsidTr="00435C2E">
        <w:trPr>
          <w:trHeight w:val="225"/>
        </w:trPr>
        <w:tc>
          <w:tcPr>
            <w:tcW w:w="1980" w:type="pct"/>
            <w:tcBorders>
              <w:top w:val="single" w:sz="2" w:space="0" w:color="000000" w:themeColor="text1"/>
              <w:left w:val="nil"/>
              <w:bottom w:val="nil"/>
              <w:right w:val="nil"/>
            </w:tcBorders>
            <w:shd w:val="clear" w:color="000000" w:fill="FFFFFF"/>
            <w:noWrap/>
            <w:hideMark/>
          </w:tcPr>
          <w:p w14:paraId="5717CCB8" w14:textId="6F99C8F4" w:rsidR="0000256F" w:rsidRPr="0000256F" w:rsidRDefault="0000256F" w:rsidP="001B3CF4">
            <w:pPr>
              <w:keepNext/>
              <w:keepLines/>
              <w:spacing w:after="0" w:line="240" w:lineRule="auto"/>
              <w:jc w:val="left"/>
              <w:rPr>
                <w:rFonts w:ascii="Arial" w:hAnsi="Arial" w:cs="Arial"/>
                <w:color w:val="auto"/>
                <w:sz w:val="16"/>
                <w:szCs w:val="16"/>
              </w:rPr>
            </w:pPr>
          </w:p>
        </w:tc>
        <w:tc>
          <w:tcPr>
            <w:tcW w:w="755" w:type="pct"/>
            <w:tcBorders>
              <w:top w:val="single" w:sz="2" w:space="0" w:color="000000" w:themeColor="text1"/>
              <w:left w:val="nil"/>
              <w:bottom w:val="nil"/>
              <w:right w:val="nil"/>
            </w:tcBorders>
            <w:shd w:val="clear" w:color="000000" w:fill="FFFFFF"/>
            <w:noWrap/>
            <w:vAlign w:val="center"/>
            <w:hideMark/>
          </w:tcPr>
          <w:p w14:paraId="47158A8E"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2015-16</w:t>
            </w:r>
          </w:p>
        </w:tc>
        <w:tc>
          <w:tcPr>
            <w:tcW w:w="755" w:type="pct"/>
            <w:tcBorders>
              <w:top w:val="single" w:sz="2" w:space="0" w:color="000000" w:themeColor="text1"/>
              <w:left w:val="nil"/>
              <w:bottom w:val="nil"/>
              <w:right w:val="nil"/>
            </w:tcBorders>
            <w:shd w:val="clear" w:color="000000" w:fill="FFFFFF"/>
            <w:noWrap/>
            <w:vAlign w:val="center"/>
            <w:hideMark/>
          </w:tcPr>
          <w:p w14:paraId="20715004"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2016-17</w:t>
            </w:r>
          </w:p>
        </w:tc>
        <w:tc>
          <w:tcPr>
            <w:tcW w:w="755" w:type="pct"/>
            <w:tcBorders>
              <w:top w:val="single" w:sz="2" w:space="0" w:color="000000" w:themeColor="text1"/>
              <w:left w:val="nil"/>
              <w:bottom w:val="nil"/>
              <w:right w:val="nil"/>
            </w:tcBorders>
            <w:shd w:val="clear" w:color="auto" w:fill="auto"/>
            <w:noWrap/>
            <w:vAlign w:val="center"/>
            <w:hideMark/>
          </w:tcPr>
          <w:p w14:paraId="3617688B" w14:textId="36719313" w:rsidR="0000256F" w:rsidRPr="0000256F" w:rsidRDefault="00527C3A" w:rsidP="001B3CF4">
            <w:pPr>
              <w:keepNext/>
              <w:keepLines/>
              <w:spacing w:after="0" w:line="240" w:lineRule="auto"/>
              <w:jc w:val="right"/>
              <w:rPr>
                <w:rFonts w:ascii="Arial" w:hAnsi="Arial" w:cs="Arial"/>
                <w:color w:val="auto"/>
                <w:sz w:val="16"/>
                <w:szCs w:val="16"/>
              </w:rPr>
            </w:pPr>
            <w:r>
              <w:rPr>
                <w:rFonts w:ascii="Arial" w:hAnsi="Arial" w:cs="Arial"/>
                <w:color w:val="auto"/>
                <w:sz w:val="16"/>
                <w:szCs w:val="16"/>
              </w:rPr>
              <w:t>2017-18</w:t>
            </w:r>
          </w:p>
        </w:tc>
        <w:tc>
          <w:tcPr>
            <w:tcW w:w="755" w:type="pct"/>
            <w:tcBorders>
              <w:top w:val="single" w:sz="2" w:space="0" w:color="000000" w:themeColor="text1"/>
              <w:left w:val="nil"/>
              <w:bottom w:val="nil"/>
              <w:right w:val="nil"/>
            </w:tcBorders>
            <w:shd w:val="clear" w:color="000000" w:fill="F2F2F2"/>
            <w:noWrap/>
            <w:vAlign w:val="center"/>
            <w:hideMark/>
          </w:tcPr>
          <w:p w14:paraId="3B127417" w14:textId="03118DE6" w:rsidR="0000256F" w:rsidRPr="0000256F" w:rsidRDefault="00527C3A" w:rsidP="001B3CF4">
            <w:pPr>
              <w:keepNext/>
              <w:keepLines/>
              <w:spacing w:after="0" w:line="240" w:lineRule="auto"/>
              <w:jc w:val="right"/>
              <w:rPr>
                <w:rFonts w:ascii="Arial" w:hAnsi="Arial" w:cs="Arial"/>
                <w:color w:val="auto"/>
                <w:sz w:val="16"/>
                <w:szCs w:val="16"/>
              </w:rPr>
            </w:pPr>
            <w:r>
              <w:rPr>
                <w:rFonts w:ascii="Arial" w:hAnsi="Arial" w:cs="Arial"/>
                <w:color w:val="auto"/>
                <w:sz w:val="16"/>
                <w:szCs w:val="16"/>
              </w:rPr>
              <w:t>2018-19</w:t>
            </w:r>
          </w:p>
        </w:tc>
      </w:tr>
      <w:tr w:rsidR="0000256F" w:rsidRPr="0000256F" w14:paraId="0A2228C5" w14:textId="77777777" w:rsidTr="00435C2E">
        <w:trPr>
          <w:trHeight w:val="225"/>
        </w:trPr>
        <w:tc>
          <w:tcPr>
            <w:tcW w:w="1980" w:type="pct"/>
            <w:tcBorders>
              <w:top w:val="nil"/>
              <w:left w:val="nil"/>
              <w:bottom w:val="single" w:sz="2" w:space="0" w:color="000000" w:themeColor="text1"/>
              <w:right w:val="nil"/>
            </w:tcBorders>
            <w:shd w:val="clear" w:color="000000" w:fill="FFFFFF"/>
            <w:noWrap/>
            <w:hideMark/>
          </w:tcPr>
          <w:p w14:paraId="649A8BAD" w14:textId="77777777" w:rsidR="0000256F" w:rsidRPr="0000256F" w:rsidRDefault="0000256F" w:rsidP="001B3CF4">
            <w:pPr>
              <w:keepNext/>
              <w:keepLines/>
              <w:spacing w:after="0" w:line="240" w:lineRule="auto"/>
              <w:jc w:val="left"/>
              <w:rPr>
                <w:rFonts w:ascii="Arial" w:hAnsi="Arial" w:cs="Arial"/>
                <w:color w:val="auto"/>
                <w:sz w:val="16"/>
                <w:szCs w:val="16"/>
              </w:rPr>
            </w:pPr>
            <w:r w:rsidRPr="0000256F">
              <w:rPr>
                <w:rFonts w:ascii="Arial" w:hAnsi="Arial" w:cs="Arial"/>
                <w:color w:val="auto"/>
                <w:sz w:val="16"/>
                <w:szCs w:val="16"/>
              </w:rPr>
              <w:t>Outcome</w:t>
            </w:r>
          </w:p>
        </w:tc>
        <w:tc>
          <w:tcPr>
            <w:tcW w:w="755" w:type="pct"/>
            <w:tcBorders>
              <w:top w:val="nil"/>
              <w:left w:val="nil"/>
              <w:bottom w:val="single" w:sz="2" w:space="0" w:color="000000" w:themeColor="text1"/>
              <w:right w:val="nil"/>
            </w:tcBorders>
            <w:shd w:val="clear" w:color="000000" w:fill="FFFFFF"/>
            <w:noWrap/>
            <w:vAlign w:val="bottom"/>
            <w:hideMark/>
          </w:tcPr>
          <w:p w14:paraId="17ED5533"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$b</w:t>
            </w:r>
          </w:p>
        </w:tc>
        <w:tc>
          <w:tcPr>
            <w:tcW w:w="755" w:type="pct"/>
            <w:tcBorders>
              <w:top w:val="nil"/>
              <w:left w:val="nil"/>
              <w:bottom w:val="single" w:sz="2" w:space="0" w:color="000000" w:themeColor="text1"/>
              <w:right w:val="nil"/>
            </w:tcBorders>
            <w:shd w:val="clear" w:color="000000" w:fill="FFFFFF"/>
            <w:noWrap/>
            <w:vAlign w:val="bottom"/>
            <w:hideMark/>
          </w:tcPr>
          <w:p w14:paraId="06EA47D8"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$b</w:t>
            </w:r>
          </w:p>
        </w:tc>
        <w:tc>
          <w:tcPr>
            <w:tcW w:w="755" w:type="pct"/>
            <w:tcBorders>
              <w:top w:val="nil"/>
              <w:left w:val="nil"/>
              <w:bottom w:val="single" w:sz="2" w:space="0" w:color="000000" w:themeColor="text1"/>
              <w:right w:val="nil"/>
            </w:tcBorders>
            <w:shd w:val="clear" w:color="auto" w:fill="auto"/>
            <w:noWrap/>
            <w:vAlign w:val="bottom"/>
            <w:hideMark/>
          </w:tcPr>
          <w:p w14:paraId="64D2D36D" w14:textId="485AE002"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$b</w:t>
            </w:r>
          </w:p>
        </w:tc>
        <w:tc>
          <w:tcPr>
            <w:tcW w:w="755" w:type="pct"/>
            <w:tcBorders>
              <w:top w:val="nil"/>
              <w:left w:val="nil"/>
              <w:bottom w:val="single" w:sz="2" w:space="0" w:color="000000" w:themeColor="text1"/>
              <w:right w:val="nil"/>
            </w:tcBorders>
            <w:shd w:val="clear" w:color="000000" w:fill="F2F2F2"/>
            <w:noWrap/>
            <w:vAlign w:val="bottom"/>
            <w:hideMark/>
          </w:tcPr>
          <w:p w14:paraId="0705F204" w14:textId="04110E2C"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$b</w:t>
            </w:r>
          </w:p>
        </w:tc>
      </w:tr>
      <w:tr w:rsidR="0000256F" w:rsidRPr="0000256F" w14:paraId="491FE84C" w14:textId="77777777" w:rsidTr="00435C2E">
        <w:trPr>
          <w:trHeight w:val="225"/>
        </w:trPr>
        <w:tc>
          <w:tcPr>
            <w:tcW w:w="1980" w:type="pct"/>
            <w:tcBorders>
              <w:top w:val="single" w:sz="2" w:space="0" w:color="000000" w:themeColor="text1"/>
              <w:left w:val="nil"/>
              <w:bottom w:val="nil"/>
              <w:right w:val="nil"/>
            </w:tcBorders>
            <w:shd w:val="clear" w:color="000000" w:fill="FFFFFF"/>
            <w:noWrap/>
            <w:vAlign w:val="center"/>
            <w:hideMark/>
          </w:tcPr>
          <w:p w14:paraId="5B82D293" w14:textId="11AD07AD" w:rsidR="0000256F" w:rsidRPr="0000256F" w:rsidRDefault="0058292B" w:rsidP="001B3CF4">
            <w:pPr>
              <w:keepNext/>
              <w:keepLines/>
              <w:spacing w:after="0" w:line="240" w:lineRule="auto"/>
              <w:jc w:val="left"/>
              <w:rPr>
                <w:rFonts w:ascii="Arial" w:hAnsi="Arial" w:cs="Arial"/>
                <w:color w:val="auto"/>
                <w:sz w:val="16"/>
                <w:szCs w:val="16"/>
              </w:rPr>
            </w:pPr>
            <w:r>
              <w:rPr>
                <w:rFonts w:ascii="Arial" w:hAnsi="Arial" w:cs="Arial"/>
                <w:color w:val="auto"/>
                <w:sz w:val="16"/>
                <w:szCs w:val="16"/>
              </w:rPr>
              <w:t>Approved without conditions (a)</w:t>
            </w:r>
          </w:p>
        </w:tc>
        <w:tc>
          <w:tcPr>
            <w:tcW w:w="755" w:type="pct"/>
            <w:tcBorders>
              <w:top w:val="single" w:sz="2" w:space="0" w:color="000000" w:themeColor="text1"/>
              <w:left w:val="nil"/>
              <w:right w:val="nil"/>
            </w:tcBorders>
            <w:shd w:val="clear" w:color="000000" w:fill="FFFFFF"/>
            <w:noWrap/>
            <w:vAlign w:val="center"/>
            <w:hideMark/>
          </w:tcPr>
          <w:p w14:paraId="44D53668"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97.0</w:t>
            </w:r>
          </w:p>
        </w:tc>
        <w:tc>
          <w:tcPr>
            <w:tcW w:w="755" w:type="pct"/>
            <w:tcBorders>
              <w:top w:val="single" w:sz="2" w:space="0" w:color="000000" w:themeColor="text1"/>
              <w:left w:val="nil"/>
              <w:right w:val="nil"/>
            </w:tcBorders>
            <w:shd w:val="clear" w:color="auto" w:fill="auto"/>
            <w:noWrap/>
            <w:vAlign w:val="center"/>
            <w:hideMark/>
          </w:tcPr>
          <w:p w14:paraId="429507ED"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53.8</w:t>
            </w:r>
          </w:p>
        </w:tc>
        <w:tc>
          <w:tcPr>
            <w:tcW w:w="755" w:type="pct"/>
            <w:tcBorders>
              <w:top w:val="single" w:sz="2" w:space="0" w:color="000000" w:themeColor="text1"/>
              <w:left w:val="nil"/>
              <w:right w:val="nil"/>
            </w:tcBorders>
            <w:shd w:val="clear" w:color="auto" w:fill="auto"/>
            <w:noWrap/>
            <w:vAlign w:val="bottom"/>
            <w:hideMark/>
          </w:tcPr>
          <w:p w14:paraId="6A5DE843"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40.1</w:t>
            </w:r>
          </w:p>
        </w:tc>
        <w:tc>
          <w:tcPr>
            <w:tcW w:w="755" w:type="pct"/>
            <w:tcBorders>
              <w:top w:val="single" w:sz="2" w:space="0" w:color="000000" w:themeColor="text1"/>
              <w:left w:val="nil"/>
              <w:right w:val="nil"/>
            </w:tcBorders>
            <w:shd w:val="clear" w:color="000000" w:fill="F2F2F2"/>
            <w:noWrap/>
            <w:vAlign w:val="bottom"/>
            <w:hideMark/>
          </w:tcPr>
          <w:p w14:paraId="2FA43206"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45.9</w:t>
            </w:r>
          </w:p>
        </w:tc>
      </w:tr>
      <w:tr w:rsidR="0000256F" w:rsidRPr="0000256F" w14:paraId="3FD0AF2F" w14:textId="77777777" w:rsidTr="00435C2E">
        <w:trPr>
          <w:trHeight w:val="225"/>
        </w:trPr>
        <w:tc>
          <w:tcPr>
            <w:tcW w:w="1980" w:type="pct"/>
            <w:tcBorders>
              <w:top w:val="nil"/>
              <w:left w:val="nil"/>
              <w:bottom w:val="nil"/>
              <w:right w:val="nil"/>
            </w:tcBorders>
            <w:shd w:val="clear" w:color="000000" w:fill="FFFFFF"/>
            <w:noWrap/>
            <w:vAlign w:val="center"/>
            <w:hideMark/>
          </w:tcPr>
          <w:p w14:paraId="681F7676" w14:textId="65E615D2" w:rsidR="0000256F" w:rsidRPr="0000256F" w:rsidRDefault="0058292B" w:rsidP="001B3CF4">
            <w:pPr>
              <w:keepNext/>
              <w:keepLines/>
              <w:spacing w:after="0" w:line="240" w:lineRule="auto"/>
              <w:jc w:val="left"/>
              <w:rPr>
                <w:rFonts w:ascii="Arial" w:hAnsi="Arial" w:cs="Arial"/>
                <w:color w:val="auto"/>
                <w:sz w:val="16"/>
                <w:szCs w:val="16"/>
              </w:rPr>
            </w:pPr>
            <w:r>
              <w:rPr>
                <w:rFonts w:ascii="Arial" w:hAnsi="Arial" w:cs="Arial"/>
                <w:color w:val="auto"/>
                <w:sz w:val="16"/>
                <w:szCs w:val="16"/>
              </w:rPr>
              <w:t>Approved with conditions (a)</w:t>
            </w:r>
          </w:p>
        </w:tc>
        <w:tc>
          <w:tcPr>
            <w:tcW w:w="755" w:type="pct"/>
            <w:tcBorders>
              <w:top w:val="nil"/>
              <w:left w:val="nil"/>
              <w:bottom w:val="single" w:sz="2" w:space="0" w:color="000000" w:themeColor="text1"/>
              <w:right w:val="nil"/>
            </w:tcBorders>
            <w:shd w:val="clear" w:color="000000" w:fill="FFFFFF"/>
            <w:noWrap/>
            <w:vAlign w:val="center"/>
            <w:hideMark/>
          </w:tcPr>
          <w:p w14:paraId="1A107851"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150.8</w:t>
            </w:r>
          </w:p>
        </w:tc>
        <w:tc>
          <w:tcPr>
            <w:tcW w:w="755" w:type="pct"/>
            <w:tcBorders>
              <w:top w:val="nil"/>
              <w:left w:val="nil"/>
              <w:bottom w:val="single" w:sz="2" w:space="0" w:color="000000" w:themeColor="text1"/>
              <w:right w:val="nil"/>
            </w:tcBorders>
            <w:shd w:val="clear" w:color="auto" w:fill="auto"/>
            <w:noWrap/>
            <w:vAlign w:val="center"/>
            <w:hideMark/>
          </w:tcPr>
          <w:p w14:paraId="04E4810A"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143.9</w:t>
            </w:r>
          </w:p>
        </w:tc>
        <w:tc>
          <w:tcPr>
            <w:tcW w:w="755" w:type="pct"/>
            <w:tcBorders>
              <w:top w:val="nil"/>
              <w:left w:val="nil"/>
              <w:bottom w:val="single" w:sz="2" w:space="0" w:color="000000" w:themeColor="text1"/>
              <w:right w:val="nil"/>
            </w:tcBorders>
            <w:shd w:val="clear" w:color="auto" w:fill="auto"/>
            <w:noWrap/>
            <w:vAlign w:val="bottom"/>
            <w:hideMark/>
          </w:tcPr>
          <w:p w14:paraId="4D37064B"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123.0</w:t>
            </w:r>
          </w:p>
        </w:tc>
        <w:tc>
          <w:tcPr>
            <w:tcW w:w="755" w:type="pct"/>
            <w:tcBorders>
              <w:top w:val="nil"/>
              <w:left w:val="nil"/>
              <w:bottom w:val="single" w:sz="2" w:space="0" w:color="000000" w:themeColor="text1"/>
              <w:right w:val="nil"/>
            </w:tcBorders>
            <w:shd w:val="clear" w:color="000000" w:fill="F2F2F2"/>
            <w:noWrap/>
            <w:vAlign w:val="bottom"/>
            <w:hideMark/>
          </w:tcPr>
          <w:p w14:paraId="52F944C9"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185.1</w:t>
            </w:r>
          </w:p>
        </w:tc>
      </w:tr>
      <w:tr w:rsidR="0000256F" w:rsidRPr="0000256F" w14:paraId="7975EE84" w14:textId="77777777" w:rsidTr="00435C2E">
        <w:trPr>
          <w:trHeight w:val="225"/>
        </w:trPr>
        <w:tc>
          <w:tcPr>
            <w:tcW w:w="1980" w:type="pct"/>
            <w:tcBorders>
              <w:top w:val="nil"/>
              <w:left w:val="nil"/>
              <w:bottom w:val="nil"/>
              <w:right w:val="nil"/>
            </w:tcBorders>
            <w:shd w:val="clear" w:color="000000" w:fill="FFFFFF"/>
            <w:noWrap/>
            <w:vAlign w:val="center"/>
            <w:hideMark/>
          </w:tcPr>
          <w:p w14:paraId="43DD6196" w14:textId="783D1C3D" w:rsidR="0000256F" w:rsidRPr="0000256F" w:rsidRDefault="0058292B" w:rsidP="001B3CF4">
            <w:pPr>
              <w:keepNext/>
              <w:keepLines/>
              <w:spacing w:after="0" w:line="240" w:lineRule="auto"/>
              <w:ind w:firstLineChars="100" w:firstLine="160"/>
              <w:jc w:val="left"/>
              <w:rPr>
                <w:rFonts w:ascii="Arial" w:hAnsi="Arial" w:cs="Arial"/>
                <w:b/>
                <w:bCs/>
                <w:color w:val="auto"/>
                <w:sz w:val="16"/>
                <w:szCs w:val="16"/>
              </w:rPr>
            </w:pPr>
            <w:r>
              <w:rPr>
                <w:rFonts w:ascii="Arial" w:hAnsi="Arial" w:cs="Arial"/>
                <w:b/>
                <w:bCs/>
                <w:color w:val="auto"/>
                <w:sz w:val="16"/>
                <w:szCs w:val="16"/>
              </w:rPr>
              <w:t>Total approved</w:t>
            </w:r>
          </w:p>
        </w:tc>
        <w:tc>
          <w:tcPr>
            <w:tcW w:w="755" w:type="pct"/>
            <w:tcBorders>
              <w:top w:val="single" w:sz="2" w:space="0" w:color="000000" w:themeColor="text1"/>
              <w:left w:val="nil"/>
              <w:bottom w:val="nil"/>
              <w:right w:val="nil"/>
            </w:tcBorders>
            <w:shd w:val="clear" w:color="000000" w:fill="FFFFFF"/>
            <w:noWrap/>
            <w:vAlign w:val="center"/>
            <w:hideMark/>
          </w:tcPr>
          <w:p w14:paraId="1EF58439"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247.9</w:t>
            </w:r>
          </w:p>
        </w:tc>
        <w:tc>
          <w:tcPr>
            <w:tcW w:w="755" w:type="pct"/>
            <w:tcBorders>
              <w:top w:val="single" w:sz="2" w:space="0" w:color="000000" w:themeColor="text1"/>
              <w:left w:val="nil"/>
              <w:bottom w:val="nil"/>
              <w:right w:val="nil"/>
            </w:tcBorders>
            <w:shd w:val="clear" w:color="auto" w:fill="auto"/>
            <w:noWrap/>
            <w:vAlign w:val="center"/>
            <w:hideMark/>
          </w:tcPr>
          <w:p w14:paraId="4BDE322F"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197.7</w:t>
            </w:r>
          </w:p>
        </w:tc>
        <w:tc>
          <w:tcPr>
            <w:tcW w:w="755" w:type="pct"/>
            <w:tcBorders>
              <w:top w:val="single" w:sz="2" w:space="0" w:color="000000" w:themeColor="text1"/>
              <w:left w:val="nil"/>
              <w:bottom w:val="nil"/>
              <w:right w:val="nil"/>
            </w:tcBorders>
            <w:shd w:val="clear" w:color="auto" w:fill="auto"/>
            <w:noWrap/>
            <w:vAlign w:val="bottom"/>
            <w:hideMark/>
          </w:tcPr>
          <w:p w14:paraId="263806BF"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163.1</w:t>
            </w:r>
          </w:p>
        </w:tc>
        <w:tc>
          <w:tcPr>
            <w:tcW w:w="755" w:type="pct"/>
            <w:tcBorders>
              <w:top w:val="single" w:sz="2" w:space="0" w:color="000000" w:themeColor="text1"/>
              <w:left w:val="nil"/>
              <w:bottom w:val="nil"/>
              <w:right w:val="nil"/>
            </w:tcBorders>
            <w:shd w:val="clear" w:color="000000" w:fill="F2F2F2"/>
            <w:noWrap/>
            <w:vAlign w:val="bottom"/>
            <w:hideMark/>
          </w:tcPr>
          <w:p w14:paraId="4E67A6C7"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231.0</w:t>
            </w:r>
          </w:p>
        </w:tc>
      </w:tr>
      <w:tr w:rsidR="0000256F" w:rsidRPr="0000256F" w14:paraId="704E94FE" w14:textId="77777777" w:rsidTr="0058292B">
        <w:trPr>
          <w:trHeight w:val="225"/>
        </w:trPr>
        <w:tc>
          <w:tcPr>
            <w:tcW w:w="1980" w:type="pct"/>
            <w:tcBorders>
              <w:top w:val="nil"/>
              <w:left w:val="nil"/>
              <w:bottom w:val="nil"/>
              <w:right w:val="nil"/>
            </w:tcBorders>
            <w:shd w:val="clear" w:color="000000" w:fill="FFFFFF"/>
            <w:noWrap/>
            <w:vAlign w:val="center"/>
            <w:hideMark/>
          </w:tcPr>
          <w:p w14:paraId="3C4C3012" w14:textId="0D2D9A93" w:rsidR="0000256F" w:rsidRPr="0000256F" w:rsidRDefault="0058292B" w:rsidP="001B3CF4">
            <w:pPr>
              <w:keepNext/>
              <w:keepLines/>
              <w:spacing w:after="0" w:line="240" w:lineRule="auto"/>
              <w:jc w:val="left"/>
              <w:rPr>
                <w:rFonts w:ascii="Arial" w:hAnsi="Arial" w:cs="Arial"/>
                <w:color w:val="auto"/>
                <w:sz w:val="16"/>
                <w:szCs w:val="16"/>
              </w:rPr>
            </w:pPr>
            <w:r>
              <w:rPr>
                <w:rFonts w:ascii="Arial" w:hAnsi="Arial" w:cs="Arial"/>
                <w:color w:val="auto"/>
                <w:sz w:val="16"/>
                <w:szCs w:val="16"/>
              </w:rPr>
              <w:t>Rejected</w:t>
            </w:r>
          </w:p>
        </w:tc>
        <w:tc>
          <w:tcPr>
            <w:tcW w:w="755" w:type="pct"/>
            <w:tcBorders>
              <w:top w:val="nil"/>
              <w:left w:val="nil"/>
              <w:bottom w:val="nil"/>
              <w:right w:val="nil"/>
            </w:tcBorders>
            <w:shd w:val="clear" w:color="000000" w:fill="FFFFFF"/>
            <w:noWrap/>
            <w:vAlign w:val="center"/>
            <w:hideMark/>
          </w:tcPr>
          <w:p w14:paraId="51DCEE97"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0.0</w:t>
            </w:r>
          </w:p>
        </w:tc>
        <w:tc>
          <w:tcPr>
            <w:tcW w:w="755" w:type="pct"/>
            <w:tcBorders>
              <w:top w:val="nil"/>
              <w:left w:val="nil"/>
              <w:bottom w:val="nil"/>
              <w:right w:val="nil"/>
            </w:tcBorders>
            <w:shd w:val="clear" w:color="auto" w:fill="auto"/>
            <w:noWrap/>
            <w:vAlign w:val="center"/>
            <w:hideMark/>
          </w:tcPr>
          <w:p w14:paraId="23B9FEB5"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20.0</w:t>
            </w:r>
          </w:p>
        </w:tc>
        <w:tc>
          <w:tcPr>
            <w:tcW w:w="755" w:type="pct"/>
            <w:tcBorders>
              <w:top w:val="nil"/>
              <w:left w:val="nil"/>
              <w:bottom w:val="nil"/>
              <w:right w:val="nil"/>
            </w:tcBorders>
            <w:shd w:val="clear" w:color="auto" w:fill="auto"/>
            <w:noWrap/>
            <w:vAlign w:val="bottom"/>
            <w:hideMark/>
          </w:tcPr>
          <w:p w14:paraId="316D3627"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0.1</w:t>
            </w:r>
          </w:p>
        </w:tc>
        <w:tc>
          <w:tcPr>
            <w:tcW w:w="755" w:type="pct"/>
            <w:tcBorders>
              <w:top w:val="nil"/>
              <w:left w:val="nil"/>
              <w:bottom w:val="nil"/>
              <w:right w:val="nil"/>
            </w:tcBorders>
            <w:shd w:val="clear" w:color="000000" w:fill="F2F2F2"/>
            <w:noWrap/>
            <w:vAlign w:val="bottom"/>
            <w:hideMark/>
          </w:tcPr>
          <w:p w14:paraId="45C34C30"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10.0</w:t>
            </w:r>
          </w:p>
        </w:tc>
      </w:tr>
      <w:tr w:rsidR="0000256F" w:rsidRPr="0000256F" w14:paraId="44C8973B" w14:textId="77777777" w:rsidTr="00435C2E">
        <w:trPr>
          <w:trHeight w:val="225"/>
        </w:trPr>
        <w:tc>
          <w:tcPr>
            <w:tcW w:w="1980" w:type="pct"/>
            <w:tcBorders>
              <w:top w:val="nil"/>
              <w:left w:val="nil"/>
              <w:right w:val="nil"/>
            </w:tcBorders>
            <w:shd w:val="clear" w:color="auto" w:fill="auto"/>
            <w:noWrap/>
            <w:vAlign w:val="center"/>
            <w:hideMark/>
          </w:tcPr>
          <w:p w14:paraId="11B6C006" w14:textId="6F418EDF" w:rsidR="0000256F" w:rsidRPr="0000256F" w:rsidRDefault="0058292B" w:rsidP="001B3CF4">
            <w:pPr>
              <w:keepNext/>
              <w:keepLines/>
              <w:spacing w:after="0" w:line="240" w:lineRule="auto"/>
              <w:jc w:val="left"/>
              <w:rPr>
                <w:rFonts w:ascii="Arial" w:hAnsi="Arial" w:cs="Arial"/>
                <w:color w:val="auto"/>
                <w:sz w:val="16"/>
                <w:szCs w:val="16"/>
              </w:rPr>
            </w:pPr>
            <w:r>
              <w:rPr>
                <w:rFonts w:ascii="Arial" w:hAnsi="Arial" w:cs="Arial"/>
                <w:color w:val="auto"/>
                <w:sz w:val="16"/>
                <w:szCs w:val="16"/>
              </w:rPr>
              <w:t>Declined</w:t>
            </w:r>
          </w:p>
        </w:tc>
        <w:tc>
          <w:tcPr>
            <w:tcW w:w="755" w:type="pct"/>
            <w:tcBorders>
              <w:top w:val="nil"/>
              <w:left w:val="nil"/>
              <w:bottom w:val="single" w:sz="2" w:space="0" w:color="000000" w:themeColor="text1"/>
              <w:right w:val="nil"/>
            </w:tcBorders>
            <w:shd w:val="clear" w:color="000000" w:fill="FFFFFF"/>
            <w:noWrap/>
            <w:vAlign w:val="center"/>
            <w:hideMark/>
          </w:tcPr>
          <w:p w14:paraId="2AF16173"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w:t>
            </w:r>
          </w:p>
        </w:tc>
        <w:tc>
          <w:tcPr>
            <w:tcW w:w="755" w:type="pct"/>
            <w:tcBorders>
              <w:top w:val="nil"/>
              <w:left w:val="nil"/>
              <w:bottom w:val="single" w:sz="2" w:space="0" w:color="000000" w:themeColor="text1"/>
              <w:right w:val="nil"/>
            </w:tcBorders>
            <w:shd w:val="clear" w:color="auto" w:fill="auto"/>
            <w:noWrap/>
            <w:vAlign w:val="center"/>
            <w:hideMark/>
          </w:tcPr>
          <w:p w14:paraId="09344642"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w:t>
            </w:r>
          </w:p>
        </w:tc>
        <w:tc>
          <w:tcPr>
            <w:tcW w:w="755" w:type="pct"/>
            <w:tcBorders>
              <w:top w:val="nil"/>
              <w:left w:val="nil"/>
              <w:bottom w:val="single" w:sz="2" w:space="0" w:color="000000" w:themeColor="text1"/>
              <w:right w:val="nil"/>
            </w:tcBorders>
            <w:shd w:val="clear" w:color="auto" w:fill="auto"/>
            <w:noWrap/>
            <w:vAlign w:val="bottom"/>
            <w:hideMark/>
          </w:tcPr>
          <w:p w14:paraId="3577FE69"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3.0</w:t>
            </w:r>
          </w:p>
        </w:tc>
        <w:tc>
          <w:tcPr>
            <w:tcW w:w="755" w:type="pct"/>
            <w:tcBorders>
              <w:top w:val="nil"/>
              <w:left w:val="nil"/>
              <w:bottom w:val="single" w:sz="2" w:space="0" w:color="000000" w:themeColor="text1"/>
              <w:right w:val="nil"/>
            </w:tcBorders>
            <w:shd w:val="clear" w:color="000000" w:fill="F2F2F2"/>
            <w:noWrap/>
            <w:vAlign w:val="bottom"/>
            <w:hideMark/>
          </w:tcPr>
          <w:p w14:paraId="5767D0F8" w14:textId="77777777" w:rsidR="0000256F" w:rsidRPr="0000256F" w:rsidRDefault="0000256F" w:rsidP="001B3CF4">
            <w:pPr>
              <w:keepNext/>
              <w:keepLines/>
              <w:spacing w:after="0" w:line="240" w:lineRule="auto"/>
              <w:jc w:val="right"/>
              <w:rPr>
                <w:rFonts w:ascii="Arial" w:hAnsi="Arial" w:cs="Arial"/>
                <w:color w:val="auto"/>
                <w:sz w:val="16"/>
                <w:szCs w:val="16"/>
              </w:rPr>
            </w:pPr>
            <w:r w:rsidRPr="0000256F">
              <w:rPr>
                <w:rFonts w:ascii="Arial" w:hAnsi="Arial" w:cs="Arial"/>
                <w:color w:val="auto"/>
                <w:sz w:val="16"/>
                <w:szCs w:val="16"/>
              </w:rPr>
              <w:t>-</w:t>
            </w:r>
          </w:p>
        </w:tc>
      </w:tr>
      <w:tr w:rsidR="0000256F" w:rsidRPr="0000256F" w14:paraId="5257B188" w14:textId="77777777" w:rsidTr="00435C2E">
        <w:trPr>
          <w:trHeight w:val="225"/>
        </w:trPr>
        <w:tc>
          <w:tcPr>
            <w:tcW w:w="1980" w:type="pct"/>
            <w:tcBorders>
              <w:left w:val="nil"/>
              <w:bottom w:val="single" w:sz="2" w:space="0" w:color="000000" w:themeColor="text1"/>
              <w:right w:val="nil"/>
            </w:tcBorders>
            <w:shd w:val="clear" w:color="000000" w:fill="FFFFFF"/>
            <w:noWrap/>
            <w:vAlign w:val="center"/>
            <w:hideMark/>
          </w:tcPr>
          <w:p w14:paraId="5E5E83CE" w14:textId="11BC263D" w:rsidR="0000256F" w:rsidRPr="0000256F" w:rsidRDefault="0058292B" w:rsidP="001B3CF4">
            <w:pPr>
              <w:keepNext/>
              <w:keepLines/>
              <w:spacing w:after="0" w:line="240" w:lineRule="auto"/>
              <w:ind w:firstLineChars="100" w:firstLine="160"/>
              <w:jc w:val="left"/>
              <w:rPr>
                <w:rFonts w:ascii="Arial" w:hAnsi="Arial" w:cs="Arial"/>
                <w:b/>
                <w:bCs/>
                <w:color w:val="auto"/>
                <w:sz w:val="16"/>
                <w:szCs w:val="16"/>
              </w:rPr>
            </w:pPr>
            <w:r>
              <w:rPr>
                <w:rFonts w:ascii="Arial" w:hAnsi="Arial" w:cs="Arial"/>
                <w:b/>
                <w:bCs/>
                <w:color w:val="auto"/>
                <w:sz w:val="16"/>
                <w:szCs w:val="16"/>
              </w:rPr>
              <w:t>Total decided</w:t>
            </w:r>
          </w:p>
        </w:tc>
        <w:tc>
          <w:tcPr>
            <w:tcW w:w="755" w:type="pct"/>
            <w:tcBorders>
              <w:top w:val="single" w:sz="2" w:space="0" w:color="000000" w:themeColor="text1"/>
              <w:left w:val="nil"/>
              <w:bottom w:val="single" w:sz="2" w:space="0" w:color="000000" w:themeColor="text1"/>
              <w:right w:val="nil"/>
            </w:tcBorders>
            <w:shd w:val="clear" w:color="000000" w:fill="FFFFFF"/>
            <w:noWrap/>
            <w:vAlign w:val="center"/>
            <w:hideMark/>
          </w:tcPr>
          <w:p w14:paraId="6AF359B7"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247.9</w:t>
            </w:r>
          </w:p>
        </w:tc>
        <w:tc>
          <w:tcPr>
            <w:tcW w:w="755" w:type="pct"/>
            <w:tcBorders>
              <w:top w:val="single" w:sz="2" w:space="0" w:color="000000" w:themeColor="text1"/>
              <w:left w:val="nil"/>
              <w:bottom w:val="single" w:sz="2" w:space="0" w:color="000000" w:themeColor="text1"/>
              <w:right w:val="nil"/>
            </w:tcBorders>
            <w:shd w:val="clear" w:color="auto" w:fill="auto"/>
            <w:noWrap/>
            <w:vAlign w:val="center"/>
            <w:hideMark/>
          </w:tcPr>
          <w:p w14:paraId="14C5A031"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217.7</w:t>
            </w:r>
          </w:p>
        </w:tc>
        <w:tc>
          <w:tcPr>
            <w:tcW w:w="755" w:type="pct"/>
            <w:tcBorders>
              <w:top w:val="single" w:sz="2" w:space="0" w:color="000000" w:themeColor="text1"/>
              <w:left w:val="nil"/>
              <w:bottom w:val="single" w:sz="2" w:space="0" w:color="000000" w:themeColor="text1"/>
              <w:right w:val="nil"/>
            </w:tcBorders>
            <w:shd w:val="clear" w:color="auto" w:fill="auto"/>
            <w:noWrap/>
            <w:vAlign w:val="bottom"/>
            <w:hideMark/>
          </w:tcPr>
          <w:p w14:paraId="7C9F420D"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166.1</w:t>
            </w:r>
          </w:p>
        </w:tc>
        <w:tc>
          <w:tcPr>
            <w:tcW w:w="755" w:type="pct"/>
            <w:tcBorders>
              <w:top w:val="single" w:sz="2" w:space="0" w:color="000000" w:themeColor="text1"/>
              <w:left w:val="nil"/>
              <w:bottom w:val="single" w:sz="2" w:space="0" w:color="000000" w:themeColor="text1"/>
              <w:right w:val="nil"/>
            </w:tcBorders>
            <w:shd w:val="clear" w:color="000000" w:fill="F2F2F2"/>
            <w:noWrap/>
            <w:vAlign w:val="bottom"/>
            <w:hideMark/>
          </w:tcPr>
          <w:p w14:paraId="04B5ED27"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241.0</w:t>
            </w:r>
          </w:p>
        </w:tc>
      </w:tr>
    </w:tbl>
    <w:p w14:paraId="329B90E6" w14:textId="475D9C13" w:rsidR="00A84283" w:rsidRPr="006D64A2" w:rsidRDefault="00A84283" w:rsidP="001B3CF4">
      <w:pPr>
        <w:pStyle w:val="ChartandTableFootnoteAlpha"/>
        <w:keepNext/>
        <w:keepLines/>
        <w:rPr>
          <w:b/>
        </w:rPr>
      </w:pPr>
      <w:r w:rsidRPr="006D64A2">
        <w:t>As of 201</w:t>
      </w:r>
      <w:r w:rsidR="00814652" w:rsidRPr="006D64A2">
        <w:t>7</w:t>
      </w:r>
      <w:r w:rsidR="00814652" w:rsidRPr="006D64A2">
        <w:noBreakHyphen/>
        <w:t>18</w:t>
      </w:r>
      <w:r w:rsidRPr="006D64A2">
        <w:t>, residential land approvals have included a condition to register on the Residential Land Register. Where this is the only condition of the approval, for reporting purposes the approval has been classified as approved without conditions.</w:t>
      </w:r>
    </w:p>
    <w:p w14:paraId="15129B54" w14:textId="2CE9E81F" w:rsidR="00A84283" w:rsidRPr="00E25F71" w:rsidRDefault="00A84283" w:rsidP="001B3CF4">
      <w:pPr>
        <w:pStyle w:val="ChartorTableNote"/>
        <w:keepNext/>
        <w:keepLines/>
      </w:pPr>
      <w:r w:rsidRPr="00814652">
        <w:t>Notes:</w:t>
      </w:r>
      <w:r w:rsidRPr="00814652">
        <w:tab/>
      </w:r>
      <w:r w:rsidRPr="00E25F71">
        <w:t>Totals may not add due to rounding.</w:t>
      </w:r>
    </w:p>
    <w:p w14:paraId="05DD9BD8" w14:textId="1D63CE4C" w:rsidR="00A84283" w:rsidRPr="00E25F71" w:rsidRDefault="00A84283" w:rsidP="001B3CF4">
      <w:pPr>
        <w:pStyle w:val="ChartorTableNote"/>
        <w:keepNext/>
        <w:keepLines/>
      </w:pPr>
      <w:r w:rsidRPr="00E25F71">
        <w:t>‘0.0’ indicates a figure of less than $50 million.</w:t>
      </w:r>
    </w:p>
    <w:p w14:paraId="21B05508" w14:textId="5C8045B9" w:rsidR="00A84283" w:rsidRPr="00E25F71" w:rsidRDefault="00A84283" w:rsidP="001B3CF4">
      <w:pPr>
        <w:pStyle w:val="ChartorTableNote"/>
        <w:keepNext/>
        <w:keepLines/>
      </w:pPr>
      <w:r w:rsidRPr="00E25F71">
        <w:t>Figures exclude corporate reorganisations (1</w:t>
      </w:r>
      <w:r w:rsidR="000F1514" w:rsidRPr="00E25F71">
        <w:t>28</w:t>
      </w:r>
      <w:r w:rsidRPr="00E25F71">
        <w:t xml:space="preserve"> approved in</w:t>
      </w:r>
      <w:r w:rsidR="00814652" w:rsidRPr="00E25F71">
        <w:t xml:space="preserve"> 2018</w:t>
      </w:r>
      <w:r w:rsidR="00CC5619" w:rsidRPr="00E25F71">
        <w:t>–1</w:t>
      </w:r>
      <w:r w:rsidR="00814652" w:rsidRPr="00E25F71">
        <w:t>9</w:t>
      </w:r>
      <w:r w:rsidR="00CC5619" w:rsidRPr="00E25F71">
        <w:t>) and new businesses (22</w:t>
      </w:r>
      <w:r w:rsidRPr="00E25F71">
        <w:t xml:space="preserve"> approved in 201</w:t>
      </w:r>
      <w:r w:rsidR="00CC5619" w:rsidRPr="00E25F71">
        <w:t>8</w:t>
      </w:r>
      <w:r w:rsidR="00CC5619" w:rsidRPr="00E25F71">
        <w:noBreakHyphen/>
        <w:t>19</w:t>
      </w:r>
      <w:r w:rsidRPr="00E25F71">
        <w:t>), since they are attributed $0 value. Corporate reorganisations and new businesses are also excluded from earlier year data.</w:t>
      </w:r>
    </w:p>
    <w:p w14:paraId="04BAEA27" w14:textId="20F8DE65" w:rsidR="00A84283" w:rsidRPr="00E25F71" w:rsidRDefault="00A84283" w:rsidP="001B3CF4">
      <w:pPr>
        <w:pStyle w:val="ChartorTableNote"/>
        <w:keepNext/>
        <w:keepLines/>
      </w:pPr>
      <w:r w:rsidRPr="00E25F71">
        <w:t>Data on declined applications is not separately available for years before 2017</w:t>
      </w:r>
      <w:r w:rsidR="00814652" w:rsidRPr="00E25F71">
        <w:noBreakHyphen/>
      </w:r>
      <w:r w:rsidRPr="00E25F71">
        <w:t>18.</w:t>
      </w:r>
    </w:p>
    <w:p w14:paraId="7D6C6015" w14:textId="6583010A" w:rsidR="00A84283" w:rsidRPr="00E25F71" w:rsidRDefault="00814652" w:rsidP="001B3CF4">
      <w:pPr>
        <w:pStyle w:val="ChartorTableNote"/>
        <w:keepLines/>
      </w:pPr>
      <w:r w:rsidRPr="00E25F71">
        <w:t>Data for 2016-</w:t>
      </w:r>
      <w:r w:rsidR="00A84283" w:rsidRPr="00E25F71">
        <w:t>17 has been amended from earlier published data to reflect an upward revision of residential real estate values. These revisions have also been applied to Tables 3.3, 3.4, and 3.10.</w:t>
      </w:r>
      <w:r w:rsidR="000F1514" w:rsidRPr="00E25F71">
        <w:t xml:space="preserve"> </w:t>
      </w:r>
      <w:r w:rsidR="00A84283" w:rsidRPr="00E25F71">
        <w:t>Data for 2015–16 onwards was impacted by the 1 Decembe</w:t>
      </w:r>
      <w:r w:rsidRPr="00E25F71">
        <w:t>r 2015 reforms. Data from 2016-1</w:t>
      </w:r>
      <w:r w:rsidR="00A84283" w:rsidRPr="00E25F71">
        <w:t>7 onwards was impacted by the limiting foreign ownership in new developments reform announced in the 2017</w:t>
      </w:r>
      <w:r w:rsidRPr="00E25F71">
        <w:noBreakHyphen/>
      </w:r>
      <w:r w:rsidR="00A84283" w:rsidRPr="00E25F71">
        <w:t xml:space="preserve">18 Budget that had immediate effect from </w:t>
      </w:r>
      <w:r w:rsidR="001B3CF4">
        <w:t>Budget night, 7.30pm on Tuesday 9 May </w:t>
      </w:r>
      <w:r w:rsidR="00A84283" w:rsidRPr="00E25F71">
        <w:t>2017. The 2017</w:t>
      </w:r>
      <w:r w:rsidRPr="00E25F71">
        <w:noBreakHyphen/>
      </w:r>
      <w:r w:rsidR="00A84283" w:rsidRPr="00E25F71">
        <w:t>18 data was impacted by the other reforms announced in the 2017</w:t>
      </w:r>
      <w:r w:rsidRPr="00E25F71">
        <w:noBreakHyphen/>
      </w:r>
      <w:r w:rsidR="00A84283" w:rsidRPr="00E25F71">
        <w:t>18 Budget, which were given effect on 1 July 2017. These reforms may affect data comparability.</w:t>
      </w:r>
    </w:p>
    <w:p w14:paraId="41AF0E99" w14:textId="61EF0D32" w:rsidR="00A84283" w:rsidRPr="006D64A2" w:rsidRDefault="00A84283" w:rsidP="001B4DB0">
      <w:pPr>
        <w:pStyle w:val="Heading2"/>
      </w:pPr>
      <w:bookmarkStart w:id="79" w:name="_Toc31296903"/>
      <w:bookmarkStart w:id="80" w:name="_Toc31636021"/>
      <w:bookmarkStart w:id="81" w:name="_Toc31642790"/>
      <w:bookmarkStart w:id="82" w:name="_Toc32247799"/>
      <w:bookmarkStart w:id="83" w:name="_Toc33625848"/>
      <w:r w:rsidRPr="006D64A2">
        <w:t>Approvals overview</w:t>
      </w:r>
      <w:bookmarkEnd w:id="79"/>
      <w:bookmarkEnd w:id="80"/>
      <w:bookmarkEnd w:id="81"/>
      <w:bookmarkEnd w:id="82"/>
      <w:bookmarkEnd w:id="83"/>
    </w:p>
    <w:p w14:paraId="08A7C753" w14:textId="0F1F744C" w:rsidR="00A84283" w:rsidRDefault="00A84283" w:rsidP="002E2EFE">
      <w:r w:rsidRPr="00A84283">
        <w:t>As noted earlier, the value of approvals in 201</w:t>
      </w:r>
      <w:r w:rsidR="00814652">
        <w:t>8–19</w:t>
      </w:r>
      <w:r w:rsidRPr="00A84283">
        <w:t xml:space="preserve"> was </w:t>
      </w:r>
      <w:r w:rsidR="00814652">
        <w:t>substantially greater</w:t>
      </w:r>
      <w:r w:rsidRPr="00A84283">
        <w:t xml:space="preserve"> than in</w:t>
      </w:r>
      <w:r w:rsidR="00814652">
        <w:t xml:space="preserve"> </w:t>
      </w:r>
      <w:r w:rsidRPr="00A84283">
        <w:t>201</w:t>
      </w:r>
      <w:r w:rsidR="00814652">
        <w:t>7</w:t>
      </w:r>
      <w:r w:rsidR="00CF62AC">
        <w:noBreakHyphen/>
      </w:r>
      <w:r w:rsidRPr="00A84283">
        <w:t>1</w:t>
      </w:r>
      <w:r w:rsidR="00814652">
        <w:t>8</w:t>
      </w:r>
      <w:r w:rsidR="00246903">
        <w:t>.</w:t>
      </w:r>
      <w:r w:rsidR="007A2758">
        <w:t xml:space="preserve"> </w:t>
      </w:r>
      <w:r w:rsidR="00246903">
        <w:t xml:space="preserve">This is </w:t>
      </w:r>
      <w:r w:rsidR="007A2758">
        <w:t xml:space="preserve">notwithstanding the decline in </w:t>
      </w:r>
      <w:r w:rsidR="0013673F">
        <w:t>the number of approvals overall in 2018</w:t>
      </w:r>
      <w:r w:rsidR="0013673F">
        <w:noBreakHyphen/>
        <w:t>19.</w:t>
      </w:r>
    </w:p>
    <w:p w14:paraId="279668A3" w14:textId="6E44C17A" w:rsidR="00A84283" w:rsidRPr="00A84283" w:rsidRDefault="00246903" w:rsidP="002E2EFE">
      <w:r>
        <w:t>T</w:t>
      </w:r>
      <w:r w:rsidR="00493941">
        <w:t xml:space="preserve">he number </w:t>
      </w:r>
      <w:r w:rsidR="00A84283" w:rsidRPr="00A84283">
        <w:t xml:space="preserve">of approvals </w:t>
      </w:r>
      <w:r>
        <w:t xml:space="preserve">valued at </w:t>
      </w:r>
      <w:r w:rsidR="00493941">
        <w:t>$2</w:t>
      </w:r>
      <w:r w:rsidR="00CF62AC">
        <w:t> </w:t>
      </w:r>
      <w:r w:rsidR="00493941">
        <w:t xml:space="preserve">billion </w:t>
      </w:r>
      <w:r w:rsidR="007A2758">
        <w:t>or more</w:t>
      </w:r>
      <w:r w:rsidR="00493941">
        <w:t xml:space="preserve"> rose substantially</w:t>
      </w:r>
      <w:r w:rsidR="007A2758">
        <w:t xml:space="preserve"> in 2018</w:t>
      </w:r>
      <w:r w:rsidR="007A2758">
        <w:noBreakHyphen/>
        <w:t>19</w:t>
      </w:r>
      <w:r>
        <w:t xml:space="preserve">, with </w:t>
      </w:r>
      <w:r w:rsidR="00CF66F9">
        <w:t>23 </w:t>
      </w:r>
      <w:r w:rsidR="00493941">
        <w:t xml:space="preserve">approvals </w:t>
      </w:r>
      <w:r w:rsidR="00CF62AC">
        <w:t>in</w:t>
      </w:r>
      <w:r>
        <w:t xml:space="preserve"> this category. This compares to </w:t>
      </w:r>
      <w:r w:rsidR="00D50C0E">
        <w:t>previous periods with only two</w:t>
      </w:r>
      <w:r w:rsidR="00CF62AC">
        <w:t xml:space="preserve"> recorded in 2017</w:t>
      </w:r>
      <w:r w:rsidR="00CF62AC">
        <w:noBreakHyphen/>
      </w:r>
      <w:r>
        <w:t xml:space="preserve">18 </w:t>
      </w:r>
      <w:r w:rsidR="00493941">
        <w:t xml:space="preserve">and 13 in </w:t>
      </w:r>
      <w:r w:rsidR="00A84283" w:rsidRPr="00A84283">
        <w:t>201</w:t>
      </w:r>
      <w:r w:rsidR="00CF62AC">
        <w:t>6</w:t>
      </w:r>
      <w:r w:rsidR="00CF62AC">
        <w:noBreakHyphen/>
      </w:r>
      <w:r w:rsidR="00493941">
        <w:t>17</w:t>
      </w:r>
      <w:r w:rsidR="00A84283" w:rsidRPr="00A84283">
        <w:t xml:space="preserve">. </w:t>
      </w:r>
    </w:p>
    <w:p w14:paraId="5038F281" w14:textId="17B1EA00" w:rsidR="00A84283" w:rsidRPr="00E25F71" w:rsidRDefault="00A84283" w:rsidP="001B3CF4">
      <w:pPr>
        <w:pStyle w:val="TableMainHeading"/>
        <w:keepLines/>
      </w:pPr>
      <w:bookmarkStart w:id="84" w:name="_Toc31817656"/>
      <w:bookmarkStart w:id="85" w:name="_Toc32247764"/>
      <w:bookmarkStart w:id="86" w:name="_Toc33521349"/>
      <w:r w:rsidRPr="00E25F71">
        <w:lastRenderedPageBreak/>
        <w:t>Table 3.3: Total approvals by value of proposed investment range: 201</w:t>
      </w:r>
      <w:r w:rsidR="007A2758" w:rsidRPr="00E25F71">
        <w:t>5</w:t>
      </w:r>
      <w:r w:rsidRPr="00E25F71">
        <w:t>–1</w:t>
      </w:r>
      <w:r w:rsidR="007A2758" w:rsidRPr="00E25F71">
        <w:t>6 to 2018</w:t>
      </w:r>
      <w:r w:rsidRPr="00E25F71">
        <w:t>–1</w:t>
      </w:r>
      <w:r w:rsidR="007A2758" w:rsidRPr="00E25F71">
        <w:t>9</w:t>
      </w:r>
      <w:r w:rsidRPr="00E25F71">
        <w:t xml:space="preserve"> (number and value of approvals)</w:t>
      </w:r>
      <w:bookmarkEnd w:id="84"/>
      <w:bookmarkEnd w:id="85"/>
      <w:bookmarkEnd w:id="86"/>
    </w:p>
    <w:tbl>
      <w:tblPr>
        <w:tblW w:w="5000" w:type="pct"/>
        <w:tblLook w:val="04A0" w:firstRow="1" w:lastRow="0" w:firstColumn="1" w:lastColumn="0" w:noHBand="0" w:noVBand="1"/>
      </w:tblPr>
      <w:tblGrid>
        <w:gridCol w:w="2390"/>
        <w:gridCol w:w="739"/>
        <w:gridCol w:w="617"/>
        <w:gridCol w:w="713"/>
        <w:gridCol w:w="617"/>
        <w:gridCol w:w="713"/>
        <w:gridCol w:w="617"/>
        <w:gridCol w:w="641"/>
        <w:gridCol w:w="663"/>
      </w:tblGrid>
      <w:tr w:rsidR="0000256F" w:rsidRPr="0000256F" w14:paraId="4260A9E3" w14:textId="77777777" w:rsidTr="00435C2E">
        <w:trPr>
          <w:trHeight w:val="229"/>
        </w:trPr>
        <w:tc>
          <w:tcPr>
            <w:tcW w:w="1154" w:type="pct"/>
            <w:tcBorders>
              <w:top w:val="single" w:sz="2" w:space="0" w:color="000000" w:themeColor="text1"/>
              <w:left w:val="nil"/>
              <w:bottom w:val="nil"/>
              <w:right w:val="nil"/>
            </w:tcBorders>
            <w:shd w:val="clear" w:color="000000" w:fill="FFFFFF"/>
            <w:noWrap/>
            <w:vAlign w:val="center"/>
            <w:hideMark/>
          </w:tcPr>
          <w:p w14:paraId="47E5B37E" w14:textId="27E122A3" w:rsidR="0000256F" w:rsidRPr="0000256F" w:rsidRDefault="0000256F" w:rsidP="001B3CF4">
            <w:pPr>
              <w:keepNext/>
              <w:keepLines/>
              <w:spacing w:after="0" w:line="240" w:lineRule="auto"/>
              <w:jc w:val="right"/>
              <w:rPr>
                <w:rFonts w:ascii="Arial" w:hAnsi="Arial" w:cs="Arial"/>
                <w:sz w:val="16"/>
                <w:szCs w:val="16"/>
              </w:rPr>
            </w:pPr>
          </w:p>
        </w:tc>
        <w:tc>
          <w:tcPr>
            <w:tcW w:w="961" w:type="pct"/>
            <w:gridSpan w:val="2"/>
            <w:tcBorders>
              <w:top w:val="single" w:sz="2" w:space="0" w:color="000000" w:themeColor="text1"/>
              <w:left w:val="nil"/>
              <w:right w:val="nil"/>
            </w:tcBorders>
            <w:shd w:val="clear" w:color="000000" w:fill="FFFFFF"/>
            <w:noWrap/>
            <w:vAlign w:val="center"/>
            <w:hideMark/>
          </w:tcPr>
          <w:p w14:paraId="5223D20C"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2015-16</w:t>
            </w:r>
          </w:p>
        </w:tc>
        <w:tc>
          <w:tcPr>
            <w:tcW w:w="961" w:type="pct"/>
            <w:gridSpan w:val="2"/>
            <w:tcBorders>
              <w:top w:val="single" w:sz="2" w:space="0" w:color="000000" w:themeColor="text1"/>
              <w:left w:val="nil"/>
              <w:right w:val="nil"/>
            </w:tcBorders>
            <w:shd w:val="clear" w:color="000000" w:fill="FFFFFF"/>
            <w:noWrap/>
            <w:vAlign w:val="center"/>
            <w:hideMark/>
          </w:tcPr>
          <w:p w14:paraId="433DF811"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2016-17</w:t>
            </w:r>
          </w:p>
        </w:tc>
        <w:tc>
          <w:tcPr>
            <w:tcW w:w="961" w:type="pct"/>
            <w:gridSpan w:val="2"/>
            <w:tcBorders>
              <w:top w:val="single" w:sz="2" w:space="0" w:color="000000" w:themeColor="text1"/>
              <w:left w:val="nil"/>
              <w:right w:val="nil"/>
            </w:tcBorders>
            <w:shd w:val="clear" w:color="000000" w:fill="FFFFFF"/>
            <w:noWrap/>
            <w:vAlign w:val="center"/>
            <w:hideMark/>
          </w:tcPr>
          <w:p w14:paraId="3B62789F"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2017-18</w:t>
            </w:r>
          </w:p>
        </w:tc>
        <w:tc>
          <w:tcPr>
            <w:tcW w:w="961" w:type="pct"/>
            <w:gridSpan w:val="2"/>
            <w:tcBorders>
              <w:top w:val="single" w:sz="2" w:space="0" w:color="000000" w:themeColor="text1"/>
              <w:left w:val="nil"/>
              <w:right w:val="nil"/>
            </w:tcBorders>
            <w:shd w:val="clear" w:color="000000" w:fill="F2F2F2"/>
            <w:noWrap/>
            <w:vAlign w:val="center"/>
            <w:hideMark/>
          </w:tcPr>
          <w:p w14:paraId="4BBA3A70"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2018-19</w:t>
            </w:r>
          </w:p>
        </w:tc>
      </w:tr>
      <w:tr w:rsidR="0000256F" w:rsidRPr="0000256F" w14:paraId="26F8589D" w14:textId="77777777" w:rsidTr="00435C2E">
        <w:trPr>
          <w:trHeight w:val="229"/>
        </w:trPr>
        <w:tc>
          <w:tcPr>
            <w:tcW w:w="1154" w:type="pct"/>
            <w:tcBorders>
              <w:top w:val="nil"/>
              <w:left w:val="nil"/>
              <w:bottom w:val="single" w:sz="2" w:space="0" w:color="000000" w:themeColor="text1"/>
              <w:right w:val="nil"/>
            </w:tcBorders>
            <w:shd w:val="clear" w:color="000000" w:fill="FFFFFF"/>
            <w:noWrap/>
            <w:vAlign w:val="center"/>
            <w:hideMark/>
          </w:tcPr>
          <w:p w14:paraId="11624315" w14:textId="77777777" w:rsidR="0000256F" w:rsidRPr="0000256F" w:rsidRDefault="0000256F" w:rsidP="001B3CF4">
            <w:pPr>
              <w:keepNext/>
              <w:keepLines/>
              <w:spacing w:after="0" w:line="240" w:lineRule="auto"/>
              <w:jc w:val="left"/>
              <w:rPr>
                <w:rFonts w:ascii="Arial" w:hAnsi="Arial" w:cs="Arial"/>
                <w:sz w:val="16"/>
                <w:szCs w:val="16"/>
              </w:rPr>
            </w:pPr>
            <w:r w:rsidRPr="0000256F">
              <w:rPr>
                <w:rFonts w:ascii="Arial" w:hAnsi="Arial" w:cs="Arial"/>
                <w:sz w:val="16"/>
                <w:szCs w:val="16"/>
              </w:rPr>
              <w:t>Value of approval</w:t>
            </w:r>
          </w:p>
        </w:tc>
        <w:tc>
          <w:tcPr>
            <w:tcW w:w="529" w:type="pct"/>
            <w:tcBorders>
              <w:left w:val="nil"/>
              <w:bottom w:val="single" w:sz="2" w:space="0" w:color="000000" w:themeColor="text1"/>
              <w:right w:val="nil"/>
            </w:tcBorders>
            <w:shd w:val="clear" w:color="000000" w:fill="FFFFFF"/>
            <w:noWrap/>
            <w:vAlign w:val="center"/>
            <w:hideMark/>
          </w:tcPr>
          <w:p w14:paraId="01B43966"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No.</w:t>
            </w:r>
          </w:p>
        </w:tc>
        <w:tc>
          <w:tcPr>
            <w:tcW w:w="433" w:type="pct"/>
            <w:tcBorders>
              <w:left w:val="nil"/>
              <w:bottom w:val="single" w:sz="2" w:space="0" w:color="000000" w:themeColor="text1"/>
              <w:right w:val="nil"/>
            </w:tcBorders>
            <w:shd w:val="clear" w:color="000000" w:fill="FFFFFF"/>
            <w:noWrap/>
            <w:vAlign w:val="center"/>
            <w:hideMark/>
          </w:tcPr>
          <w:p w14:paraId="7A0ABD71"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$b</w:t>
            </w:r>
          </w:p>
        </w:tc>
        <w:tc>
          <w:tcPr>
            <w:tcW w:w="529" w:type="pct"/>
            <w:tcBorders>
              <w:left w:val="nil"/>
              <w:bottom w:val="single" w:sz="2" w:space="0" w:color="000000" w:themeColor="text1"/>
              <w:right w:val="nil"/>
            </w:tcBorders>
            <w:shd w:val="clear" w:color="000000" w:fill="FFFFFF"/>
            <w:noWrap/>
            <w:vAlign w:val="center"/>
            <w:hideMark/>
          </w:tcPr>
          <w:p w14:paraId="09128B85"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No.</w:t>
            </w:r>
          </w:p>
        </w:tc>
        <w:tc>
          <w:tcPr>
            <w:tcW w:w="433" w:type="pct"/>
            <w:tcBorders>
              <w:left w:val="nil"/>
              <w:bottom w:val="single" w:sz="2" w:space="0" w:color="000000" w:themeColor="text1"/>
              <w:right w:val="nil"/>
            </w:tcBorders>
            <w:shd w:val="clear" w:color="000000" w:fill="FFFFFF"/>
            <w:noWrap/>
            <w:vAlign w:val="center"/>
            <w:hideMark/>
          </w:tcPr>
          <w:p w14:paraId="277F3446"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$b</w:t>
            </w:r>
          </w:p>
        </w:tc>
        <w:tc>
          <w:tcPr>
            <w:tcW w:w="529" w:type="pct"/>
            <w:tcBorders>
              <w:left w:val="nil"/>
              <w:bottom w:val="single" w:sz="2" w:space="0" w:color="000000" w:themeColor="text1"/>
              <w:right w:val="nil"/>
            </w:tcBorders>
            <w:shd w:val="clear" w:color="000000" w:fill="FFFFFF"/>
            <w:noWrap/>
            <w:vAlign w:val="center"/>
            <w:hideMark/>
          </w:tcPr>
          <w:p w14:paraId="56053BCB"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No.</w:t>
            </w:r>
          </w:p>
        </w:tc>
        <w:tc>
          <w:tcPr>
            <w:tcW w:w="433" w:type="pct"/>
            <w:tcBorders>
              <w:left w:val="nil"/>
              <w:bottom w:val="single" w:sz="2" w:space="0" w:color="000000" w:themeColor="text1"/>
              <w:right w:val="nil"/>
            </w:tcBorders>
            <w:shd w:val="clear" w:color="000000" w:fill="FFFFFF"/>
            <w:noWrap/>
            <w:vAlign w:val="center"/>
            <w:hideMark/>
          </w:tcPr>
          <w:p w14:paraId="21D3B6D6"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$b</w:t>
            </w:r>
          </w:p>
        </w:tc>
        <w:tc>
          <w:tcPr>
            <w:tcW w:w="481" w:type="pct"/>
            <w:tcBorders>
              <w:left w:val="nil"/>
              <w:bottom w:val="single" w:sz="2" w:space="0" w:color="000000" w:themeColor="text1"/>
              <w:right w:val="nil"/>
            </w:tcBorders>
            <w:shd w:val="clear" w:color="000000" w:fill="F2F2F2"/>
            <w:noWrap/>
            <w:vAlign w:val="center"/>
            <w:hideMark/>
          </w:tcPr>
          <w:p w14:paraId="5219EC49"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No.</w:t>
            </w:r>
          </w:p>
        </w:tc>
        <w:tc>
          <w:tcPr>
            <w:tcW w:w="481" w:type="pct"/>
            <w:tcBorders>
              <w:left w:val="nil"/>
              <w:bottom w:val="single" w:sz="2" w:space="0" w:color="000000" w:themeColor="text1"/>
              <w:right w:val="nil"/>
            </w:tcBorders>
            <w:shd w:val="clear" w:color="000000" w:fill="F2F2F2"/>
            <w:noWrap/>
            <w:vAlign w:val="center"/>
            <w:hideMark/>
          </w:tcPr>
          <w:p w14:paraId="478A7D5E"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$b</w:t>
            </w:r>
          </w:p>
        </w:tc>
      </w:tr>
      <w:tr w:rsidR="0000256F" w:rsidRPr="0000256F" w14:paraId="7D43F4BA" w14:textId="77777777" w:rsidTr="00435C2E">
        <w:trPr>
          <w:trHeight w:val="229"/>
        </w:trPr>
        <w:tc>
          <w:tcPr>
            <w:tcW w:w="1154" w:type="pct"/>
            <w:tcBorders>
              <w:top w:val="single" w:sz="2" w:space="0" w:color="000000" w:themeColor="text1"/>
              <w:left w:val="nil"/>
              <w:bottom w:val="nil"/>
              <w:right w:val="nil"/>
            </w:tcBorders>
            <w:shd w:val="clear" w:color="000000" w:fill="FFFFFF"/>
            <w:noWrap/>
            <w:vAlign w:val="center"/>
            <w:hideMark/>
          </w:tcPr>
          <w:p w14:paraId="206C543B" w14:textId="77777777" w:rsidR="0000256F" w:rsidRPr="0000256F" w:rsidRDefault="0000256F" w:rsidP="001B3CF4">
            <w:pPr>
              <w:keepNext/>
              <w:keepLines/>
              <w:spacing w:after="0" w:line="240" w:lineRule="auto"/>
              <w:jc w:val="left"/>
              <w:rPr>
                <w:rFonts w:ascii="Arial" w:hAnsi="Arial" w:cs="Arial"/>
                <w:sz w:val="16"/>
                <w:szCs w:val="16"/>
              </w:rPr>
            </w:pPr>
            <w:r w:rsidRPr="0000256F">
              <w:rPr>
                <w:rFonts w:ascii="Arial" w:hAnsi="Arial" w:cs="Arial"/>
                <w:sz w:val="16"/>
                <w:szCs w:val="16"/>
              </w:rPr>
              <w:t>&lt; $1 million</w:t>
            </w:r>
          </w:p>
        </w:tc>
        <w:tc>
          <w:tcPr>
            <w:tcW w:w="529" w:type="pct"/>
            <w:tcBorders>
              <w:top w:val="single" w:sz="2" w:space="0" w:color="000000" w:themeColor="text1"/>
              <w:left w:val="nil"/>
              <w:bottom w:val="nil"/>
              <w:right w:val="nil"/>
            </w:tcBorders>
            <w:shd w:val="clear" w:color="000000" w:fill="FFFFFF"/>
            <w:noWrap/>
            <w:vAlign w:val="center"/>
            <w:hideMark/>
          </w:tcPr>
          <w:p w14:paraId="76E82310"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33,028</w:t>
            </w:r>
          </w:p>
        </w:tc>
        <w:tc>
          <w:tcPr>
            <w:tcW w:w="433" w:type="pct"/>
            <w:tcBorders>
              <w:top w:val="single" w:sz="2" w:space="0" w:color="000000" w:themeColor="text1"/>
              <w:left w:val="nil"/>
              <w:bottom w:val="nil"/>
              <w:right w:val="nil"/>
            </w:tcBorders>
            <w:shd w:val="clear" w:color="000000" w:fill="FFFFFF"/>
            <w:noWrap/>
            <w:vAlign w:val="center"/>
            <w:hideMark/>
          </w:tcPr>
          <w:p w14:paraId="42960F87"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18.4</w:t>
            </w:r>
          </w:p>
        </w:tc>
        <w:tc>
          <w:tcPr>
            <w:tcW w:w="529" w:type="pct"/>
            <w:tcBorders>
              <w:top w:val="single" w:sz="2" w:space="0" w:color="000000" w:themeColor="text1"/>
              <w:left w:val="nil"/>
              <w:bottom w:val="nil"/>
              <w:right w:val="nil"/>
            </w:tcBorders>
            <w:shd w:val="clear" w:color="000000" w:fill="FFFFFF"/>
            <w:noWrap/>
            <w:vAlign w:val="center"/>
            <w:hideMark/>
          </w:tcPr>
          <w:p w14:paraId="11DE8B7B"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10,285</w:t>
            </w:r>
          </w:p>
        </w:tc>
        <w:tc>
          <w:tcPr>
            <w:tcW w:w="433" w:type="pct"/>
            <w:tcBorders>
              <w:top w:val="single" w:sz="2" w:space="0" w:color="000000" w:themeColor="text1"/>
              <w:left w:val="nil"/>
              <w:bottom w:val="nil"/>
              <w:right w:val="nil"/>
            </w:tcBorders>
            <w:shd w:val="clear" w:color="000000" w:fill="FFFFFF"/>
            <w:noWrap/>
            <w:vAlign w:val="center"/>
            <w:hideMark/>
          </w:tcPr>
          <w:p w14:paraId="2199B491"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5.7</w:t>
            </w:r>
          </w:p>
        </w:tc>
        <w:tc>
          <w:tcPr>
            <w:tcW w:w="529" w:type="pct"/>
            <w:tcBorders>
              <w:top w:val="single" w:sz="2" w:space="0" w:color="000000" w:themeColor="text1"/>
              <w:left w:val="nil"/>
              <w:bottom w:val="nil"/>
              <w:right w:val="nil"/>
            </w:tcBorders>
            <w:shd w:val="clear" w:color="000000" w:fill="FFFFFF"/>
            <w:noWrap/>
            <w:vAlign w:val="center"/>
            <w:hideMark/>
          </w:tcPr>
          <w:p w14:paraId="20B0F213"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7,638</w:t>
            </w:r>
          </w:p>
        </w:tc>
        <w:tc>
          <w:tcPr>
            <w:tcW w:w="433" w:type="pct"/>
            <w:tcBorders>
              <w:top w:val="single" w:sz="2" w:space="0" w:color="000000" w:themeColor="text1"/>
              <w:left w:val="nil"/>
              <w:bottom w:val="nil"/>
              <w:right w:val="nil"/>
            </w:tcBorders>
            <w:shd w:val="clear" w:color="000000" w:fill="FFFFFF"/>
            <w:noWrap/>
            <w:vAlign w:val="center"/>
            <w:hideMark/>
          </w:tcPr>
          <w:p w14:paraId="3F437CBF"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4.1</w:t>
            </w:r>
          </w:p>
        </w:tc>
        <w:tc>
          <w:tcPr>
            <w:tcW w:w="481" w:type="pct"/>
            <w:tcBorders>
              <w:top w:val="single" w:sz="2" w:space="0" w:color="000000" w:themeColor="text1"/>
              <w:left w:val="nil"/>
              <w:bottom w:val="nil"/>
              <w:right w:val="nil"/>
            </w:tcBorders>
            <w:shd w:val="clear" w:color="000000" w:fill="F2F2F2"/>
            <w:noWrap/>
            <w:vAlign w:val="center"/>
            <w:hideMark/>
          </w:tcPr>
          <w:p w14:paraId="1B158DEC"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6,042</w:t>
            </w:r>
          </w:p>
        </w:tc>
        <w:tc>
          <w:tcPr>
            <w:tcW w:w="481" w:type="pct"/>
            <w:tcBorders>
              <w:top w:val="single" w:sz="2" w:space="0" w:color="000000" w:themeColor="text1"/>
              <w:left w:val="nil"/>
              <w:bottom w:val="nil"/>
              <w:right w:val="nil"/>
            </w:tcBorders>
            <w:shd w:val="clear" w:color="000000" w:fill="F2F2F2"/>
            <w:noWrap/>
            <w:vAlign w:val="center"/>
            <w:hideMark/>
          </w:tcPr>
          <w:p w14:paraId="24F244BE"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3.1</w:t>
            </w:r>
          </w:p>
        </w:tc>
      </w:tr>
      <w:tr w:rsidR="0000256F" w:rsidRPr="0000256F" w14:paraId="4667D46A" w14:textId="77777777" w:rsidTr="0000256F">
        <w:trPr>
          <w:trHeight w:val="229"/>
        </w:trPr>
        <w:tc>
          <w:tcPr>
            <w:tcW w:w="1154" w:type="pct"/>
            <w:tcBorders>
              <w:top w:val="nil"/>
              <w:left w:val="nil"/>
              <w:bottom w:val="nil"/>
              <w:right w:val="nil"/>
            </w:tcBorders>
            <w:shd w:val="clear" w:color="000000" w:fill="FFFFFF"/>
            <w:noWrap/>
            <w:vAlign w:val="center"/>
            <w:hideMark/>
          </w:tcPr>
          <w:p w14:paraId="33107D41" w14:textId="77777777" w:rsidR="0000256F" w:rsidRPr="0000256F" w:rsidRDefault="0000256F" w:rsidP="001B3CF4">
            <w:pPr>
              <w:keepNext/>
              <w:keepLines/>
              <w:spacing w:after="0" w:line="240" w:lineRule="auto"/>
              <w:jc w:val="left"/>
              <w:rPr>
                <w:rFonts w:ascii="Arial" w:hAnsi="Arial" w:cs="Arial"/>
                <w:sz w:val="16"/>
                <w:szCs w:val="16"/>
              </w:rPr>
            </w:pPr>
            <w:r w:rsidRPr="0000256F">
              <w:rPr>
                <w:rFonts w:ascii="Arial" w:hAnsi="Arial" w:cs="Arial"/>
                <w:sz w:val="16"/>
                <w:szCs w:val="16"/>
              </w:rPr>
              <w:t>≥ $1 million &amp; &lt; $50 million</w:t>
            </w:r>
          </w:p>
        </w:tc>
        <w:tc>
          <w:tcPr>
            <w:tcW w:w="529" w:type="pct"/>
            <w:tcBorders>
              <w:top w:val="nil"/>
              <w:left w:val="nil"/>
              <w:bottom w:val="nil"/>
              <w:right w:val="nil"/>
            </w:tcBorders>
            <w:shd w:val="clear" w:color="000000" w:fill="FFFFFF"/>
            <w:noWrap/>
            <w:vAlign w:val="center"/>
            <w:hideMark/>
          </w:tcPr>
          <w:p w14:paraId="1AA1FFDB"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7,744</w:t>
            </w:r>
          </w:p>
        </w:tc>
        <w:tc>
          <w:tcPr>
            <w:tcW w:w="433" w:type="pct"/>
            <w:tcBorders>
              <w:top w:val="nil"/>
              <w:left w:val="nil"/>
              <w:bottom w:val="nil"/>
              <w:right w:val="nil"/>
            </w:tcBorders>
            <w:shd w:val="clear" w:color="000000" w:fill="FFFFFF"/>
            <w:noWrap/>
            <w:vAlign w:val="center"/>
            <w:hideMark/>
          </w:tcPr>
          <w:p w14:paraId="53E134D9"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21.2</w:t>
            </w:r>
          </w:p>
        </w:tc>
        <w:tc>
          <w:tcPr>
            <w:tcW w:w="529" w:type="pct"/>
            <w:tcBorders>
              <w:top w:val="nil"/>
              <w:left w:val="nil"/>
              <w:bottom w:val="nil"/>
              <w:right w:val="nil"/>
            </w:tcBorders>
            <w:shd w:val="clear" w:color="000000" w:fill="FFFFFF"/>
            <w:noWrap/>
            <w:vAlign w:val="center"/>
            <w:hideMark/>
          </w:tcPr>
          <w:p w14:paraId="01B53CD5"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3,516</w:t>
            </w:r>
          </w:p>
        </w:tc>
        <w:tc>
          <w:tcPr>
            <w:tcW w:w="433" w:type="pct"/>
            <w:tcBorders>
              <w:top w:val="nil"/>
              <w:left w:val="nil"/>
              <w:bottom w:val="nil"/>
              <w:right w:val="nil"/>
            </w:tcBorders>
            <w:shd w:val="clear" w:color="000000" w:fill="FFFFFF"/>
            <w:noWrap/>
            <w:vAlign w:val="center"/>
            <w:hideMark/>
          </w:tcPr>
          <w:p w14:paraId="20EB5C3F"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13.4</w:t>
            </w:r>
          </w:p>
        </w:tc>
        <w:tc>
          <w:tcPr>
            <w:tcW w:w="529" w:type="pct"/>
            <w:tcBorders>
              <w:top w:val="nil"/>
              <w:left w:val="nil"/>
              <w:bottom w:val="nil"/>
              <w:right w:val="nil"/>
            </w:tcBorders>
            <w:shd w:val="clear" w:color="000000" w:fill="FFFFFF"/>
            <w:noWrap/>
            <w:vAlign w:val="center"/>
            <w:hideMark/>
          </w:tcPr>
          <w:p w14:paraId="003E9E75"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2,995</w:t>
            </w:r>
          </w:p>
        </w:tc>
        <w:tc>
          <w:tcPr>
            <w:tcW w:w="433" w:type="pct"/>
            <w:tcBorders>
              <w:top w:val="nil"/>
              <w:left w:val="nil"/>
              <w:bottom w:val="nil"/>
              <w:right w:val="nil"/>
            </w:tcBorders>
            <w:shd w:val="clear" w:color="000000" w:fill="FFFFFF"/>
            <w:noWrap/>
            <w:vAlign w:val="center"/>
            <w:hideMark/>
          </w:tcPr>
          <w:p w14:paraId="7D519025"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11.3</w:t>
            </w:r>
          </w:p>
        </w:tc>
        <w:tc>
          <w:tcPr>
            <w:tcW w:w="481" w:type="pct"/>
            <w:tcBorders>
              <w:top w:val="nil"/>
              <w:left w:val="nil"/>
              <w:bottom w:val="nil"/>
              <w:right w:val="nil"/>
            </w:tcBorders>
            <w:shd w:val="clear" w:color="000000" w:fill="F2F2F2"/>
            <w:noWrap/>
            <w:vAlign w:val="center"/>
            <w:hideMark/>
          </w:tcPr>
          <w:p w14:paraId="3D13CAA3"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2,160</w:t>
            </w:r>
          </w:p>
        </w:tc>
        <w:tc>
          <w:tcPr>
            <w:tcW w:w="481" w:type="pct"/>
            <w:tcBorders>
              <w:top w:val="nil"/>
              <w:left w:val="nil"/>
              <w:bottom w:val="nil"/>
              <w:right w:val="nil"/>
            </w:tcBorders>
            <w:shd w:val="clear" w:color="000000" w:fill="F2F2F2"/>
            <w:noWrap/>
            <w:vAlign w:val="center"/>
            <w:hideMark/>
          </w:tcPr>
          <w:p w14:paraId="3B51A65B"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10.0</w:t>
            </w:r>
          </w:p>
        </w:tc>
      </w:tr>
      <w:tr w:rsidR="0000256F" w:rsidRPr="0000256F" w14:paraId="2F3C232C" w14:textId="77777777" w:rsidTr="0000256F">
        <w:trPr>
          <w:trHeight w:val="229"/>
        </w:trPr>
        <w:tc>
          <w:tcPr>
            <w:tcW w:w="1154" w:type="pct"/>
            <w:tcBorders>
              <w:top w:val="nil"/>
              <w:left w:val="nil"/>
              <w:bottom w:val="nil"/>
              <w:right w:val="nil"/>
            </w:tcBorders>
            <w:shd w:val="clear" w:color="000000" w:fill="FFFFFF"/>
            <w:noWrap/>
            <w:vAlign w:val="center"/>
            <w:hideMark/>
          </w:tcPr>
          <w:p w14:paraId="184CBACE" w14:textId="77777777" w:rsidR="0000256F" w:rsidRPr="0000256F" w:rsidRDefault="0000256F" w:rsidP="001B3CF4">
            <w:pPr>
              <w:keepNext/>
              <w:keepLines/>
              <w:spacing w:after="0" w:line="240" w:lineRule="auto"/>
              <w:jc w:val="left"/>
              <w:rPr>
                <w:rFonts w:ascii="Arial" w:hAnsi="Arial" w:cs="Arial"/>
                <w:sz w:val="16"/>
                <w:szCs w:val="16"/>
              </w:rPr>
            </w:pPr>
            <w:r w:rsidRPr="0000256F">
              <w:rPr>
                <w:rFonts w:ascii="Arial" w:hAnsi="Arial" w:cs="Arial"/>
                <w:sz w:val="16"/>
                <w:szCs w:val="16"/>
              </w:rPr>
              <w:t>≥ $50 million &amp; &lt; $100 million</w:t>
            </w:r>
          </w:p>
        </w:tc>
        <w:tc>
          <w:tcPr>
            <w:tcW w:w="529" w:type="pct"/>
            <w:tcBorders>
              <w:top w:val="nil"/>
              <w:left w:val="nil"/>
              <w:bottom w:val="nil"/>
              <w:right w:val="nil"/>
            </w:tcBorders>
            <w:shd w:val="clear" w:color="000000" w:fill="FFFFFF"/>
            <w:noWrap/>
            <w:vAlign w:val="center"/>
            <w:hideMark/>
          </w:tcPr>
          <w:p w14:paraId="52A73193"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195</w:t>
            </w:r>
          </w:p>
        </w:tc>
        <w:tc>
          <w:tcPr>
            <w:tcW w:w="433" w:type="pct"/>
            <w:tcBorders>
              <w:top w:val="nil"/>
              <w:left w:val="nil"/>
              <w:bottom w:val="nil"/>
              <w:right w:val="nil"/>
            </w:tcBorders>
            <w:shd w:val="clear" w:color="000000" w:fill="FFFFFF"/>
            <w:noWrap/>
            <w:vAlign w:val="center"/>
            <w:hideMark/>
          </w:tcPr>
          <w:p w14:paraId="7325ABD7"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14.1</w:t>
            </w:r>
          </w:p>
        </w:tc>
        <w:tc>
          <w:tcPr>
            <w:tcW w:w="529" w:type="pct"/>
            <w:tcBorders>
              <w:top w:val="nil"/>
              <w:left w:val="nil"/>
              <w:bottom w:val="nil"/>
              <w:right w:val="nil"/>
            </w:tcBorders>
            <w:shd w:val="clear" w:color="000000" w:fill="FFFFFF"/>
            <w:noWrap/>
            <w:vAlign w:val="center"/>
            <w:hideMark/>
          </w:tcPr>
          <w:p w14:paraId="073E5656"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147</w:t>
            </w:r>
          </w:p>
        </w:tc>
        <w:tc>
          <w:tcPr>
            <w:tcW w:w="433" w:type="pct"/>
            <w:tcBorders>
              <w:top w:val="nil"/>
              <w:left w:val="nil"/>
              <w:bottom w:val="nil"/>
              <w:right w:val="nil"/>
            </w:tcBorders>
            <w:shd w:val="clear" w:color="000000" w:fill="FFFFFF"/>
            <w:noWrap/>
            <w:vAlign w:val="center"/>
            <w:hideMark/>
          </w:tcPr>
          <w:p w14:paraId="7D82E533"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10.3</w:t>
            </w:r>
          </w:p>
        </w:tc>
        <w:tc>
          <w:tcPr>
            <w:tcW w:w="529" w:type="pct"/>
            <w:tcBorders>
              <w:top w:val="nil"/>
              <w:left w:val="nil"/>
              <w:bottom w:val="nil"/>
              <w:right w:val="nil"/>
            </w:tcBorders>
            <w:shd w:val="clear" w:color="000000" w:fill="FFFFFF"/>
            <w:noWrap/>
            <w:vAlign w:val="center"/>
            <w:hideMark/>
          </w:tcPr>
          <w:p w14:paraId="219FCC11"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103</w:t>
            </w:r>
          </w:p>
        </w:tc>
        <w:tc>
          <w:tcPr>
            <w:tcW w:w="433" w:type="pct"/>
            <w:tcBorders>
              <w:top w:val="nil"/>
              <w:left w:val="nil"/>
              <w:bottom w:val="nil"/>
              <w:right w:val="nil"/>
            </w:tcBorders>
            <w:shd w:val="clear" w:color="000000" w:fill="FFFFFF"/>
            <w:noWrap/>
            <w:vAlign w:val="center"/>
            <w:hideMark/>
          </w:tcPr>
          <w:p w14:paraId="0A646971"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7.3</w:t>
            </w:r>
          </w:p>
        </w:tc>
        <w:tc>
          <w:tcPr>
            <w:tcW w:w="481" w:type="pct"/>
            <w:tcBorders>
              <w:top w:val="nil"/>
              <w:left w:val="nil"/>
              <w:bottom w:val="nil"/>
              <w:right w:val="nil"/>
            </w:tcBorders>
            <w:shd w:val="clear" w:color="000000" w:fill="F2F2F2"/>
            <w:noWrap/>
            <w:vAlign w:val="center"/>
            <w:hideMark/>
          </w:tcPr>
          <w:p w14:paraId="492DCF8B"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103</w:t>
            </w:r>
          </w:p>
        </w:tc>
        <w:tc>
          <w:tcPr>
            <w:tcW w:w="481" w:type="pct"/>
            <w:tcBorders>
              <w:top w:val="nil"/>
              <w:left w:val="nil"/>
              <w:bottom w:val="nil"/>
              <w:right w:val="nil"/>
            </w:tcBorders>
            <w:shd w:val="clear" w:color="000000" w:fill="F2F2F2"/>
            <w:noWrap/>
            <w:vAlign w:val="center"/>
            <w:hideMark/>
          </w:tcPr>
          <w:p w14:paraId="7D7FE9E0"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7.2</w:t>
            </w:r>
          </w:p>
        </w:tc>
      </w:tr>
      <w:tr w:rsidR="0000256F" w:rsidRPr="0000256F" w14:paraId="6A25DD1A" w14:textId="77777777" w:rsidTr="0000256F">
        <w:trPr>
          <w:trHeight w:val="229"/>
        </w:trPr>
        <w:tc>
          <w:tcPr>
            <w:tcW w:w="1154" w:type="pct"/>
            <w:tcBorders>
              <w:top w:val="nil"/>
              <w:left w:val="nil"/>
              <w:bottom w:val="nil"/>
              <w:right w:val="nil"/>
            </w:tcBorders>
            <w:shd w:val="clear" w:color="000000" w:fill="FFFFFF"/>
            <w:noWrap/>
            <w:vAlign w:val="center"/>
            <w:hideMark/>
          </w:tcPr>
          <w:p w14:paraId="311E1EEF" w14:textId="77777777" w:rsidR="0000256F" w:rsidRPr="0000256F" w:rsidRDefault="0000256F" w:rsidP="001B3CF4">
            <w:pPr>
              <w:keepNext/>
              <w:keepLines/>
              <w:spacing w:after="0" w:line="240" w:lineRule="auto"/>
              <w:jc w:val="left"/>
              <w:rPr>
                <w:rFonts w:ascii="Arial" w:hAnsi="Arial" w:cs="Arial"/>
                <w:sz w:val="16"/>
                <w:szCs w:val="16"/>
              </w:rPr>
            </w:pPr>
            <w:r w:rsidRPr="0000256F">
              <w:rPr>
                <w:rFonts w:ascii="Arial" w:hAnsi="Arial" w:cs="Arial"/>
                <w:sz w:val="16"/>
                <w:szCs w:val="16"/>
              </w:rPr>
              <w:t>≥ $100 million &amp; &lt; $500 million</w:t>
            </w:r>
          </w:p>
        </w:tc>
        <w:tc>
          <w:tcPr>
            <w:tcW w:w="529" w:type="pct"/>
            <w:tcBorders>
              <w:top w:val="nil"/>
              <w:left w:val="nil"/>
              <w:bottom w:val="nil"/>
              <w:right w:val="nil"/>
            </w:tcBorders>
            <w:shd w:val="clear" w:color="000000" w:fill="FFFFFF"/>
            <w:noWrap/>
            <w:vAlign w:val="center"/>
            <w:hideMark/>
          </w:tcPr>
          <w:p w14:paraId="6B958965"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296</w:t>
            </w:r>
          </w:p>
        </w:tc>
        <w:tc>
          <w:tcPr>
            <w:tcW w:w="433" w:type="pct"/>
            <w:tcBorders>
              <w:top w:val="nil"/>
              <w:left w:val="nil"/>
              <w:bottom w:val="nil"/>
              <w:right w:val="nil"/>
            </w:tcBorders>
            <w:shd w:val="clear" w:color="000000" w:fill="FFFFFF"/>
            <w:noWrap/>
            <w:vAlign w:val="center"/>
            <w:hideMark/>
          </w:tcPr>
          <w:p w14:paraId="62C4C7F9"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65.2</w:t>
            </w:r>
          </w:p>
        </w:tc>
        <w:tc>
          <w:tcPr>
            <w:tcW w:w="529" w:type="pct"/>
            <w:tcBorders>
              <w:top w:val="nil"/>
              <w:left w:val="nil"/>
              <w:bottom w:val="nil"/>
              <w:right w:val="nil"/>
            </w:tcBorders>
            <w:shd w:val="clear" w:color="000000" w:fill="FFFFFF"/>
            <w:noWrap/>
            <w:vAlign w:val="center"/>
            <w:hideMark/>
          </w:tcPr>
          <w:p w14:paraId="32388508"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235</w:t>
            </w:r>
          </w:p>
        </w:tc>
        <w:tc>
          <w:tcPr>
            <w:tcW w:w="433" w:type="pct"/>
            <w:tcBorders>
              <w:top w:val="nil"/>
              <w:left w:val="nil"/>
              <w:bottom w:val="nil"/>
              <w:right w:val="nil"/>
            </w:tcBorders>
            <w:shd w:val="clear" w:color="000000" w:fill="FFFFFF"/>
            <w:noWrap/>
            <w:vAlign w:val="center"/>
            <w:hideMark/>
          </w:tcPr>
          <w:p w14:paraId="3D545B20"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53.3</w:t>
            </w:r>
          </w:p>
        </w:tc>
        <w:tc>
          <w:tcPr>
            <w:tcW w:w="529" w:type="pct"/>
            <w:tcBorders>
              <w:top w:val="nil"/>
              <w:left w:val="nil"/>
              <w:bottom w:val="nil"/>
              <w:right w:val="nil"/>
            </w:tcBorders>
            <w:shd w:val="clear" w:color="000000" w:fill="FFFFFF"/>
            <w:noWrap/>
            <w:vAlign w:val="center"/>
            <w:hideMark/>
          </w:tcPr>
          <w:p w14:paraId="68389E95"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213</w:t>
            </w:r>
          </w:p>
        </w:tc>
        <w:tc>
          <w:tcPr>
            <w:tcW w:w="433" w:type="pct"/>
            <w:tcBorders>
              <w:top w:val="nil"/>
              <w:left w:val="nil"/>
              <w:bottom w:val="nil"/>
              <w:right w:val="nil"/>
            </w:tcBorders>
            <w:shd w:val="clear" w:color="000000" w:fill="FFFFFF"/>
            <w:noWrap/>
            <w:vAlign w:val="center"/>
            <w:hideMark/>
          </w:tcPr>
          <w:p w14:paraId="5F28B0AA"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44.9</w:t>
            </w:r>
          </w:p>
        </w:tc>
        <w:tc>
          <w:tcPr>
            <w:tcW w:w="481" w:type="pct"/>
            <w:tcBorders>
              <w:top w:val="nil"/>
              <w:left w:val="nil"/>
              <w:bottom w:val="nil"/>
              <w:right w:val="nil"/>
            </w:tcBorders>
            <w:shd w:val="clear" w:color="000000" w:fill="F2F2F2"/>
            <w:noWrap/>
            <w:vAlign w:val="center"/>
            <w:hideMark/>
          </w:tcPr>
          <w:p w14:paraId="370E513C"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219</w:t>
            </w:r>
          </w:p>
        </w:tc>
        <w:tc>
          <w:tcPr>
            <w:tcW w:w="481" w:type="pct"/>
            <w:tcBorders>
              <w:top w:val="nil"/>
              <w:left w:val="nil"/>
              <w:bottom w:val="nil"/>
              <w:right w:val="nil"/>
            </w:tcBorders>
            <w:shd w:val="clear" w:color="000000" w:fill="F2F2F2"/>
            <w:noWrap/>
            <w:vAlign w:val="center"/>
            <w:hideMark/>
          </w:tcPr>
          <w:p w14:paraId="3B4F3EB8"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47.3</w:t>
            </w:r>
          </w:p>
        </w:tc>
      </w:tr>
      <w:tr w:rsidR="0000256F" w:rsidRPr="0000256F" w14:paraId="744689F0" w14:textId="77777777" w:rsidTr="0000256F">
        <w:trPr>
          <w:trHeight w:val="229"/>
        </w:trPr>
        <w:tc>
          <w:tcPr>
            <w:tcW w:w="1154" w:type="pct"/>
            <w:tcBorders>
              <w:top w:val="nil"/>
              <w:left w:val="nil"/>
              <w:bottom w:val="nil"/>
              <w:right w:val="nil"/>
            </w:tcBorders>
            <w:shd w:val="clear" w:color="000000" w:fill="FFFFFF"/>
            <w:noWrap/>
            <w:vAlign w:val="center"/>
            <w:hideMark/>
          </w:tcPr>
          <w:p w14:paraId="49A01A7E" w14:textId="77777777" w:rsidR="0000256F" w:rsidRPr="0000256F" w:rsidRDefault="0000256F" w:rsidP="001B3CF4">
            <w:pPr>
              <w:keepNext/>
              <w:keepLines/>
              <w:spacing w:after="0" w:line="240" w:lineRule="auto"/>
              <w:jc w:val="left"/>
              <w:rPr>
                <w:rFonts w:ascii="Arial" w:hAnsi="Arial" w:cs="Arial"/>
                <w:sz w:val="16"/>
                <w:szCs w:val="16"/>
              </w:rPr>
            </w:pPr>
            <w:r w:rsidRPr="0000256F">
              <w:rPr>
                <w:rFonts w:ascii="Arial" w:hAnsi="Arial" w:cs="Arial"/>
                <w:sz w:val="16"/>
                <w:szCs w:val="16"/>
              </w:rPr>
              <w:t>≥ $500 million &amp; &lt; $1 billion</w:t>
            </w:r>
          </w:p>
        </w:tc>
        <w:tc>
          <w:tcPr>
            <w:tcW w:w="529" w:type="pct"/>
            <w:tcBorders>
              <w:top w:val="nil"/>
              <w:left w:val="nil"/>
              <w:bottom w:val="nil"/>
              <w:right w:val="nil"/>
            </w:tcBorders>
            <w:shd w:val="clear" w:color="000000" w:fill="FFFFFF"/>
            <w:noWrap/>
            <w:vAlign w:val="center"/>
            <w:hideMark/>
          </w:tcPr>
          <w:p w14:paraId="1E252AC4"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33</w:t>
            </w:r>
          </w:p>
        </w:tc>
        <w:tc>
          <w:tcPr>
            <w:tcW w:w="433" w:type="pct"/>
            <w:tcBorders>
              <w:top w:val="nil"/>
              <w:left w:val="nil"/>
              <w:bottom w:val="nil"/>
              <w:right w:val="nil"/>
            </w:tcBorders>
            <w:shd w:val="clear" w:color="000000" w:fill="FFFFFF"/>
            <w:noWrap/>
            <w:vAlign w:val="center"/>
            <w:hideMark/>
          </w:tcPr>
          <w:p w14:paraId="12E676A0"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21.2</w:t>
            </w:r>
          </w:p>
        </w:tc>
        <w:tc>
          <w:tcPr>
            <w:tcW w:w="529" w:type="pct"/>
            <w:tcBorders>
              <w:top w:val="nil"/>
              <w:left w:val="nil"/>
              <w:bottom w:val="nil"/>
              <w:right w:val="nil"/>
            </w:tcBorders>
            <w:shd w:val="clear" w:color="000000" w:fill="FFFFFF"/>
            <w:noWrap/>
            <w:vAlign w:val="center"/>
            <w:hideMark/>
          </w:tcPr>
          <w:p w14:paraId="2E618E4D"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45</w:t>
            </w:r>
          </w:p>
        </w:tc>
        <w:tc>
          <w:tcPr>
            <w:tcW w:w="433" w:type="pct"/>
            <w:tcBorders>
              <w:top w:val="nil"/>
              <w:left w:val="nil"/>
              <w:bottom w:val="nil"/>
              <w:right w:val="nil"/>
            </w:tcBorders>
            <w:shd w:val="clear" w:color="000000" w:fill="FFFFFF"/>
            <w:noWrap/>
            <w:vAlign w:val="center"/>
            <w:hideMark/>
          </w:tcPr>
          <w:p w14:paraId="6F9CDFF5"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29.7</w:t>
            </w:r>
          </w:p>
        </w:tc>
        <w:tc>
          <w:tcPr>
            <w:tcW w:w="529" w:type="pct"/>
            <w:tcBorders>
              <w:top w:val="nil"/>
              <w:left w:val="nil"/>
              <w:bottom w:val="nil"/>
              <w:right w:val="nil"/>
            </w:tcBorders>
            <w:shd w:val="clear" w:color="000000" w:fill="FFFFFF"/>
            <w:noWrap/>
            <w:vAlign w:val="center"/>
            <w:hideMark/>
          </w:tcPr>
          <w:p w14:paraId="7048BED9"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53</w:t>
            </w:r>
          </w:p>
        </w:tc>
        <w:tc>
          <w:tcPr>
            <w:tcW w:w="433" w:type="pct"/>
            <w:tcBorders>
              <w:top w:val="nil"/>
              <w:left w:val="nil"/>
              <w:bottom w:val="nil"/>
              <w:right w:val="nil"/>
            </w:tcBorders>
            <w:shd w:val="clear" w:color="000000" w:fill="FFFFFF"/>
            <w:noWrap/>
            <w:vAlign w:val="center"/>
            <w:hideMark/>
          </w:tcPr>
          <w:p w14:paraId="31CE8CFC"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34.8</w:t>
            </w:r>
          </w:p>
        </w:tc>
        <w:tc>
          <w:tcPr>
            <w:tcW w:w="481" w:type="pct"/>
            <w:tcBorders>
              <w:top w:val="nil"/>
              <w:left w:val="nil"/>
              <w:bottom w:val="nil"/>
              <w:right w:val="nil"/>
            </w:tcBorders>
            <w:shd w:val="clear" w:color="000000" w:fill="F2F2F2"/>
            <w:noWrap/>
            <w:vAlign w:val="center"/>
            <w:hideMark/>
          </w:tcPr>
          <w:p w14:paraId="5C0366A7"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49</w:t>
            </w:r>
          </w:p>
        </w:tc>
        <w:tc>
          <w:tcPr>
            <w:tcW w:w="481" w:type="pct"/>
            <w:tcBorders>
              <w:top w:val="nil"/>
              <w:left w:val="nil"/>
              <w:bottom w:val="nil"/>
              <w:right w:val="nil"/>
            </w:tcBorders>
            <w:shd w:val="clear" w:color="000000" w:fill="F2F2F2"/>
            <w:noWrap/>
            <w:vAlign w:val="center"/>
            <w:hideMark/>
          </w:tcPr>
          <w:p w14:paraId="0985FCF9"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33.5</w:t>
            </w:r>
          </w:p>
        </w:tc>
      </w:tr>
      <w:tr w:rsidR="0000256F" w:rsidRPr="0000256F" w14:paraId="47CA2BF8" w14:textId="77777777" w:rsidTr="0000256F">
        <w:trPr>
          <w:trHeight w:val="229"/>
        </w:trPr>
        <w:tc>
          <w:tcPr>
            <w:tcW w:w="1154" w:type="pct"/>
            <w:tcBorders>
              <w:top w:val="nil"/>
              <w:left w:val="nil"/>
              <w:bottom w:val="nil"/>
              <w:right w:val="nil"/>
            </w:tcBorders>
            <w:shd w:val="clear" w:color="000000" w:fill="FFFFFF"/>
            <w:noWrap/>
            <w:vAlign w:val="center"/>
            <w:hideMark/>
          </w:tcPr>
          <w:p w14:paraId="51269FD7" w14:textId="77777777" w:rsidR="0000256F" w:rsidRPr="0000256F" w:rsidRDefault="0000256F" w:rsidP="001B3CF4">
            <w:pPr>
              <w:keepNext/>
              <w:keepLines/>
              <w:spacing w:after="0" w:line="240" w:lineRule="auto"/>
              <w:jc w:val="left"/>
              <w:rPr>
                <w:rFonts w:ascii="Arial" w:hAnsi="Arial" w:cs="Arial"/>
                <w:sz w:val="16"/>
                <w:szCs w:val="16"/>
              </w:rPr>
            </w:pPr>
            <w:r w:rsidRPr="0000256F">
              <w:rPr>
                <w:rFonts w:ascii="Arial" w:hAnsi="Arial" w:cs="Arial"/>
                <w:sz w:val="16"/>
                <w:szCs w:val="16"/>
              </w:rPr>
              <w:t>≥ $1 billion &amp; &lt; $2 billion</w:t>
            </w:r>
          </w:p>
        </w:tc>
        <w:tc>
          <w:tcPr>
            <w:tcW w:w="529" w:type="pct"/>
            <w:tcBorders>
              <w:top w:val="nil"/>
              <w:left w:val="nil"/>
              <w:bottom w:val="nil"/>
              <w:right w:val="nil"/>
            </w:tcBorders>
            <w:shd w:val="clear" w:color="000000" w:fill="FFFFFF"/>
            <w:noWrap/>
            <w:vAlign w:val="center"/>
            <w:hideMark/>
          </w:tcPr>
          <w:p w14:paraId="51CEEB6C"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15</w:t>
            </w:r>
          </w:p>
        </w:tc>
        <w:tc>
          <w:tcPr>
            <w:tcW w:w="433" w:type="pct"/>
            <w:tcBorders>
              <w:top w:val="nil"/>
              <w:left w:val="nil"/>
              <w:bottom w:val="nil"/>
              <w:right w:val="nil"/>
            </w:tcBorders>
            <w:shd w:val="clear" w:color="000000" w:fill="FFFFFF"/>
            <w:noWrap/>
            <w:vAlign w:val="center"/>
            <w:hideMark/>
          </w:tcPr>
          <w:p w14:paraId="0A2A72CB"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19.8</w:t>
            </w:r>
          </w:p>
        </w:tc>
        <w:tc>
          <w:tcPr>
            <w:tcW w:w="529" w:type="pct"/>
            <w:tcBorders>
              <w:top w:val="nil"/>
              <w:left w:val="nil"/>
              <w:bottom w:val="nil"/>
              <w:right w:val="nil"/>
            </w:tcBorders>
            <w:shd w:val="clear" w:color="000000" w:fill="FFFFFF"/>
            <w:noWrap/>
            <w:vAlign w:val="center"/>
            <w:hideMark/>
          </w:tcPr>
          <w:p w14:paraId="19828015"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15</w:t>
            </w:r>
          </w:p>
        </w:tc>
        <w:tc>
          <w:tcPr>
            <w:tcW w:w="433" w:type="pct"/>
            <w:tcBorders>
              <w:top w:val="nil"/>
              <w:left w:val="nil"/>
              <w:bottom w:val="nil"/>
              <w:right w:val="nil"/>
            </w:tcBorders>
            <w:shd w:val="clear" w:color="000000" w:fill="FFFFFF"/>
            <w:noWrap/>
            <w:vAlign w:val="center"/>
            <w:hideMark/>
          </w:tcPr>
          <w:p w14:paraId="3E787128"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16.9</w:t>
            </w:r>
          </w:p>
        </w:tc>
        <w:tc>
          <w:tcPr>
            <w:tcW w:w="529" w:type="pct"/>
            <w:tcBorders>
              <w:top w:val="nil"/>
              <w:left w:val="nil"/>
              <w:bottom w:val="nil"/>
              <w:right w:val="nil"/>
            </w:tcBorders>
            <w:shd w:val="clear" w:color="000000" w:fill="FFFFFF"/>
            <w:noWrap/>
            <w:vAlign w:val="center"/>
            <w:hideMark/>
          </w:tcPr>
          <w:p w14:paraId="2D99E8F8"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22</w:t>
            </w:r>
          </w:p>
        </w:tc>
        <w:tc>
          <w:tcPr>
            <w:tcW w:w="433" w:type="pct"/>
            <w:tcBorders>
              <w:top w:val="nil"/>
              <w:left w:val="nil"/>
              <w:bottom w:val="nil"/>
              <w:right w:val="nil"/>
            </w:tcBorders>
            <w:shd w:val="clear" w:color="000000" w:fill="FFFFFF"/>
            <w:noWrap/>
            <w:vAlign w:val="center"/>
            <w:hideMark/>
          </w:tcPr>
          <w:p w14:paraId="048B38FB"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28.4</w:t>
            </w:r>
          </w:p>
        </w:tc>
        <w:tc>
          <w:tcPr>
            <w:tcW w:w="481" w:type="pct"/>
            <w:tcBorders>
              <w:top w:val="nil"/>
              <w:left w:val="nil"/>
              <w:bottom w:val="nil"/>
              <w:right w:val="nil"/>
            </w:tcBorders>
            <w:shd w:val="clear" w:color="000000" w:fill="F2F2F2"/>
            <w:noWrap/>
            <w:vAlign w:val="center"/>
            <w:hideMark/>
          </w:tcPr>
          <w:p w14:paraId="6C15A237"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14</w:t>
            </w:r>
          </w:p>
        </w:tc>
        <w:tc>
          <w:tcPr>
            <w:tcW w:w="481" w:type="pct"/>
            <w:tcBorders>
              <w:top w:val="nil"/>
              <w:left w:val="nil"/>
              <w:bottom w:val="nil"/>
              <w:right w:val="nil"/>
            </w:tcBorders>
            <w:shd w:val="clear" w:color="000000" w:fill="F2F2F2"/>
            <w:noWrap/>
            <w:vAlign w:val="center"/>
            <w:hideMark/>
          </w:tcPr>
          <w:p w14:paraId="14FCF831"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18.5</w:t>
            </w:r>
          </w:p>
        </w:tc>
      </w:tr>
      <w:tr w:rsidR="0000256F" w:rsidRPr="0000256F" w14:paraId="24747CAC" w14:textId="77777777" w:rsidTr="00435C2E">
        <w:trPr>
          <w:trHeight w:val="229"/>
        </w:trPr>
        <w:tc>
          <w:tcPr>
            <w:tcW w:w="1154" w:type="pct"/>
            <w:tcBorders>
              <w:top w:val="nil"/>
              <w:left w:val="nil"/>
              <w:right w:val="nil"/>
            </w:tcBorders>
            <w:shd w:val="clear" w:color="000000" w:fill="FFFFFF"/>
            <w:noWrap/>
            <w:vAlign w:val="center"/>
            <w:hideMark/>
          </w:tcPr>
          <w:p w14:paraId="32059D77" w14:textId="77777777" w:rsidR="0000256F" w:rsidRPr="0000256F" w:rsidRDefault="0000256F" w:rsidP="001B3CF4">
            <w:pPr>
              <w:keepNext/>
              <w:keepLines/>
              <w:spacing w:after="0" w:line="240" w:lineRule="auto"/>
              <w:jc w:val="left"/>
              <w:rPr>
                <w:rFonts w:ascii="Arial" w:hAnsi="Arial" w:cs="Arial"/>
                <w:sz w:val="16"/>
                <w:szCs w:val="16"/>
              </w:rPr>
            </w:pPr>
            <w:r w:rsidRPr="0000256F">
              <w:rPr>
                <w:rFonts w:ascii="Arial" w:hAnsi="Arial" w:cs="Arial"/>
                <w:sz w:val="16"/>
                <w:szCs w:val="16"/>
              </w:rPr>
              <w:t>≥ $2 billion</w:t>
            </w:r>
          </w:p>
        </w:tc>
        <w:tc>
          <w:tcPr>
            <w:tcW w:w="529" w:type="pct"/>
            <w:tcBorders>
              <w:top w:val="nil"/>
              <w:left w:val="nil"/>
              <w:bottom w:val="single" w:sz="2" w:space="0" w:color="000000" w:themeColor="text1"/>
              <w:right w:val="nil"/>
            </w:tcBorders>
            <w:shd w:val="clear" w:color="000000" w:fill="FFFFFF"/>
            <w:noWrap/>
            <w:vAlign w:val="center"/>
            <w:hideMark/>
          </w:tcPr>
          <w:p w14:paraId="1C76A5F0"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18</w:t>
            </w:r>
          </w:p>
        </w:tc>
        <w:tc>
          <w:tcPr>
            <w:tcW w:w="433" w:type="pct"/>
            <w:tcBorders>
              <w:top w:val="nil"/>
              <w:left w:val="nil"/>
              <w:bottom w:val="single" w:sz="2" w:space="0" w:color="000000" w:themeColor="text1"/>
              <w:right w:val="nil"/>
            </w:tcBorders>
            <w:shd w:val="clear" w:color="000000" w:fill="FFFFFF"/>
            <w:noWrap/>
            <w:vAlign w:val="center"/>
            <w:hideMark/>
          </w:tcPr>
          <w:p w14:paraId="0EC8BB83"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88</w:t>
            </w:r>
          </w:p>
        </w:tc>
        <w:tc>
          <w:tcPr>
            <w:tcW w:w="529" w:type="pct"/>
            <w:tcBorders>
              <w:top w:val="nil"/>
              <w:left w:val="nil"/>
              <w:bottom w:val="single" w:sz="2" w:space="0" w:color="000000" w:themeColor="text1"/>
              <w:right w:val="nil"/>
            </w:tcBorders>
            <w:shd w:val="clear" w:color="000000" w:fill="FFFFFF"/>
            <w:noWrap/>
            <w:vAlign w:val="center"/>
            <w:hideMark/>
          </w:tcPr>
          <w:p w14:paraId="45CE4377"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13</w:t>
            </w:r>
          </w:p>
        </w:tc>
        <w:tc>
          <w:tcPr>
            <w:tcW w:w="433" w:type="pct"/>
            <w:tcBorders>
              <w:top w:val="nil"/>
              <w:left w:val="nil"/>
              <w:bottom w:val="single" w:sz="2" w:space="0" w:color="000000" w:themeColor="text1"/>
              <w:right w:val="nil"/>
            </w:tcBorders>
            <w:shd w:val="clear" w:color="000000" w:fill="FFFFFF"/>
            <w:noWrap/>
            <w:vAlign w:val="center"/>
            <w:hideMark/>
          </w:tcPr>
          <w:p w14:paraId="14FF12E3"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68</w:t>
            </w:r>
          </w:p>
        </w:tc>
        <w:tc>
          <w:tcPr>
            <w:tcW w:w="529" w:type="pct"/>
            <w:tcBorders>
              <w:top w:val="nil"/>
              <w:left w:val="nil"/>
              <w:bottom w:val="single" w:sz="2" w:space="0" w:color="000000" w:themeColor="text1"/>
              <w:right w:val="nil"/>
            </w:tcBorders>
            <w:shd w:val="clear" w:color="000000" w:fill="FFFFFF"/>
            <w:noWrap/>
            <w:vAlign w:val="center"/>
            <w:hideMark/>
          </w:tcPr>
          <w:p w14:paraId="18843C19"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w:t>
            </w:r>
          </w:p>
        </w:tc>
        <w:tc>
          <w:tcPr>
            <w:tcW w:w="433" w:type="pct"/>
            <w:tcBorders>
              <w:top w:val="nil"/>
              <w:left w:val="nil"/>
              <w:bottom w:val="single" w:sz="2" w:space="0" w:color="000000" w:themeColor="text1"/>
              <w:right w:val="nil"/>
            </w:tcBorders>
            <w:shd w:val="clear" w:color="000000" w:fill="FFFFFF"/>
            <w:noWrap/>
            <w:vAlign w:val="center"/>
            <w:hideMark/>
          </w:tcPr>
          <w:p w14:paraId="24025650"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32</w:t>
            </w:r>
          </w:p>
        </w:tc>
        <w:tc>
          <w:tcPr>
            <w:tcW w:w="481" w:type="pct"/>
            <w:tcBorders>
              <w:top w:val="nil"/>
              <w:left w:val="nil"/>
              <w:bottom w:val="single" w:sz="2" w:space="0" w:color="000000" w:themeColor="text1"/>
              <w:right w:val="nil"/>
            </w:tcBorders>
            <w:shd w:val="clear" w:color="000000" w:fill="F2F2F2"/>
            <w:noWrap/>
            <w:vAlign w:val="center"/>
            <w:hideMark/>
          </w:tcPr>
          <w:p w14:paraId="08B5FCA1"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23</w:t>
            </w:r>
          </w:p>
        </w:tc>
        <w:tc>
          <w:tcPr>
            <w:tcW w:w="481" w:type="pct"/>
            <w:tcBorders>
              <w:top w:val="nil"/>
              <w:left w:val="nil"/>
              <w:bottom w:val="single" w:sz="2" w:space="0" w:color="000000" w:themeColor="text1"/>
              <w:right w:val="nil"/>
            </w:tcBorders>
            <w:shd w:val="clear" w:color="000000" w:fill="F2F2F2"/>
            <w:noWrap/>
            <w:vAlign w:val="center"/>
            <w:hideMark/>
          </w:tcPr>
          <w:p w14:paraId="48A95D7E" w14:textId="77777777" w:rsidR="0000256F" w:rsidRPr="0000256F" w:rsidRDefault="0000256F" w:rsidP="001B3CF4">
            <w:pPr>
              <w:keepNext/>
              <w:keepLines/>
              <w:spacing w:after="0" w:line="240" w:lineRule="auto"/>
              <w:jc w:val="right"/>
              <w:rPr>
                <w:rFonts w:ascii="Arial" w:hAnsi="Arial" w:cs="Arial"/>
                <w:sz w:val="16"/>
                <w:szCs w:val="16"/>
              </w:rPr>
            </w:pPr>
            <w:r w:rsidRPr="0000256F">
              <w:rPr>
                <w:rFonts w:ascii="Arial" w:hAnsi="Arial" w:cs="Arial"/>
                <w:sz w:val="16"/>
                <w:szCs w:val="16"/>
              </w:rPr>
              <w:t>111.4</w:t>
            </w:r>
          </w:p>
        </w:tc>
      </w:tr>
      <w:tr w:rsidR="0000256F" w:rsidRPr="0000256F" w14:paraId="03D0AF5E" w14:textId="77777777" w:rsidTr="00435C2E">
        <w:trPr>
          <w:trHeight w:val="229"/>
        </w:trPr>
        <w:tc>
          <w:tcPr>
            <w:tcW w:w="1154" w:type="pct"/>
            <w:tcBorders>
              <w:left w:val="nil"/>
              <w:bottom w:val="single" w:sz="2" w:space="0" w:color="000000" w:themeColor="text1"/>
              <w:right w:val="nil"/>
            </w:tcBorders>
            <w:shd w:val="clear" w:color="000000" w:fill="FFFFFF"/>
            <w:noWrap/>
            <w:vAlign w:val="center"/>
            <w:hideMark/>
          </w:tcPr>
          <w:p w14:paraId="23DF9A6B" w14:textId="77777777" w:rsidR="0000256F" w:rsidRPr="0000256F" w:rsidRDefault="0000256F" w:rsidP="001B3CF4">
            <w:pPr>
              <w:keepNext/>
              <w:keepLines/>
              <w:spacing w:after="0" w:line="240" w:lineRule="auto"/>
              <w:jc w:val="left"/>
              <w:rPr>
                <w:rFonts w:ascii="Arial" w:hAnsi="Arial" w:cs="Arial"/>
                <w:b/>
                <w:bCs/>
                <w:sz w:val="16"/>
                <w:szCs w:val="16"/>
              </w:rPr>
            </w:pPr>
            <w:r w:rsidRPr="0000256F">
              <w:rPr>
                <w:rFonts w:ascii="Arial" w:hAnsi="Arial" w:cs="Arial"/>
                <w:b/>
                <w:bCs/>
                <w:sz w:val="16"/>
                <w:szCs w:val="16"/>
              </w:rPr>
              <w:t>Total</w:t>
            </w:r>
          </w:p>
        </w:tc>
        <w:tc>
          <w:tcPr>
            <w:tcW w:w="529" w:type="pct"/>
            <w:tcBorders>
              <w:top w:val="single" w:sz="2" w:space="0" w:color="000000" w:themeColor="text1"/>
              <w:left w:val="nil"/>
              <w:bottom w:val="single" w:sz="2" w:space="0" w:color="000000" w:themeColor="text1"/>
              <w:right w:val="nil"/>
            </w:tcBorders>
            <w:shd w:val="clear" w:color="000000" w:fill="FFFFFF"/>
            <w:noWrap/>
            <w:vAlign w:val="center"/>
            <w:hideMark/>
          </w:tcPr>
          <w:p w14:paraId="5433BCBB" w14:textId="77777777" w:rsidR="0000256F" w:rsidRPr="0000256F" w:rsidRDefault="0000256F" w:rsidP="001B3CF4">
            <w:pPr>
              <w:keepNext/>
              <w:keepLines/>
              <w:spacing w:after="0" w:line="240" w:lineRule="auto"/>
              <w:jc w:val="right"/>
              <w:rPr>
                <w:rFonts w:ascii="Arial" w:hAnsi="Arial" w:cs="Arial"/>
                <w:b/>
                <w:sz w:val="16"/>
                <w:szCs w:val="16"/>
              </w:rPr>
            </w:pPr>
            <w:r w:rsidRPr="0000256F">
              <w:rPr>
                <w:rFonts w:ascii="Arial" w:hAnsi="Arial" w:cs="Arial"/>
                <w:b/>
                <w:sz w:val="16"/>
                <w:szCs w:val="16"/>
              </w:rPr>
              <w:t>41,329</w:t>
            </w:r>
          </w:p>
        </w:tc>
        <w:tc>
          <w:tcPr>
            <w:tcW w:w="433" w:type="pct"/>
            <w:tcBorders>
              <w:top w:val="single" w:sz="2" w:space="0" w:color="000000" w:themeColor="text1"/>
              <w:left w:val="nil"/>
              <w:bottom w:val="single" w:sz="2" w:space="0" w:color="000000" w:themeColor="text1"/>
              <w:right w:val="nil"/>
            </w:tcBorders>
            <w:shd w:val="clear" w:color="000000" w:fill="FFFFFF"/>
            <w:noWrap/>
            <w:vAlign w:val="center"/>
            <w:hideMark/>
          </w:tcPr>
          <w:p w14:paraId="5FDC452C" w14:textId="77777777" w:rsidR="0000256F" w:rsidRPr="0000256F" w:rsidRDefault="0000256F" w:rsidP="001B3CF4">
            <w:pPr>
              <w:keepNext/>
              <w:keepLines/>
              <w:spacing w:after="0" w:line="240" w:lineRule="auto"/>
              <w:jc w:val="right"/>
              <w:rPr>
                <w:rFonts w:ascii="Arial" w:hAnsi="Arial" w:cs="Arial"/>
                <w:b/>
                <w:sz w:val="16"/>
                <w:szCs w:val="16"/>
              </w:rPr>
            </w:pPr>
            <w:r w:rsidRPr="0000256F">
              <w:rPr>
                <w:rFonts w:ascii="Arial" w:hAnsi="Arial" w:cs="Arial"/>
                <w:b/>
                <w:sz w:val="16"/>
                <w:szCs w:val="16"/>
              </w:rPr>
              <w:t>247.9</w:t>
            </w:r>
          </w:p>
        </w:tc>
        <w:tc>
          <w:tcPr>
            <w:tcW w:w="529" w:type="pct"/>
            <w:tcBorders>
              <w:top w:val="single" w:sz="2" w:space="0" w:color="000000" w:themeColor="text1"/>
              <w:left w:val="nil"/>
              <w:bottom w:val="single" w:sz="2" w:space="0" w:color="000000" w:themeColor="text1"/>
              <w:right w:val="nil"/>
            </w:tcBorders>
            <w:shd w:val="clear" w:color="000000" w:fill="FFFFFF"/>
            <w:noWrap/>
            <w:vAlign w:val="center"/>
            <w:hideMark/>
          </w:tcPr>
          <w:p w14:paraId="205690C3" w14:textId="77777777" w:rsidR="0000256F" w:rsidRPr="0000256F" w:rsidRDefault="0000256F" w:rsidP="001B3CF4">
            <w:pPr>
              <w:keepNext/>
              <w:keepLines/>
              <w:spacing w:after="0" w:line="240" w:lineRule="auto"/>
              <w:jc w:val="right"/>
              <w:rPr>
                <w:rFonts w:ascii="Arial" w:hAnsi="Arial" w:cs="Arial"/>
                <w:b/>
                <w:sz w:val="16"/>
                <w:szCs w:val="16"/>
              </w:rPr>
            </w:pPr>
            <w:r w:rsidRPr="0000256F">
              <w:rPr>
                <w:rFonts w:ascii="Arial" w:hAnsi="Arial" w:cs="Arial"/>
                <w:b/>
                <w:sz w:val="16"/>
                <w:szCs w:val="16"/>
              </w:rPr>
              <w:t>14,256</w:t>
            </w:r>
          </w:p>
        </w:tc>
        <w:tc>
          <w:tcPr>
            <w:tcW w:w="433" w:type="pct"/>
            <w:tcBorders>
              <w:top w:val="single" w:sz="2" w:space="0" w:color="000000" w:themeColor="text1"/>
              <w:left w:val="nil"/>
              <w:bottom w:val="single" w:sz="2" w:space="0" w:color="000000" w:themeColor="text1"/>
              <w:right w:val="nil"/>
            </w:tcBorders>
            <w:shd w:val="clear" w:color="000000" w:fill="FFFFFF"/>
            <w:noWrap/>
            <w:vAlign w:val="center"/>
            <w:hideMark/>
          </w:tcPr>
          <w:p w14:paraId="33FC5245" w14:textId="77777777" w:rsidR="0000256F" w:rsidRPr="0000256F" w:rsidRDefault="0000256F" w:rsidP="001B3CF4">
            <w:pPr>
              <w:keepNext/>
              <w:keepLines/>
              <w:spacing w:after="0" w:line="240" w:lineRule="auto"/>
              <w:jc w:val="right"/>
              <w:rPr>
                <w:rFonts w:ascii="Arial" w:hAnsi="Arial" w:cs="Arial"/>
                <w:b/>
                <w:sz w:val="16"/>
                <w:szCs w:val="16"/>
              </w:rPr>
            </w:pPr>
            <w:r w:rsidRPr="0000256F">
              <w:rPr>
                <w:rFonts w:ascii="Arial" w:hAnsi="Arial" w:cs="Arial"/>
                <w:b/>
                <w:sz w:val="16"/>
                <w:szCs w:val="16"/>
              </w:rPr>
              <w:t>197.7</w:t>
            </w:r>
          </w:p>
        </w:tc>
        <w:tc>
          <w:tcPr>
            <w:tcW w:w="529" w:type="pct"/>
            <w:tcBorders>
              <w:top w:val="single" w:sz="2" w:space="0" w:color="000000" w:themeColor="text1"/>
              <w:left w:val="nil"/>
              <w:bottom w:val="single" w:sz="2" w:space="0" w:color="000000" w:themeColor="text1"/>
              <w:right w:val="nil"/>
            </w:tcBorders>
            <w:shd w:val="clear" w:color="000000" w:fill="FFFFFF"/>
            <w:noWrap/>
            <w:vAlign w:val="center"/>
            <w:hideMark/>
          </w:tcPr>
          <w:p w14:paraId="71ECFB34" w14:textId="77777777" w:rsidR="0000256F" w:rsidRPr="0000256F" w:rsidRDefault="0000256F" w:rsidP="001B3CF4">
            <w:pPr>
              <w:keepNext/>
              <w:keepLines/>
              <w:spacing w:after="0" w:line="240" w:lineRule="auto"/>
              <w:jc w:val="right"/>
              <w:rPr>
                <w:rFonts w:ascii="Arial" w:hAnsi="Arial" w:cs="Arial"/>
                <w:b/>
                <w:sz w:val="16"/>
                <w:szCs w:val="16"/>
              </w:rPr>
            </w:pPr>
            <w:r w:rsidRPr="0000256F">
              <w:rPr>
                <w:rFonts w:ascii="Arial" w:hAnsi="Arial" w:cs="Arial"/>
                <w:b/>
                <w:sz w:val="16"/>
                <w:szCs w:val="16"/>
              </w:rPr>
              <w:t>11,026</w:t>
            </w:r>
          </w:p>
        </w:tc>
        <w:tc>
          <w:tcPr>
            <w:tcW w:w="433" w:type="pct"/>
            <w:tcBorders>
              <w:top w:val="single" w:sz="2" w:space="0" w:color="000000" w:themeColor="text1"/>
              <w:left w:val="nil"/>
              <w:bottom w:val="single" w:sz="2" w:space="0" w:color="000000" w:themeColor="text1"/>
              <w:right w:val="nil"/>
            </w:tcBorders>
            <w:shd w:val="clear" w:color="000000" w:fill="FFFFFF"/>
            <w:noWrap/>
            <w:vAlign w:val="center"/>
            <w:hideMark/>
          </w:tcPr>
          <w:p w14:paraId="2B6DE770" w14:textId="77777777" w:rsidR="0000256F" w:rsidRPr="0000256F" w:rsidRDefault="0000256F" w:rsidP="001B3CF4">
            <w:pPr>
              <w:keepNext/>
              <w:keepLines/>
              <w:spacing w:after="0" w:line="240" w:lineRule="auto"/>
              <w:jc w:val="right"/>
              <w:rPr>
                <w:rFonts w:ascii="Arial" w:hAnsi="Arial" w:cs="Arial"/>
                <w:b/>
                <w:sz w:val="16"/>
                <w:szCs w:val="16"/>
              </w:rPr>
            </w:pPr>
            <w:r w:rsidRPr="0000256F">
              <w:rPr>
                <w:rFonts w:ascii="Arial" w:hAnsi="Arial" w:cs="Arial"/>
                <w:b/>
                <w:sz w:val="16"/>
                <w:szCs w:val="16"/>
              </w:rPr>
              <w:t>163.1</w:t>
            </w:r>
          </w:p>
        </w:tc>
        <w:tc>
          <w:tcPr>
            <w:tcW w:w="481" w:type="pct"/>
            <w:tcBorders>
              <w:top w:val="single" w:sz="2" w:space="0" w:color="000000" w:themeColor="text1"/>
              <w:left w:val="nil"/>
              <w:bottom w:val="single" w:sz="2" w:space="0" w:color="000000" w:themeColor="text1"/>
              <w:right w:val="nil"/>
            </w:tcBorders>
            <w:shd w:val="clear" w:color="000000" w:fill="F2F2F2"/>
            <w:noWrap/>
            <w:vAlign w:val="center"/>
            <w:hideMark/>
          </w:tcPr>
          <w:p w14:paraId="32547CBE" w14:textId="77777777" w:rsidR="0000256F" w:rsidRPr="0000256F" w:rsidRDefault="0000256F" w:rsidP="001B3CF4">
            <w:pPr>
              <w:keepNext/>
              <w:keepLines/>
              <w:spacing w:after="0" w:line="240" w:lineRule="auto"/>
              <w:jc w:val="right"/>
              <w:rPr>
                <w:rFonts w:ascii="Arial" w:hAnsi="Arial" w:cs="Arial"/>
                <w:b/>
                <w:bCs/>
                <w:sz w:val="16"/>
                <w:szCs w:val="16"/>
              </w:rPr>
            </w:pPr>
            <w:r w:rsidRPr="0000256F">
              <w:rPr>
                <w:rFonts w:ascii="Arial" w:hAnsi="Arial" w:cs="Arial"/>
                <w:b/>
                <w:bCs/>
                <w:sz w:val="16"/>
                <w:szCs w:val="16"/>
              </w:rPr>
              <w:t>8,610</w:t>
            </w:r>
          </w:p>
        </w:tc>
        <w:tc>
          <w:tcPr>
            <w:tcW w:w="481" w:type="pct"/>
            <w:tcBorders>
              <w:top w:val="single" w:sz="2" w:space="0" w:color="000000" w:themeColor="text1"/>
              <w:left w:val="nil"/>
              <w:bottom w:val="single" w:sz="2" w:space="0" w:color="000000" w:themeColor="text1"/>
              <w:right w:val="nil"/>
            </w:tcBorders>
            <w:shd w:val="clear" w:color="000000" w:fill="F2F2F2"/>
            <w:noWrap/>
            <w:vAlign w:val="center"/>
            <w:hideMark/>
          </w:tcPr>
          <w:p w14:paraId="6E4262AE" w14:textId="77777777" w:rsidR="0000256F" w:rsidRPr="0000256F" w:rsidRDefault="0000256F" w:rsidP="001B3CF4">
            <w:pPr>
              <w:keepNext/>
              <w:keepLines/>
              <w:spacing w:after="0" w:line="240" w:lineRule="auto"/>
              <w:jc w:val="right"/>
              <w:rPr>
                <w:rFonts w:ascii="Arial" w:hAnsi="Arial" w:cs="Arial"/>
                <w:b/>
                <w:bCs/>
                <w:color w:val="auto"/>
                <w:sz w:val="16"/>
                <w:szCs w:val="16"/>
              </w:rPr>
            </w:pPr>
            <w:r w:rsidRPr="0000256F">
              <w:rPr>
                <w:rFonts w:ascii="Arial" w:hAnsi="Arial" w:cs="Arial"/>
                <w:b/>
                <w:bCs/>
                <w:color w:val="auto"/>
                <w:sz w:val="16"/>
                <w:szCs w:val="16"/>
              </w:rPr>
              <w:t>231.0</w:t>
            </w:r>
          </w:p>
        </w:tc>
      </w:tr>
    </w:tbl>
    <w:p w14:paraId="55651C86" w14:textId="600447CD" w:rsidR="00A84283" w:rsidRPr="00E25F71" w:rsidRDefault="00A84283" w:rsidP="001B3CF4">
      <w:pPr>
        <w:pStyle w:val="ChartorTableNote"/>
        <w:keepNext/>
        <w:keepLines/>
      </w:pPr>
      <w:r w:rsidRPr="00E25F71">
        <w:t>Notes:</w:t>
      </w:r>
      <w:r w:rsidRPr="00E25F71">
        <w:tab/>
        <w:t>Totals may not add due to rounding.</w:t>
      </w:r>
    </w:p>
    <w:p w14:paraId="2304199F" w14:textId="24039478" w:rsidR="00A84283" w:rsidRPr="00E25F71" w:rsidRDefault="00A84283" w:rsidP="001B3CF4">
      <w:pPr>
        <w:pStyle w:val="ChartorTableNote"/>
        <w:keepNext/>
        <w:keepLines/>
      </w:pPr>
      <w:r w:rsidRPr="00E25F71">
        <w:t>Figures exclu</w:t>
      </w:r>
      <w:r w:rsidR="000F1514" w:rsidRPr="00E25F71">
        <w:t>de corporate reorganisations (128</w:t>
      </w:r>
      <w:r w:rsidRPr="00E25F71">
        <w:t xml:space="preserve"> approved in</w:t>
      </w:r>
      <w:r w:rsidR="000F1514" w:rsidRPr="00E25F71">
        <w:t xml:space="preserve"> 2018</w:t>
      </w:r>
      <w:r w:rsidR="00CC5619" w:rsidRPr="00E25F71">
        <w:t>–1</w:t>
      </w:r>
      <w:r w:rsidR="000F1514" w:rsidRPr="00E25F71">
        <w:t>9</w:t>
      </w:r>
      <w:r w:rsidR="00CC5619" w:rsidRPr="00E25F71">
        <w:t>) and new businesses (22 approved in 2018</w:t>
      </w:r>
      <w:r w:rsidR="00CC5619" w:rsidRPr="00E25F71">
        <w:noBreakHyphen/>
        <w:t>19</w:t>
      </w:r>
      <w:r w:rsidRPr="00E25F71">
        <w:t>), since they are attributed $0 value. Data prio</w:t>
      </w:r>
      <w:r w:rsidR="000F1514" w:rsidRPr="00E25F71">
        <w:t>r to 2017-</w:t>
      </w:r>
      <w:r w:rsidRPr="00E25F71">
        <w:t>18 has been amended to exclude new business approvals as these are now separately reported at Table 3.13.</w:t>
      </w:r>
    </w:p>
    <w:p w14:paraId="6F57B38A" w14:textId="04B8C4B2" w:rsidR="00A84283" w:rsidRPr="00E25F71" w:rsidRDefault="00A84283" w:rsidP="001B3CF4">
      <w:pPr>
        <w:pStyle w:val="ChartorTableNote"/>
        <w:keepLines/>
      </w:pPr>
      <w:r w:rsidRPr="00E25F71">
        <w:t>Data from 2015–16 onwards was impacted by the 1 December 2015 reforms. Data from 2016-17 onwards was impacted by the limiting foreign ownership in new developments reform announced in the 2017</w:t>
      </w:r>
      <w:r w:rsidR="000F1514" w:rsidRPr="00E25F71">
        <w:noBreakHyphen/>
      </w:r>
      <w:r w:rsidRPr="00E25F71">
        <w:t>18 Budget that had immediate effect from Budget night, 7.30pm on Tuesday 9 May 2017. The 2017</w:t>
      </w:r>
      <w:r w:rsidR="000F1514" w:rsidRPr="00E25F71">
        <w:noBreakHyphen/>
      </w:r>
      <w:r w:rsidRPr="00E25F71">
        <w:t>18 data was impacted by the other reforms announced in the 2017</w:t>
      </w:r>
      <w:r w:rsidR="0013673F" w:rsidRPr="00E25F71">
        <w:noBreakHyphen/>
      </w:r>
      <w:r w:rsidRPr="00E25F71">
        <w:t>18 Budget, which were given effect on 1 July 2017. These reforms may affect data comparability. </w:t>
      </w:r>
    </w:p>
    <w:p w14:paraId="128F999D" w14:textId="385AE7E5" w:rsidR="00A84283" w:rsidRPr="006D64A2" w:rsidRDefault="00A84283" w:rsidP="00C87E90">
      <w:pPr>
        <w:pStyle w:val="Heading2"/>
      </w:pPr>
      <w:bookmarkStart w:id="87" w:name="_Toc31296904"/>
      <w:bookmarkStart w:id="88" w:name="_Toc31636022"/>
      <w:bookmarkStart w:id="89" w:name="_Toc31642791"/>
      <w:bookmarkStart w:id="90" w:name="_Toc32247800"/>
      <w:bookmarkStart w:id="91" w:name="_Toc33625849"/>
      <w:r w:rsidRPr="006D64A2">
        <w:t>Approvals by industry sector</w:t>
      </w:r>
      <w:bookmarkEnd w:id="87"/>
      <w:bookmarkEnd w:id="88"/>
      <w:bookmarkEnd w:id="89"/>
      <w:bookmarkEnd w:id="90"/>
      <w:bookmarkEnd w:id="91"/>
    </w:p>
    <w:p w14:paraId="2A04E5D7" w14:textId="24B83622" w:rsidR="00A84283" w:rsidRPr="00E25F71" w:rsidRDefault="00A84283" w:rsidP="00123729">
      <w:pPr>
        <w:pStyle w:val="ChartMainHeading"/>
      </w:pPr>
      <w:bookmarkStart w:id="92" w:name="_Toc31716192"/>
      <w:bookmarkStart w:id="93" w:name="_Toc32247758"/>
      <w:bookmarkStart w:id="94" w:name="_Toc33521372"/>
      <w:r w:rsidRPr="00E25F71">
        <w:t>Chart 3.1: Approvals value by industry sector: 201</w:t>
      </w:r>
      <w:r w:rsidR="0013673F" w:rsidRPr="00E25F71">
        <w:t>7</w:t>
      </w:r>
      <w:r w:rsidRPr="00E25F71">
        <w:t>–1</w:t>
      </w:r>
      <w:r w:rsidR="0013673F" w:rsidRPr="00E25F71">
        <w:t>8</w:t>
      </w:r>
      <w:r w:rsidRPr="00E25F71">
        <w:t xml:space="preserve"> and 201</w:t>
      </w:r>
      <w:r w:rsidR="0013673F" w:rsidRPr="00E25F71">
        <w:t>8</w:t>
      </w:r>
      <w:r w:rsidRPr="00E25F71">
        <w:t>–1</w:t>
      </w:r>
      <w:r w:rsidR="0013673F" w:rsidRPr="00E25F71">
        <w:t>9</w:t>
      </w:r>
      <w:bookmarkEnd w:id="92"/>
      <w:bookmarkEnd w:id="93"/>
      <w:bookmarkEnd w:id="94"/>
    </w:p>
    <w:p w14:paraId="18F23FBA" w14:textId="5CEACE60" w:rsidR="00A84283" w:rsidRPr="00A84283" w:rsidRDefault="00A84283" w:rsidP="001C7EE6">
      <w:pPr>
        <w:pStyle w:val="Circletext"/>
      </w:pPr>
      <w:r w:rsidRPr="00A84283">
        <w:t xml:space="preserve"> </w:t>
      </w:r>
      <w:r w:rsidR="00DE2035">
        <w:rPr>
          <w:noProof/>
        </w:rPr>
        <w:t xml:space="preserve"> </w:t>
      </w:r>
      <w:r w:rsidR="00BD4331">
        <w:rPr>
          <w:noProof/>
        </w:rPr>
        <w:drawing>
          <wp:inline distT="0" distB="0" distL="0" distR="0" wp14:anchorId="2F309D3A" wp14:editId="7BBDA8CD">
            <wp:extent cx="4393998" cy="3926204"/>
            <wp:effectExtent l="0" t="0" r="0" b="0"/>
            <wp:docPr id="31" name="Picture 31" descr="Column chart shows the value of approvals in 2017-18 and 2018-19 categorised by industry sector.&#10;The approvals are categorised by either real estate or non-real estate. Real estate is further categorised into residential and commercial and non-real estate is further categorised into agriculture forestry &amp; fishing, finance &amp; insurance, manufacturing electricity &amp; gas, mineral exploration &amp; development and services. &#10;The value of real-estate and non-real estate approvals rose in 2018-19 compared to 2017-18. The value of all non-real estate sectors apart from agriculture, forestry and fishing, and mining exploration and development grew in 2018-19. The value of commercial real estate approvals increased in 2018-19 by $33.5 billion to $73.0 billion, manufacturing, electricity &amp; gas by $20.1 billion to $36.7 billion and services by $$12.8 billion to $76.0 billion. " title="Chart 3.1: Approvals value by industry sector: 2017–18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393998" cy="3926204"/>
                    </a:xfrm>
                    <a:prstGeom prst="rect">
                      <a:avLst/>
                    </a:prstGeom>
                    <a:noFill/>
                  </pic:spPr>
                </pic:pic>
              </a:graphicData>
            </a:graphic>
          </wp:inline>
        </w:drawing>
      </w:r>
    </w:p>
    <w:p w14:paraId="20837526" w14:textId="57319751" w:rsidR="00A84283" w:rsidRPr="00B4544E" w:rsidRDefault="00A84283" w:rsidP="00B4544E">
      <w:pPr>
        <w:pStyle w:val="ChartMainHeading"/>
      </w:pPr>
      <w:bookmarkStart w:id="95" w:name="_Toc31716193"/>
      <w:bookmarkStart w:id="96" w:name="_Toc32247759"/>
      <w:bookmarkStart w:id="97" w:name="_Toc33521373"/>
      <w:r w:rsidRPr="00B4544E">
        <w:lastRenderedPageBreak/>
        <w:t>Chart 3.2: Share of total value of approvals, by industry sector in 201</w:t>
      </w:r>
      <w:r w:rsidR="0013673F" w:rsidRPr="00B4544E">
        <w:t>8</w:t>
      </w:r>
      <w:r w:rsidRPr="00B4544E">
        <w:t>–1</w:t>
      </w:r>
      <w:r w:rsidR="0013673F" w:rsidRPr="00B4544E">
        <w:t>9</w:t>
      </w:r>
      <w:bookmarkEnd w:id="95"/>
      <w:bookmarkEnd w:id="96"/>
      <w:bookmarkEnd w:id="97"/>
    </w:p>
    <w:p w14:paraId="618B738C" w14:textId="642DA2F1" w:rsidR="00BD4331" w:rsidRDefault="00BD4331" w:rsidP="00E25F71">
      <w:pPr>
        <w:pStyle w:val="TableMainHeadingContd"/>
      </w:pPr>
      <w:r>
        <w:rPr>
          <w:noProof/>
        </w:rPr>
        <w:drawing>
          <wp:inline distT="0" distB="0" distL="0" distR="0" wp14:anchorId="53EBF608" wp14:editId="03D7848A">
            <wp:extent cx="4559933" cy="2447517"/>
            <wp:effectExtent l="0" t="0" r="0" b="0"/>
            <wp:docPr id="32" name="Picture 32" descr="Pie Chart shows the share of the total value of approvals in 2018-19 by industry sector.&#10;The industry sectors are agriculture forestry &amp; fishing, finance &amp; insurance, manufacturing electricity &amp; gas, mineral exploration and development, services, commercial real estate and residential real estate. Services was the largest sector for approvals by value, containing 33 per cent of all approvals in 2018-19. Commercial real estate was the second largest sector with 32 per cent of approvals and the Finance &amp; insurance  and agriculture forestry &amp; fishing industries' were the smallest sectors with both containing 3 per cent of the total value of approvals." title="Chart 3.2: Share of total value of approvals, by industry sector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559933" cy="2447517"/>
                    </a:xfrm>
                    <a:prstGeom prst="rect">
                      <a:avLst/>
                    </a:prstGeom>
                    <a:noFill/>
                  </pic:spPr>
                </pic:pic>
              </a:graphicData>
            </a:graphic>
          </wp:inline>
        </w:drawing>
      </w:r>
    </w:p>
    <w:p w14:paraId="0EDA219C" w14:textId="77C1D168" w:rsidR="00A84283" w:rsidRPr="00A84283" w:rsidRDefault="00A84283" w:rsidP="00E25F71">
      <w:pPr>
        <w:pStyle w:val="TableMainHeadingContd"/>
      </w:pPr>
      <w:r w:rsidRPr="00A84283">
        <w:t>Notes applying to Charts 3.1 and 3.2</w:t>
      </w:r>
    </w:p>
    <w:p w14:paraId="61482779" w14:textId="6ED894AC" w:rsidR="00A84283" w:rsidRPr="00D566F8" w:rsidRDefault="00A84283" w:rsidP="00406C1F">
      <w:pPr>
        <w:pStyle w:val="ChartorTableNote"/>
      </w:pPr>
      <w:r w:rsidRPr="00D566F8">
        <w:t>The total number of approvals in Chart 3.1 is recorded by target, reflecting the industry sector of the target. See notes to Table 3.4 for examples.</w:t>
      </w:r>
    </w:p>
    <w:p w14:paraId="281F49F0" w14:textId="30B89588" w:rsidR="00A84283" w:rsidRPr="00D566F8" w:rsidRDefault="00A84283">
      <w:pPr>
        <w:pStyle w:val="ChartorTableNote"/>
      </w:pPr>
      <w:r w:rsidRPr="00D566F8">
        <w:t>Corporate reorganisations (1</w:t>
      </w:r>
      <w:r w:rsidR="0013673F" w:rsidRPr="00D566F8">
        <w:t>28</w:t>
      </w:r>
      <w:r w:rsidRPr="00D566F8">
        <w:t xml:space="preserve"> approved in</w:t>
      </w:r>
      <w:r w:rsidR="00CC5619" w:rsidRPr="00D566F8">
        <w:t xml:space="preserve"> 201</w:t>
      </w:r>
      <w:r w:rsidR="0013673F" w:rsidRPr="00D566F8">
        <w:t>8</w:t>
      </w:r>
      <w:r w:rsidR="00B4544E">
        <w:noBreakHyphen/>
      </w:r>
      <w:r w:rsidR="00CC5619" w:rsidRPr="00D566F8">
        <w:t>1</w:t>
      </w:r>
      <w:r w:rsidR="0013673F" w:rsidRPr="00D566F8">
        <w:t>9</w:t>
      </w:r>
      <w:r w:rsidR="00CC5619" w:rsidRPr="00D566F8">
        <w:t>) and new businesses (22</w:t>
      </w:r>
      <w:r w:rsidRPr="00D566F8">
        <w:t xml:space="preserve"> approved in 201</w:t>
      </w:r>
      <w:r w:rsidR="00CC5619" w:rsidRPr="00D566F8">
        <w:t>8</w:t>
      </w:r>
      <w:r w:rsidR="00B4544E">
        <w:noBreakHyphen/>
      </w:r>
      <w:r w:rsidR="00CC5619" w:rsidRPr="00D566F8">
        <w:t>19</w:t>
      </w:r>
      <w:r w:rsidRPr="00D566F8">
        <w:t>) are excluded.</w:t>
      </w:r>
    </w:p>
    <w:p w14:paraId="53645520" w14:textId="13B0E355" w:rsidR="00A84283" w:rsidRPr="00D566F8" w:rsidRDefault="0013673F">
      <w:pPr>
        <w:pStyle w:val="ChartorTableNote"/>
      </w:pPr>
      <w:r w:rsidRPr="00D566F8">
        <w:t>Data for 2016</w:t>
      </w:r>
      <w:r w:rsidR="00B4544E">
        <w:noBreakHyphen/>
      </w:r>
      <w:r w:rsidR="00A84283" w:rsidRPr="00D566F8">
        <w:t>17 has been amended from earlier published data to reflect an upward revision of residential real estate values.</w:t>
      </w:r>
    </w:p>
    <w:p w14:paraId="4B229DC4" w14:textId="5B77670D" w:rsidR="00A84283" w:rsidRPr="00D566F8" w:rsidRDefault="00A84283">
      <w:pPr>
        <w:pStyle w:val="ChartorTableNote"/>
      </w:pPr>
      <w:r w:rsidRPr="00D566F8">
        <w:t>Data for 2015</w:t>
      </w:r>
      <w:r w:rsidR="00B4544E">
        <w:noBreakHyphen/>
      </w:r>
      <w:r w:rsidRPr="00D566F8">
        <w:t>16 onwards was impacted by the 1</w:t>
      </w:r>
      <w:r w:rsidR="00B4544E">
        <w:t> December </w:t>
      </w:r>
      <w:r w:rsidRPr="00D566F8">
        <w:t>2015 reforms. Data from 2016</w:t>
      </w:r>
      <w:r w:rsidR="00B4544E">
        <w:noBreakHyphen/>
      </w:r>
      <w:r w:rsidRPr="00D566F8">
        <w:t>17 onwards was impacted by the limiting foreign ownership in new developmen</w:t>
      </w:r>
      <w:r w:rsidR="006373F6" w:rsidRPr="00D566F8">
        <w:t>ts reform announced in the 2017</w:t>
      </w:r>
      <w:r w:rsidR="00B4544E">
        <w:noBreakHyphen/>
      </w:r>
      <w:r w:rsidRPr="00D566F8">
        <w:t>18 Budget that had immediate effect from Budget night, 7.30</w:t>
      </w:r>
      <w:r w:rsidR="00B4544E">
        <w:t> p</w:t>
      </w:r>
      <w:r w:rsidRPr="00D566F8">
        <w:t>m o</w:t>
      </w:r>
      <w:r w:rsidR="006373F6" w:rsidRPr="00D566F8">
        <w:t>n Tuesday</w:t>
      </w:r>
      <w:r w:rsidR="00B4544E">
        <w:t>, 9 May 2017. The 2017</w:t>
      </w:r>
      <w:r w:rsidR="00B4544E">
        <w:noBreakHyphen/>
      </w:r>
      <w:r w:rsidRPr="00D566F8">
        <w:t>18 data was impacted by the other reforms announced in the 2017</w:t>
      </w:r>
      <w:r w:rsidR="00B4544E">
        <w:noBreakHyphen/>
      </w:r>
      <w:r w:rsidRPr="00D566F8">
        <w:t>18 Budget, which were given effect on 1</w:t>
      </w:r>
      <w:r w:rsidR="00B4544E">
        <w:t> </w:t>
      </w:r>
      <w:r w:rsidRPr="00D566F8">
        <w:t>July</w:t>
      </w:r>
      <w:r w:rsidR="00B4544E">
        <w:t> </w:t>
      </w:r>
      <w:r w:rsidRPr="00D566F8">
        <w:t>2017. These reforms may affect data comparability across time.</w:t>
      </w:r>
    </w:p>
    <w:p w14:paraId="04A7197B" w14:textId="77777777" w:rsidR="00D566F8" w:rsidRDefault="00D566F8" w:rsidP="00497197">
      <w:pPr>
        <w:pStyle w:val="SingleParagraph"/>
      </w:pPr>
    </w:p>
    <w:p w14:paraId="660D2038" w14:textId="21D1E2CD" w:rsidR="00C06F00" w:rsidRDefault="00A84283" w:rsidP="00497197">
      <w:r w:rsidRPr="00A84283">
        <w:t>In 201</w:t>
      </w:r>
      <w:r w:rsidR="002B6322">
        <w:t>8</w:t>
      </w:r>
      <w:r w:rsidR="00B4544E">
        <w:noBreakHyphen/>
      </w:r>
      <w:r w:rsidRPr="00A84283">
        <w:t>1</w:t>
      </w:r>
      <w:r w:rsidR="002B6322">
        <w:t>9</w:t>
      </w:r>
      <w:r w:rsidRPr="00A84283">
        <w:t xml:space="preserve">, the services sector </w:t>
      </w:r>
      <w:r w:rsidR="002B6322">
        <w:t xml:space="preserve">again </w:t>
      </w:r>
      <w:r w:rsidRPr="00A84283">
        <w:t>attracted the highest value of approved investment, totalling $</w:t>
      </w:r>
      <w:r w:rsidR="002B6322">
        <w:t>76.0</w:t>
      </w:r>
      <w:r w:rsidR="00B4544E">
        <w:t> </w:t>
      </w:r>
      <w:r w:rsidRPr="00A84283">
        <w:t>billion</w:t>
      </w:r>
      <w:r w:rsidR="00C06F00">
        <w:t>, followed by commercial real estate, totalling $73.0</w:t>
      </w:r>
      <w:r w:rsidR="00B4544E">
        <w:t> </w:t>
      </w:r>
      <w:r w:rsidR="00C06F00">
        <w:t>billion</w:t>
      </w:r>
      <w:r w:rsidRPr="00A84283">
        <w:t xml:space="preserve">. </w:t>
      </w:r>
      <w:r w:rsidR="005B7B2E">
        <w:t>Over the past four</w:t>
      </w:r>
      <w:r w:rsidR="00B4544E">
        <w:t> </w:t>
      </w:r>
      <w:r w:rsidR="005B7B2E">
        <w:t>years, there has been a gradual increase in the value of proposed investment approvals in the services sector.</w:t>
      </w:r>
    </w:p>
    <w:p w14:paraId="0A0B4CB0" w14:textId="2B65DA9C" w:rsidR="00A84283" w:rsidRPr="00A84283" w:rsidRDefault="00A84283" w:rsidP="00497197">
      <w:r w:rsidRPr="00A84283">
        <w:t>The value of approvals</w:t>
      </w:r>
      <w:r w:rsidR="00055D97">
        <w:t xml:space="preserve"> in </w:t>
      </w:r>
      <w:r w:rsidR="005B7B2E">
        <w:t>a number of other</w:t>
      </w:r>
      <w:r w:rsidR="00055D97">
        <w:t xml:space="preserve"> sectors </w:t>
      </w:r>
      <w:r w:rsidRPr="00A84283">
        <w:t xml:space="preserve">increased </w:t>
      </w:r>
      <w:r w:rsidR="000A1EF4">
        <w:t>in</w:t>
      </w:r>
      <w:r w:rsidRPr="00A84283">
        <w:t xml:space="preserve"> 201</w:t>
      </w:r>
      <w:r w:rsidR="006D162F">
        <w:t>8</w:t>
      </w:r>
      <w:r w:rsidR="00B4544E">
        <w:noBreakHyphen/>
      </w:r>
      <w:r w:rsidRPr="00A84283">
        <w:t>1</w:t>
      </w:r>
      <w:r w:rsidR="006D162F">
        <w:t>9</w:t>
      </w:r>
      <w:r w:rsidR="006B1A0D">
        <w:t xml:space="preserve"> compared to 2017</w:t>
      </w:r>
      <w:r w:rsidR="00B4544E">
        <w:noBreakHyphen/>
      </w:r>
      <w:r w:rsidR="006B1A0D">
        <w:t>18</w:t>
      </w:r>
      <w:r w:rsidRPr="00A84283">
        <w:t xml:space="preserve">. Total investment approvals </w:t>
      </w:r>
      <w:r w:rsidR="00216901">
        <w:t xml:space="preserve">increased in the commercial real estate sector </w:t>
      </w:r>
      <w:r w:rsidRPr="00A84283">
        <w:t xml:space="preserve">by </w:t>
      </w:r>
      <w:r w:rsidR="0069758D">
        <w:t>$33.5</w:t>
      </w:r>
      <w:r w:rsidR="00B4544E">
        <w:t> </w:t>
      </w:r>
      <w:r w:rsidR="0069758D">
        <w:t>billion (</w:t>
      </w:r>
      <w:r w:rsidR="00B4544E">
        <w:t>to </w:t>
      </w:r>
      <w:r w:rsidR="0069758D">
        <w:t>$73.0</w:t>
      </w:r>
      <w:r w:rsidR="00B4544E">
        <w:t> </w:t>
      </w:r>
      <w:r w:rsidR="0069758D">
        <w:t xml:space="preserve">billion), </w:t>
      </w:r>
      <w:r w:rsidR="00216901">
        <w:t xml:space="preserve">in the manufacturing, electricity and gas sector </w:t>
      </w:r>
      <w:r w:rsidR="0069758D">
        <w:t xml:space="preserve">by </w:t>
      </w:r>
      <w:r w:rsidR="00675DD4">
        <w:t>$20</w:t>
      </w:r>
      <w:r w:rsidR="006D162F">
        <w:t>.</w:t>
      </w:r>
      <w:r w:rsidR="00675DD4">
        <w:t>1</w:t>
      </w:r>
      <w:r w:rsidR="00B4544E">
        <w:t> </w:t>
      </w:r>
      <w:r w:rsidR="006D162F">
        <w:t xml:space="preserve">billion </w:t>
      </w:r>
      <w:r w:rsidR="00675DD4">
        <w:t>(</w:t>
      </w:r>
      <w:r w:rsidR="00CD579E">
        <w:t>to</w:t>
      </w:r>
      <w:r w:rsidR="00B4544E">
        <w:t> </w:t>
      </w:r>
      <w:r w:rsidR="00675DD4">
        <w:t>$36.7</w:t>
      </w:r>
      <w:r w:rsidR="00B4544E">
        <w:t> </w:t>
      </w:r>
      <w:r w:rsidR="0069758D">
        <w:t>billion)</w:t>
      </w:r>
      <w:r w:rsidR="00F77BF9">
        <w:t>, and</w:t>
      </w:r>
      <w:r w:rsidR="00216901">
        <w:t xml:space="preserve"> in the services sector</w:t>
      </w:r>
      <w:r w:rsidR="00F77BF9">
        <w:t xml:space="preserve"> by $12.8</w:t>
      </w:r>
      <w:r w:rsidR="00B4544E">
        <w:t> </w:t>
      </w:r>
      <w:r w:rsidR="00F77BF9">
        <w:t>billion (</w:t>
      </w:r>
      <w:r w:rsidR="00CD579E">
        <w:t>to</w:t>
      </w:r>
      <w:r w:rsidR="00F77BF9">
        <w:t xml:space="preserve"> $76.0</w:t>
      </w:r>
      <w:r w:rsidR="00B4544E">
        <w:t> </w:t>
      </w:r>
      <w:r w:rsidR="00F77BF9">
        <w:t xml:space="preserve">billion). </w:t>
      </w:r>
      <w:r w:rsidR="0069758D">
        <w:t>There was also an</w:t>
      </w:r>
      <w:r w:rsidR="00C06F00">
        <w:t xml:space="preserve"> increase of </w:t>
      </w:r>
      <w:r w:rsidRPr="00A84283">
        <w:t>$0.</w:t>
      </w:r>
      <w:r w:rsidR="006D162F">
        <w:t>3</w:t>
      </w:r>
      <w:r w:rsidR="00B4544E">
        <w:t> </w:t>
      </w:r>
      <w:r w:rsidRPr="00A84283">
        <w:t xml:space="preserve">billion in the </w:t>
      </w:r>
      <w:r w:rsidR="006D162F">
        <w:t xml:space="preserve">finance and insurance sector </w:t>
      </w:r>
      <w:r w:rsidRPr="00A84283">
        <w:t>(</w:t>
      </w:r>
      <w:r w:rsidR="00CD579E">
        <w:t>to</w:t>
      </w:r>
      <w:r w:rsidRPr="00A84283">
        <w:t xml:space="preserve"> $</w:t>
      </w:r>
      <w:r w:rsidR="006D162F">
        <w:t>6.3</w:t>
      </w:r>
      <w:r w:rsidR="00B4544E">
        <w:t> </w:t>
      </w:r>
      <w:r w:rsidR="00675DD4">
        <w:t>b</w:t>
      </w:r>
      <w:r w:rsidR="00C06F00">
        <w:t>illion)</w:t>
      </w:r>
      <w:r w:rsidRPr="00A84283">
        <w:t>.</w:t>
      </w:r>
    </w:p>
    <w:p w14:paraId="2D972638" w14:textId="130EB62A" w:rsidR="005B7B2E" w:rsidRPr="00A84283" w:rsidRDefault="005B7B2E" w:rsidP="00497197">
      <w:r>
        <w:t>In 2018</w:t>
      </w:r>
      <w:r>
        <w:noBreakHyphen/>
        <w:t xml:space="preserve">19, residential real estate saw an increase in </w:t>
      </w:r>
      <w:r w:rsidR="00C51FEF">
        <w:t xml:space="preserve">the </w:t>
      </w:r>
      <w:r>
        <w:t>value of approvals for the first time since 2015</w:t>
      </w:r>
      <w:r>
        <w:noBreakHyphen/>
        <w:t>16</w:t>
      </w:r>
      <w:r w:rsidR="00C51FEF">
        <w:t>. In 2018</w:t>
      </w:r>
      <w:r w:rsidR="00B4544E">
        <w:noBreakHyphen/>
      </w:r>
      <w:r w:rsidR="00C51FEF">
        <w:t xml:space="preserve">19, the value of </w:t>
      </w:r>
      <w:r>
        <w:t xml:space="preserve">investment </w:t>
      </w:r>
      <w:r w:rsidR="00C51FEF">
        <w:t>in this sector was $14.8</w:t>
      </w:r>
      <w:r w:rsidR="00B4544E">
        <w:t> </w:t>
      </w:r>
      <w:r w:rsidR="00C51FEF">
        <w:t>billion. At its peak in 2015</w:t>
      </w:r>
      <w:r w:rsidR="00B4544E">
        <w:noBreakHyphen/>
      </w:r>
      <w:r w:rsidR="00C51FEF">
        <w:t xml:space="preserve">16 it was at </w:t>
      </w:r>
      <w:r>
        <w:t>$72.4</w:t>
      </w:r>
      <w:r w:rsidR="00B4544E">
        <w:t> </w:t>
      </w:r>
      <w:r>
        <w:t xml:space="preserve">billion. </w:t>
      </w:r>
    </w:p>
    <w:p w14:paraId="6E899F4D" w14:textId="1D719386" w:rsidR="00A84283" w:rsidRPr="00A84283" w:rsidRDefault="00A84283" w:rsidP="00497197">
      <w:r w:rsidRPr="00A84283">
        <w:t xml:space="preserve">In other sectors, however, the value of investment approvals fell </w:t>
      </w:r>
      <w:r w:rsidR="003E0381">
        <w:t>in</w:t>
      </w:r>
      <w:r w:rsidRPr="00A84283">
        <w:t xml:space="preserve"> 201</w:t>
      </w:r>
      <w:r w:rsidR="002B6322">
        <w:t>8</w:t>
      </w:r>
      <w:r w:rsidR="00B4544E">
        <w:noBreakHyphen/>
      </w:r>
      <w:r w:rsidRPr="00A84283">
        <w:t>1</w:t>
      </w:r>
      <w:r w:rsidR="002B6322">
        <w:t>9</w:t>
      </w:r>
      <w:r w:rsidR="003E0381">
        <w:t xml:space="preserve"> from the </w:t>
      </w:r>
      <w:r w:rsidR="00216901">
        <w:t xml:space="preserve">previous </w:t>
      </w:r>
      <w:r w:rsidR="003E0381">
        <w:t>year</w:t>
      </w:r>
      <w:r w:rsidRPr="00A84283">
        <w:t>. The largest fall in value was for approvals in the</w:t>
      </w:r>
      <w:r w:rsidR="003E0381">
        <w:t xml:space="preserve"> agriculture, forestry and fishing sector </w:t>
      </w:r>
      <w:r w:rsidR="006B1A0D">
        <w:t>by $0.6</w:t>
      </w:r>
      <w:r w:rsidR="00B4544E">
        <w:t> </w:t>
      </w:r>
      <w:r w:rsidR="006B1A0D">
        <w:t xml:space="preserve">billion </w:t>
      </w:r>
      <w:r w:rsidR="003E0381">
        <w:t>(</w:t>
      </w:r>
      <w:r w:rsidR="006B1A0D">
        <w:t>to</w:t>
      </w:r>
      <w:r w:rsidR="00B4544E">
        <w:t> </w:t>
      </w:r>
      <w:r w:rsidR="003E0381">
        <w:t>$7.3</w:t>
      </w:r>
      <w:r w:rsidR="00B4544E">
        <w:t> </w:t>
      </w:r>
      <w:r w:rsidR="003E0381">
        <w:t>billion</w:t>
      </w:r>
      <w:r w:rsidR="006B1A0D">
        <w:t>)</w:t>
      </w:r>
      <w:r w:rsidR="003E0381">
        <w:t xml:space="preserve"> followed by the</w:t>
      </w:r>
      <w:r w:rsidRPr="00A84283">
        <w:t xml:space="preserve"> </w:t>
      </w:r>
      <w:r w:rsidR="002B6322">
        <w:t>mineral exploration and development</w:t>
      </w:r>
      <w:r w:rsidRPr="00A84283">
        <w:t xml:space="preserve"> sector </w:t>
      </w:r>
      <w:r w:rsidR="00B654E7">
        <w:t>by $0.5</w:t>
      </w:r>
      <w:r w:rsidR="00B4544E">
        <w:t> </w:t>
      </w:r>
      <w:r w:rsidR="00B654E7">
        <w:t xml:space="preserve">billion </w:t>
      </w:r>
      <w:r w:rsidRPr="00A84283">
        <w:t>(</w:t>
      </w:r>
      <w:r w:rsidR="00B654E7">
        <w:t>to</w:t>
      </w:r>
      <w:r w:rsidR="00B4544E">
        <w:t> </w:t>
      </w:r>
      <w:r w:rsidRPr="00A84283">
        <w:t>$</w:t>
      </w:r>
      <w:r w:rsidR="00F77BF9">
        <w:t>16.9</w:t>
      </w:r>
      <w:r w:rsidR="00B4544E">
        <w:t> </w:t>
      </w:r>
      <w:r w:rsidRPr="00A84283">
        <w:t>billion</w:t>
      </w:r>
      <w:r w:rsidR="003E0381">
        <w:t>)</w:t>
      </w:r>
      <w:r w:rsidRPr="00A84283">
        <w:t>.</w:t>
      </w:r>
    </w:p>
    <w:p w14:paraId="5731FCF2" w14:textId="47AA311D" w:rsidR="00A84283" w:rsidRPr="0060602F" w:rsidRDefault="00A84283" w:rsidP="0060602F">
      <w:pPr>
        <w:pStyle w:val="TableMainHeading"/>
      </w:pPr>
      <w:bookmarkStart w:id="98" w:name="_Toc32247765"/>
      <w:bookmarkStart w:id="99" w:name="_Toc33521350"/>
      <w:r w:rsidRPr="0060602F">
        <w:lastRenderedPageBreak/>
        <w:t>Table 3.4: Total approvals by industry sector: 201</w:t>
      </w:r>
      <w:r w:rsidR="003A3D73" w:rsidRPr="0060602F">
        <w:t>5</w:t>
      </w:r>
      <w:r w:rsidRPr="0060602F">
        <w:t>–1</w:t>
      </w:r>
      <w:r w:rsidR="003A3D73" w:rsidRPr="0060602F">
        <w:t>6</w:t>
      </w:r>
      <w:r w:rsidR="0080313A" w:rsidRPr="0060602F">
        <w:t xml:space="preserve"> to 2018</w:t>
      </w:r>
      <w:r w:rsidRPr="0060602F">
        <w:t>–1</w:t>
      </w:r>
      <w:r w:rsidR="0080313A" w:rsidRPr="0060602F">
        <w:t>9</w:t>
      </w:r>
      <w:bookmarkEnd w:id="98"/>
      <w:bookmarkEnd w:id="99"/>
    </w:p>
    <w:tbl>
      <w:tblPr>
        <w:tblW w:w="0" w:type="auto"/>
        <w:tblLayout w:type="fixed"/>
        <w:tblLook w:val="04A0" w:firstRow="1" w:lastRow="0" w:firstColumn="1" w:lastColumn="0" w:noHBand="0" w:noVBand="1"/>
      </w:tblPr>
      <w:tblGrid>
        <w:gridCol w:w="2173"/>
        <w:gridCol w:w="236"/>
        <w:gridCol w:w="712"/>
        <w:gridCol w:w="623"/>
        <w:gridCol w:w="712"/>
        <w:gridCol w:w="623"/>
        <w:gridCol w:w="712"/>
        <w:gridCol w:w="623"/>
        <w:gridCol w:w="681"/>
        <w:gridCol w:w="623"/>
      </w:tblGrid>
      <w:tr w:rsidR="00DA5210" w:rsidRPr="00DA5210" w14:paraId="3FFEF833" w14:textId="77777777" w:rsidTr="00435C2E">
        <w:trPr>
          <w:trHeight w:val="225"/>
        </w:trPr>
        <w:tc>
          <w:tcPr>
            <w:tcW w:w="2173" w:type="dxa"/>
            <w:tcBorders>
              <w:top w:val="single" w:sz="2" w:space="0" w:color="000000" w:themeColor="text1"/>
              <w:left w:val="nil"/>
              <w:right w:val="nil"/>
            </w:tcBorders>
            <w:shd w:val="clear" w:color="000000" w:fill="FFFFFF"/>
            <w:noWrap/>
            <w:vAlign w:val="center"/>
            <w:hideMark/>
          </w:tcPr>
          <w:p w14:paraId="056A85F0" w14:textId="4AFCB254" w:rsidR="00DA5210" w:rsidRPr="00DA5210" w:rsidRDefault="00DA5210">
            <w:pPr>
              <w:spacing w:after="0" w:line="240" w:lineRule="auto"/>
              <w:jc w:val="left"/>
              <w:rPr>
                <w:rFonts w:ascii="Arial" w:hAnsi="Arial" w:cs="Arial"/>
                <w:sz w:val="16"/>
                <w:szCs w:val="16"/>
              </w:rPr>
            </w:pPr>
          </w:p>
        </w:tc>
        <w:tc>
          <w:tcPr>
            <w:tcW w:w="223" w:type="dxa"/>
            <w:tcBorders>
              <w:top w:val="single" w:sz="2" w:space="0" w:color="000000" w:themeColor="text1"/>
              <w:left w:val="nil"/>
              <w:right w:val="nil"/>
            </w:tcBorders>
            <w:shd w:val="clear" w:color="000000" w:fill="FFFFFF"/>
            <w:noWrap/>
            <w:vAlign w:val="center"/>
            <w:hideMark/>
          </w:tcPr>
          <w:p w14:paraId="62A0F644" w14:textId="1A0256AE" w:rsidR="00DA5210" w:rsidRPr="00DA5210" w:rsidRDefault="00DA5210" w:rsidP="00DA5210">
            <w:pPr>
              <w:spacing w:after="0" w:line="240" w:lineRule="auto"/>
              <w:jc w:val="right"/>
              <w:rPr>
                <w:rFonts w:ascii="Arial" w:hAnsi="Arial" w:cs="Arial"/>
                <w:color w:val="auto"/>
                <w:sz w:val="16"/>
                <w:szCs w:val="16"/>
              </w:rPr>
            </w:pPr>
          </w:p>
        </w:tc>
        <w:tc>
          <w:tcPr>
            <w:tcW w:w="1335" w:type="dxa"/>
            <w:gridSpan w:val="2"/>
            <w:tcBorders>
              <w:top w:val="single" w:sz="2" w:space="0" w:color="000000" w:themeColor="text1"/>
              <w:left w:val="nil"/>
              <w:right w:val="nil"/>
            </w:tcBorders>
            <w:shd w:val="clear" w:color="000000" w:fill="FFFFFF"/>
            <w:noWrap/>
            <w:vAlign w:val="center"/>
            <w:hideMark/>
          </w:tcPr>
          <w:p w14:paraId="541483BD"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2015-16</w:t>
            </w:r>
          </w:p>
        </w:tc>
        <w:tc>
          <w:tcPr>
            <w:tcW w:w="1335" w:type="dxa"/>
            <w:gridSpan w:val="2"/>
            <w:tcBorders>
              <w:top w:val="single" w:sz="2" w:space="0" w:color="000000" w:themeColor="text1"/>
              <w:left w:val="nil"/>
              <w:right w:val="nil"/>
            </w:tcBorders>
            <w:shd w:val="clear" w:color="000000" w:fill="FFFFFF"/>
            <w:noWrap/>
            <w:vAlign w:val="center"/>
            <w:hideMark/>
          </w:tcPr>
          <w:p w14:paraId="320EDF39"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2016-17</w:t>
            </w:r>
          </w:p>
        </w:tc>
        <w:tc>
          <w:tcPr>
            <w:tcW w:w="1335" w:type="dxa"/>
            <w:gridSpan w:val="2"/>
            <w:tcBorders>
              <w:top w:val="single" w:sz="2" w:space="0" w:color="000000" w:themeColor="text1"/>
              <w:left w:val="nil"/>
              <w:right w:val="nil"/>
            </w:tcBorders>
            <w:shd w:val="clear" w:color="000000" w:fill="FFFFFF"/>
            <w:noWrap/>
            <w:vAlign w:val="center"/>
            <w:hideMark/>
          </w:tcPr>
          <w:p w14:paraId="7F966751"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2017-18</w:t>
            </w:r>
          </w:p>
        </w:tc>
        <w:tc>
          <w:tcPr>
            <w:tcW w:w="1304" w:type="dxa"/>
            <w:gridSpan w:val="2"/>
            <w:tcBorders>
              <w:top w:val="single" w:sz="2" w:space="0" w:color="000000" w:themeColor="text1"/>
              <w:left w:val="nil"/>
            </w:tcBorders>
            <w:shd w:val="clear" w:color="000000" w:fill="F2F2F2"/>
            <w:noWrap/>
            <w:vAlign w:val="center"/>
            <w:hideMark/>
          </w:tcPr>
          <w:p w14:paraId="480697EB"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2018-19</w:t>
            </w:r>
          </w:p>
        </w:tc>
      </w:tr>
      <w:tr w:rsidR="00DA5210" w:rsidRPr="00DA5210" w14:paraId="7664D5CE" w14:textId="77777777" w:rsidTr="00435C2E">
        <w:trPr>
          <w:trHeight w:val="218"/>
        </w:trPr>
        <w:tc>
          <w:tcPr>
            <w:tcW w:w="2173" w:type="dxa"/>
            <w:tcBorders>
              <w:left w:val="nil"/>
              <w:bottom w:val="single" w:sz="2" w:space="0" w:color="000000" w:themeColor="text1"/>
              <w:right w:val="nil"/>
            </w:tcBorders>
            <w:shd w:val="clear" w:color="000000" w:fill="FFFFFF"/>
            <w:vAlign w:val="center"/>
            <w:hideMark/>
          </w:tcPr>
          <w:p w14:paraId="33849099" w14:textId="77777777" w:rsidR="00DA5210" w:rsidRPr="00DA5210" w:rsidRDefault="00DA5210" w:rsidP="00DA5210">
            <w:pPr>
              <w:spacing w:after="0" w:line="240" w:lineRule="auto"/>
              <w:jc w:val="left"/>
              <w:rPr>
                <w:rFonts w:ascii="Arial" w:hAnsi="Arial" w:cs="Arial"/>
                <w:color w:val="auto"/>
                <w:sz w:val="16"/>
                <w:szCs w:val="16"/>
              </w:rPr>
            </w:pPr>
            <w:r w:rsidRPr="00DA5210">
              <w:rPr>
                <w:rFonts w:ascii="Arial" w:hAnsi="Arial" w:cs="Arial"/>
                <w:color w:val="auto"/>
                <w:sz w:val="16"/>
                <w:szCs w:val="16"/>
              </w:rPr>
              <w:t>Industry Sector</w:t>
            </w:r>
          </w:p>
        </w:tc>
        <w:tc>
          <w:tcPr>
            <w:tcW w:w="223" w:type="dxa"/>
            <w:tcBorders>
              <w:left w:val="nil"/>
              <w:bottom w:val="single" w:sz="2" w:space="0" w:color="000000" w:themeColor="text1"/>
              <w:right w:val="nil"/>
            </w:tcBorders>
            <w:shd w:val="clear" w:color="000000" w:fill="FFFFFF"/>
            <w:vAlign w:val="center"/>
            <w:hideMark/>
          </w:tcPr>
          <w:p w14:paraId="7FAC0FC6" w14:textId="3F19E272" w:rsidR="00DA5210" w:rsidRPr="00DA5210" w:rsidRDefault="00DA5210" w:rsidP="00DA5210">
            <w:pPr>
              <w:spacing w:after="0" w:line="240" w:lineRule="auto"/>
              <w:jc w:val="right"/>
              <w:rPr>
                <w:rFonts w:ascii="Arial" w:hAnsi="Arial" w:cs="Arial"/>
                <w:color w:val="auto"/>
                <w:sz w:val="16"/>
                <w:szCs w:val="16"/>
              </w:rPr>
            </w:pPr>
          </w:p>
        </w:tc>
        <w:tc>
          <w:tcPr>
            <w:tcW w:w="712" w:type="dxa"/>
            <w:tcBorders>
              <w:left w:val="nil"/>
              <w:bottom w:val="single" w:sz="2" w:space="0" w:color="000000" w:themeColor="text1"/>
              <w:right w:val="nil"/>
            </w:tcBorders>
            <w:shd w:val="clear" w:color="000000" w:fill="FFFFFF"/>
            <w:vAlign w:val="center"/>
            <w:hideMark/>
          </w:tcPr>
          <w:p w14:paraId="06E6291A"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No.</w:t>
            </w:r>
          </w:p>
        </w:tc>
        <w:tc>
          <w:tcPr>
            <w:tcW w:w="623" w:type="dxa"/>
            <w:tcBorders>
              <w:left w:val="nil"/>
              <w:bottom w:val="single" w:sz="2" w:space="0" w:color="000000" w:themeColor="text1"/>
              <w:right w:val="nil"/>
            </w:tcBorders>
            <w:shd w:val="clear" w:color="000000" w:fill="FFFFFF"/>
            <w:vAlign w:val="center"/>
            <w:hideMark/>
          </w:tcPr>
          <w:p w14:paraId="46C37BD3"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$b</w:t>
            </w:r>
          </w:p>
        </w:tc>
        <w:tc>
          <w:tcPr>
            <w:tcW w:w="712" w:type="dxa"/>
            <w:tcBorders>
              <w:left w:val="nil"/>
              <w:bottom w:val="single" w:sz="2" w:space="0" w:color="000000" w:themeColor="text1"/>
              <w:right w:val="nil"/>
            </w:tcBorders>
            <w:shd w:val="clear" w:color="000000" w:fill="FFFFFF"/>
            <w:vAlign w:val="center"/>
            <w:hideMark/>
          </w:tcPr>
          <w:p w14:paraId="54721C07"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No.</w:t>
            </w:r>
          </w:p>
        </w:tc>
        <w:tc>
          <w:tcPr>
            <w:tcW w:w="623" w:type="dxa"/>
            <w:tcBorders>
              <w:left w:val="nil"/>
              <w:bottom w:val="single" w:sz="2" w:space="0" w:color="000000" w:themeColor="text1"/>
              <w:right w:val="nil"/>
            </w:tcBorders>
            <w:shd w:val="clear" w:color="000000" w:fill="FFFFFF"/>
            <w:vAlign w:val="center"/>
            <w:hideMark/>
          </w:tcPr>
          <w:p w14:paraId="38AA123C"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$b</w:t>
            </w:r>
          </w:p>
        </w:tc>
        <w:tc>
          <w:tcPr>
            <w:tcW w:w="712" w:type="dxa"/>
            <w:tcBorders>
              <w:left w:val="nil"/>
              <w:bottom w:val="single" w:sz="2" w:space="0" w:color="000000" w:themeColor="text1"/>
              <w:right w:val="nil"/>
            </w:tcBorders>
            <w:shd w:val="clear" w:color="000000" w:fill="FFFFFF"/>
            <w:vAlign w:val="center"/>
            <w:hideMark/>
          </w:tcPr>
          <w:p w14:paraId="6F8A4B88"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No.</w:t>
            </w:r>
          </w:p>
        </w:tc>
        <w:tc>
          <w:tcPr>
            <w:tcW w:w="623" w:type="dxa"/>
            <w:tcBorders>
              <w:left w:val="nil"/>
              <w:bottom w:val="single" w:sz="2" w:space="0" w:color="000000" w:themeColor="text1"/>
              <w:right w:val="nil"/>
            </w:tcBorders>
            <w:shd w:val="clear" w:color="000000" w:fill="FFFFFF"/>
            <w:vAlign w:val="center"/>
            <w:hideMark/>
          </w:tcPr>
          <w:p w14:paraId="2780820A"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$b</w:t>
            </w:r>
          </w:p>
        </w:tc>
        <w:tc>
          <w:tcPr>
            <w:tcW w:w="681" w:type="dxa"/>
            <w:tcBorders>
              <w:left w:val="nil"/>
              <w:bottom w:val="single" w:sz="2" w:space="0" w:color="000000" w:themeColor="text1"/>
              <w:right w:val="nil"/>
            </w:tcBorders>
            <w:shd w:val="clear" w:color="000000" w:fill="F2F2F2"/>
            <w:vAlign w:val="center"/>
            <w:hideMark/>
          </w:tcPr>
          <w:p w14:paraId="08098730"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No.</w:t>
            </w:r>
          </w:p>
        </w:tc>
        <w:tc>
          <w:tcPr>
            <w:tcW w:w="623" w:type="dxa"/>
            <w:tcBorders>
              <w:left w:val="nil"/>
              <w:bottom w:val="single" w:sz="2" w:space="0" w:color="000000" w:themeColor="text1"/>
              <w:right w:val="nil"/>
            </w:tcBorders>
            <w:shd w:val="clear" w:color="000000" w:fill="F2F2F2"/>
            <w:vAlign w:val="center"/>
            <w:hideMark/>
          </w:tcPr>
          <w:p w14:paraId="7093EFD6"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$b</w:t>
            </w:r>
          </w:p>
        </w:tc>
      </w:tr>
      <w:tr w:rsidR="00DA5210" w:rsidRPr="00DA5210" w14:paraId="5986858E" w14:textId="77777777" w:rsidTr="00435C2E">
        <w:trPr>
          <w:trHeight w:val="454"/>
        </w:trPr>
        <w:tc>
          <w:tcPr>
            <w:tcW w:w="2173" w:type="dxa"/>
            <w:tcBorders>
              <w:top w:val="single" w:sz="2" w:space="0" w:color="000000" w:themeColor="text1"/>
              <w:left w:val="nil"/>
              <w:bottom w:val="nil"/>
              <w:right w:val="nil"/>
            </w:tcBorders>
            <w:shd w:val="clear" w:color="000000" w:fill="FFFFFF"/>
            <w:vAlign w:val="center"/>
            <w:hideMark/>
          </w:tcPr>
          <w:p w14:paraId="156B43CA" w14:textId="77777777" w:rsidR="00DA5210" w:rsidRPr="00DA5210" w:rsidRDefault="00DA5210" w:rsidP="00DA5210">
            <w:pPr>
              <w:spacing w:after="0" w:line="240" w:lineRule="auto"/>
              <w:jc w:val="left"/>
              <w:rPr>
                <w:rFonts w:ascii="Arial" w:hAnsi="Arial" w:cs="Arial"/>
                <w:color w:val="auto"/>
                <w:sz w:val="16"/>
                <w:szCs w:val="16"/>
              </w:rPr>
            </w:pPr>
            <w:r w:rsidRPr="00DA5210">
              <w:rPr>
                <w:rFonts w:ascii="Arial" w:hAnsi="Arial" w:cs="Arial"/>
                <w:color w:val="auto"/>
                <w:sz w:val="16"/>
                <w:szCs w:val="16"/>
              </w:rPr>
              <w:t>Agriculture, forestry &amp;</w:t>
            </w:r>
            <w:r w:rsidRPr="00DA5210">
              <w:rPr>
                <w:rFonts w:ascii="Arial" w:hAnsi="Arial" w:cs="Arial"/>
                <w:color w:val="auto"/>
                <w:sz w:val="16"/>
                <w:szCs w:val="16"/>
              </w:rPr>
              <w:br/>
              <w:t xml:space="preserve">  fishing</w:t>
            </w:r>
          </w:p>
        </w:tc>
        <w:tc>
          <w:tcPr>
            <w:tcW w:w="223" w:type="dxa"/>
            <w:tcBorders>
              <w:top w:val="single" w:sz="2" w:space="0" w:color="000000" w:themeColor="text1"/>
              <w:left w:val="nil"/>
              <w:bottom w:val="nil"/>
              <w:right w:val="nil"/>
            </w:tcBorders>
            <w:shd w:val="clear" w:color="000000" w:fill="FFFFFF"/>
            <w:vAlign w:val="center"/>
            <w:hideMark/>
          </w:tcPr>
          <w:p w14:paraId="4F144AEA" w14:textId="4B61F20D" w:rsidR="00DA5210" w:rsidRPr="00DA5210" w:rsidRDefault="00DA5210" w:rsidP="00DA5210">
            <w:pPr>
              <w:spacing w:after="0" w:line="240" w:lineRule="auto"/>
              <w:jc w:val="right"/>
              <w:rPr>
                <w:rFonts w:ascii="Arial" w:hAnsi="Arial" w:cs="Arial"/>
                <w:color w:val="auto"/>
                <w:sz w:val="16"/>
                <w:szCs w:val="16"/>
              </w:rPr>
            </w:pPr>
          </w:p>
        </w:tc>
        <w:tc>
          <w:tcPr>
            <w:tcW w:w="712" w:type="dxa"/>
            <w:tcBorders>
              <w:top w:val="single" w:sz="2" w:space="0" w:color="000000" w:themeColor="text1"/>
              <w:left w:val="nil"/>
              <w:bottom w:val="nil"/>
              <w:right w:val="nil"/>
            </w:tcBorders>
            <w:shd w:val="clear" w:color="000000" w:fill="FFFFFF"/>
            <w:vAlign w:val="center"/>
            <w:hideMark/>
          </w:tcPr>
          <w:p w14:paraId="588AC521"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227</w:t>
            </w:r>
          </w:p>
        </w:tc>
        <w:tc>
          <w:tcPr>
            <w:tcW w:w="623" w:type="dxa"/>
            <w:tcBorders>
              <w:top w:val="single" w:sz="2" w:space="0" w:color="000000" w:themeColor="text1"/>
              <w:left w:val="nil"/>
              <w:bottom w:val="nil"/>
              <w:right w:val="nil"/>
            </w:tcBorders>
            <w:shd w:val="clear" w:color="000000" w:fill="FFFFFF"/>
            <w:vAlign w:val="center"/>
            <w:hideMark/>
          </w:tcPr>
          <w:p w14:paraId="5EB95FD3"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4.6</w:t>
            </w:r>
          </w:p>
        </w:tc>
        <w:tc>
          <w:tcPr>
            <w:tcW w:w="712" w:type="dxa"/>
            <w:tcBorders>
              <w:top w:val="single" w:sz="2" w:space="0" w:color="000000" w:themeColor="text1"/>
              <w:left w:val="nil"/>
              <w:bottom w:val="nil"/>
              <w:right w:val="nil"/>
            </w:tcBorders>
            <w:shd w:val="clear" w:color="000000" w:fill="FFFFFF"/>
            <w:noWrap/>
            <w:vAlign w:val="center"/>
            <w:hideMark/>
          </w:tcPr>
          <w:p w14:paraId="089DFD85"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223</w:t>
            </w:r>
          </w:p>
        </w:tc>
        <w:tc>
          <w:tcPr>
            <w:tcW w:w="623" w:type="dxa"/>
            <w:tcBorders>
              <w:top w:val="single" w:sz="2" w:space="0" w:color="000000" w:themeColor="text1"/>
              <w:left w:val="nil"/>
              <w:bottom w:val="nil"/>
              <w:right w:val="nil"/>
            </w:tcBorders>
            <w:shd w:val="clear" w:color="000000" w:fill="FFFFFF"/>
            <w:noWrap/>
            <w:vAlign w:val="center"/>
            <w:hideMark/>
          </w:tcPr>
          <w:p w14:paraId="30137EF4"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7.0</w:t>
            </w:r>
          </w:p>
        </w:tc>
        <w:tc>
          <w:tcPr>
            <w:tcW w:w="712" w:type="dxa"/>
            <w:tcBorders>
              <w:top w:val="single" w:sz="2" w:space="0" w:color="000000" w:themeColor="text1"/>
              <w:left w:val="nil"/>
              <w:bottom w:val="nil"/>
              <w:right w:val="nil"/>
            </w:tcBorders>
            <w:shd w:val="clear" w:color="000000" w:fill="FFFFFF"/>
            <w:noWrap/>
            <w:vAlign w:val="center"/>
            <w:hideMark/>
          </w:tcPr>
          <w:p w14:paraId="76FA33D9"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201</w:t>
            </w:r>
          </w:p>
        </w:tc>
        <w:tc>
          <w:tcPr>
            <w:tcW w:w="623" w:type="dxa"/>
            <w:tcBorders>
              <w:top w:val="single" w:sz="2" w:space="0" w:color="000000" w:themeColor="text1"/>
              <w:left w:val="nil"/>
              <w:bottom w:val="nil"/>
              <w:right w:val="nil"/>
            </w:tcBorders>
            <w:shd w:val="clear" w:color="000000" w:fill="FFFFFF"/>
            <w:noWrap/>
            <w:vAlign w:val="center"/>
            <w:hideMark/>
          </w:tcPr>
          <w:p w14:paraId="77A40A88"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7.9</w:t>
            </w:r>
          </w:p>
        </w:tc>
        <w:tc>
          <w:tcPr>
            <w:tcW w:w="681" w:type="dxa"/>
            <w:tcBorders>
              <w:top w:val="single" w:sz="2" w:space="0" w:color="000000" w:themeColor="text1"/>
              <w:left w:val="nil"/>
              <w:bottom w:val="nil"/>
              <w:right w:val="nil"/>
            </w:tcBorders>
            <w:shd w:val="clear" w:color="000000" w:fill="F2F2F2"/>
            <w:noWrap/>
            <w:vAlign w:val="center"/>
            <w:hideMark/>
          </w:tcPr>
          <w:p w14:paraId="6B35099A"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197</w:t>
            </w:r>
          </w:p>
        </w:tc>
        <w:tc>
          <w:tcPr>
            <w:tcW w:w="623" w:type="dxa"/>
            <w:tcBorders>
              <w:top w:val="single" w:sz="2" w:space="0" w:color="000000" w:themeColor="text1"/>
              <w:left w:val="nil"/>
              <w:bottom w:val="nil"/>
              <w:right w:val="nil"/>
            </w:tcBorders>
            <w:shd w:val="clear" w:color="000000" w:fill="F2F2F2"/>
            <w:noWrap/>
            <w:vAlign w:val="center"/>
            <w:hideMark/>
          </w:tcPr>
          <w:p w14:paraId="6CBE3F12"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7.3</w:t>
            </w:r>
          </w:p>
        </w:tc>
      </w:tr>
      <w:tr w:rsidR="00DA5210" w:rsidRPr="00DA5210" w14:paraId="220C6E4A" w14:textId="77777777" w:rsidTr="00CD3853">
        <w:trPr>
          <w:trHeight w:val="225"/>
        </w:trPr>
        <w:tc>
          <w:tcPr>
            <w:tcW w:w="2173" w:type="dxa"/>
            <w:tcBorders>
              <w:top w:val="nil"/>
              <w:left w:val="nil"/>
              <w:bottom w:val="nil"/>
              <w:right w:val="nil"/>
            </w:tcBorders>
            <w:shd w:val="clear" w:color="000000" w:fill="FFFFFF"/>
            <w:noWrap/>
            <w:vAlign w:val="center"/>
            <w:hideMark/>
          </w:tcPr>
          <w:p w14:paraId="18BE87B5" w14:textId="77777777" w:rsidR="00DA5210" w:rsidRPr="00DA5210" w:rsidRDefault="00DA5210" w:rsidP="00DA5210">
            <w:pPr>
              <w:spacing w:after="0" w:line="240" w:lineRule="auto"/>
              <w:jc w:val="left"/>
              <w:rPr>
                <w:rFonts w:ascii="Arial" w:hAnsi="Arial" w:cs="Arial"/>
                <w:color w:val="auto"/>
                <w:sz w:val="16"/>
                <w:szCs w:val="16"/>
              </w:rPr>
            </w:pPr>
            <w:r w:rsidRPr="00DA5210">
              <w:rPr>
                <w:rFonts w:ascii="Arial" w:hAnsi="Arial" w:cs="Arial"/>
                <w:color w:val="auto"/>
                <w:sz w:val="16"/>
                <w:szCs w:val="16"/>
              </w:rPr>
              <w:t>Finance &amp; insurance</w:t>
            </w:r>
          </w:p>
        </w:tc>
        <w:tc>
          <w:tcPr>
            <w:tcW w:w="223" w:type="dxa"/>
            <w:tcBorders>
              <w:top w:val="nil"/>
              <w:left w:val="nil"/>
              <w:bottom w:val="nil"/>
              <w:right w:val="nil"/>
            </w:tcBorders>
            <w:shd w:val="clear" w:color="000000" w:fill="FFFFFF"/>
            <w:noWrap/>
            <w:vAlign w:val="center"/>
            <w:hideMark/>
          </w:tcPr>
          <w:p w14:paraId="6068EC8A" w14:textId="316689F9" w:rsidR="00DA5210" w:rsidRPr="00DA5210" w:rsidRDefault="00DA5210" w:rsidP="00DA5210">
            <w:pPr>
              <w:spacing w:after="0" w:line="240" w:lineRule="auto"/>
              <w:jc w:val="right"/>
              <w:rPr>
                <w:rFonts w:ascii="Arial" w:hAnsi="Arial" w:cs="Arial"/>
                <w:color w:val="auto"/>
                <w:sz w:val="16"/>
                <w:szCs w:val="16"/>
              </w:rPr>
            </w:pPr>
          </w:p>
        </w:tc>
        <w:tc>
          <w:tcPr>
            <w:tcW w:w="712" w:type="dxa"/>
            <w:tcBorders>
              <w:top w:val="nil"/>
              <w:left w:val="nil"/>
              <w:bottom w:val="nil"/>
              <w:right w:val="nil"/>
            </w:tcBorders>
            <w:shd w:val="clear" w:color="000000" w:fill="FFFFFF"/>
            <w:noWrap/>
            <w:vAlign w:val="center"/>
            <w:hideMark/>
          </w:tcPr>
          <w:p w14:paraId="34475668"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19</w:t>
            </w:r>
          </w:p>
        </w:tc>
        <w:tc>
          <w:tcPr>
            <w:tcW w:w="623" w:type="dxa"/>
            <w:tcBorders>
              <w:top w:val="nil"/>
              <w:left w:val="nil"/>
              <w:bottom w:val="nil"/>
              <w:right w:val="nil"/>
            </w:tcBorders>
            <w:shd w:val="clear" w:color="000000" w:fill="FFFFFF"/>
            <w:noWrap/>
            <w:vAlign w:val="center"/>
            <w:hideMark/>
          </w:tcPr>
          <w:p w14:paraId="2FCA9951"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13.5</w:t>
            </w:r>
          </w:p>
        </w:tc>
        <w:tc>
          <w:tcPr>
            <w:tcW w:w="712" w:type="dxa"/>
            <w:tcBorders>
              <w:top w:val="nil"/>
              <w:left w:val="nil"/>
              <w:bottom w:val="nil"/>
              <w:right w:val="nil"/>
            </w:tcBorders>
            <w:shd w:val="clear" w:color="000000" w:fill="FFFFFF"/>
            <w:noWrap/>
            <w:vAlign w:val="center"/>
            <w:hideMark/>
          </w:tcPr>
          <w:p w14:paraId="0A68817C"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25</w:t>
            </w:r>
          </w:p>
        </w:tc>
        <w:tc>
          <w:tcPr>
            <w:tcW w:w="623" w:type="dxa"/>
            <w:tcBorders>
              <w:top w:val="nil"/>
              <w:left w:val="nil"/>
              <w:bottom w:val="nil"/>
              <w:right w:val="nil"/>
            </w:tcBorders>
            <w:shd w:val="clear" w:color="000000" w:fill="FFFFFF"/>
            <w:noWrap/>
            <w:vAlign w:val="center"/>
            <w:hideMark/>
          </w:tcPr>
          <w:p w14:paraId="663C2958"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3.8</w:t>
            </w:r>
          </w:p>
        </w:tc>
        <w:tc>
          <w:tcPr>
            <w:tcW w:w="712" w:type="dxa"/>
            <w:tcBorders>
              <w:top w:val="nil"/>
              <w:left w:val="nil"/>
              <w:bottom w:val="nil"/>
              <w:right w:val="nil"/>
            </w:tcBorders>
            <w:shd w:val="clear" w:color="000000" w:fill="FFFFFF"/>
            <w:noWrap/>
            <w:vAlign w:val="center"/>
            <w:hideMark/>
          </w:tcPr>
          <w:p w14:paraId="2D0AF0C2"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37</w:t>
            </w:r>
          </w:p>
        </w:tc>
        <w:tc>
          <w:tcPr>
            <w:tcW w:w="623" w:type="dxa"/>
            <w:tcBorders>
              <w:top w:val="nil"/>
              <w:left w:val="nil"/>
              <w:bottom w:val="nil"/>
              <w:right w:val="nil"/>
            </w:tcBorders>
            <w:shd w:val="clear" w:color="000000" w:fill="FFFFFF"/>
            <w:noWrap/>
            <w:vAlign w:val="center"/>
            <w:hideMark/>
          </w:tcPr>
          <w:p w14:paraId="17C30983"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6.0</w:t>
            </w:r>
          </w:p>
        </w:tc>
        <w:tc>
          <w:tcPr>
            <w:tcW w:w="681" w:type="dxa"/>
            <w:tcBorders>
              <w:top w:val="nil"/>
              <w:left w:val="nil"/>
              <w:bottom w:val="nil"/>
              <w:right w:val="nil"/>
            </w:tcBorders>
            <w:shd w:val="clear" w:color="000000" w:fill="F2F2F2"/>
            <w:noWrap/>
            <w:vAlign w:val="center"/>
            <w:hideMark/>
          </w:tcPr>
          <w:p w14:paraId="3050A18F"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26</w:t>
            </w:r>
          </w:p>
        </w:tc>
        <w:tc>
          <w:tcPr>
            <w:tcW w:w="623" w:type="dxa"/>
            <w:tcBorders>
              <w:top w:val="nil"/>
              <w:left w:val="nil"/>
              <w:bottom w:val="nil"/>
              <w:right w:val="nil"/>
            </w:tcBorders>
            <w:shd w:val="clear" w:color="000000" w:fill="F2F2F2"/>
            <w:noWrap/>
            <w:vAlign w:val="center"/>
            <w:hideMark/>
          </w:tcPr>
          <w:p w14:paraId="2052C2EB"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6.3</w:t>
            </w:r>
          </w:p>
        </w:tc>
      </w:tr>
      <w:tr w:rsidR="00DA5210" w:rsidRPr="00DA5210" w14:paraId="7082D189" w14:textId="77777777" w:rsidTr="00CD3853">
        <w:trPr>
          <w:trHeight w:val="454"/>
        </w:trPr>
        <w:tc>
          <w:tcPr>
            <w:tcW w:w="2173" w:type="dxa"/>
            <w:tcBorders>
              <w:top w:val="nil"/>
              <w:left w:val="nil"/>
              <w:bottom w:val="nil"/>
              <w:right w:val="nil"/>
            </w:tcBorders>
            <w:shd w:val="clear" w:color="000000" w:fill="FFFFFF"/>
            <w:vAlign w:val="center"/>
            <w:hideMark/>
          </w:tcPr>
          <w:p w14:paraId="51EFDA35" w14:textId="77777777" w:rsidR="00DA5210" w:rsidRPr="00DA5210" w:rsidRDefault="00DA5210" w:rsidP="00DA5210">
            <w:pPr>
              <w:spacing w:after="0" w:line="240" w:lineRule="auto"/>
              <w:jc w:val="left"/>
              <w:rPr>
                <w:rFonts w:ascii="Arial" w:hAnsi="Arial" w:cs="Arial"/>
                <w:color w:val="auto"/>
                <w:sz w:val="16"/>
                <w:szCs w:val="16"/>
              </w:rPr>
            </w:pPr>
            <w:r w:rsidRPr="00DA5210">
              <w:rPr>
                <w:rFonts w:ascii="Arial" w:hAnsi="Arial" w:cs="Arial"/>
                <w:color w:val="auto"/>
                <w:sz w:val="16"/>
                <w:szCs w:val="16"/>
              </w:rPr>
              <w:t>Manufacturing,</w:t>
            </w:r>
            <w:r w:rsidRPr="00DA5210">
              <w:rPr>
                <w:rFonts w:ascii="Arial" w:hAnsi="Arial" w:cs="Arial"/>
                <w:color w:val="auto"/>
                <w:sz w:val="16"/>
                <w:szCs w:val="16"/>
              </w:rPr>
              <w:br/>
              <w:t xml:space="preserve">  electricity &amp; gas</w:t>
            </w:r>
          </w:p>
        </w:tc>
        <w:tc>
          <w:tcPr>
            <w:tcW w:w="223" w:type="dxa"/>
            <w:tcBorders>
              <w:top w:val="nil"/>
              <w:left w:val="nil"/>
              <w:bottom w:val="nil"/>
              <w:right w:val="nil"/>
            </w:tcBorders>
            <w:shd w:val="clear" w:color="000000" w:fill="FFFFFF"/>
            <w:vAlign w:val="center"/>
            <w:hideMark/>
          </w:tcPr>
          <w:p w14:paraId="79930E79" w14:textId="523B6407" w:rsidR="00DA5210" w:rsidRPr="00DA5210" w:rsidRDefault="00DA5210" w:rsidP="00DA5210">
            <w:pPr>
              <w:spacing w:after="0" w:line="240" w:lineRule="auto"/>
              <w:jc w:val="right"/>
              <w:rPr>
                <w:rFonts w:ascii="Arial" w:hAnsi="Arial" w:cs="Arial"/>
                <w:color w:val="auto"/>
                <w:sz w:val="16"/>
                <w:szCs w:val="16"/>
              </w:rPr>
            </w:pPr>
          </w:p>
        </w:tc>
        <w:tc>
          <w:tcPr>
            <w:tcW w:w="712" w:type="dxa"/>
            <w:tcBorders>
              <w:top w:val="nil"/>
              <w:left w:val="nil"/>
              <w:bottom w:val="nil"/>
              <w:right w:val="nil"/>
            </w:tcBorders>
            <w:shd w:val="clear" w:color="000000" w:fill="FFFFFF"/>
            <w:vAlign w:val="center"/>
            <w:hideMark/>
          </w:tcPr>
          <w:p w14:paraId="199F3564"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66</w:t>
            </w:r>
          </w:p>
        </w:tc>
        <w:tc>
          <w:tcPr>
            <w:tcW w:w="623" w:type="dxa"/>
            <w:tcBorders>
              <w:top w:val="nil"/>
              <w:left w:val="nil"/>
              <w:bottom w:val="nil"/>
              <w:right w:val="nil"/>
            </w:tcBorders>
            <w:shd w:val="clear" w:color="000000" w:fill="FFFFFF"/>
            <w:vAlign w:val="center"/>
            <w:hideMark/>
          </w:tcPr>
          <w:p w14:paraId="0BCFF381"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56.6</w:t>
            </w:r>
          </w:p>
        </w:tc>
        <w:tc>
          <w:tcPr>
            <w:tcW w:w="712" w:type="dxa"/>
            <w:tcBorders>
              <w:top w:val="nil"/>
              <w:left w:val="nil"/>
              <w:bottom w:val="nil"/>
              <w:right w:val="nil"/>
            </w:tcBorders>
            <w:shd w:val="clear" w:color="000000" w:fill="FFFFFF"/>
            <w:noWrap/>
            <w:vAlign w:val="center"/>
            <w:hideMark/>
          </w:tcPr>
          <w:p w14:paraId="43BD5BDA"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73</w:t>
            </w:r>
          </w:p>
        </w:tc>
        <w:tc>
          <w:tcPr>
            <w:tcW w:w="623" w:type="dxa"/>
            <w:tcBorders>
              <w:top w:val="nil"/>
              <w:left w:val="nil"/>
              <w:bottom w:val="nil"/>
              <w:right w:val="nil"/>
            </w:tcBorders>
            <w:shd w:val="clear" w:color="000000" w:fill="FFFFFF"/>
            <w:noWrap/>
            <w:vAlign w:val="center"/>
            <w:hideMark/>
          </w:tcPr>
          <w:p w14:paraId="527998AE"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40.9</w:t>
            </w:r>
          </w:p>
        </w:tc>
        <w:tc>
          <w:tcPr>
            <w:tcW w:w="712" w:type="dxa"/>
            <w:tcBorders>
              <w:top w:val="nil"/>
              <w:left w:val="nil"/>
              <w:bottom w:val="nil"/>
              <w:right w:val="nil"/>
            </w:tcBorders>
            <w:shd w:val="clear" w:color="000000" w:fill="FFFFFF"/>
            <w:noWrap/>
            <w:vAlign w:val="center"/>
            <w:hideMark/>
          </w:tcPr>
          <w:p w14:paraId="1DE326ED"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95</w:t>
            </w:r>
          </w:p>
        </w:tc>
        <w:tc>
          <w:tcPr>
            <w:tcW w:w="623" w:type="dxa"/>
            <w:tcBorders>
              <w:top w:val="nil"/>
              <w:left w:val="nil"/>
              <w:bottom w:val="nil"/>
              <w:right w:val="nil"/>
            </w:tcBorders>
            <w:shd w:val="clear" w:color="000000" w:fill="FFFFFF"/>
            <w:noWrap/>
            <w:vAlign w:val="center"/>
            <w:hideMark/>
          </w:tcPr>
          <w:p w14:paraId="2E59122A"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16.6</w:t>
            </w:r>
          </w:p>
        </w:tc>
        <w:tc>
          <w:tcPr>
            <w:tcW w:w="681" w:type="dxa"/>
            <w:tcBorders>
              <w:top w:val="nil"/>
              <w:left w:val="nil"/>
              <w:bottom w:val="nil"/>
              <w:right w:val="nil"/>
            </w:tcBorders>
            <w:shd w:val="clear" w:color="000000" w:fill="F2F2F2"/>
            <w:noWrap/>
            <w:vAlign w:val="center"/>
            <w:hideMark/>
          </w:tcPr>
          <w:p w14:paraId="2A1A9459"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99</w:t>
            </w:r>
          </w:p>
        </w:tc>
        <w:tc>
          <w:tcPr>
            <w:tcW w:w="623" w:type="dxa"/>
            <w:tcBorders>
              <w:top w:val="nil"/>
              <w:left w:val="nil"/>
              <w:bottom w:val="nil"/>
              <w:right w:val="nil"/>
            </w:tcBorders>
            <w:shd w:val="clear" w:color="000000" w:fill="F2F2F2"/>
            <w:noWrap/>
            <w:vAlign w:val="center"/>
            <w:hideMark/>
          </w:tcPr>
          <w:p w14:paraId="58B9F1EC"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36.7</w:t>
            </w:r>
          </w:p>
        </w:tc>
      </w:tr>
      <w:tr w:rsidR="00DA5210" w:rsidRPr="00DA5210" w14:paraId="771CCD53" w14:textId="77777777" w:rsidTr="00CD3853">
        <w:trPr>
          <w:trHeight w:val="454"/>
        </w:trPr>
        <w:tc>
          <w:tcPr>
            <w:tcW w:w="2173" w:type="dxa"/>
            <w:tcBorders>
              <w:top w:val="nil"/>
              <w:left w:val="nil"/>
              <w:bottom w:val="nil"/>
              <w:right w:val="nil"/>
            </w:tcBorders>
            <w:shd w:val="clear" w:color="000000" w:fill="FFFFFF"/>
            <w:vAlign w:val="center"/>
            <w:hideMark/>
          </w:tcPr>
          <w:p w14:paraId="65AD56B3" w14:textId="77777777" w:rsidR="00DA5210" w:rsidRPr="00DA5210" w:rsidRDefault="00DA5210" w:rsidP="00DA5210">
            <w:pPr>
              <w:spacing w:after="0" w:line="240" w:lineRule="auto"/>
              <w:jc w:val="left"/>
              <w:rPr>
                <w:rFonts w:ascii="Arial" w:hAnsi="Arial" w:cs="Arial"/>
                <w:color w:val="auto"/>
                <w:sz w:val="16"/>
                <w:szCs w:val="16"/>
              </w:rPr>
            </w:pPr>
            <w:r w:rsidRPr="00DA5210">
              <w:rPr>
                <w:rFonts w:ascii="Arial" w:hAnsi="Arial" w:cs="Arial"/>
                <w:color w:val="auto"/>
                <w:sz w:val="16"/>
                <w:szCs w:val="16"/>
              </w:rPr>
              <w:t>Mineral exploration &amp;</w:t>
            </w:r>
            <w:r w:rsidRPr="00DA5210">
              <w:rPr>
                <w:rFonts w:ascii="Arial" w:hAnsi="Arial" w:cs="Arial"/>
                <w:color w:val="auto"/>
                <w:sz w:val="16"/>
                <w:szCs w:val="16"/>
              </w:rPr>
              <w:br/>
              <w:t xml:space="preserve">  development</w:t>
            </w:r>
          </w:p>
        </w:tc>
        <w:tc>
          <w:tcPr>
            <w:tcW w:w="223" w:type="dxa"/>
            <w:tcBorders>
              <w:top w:val="nil"/>
              <w:left w:val="nil"/>
              <w:bottom w:val="nil"/>
              <w:right w:val="nil"/>
            </w:tcBorders>
            <w:shd w:val="clear" w:color="000000" w:fill="FFFFFF"/>
            <w:vAlign w:val="center"/>
            <w:hideMark/>
          </w:tcPr>
          <w:p w14:paraId="45E3FA74" w14:textId="2EE183B2" w:rsidR="00DA5210" w:rsidRPr="00DA5210" w:rsidRDefault="00DA5210" w:rsidP="00DA5210">
            <w:pPr>
              <w:spacing w:after="0" w:line="240" w:lineRule="auto"/>
              <w:jc w:val="right"/>
              <w:rPr>
                <w:rFonts w:ascii="Arial" w:hAnsi="Arial" w:cs="Arial"/>
                <w:color w:val="auto"/>
                <w:sz w:val="16"/>
                <w:szCs w:val="16"/>
              </w:rPr>
            </w:pPr>
          </w:p>
        </w:tc>
        <w:tc>
          <w:tcPr>
            <w:tcW w:w="712" w:type="dxa"/>
            <w:tcBorders>
              <w:top w:val="nil"/>
              <w:left w:val="nil"/>
              <w:bottom w:val="nil"/>
              <w:right w:val="nil"/>
            </w:tcBorders>
            <w:shd w:val="clear" w:color="000000" w:fill="FFFFFF"/>
            <w:vAlign w:val="center"/>
            <w:hideMark/>
          </w:tcPr>
          <w:p w14:paraId="560BFD6B"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180</w:t>
            </w:r>
          </w:p>
        </w:tc>
        <w:tc>
          <w:tcPr>
            <w:tcW w:w="623" w:type="dxa"/>
            <w:tcBorders>
              <w:top w:val="nil"/>
              <w:left w:val="nil"/>
              <w:bottom w:val="nil"/>
              <w:right w:val="nil"/>
            </w:tcBorders>
            <w:shd w:val="clear" w:color="000000" w:fill="FFFFFF"/>
            <w:vAlign w:val="center"/>
            <w:hideMark/>
          </w:tcPr>
          <w:p w14:paraId="2505E470"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27.6</w:t>
            </w:r>
          </w:p>
        </w:tc>
        <w:tc>
          <w:tcPr>
            <w:tcW w:w="712" w:type="dxa"/>
            <w:tcBorders>
              <w:top w:val="nil"/>
              <w:left w:val="nil"/>
              <w:bottom w:val="nil"/>
              <w:right w:val="nil"/>
            </w:tcBorders>
            <w:shd w:val="clear" w:color="000000" w:fill="FFFFFF"/>
            <w:noWrap/>
            <w:vAlign w:val="center"/>
            <w:hideMark/>
          </w:tcPr>
          <w:p w14:paraId="6E196C1C"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140</w:t>
            </w:r>
          </w:p>
        </w:tc>
        <w:tc>
          <w:tcPr>
            <w:tcW w:w="623" w:type="dxa"/>
            <w:tcBorders>
              <w:top w:val="nil"/>
              <w:left w:val="nil"/>
              <w:bottom w:val="nil"/>
              <w:right w:val="nil"/>
            </w:tcBorders>
            <w:shd w:val="clear" w:color="000000" w:fill="FFFFFF"/>
            <w:noWrap/>
            <w:vAlign w:val="center"/>
            <w:hideMark/>
          </w:tcPr>
          <w:p w14:paraId="60555CB1"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15.9</w:t>
            </w:r>
          </w:p>
        </w:tc>
        <w:tc>
          <w:tcPr>
            <w:tcW w:w="712" w:type="dxa"/>
            <w:tcBorders>
              <w:top w:val="nil"/>
              <w:left w:val="nil"/>
              <w:bottom w:val="nil"/>
              <w:right w:val="nil"/>
            </w:tcBorders>
            <w:shd w:val="clear" w:color="000000" w:fill="FFFFFF"/>
            <w:noWrap/>
            <w:vAlign w:val="center"/>
            <w:hideMark/>
          </w:tcPr>
          <w:p w14:paraId="45D1C925"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115</w:t>
            </w:r>
          </w:p>
        </w:tc>
        <w:tc>
          <w:tcPr>
            <w:tcW w:w="623" w:type="dxa"/>
            <w:tcBorders>
              <w:top w:val="nil"/>
              <w:left w:val="nil"/>
              <w:bottom w:val="nil"/>
              <w:right w:val="nil"/>
            </w:tcBorders>
            <w:shd w:val="clear" w:color="000000" w:fill="FFFFFF"/>
            <w:noWrap/>
            <w:vAlign w:val="center"/>
            <w:hideMark/>
          </w:tcPr>
          <w:p w14:paraId="1C1E57ED"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17.4</w:t>
            </w:r>
          </w:p>
        </w:tc>
        <w:tc>
          <w:tcPr>
            <w:tcW w:w="681" w:type="dxa"/>
            <w:tcBorders>
              <w:top w:val="nil"/>
              <w:left w:val="nil"/>
              <w:bottom w:val="nil"/>
              <w:right w:val="nil"/>
            </w:tcBorders>
            <w:shd w:val="clear" w:color="000000" w:fill="F2F2F2"/>
            <w:noWrap/>
            <w:vAlign w:val="center"/>
            <w:hideMark/>
          </w:tcPr>
          <w:p w14:paraId="531FDD83"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121</w:t>
            </w:r>
          </w:p>
        </w:tc>
        <w:tc>
          <w:tcPr>
            <w:tcW w:w="623" w:type="dxa"/>
            <w:tcBorders>
              <w:top w:val="nil"/>
              <w:left w:val="nil"/>
              <w:bottom w:val="nil"/>
              <w:right w:val="nil"/>
            </w:tcBorders>
            <w:shd w:val="clear" w:color="000000" w:fill="F2F2F2"/>
            <w:noWrap/>
            <w:vAlign w:val="center"/>
            <w:hideMark/>
          </w:tcPr>
          <w:p w14:paraId="0881D032"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16.9</w:t>
            </w:r>
          </w:p>
        </w:tc>
      </w:tr>
      <w:tr w:rsidR="00DA5210" w:rsidRPr="00DA5210" w14:paraId="78DFFC80" w14:textId="77777777" w:rsidTr="00CD3853">
        <w:trPr>
          <w:trHeight w:val="225"/>
        </w:trPr>
        <w:tc>
          <w:tcPr>
            <w:tcW w:w="2173" w:type="dxa"/>
            <w:tcBorders>
              <w:top w:val="nil"/>
              <w:left w:val="nil"/>
              <w:bottom w:val="nil"/>
              <w:right w:val="nil"/>
            </w:tcBorders>
            <w:shd w:val="clear" w:color="000000" w:fill="FFFFFF"/>
            <w:noWrap/>
            <w:vAlign w:val="center"/>
            <w:hideMark/>
          </w:tcPr>
          <w:p w14:paraId="26FDEE14" w14:textId="77777777" w:rsidR="00DA5210" w:rsidRPr="00DA5210" w:rsidRDefault="00DA5210" w:rsidP="00DA5210">
            <w:pPr>
              <w:spacing w:after="0" w:line="240" w:lineRule="auto"/>
              <w:jc w:val="left"/>
              <w:rPr>
                <w:rFonts w:ascii="Arial" w:hAnsi="Arial" w:cs="Arial"/>
                <w:color w:val="auto"/>
                <w:sz w:val="16"/>
                <w:szCs w:val="16"/>
              </w:rPr>
            </w:pPr>
            <w:r w:rsidRPr="00DA5210">
              <w:rPr>
                <w:rFonts w:ascii="Arial" w:hAnsi="Arial" w:cs="Arial"/>
                <w:color w:val="auto"/>
                <w:sz w:val="16"/>
                <w:szCs w:val="16"/>
              </w:rPr>
              <w:t>Services</w:t>
            </w:r>
          </w:p>
        </w:tc>
        <w:tc>
          <w:tcPr>
            <w:tcW w:w="223" w:type="dxa"/>
            <w:tcBorders>
              <w:top w:val="nil"/>
              <w:left w:val="nil"/>
              <w:bottom w:val="nil"/>
              <w:right w:val="nil"/>
            </w:tcBorders>
            <w:shd w:val="clear" w:color="000000" w:fill="FFFFFF"/>
            <w:noWrap/>
            <w:vAlign w:val="center"/>
            <w:hideMark/>
          </w:tcPr>
          <w:p w14:paraId="76A331BB" w14:textId="0A71DF18" w:rsidR="00DA5210" w:rsidRPr="00DA5210" w:rsidRDefault="00DA5210" w:rsidP="00DA5210">
            <w:pPr>
              <w:spacing w:after="0" w:line="240" w:lineRule="auto"/>
              <w:jc w:val="right"/>
              <w:rPr>
                <w:rFonts w:ascii="Arial" w:hAnsi="Arial" w:cs="Arial"/>
                <w:color w:val="auto"/>
                <w:sz w:val="16"/>
                <w:szCs w:val="16"/>
              </w:rPr>
            </w:pPr>
          </w:p>
        </w:tc>
        <w:tc>
          <w:tcPr>
            <w:tcW w:w="712" w:type="dxa"/>
            <w:tcBorders>
              <w:top w:val="nil"/>
              <w:left w:val="nil"/>
              <w:bottom w:val="nil"/>
              <w:right w:val="nil"/>
            </w:tcBorders>
            <w:shd w:val="clear" w:color="000000" w:fill="FFFFFF"/>
            <w:noWrap/>
            <w:vAlign w:val="center"/>
            <w:hideMark/>
          </w:tcPr>
          <w:p w14:paraId="6DB7C32C"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153</w:t>
            </w:r>
          </w:p>
        </w:tc>
        <w:tc>
          <w:tcPr>
            <w:tcW w:w="623" w:type="dxa"/>
            <w:tcBorders>
              <w:top w:val="nil"/>
              <w:left w:val="nil"/>
              <w:bottom w:val="nil"/>
              <w:right w:val="nil"/>
            </w:tcBorders>
            <w:shd w:val="clear" w:color="000000" w:fill="FFFFFF"/>
            <w:noWrap/>
            <w:vAlign w:val="center"/>
            <w:hideMark/>
          </w:tcPr>
          <w:p w14:paraId="3DC77315"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23.5</w:t>
            </w:r>
          </w:p>
        </w:tc>
        <w:tc>
          <w:tcPr>
            <w:tcW w:w="712" w:type="dxa"/>
            <w:tcBorders>
              <w:top w:val="nil"/>
              <w:left w:val="nil"/>
              <w:bottom w:val="nil"/>
              <w:right w:val="nil"/>
            </w:tcBorders>
            <w:shd w:val="clear" w:color="000000" w:fill="FFFFFF"/>
            <w:noWrap/>
            <w:vAlign w:val="center"/>
            <w:hideMark/>
          </w:tcPr>
          <w:p w14:paraId="2796CF76"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215</w:t>
            </w:r>
          </w:p>
        </w:tc>
        <w:tc>
          <w:tcPr>
            <w:tcW w:w="623" w:type="dxa"/>
            <w:tcBorders>
              <w:top w:val="nil"/>
              <w:left w:val="nil"/>
              <w:bottom w:val="nil"/>
              <w:right w:val="nil"/>
            </w:tcBorders>
            <w:shd w:val="clear" w:color="000000" w:fill="FFFFFF"/>
            <w:noWrap/>
            <w:vAlign w:val="center"/>
            <w:hideMark/>
          </w:tcPr>
          <w:p w14:paraId="5FA1ABBF"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56.5</w:t>
            </w:r>
          </w:p>
        </w:tc>
        <w:tc>
          <w:tcPr>
            <w:tcW w:w="712" w:type="dxa"/>
            <w:tcBorders>
              <w:top w:val="nil"/>
              <w:left w:val="nil"/>
              <w:bottom w:val="nil"/>
              <w:right w:val="nil"/>
            </w:tcBorders>
            <w:shd w:val="clear" w:color="000000" w:fill="FFFFFF"/>
            <w:noWrap/>
            <w:vAlign w:val="center"/>
            <w:hideMark/>
          </w:tcPr>
          <w:p w14:paraId="58469BF9"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185</w:t>
            </w:r>
          </w:p>
        </w:tc>
        <w:tc>
          <w:tcPr>
            <w:tcW w:w="623" w:type="dxa"/>
            <w:tcBorders>
              <w:top w:val="nil"/>
              <w:left w:val="nil"/>
              <w:bottom w:val="nil"/>
              <w:right w:val="nil"/>
            </w:tcBorders>
            <w:shd w:val="clear" w:color="000000" w:fill="FFFFFF"/>
            <w:noWrap/>
            <w:vAlign w:val="center"/>
            <w:hideMark/>
          </w:tcPr>
          <w:p w14:paraId="27DA7447"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63.2</w:t>
            </w:r>
          </w:p>
        </w:tc>
        <w:tc>
          <w:tcPr>
            <w:tcW w:w="681" w:type="dxa"/>
            <w:tcBorders>
              <w:top w:val="nil"/>
              <w:left w:val="nil"/>
              <w:bottom w:val="nil"/>
              <w:right w:val="nil"/>
            </w:tcBorders>
            <w:shd w:val="clear" w:color="000000" w:fill="F2F2F2"/>
            <w:noWrap/>
            <w:vAlign w:val="center"/>
            <w:hideMark/>
          </w:tcPr>
          <w:p w14:paraId="02AB92F3"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245</w:t>
            </w:r>
          </w:p>
        </w:tc>
        <w:tc>
          <w:tcPr>
            <w:tcW w:w="623" w:type="dxa"/>
            <w:tcBorders>
              <w:top w:val="nil"/>
              <w:left w:val="nil"/>
              <w:bottom w:val="nil"/>
              <w:right w:val="nil"/>
            </w:tcBorders>
            <w:shd w:val="clear" w:color="000000" w:fill="F2F2F2"/>
            <w:noWrap/>
            <w:vAlign w:val="center"/>
            <w:hideMark/>
          </w:tcPr>
          <w:p w14:paraId="0B312EE0"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76.0</w:t>
            </w:r>
          </w:p>
        </w:tc>
      </w:tr>
      <w:tr w:rsidR="00DA5210" w:rsidRPr="00DA5210" w14:paraId="291667ED" w14:textId="77777777" w:rsidTr="00435C2E">
        <w:trPr>
          <w:trHeight w:val="225"/>
        </w:trPr>
        <w:tc>
          <w:tcPr>
            <w:tcW w:w="2173" w:type="dxa"/>
            <w:tcBorders>
              <w:top w:val="nil"/>
              <w:left w:val="nil"/>
              <w:bottom w:val="nil"/>
              <w:right w:val="nil"/>
            </w:tcBorders>
            <w:shd w:val="clear" w:color="000000" w:fill="FFFFFF"/>
            <w:noWrap/>
            <w:vAlign w:val="center"/>
            <w:hideMark/>
          </w:tcPr>
          <w:p w14:paraId="43E6A304" w14:textId="77777777" w:rsidR="00DA5210" w:rsidRPr="00DA5210" w:rsidRDefault="00DA5210" w:rsidP="00DA5210">
            <w:pPr>
              <w:spacing w:after="0" w:line="240" w:lineRule="auto"/>
              <w:jc w:val="left"/>
              <w:rPr>
                <w:rFonts w:ascii="Arial" w:hAnsi="Arial" w:cs="Arial"/>
                <w:color w:val="auto"/>
                <w:sz w:val="16"/>
                <w:szCs w:val="16"/>
              </w:rPr>
            </w:pPr>
            <w:r w:rsidRPr="00DA5210">
              <w:rPr>
                <w:rFonts w:ascii="Arial" w:hAnsi="Arial" w:cs="Arial"/>
                <w:color w:val="auto"/>
                <w:sz w:val="16"/>
                <w:szCs w:val="16"/>
              </w:rPr>
              <w:t>Real estate - commercial</w:t>
            </w:r>
          </w:p>
        </w:tc>
        <w:tc>
          <w:tcPr>
            <w:tcW w:w="223" w:type="dxa"/>
            <w:tcBorders>
              <w:top w:val="nil"/>
              <w:left w:val="nil"/>
              <w:bottom w:val="nil"/>
              <w:right w:val="nil"/>
            </w:tcBorders>
            <w:shd w:val="clear" w:color="000000" w:fill="FFFFFF"/>
            <w:noWrap/>
            <w:vAlign w:val="center"/>
            <w:hideMark/>
          </w:tcPr>
          <w:p w14:paraId="0208A9FF" w14:textId="4E988158" w:rsidR="00DA5210" w:rsidRPr="00DA5210" w:rsidRDefault="00DA5210" w:rsidP="00DA5210">
            <w:pPr>
              <w:spacing w:after="0" w:line="240" w:lineRule="auto"/>
              <w:jc w:val="right"/>
              <w:rPr>
                <w:rFonts w:ascii="Arial" w:hAnsi="Arial" w:cs="Arial"/>
                <w:color w:val="auto"/>
                <w:sz w:val="16"/>
                <w:szCs w:val="16"/>
              </w:rPr>
            </w:pPr>
          </w:p>
        </w:tc>
        <w:tc>
          <w:tcPr>
            <w:tcW w:w="712" w:type="dxa"/>
            <w:tcBorders>
              <w:top w:val="nil"/>
              <w:left w:val="nil"/>
              <w:bottom w:val="single" w:sz="2" w:space="0" w:color="000000" w:themeColor="text1"/>
              <w:right w:val="nil"/>
            </w:tcBorders>
            <w:shd w:val="clear" w:color="000000" w:fill="FFFFFF"/>
            <w:noWrap/>
            <w:vAlign w:val="center"/>
            <w:hideMark/>
          </w:tcPr>
          <w:p w14:paraId="216E5170"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606</w:t>
            </w:r>
          </w:p>
        </w:tc>
        <w:tc>
          <w:tcPr>
            <w:tcW w:w="623" w:type="dxa"/>
            <w:tcBorders>
              <w:top w:val="nil"/>
              <w:left w:val="nil"/>
              <w:bottom w:val="single" w:sz="2" w:space="0" w:color="000000" w:themeColor="text1"/>
              <w:right w:val="nil"/>
            </w:tcBorders>
            <w:shd w:val="clear" w:color="000000" w:fill="FFFFFF"/>
            <w:noWrap/>
            <w:vAlign w:val="center"/>
            <w:hideMark/>
          </w:tcPr>
          <w:p w14:paraId="2036F934"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49.7</w:t>
            </w:r>
          </w:p>
        </w:tc>
        <w:tc>
          <w:tcPr>
            <w:tcW w:w="712" w:type="dxa"/>
            <w:tcBorders>
              <w:top w:val="nil"/>
              <w:left w:val="nil"/>
              <w:bottom w:val="single" w:sz="2" w:space="0" w:color="000000" w:themeColor="text1"/>
              <w:right w:val="nil"/>
            </w:tcBorders>
            <w:shd w:val="clear" w:color="000000" w:fill="FFFFFF"/>
            <w:noWrap/>
            <w:vAlign w:val="center"/>
            <w:hideMark/>
          </w:tcPr>
          <w:p w14:paraId="7802FD41"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465</w:t>
            </w:r>
          </w:p>
        </w:tc>
        <w:tc>
          <w:tcPr>
            <w:tcW w:w="623" w:type="dxa"/>
            <w:tcBorders>
              <w:top w:val="nil"/>
              <w:left w:val="nil"/>
              <w:bottom w:val="single" w:sz="2" w:space="0" w:color="000000" w:themeColor="text1"/>
              <w:right w:val="nil"/>
            </w:tcBorders>
            <w:shd w:val="clear" w:color="000000" w:fill="FFFFFF"/>
            <w:noWrap/>
            <w:vAlign w:val="center"/>
            <w:hideMark/>
          </w:tcPr>
          <w:p w14:paraId="25BA9DC0"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43.7</w:t>
            </w:r>
          </w:p>
        </w:tc>
        <w:tc>
          <w:tcPr>
            <w:tcW w:w="712" w:type="dxa"/>
            <w:tcBorders>
              <w:top w:val="nil"/>
              <w:left w:val="nil"/>
              <w:bottom w:val="single" w:sz="2" w:space="0" w:color="000000" w:themeColor="text1"/>
              <w:right w:val="nil"/>
            </w:tcBorders>
            <w:shd w:val="clear" w:color="000000" w:fill="FFFFFF"/>
            <w:noWrap/>
            <w:vAlign w:val="center"/>
            <w:hideMark/>
          </w:tcPr>
          <w:p w14:paraId="0342A166"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391</w:t>
            </w:r>
          </w:p>
        </w:tc>
        <w:tc>
          <w:tcPr>
            <w:tcW w:w="623" w:type="dxa"/>
            <w:tcBorders>
              <w:top w:val="nil"/>
              <w:left w:val="nil"/>
              <w:bottom w:val="single" w:sz="2" w:space="0" w:color="000000" w:themeColor="text1"/>
              <w:right w:val="nil"/>
            </w:tcBorders>
            <w:shd w:val="clear" w:color="000000" w:fill="FFFFFF"/>
            <w:noWrap/>
            <w:vAlign w:val="center"/>
            <w:hideMark/>
          </w:tcPr>
          <w:p w14:paraId="2E3686F2"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39.5</w:t>
            </w:r>
          </w:p>
        </w:tc>
        <w:tc>
          <w:tcPr>
            <w:tcW w:w="681" w:type="dxa"/>
            <w:tcBorders>
              <w:top w:val="nil"/>
              <w:left w:val="nil"/>
              <w:bottom w:val="single" w:sz="2" w:space="0" w:color="000000" w:themeColor="text1"/>
              <w:right w:val="nil"/>
            </w:tcBorders>
            <w:shd w:val="clear" w:color="000000" w:fill="F2F2F2"/>
            <w:noWrap/>
            <w:vAlign w:val="center"/>
            <w:hideMark/>
          </w:tcPr>
          <w:p w14:paraId="7CE3B0ED"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487</w:t>
            </w:r>
          </w:p>
        </w:tc>
        <w:tc>
          <w:tcPr>
            <w:tcW w:w="623" w:type="dxa"/>
            <w:tcBorders>
              <w:top w:val="nil"/>
              <w:left w:val="nil"/>
              <w:bottom w:val="single" w:sz="2" w:space="0" w:color="000000" w:themeColor="text1"/>
              <w:right w:val="nil"/>
            </w:tcBorders>
            <w:shd w:val="clear" w:color="000000" w:fill="F2F2F2"/>
            <w:noWrap/>
            <w:vAlign w:val="center"/>
            <w:hideMark/>
          </w:tcPr>
          <w:p w14:paraId="46078216"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73.0</w:t>
            </w:r>
          </w:p>
        </w:tc>
      </w:tr>
      <w:tr w:rsidR="00DA5210" w:rsidRPr="00DA5210" w14:paraId="5B7E3A8E" w14:textId="77777777" w:rsidTr="00435C2E">
        <w:trPr>
          <w:trHeight w:val="225"/>
        </w:trPr>
        <w:tc>
          <w:tcPr>
            <w:tcW w:w="2173" w:type="dxa"/>
            <w:tcBorders>
              <w:top w:val="nil"/>
              <w:left w:val="nil"/>
              <w:bottom w:val="nil"/>
              <w:right w:val="nil"/>
            </w:tcBorders>
            <w:shd w:val="clear" w:color="000000" w:fill="FFFFFF"/>
            <w:noWrap/>
            <w:vAlign w:val="center"/>
            <w:hideMark/>
          </w:tcPr>
          <w:p w14:paraId="5B9DB215" w14:textId="77777777" w:rsidR="00DA5210" w:rsidRPr="00DA5210" w:rsidRDefault="00DA5210" w:rsidP="00DA5210">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Sub-total 'Non-residential'</w:t>
            </w:r>
          </w:p>
        </w:tc>
        <w:tc>
          <w:tcPr>
            <w:tcW w:w="223" w:type="dxa"/>
            <w:tcBorders>
              <w:top w:val="nil"/>
              <w:left w:val="nil"/>
              <w:bottom w:val="nil"/>
              <w:right w:val="nil"/>
            </w:tcBorders>
            <w:shd w:val="clear" w:color="000000" w:fill="FFFFFF"/>
            <w:noWrap/>
            <w:vAlign w:val="center"/>
            <w:hideMark/>
          </w:tcPr>
          <w:p w14:paraId="4BC5B84E" w14:textId="15E400BC" w:rsidR="00DA5210" w:rsidRPr="00DA5210" w:rsidRDefault="00DA5210" w:rsidP="00DA5210">
            <w:pPr>
              <w:spacing w:after="0" w:line="240" w:lineRule="auto"/>
              <w:jc w:val="right"/>
              <w:rPr>
                <w:rFonts w:ascii="Arial" w:hAnsi="Arial" w:cs="Arial"/>
                <w:i/>
                <w:iCs/>
                <w:color w:val="auto"/>
                <w:sz w:val="16"/>
                <w:szCs w:val="16"/>
              </w:rPr>
            </w:pPr>
          </w:p>
        </w:tc>
        <w:tc>
          <w:tcPr>
            <w:tcW w:w="712" w:type="dxa"/>
            <w:tcBorders>
              <w:top w:val="single" w:sz="2" w:space="0" w:color="000000" w:themeColor="text1"/>
              <w:left w:val="nil"/>
              <w:bottom w:val="nil"/>
              <w:right w:val="nil"/>
            </w:tcBorders>
            <w:shd w:val="clear" w:color="000000" w:fill="FFFFFF"/>
            <w:noWrap/>
            <w:vAlign w:val="center"/>
            <w:hideMark/>
          </w:tcPr>
          <w:p w14:paraId="7B3C58A8" w14:textId="77777777" w:rsidR="00DA5210" w:rsidRPr="00DA5210" w:rsidRDefault="00DA5210" w:rsidP="00DA5210">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1,251</w:t>
            </w:r>
          </w:p>
        </w:tc>
        <w:tc>
          <w:tcPr>
            <w:tcW w:w="623" w:type="dxa"/>
            <w:tcBorders>
              <w:top w:val="single" w:sz="2" w:space="0" w:color="000000" w:themeColor="text1"/>
              <w:left w:val="nil"/>
              <w:bottom w:val="nil"/>
              <w:right w:val="nil"/>
            </w:tcBorders>
            <w:shd w:val="clear" w:color="000000" w:fill="FFFFFF"/>
            <w:noWrap/>
            <w:vAlign w:val="center"/>
            <w:hideMark/>
          </w:tcPr>
          <w:p w14:paraId="55221A71" w14:textId="77777777" w:rsidR="00DA5210" w:rsidRPr="00DA5210" w:rsidRDefault="00DA5210" w:rsidP="00DA5210">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175.4</w:t>
            </w:r>
          </w:p>
        </w:tc>
        <w:tc>
          <w:tcPr>
            <w:tcW w:w="712" w:type="dxa"/>
            <w:tcBorders>
              <w:top w:val="single" w:sz="2" w:space="0" w:color="000000" w:themeColor="text1"/>
              <w:left w:val="nil"/>
              <w:bottom w:val="nil"/>
              <w:right w:val="nil"/>
            </w:tcBorders>
            <w:shd w:val="clear" w:color="000000" w:fill="FFFFFF"/>
            <w:noWrap/>
            <w:vAlign w:val="center"/>
            <w:hideMark/>
          </w:tcPr>
          <w:p w14:paraId="185D532B" w14:textId="77777777" w:rsidR="00DA5210" w:rsidRPr="00DA5210" w:rsidRDefault="00DA5210" w:rsidP="00DA5210">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1,141</w:t>
            </w:r>
          </w:p>
        </w:tc>
        <w:tc>
          <w:tcPr>
            <w:tcW w:w="623" w:type="dxa"/>
            <w:tcBorders>
              <w:top w:val="single" w:sz="2" w:space="0" w:color="000000" w:themeColor="text1"/>
              <w:left w:val="nil"/>
              <w:bottom w:val="nil"/>
              <w:right w:val="nil"/>
            </w:tcBorders>
            <w:shd w:val="clear" w:color="000000" w:fill="FFFFFF"/>
            <w:noWrap/>
            <w:vAlign w:val="center"/>
            <w:hideMark/>
          </w:tcPr>
          <w:p w14:paraId="4F4C6499" w14:textId="77777777" w:rsidR="00DA5210" w:rsidRPr="00DA5210" w:rsidRDefault="00DA5210" w:rsidP="00DA5210">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167.7</w:t>
            </w:r>
          </w:p>
        </w:tc>
        <w:tc>
          <w:tcPr>
            <w:tcW w:w="712" w:type="dxa"/>
            <w:tcBorders>
              <w:top w:val="single" w:sz="2" w:space="0" w:color="000000" w:themeColor="text1"/>
              <w:left w:val="nil"/>
              <w:bottom w:val="nil"/>
              <w:right w:val="nil"/>
            </w:tcBorders>
            <w:shd w:val="clear" w:color="000000" w:fill="FFFFFF"/>
            <w:noWrap/>
            <w:vAlign w:val="center"/>
            <w:hideMark/>
          </w:tcPr>
          <w:p w14:paraId="40BC2277" w14:textId="77777777" w:rsidR="00DA5210" w:rsidRPr="00DA5210" w:rsidRDefault="00DA5210" w:rsidP="00DA5210">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1,024</w:t>
            </w:r>
          </w:p>
        </w:tc>
        <w:tc>
          <w:tcPr>
            <w:tcW w:w="623" w:type="dxa"/>
            <w:tcBorders>
              <w:top w:val="single" w:sz="2" w:space="0" w:color="000000" w:themeColor="text1"/>
              <w:left w:val="nil"/>
              <w:bottom w:val="nil"/>
              <w:right w:val="nil"/>
            </w:tcBorders>
            <w:shd w:val="clear" w:color="000000" w:fill="FFFFFF"/>
            <w:noWrap/>
            <w:vAlign w:val="center"/>
            <w:hideMark/>
          </w:tcPr>
          <w:p w14:paraId="0C8303C1" w14:textId="77777777" w:rsidR="00DA5210" w:rsidRPr="00DA5210" w:rsidRDefault="00DA5210" w:rsidP="00DA5210">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150.6</w:t>
            </w:r>
          </w:p>
        </w:tc>
        <w:tc>
          <w:tcPr>
            <w:tcW w:w="681" w:type="dxa"/>
            <w:tcBorders>
              <w:top w:val="single" w:sz="2" w:space="0" w:color="000000" w:themeColor="text1"/>
              <w:left w:val="nil"/>
              <w:bottom w:val="nil"/>
              <w:right w:val="nil"/>
            </w:tcBorders>
            <w:shd w:val="clear" w:color="000000" w:fill="F2F2F2"/>
            <w:noWrap/>
            <w:vAlign w:val="center"/>
            <w:hideMark/>
          </w:tcPr>
          <w:p w14:paraId="1933B265" w14:textId="685FF827" w:rsidR="00DA5210" w:rsidRPr="00DA5210" w:rsidRDefault="00DA5210" w:rsidP="00011419">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1,175</w:t>
            </w:r>
          </w:p>
        </w:tc>
        <w:tc>
          <w:tcPr>
            <w:tcW w:w="623" w:type="dxa"/>
            <w:tcBorders>
              <w:top w:val="single" w:sz="2" w:space="0" w:color="000000" w:themeColor="text1"/>
              <w:left w:val="nil"/>
              <w:bottom w:val="nil"/>
              <w:right w:val="nil"/>
            </w:tcBorders>
            <w:shd w:val="clear" w:color="000000" w:fill="F2F2F2"/>
            <w:noWrap/>
            <w:vAlign w:val="center"/>
            <w:hideMark/>
          </w:tcPr>
          <w:p w14:paraId="6F4F97C4" w14:textId="77777777" w:rsidR="00DA5210" w:rsidRPr="00DA5210" w:rsidRDefault="00DA5210" w:rsidP="00011419">
            <w:pPr>
              <w:spacing w:after="0" w:line="240" w:lineRule="auto"/>
              <w:jc w:val="right"/>
              <w:rPr>
                <w:rFonts w:ascii="Arial" w:hAnsi="Arial" w:cs="Arial"/>
                <w:i/>
                <w:iCs/>
                <w:color w:val="auto"/>
                <w:sz w:val="16"/>
                <w:szCs w:val="16"/>
              </w:rPr>
            </w:pPr>
            <w:r w:rsidRPr="00DA5210">
              <w:rPr>
                <w:rFonts w:ascii="Arial" w:hAnsi="Arial" w:cs="Arial"/>
                <w:i/>
                <w:iCs/>
                <w:color w:val="auto"/>
                <w:sz w:val="16"/>
                <w:szCs w:val="16"/>
              </w:rPr>
              <w:t>216.2</w:t>
            </w:r>
          </w:p>
        </w:tc>
      </w:tr>
      <w:tr w:rsidR="00DA5210" w:rsidRPr="00DA5210" w14:paraId="6FAE124C" w14:textId="77777777" w:rsidTr="00435C2E">
        <w:trPr>
          <w:trHeight w:val="225"/>
        </w:trPr>
        <w:tc>
          <w:tcPr>
            <w:tcW w:w="2173" w:type="dxa"/>
            <w:tcBorders>
              <w:top w:val="nil"/>
              <w:left w:val="nil"/>
              <w:right w:val="nil"/>
            </w:tcBorders>
            <w:shd w:val="clear" w:color="000000" w:fill="FFFFFF"/>
            <w:noWrap/>
            <w:vAlign w:val="center"/>
            <w:hideMark/>
          </w:tcPr>
          <w:p w14:paraId="14993946" w14:textId="77777777" w:rsidR="00DA5210" w:rsidRPr="00DA5210" w:rsidRDefault="00DA5210" w:rsidP="00DA5210">
            <w:pPr>
              <w:spacing w:after="0" w:line="240" w:lineRule="auto"/>
              <w:jc w:val="left"/>
              <w:rPr>
                <w:rFonts w:ascii="Arial" w:hAnsi="Arial" w:cs="Arial"/>
                <w:color w:val="auto"/>
                <w:sz w:val="16"/>
                <w:szCs w:val="16"/>
              </w:rPr>
            </w:pPr>
            <w:r w:rsidRPr="00DA5210">
              <w:rPr>
                <w:rFonts w:ascii="Arial" w:hAnsi="Arial" w:cs="Arial"/>
                <w:color w:val="auto"/>
                <w:sz w:val="16"/>
                <w:szCs w:val="16"/>
              </w:rPr>
              <w:t>Real estate - residential</w:t>
            </w:r>
          </w:p>
        </w:tc>
        <w:tc>
          <w:tcPr>
            <w:tcW w:w="223" w:type="dxa"/>
            <w:tcBorders>
              <w:top w:val="nil"/>
              <w:left w:val="nil"/>
              <w:right w:val="nil"/>
            </w:tcBorders>
            <w:shd w:val="clear" w:color="000000" w:fill="FFFFFF"/>
            <w:noWrap/>
            <w:vAlign w:val="center"/>
            <w:hideMark/>
          </w:tcPr>
          <w:p w14:paraId="5536E42E" w14:textId="502B3EA7" w:rsidR="00DA5210" w:rsidRPr="00DA5210" w:rsidRDefault="00DA5210" w:rsidP="00DA5210">
            <w:pPr>
              <w:spacing w:after="0" w:line="240" w:lineRule="auto"/>
              <w:jc w:val="right"/>
              <w:rPr>
                <w:rFonts w:ascii="Arial" w:hAnsi="Arial" w:cs="Arial"/>
                <w:color w:val="auto"/>
                <w:sz w:val="16"/>
                <w:szCs w:val="16"/>
              </w:rPr>
            </w:pPr>
          </w:p>
        </w:tc>
        <w:tc>
          <w:tcPr>
            <w:tcW w:w="712" w:type="dxa"/>
            <w:tcBorders>
              <w:top w:val="nil"/>
              <w:left w:val="nil"/>
              <w:bottom w:val="single" w:sz="2" w:space="0" w:color="000000" w:themeColor="text1"/>
              <w:right w:val="nil"/>
            </w:tcBorders>
            <w:shd w:val="clear" w:color="000000" w:fill="FFFFFF"/>
            <w:noWrap/>
            <w:vAlign w:val="center"/>
            <w:hideMark/>
          </w:tcPr>
          <w:p w14:paraId="35DCA9EE"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40,149</w:t>
            </w:r>
          </w:p>
        </w:tc>
        <w:tc>
          <w:tcPr>
            <w:tcW w:w="623" w:type="dxa"/>
            <w:tcBorders>
              <w:top w:val="nil"/>
              <w:left w:val="nil"/>
              <w:bottom w:val="single" w:sz="2" w:space="0" w:color="000000" w:themeColor="text1"/>
              <w:right w:val="nil"/>
            </w:tcBorders>
            <w:shd w:val="clear" w:color="000000" w:fill="FFFFFF"/>
            <w:noWrap/>
            <w:vAlign w:val="center"/>
            <w:hideMark/>
          </w:tcPr>
          <w:p w14:paraId="6D6FD48B"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72.4</w:t>
            </w:r>
          </w:p>
        </w:tc>
        <w:tc>
          <w:tcPr>
            <w:tcW w:w="712" w:type="dxa"/>
            <w:tcBorders>
              <w:top w:val="nil"/>
              <w:left w:val="nil"/>
              <w:bottom w:val="single" w:sz="2" w:space="0" w:color="000000" w:themeColor="text1"/>
              <w:right w:val="nil"/>
            </w:tcBorders>
            <w:shd w:val="clear" w:color="000000" w:fill="FFFFFF"/>
            <w:noWrap/>
            <w:vAlign w:val="center"/>
            <w:hideMark/>
          </w:tcPr>
          <w:p w14:paraId="7639C477"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13,198</w:t>
            </w:r>
          </w:p>
        </w:tc>
        <w:tc>
          <w:tcPr>
            <w:tcW w:w="623" w:type="dxa"/>
            <w:tcBorders>
              <w:top w:val="nil"/>
              <w:left w:val="nil"/>
              <w:bottom w:val="single" w:sz="2" w:space="0" w:color="000000" w:themeColor="text1"/>
              <w:right w:val="nil"/>
            </w:tcBorders>
            <w:shd w:val="clear" w:color="000000" w:fill="FFFFFF"/>
            <w:noWrap/>
            <w:vAlign w:val="center"/>
            <w:hideMark/>
          </w:tcPr>
          <w:p w14:paraId="2132FFB2"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30.0</w:t>
            </w:r>
          </w:p>
        </w:tc>
        <w:tc>
          <w:tcPr>
            <w:tcW w:w="712" w:type="dxa"/>
            <w:tcBorders>
              <w:top w:val="nil"/>
              <w:left w:val="nil"/>
              <w:bottom w:val="single" w:sz="2" w:space="0" w:color="000000" w:themeColor="text1"/>
              <w:right w:val="nil"/>
            </w:tcBorders>
            <w:shd w:val="clear" w:color="000000" w:fill="FFFFFF"/>
            <w:noWrap/>
            <w:vAlign w:val="center"/>
            <w:hideMark/>
          </w:tcPr>
          <w:p w14:paraId="3C8809E2"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10,036</w:t>
            </w:r>
          </w:p>
        </w:tc>
        <w:tc>
          <w:tcPr>
            <w:tcW w:w="623" w:type="dxa"/>
            <w:tcBorders>
              <w:top w:val="nil"/>
              <w:left w:val="nil"/>
              <w:bottom w:val="single" w:sz="2" w:space="0" w:color="000000" w:themeColor="text1"/>
              <w:right w:val="nil"/>
            </w:tcBorders>
            <w:shd w:val="clear" w:color="000000" w:fill="FFFFFF"/>
            <w:noWrap/>
            <w:vAlign w:val="center"/>
            <w:hideMark/>
          </w:tcPr>
          <w:p w14:paraId="49F0021C" w14:textId="77777777" w:rsidR="00DA5210" w:rsidRPr="00DA5210" w:rsidRDefault="00DA5210" w:rsidP="00DA5210">
            <w:pPr>
              <w:spacing w:after="0" w:line="240" w:lineRule="auto"/>
              <w:jc w:val="right"/>
              <w:rPr>
                <w:rFonts w:ascii="Arial" w:hAnsi="Arial" w:cs="Arial"/>
                <w:color w:val="auto"/>
                <w:sz w:val="16"/>
                <w:szCs w:val="16"/>
              </w:rPr>
            </w:pPr>
            <w:r w:rsidRPr="00DA5210">
              <w:rPr>
                <w:rFonts w:ascii="Arial" w:hAnsi="Arial" w:cs="Arial"/>
                <w:color w:val="auto"/>
                <w:sz w:val="16"/>
                <w:szCs w:val="16"/>
              </w:rPr>
              <w:t>12.5</w:t>
            </w:r>
          </w:p>
        </w:tc>
        <w:tc>
          <w:tcPr>
            <w:tcW w:w="681" w:type="dxa"/>
            <w:tcBorders>
              <w:top w:val="nil"/>
              <w:left w:val="nil"/>
              <w:bottom w:val="single" w:sz="2" w:space="0" w:color="000000" w:themeColor="text1"/>
              <w:right w:val="nil"/>
            </w:tcBorders>
            <w:shd w:val="clear" w:color="000000" w:fill="F2F2F2"/>
            <w:noWrap/>
            <w:vAlign w:val="center"/>
            <w:hideMark/>
          </w:tcPr>
          <w:p w14:paraId="178DD24D" w14:textId="79599B29" w:rsidR="00DA5210" w:rsidRPr="00DA5210" w:rsidRDefault="00DA5210" w:rsidP="00011419">
            <w:pPr>
              <w:spacing w:after="0" w:line="240" w:lineRule="auto"/>
              <w:jc w:val="right"/>
              <w:rPr>
                <w:rFonts w:ascii="Arial" w:hAnsi="Arial" w:cs="Arial"/>
                <w:color w:val="auto"/>
                <w:sz w:val="16"/>
                <w:szCs w:val="16"/>
              </w:rPr>
            </w:pPr>
            <w:r w:rsidRPr="00DA5210">
              <w:rPr>
                <w:rFonts w:ascii="Arial" w:hAnsi="Arial" w:cs="Arial"/>
                <w:color w:val="auto"/>
                <w:sz w:val="16"/>
                <w:szCs w:val="16"/>
              </w:rPr>
              <w:t>7,513</w:t>
            </w:r>
          </w:p>
        </w:tc>
        <w:tc>
          <w:tcPr>
            <w:tcW w:w="623" w:type="dxa"/>
            <w:tcBorders>
              <w:top w:val="nil"/>
              <w:left w:val="nil"/>
              <w:bottom w:val="single" w:sz="2" w:space="0" w:color="000000" w:themeColor="text1"/>
              <w:right w:val="nil"/>
            </w:tcBorders>
            <w:shd w:val="clear" w:color="000000" w:fill="F2F2F2"/>
            <w:noWrap/>
            <w:vAlign w:val="center"/>
            <w:hideMark/>
          </w:tcPr>
          <w:p w14:paraId="36C99D8E" w14:textId="77777777" w:rsidR="00DA5210" w:rsidRPr="00DA5210" w:rsidRDefault="00DA5210" w:rsidP="00011419">
            <w:pPr>
              <w:spacing w:after="0" w:line="240" w:lineRule="auto"/>
              <w:jc w:val="right"/>
              <w:rPr>
                <w:rFonts w:ascii="Arial" w:hAnsi="Arial" w:cs="Arial"/>
                <w:color w:val="auto"/>
                <w:sz w:val="16"/>
                <w:szCs w:val="16"/>
              </w:rPr>
            </w:pPr>
            <w:r w:rsidRPr="00DA5210">
              <w:rPr>
                <w:rFonts w:ascii="Arial" w:hAnsi="Arial" w:cs="Arial"/>
                <w:color w:val="auto"/>
                <w:sz w:val="16"/>
                <w:szCs w:val="16"/>
              </w:rPr>
              <w:t>14.8</w:t>
            </w:r>
          </w:p>
        </w:tc>
      </w:tr>
      <w:tr w:rsidR="00DA5210" w:rsidRPr="00DA5210" w14:paraId="4D3F7405" w14:textId="77777777" w:rsidTr="00435C2E">
        <w:trPr>
          <w:trHeight w:val="225"/>
        </w:trPr>
        <w:tc>
          <w:tcPr>
            <w:tcW w:w="2173" w:type="dxa"/>
            <w:tcBorders>
              <w:left w:val="nil"/>
              <w:bottom w:val="single" w:sz="2" w:space="0" w:color="000000" w:themeColor="text1"/>
              <w:right w:val="nil"/>
            </w:tcBorders>
            <w:shd w:val="clear" w:color="000000" w:fill="FFFFFF"/>
            <w:noWrap/>
            <w:vAlign w:val="center"/>
            <w:hideMark/>
          </w:tcPr>
          <w:p w14:paraId="0400D2EB" w14:textId="77777777" w:rsidR="00DA5210" w:rsidRPr="00DA5210" w:rsidRDefault="00DA5210" w:rsidP="00DA5210">
            <w:pPr>
              <w:spacing w:after="0" w:line="240" w:lineRule="auto"/>
              <w:jc w:val="left"/>
              <w:rPr>
                <w:rFonts w:ascii="Arial" w:hAnsi="Arial" w:cs="Arial"/>
                <w:b/>
                <w:bCs/>
                <w:color w:val="auto"/>
                <w:sz w:val="16"/>
                <w:szCs w:val="16"/>
              </w:rPr>
            </w:pPr>
            <w:r w:rsidRPr="00DA5210">
              <w:rPr>
                <w:rFonts w:ascii="Arial" w:hAnsi="Arial" w:cs="Arial"/>
                <w:b/>
                <w:bCs/>
                <w:color w:val="auto"/>
                <w:sz w:val="16"/>
                <w:szCs w:val="16"/>
              </w:rPr>
              <w:t>Total</w:t>
            </w:r>
          </w:p>
        </w:tc>
        <w:tc>
          <w:tcPr>
            <w:tcW w:w="223" w:type="dxa"/>
            <w:tcBorders>
              <w:left w:val="nil"/>
              <w:bottom w:val="single" w:sz="2" w:space="0" w:color="000000" w:themeColor="text1"/>
              <w:right w:val="nil"/>
            </w:tcBorders>
            <w:shd w:val="clear" w:color="000000" w:fill="FFFFFF"/>
            <w:noWrap/>
            <w:vAlign w:val="center"/>
            <w:hideMark/>
          </w:tcPr>
          <w:p w14:paraId="2EA824AA" w14:textId="13B3FE7B" w:rsidR="00DA5210" w:rsidRPr="00DA5210" w:rsidRDefault="00DA5210" w:rsidP="00DA5210">
            <w:pPr>
              <w:spacing w:after="0" w:line="240" w:lineRule="auto"/>
              <w:jc w:val="right"/>
              <w:rPr>
                <w:rFonts w:ascii="Arial" w:hAnsi="Arial" w:cs="Arial"/>
                <w:b/>
                <w:bCs/>
                <w:color w:val="auto"/>
                <w:sz w:val="16"/>
                <w:szCs w:val="16"/>
              </w:rPr>
            </w:pPr>
          </w:p>
        </w:tc>
        <w:tc>
          <w:tcPr>
            <w:tcW w:w="712" w:type="dxa"/>
            <w:tcBorders>
              <w:top w:val="single" w:sz="2" w:space="0" w:color="000000" w:themeColor="text1"/>
              <w:left w:val="nil"/>
              <w:bottom w:val="single" w:sz="2" w:space="0" w:color="000000" w:themeColor="text1"/>
              <w:right w:val="nil"/>
            </w:tcBorders>
            <w:shd w:val="clear" w:color="000000" w:fill="FFFFFF"/>
            <w:noWrap/>
            <w:vAlign w:val="center"/>
            <w:hideMark/>
          </w:tcPr>
          <w:p w14:paraId="03935671" w14:textId="77777777" w:rsidR="00DA5210" w:rsidRPr="00DA5210" w:rsidRDefault="00DA5210" w:rsidP="00DA5210">
            <w:pPr>
              <w:spacing w:after="0" w:line="240" w:lineRule="auto"/>
              <w:jc w:val="right"/>
              <w:rPr>
                <w:rFonts w:ascii="Arial" w:hAnsi="Arial" w:cs="Arial"/>
                <w:b/>
                <w:bCs/>
                <w:color w:val="auto"/>
                <w:sz w:val="16"/>
                <w:szCs w:val="16"/>
              </w:rPr>
            </w:pPr>
            <w:r w:rsidRPr="00DA5210">
              <w:rPr>
                <w:rFonts w:ascii="Arial" w:hAnsi="Arial" w:cs="Arial"/>
                <w:b/>
                <w:bCs/>
                <w:color w:val="auto"/>
                <w:sz w:val="16"/>
                <w:szCs w:val="16"/>
              </w:rPr>
              <w:t>41,400</w:t>
            </w:r>
          </w:p>
        </w:tc>
        <w:tc>
          <w:tcPr>
            <w:tcW w:w="623" w:type="dxa"/>
            <w:tcBorders>
              <w:top w:val="single" w:sz="2" w:space="0" w:color="000000" w:themeColor="text1"/>
              <w:left w:val="nil"/>
              <w:bottom w:val="single" w:sz="2" w:space="0" w:color="000000" w:themeColor="text1"/>
              <w:right w:val="nil"/>
            </w:tcBorders>
            <w:shd w:val="clear" w:color="000000" w:fill="FFFFFF"/>
            <w:noWrap/>
            <w:vAlign w:val="center"/>
            <w:hideMark/>
          </w:tcPr>
          <w:p w14:paraId="4667E7DF" w14:textId="77777777" w:rsidR="00DA5210" w:rsidRPr="00DA5210" w:rsidRDefault="00DA5210" w:rsidP="00DA5210">
            <w:pPr>
              <w:spacing w:after="0" w:line="240" w:lineRule="auto"/>
              <w:jc w:val="right"/>
              <w:rPr>
                <w:rFonts w:ascii="Arial" w:hAnsi="Arial" w:cs="Arial"/>
                <w:b/>
                <w:bCs/>
                <w:color w:val="auto"/>
                <w:sz w:val="16"/>
                <w:szCs w:val="16"/>
              </w:rPr>
            </w:pPr>
            <w:r w:rsidRPr="00DA5210">
              <w:rPr>
                <w:rFonts w:ascii="Arial" w:hAnsi="Arial" w:cs="Arial"/>
                <w:b/>
                <w:bCs/>
                <w:color w:val="auto"/>
                <w:sz w:val="16"/>
                <w:szCs w:val="16"/>
              </w:rPr>
              <w:t>247.9</w:t>
            </w:r>
          </w:p>
        </w:tc>
        <w:tc>
          <w:tcPr>
            <w:tcW w:w="712" w:type="dxa"/>
            <w:tcBorders>
              <w:top w:val="single" w:sz="2" w:space="0" w:color="000000" w:themeColor="text1"/>
              <w:left w:val="nil"/>
              <w:bottom w:val="single" w:sz="2" w:space="0" w:color="000000" w:themeColor="text1"/>
              <w:right w:val="nil"/>
            </w:tcBorders>
            <w:shd w:val="clear" w:color="000000" w:fill="FFFFFF"/>
            <w:noWrap/>
            <w:vAlign w:val="center"/>
            <w:hideMark/>
          </w:tcPr>
          <w:p w14:paraId="1B37200B" w14:textId="77777777" w:rsidR="00DA5210" w:rsidRPr="00DA5210" w:rsidRDefault="00DA5210" w:rsidP="00DA5210">
            <w:pPr>
              <w:spacing w:after="0" w:line="240" w:lineRule="auto"/>
              <w:jc w:val="right"/>
              <w:rPr>
                <w:rFonts w:ascii="Arial" w:hAnsi="Arial" w:cs="Arial"/>
                <w:b/>
                <w:bCs/>
                <w:color w:val="auto"/>
                <w:sz w:val="16"/>
                <w:szCs w:val="16"/>
              </w:rPr>
            </w:pPr>
            <w:r w:rsidRPr="00DA5210">
              <w:rPr>
                <w:rFonts w:ascii="Arial" w:hAnsi="Arial" w:cs="Arial"/>
                <w:b/>
                <w:bCs/>
                <w:color w:val="auto"/>
                <w:sz w:val="16"/>
                <w:szCs w:val="16"/>
              </w:rPr>
              <w:t>14,339</w:t>
            </w:r>
          </w:p>
        </w:tc>
        <w:tc>
          <w:tcPr>
            <w:tcW w:w="623" w:type="dxa"/>
            <w:tcBorders>
              <w:top w:val="single" w:sz="2" w:space="0" w:color="000000" w:themeColor="text1"/>
              <w:left w:val="nil"/>
              <w:bottom w:val="single" w:sz="2" w:space="0" w:color="000000" w:themeColor="text1"/>
              <w:right w:val="nil"/>
            </w:tcBorders>
            <w:shd w:val="clear" w:color="000000" w:fill="FFFFFF"/>
            <w:noWrap/>
            <w:vAlign w:val="center"/>
            <w:hideMark/>
          </w:tcPr>
          <w:p w14:paraId="2CD50B28" w14:textId="77777777" w:rsidR="00DA5210" w:rsidRPr="00DA5210" w:rsidRDefault="00DA5210" w:rsidP="00DA5210">
            <w:pPr>
              <w:spacing w:after="0" w:line="240" w:lineRule="auto"/>
              <w:jc w:val="right"/>
              <w:rPr>
                <w:rFonts w:ascii="Arial" w:hAnsi="Arial" w:cs="Arial"/>
                <w:b/>
                <w:bCs/>
                <w:color w:val="auto"/>
                <w:sz w:val="16"/>
                <w:szCs w:val="16"/>
              </w:rPr>
            </w:pPr>
            <w:r w:rsidRPr="00DA5210">
              <w:rPr>
                <w:rFonts w:ascii="Arial" w:hAnsi="Arial" w:cs="Arial"/>
                <w:b/>
                <w:bCs/>
                <w:color w:val="auto"/>
                <w:sz w:val="16"/>
                <w:szCs w:val="16"/>
              </w:rPr>
              <w:t>197.7</w:t>
            </w:r>
          </w:p>
        </w:tc>
        <w:tc>
          <w:tcPr>
            <w:tcW w:w="712" w:type="dxa"/>
            <w:tcBorders>
              <w:top w:val="single" w:sz="2" w:space="0" w:color="000000" w:themeColor="text1"/>
              <w:left w:val="nil"/>
              <w:bottom w:val="single" w:sz="2" w:space="0" w:color="000000" w:themeColor="text1"/>
              <w:right w:val="nil"/>
            </w:tcBorders>
            <w:shd w:val="clear" w:color="000000" w:fill="FFFFFF"/>
            <w:noWrap/>
            <w:vAlign w:val="center"/>
            <w:hideMark/>
          </w:tcPr>
          <w:p w14:paraId="0419CA1D" w14:textId="77777777" w:rsidR="00DA5210" w:rsidRPr="00DA5210" w:rsidRDefault="00DA5210" w:rsidP="00DA5210">
            <w:pPr>
              <w:spacing w:after="0" w:line="240" w:lineRule="auto"/>
              <w:jc w:val="right"/>
              <w:rPr>
                <w:rFonts w:ascii="Arial" w:hAnsi="Arial" w:cs="Arial"/>
                <w:b/>
                <w:bCs/>
                <w:color w:val="auto"/>
                <w:sz w:val="16"/>
                <w:szCs w:val="16"/>
              </w:rPr>
            </w:pPr>
            <w:r w:rsidRPr="00DA5210">
              <w:rPr>
                <w:rFonts w:ascii="Arial" w:hAnsi="Arial" w:cs="Arial"/>
                <w:b/>
                <w:bCs/>
                <w:color w:val="auto"/>
                <w:sz w:val="16"/>
                <w:szCs w:val="16"/>
              </w:rPr>
              <w:t>11,060</w:t>
            </w:r>
          </w:p>
        </w:tc>
        <w:tc>
          <w:tcPr>
            <w:tcW w:w="623" w:type="dxa"/>
            <w:tcBorders>
              <w:top w:val="single" w:sz="2" w:space="0" w:color="000000" w:themeColor="text1"/>
              <w:left w:val="nil"/>
              <w:bottom w:val="single" w:sz="2" w:space="0" w:color="000000" w:themeColor="text1"/>
              <w:right w:val="nil"/>
            </w:tcBorders>
            <w:shd w:val="clear" w:color="000000" w:fill="FFFFFF"/>
            <w:noWrap/>
            <w:vAlign w:val="center"/>
            <w:hideMark/>
          </w:tcPr>
          <w:p w14:paraId="6C6B6012" w14:textId="77777777" w:rsidR="00DA5210" w:rsidRPr="00DA5210" w:rsidRDefault="00DA5210" w:rsidP="00DA5210">
            <w:pPr>
              <w:spacing w:after="0" w:line="240" w:lineRule="auto"/>
              <w:jc w:val="right"/>
              <w:rPr>
                <w:rFonts w:ascii="Arial" w:hAnsi="Arial" w:cs="Arial"/>
                <w:b/>
                <w:bCs/>
                <w:color w:val="auto"/>
                <w:sz w:val="16"/>
                <w:szCs w:val="16"/>
              </w:rPr>
            </w:pPr>
            <w:r w:rsidRPr="00DA5210">
              <w:rPr>
                <w:rFonts w:ascii="Arial" w:hAnsi="Arial" w:cs="Arial"/>
                <w:b/>
                <w:bCs/>
                <w:color w:val="auto"/>
                <w:sz w:val="16"/>
                <w:szCs w:val="16"/>
              </w:rPr>
              <w:t>163.1</w:t>
            </w:r>
          </w:p>
        </w:tc>
        <w:tc>
          <w:tcPr>
            <w:tcW w:w="681" w:type="dxa"/>
            <w:tcBorders>
              <w:top w:val="single" w:sz="2" w:space="0" w:color="000000" w:themeColor="text1"/>
              <w:left w:val="nil"/>
              <w:bottom w:val="single" w:sz="2" w:space="0" w:color="000000" w:themeColor="text1"/>
              <w:right w:val="nil"/>
            </w:tcBorders>
            <w:shd w:val="clear" w:color="000000" w:fill="F2F2F2"/>
            <w:noWrap/>
            <w:vAlign w:val="center"/>
            <w:hideMark/>
          </w:tcPr>
          <w:p w14:paraId="6E5192D0" w14:textId="44BD4309" w:rsidR="00DA5210" w:rsidRPr="00DA5210" w:rsidRDefault="00011419" w:rsidP="00011419">
            <w:pPr>
              <w:spacing w:after="0" w:line="240" w:lineRule="auto"/>
              <w:jc w:val="right"/>
              <w:rPr>
                <w:rFonts w:ascii="Arial" w:hAnsi="Arial" w:cs="Arial"/>
                <w:b/>
                <w:bCs/>
                <w:color w:val="auto"/>
                <w:sz w:val="16"/>
                <w:szCs w:val="16"/>
              </w:rPr>
            </w:pPr>
            <w:r>
              <w:rPr>
                <w:rFonts w:ascii="Arial" w:hAnsi="Arial" w:cs="Arial"/>
                <w:b/>
                <w:bCs/>
                <w:color w:val="auto"/>
                <w:sz w:val="16"/>
                <w:szCs w:val="16"/>
              </w:rPr>
              <w:t>8,688</w:t>
            </w:r>
          </w:p>
        </w:tc>
        <w:tc>
          <w:tcPr>
            <w:tcW w:w="623" w:type="dxa"/>
            <w:tcBorders>
              <w:top w:val="single" w:sz="2" w:space="0" w:color="000000" w:themeColor="text1"/>
              <w:left w:val="nil"/>
              <w:bottom w:val="single" w:sz="2" w:space="0" w:color="000000" w:themeColor="text1"/>
              <w:right w:val="nil"/>
            </w:tcBorders>
            <w:shd w:val="clear" w:color="000000" w:fill="F2F2F2"/>
            <w:noWrap/>
            <w:vAlign w:val="center"/>
            <w:hideMark/>
          </w:tcPr>
          <w:p w14:paraId="4A7A3491" w14:textId="77777777" w:rsidR="00DA5210" w:rsidRPr="00DA5210" w:rsidRDefault="00DA5210" w:rsidP="00011419">
            <w:pPr>
              <w:spacing w:after="0" w:line="240" w:lineRule="auto"/>
              <w:jc w:val="right"/>
              <w:rPr>
                <w:rFonts w:ascii="Arial" w:hAnsi="Arial" w:cs="Arial"/>
                <w:b/>
                <w:bCs/>
                <w:color w:val="auto"/>
                <w:sz w:val="16"/>
                <w:szCs w:val="16"/>
              </w:rPr>
            </w:pPr>
            <w:r w:rsidRPr="00DA5210">
              <w:rPr>
                <w:rFonts w:ascii="Arial" w:hAnsi="Arial" w:cs="Arial"/>
                <w:b/>
                <w:bCs/>
                <w:color w:val="auto"/>
                <w:sz w:val="16"/>
                <w:szCs w:val="16"/>
              </w:rPr>
              <w:t>231.0</w:t>
            </w:r>
          </w:p>
        </w:tc>
      </w:tr>
    </w:tbl>
    <w:p w14:paraId="291B5175" w14:textId="69A12E2C" w:rsidR="00A84283" w:rsidRPr="0034625F" w:rsidRDefault="00A84283" w:rsidP="007149D6">
      <w:pPr>
        <w:pStyle w:val="ChartorTableFootnote"/>
        <w:numPr>
          <w:ilvl w:val="0"/>
          <w:numId w:val="20"/>
        </w:numPr>
      </w:pPr>
      <w:r w:rsidRPr="006D64A2">
        <w:t>Proposed investment includes new dwelling exemption certificates provided to real estate developers (previously off</w:t>
      </w:r>
      <w:r w:rsidR="006E2066" w:rsidRPr="006D64A2">
        <w:noBreakHyphen/>
      </w:r>
      <w:r w:rsidRPr="006D64A2">
        <w:t>the</w:t>
      </w:r>
      <w:r w:rsidR="006E2066" w:rsidRPr="006D64A2">
        <w:noBreakHyphen/>
      </w:r>
      <w:r w:rsidRPr="006D64A2">
        <w:t>plan approvals) and approvals for land exemption certificates. Further details are provided in the section on real estate.</w:t>
      </w:r>
    </w:p>
    <w:p w14:paraId="55994F8A" w14:textId="77777777" w:rsidR="00A84283" w:rsidRPr="001A6701" w:rsidRDefault="00A84283" w:rsidP="006D64A2">
      <w:pPr>
        <w:pStyle w:val="ChartorTableNote"/>
      </w:pPr>
      <w:r w:rsidRPr="001A6701">
        <w:t>Notes:</w:t>
      </w:r>
      <w:r w:rsidRPr="001A6701">
        <w:tab/>
        <w:t>Total number of approvals in Table 3.4 is recorded by target acquired, reflecting the industry sector of the target. For example, one application to acquire two targets (under the single agreement) that operate in separate sectors will appear as two approvals, with one approval recorded per sector. If they operate in the same sector, this will appear as two approvals recorded against the sector.</w:t>
      </w:r>
    </w:p>
    <w:p w14:paraId="61599AA4" w14:textId="77777777" w:rsidR="006E2066" w:rsidRPr="001A6701" w:rsidRDefault="00A84283" w:rsidP="006D64A2">
      <w:pPr>
        <w:pStyle w:val="ChartorTableNote"/>
      </w:pPr>
      <w:r w:rsidRPr="001A6701">
        <w:t>Totals may not add due to rounding.</w:t>
      </w:r>
    </w:p>
    <w:p w14:paraId="4804DE25" w14:textId="57F41E82" w:rsidR="00A84283" w:rsidRDefault="00A84283" w:rsidP="00406C1F">
      <w:pPr>
        <w:pStyle w:val="ChartorTableNote"/>
      </w:pPr>
      <w:r w:rsidRPr="001A6701">
        <w:t>Excludes corporate reorganisations (1</w:t>
      </w:r>
      <w:r w:rsidR="006E2066" w:rsidRPr="001A6701">
        <w:t>28</w:t>
      </w:r>
      <w:r w:rsidRPr="001A6701">
        <w:t xml:space="preserve"> approved in 201</w:t>
      </w:r>
      <w:r w:rsidR="006E2066" w:rsidRPr="001A6701">
        <w:t>8</w:t>
      </w:r>
      <w:r w:rsidR="0060602F">
        <w:noBreakHyphen/>
      </w:r>
      <w:r w:rsidRPr="001A6701">
        <w:t>1</w:t>
      </w:r>
      <w:r w:rsidR="006E2066" w:rsidRPr="001A6701">
        <w:t>9</w:t>
      </w:r>
      <w:r w:rsidRPr="001A6701">
        <w:t>) and new businesses (2</w:t>
      </w:r>
      <w:r w:rsidR="006E2066" w:rsidRPr="001A6701">
        <w:t>2 approved in 2018</w:t>
      </w:r>
      <w:r w:rsidR="0060602F">
        <w:noBreakHyphen/>
      </w:r>
      <w:r w:rsidRPr="001A6701">
        <w:t>1</w:t>
      </w:r>
      <w:r w:rsidR="006E2066" w:rsidRPr="001A6701">
        <w:t>9</w:t>
      </w:r>
      <w:r w:rsidRPr="001A6701">
        <w:t xml:space="preserve">), but includes all exemption certificates, including </w:t>
      </w:r>
      <w:r w:rsidR="00CB741B" w:rsidRPr="001A6701">
        <w:t>28</w:t>
      </w:r>
      <w:r w:rsidRPr="001A6701">
        <w:t xml:space="preserve"> business exemption certificates in 201</w:t>
      </w:r>
      <w:r w:rsidR="00CB741B" w:rsidRPr="001A6701">
        <w:t>8</w:t>
      </w:r>
      <w:r w:rsidR="0060602F">
        <w:noBreakHyphen/>
      </w:r>
      <w:r w:rsidRPr="001A6701">
        <w:t>1</w:t>
      </w:r>
      <w:r w:rsidR="00CB741B" w:rsidRPr="001A6701">
        <w:t>9</w:t>
      </w:r>
      <w:r w:rsidRPr="001A6701">
        <w:t xml:space="preserve"> for total proposed investment up to $</w:t>
      </w:r>
      <w:r w:rsidR="00CB741B" w:rsidRPr="001A6701">
        <w:t>2.6</w:t>
      </w:r>
      <w:r w:rsidR="0060602F">
        <w:t> </w:t>
      </w:r>
      <w:r w:rsidRPr="001A6701">
        <w:t>billion. Earlier year data has also been amended to exclude new business approvals as these are now separately reported on at Table 3.13.</w:t>
      </w:r>
    </w:p>
    <w:p w14:paraId="6FEA2CEE" w14:textId="35646838" w:rsidR="00A84283" w:rsidRPr="00406C1F" w:rsidRDefault="001A6701" w:rsidP="00406C1F">
      <w:pPr>
        <w:pStyle w:val="ChartorTableNote"/>
      </w:pPr>
      <w:r>
        <w:tab/>
      </w:r>
      <w:r w:rsidR="00A84283" w:rsidRPr="001A6701">
        <w:t>Data for 2015</w:t>
      </w:r>
      <w:r w:rsidR="0060602F">
        <w:noBreakHyphen/>
      </w:r>
      <w:r w:rsidR="00A84283" w:rsidRPr="001A6701">
        <w:t>16 onwards was impacted by the 1</w:t>
      </w:r>
      <w:r w:rsidR="0060602F">
        <w:t> December </w:t>
      </w:r>
      <w:r w:rsidR="00A84283" w:rsidRPr="001A6701">
        <w:t>2015 reforms. Data from 2016</w:t>
      </w:r>
      <w:r w:rsidR="0060602F">
        <w:noBreakHyphen/>
      </w:r>
      <w:r w:rsidR="00A84283" w:rsidRPr="001A6701">
        <w:t>17 onwards was impacted by the limiting foreign ownership in new developments reform announced in the 2017</w:t>
      </w:r>
      <w:r w:rsidR="0060602F">
        <w:noBreakHyphen/>
      </w:r>
      <w:r w:rsidR="00A84283" w:rsidRPr="001A6701">
        <w:t>18 Budget that had immediate effect from Budget night, 7.30</w:t>
      </w:r>
      <w:r w:rsidR="0060602F">
        <w:t> </w:t>
      </w:r>
      <w:r w:rsidR="00A84283" w:rsidRPr="001A6701">
        <w:t>pm on Tuesday</w:t>
      </w:r>
      <w:r w:rsidR="0060602F">
        <w:t>, 9 May </w:t>
      </w:r>
      <w:r w:rsidR="00A84283" w:rsidRPr="001A6701">
        <w:t>2017. The 2017</w:t>
      </w:r>
      <w:r w:rsidR="0060602F">
        <w:noBreakHyphen/>
      </w:r>
      <w:r w:rsidR="00A84283" w:rsidRPr="001A6701">
        <w:t>18 data was impacted by the other reforms announced in the 2017</w:t>
      </w:r>
      <w:r w:rsidR="0060602F">
        <w:noBreakHyphen/>
      </w:r>
      <w:r w:rsidR="00A84283" w:rsidRPr="001A6701">
        <w:t>18 Budget, which were given effect on 1</w:t>
      </w:r>
      <w:r w:rsidR="0060602F">
        <w:t> July </w:t>
      </w:r>
      <w:r w:rsidR="00A84283" w:rsidRPr="001A6701">
        <w:t>2017. These reforms may affect data comparability.</w:t>
      </w:r>
    </w:p>
    <w:p w14:paraId="05CAA7DE" w14:textId="1A2651A5" w:rsidR="00A84283" w:rsidRPr="006D64A2" w:rsidRDefault="00A84283" w:rsidP="008B5485">
      <w:pPr>
        <w:pStyle w:val="Heading3"/>
      </w:pPr>
      <w:r w:rsidRPr="006D64A2">
        <w:t>Agriculture, forestry and fishing</w:t>
      </w:r>
    </w:p>
    <w:p w14:paraId="4A96976F" w14:textId="56359A25" w:rsidR="00A84283" w:rsidRPr="00A84283" w:rsidRDefault="00147344" w:rsidP="002E2EFE">
      <w:r>
        <w:t>In 2018</w:t>
      </w:r>
      <w:r w:rsidR="0060602F">
        <w:noBreakHyphen/>
      </w:r>
      <w:r w:rsidR="00A84283" w:rsidRPr="00A84283">
        <w:t>1</w:t>
      </w:r>
      <w:r>
        <w:t>9, there were 197</w:t>
      </w:r>
      <w:r w:rsidR="00524D3B">
        <w:t xml:space="preserve"> approvals granted for $7.3</w:t>
      </w:r>
      <w:r w:rsidR="0060602F">
        <w:t> </w:t>
      </w:r>
      <w:r w:rsidR="00A84283" w:rsidRPr="00A84283">
        <w:t>billion worth of proposed investment in the agriculture, forestry and fishing sector. The largest source countries of investment by value in this sec</w:t>
      </w:r>
      <w:r>
        <w:t>t</w:t>
      </w:r>
      <w:r w:rsidR="00524D3B">
        <w:t>or were Canada ($1</w:t>
      </w:r>
      <w:r>
        <w:t>.6</w:t>
      </w:r>
      <w:r w:rsidR="0060602F">
        <w:t> </w:t>
      </w:r>
      <w:r>
        <w:t xml:space="preserve">billion) </w:t>
      </w:r>
      <w:r w:rsidR="00A84283" w:rsidRPr="00A84283">
        <w:t>and the United States ($</w:t>
      </w:r>
      <w:r w:rsidR="002467C0">
        <w:t>1.2</w:t>
      </w:r>
      <w:r w:rsidR="0060602F">
        <w:t> </w:t>
      </w:r>
      <w:r w:rsidR="00A84283" w:rsidRPr="00A84283">
        <w:t>billion).</w:t>
      </w:r>
    </w:p>
    <w:p w14:paraId="3E80BA0E" w14:textId="77777777" w:rsidR="00A84283" w:rsidRPr="006D64A2" w:rsidRDefault="00A84283" w:rsidP="008B5485">
      <w:pPr>
        <w:pStyle w:val="Heading3"/>
      </w:pPr>
      <w:r w:rsidRPr="006D64A2">
        <w:t>Finance and insurance</w:t>
      </w:r>
    </w:p>
    <w:p w14:paraId="6B6E8B97" w14:textId="4D4FCA3E" w:rsidR="00A84283" w:rsidRPr="00A84283" w:rsidRDefault="00A84283" w:rsidP="002E2EFE">
      <w:r w:rsidRPr="00A84283">
        <w:t>The value of approved proposed investment in the finan</w:t>
      </w:r>
      <w:r w:rsidR="00524D3B">
        <w:t>ce and insurance sector was $6.3</w:t>
      </w:r>
      <w:r w:rsidR="0060602F">
        <w:t> </w:t>
      </w:r>
      <w:r w:rsidRPr="00A84283">
        <w:t>billion in 201</w:t>
      </w:r>
      <w:r w:rsidR="00524D3B">
        <w:t>8</w:t>
      </w:r>
      <w:r w:rsidR="0060602F">
        <w:noBreakHyphen/>
      </w:r>
      <w:r w:rsidRPr="00A84283">
        <w:t>1</w:t>
      </w:r>
      <w:r w:rsidR="00524D3B">
        <w:t>9</w:t>
      </w:r>
      <w:r w:rsidRPr="00A84283">
        <w:t>. This was an increase of $</w:t>
      </w:r>
      <w:r w:rsidR="00524D3B">
        <w:t>0.3</w:t>
      </w:r>
      <w:r w:rsidR="0060602F">
        <w:t> </w:t>
      </w:r>
      <w:r w:rsidRPr="00A84283">
        <w:t xml:space="preserve">billion on the value of proposed investment </w:t>
      </w:r>
      <w:r w:rsidR="00211766">
        <w:t>compared to</w:t>
      </w:r>
      <w:r w:rsidRPr="00A84283">
        <w:t xml:space="preserve"> 201</w:t>
      </w:r>
      <w:r w:rsidR="001E3315">
        <w:t>7</w:t>
      </w:r>
      <w:r w:rsidR="0060602F">
        <w:noBreakHyphen/>
      </w:r>
      <w:r w:rsidRPr="00A84283">
        <w:t>1</w:t>
      </w:r>
      <w:r w:rsidR="001E3315">
        <w:t>8</w:t>
      </w:r>
      <w:r w:rsidRPr="00A84283">
        <w:t>.</w:t>
      </w:r>
    </w:p>
    <w:p w14:paraId="0AEE1E43" w14:textId="5B30A24D" w:rsidR="00A84283" w:rsidRPr="00A84283" w:rsidRDefault="001E3315" w:rsidP="002E2EFE">
      <w:r>
        <w:t>Japan</w:t>
      </w:r>
      <w:r w:rsidR="00A84283" w:rsidRPr="00A84283">
        <w:t xml:space="preserve"> was the largest source country of investment by value in this sector </w:t>
      </w:r>
      <w:r>
        <w:t>($4.1</w:t>
      </w:r>
      <w:r w:rsidR="0060602F">
        <w:t> </w:t>
      </w:r>
      <w:r>
        <w:t>billion)</w:t>
      </w:r>
      <w:r w:rsidR="00A84283" w:rsidRPr="00A84283">
        <w:t>,</w:t>
      </w:r>
      <w:r>
        <w:t xml:space="preserve"> mainly due to Mitsubishi UFJ Trust and Banking Corporation acquiring Colonial First State Global Asset Management from Commonwealth Bank of Australia for $4</w:t>
      </w:r>
      <w:r w:rsidR="0060602F">
        <w:t> </w:t>
      </w:r>
      <w:r>
        <w:t>billion</w:t>
      </w:r>
      <w:r w:rsidR="00A84283" w:rsidRPr="00A84283">
        <w:t>.</w:t>
      </w:r>
    </w:p>
    <w:p w14:paraId="6C0BB44C" w14:textId="77777777" w:rsidR="00A84283" w:rsidRPr="006D64A2" w:rsidRDefault="00A84283" w:rsidP="008B5485">
      <w:pPr>
        <w:pStyle w:val="Heading3"/>
      </w:pPr>
      <w:r w:rsidRPr="006D64A2">
        <w:lastRenderedPageBreak/>
        <w:t>Manufacturing, electricity and gas</w:t>
      </w:r>
    </w:p>
    <w:p w14:paraId="1810BE26" w14:textId="520EC043" w:rsidR="00A84283" w:rsidRPr="00A84283" w:rsidRDefault="00D65E9B" w:rsidP="002E2EFE">
      <w:r>
        <w:t xml:space="preserve">In 2018-19 there was </w:t>
      </w:r>
      <w:r w:rsidR="00A84283" w:rsidRPr="00A84283">
        <w:t>$</w:t>
      </w:r>
      <w:r w:rsidR="00675DD4">
        <w:t>36.7</w:t>
      </w:r>
      <w:r w:rsidR="0060602F">
        <w:t> </w:t>
      </w:r>
      <w:r w:rsidR="00A84283" w:rsidRPr="00A84283">
        <w:t>billion worth of proposed investment approved in the manufacturing, electricity and gas sector</w:t>
      </w:r>
      <w:r>
        <w:t>. This</w:t>
      </w:r>
      <w:r w:rsidR="00A84283" w:rsidRPr="00A84283">
        <w:t xml:space="preserve"> </w:t>
      </w:r>
      <w:r w:rsidR="00565F06">
        <w:t>represents</w:t>
      </w:r>
      <w:r w:rsidR="00565F06" w:rsidRPr="00A84283">
        <w:t xml:space="preserve"> </w:t>
      </w:r>
      <w:r w:rsidR="00675DD4">
        <w:t>a</w:t>
      </w:r>
      <w:r w:rsidR="00C70FDB">
        <w:t xml:space="preserve"> $20.1</w:t>
      </w:r>
      <w:r w:rsidR="0060602F">
        <w:t> </w:t>
      </w:r>
      <w:r w:rsidR="00675DD4">
        <w:t xml:space="preserve">billion increase on the value recorded in </w:t>
      </w:r>
      <w:r w:rsidR="00C70FDB">
        <w:t>2017</w:t>
      </w:r>
      <w:r w:rsidR="0060602F">
        <w:noBreakHyphen/>
      </w:r>
      <w:r w:rsidR="003608EA">
        <w:t>18</w:t>
      </w:r>
      <w:r>
        <w:t xml:space="preserve"> and </w:t>
      </w:r>
      <w:r w:rsidR="00C70FDB">
        <w:t>include</w:t>
      </w:r>
      <w:r w:rsidR="00D8583C">
        <w:t>s</w:t>
      </w:r>
      <w:r w:rsidR="00C70FDB">
        <w:t xml:space="preserve"> a </w:t>
      </w:r>
      <w:r w:rsidR="00C70FDB" w:rsidRPr="008E1C9A">
        <w:t>$16.6</w:t>
      </w:r>
      <w:r w:rsidR="0060602F">
        <w:t> </w:t>
      </w:r>
      <w:r w:rsidR="00C70FDB" w:rsidRPr="008E1C9A">
        <w:t>billion</w:t>
      </w:r>
      <w:r w:rsidR="00C70FDB">
        <w:t xml:space="preserve"> corporate restructure</w:t>
      </w:r>
      <w:r w:rsidR="00A84283" w:rsidRPr="00A84283">
        <w:t>.</w:t>
      </w:r>
    </w:p>
    <w:p w14:paraId="43C38F47" w14:textId="0B7A4B39" w:rsidR="007A6762" w:rsidRDefault="00A84283" w:rsidP="002E2EFE">
      <w:r w:rsidRPr="00A84283">
        <w:t xml:space="preserve">The </w:t>
      </w:r>
      <w:r w:rsidR="00C70FDB">
        <w:t>increase</w:t>
      </w:r>
      <w:r w:rsidRPr="00A84283">
        <w:t xml:space="preserve"> was </w:t>
      </w:r>
      <w:r w:rsidR="00565F06">
        <w:t xml:space="preserve">also </w:t>
      </w:r>
      <w:r w:rsidRPr="00A84283">
        <w:t xml:space="preserve">driven by a </w:t>
      </w:r>
      <w:r w:rsidR="00974174" w:rsidRPr="00974174">
        <w:t>$4.2</w:t>
      </w:r>
      <w:r w:rsidR="0060602F">
        <w:t> </w:t>
      </w:r>
      <w:r w:rsidR="00974174" w:rsidRPr="00974174">
        <w:t xml:space="preserve">billion increase in the value of approvals in the specialised chemical sector during the year, with Australian subsidiaries sold as part of global transactions. </w:t>
      </w:r>
    </w:p>
    <w:p w14:paraId="6608313A" w14:textId="50CB3AF1" w:rsidR="00974174" w:rsidRPr="00974174" w:rsidRDefault="00974174" w:rsidP="002E2EFE">
      <w:r w:rsidRPr="00974174">
        <w:t>Electricity and gas supply sales continue</w:t>
      </w:r>
      <w:r w:rsidR="00565F06">
        <w:t>d</w:t>
      </w:r>
      <w:r w:rsidRPr="00974174">
        <w:t xml:space="preserve"> their decline from prior year highs </w:t>
      </w:r>
      <w:r w:rsidR="002B0AF6">
        <w:t xml:space="preserve">as a result of more limited </w:t>
      </w:r>
      <w:r w:rsidRPr="00974174">
        <w:t xml:space="preserve">government privatisation activity. Activity in the </w:t>
      </w:r>
      <w:r w:rsidR="00D86A69">
        <w:t>‘</w:t>
      </w:r>
      <w:r w:rsidRPr="00974174">
        <w:t>other</w:t>
      </w:r>
      <w:r w:rsidR="00D86A69">
        <w:t>’</w:t>
      </w:r>
      <w:r w:rsidRPr="00974174">
        <w:t xml:space="preserve"> category was boosted by Nippon Paint</w:t>
      </w:r>
      <w:r w:rsidR="00D86A69">
        <w:t>’s</w:t>
      </w:r>
      <w:r w:rsidRPr="00974174">
        <w:t xml:space="preserve"> </w:t>
      </w:r>
      <w:r w:rsidR="00D86A69">
        <w:t xml:space="preserve">acquisition of </w:t>
      </w:r>
      <w:r w:rsidRPr="00974174">
        <w:t>DuluxGroup in a $3.8</w:t>
      </w:r>
      <w:r w:rsidR="0060602F">
        <w:t> </w:t>
      </w:r>
      <w:r w:rsidRPr="00974174">
        <w:t>billion transaction.</w:t>
      </w:r>
    </w:p>
    <w:p w14:paraId="77E457D1" w14:textId="590B5CA9" w:rsidR="00974174" w:rsidRDefault="00974174" w:rsidP="002E2EFE">
      <w:r w:rsidRPr="00974174">
        <w:t xml:space="preserve">Japan was the largest source country of investment by value in </w:t>
      </w:r>
      <w:r w:rsidR="007A6762">
        <w:t>this</w:t>
      </w:r>
      <w:r w:rsidRPr="00974174">
        <w:t xml:space="preserve"> </w:t>
      </w:r>
      <w:r w:rsidR="007A6762">
        <w:t xml:space="preserve">sector </w:t>
      </w:r>
      <w:r w:rsidRPr="00974174">
        <w:t>($4.7</w:t>
      </w:r>
      <w:r w:rsidR="0060602F">
        <w:t> </w:t>
      </w:r>
      <w:r w:rsidRPr="00974174">
        <w:t>billion), followed by Singapore ($3.1</w:t>
      </w:r>
      <w:r w:rsidR="0060602F">
        <w:t> </w:t>
      </w:r>
      <w:r w:rsidRPr="00974174">
        <w:t>billion) and the United States ($2.6</w:t>
      </w:r>
      <w:r w:rsidR="0060602F">
        <w:t> </w:t>
      </w:r>
      <w:r w:rsidRPr="00974174">
        <w:t>billion).</w:t>
      </w:r>
    </w:p>
    <w:p w14:paraId="0E240C4A" w14:textId="2230C9CD" w:rsidR="00A84283" w:rsidRPr="0060602F" w:rsidRDefault="00A84283" w:rsidP="0060602F">
      <w:pPr>
        <w:pStyle w:val="TableMainHeading"/>
      </w:pPr>
      <w:bookmarkStart w:id="100" w:name="_Toc32247766"/>
      <w:bookmarkStart w:id="101" w:name="_Toc33521351"/>
      <w:r w:rsidRPr="0060602F">
        <w:t>Table 3.5: Manufacturing, electricity and gas sector approvals: 201</w:t>
      </w:r>
      <w:r w:rsidR="00E63A34" w:rsidRPr="0060602F">
        <w:t>5–16 to 2018</w:t>
      </w:r>
      <w:r w:rsidRPr="0060602F">
        <w:t>–1</w:t>
      </w:r>
      <w:r w:rsidR="00E63A34" w:rsidRPr="0060602F">
        <w:t>9</w:t>
      </w:r>
      <w:bookmarkEnd w:id="100"/>
      <w:bookmarkEnd w:id="101"/>
    </w:p>
    <w:tbl>
      <w:tblPr>
        <w:tblW w:w="5000" w:type="pct"/>
        <w:tblLook w:val="04A0" w:firstRow="1" w:lastRow="0" w:firstColumn="1" w:lastColumn="0" w:noHBand="0" w:noVBand="1"/>
      </w:tblPr>
      <w:tblGrid>
        <w:gridCol w:w="3178"/>
        <w:gridCol w:w="513"/>
        <w:gridCol w:w="640"/>
        <w:gridCol w:w="513"/>
        <w:gridCol w:w="614"/>
        <w:gridCol w:w="513"/>
        <w:gridCol w:w="614"/>
        <w:gridCol w:w="513"/>
        <w:gridCol w:w="612"/>
      </w:tblGrid>
      <w:tr w:rsidR="008548BE" w:rsidRPr="008548BE" w14:paraId="3B88C208" w14:textId="77777777" w:rsidTr="00CB5DF7">
        <w:trPr>
          <w:trHeight w:val="225"/>
        </w:trPr>
        <w:tc>
          <w:tcPr>
            <w:tcW w:w="2060" w:type="pct"/>
            <w:tcBorders>
              <w:top w:val="single" w:sz="2" w:space="0" w:color="000000" w:themeColor="text1"/>
              <w:left w:val="nil"/>
              <w:bottom w:val="nil"/>
              <w:right w:val="nil"/>
            </w:tcBorders>
            <w:shd w:val="clear" w:color="000000" w:fill="FFFFFF"/>
            <w:noWrap/>
            <w:vAlign w:val="center"/>
            <w:hideMark/>
          </w:tcPr>
          <w:p w14:paraId="5F340B60" w14:textId="0D304D0E" w:rsidR="008548BE" w:rsidRPr="008548BE" w:rsidRDefault="008548BE">
            <w:pPr>
              <w:spacing w:after="0" w:line="240" w:lineRule="auto"/>
              <w:jc w:val="left"/>
              <w:rPr>
                <w:rFonts w:ascii="Calibri" w:hAnsi="Calibri" w:cs="Calibri"/>
                <w:sz w:val="22"/>
                <w:szCs w:val="22"/>
              </w:rPr>
            </w:pPr>
          </w:p>
        </w:tc>
        <w:tc>
          <w:tcPr>
            <w:tcW w:w="748" w:type="pct"/>
            <w:gridSpan w:val="2"/>
            <w:tcBorders>
              <w:top w:val="single" w:sz="2" w:space="0" w:color="000000" w:themeColor="text1"/>
              <w:left w:val="nil"/>
              <w:right w:val="nil"/>
            </w:tcBorders>
            <w:shd w:val="clear" w:color="000000" w:fill="FFFFFF"/>
            <w:noWrap/>
            <w:vAlign w:val="center"/>
            <w:hideMark/>
          </w:tcPr>
          <w:p w14:paraId="6AA55BC8"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2015-16</w:t>
            </w:r>
          </w:p>
        </w:tc>
        <w:tc>
          <w:tcPr>
            <w:tcW w:w="731" w:type="pct"/>
            <w:gridSpan w:val="2"/>
            <w:tcBorders>
              <w:top w:val="single" w:sz="2" w:space="0" w:color="000000" w:themeColor="text1"/>
              <w:left w:val="nil"/>
              <w:right w:val="nil"/>
            </w:tcBorders>
            <w:shd w:val="clear" w:color="000000" w:fill="FFFFFF"/>
            <w:noWrap/>
            <w:vAlign w:val="center"/>
            <w:hideMark/>
          </w:tcPr>
          <w:p w14:paraId="64BEF5CD"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2016-17</w:t>
            </w:r>
          </w:p>
        </w:tc>
        <w:tc>
          <w:tcPr>
            <w:tcW w:w="731" w:type="pct"/>
            <w:gridSpan w:val="2"/>
            <w:tcBorders>
              <w:top w:val="single" w:sz="2" w:space="0" w:color="000000" w:themeColor="text1"/>
              <w:left w:val="nil"/>
              <w:right w:val="nil"/>
            </w:tcBorders>
            <w:shd w:val="clear" w:color="auto" w:fill="auto"/>
            <w:noWrap/>
            <w:vAlign w:val="center"/>
            <w:hideMark/>
          </w:tcPr>
          <w:p w14:paraId="0CE893C4"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2017-18</w:t>
            </w:r>
          </w:p>
        </w:tc>
        <w:tc>
          <w:tcPr>
            <w:tcW w:w="731" w:type="pct"/>
            <w:gridSpan w:val="2"/>
            <w:tcBorders>
              <w:top w:val="single" w:sz="2" w:space="0" w:color="000000" w:themeColor="text1"/>
              <w:left w:val="nil"/>
              <w:right w:val="nil"/>
            </w:tcBorders>
            <w:shd w:val="clear" w:color="000000" w:fill="F2F2F2"/>
            <w:noWrap/>
            <w:vAlign w:val="center"/>
            <w:hideMark/>
          </w:tcPr>
          <w:p w14:paraId="517974F5"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2018-19</w:t>
            </w:r>
          </w:p>
        </w:tc>
      </w:tr>
      <w:tr w:rsidR="008548BE" w:rsidRPr="008548BE" w14:paraId="46EBB0A9" w14:textId="77777777" w:rsidTr="00CB5DF7">
        <w:trPr>
          <w:trHeight w:val="225"/>
        </w:trPr>
        <w:tc>
          <w:tcPr>
            <w:tcW w:w="2060" w:type="pct"/>
            <w:tcBorders>
              <w:top w:val="nil"/>
              <w:left w:val="nil"/>
              <w:bottom w:val="single" w:sz="2" w:space="0" w:color="000000" w:themeColor="text1"/>
              <w:right w:val="nil"/>
            </w:tcBorders>
            <w:shd w:val="clear" w:color="000000" w:fill="FFFFFF"/>
            <w:vAlign w:val="center"/>
            <w:hideMark/>
          </w:tcPr>
          <w:p w14:paraId="08887D62" w14:textId="77777777" w:rsidR="008548BE" w:rsidRPr="008548BE" w:rsidRDefault="008548BE" w:rsidP="008548BE">
            <w:pPr>
              <w:spacing w:after="0" w:line="240" w:lineRule="auto"/>
              <w:jc w:val="left"/>
              <w:rPr>
                <w:rFonts w:ascii="Arial" w:hAnsi="Arial" w:cs="Arial"/>
                <w:color w:val="auto"/>
                <w:sz w:val="16"/>
                <w:szCs w:val="16"/>
              </w:rPr>
            </w:pPr>
            <w:r w:rsidRPr="008548BE">
              <w:rPr>
                <w:rFonts w:ascii="Arial" w:hAnsi="Arial" w:cs="Arial"/>
                <w:color w:val="auto"/>
                <w:sz w:val="16"/>
                <w:szCs w:val="16"/>
              </w:rPr>
              <w:t>Group</w:t>
            </w:r>
          </w:p>
        </w:tc>
        <w:tc>
          <w:tcPr>
            <w:tcW w:w="333" w:type="pct"/>
            <w:tcBorders>
              <w:left w:val="nil"/>
              <w:bottom w:val="single" w:sz="2" w:space="0" w:color="000000" w:themeColor="text1"/>
              <w:right w:val="nil"/>
            </w:tcBorders>
            <w:shd w:val="clear" w:color="000000" w:fill="FFFFFF"/>
            <w:vAlign w:val="center"/>
            <w:hideMark/>
          </w:tcPr>
          <w:p w14:paraId="773ECF39"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No.</w:t>
            </w:r>
          </w:p>
        </w:tc>
        <w:tc>
          <w:tcPr>
            <w:tcW w:w="415" w:type="pct"/>
            <w:tcBorders>
              <w:left w:val="nil"/>
              <w:bottom w:val="single" w:sz="2" w:space="0" w:color="000000" w:themeColor="text1"/>
              <w:right w:val="nil"/>
            </w:tcBorders>
            <w:shd w:val="clear" w:color="000000" w:fill="FFFFFF"/>
            <w:vAlign w:val="bottom"/>
            <w:hideMark/>
          </w:tcPr>
          <w:p w14:paraId="3FA0A782"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$b</w:t>
            </w:r>
          </w:p>
        </w:tc>
        <w:tc>
          <w:tcPr>
            <w:tcW w:w="333" w:type="pct"/>
            <w:tcBorders>
              <w:left w:val="nil"/>
              <w:bottom w:val="single" w:sz="2" w:space="0" w:color="000000" w:themeColor="text1"/>
              <w:right w:val="nil"/>
            </w:tcBorders>
            <w:shd w:val="clear" w:color="000000" w:fill="FFFFFF"/>
            <w:vAlign w:val="center"/>
            <w:hideMark/>
          </w:tcPr>
          <w:p w14:paraId="1146EBFD"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No.</w:t>
            </w:r>
          </w:p>
        </w:tc>
        <w:tc>
          <w:tcPr>
            <w:tcW w:w="398" w:type="pct"/>
            <w:tcBorders>
              <w:left w:val="nil"/>
              <w:bottom w:val="single" w:sz="2" w:space="0" w:color="000000" w:themeColor="text1"/>
              <w:right w:val="nil"/>
            </w:tcBorders>
            <w:shd w:val="clear" w:color="000000" w:fill="FFFFFF"/>
            <w:vAlign w:val="bottom"/>
            <w:hideMark/>
          </w:tcPr>
          <w:p w14:paraId="68D80081"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$b</w:t>
            </w:r>
          </w:p>
        </w:tc>
        <w:tc>
          <w:tcPr>
            <w:tcW w:w="333" w:type="pct"/>
            <w:tcBorders>
              <w:left w:val="nil"/>
              <w:bottom w:val="single" w:sz="2" w:space="0" w:color="000000" w:themeColor="text1"/>
              <w:right w:val="nil"/>
            </w:tcBorders>
            <w:shd w:val="clear" w:color="000000" w:fill="FFFFFF"/>
            <w:vAlign w:val="center"/>
            <w:hideMark/>
          </w:tcPr>
          <w:p w14:paraId="41984C86"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No.</w:t>
            </w:r>
          </w:p>
        </w:tc>
        <w:tc>
          <w:tcPr>
            <w:tcW w:w="398" w:type="pct"/>
            <w:tcBorders>
              <w:left w:val="nil"/>
              <w:bottom w:val="single" w:sz="2" w:space="0" w:color="000000" w:themeColor="text1"/>
              <w:right w:val="nil"/>
            </w:tcBorders>
            <w:shd w:val="clear" w:color="000000" w:fill="FFFFFF"/>
            <w:vAlign w:val="bottom"/>
            <w:hideMark/>
          </w:tcPr>
          <w:p w14:paraId="0ABC8D98"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$b</w:t>
            </w:r>
          </w:p>
        </w:tc>
        <w:tc>
          <w:tcPr>
            <w:tcW w:w="333" w:type="pct"/>
            <w:tcBorders>
              <w:left w:val="nil"/>
              <w:bottom w:val="single" w:sz="2" w:space="0" w:color="000000" w:themeColor="text1"/>
              <w:right w:val="nil"/>
            </w:tcBorders>
            <w:shd w:val="clear" w:color="000000" w:fill="F2F2F2"/>
            <w:vAlign w:val="center"/>
            <w:hideMark/>
          </w:tcPr>
          <w:p w14:paraId="7E90BCAF"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No.</w:t>
            </w:r>
          </w:p>
        </w:tc>
        <w:tc>
          <w:tcPr>
            <w:tcW w:w="398" w:type="pct"/>
            <w:tcBorders>
              <w:left w:val="nil"/>
              <w:bottom w:val="single" w:sz="2" w:space="0" w:color="000000" w:themeColor="text1"/>
              <w:right w:val="nil"/>
            </w:tcBorders>
            <w:shd w:val="clear" w:color="000000" w:fill="F2F2F2"/>
            <w:vAlign w:val="bottom"/>
            <w:hideMark/>
          </w:tcPr>
          <w:p w14:paraId="11A375D2"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$b</w:t>
            </w:r>
          </w:p>
        </w:tc>
      </w:tr>
      <w:tr w:rsidR="008548BE" w:rsidRPr="008548BE" w14:paraId="526597C0" w14:textId="77777777" w:rsidTr="00CB5DF7">
        <w:trPr>
          <w:trHeight w:val="450"/>
        </w:trPr>
        <w:tc>
          <w:tcPr>
            <w:tcW w:w="2060" w:type="pct"/>
            <w:tcBorders>
              <w:top w:val="single" w:sz="2" w:space="0" w:color="000000" w:themeColor="text1"/>
              <w:left w:val="nil"/>
              <w:bottom w:val="nil"/>
              <w:right w:val="nil"/>
            </w:tcBorders>
            <w:shd w:val="clear" w:color="000000" w:fill="FFFFFF"/>
            <w:vAlign w:val="center"/>
            <w:hideMark/>
          </w:tcPr>
          <w:p w14:paraId="5AE52626" w14:textId="77777777" w:rsidR="008548BE" w:rsidRPr="008548BE" w:rsidRDefault="008548BE" w:rsidP="008548BE">
            <w:pPr>
              <w:spacing w:after="0" w:line="240" w:lineRule="auto"/>
              <w:jc w:val="left"/>
              <w:rPr>
                <w:rFonts w:ascii="Arial" w:hAnsi="Arial" w:cs="Arial"/>
                <w:color w:val="auto"/>
                <w:sz w:val="16"/>
                <w:szCs w:val="16"/>
              </w:rPr>
            </w:pPr>
            <w:r w:rsidRPr="008548BE">
              <w:rPr>
                <w:rFonts w:ascii="Arial" w:hAnsi="Arial" w:cs="Arial"/>
                <w:color w:val="auto"/>
                <w:sz w:val="16"/>
                <w:szCs w:val="16"/>
              </w:rPr>
              <w:t>Chemical, petroleum &amp;</w:t>
            </w:r>
            <w:r w:rsidRPr="008548BE">
              <w:rPr>
                <w:rFonts w:ascii="Arial" w:hAnsi="Arial" w:cs="Arial"/>
                <w:color w:val="auto"/>
                <w:sz w:val="16"/>
                <w:szCs w:val="16"/>
              </w:rPr>
              <w:br/>
              <w:t xml:space="preserve">  coal products</w:t>
            </w:r>
          </w:p>
        </w:tc>
        <w:tc>
          <w:tcPr>
            <w:tcW w:w="333" w:type="pct"/>
            <w:tcBorders>
              <w:top w:val="single" w:sz="2" w:space="0" w:color="000000" w:themeColor="text1"/>
              <w:left w:val="nil"/>
              <w:bottom w:val="nil"/>
              <w:right w:val="nil"/>
            </w:tcBorders>
            <w:shd w:val="clear" w:color="000000" w:fill="FFFFFF"/>
            <w:noWrap/>
            <w:vAlign w:val="center"/>
            <w:hideMark/>
          </w:tcPr>
          <w:p w14:paraId="23F56915"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6</w:t>
            </w:r>
          </w:p>
        </w:tc>
        <w:tc>
          <w:tcPr>
            <w:tcW w:w="415" w:type="pct"/>
            <w:tcBorders>
              <w:top w:val="single" w:sz="2" w:space="0" w:color="000000" w:themeColor="text1"/>
              <w:left w:val="nil"/>
              <w:bottom w:val="nil"/>
              <w:right w:val="nil"/>
            </w:tcBorders>
            <w:shd w:val="clear" w:color="000000" w:fill="FFFFFF"/>
            <w:noWrap/>
            <w:vAlign w:val="center"/>
            <w:hideMark/>
          </w:tcPr>
          <w:p w14:paraId="18CD05FA" w14:textId="195DF518"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1.2</w:t>
            </w:r>
          </w:p>
        </w:tc>
        <w:tc>
          <w:tcPr>
            <w:tcW w:w="333" w:type="pct"/>
            <w:tcBorders>
              <w:top w:val="single" w:sz="2" w:space="0" w:color="000000" w:themeColor="text1"/>
              <w:left w:val="nil"/>
              <w:bottom w:val="nil"/>
              <w:right w:val="nil"/>
            </w:tcBorders>
            <w:shd w:val="clear" w:color="000000" w:fill="FFFFFF"/>
            <w:noWrap/>
            <w:vAlign w:val="center"/>
            <w:hideMark/>
          </w:tcPr>
          <w:p w14:paraId="0C6AF5E8"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w:t>
            </w:r>
          </w:p>
        </w:tc>
        <w:tc>
          <w:tcPr>
            <w:tcW w:w="398" w:type="pct"/>
            <w:tcBorders>
              <w:top w:val="single" w:sz="2" w:space="0" w:color="000000" w:themeColor="text1"/>
              <w:left w:val="nil"/>
              <w:bottom w:val="nil"/>
              <w:right w:val="nil"/>
            </w:tcBorders>
            <w:shd w:val="clear" w:color="000000" w:fill="FFFFFF"/>
            <w:noWrap/>
            <w:vAlign w:val="center"/>
            <w:hideMark/>
          </w:tcPr>
          <w:p w14:paraId="7E686D97"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1.0</w:t>
            </w:r>
          </w:p>
        </w:tc>
        <w:tc>
          <w:tcPr>
            <w:tcW w:w="333" w:type="pct"/>
            <w:tcBorders>
              <w:top w:val="single" w:sz="2" w:space="0" w:color="000000" w:themeColor="text1"/>
              <w:left w:val="nil"/>
              <w:bottom w:val="nil"/>
              <w:right w:val="nil"/>
            </w:tcBorders>
            <w:shd w:val="clear" w:color="000000" w:fill="FFFFFF"/>
            <w:noWrap/>
            <w:vAlign w:val="center"/>
            <w:hideMark/>
          </w:tcPr>
          <w:p w14:paraId="07412F6C"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w:t>
            </w:r>
          </w:p>
        </w:tc>
        <w:tc>
          <w:tcPr>
            <w:tcW w:w="398" w:type="pct"/>
            <w:tcBorders>
              <w:top w:val="single" w:sz="2" w:space="0" w:color="000000" w:themeColor="text1"/>
              <w:left w:val="nil"/>
              <w:bottom w:val="nil"/>
              <w:right w:val="nil"/>
            </w:tcBorders>
            <w:shd w:val="clear" w:color="000000" w:fill="FFFFFF"/>
            <w:noWrap/>
            <w:vAlign w:val="center"/>
            <w:hideMark/>
          </w:tcPr>
          <w:p w14:paraId="6AC4F58F"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0.3</w:t>
            </w:r>
          </w:p>
        </w:tc>
        <w:tc>
          <w:tcPr>
            <w:tcW w:w="333" w:type="pct"/>
            <w:tcBorders>
              <w:top w:val="single" w:sz="2" w:space="0" w:color="000000" w:themeColor="text1"/>
              <w:left w:val="nil"/>
              <w:bottom w:val="nil"/>
              <w:right w:val="nil"/>
            </w:tcBorders>
            <w:shd w:val="clear" w:color="000000" w:fill="F2F2F2"/>
            <w:noWrap/>
            <w:vAlign w:val="center"/>
            <w:hideMark/>
          </w:tcPr>
          <w:p w14:paraId="210D590D"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4</w:t>
            </w:r>
          </w:p>
        </w:tc>
        <w:tc>
          <w:tcPr>
            <w:tcW w:w="398" w:type="pct"/>
            <w:tcBorders>
              <w:top w:val="single" w:sz="2" w:space="0" w:color="000000" w:themeColor="text1"/>
              <w:left w:val="nil"/>
              <w:bottom w:val="nil"/>
              <w:right w:val="nil"/>
            </w:tcBorders>
            <w:shd w:val="clear" w:color="000000" w:fill="F2F2F2"/>
            <w:noWrap/>
            <w:vAlign w:val="center"/>
            <w:hideMark/>
          </w:tcPr>
          <w:p w14:paraId="181E02FE"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4.4</w:t>
            </w:r>
          </w:p>
        </w:tc>
      </w:tr>
      <w:tr w:rsidR="008548BE" w:rsidRPr="008548BE" w14:paraId="5058C067" w14:textId="77777777" w:rsidTr="00CD3853">
        <w:trPr>
          <w:trHeight w:val="225"/>
        </w:trPr>
        <w:tc>
          <w:tcPr>
            <w:tcW w:w="2060" w:type="pct"/>
            <w:tcBorders>
              <w:top w:val="nil"/>
              <w:left w:val="nil"/>
              <w:bottom w:val="nil"/>
              <w:right w:val="nil"/>
            </w:tcBorders>
            <w:shd w:val="clear" w:color="000000" w:fill="FFFFFF"/>
            <w:noWrap/>
            <w:vAlign w:val="center"/>
            <w:hideMark/>
          </w:tcPr>
          <w:p w14:paraId="1E7B738C" w14:textId="77777777" w:rsidR="008548BE" w:rsidRPr="008548BE" w:rsidRDefault="008548BE" w:rsidP="008548BE">
            <w:pPr>
              <w:spacing w:after="0" w:line="240" w:lineRule="auto"/>
              <w:jc w:val="left"/>
              <w:rPr>
                <w:rFonts w:ascii="Arial" w:hAnsi="Arial" w:cs="Arial"/>
                <w:color w:val="auto"/>
                <w:sz w:val="16"/>
                <w:szCs w:val="16"/>
              </w:rPr>
            </w:pPr>
            <w:r w:rsidRPr="008548BE">
              <w:rPr>
                <w:rFonts w:ascii="Arial" w:hAnsi="Arial" w:cs="Arial"/>
                <w:color w:val="auto"/>
                <w:sz w:val="16"/>
                <w:szCs w:val="16"/>
              </w:rPr>
              <w:t>Electricity &amp; gas supply</w:t>
            </w:r>
          </w:p>
        </w:tc>
        <w:tc>
          <w:tcPr>
            <w:tcW w:w="333" w:type="pct"/>
            <w:tcBorders>
              <w:top w:val="nil"/>
              <w:left w:val="nil"/>
              <w:bottom w:val="nil"/>
              <w:right w:val="nil"/>
            </w:tcBorders>
            <w:shd w:val="clear" w:color="000000" w:fill="FFFFFF"/>
            <w:noWrap/>
            <w:vAlign w:val="center"/>
            <w:hideMark/>
          </w:tcPr>
          <w:p w14:paraId="010C90B0"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37</w:t>
            </w:r>
          </w:p>
        </w:tc>
        <w:tc>
          <w:tcPr>
            <w:tcW w:w="415" w:type="pct"/>
            <w:tcBorders>
              <w:top w:val="nil"/>
              <w:left w:val="nil"/>
              <w:bottom w:val="nil"/>
              <w:right w:val="nil"/>
            </w:tcBorders>
            <w:shd w:val="clear" w:color="000000" w:fill="FFFFFF"/>
            <w:noWrap/>
            <w:vAlign w:val="center"/>
            <w:hideMark/>
          </w:tcPr>
          <w:p w14:paraId="5A1766B5" w14:textId="6BF9C4EC"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41.2</w:t>
            </w:r>
          </w:p>
        </w:tc>
        <w:tc>
          <w:tcPr>
            <w:tcW w:w="333" w:type="pct"/>
            <w:tcBorders>
              <w:top w:val="nil"/>
              <w:left w:val="nil"/>
              <w:bottom w:val="nil"/>
              <w:right w:val="nil"/>
            </w:tcBorders>
            <w:shd w:val="clear" w:color="000000" w:fill="FFFFFF"/>
            <w:noWrap/>
            <w:vAlign w:val="center"/>
            <w:hideMark/>
          </w:tcPr>
          <w:p w14:paraId="4ECC257D"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37</w:t>
            </w:r>
          </w:p>
        </w:tc>
        <w:tc>
          <w:tcPr>
            <w:tcW w:w="398" w:type="pct"/>
            <w:tcBorders>
              <w:top w:val="nil"/>
              <w:left w:val="nil"/>
              <w:bottom w:val="nil"/>
              <w:right w:val="nil"/>
            </w:tcBorders>
            <w:shd w:val="clear" w:color="000000" w:fill="FFFFFF"/>
            <w:noWrap/>
            <w:vAlign w:val="center"/>
            <w:hideMark/>
          </w:tcPr>
          <w:p w14:paraId="08C71BC2"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33.5</w:t>
            </w:r>
          </w:p>
        </w:tc>
        <w:tc>
          <w:tcPr>
            <w:tcW w:w="333" w:type="pct"/>
            <w:tcBorders>
              <w:top w:val="nil"/>
              <w:left w:val="nil"/>
              <w:bottom w:val="nil"/>
              <w:right w:val="nil"/>
            </w:tcBorders>
            <w:shd w:val="clear" w:color="000000" w:fill="FFFFFF"/>
            <w:noWrap/>
            <w:vAlign w:val="center"/>
            <w:hideMark/>
          </w:tcPr>
          <w:p w14:paraId="598091CE"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52</w:t>
            </w:r>
          </w:p>
        </w:tc>
        <w:tc>
          <w:tcPr>
            <w:tcW w:w="398" w:type="pct"/>
            <w:tcBorders>
              <w:top w:val="nil"/>
              <w:left w:val="nil"/>
              <w:bottom w:val="nil"/>
              <w:right w:val="nil"/>
            </w:tcBorders>
            <w:shd w:val="clear" w:color="000000" w:fill="FFFFFF"/>
            <w:noWrap/>
            <w:vAlign w:val="center"/>
            <w:hideMark/>
          </w:tcPr>
          <w:p w14:paraId="34666BBF"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9.3</w:t>
            </w:r>
          </w:p>
        </w:tc>
        <w:tc>
          <w:tcPr>
            <w:tcW w:w="333" w:type="pct"/>
            <w:tcBorders>
              <w:top w:val="nil"/>
              <w:left w:val="nil"/>
              <w:bottom w:val="nil"/>
              <w:right w:val="nil"/>
            </w:tcBorders>
            <w:shd w:val="clear" w:color="000000" w:fill="F2F2F2"/>
            <w:noWrap/>
            <w:vAlign w:val="center"/>
            <w:hideMark/>
          </w:tcPr>
          <w:p w14:paraId="5840450B"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47</w:t>
            </w:r>
          </w:p>
        </w:tc>
        <w:tc>
          <w:tcPr>
            <w:tcW w:w="398" w:type="pct"/>
            <w:tcBorders>
              <w:top w:val="nil"/>
              <w:left w:val="nil"/>
              <w:bottom w:val="nil"/>
              <w:right w:val="nil"/>
            </w:tcBorders>
            <w:shd w:val="clear" w:color="000000" w:fill="F2F2F2"/>
            <w:noWrap/>
            <w:vAlign w:val="center"/>
            <w:hideMark/>
          </w:tcPr>
          <w:p w14:paraId="34A59BDA"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3.7</w:t>
            </w:r>
          </w:p>
        </w:tc>
      </w:tr>
      <w:tr w:rsidR="008548BE" w:rsidRPr="008548BE" w14:paraId="233162D8" w14:textId="77777777" w:rsidTr="00CD3853">
        <w:trPr>
          <w:trHeight w:val="225"/>
        </w:trPr>
        <w:tc>
          <w:tcPr>
            <w:tcW w:w="2060" w:type="pct"/>
            <w:tcBorders>
              <w:top w:val="nil"/>
              <w:left w:val="nil"/>
              <w:bottom w:val="nil"/>
              <w:right w:val="nil"/>
            </w:tcBorders>
            <w:shd w:val="clear" w:color="000000" w:fill="FFFFFF"/>
            <w:noWrap/>
            <w:vAlign w:val="center"/>
            <w:hideMark/>
          </w:tcPr>
          <w:p w14:paraId="77DA10D2" w14:textId="77777777" w:rsidR="008548BE" w:rsidRPr="008548BE" w:rsidRDefault="008548BE" w:rsidP="008548BE">
            <w:pPr>
              <w:spacing w:after="0" w:line="240" w:lineRule="auto"/>
              <w:jc w:val="left"/>
              <w:rPr>
                <w:rFonts w:ascii="Arial" w:hAnsi="Arial" w:cs="Arial"/>
                <w:color w:val="auto"/>
                <w:sz w:val="16"/>
                <w:szCs w:val="16"/>
              </w:rPr>
            </w:pPr>
            <w:r w:rsidRPr="008548BE">
              <w:rPr>
                <w:rFonts w:ascii="Arial" w:hAnsi="Arial" w:cs="Arial"/>
                <w:color w:val="auto"/>
                <w:sz w:val="16"/>
                <w:szCs w:val="16"/>
              </w:rPr>
              <w:t>Food, beverages &amp; tobacco</w:t>
            </w:r>
          </w:p>
        </w:tc>
        <w:tc>
          <w:tcPr>
            <w:tcW w:w="333" w:type="pct"/>
            <w:tcBorders>
              <w:top w:val="nil"/>
              <w:left w:val="nil"/>
              <w:bottom w:val="nil"/>
              <w:right w:val="nil"/>
            </w:tcBorders>
            <w:shd w:val="clear" w:color="000000" w:fill="FFFFFF"/>
            <w:noWrap/>
            <w:vAlign w:val="center"/>
            <w:hideMark/>
          </w:tcPr>
          <w:p w14:paraId="03C44D97"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11</w:t>
            </w:r>
          </w:p>
        </w:tc>
        <w:tc>
          <w:tcPr>
            <w:tcW w:w="415" w:type="pct"/>
            <w:tcBorders>
              <w:top w:val="nil"/>
              <w:left w:val="nil"/>
              <w:bottom w:val="nil"/>
              <w:right w:val="nil"/>
            </w:tcBorders>
            <w:shd w:val="clear" w:color="000000" w:fill="FFFFFF"/>
            <w:noWrap/>
            <w:vAlign w:val="center"/>
            <w:hideMark/>
          </w:tcPr>
          <w:p w14:paraId="1CE152BA" w14:textId="7C4EF82E"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11.1</w:t>
            </w:r>
          </w:p>
        </w:tc>
        <w:tc>
          <w:tcPr>
            <w:tcW w:w="333" w:type="pct"/>
            <w:tcBorders>
              <w:top w:val="nil"/>
              <w:left w:val="nil"/>
              <w:bottom w:val="nil"/>
              <w:right w:val="nil"/>
            </w:tcBorders>
            <w:shd w:val="clear" w:color="000000" w:fill="FFFFFF"/>
            <w:noWrap/>
            <w:vAlign w:val="center"/>
            <w:hideMark/>
          </w:tcPr>
          <w:p w14:paraId="0B2F7E3E"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21</w:t>
            </w:r>
          </w:p>
        </w:tc>
        <w:tc>
          <w:tcPr>
            <w:tcW w:w="398" w:type="pct"/>
            <w:tcBorders>
              <w:top w:val="nil"/>
              <w:left w:val="nil"/>
              <w:bottom w:val="nil"/>
              <w:right w:val="nil"/>
            </w:tcBorders>
            <w:shd w:val="clear" w:color="000000" w:fill="FFFFFF"/>
            <w:noWrap/>
            <w:vAlign w:val="center"/>
            <w:hideMark/>
          </w:tcPr>
          <w:p w14:paraId="380ACDBE"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3.8</w:t>
            </w:r>
          </w:p>
        </w:tc>
        <w:tc>
          <w:tcPr>
            <w:tcW w:w="333" w:type="pct"/>
            <w:tcBorders>
              <w:top w:val="nil"/>
              <w:left w:val="nil"/>
              <w:bottom w:val="nil"/>
              <w:right w:val="nil"/>
            </w:tcBorders>
            <w:shd w:val="clear" w:color="000000" w:fill="FFFFFF"/>
            <w:noWrap/>
            <w:vAlign w:val="center"/>
            <w:hideMark/>
          </w:tcPr>
          <w:p w14:paraId="1183B4DD"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15</w:t>
            </w:r>
          </w:p>
        </w:tc>
        <w:tc>
          <w:tcPr>
            <w:tcW w:w="398" w:type="pct"/>
            <w:tcBorders>
              <w:top w:val="nil"/>
              <w:left w:val="nil"/>
              <w:bottom w:val="nil"/>
              <w:right w:val="nil"/>
            </w:tcBorders>
            <w:shd w:val="clear" w:color="000000" w:fill="FFFFFF"/>
            <w:noWrap/>
            <w:vAlign w:val="center"/>
            <w:hideMark/>
          </w:tcPr>
          <w:p w14:paraId="04BE36AA"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4.6</w:t>
            </w:r>
          </w:p>
        </w:tc>
        <w:tc>
          <w:tcPr>
            <w:tcW w:w="333" w:type="pct"/>
            <w:tcBorders>
              <w:top w:val="nil"/>
              <w:left w:val="nil"/>
              <w:bottom w:val="nil"/>
              <w:right w:val="nil"/>
            </w:tcBorders>
            <w:shd w:val="clear" w:color="000000" w:fill="F2F2F2"/>
            <w:noWrap/>
            <w:vAlign w:val="center"/>
            <w:hideMark/>
          </w:tcPr>
          <w:p w14:paraId="1043C9F7"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15</w:t>
            </w:r>
          </w:p>
        </w:tc>
        <w:tc>
          <w:tcPr>
            <w:tcW w:w="398" w:type="pct"/>
            <w:tcBorders>
              <w:top w:val="nil"/>
              <w:left w:val="nil"/>
              <w:bottom w:val="nil"/>
              <w:right w:val="nil"/>
            </w:tcBorders>
            <w:shd w:val="clear" w:color="000000" w:fill="F2F2F2"/>
            <w:noWrap/>
            <w:vAlign w:val="center"/>
            <w:hideMark/>
          </w:tcPr>
          <w:p w14:paraId="13A7B0AC"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1.3</w:t>
            </w:r>
          </w:p>
        </w:tc>
      </w:tr>
      <w:tr w:rsidR="008548BE" w:rsidRPr="008548BE" w14:paraId="6B7E5227" w14:textId="77777777" w:rsidTr="00CD3853">
        <w:trPr>
          <w:trHeight w:val="225"/>
        </w:trPr>
        <w:tc>
          <w:tcPr>
            <w:tcW w:w="2060" w:type="pct"/>
            <w:tcBorders>
              <w:top w:val="nil"/>
              <w:left w:val="nil"/>
              <w:bottom w:val="nil"/>
              <w:right w:val="nil"/>
            </w:tcBorders>
            <w:shd w:val="clear" w:color="000000" w:fill="FFFFFF"/>
            <w:vAlign w:val="center"/>
            <w:hideMark/>
          </w:tcPr>
          <w:p w14:paraId="38A9C053" w14:textId="77777777" w:rsidR="008548BE" w:rsidRPr="008548BE" w:rsidRDefault="008548BE" w:rsidP="008548BE">
            <w:pPr>
              <w:spacing w:after="0" w:line="240" w:lineRule="auto"/>
              <w:jc w:val="left"/>
              <w:rPr>
                <w:rFonts w:ascii="Arial" w:hAnsi="Arial" w:cs="Arial"/>
                <w:color w:val="auto"/>
                <w:sz w:val="16"/>
                <w:szCs w:val="16"/>
              </w:rPr>
            </w:pPr>
            <w:r w:rsidRPr="008548BE">
              <w:rPr>
                <w:rFonts w:ascii="Arial" w:hAnsi="Arial" w:cs="Arial"/>
                <w:color w:val="auto"/>
                <w:sz w:val="16"/>
                <w:szCs w:val="16"/>
              </w:rPr>
              <w:t>Water, sewerage &amp; waste disposal</w:t>
            </w:r>
          </w:p>
        </w:tc>
        <w:tc>
          <w:tcPr>
            <w:tcW w:w="333" w:type="pct"/>
            <w:tcBorders>
              <w:top w:val="nil"/>
              <w:left w:val="nil"/>
              <w:bottom w:val="nil"/>
              <w:right w:val="nil"/>
            </w:tcBorders>
            <w:shd w:val="clear" w:color="000000" w:fill="FFFFFF"/>
            <w:vAlign w:val="center"/>
            <w:hideMark/>
          </w:tcPr>
          <w:p w14:paraId="63441168"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3</w:t>
            </w:r>
          </w:p>
        </w:tc>
        <w:tc>
          <w:tcPr>
            <w:tcW w:w="415" w:type="pct"/>
            <w:tcBorders>
              <w:top w:val="nil"/>
              <w:left w:val="nil"/>
              <w:bottom w:val="nil"/>
              <w:right w:val="nil"/>
            </w:tcBorders>
            <w:shd w:val="clear" w:color="000000" w:fill="FFFFFF"/>
            <w:noWrap/>
            <w:vAlign w:val="center"/>
            <w:hideMark/>
          </w:tcPr>
          <w:p w14:paraId="455CBA24" w14:textId="7D436B25"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0.6</w:t>
            </w:r>
          </w:p>
        </w:tc>
        <w:tc>
          <w:tcPr>
            <w:tcW w:w="333" w:type="pct"/>
            <w:tcBorders>
              <w:top w:val="nil"/>
              <w:left w:val="nil"/>
              <w:bottom w:val="nil"/>
              <w:right w:val="nil"/>
            </w:tcBorders>
            <w:shd w:val="clear" w:color="000000" w:fill="FFFFFF"/>
            <w:noWrap/>
            <w:vAlign w:val="center"/>
            <w:hideMark/>
          </w:tcPr>
          <w:p w14:paraId="115DDE7B"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7</w:t>
            </w:r>
          </w:p>
        </w:tc>
        <w:tc>
          <w:tcPr>
            <w:tcW w:w="398" w:type="pct"/>
            <w:tcBorders>
              <w:top w:val="nil"/>
              <w:left w:val="nil"/>
              <w:bottom w:val="nil"/>
              <w:right w:val="nil"/>
            </w:tcBorders>
            <w:shd w:val="clear" w:color="000000" w:fill="FFFFFF"/>
            <w:noWrap/>
            <w:vAlign w:val="center"/>
            <w:hideMark/>
          </w:tcPr>
          <w:p w14:paraId="592CE1A2"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1.3</w:t>
            </w:r>
          </w:p>
        </w:tc>
        <w:tc>
          <w:tcPr>
            <w:tcW w:w="333" w:type="pct"/>
            <w:tcBorders>
              <w:top w:val="nil"/>
              <w:left w:val="nil"/>
              <w:bottom w:val="nil"/>
              <w:right w:val="nil"/>
            </w:tcBorders>
            <w:shd w:val="clear" w:color="000000" w:fill="FFFFFF"/>
            <w:noWrap/>
            <w:vAlign w:val="center"/>
            <w:hideMark/>
          </w:tcPr>
          <w:p w14:paraId="29D8F299"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8</w:t>
            </w:r>
          </w:p>
        </w:tc>
        <w:tc>
          <w:tcPr>
            <w:tcW w:w="398" w:type="pct"/>
            <w:tcBorders>
              <w:top w:val="nil"/>
              <w:left w:val="nil"/>
              <w:bottom w:val="nil"/>
              <w:right w:val="nil"/>
            </w:tcBorders>
            <w:shd w:val="clear" w:color="000000" w:fill="FFFFFF"/>
            <w:noWrap/>
            <w:vAlign w:val="center"/>
            <w:hideMark/>
          </w:tcPr>
          <w:p w14:paraId="02DF9CE5"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0.2</w:t>
            </w:r>
          </w:p>
        </w:tc>
        <w:tc>
          <w:tcPr>
            <w:tcW w:w="333" w:type="pct"/>
            <w:tcBorders>
              <w:top w:val="nil"/>
              <w:left w:val="nil"/>
              <w:bottom w:val="nil"/>
              <w:right w:val="nil"/>
            </w:tcBorders>
            <w:shd w:val="clear" w:color="000000" w:fill="F2F2F2"/>
            <w:noWrap/>
            <w:vAlign w:val="center"/>
            <w:hideMark/>
          </w:tcPr>
          <w:p w14:paraId="5792B157"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9</w:t>
            </w:r>
          </w:p>
        </w:tc>
        <w:tc>
          <w:tcPr>
            <w:tcW w:w="398" w:type="pct"/>
            <w:tcBorders>
              <w:top w:val="nil"/>
              <w:left w:val="nil"/>
              <w:bottom w:val="nil"/>
              <w:right w:val="nil"/>
            </w:tcBorders>
            <w:shd w:val="clear" w:color="000000" w:fill="F2F2F2"/>
            <w:noWrap/>
            <w:vAlign w:val="center"/>
            <w:hideMark/>
          </w:tcPr>
          <w:p w14:paraId="31AA40A2"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2.0</w:t>
            </w:r>
          </w:p>
        </w:tc>
      </w:tr>
      <w:tr w:rsidR="008548BE" w:rsidRPr="008548BE" w14:paraId="27C19330" w14:textId="77777777" w:rsidTr="00CB5DF7">
        <w:trPr>
          <w:trHeight w:val="225"/>
        </w:trPr>
        <w:tc>
          <w:tcPr>
            <w:tcW w:w="2060" w:type="pct"/>
            <w:tcBorders>
              <w:top w:val="nil"/>
              <w:left w:val="nil"/>
              <w:right w:val="nil"/>
            </w:tcBorders>
            <w:shd w:val="clear" w:color="000000" w:fill="FFFFFF"/>
            <w:noWrap/>
            <w:vAlign w:val="center"/>
            <w:hideMark/>
          </w:tcPr>
          <w:p w14:paraId="6822910F" w14:textId="77777777" w:rsidR="008548BE" w:rsidRPr="008548BE" w:rsidRDefault="008548BE" w:rsidP="008548BE">
            <w:pPr>
              <w:spacing w:after="0" w:line="240" w:lineRule="auto"/>
              <w:jc w:val="left"/>
              <w:rPr>
                <w:rFonts w:ascii="Arial" w:hAnsi="Arial" w:cs="Arial"/>
                <w:color w:val="auto"/>
                <w:sz w:val="16"/>
                <w:szCs w:val="16"/>
              </w:rPr>
            </w:pPr>
            <w:r w:rsidRPr="008548BE">
              <w:rPr>
                <w:rFonts w:ascii="Arial" w:hAnsi="Arial" w:cs="Arial"/>
                <w:color w:val="auto"/>
                <w:sz w:val="16"/>
                <w:szCs w:val="16"/>
              </w:rPr>
              <w:t>Other</w:t>
            </w:r>
            <w:r w:rsidRPr="008548BE">
              <w:rPr>
                <w:rFonts w:ascii="Arial" w:hAnsi="Arial" w:cs="Arial"/>
                <w:color w:val="auto"/>
                <w:sz w:val="12"/>
                <w:szCs w:val="12"/>
              </w:rPr>
              <w:t xml:space="preserve"> </w:t>
            </w:r>
            <w:r w:rsidRPr="008548BE">
              <w:rPr>
                <w:rFonts w:ascii="Arial" w:hAnsi="Arial" w:cs="Arial"/>
                <w:color w:val="auto"/>
                <w:sz w:val="16"/>
                <w:szCs w:val="16"/>
              </w:rPr>
              <w:t>(a)</w:t>
            </w:r>
          </w:p>
        </w:tc>
        <w:tc>
          <w:tcPr>
            <w:tcW w:w="333" w:type="pct"/>
            <w:tcBorders>
              <w:top w:val="nil"/>
              <w:left w:val="nil"/>
              <w:bottom w:val="single" w:sz="2" w:space="0" w:color="000000" w:themeColor="text1"/>
              <w:right w:val="nil"/>
            </w:tcBorders>
            <w:shd w:val="clear" w:color="000000" w:fill="FFFFFF"/>
            <w:noWrap/>
            <w:vAlign w:val="center"/>
            <w:hideMark/>
          </w:tcPr>
          <w:p w14:paraId="1123E610"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9</w:t>
            </w:r>
          </w:p>
        </w:tc>
        <w:tc>
          <w:tcPr>
            <w:tcW w:w="415" w:type="pct"/>
            <w:tcBorders>
              <w:top w:val="nil"/>
              <w:left w:val="nil"/>
              <w:bottom w:val="single" w:sz="2" w:space="0" w:color="000000" w:themeColor="text1"/>
              <w:right w:val="nil"/>
            </w:tcBorders>
            <w:shd w:val="clear" w:color="000000" w:fill="FFFFFF"/>
            <w:noWrap/>
            <w:vAlign w:val="center"/>
            <w:hideMark/>
          </w:tcPr>
          <w:p w14:paraId="293D9FB9" w14:textId="2B5B898C"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2.5</w:t>
            </w:r>
          </w:p>
        </w:tc>
        <w:tc>
          <w:tcPr>
            <w:tcW w:w="333" w:type="pct"/>
            <w:tcBorders>
              <w:top w:val="nil"/>
              <w:left w:val="nil"/>
              <w:bottom w:val="single" w:sz="2" w:space="0" w:color="000000" w:themeColor="text1"/>
              <w:right w:val="nil"/>
            </w:tcBorders>
            <w:shd w:val="clear" w:color="000000" w:fill="FFFFFF"/>
            <w:noWrap/>
            <w:vAlign w:val="center"/>
            <w:hideMark/>
          </w:tcPr>
          <w:p w14:paraId="3C25409E"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7</w:t>
            </w:r>
          </w:p>
        </w:tc>
        <w:tc>
          <w:tcPr>
            <w:tcW w:w="398" w:type="pct"/>
            <w:tcBorders>
              <w:top w:val="nil"/>
              <w:left w:val="nil"/>
              <w:bottom w:val="single" w:sz="2" w:space="0" w:color="000000" w:themeColor="text1"/>
              <w:right w:val="nil"/>
            </w:tcBorders>
            <w:shd w:val="clear" w:color="000000" w:fill="FFFFFF"/>
            <w:noWrap/>
            <w:vAlign w:val="center"/>
            <w:hideMark/>
          </w:tcPr>
          <w:p w14:paraId="7C2CC104"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1.3</w:t>
            </w:r>
          </w:p>
        </w:tc>
        <w:tc>
          <w:tcPr>
            <w:tcW w:w="333" w:type="pct"/>
            <w:tcBorders>
              <w:top w:val="nil"/>
              <w:left w:val="nil"/>
              <w:bottom w:val="single" w:sz="2" w:space="0" w:color="000000" w:themeColor="text1"/>
              <w:right w:val="nil"/>
            </w:tcBorders>
            <w:shd w:val="clear" w:color="000000" w:fill="FFFFFF"/>
            <w:noWrap/>
            <w:vAlign w:val="center"/>
            <w:hideMark/>
          </w:tcPr>
          <w:p w14:paraId="5BF5AB91"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18</w:t>
            </w:r>
          </w:p>
        </w:tc>
        <w:tc>
          <w:tcPr>
            <w:tcW w:w="398" w:type="pct"/>
            <w:tcBorders>
              <w:top w:val="nil"/>
              <w:left w:val="nil"/>
              <w:bottom w:val="single" w:sz="2" w:space="0" w:color="000000" w:themeColor="text1"/>
              <w:right w:val="nil"/>
            </w:tcBorders>
            <w:shd w:val="clear" w:color="000000" w:fill="FFFFFF"/>
            <w:noWrap/>
            <w:vAlign w:val="center"/>
            <w:hideMark/>
          </w:tcPr>
          <w:p w14:paraId="7AC3AFEA"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2.2</w:t>
            </w:r>
          </w:p>
        </w:tc>
        <w:tc>
          <w:tcPr>
            <w:tcW w:w="333" w:type="pct"/>
            <w:tcBorders>
              <w:top w:val="nil"/>
              <w:left w:val="nil"/>
              <w:bottom w:val="single" w:sz="2" w:space="0" w:color="000000" w:themeColor="text1"/>
              <w:right w:val="nil"/>
            </w:tcBorders>
            <w:shd w:val="clear" w:color="000000" w:fill="F2F2F2"/>
            <w:noWrap/>
            <w:vAlign w:val="center"/>
            <w:hideMark/>
          </w:tcPr>
          <w:p w14:paraId="4040A6D5"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24</w:t>
            </w:r>
          </w:p>
        </w:tc>
        <w:tc>
          <w:tcPr>
            <w:tcW w:w="398" w:type="pct"/>
            <w:tcBorders>
              <w:top w:val="nil"/>
              <w:left w:val="nil"/>
              <w:bottom w:val="single" w:sz="2" w:space="0" w:color="000000" w:themeColor="text1"/>
              <w:right w:val="nil"/>
            </w:tcBorders>
            <w:shd w:val="clear" w:color="000000" w:fill="F2F2F2"/>
            <w:noWrap/>
            <w:vAlign w:val="center"/>
            <w:hideMark/>
          </w:tcPr>
          <w:p w14:paraId="0B4D18EB" w14:textId="77777777" w:rsidR="008548BE" w:rsidRPr="008548BE" w:rsidRDefault="008548BE" w:rsidP="008548BE">
            <w:pPr>
              <w:spacing w:after="0" w:line="240" w:lineRule="auto"/>
              <w:jc w:val="right"/>
              <w:rPr>
                <w:rFonts w:ascii="Arial" w:hAnsi="Arial" w:cs="Arial"/>
                <w:color w:val="auto"/>
                <w:sz w:val="16"/>
                <w:szCs w:val="16"/>
              </w:rPr>
            </w:pPr>
            <w:r w:rsidRPr="008548BE">
              <w:rPr>
                <w:rFonts w:ascii="Arial" w:hAnsi="Arial" w:cs="Arial"/>
                <w:color w:val="auto"/>
                <w:sz w:val="16"/>
                <w:szCs w:val="16"/>
              </w:rPr>
              <w:t>25.3</w:t>
            </w:r>
          </w:p>
        </w:tc>
      </w:tr>
      <w:tr w:rsidR="008548BE" w:rsidRPr="008548BE" w14:paraId="35D5D073" w14:textId="77777777" w:rsidTr="00CB5DF7">
        <w:trPr>
          <w:trHeight w:val="225"/>
        </w:trPr>
        <w:tc>
          <w:tcPr>
            <w:tcW w:w="2060" w:type="pct"/>
            <w:tcBorders>
              <w:left w:val="nil"/>
              <w:bottom w:val="single" w:sz="2" w:space="0" w:color="000000" w:themeColor="text1"/>
              <w:right w:val="nil"/>
            </w:tcBorders>
            <w:shd w:val="clear" w:color="000000" w:fill="FFFFFF"/>
            <w:noWrap/>
            <w:vAlign w:val="center"/>
            <w:hideMark/>
          </w:tcPr>
          <w:p w14:paraId="48386B88" w14:textId="77777777" w:rsidR="008548BE" w:rsidRPr="008548BE" w:rsidRDefault="008548BE" w:rsidP="008548BE">
            <w:pPr>
              <w:spacing w:after="0" w:line="240" w:lineRule="auto"/>
              <w:jc w:val="left"/>
              <w:rPr>
                <w:rFonts w:ascii="Arial" w:hAnsi="Arial" w:cs="Arial"/>
                <w:b/>
                <w:bCs/>
                <w:color w:val="auto"/>
                <w:sz w:val="16"/>
                <w:szCs w:val="16"/>
              </w:rPr>
            </w:pPr>
            <w:r w:rsidRPr="008548BE">
              <w:rPr>
                <w:rFonts w:ascii="Arial" w:hAnsi="Arial" w:cs="Arial"/>
                <w:b/>
                <w:bCs/>
                <w:color w:val="auto"/>
                <w:sz w:val="16"/>
                <w:szCs w:val="16"/>
              </w:rPr>
              <w:t>Total</w:t>
            </w:r>
          </w:p>
        </w:tc>
        <w:tc>
          <w:tcPr>
            <w:tcW w:w="333" w:type="pct"/>
            <w:tcBorders>
              <w:top w:val="single" w:sz="2" w:space="0" w:color="000000" w:themeColor="text1"/>
              <w:left w:val="nil"/>
              <w:bottom w:val="single" w:sz="2" w:space="0" w:color="000000" w:themeColor="text1"/>
              <w:right w:val="nil"/>
            </w:tcBorders>
            <w:shd w:val="clear" w:color="000000" w:fill="FFFFFF"/>
            <w:noWrap/>
            <w:vAlign w:val="center"/>
            <w:hideMark/>
          </w:tcPr>
          <w:p w14:paraId="37822B1B" w14:textId="77777777" w:rsidR="008548BE" w:rsidRPr="008548BE" w:rsidRDefault="008548BE" w:rsidP="008548BE">
            <w:pPr>
              <w:spacing w:after="0" w:line="240" w:lineRule="auto"/>
              <w:jc w:val="right"/>
              <w:rPr>
                <w:rFonts w:ascii="Arial" w:hAnsi="Arial" w:cs="Arial"/>
                <w:b/>
                <w:bCs/>
                <w:color w:val="auto"/>
                <w:sz w:val="16"/>
                <w:szCs w:val="16"/>
              </w:rPr>
            </w:pPr>
            <w:r w:rsidRPr="008548BE">
              <w:rPr>
                <w:rFonts w:ascii="Arial" w:hAnsi="Arial" w:cs="Arial"/>
                <w:b/>
                <w:bCs/>
                <w:color w:val="auto"/>
                <w:sz w:val="16"/>
                <w:szCs w:val="16"/>
              </w:rPr>
              <w:t>66</w:t>
            </w:r>
          </w:p>
        </w:tc>
        <w:tc>
          <w:tcPr>
            <w:tcW w:w="415" w:type="pct"/>
            <w:tcBorders>
              <w:top w:val="single" w:sz="2" w:space="0" w:color="000000" w:themeColor="text1"/>
              <w:left w:val="nil"/>
              <w:bottom w:val="single" w:sz="2" w:space="0" w:color="000000" w:themeColor="text1"/>
              <w:right w:val="nil"/>
            </w:tcBorders>
            <w:shd w:val="clear" w:color="000000" w:fill="FFFFFF"/>
            <w:noWrap/>
            <w:vAlign w:val="center"/>
            <w:hideMark/>
          </w:tcPr>
          <w:p w14:paraId="17BC7777" w14:textId="5B0A17AF" w:rsidR="008548BE" w:rsidRPr="008548BE" w:rsidRDefault="008548BE" w:rsidP="008548BE">
            <w:pPr>
              <w:spacing w:after="0" w:line="240" w:lineRule="auto"/>
              <w:jc w:val="right"/>
              <w:rPr>
                <w:rFonts w:ascii="Arial" w:hAnsi="Arial" w:cs="Arial"/>
                <w:b/>
                <w:bCs/>
                <w:color w:val="auto"/>
                <w:sz w:val="16"/>
                <w:szCs w:val="16"/>
              </w:rPr>
            </w:pPr>
            <w:r w:rsidRPr="008548BE">
              <w:rPr>
                <w:rFonts w:ascii="Arial" w:hAnsi="Arial" w:cs="Arial"/>
                <w:b/>
                <w:bCs/>
                <w:color w:val="auto"/>
                <w:sz w:val="16"/>
                <w:szCs w:val="16"/>
              </w:rPr>
              <w:t>56.6</w:t>
            </w:r>
          </w:p>
        </w:tc>
        <w:tc>
          <w:tcPr>
            <w:tcW w:w="333" w:type="pct"/>
            <w:tcBorders>
              <w:top w:val="single" w:sz="2" w:space="0" w:color="000000" w:themeColor="text1"/>
              <w:left w:val="nil"/>
              <w:bottom w:val="single" w:sz="2" w:space="0" w:color="000000" w:themeColor="text1"/>
              <w:right w:val="nil"/>
            </w:tcBorders>
            <w:shd w:val="clear" w:color="000000" w:fill="FFFFFF"/>
            <w:noWrap/>
            <w:vAlign w:val="center"/>
            <w:hideMark/>
          </w:tcPr>
          <w:p w14:paraId="343FBCBD" w14:textId="77777777" w:rsidR="008548BE" w:rsidRPr="008548BE" w:rsidRDefault="008548BE" w:rsidP="008548BE">
            <w:pPr>
              <w:spacing w:after="0" w:line="240" w:lineRule="auto"/>
              <w:jc w:val="right"/>
              <w:rPr>
                <w:rFonts w:ascii="Arial" w:hAnsi="Arial" w:cs="Arial"/>
                <w:b/>
                <w:bCs/>
                <w:color w:val="auto"/>
                <w:sz w:val="16"/>
                <w:szCs w:val="16"/>
              </w:rPr>
            </w:pPr>
            <w:r w:rsidRPr="008548BE">
              <w:rPr>
                <w:rFonts w:ascii="Arial" w:hAnsi="Arial" w:cs="Arial"/>
                <w:b/>
                <w:bCs/>
                <w:color w:val="auto"/>
                <w:sz w:val="16"/>
                <w:szCs w:val="16"/>
              </w:rPr>
              <w:t>73</w:t>
            </w:r>
          </w:p>
        </w:tc>
        <w:tc>
          <w:tcPr>
            <w:tcW w:w="398" w:type="pct"/>
            <w:tcBorders>
              <w:top w:val="single" w:sz="2" w:space="0" w:color="000000" w:themeColor="text1"/>
              <w:left w:val="nil"/>
              <w:bottom w:val="single" w:sz="2" w:space="0" w:color="000000" w:themeColor="text1"/>
              <w:right w:val="nil"/>
            </w:tcBorders>
            <w:shd w:val="clear" w:color="000000" w:fill="FFFFFF"/>
            <w:noWrap/>
            <w:vAlign w:val="center"/>
            <w:hideMark/>
          </w:tcPr>
          <w:p w14:paraId="0C387475" w14:textId="77777777" w:rsidR="008548BE" w:rsidRPr="008548BE" w:rsidRDefault="008548BE" w:rsidP="008548BE">
            <w:pPr>
              <w:spacing w:after="0" w:line="240" w:lineRule="auto"/>
              <w:jc w:val="right"/>
              <w:rPr>
                <w:rFonts w:ascii="Arial" w:hAnsi="Arial" w:cs="Arial"/>
                <w:b/>
                <w:bCs/>
                <w:color w:val="auto"/>
                <w:sz w:val="16"/>
                <w:szCs w:val="16"/>
              </w:rPr>
            </w:pPr>
            <w:r w:rsidRPr="008548BE">
              <w:rPr>
                <w:rFonts w:ascii="Arial" w:hAnsi="Arial" w:cs="Arial"/>
                <w:b/>
                <w:bCs/>
                <w:color w:val="auto"/>
                <w:sz w:val="16"/>
                <w:szCs w:val="16"/>
              </w:rPr>
              <w:t>40.9</w:t>
            </w:r>
          </w:p>
        </w:tc>
        <w:tc>
          <w:tcPr>
            <w:tcW w:w="333" w:type="pct"/>
            <w:tcBorders>
              <w:top w:val="single" w:sz="2" w:space="0" w:color="000000" w:themeColor="text1"/>
              <w:left w:val="nil"/>
              <w:bottom w:val="single" w:sz="2" w:space="0" w:color="000000" w:themeColor="text1"/>
              <w:right w:val="nil"/>
            </w:tcBorders>
            <w:shd w:val="clear" w:color="000000" w:fill="FFFFFF"/>
            <w:noWrap/>
            <w:vAlign w:val="center"/>
            <w:hideMark/>
          </w:tcPr>
          <w:p w14:paraId="6CD85F27" w14:textId="77777777" w:rsidR="008548BE" w:rsidRPr="008548BE" w:rsidRDefault="008548BE" w:rsidP="008548BE">
            <w:pPr>
              <w:spacing w:after="0" w:line="240" w:lineRule="auto"/>
              <w:jc w:val="right"/>
              <w:rPr>
                <w:rFonts w:ascii="Arial" w:hAnsi="Arial" w:cs="Arial"/>
                <w:b/>
                <w:bCs/>
                <w:color w:val="auto"/>
                <w:sz w:val="16"/>
                <w:szCs w:val="16"/>
              </w:rPr>
            </w:pPr>
            <w:r w:rsidRPr="008548BE">
              <w:rPr>
                <w:rFonts w:ascii="Arial" w:hAnsi="Arial" w:cs="Arial"/>
                <w:b/>
                <w:bCs/>
                <w:color w:val="auto"/>
                <w:sz w:val="16"/>
                <w:szCs w:val="16"/>
              </w:rPr>
              <w:t>95</w:t>
            </w:r>
          </w:p>
        </w:tc>
        <w:tc>
          <w:tcPr>
            <w:tcW w:w="398" w:type="pct"/>
            <w:tcBorders>
              <w:top w:val="single" w:sz="2" w:space="0" w:color="000000" w:themeColor="text1"/>
              <w:left w:val="nil"/>
              <w:bottom w:val="single" w:sz="2" w:space="0" w:color="000000" w:themeColor="text1"/>
              <w:right w:val="nil"/>
            </w:tcBorders>
            <w:shd w:val="clear" w:color="000000" w:fill="FFFFFF"/>
            <w:noWrap/>
            <w:vAlign w:val="center"/>
            <w:hideMark/>
          </w:tcPr>
          <w:p w14:paraId="43C75347" w14:textId="77777777" w:rsidR="008548BE" w:rsidRPr="008548BE" w:rsidRDefault="008548BE" w:rsidP="008548BE">
            <w:pPr>
              <w:spacing w:after="0" w:line="240" w:lineRule="auto"/>
              <w:jc w:val="right"/>
              <w:rPr>
                <w:rFonts w:ascii="Arial" w:hAnsi="Arial" w:cs="Arial"/>
                <w:b/>
                <w:bCs/>
                <w:color w:val="auto"/>
                <w:sz w:val="16"/>
                <w:szCs w:val="16"/>
              </w:rPr>
            </w:pPr>
            <w:r w:rsidRPr="008548BE">
              <w:rPr>
                <w:rFonts w:ascii="Arial" w:hAnsi="Arial" w:cs="Arial"/>
                <w:b/>
                <w:bCs/>
                <w:color w:val="auto"/>
                <w:sz w:val="16"/>
                <w:szCs w:val="16"/>
              </w:rPr>
              <w:t>16.6</w:t>
            </w:r>
          </w:p>
        </w:tc>
        <w:tc>
          <w:tcPr>
            <w:tcW w:w="333" w:type="pct"/>
            <w:tcBorders>
              <w:top w:val="single" w:sz="2" w:space="0" w:color="000000" w:themeColor="text1"/>
              <w:left w:val="nil"/>
              <w:bottom w:val="single" w:sz="2" w:space="0" w:color="000000" w:themeColor="text1"/>
              <w:right w:val="nil"/>
            </w:tcBorders>
            <w:shd w:val="clear" w:color="000000" w:fill="F2F2F2"/>
            <w:noWrap/>
            <w:vAlign w:val="center"/>
            <w:hideMark/>
          </w:tcPr>
          <w:p w14:paraId="50D2AB3A" w14:textId="77777777" w:rsidR="008548BE" w:rsidRPr="00233918" w:rsidRDefault="008548BE" w:rsidP="008548BE">
            <w:pPr>
              <w:spacing w:after="0" w:line="240" w:lineRule="auto"/>
              <w:jc w:val="right"/>
              <w:rPr>
                <w:rFonts w:ascii="Arial" w:hAnsi="Arial" w:cs="Arial"/>
                <w:b/>
                <w:color w:val="auto"/>
                <w:sz w:val="16"/>
                <w:szCs w:val="16"/>
              </w:rPr>
            </w:pPr>
            <w:r w:rsidRPr="00233918">
              <w:rPr>
                <w:rFonts w:ascii="Arial" w:hAnsi="Arial" w:cs="Arial"/>
                <w:b/>
                <w:color w:val="auto"/>
                <w:sz w:val="16"/>
                <w:szCs w:val="16"/>
              </w:rPr>
              <w:t>99</w:t>
            </w:r>
          </w:p>
        </w:tc>
        <w:tc>
          <w:tcPr>
            <w:tcW w:w="398" w:type="pct"/>
            <w:tcBorders>
              <w:top w:val="single" w:sz="2" w:space="0" w:color="000000" w:themeColor="text1"/>
              <w:left w:val="nil"/>
              <w:bottom w:val="single" w:sz="2" w:space="0" w:color="000000" w:themeColor="text1"/>
              <w:right w:val="nil"/>
            </w:tcBorders>
            <w:shd w:val="clear" w:color="000000" w:fill="F2F2F2"/>
            <w:noWrap/>
            <w:vAlign w:val="center"/>
            <w:hideMark/>
          </w:tcPr>
          <w:p w14:paraId="3CFFA125" w14:textId="77777777" w:rsidR="008548BE" w:rsidRPr="00233918" w:rsidRDefault="008548BE" w:rsidP="008548BE">
            <w:pPr>
              <w:spacing w:after="0" w:line="240" w:lineRule="auto"/>
              <w:jc w:val="right"/>
              <w:rPr>
                <w:rFonts w:ascii="Arial" w:hAnsi="Arial" w:cs="Arial"/>
                <w:b/>
                <w:color w:val="auto"/>
                <w:sz w:val="16"/>
                <w:szCs w:val="16"/>
              </w:rPr>
            </w:pPr>
            <w:r w:rsidRPr="00233918">
              <w:rPr>
                <w:rFonts w:ascii="Arial" w:hAnsi="Arial" w:cs="Arial"/>
                <w:b/>
                <w:color w:val="auto"/>
                <w:sz w:val="16"/>
                <w:szCs w:val="16"/>
              </w:rPr>
              <w:t>36.7</w:t>
            </w:r>
          </w:p>
        </w:tc>
      </w:tr>
    </w:tbl>
    <w:p w14:paraId="28BBA860" w14:textId="37FC5CA6" w:rsidR="00A84283" w:rsidRPr="004E7F18" w:rsidRDefault="00A84283" w:rsidP="007149D6">
      <w:pPr>
        <w:pStyle w:val="ChartandTableFootnoteAlpha"/>
        <w:numPr>
          <w:ilvl w:val="0"/>
          <w:numId w:val="7"/>
        </w:numPr>
      </w:pPr>
      <w:r w:rsidRPr="004E7F18">
        <w:t xml:space="preserve">Comprises: textile, leather, clothing and footwear manufacturing; </w:t>
      </w:r>
      <w:r w:rsidR="009115DF">
        <w:t>pulp, p</w:t>
      </w:r>
      <w:r w:rsidR="00B402E7" w:rsidRPr="00B402E7">
        <w:t xml:space="preserve">aper and </w:t>
      </w:r>
      <w:r w:rsidR="009115DF">
        <w:t>c</w:t>
      </w:r>
      <w:r w:rsidR="00B402E7" w:rsidRPr="00B402E7">
        <w:t xml:space="preserve">onverted </w:t>
      </w:r>
      <w:r w:rsidR="009115DF">
        <w:t>p</w:t>
      </w:r>
      <w:r w:rsidR="00B402E7" w:rsidRPr="00B402E7">
        <w:t xml:space="preserve">aper </w:t>
      </w:r>
      <w:r w:rsidR="009115DF">
        <w:t>p</w:t>
      </w:r>
      <w:r w:rsidR="00B402E7" w:rsidRPr="00B402E7">
        <w:t xml:space="preserve">roduct </w:t>
      </w:r>
      <w:r w:rsidR="009115DF">
        <w:t>m</w:t>
      </w:r>
      <w:r w:rsidR="00B402E7" w:rsidRPr="00B402E7">
        <w:t>anufacturing</w:t>
      </w:r>
      <w:r w:rsidR="009115DF">
        <w:t xml:space="preserve">; </w:t>
      </w:r>
      <w:r w:rsidRPr="004E7F18">
        <w:t xml:space="preserve">polymer product and rubber products manufacturing; </w:t>
      </w:r>
      <w:r w:rsidR="009115DF">
        <w:t xml:space="preserve">non-metallic mineral product manufacturing; </w:t>
      </w:r>
      <w:r w:rsidRPr="004E7F18">
        <w:t>primary metal and metal product manufacturing; fabricated metal products manufacturing; transport equipment manufacturing; machinery and equipment manufacturing; and furniture manufacturing.</w:t>
      </w:r>
    </w:p>
    <w:p w14:paraId="42373D72" w14:textId="77777777" w:rsidR="00A84283" w:rsidRPr="001A6701" w:rsidRDefault="00A84283" w:rsidP="006D64A2">
      <w:pPr>
        <w:pStyle w:val="ChartorTableNote"/>
      </w:pPr>
      <w:r w:rsidRPr="001A6701">
        <w:t>Notes:</w:t>
      </w:r>
      <w:r w:rsidRPr="001A6701">
        <w:tab/>
        <w:t>Totals may not add due to rounding.</w:t>
      </w:r>
    </w:p>
    <w:p w14:paraId="5C3D1EB2" w14:textId="7DE85089" w:rsidR="00A84283" w:rsidRPr="001A6701" w:rsidRDefault="00A84283" w:rsidP="006D64A2">
      <w:pPr>
        <w:pStyle w:val="ChartorTableNote"/>
      </w:pPr>
      <w:r w:rsidRPr="001A6701">
        <w:t>Excludes corporate reorganisations and new businesses.</w:t>
      </w:r>
    </w:p>
    <w:p w14:paraId="2FCF7C2A" w14:textId="2E4473A9" w:rsidR="00A84283" w:rsidRDefault="00A84283" w:rsidP="00406C1F">
      <w:pPr>
        <w:pStyle w:val="ChartorTableNote"/>
      </w:pPr>
      <w:r w:rsidRPr="001A6701">
        <w:t>Data for 2015</w:t>
      </w:r>
      <w:r w:rsidR="0060602F">
        <w:noBreakHyphen/>
      </w:r>
      <w:r w:rsidRPr="001A6701">
        <w:t>16 onwards was impacted by the 1</w:t>
      </w:r>
      <w:r w:rsidR="00316050">
        <w:t> December </w:t>
      </w:r>
      <w:r w:rsidRPr="001A6701">
        <w:t>2015 reforms. Data from 2017</w:t>
      </w:r>
      <w:r w:rsidR="0060602F">
        <w:noBreakHyphen/>
      </w:r>
      <w:r w:rsidRPr="001A6701">
        <w:t>18 was impacted by the reforms announced in the 2017</w:t>
      </w:r>
      <w:r w:rsidR="00E63A34" w:rsidRPr="001A6701">
        <w:noBreakHyphen/>
      </w:r>
      <w:r w:rsidRPr="001A6701">
        <w:t>18 Budget, which were given effect on 1</w:t>
      </w:r>
      <w:r w:rsidR="0060602F">
        <w:t> July </w:t>
      </w:r>
      <w:r w:rsidRPr="001A6701">
        <w:t>2017. These reforms may affect data comparability. </w:t>
      </w:r>
    </w:p>
    <w:p w14:paraId="191E2CDC" w14:textId="77777777" w:rsidR="00E43E52" w:rsidRDefault="00E43E52">
      <w:pPr>
        <w:spacing w:after="0" w:line="240" w:lineRule="auto"/>
        <w:jc w:val="left"/>
      </w:pPr>
    </w:p>
    <w:p w14:paraId="6AF96199" w14:textId="32198C0A" w:rsidR="00E43E52" w:rsidRDefault="00E43E52">
      <w:pPr>
        <w:spacing w:after="0" w:line="240" w:lineRule="auto"/>
        <w:jc w:val="left"/>
      </w:pPr>
      <w:r>
        <w:br w:type="page"/>
      </w:r>
    </w:p>
    <w:p w14:paraId="219D3D66" w14:textId="245F164F" w:rsidR="000A1514" w:rsidRPr="00BA4A2C" w:rsidRDefault="000A1514" w:rsidP="000A1514">
      <w:r w:rsidRPr="007C6F91">
        <w:rPr>
          <w:rFonts w:eastAsia="Calibri"/>
          <w:noProof/>
        </w:rPr>
        <w:lastRenderedPageBreak/>
        <mc:AlternateContent>
          <mc:Choice Requires="wps">
            <w:drawing>
              <wp:anchor distT="0" distB="0" distL="114300" distR="114300" simplePos="0" relativeHeight="251658241" behindDoc="0" locked="1" layoutInCell="1" allowOverlap="0" wp14:anchorId="5AFD6AC9" wp14:editId="55886002">
                <wp:simplePos x="0" y="0"/>
                <wp:positionH relativeFrom="column">
                  <wp:posOffset>-3175</wp:posOffset>
                </wp:positionH>
                <wp:positionV relativeFrom="paragraph">
                  <wp:posOffset>262890</wp:posOffset>
                </wp:positionV>
                <wp:extent cx="4895850" cy="5613400"/>
                <wp:effectExtent l="0" t="0" r="0" b="6350"/>
                <wp:wrapSquare wrapText="bothSides"/>
                <wp:docPr id="11" name="Snip and Round Single Corner Rectangle 11"/>
                <wp:cNvGraphicFramePr/>
                <a:graphic xmlns:a="http://schemas.openxmlformats.org/drawingml/2006/main">
                  <a:graphicData uri="http://schemas.microsoft.com/office/word/2010/wordprocessingShape">
                    <wps:wsp>
                      <wps:cNvSpPr/>
                      <wps:spPr>
                        <a:xfrm>
                          <a:off x="0" y="0"/>
                          <a:ext cx="4895850" cy="5613400"/>
                        </a:xfrm>
                        <a:prstGeom prst="snipRoundRect">
                          <a:avLst>
                            <a:gd name="adj1" fmla="val 5531"/>
                            <a:gd name="adj2" fmla="val 10817"/>
                          </a:avLst>
                        </a:prstGeom>
                        <a:solidFill>
                          <a:srgbClr val="653979"/>
                        </a:solidFill>
                        <a:ln w="25400" cap="flat" cmpd="sng" algn="ctr">
                          <a:noFill/>
                          <a:prstDash val="solid"/>
                        </a:ln>
                        <a:effectLst/>
                      </wps:spPr>
                      <wps:txbx>
                        <w:txbxContent>
                          <w:p w14:paraId="2D847F99" w14:textId="77777777" w:rsidR="00191EF9" w:rsidRPr="000A1514" w:rsidRDefault="00191EF9" w:rsidP="000A1514">
                            <w:pPr>
                              <w:pStyle w:val="CaseStudyHeading"/>
                            </w:pPr>
                            <w:bookmarkStart w:id="102" w:name="_Toc33521377"/>
                            <w:r w:rsidRPr="000A1514">
                              <w:t>DuluxGroup case study</w:t>
                            </w:r>
                            <w:bookmarkEnd w:id="102"/>
                          </w:p>
                          <w:p w14:paraId="4F1FEEEB" w14:textId="77777777" w:rsidR="00191EF9" w:rsidRPr="000A1514" w:rsidRDefault="00191EF9" w:rsidP="000A1514">
                            <w:pPr>
                              <w:keepNext/>
                              <w:spacing w:after="120" w:line="240" w:lineRule="exact"/>
                              <w:ind w:left="284" w:right="284"/>
                              <w:rPr>
                                <w:rFonts w:ascii="Calibri" w:hAnsi="Calibri"/>
                                <w:color w:val="FFFFFF" w:themeColor="background1"/>
                              </w:rPr>
                            </w:pPr>
                            <w:r w:rsidRPr="000A1514">
                              <w:rPr>
                                <w:rFonts w:ascii="Calibri" w:hAnsi="Calibri"/>
                                <w:color w:val="FFFFFF" w:themeColor="background1"/>
                              </w:rPr>
                              <w:t xml:space="preserve">Japanese companies were involved in several large transactions in 2019. Among these was Nippon Paint’s $3.8 billion acquisition of the ASX listed DuluxGroup Limited. DuluxGroup is one of Australia’s largest manufacturers and distributors of paints, adhesives and other building products. The acquisition is expected to allow Nippon Paint to expand across the Asia Pacific region, beyond its existing market. Nippon Paint intends to grow the DuluxGroup business, and provide increased opportunities for DuluxGroup to pursue its growth ambitions by leveraging Nippon Paint’s global scale and resources.  </w:t>
                            </w:r>
                          </w:p>
                          <w:p w14:paraId="171D7B26" w14:textId="64018451" w:rsidR="00191EF9" w:rsidRDefault="00191EF9" w:rsidP="000A1514">
                            <w:pPr>
                              <w:keepNext/>
                              <w:spacing w:after="120" w:line="240" w:lineRule="exact"/>
                              <w:ind w:left="284" w:right="284"/>
                              <w:rPr>
                                <w:rFonts w:ascii="Calibri" w:hAnsi="Calibri"/>
                                <w:color w:val="FFFFFF" w:themeColor="background1"/>
                              </w:rPr>
                            </w:pPr>
                            <w:r w:rsidRPr="000A1514">
                              <w:rPr>
                                <w:rFonts w:ascii="Calibri" w:hAnsi="Calibri"/>
                                <w:color w:val="FFFFFF" w:themeColor="background1"/>
                              </w:rPr>
                              <w:t>Competition is a key national interest consideration when assessing proposed investments. In this particular transaction Nippon Paint only sold specialised paint in Australia to the car repairs industry and, as such, there was little overlap between its and Dulux’s business, thereby mitigating concerns around a lessening of competition.</w:t>
                            </w:r>
                          </w:p>
                          <w:p w14:paraId="5079486C" w14:textId="7FC7DFFA" w:rsidR="00191EF9" w:rsidRDefault="00191EF9" w:rsidP="000A1514">
                            <w:pPr>
                              <w:keepNext/>
                              <w:spacing w:after="120" w:line="240" w:lineRule="exact"/>
                              <w:ind w:left="284" w:right="284"/>
                              <w:rPr>
                                <w:rFonts w:ascii="Calibri" w:hAnsi="Calibri"/>
                                <w:color w:val="FFFFFF" w:themeColor="background1"/>
                              </w:rPr>
                            </w:pPr>
                          </w:p>
                          <w:p w14:paraId="31E87D9F" w14:textId="5FD5F79C" w:rsidR="00191EF9" w:rsidRDefault="00191EF9" w:rsidP="000A1514">
                            <w:pPr>
                              <w:keepNext/>
                              <w:spacing w:after="120" w:line="240" w:lineRule="exact"/>
                              <w:ind w:left="284" w:right="284"/>
                              <w:rPr>
                                <w:rFonts w:ascii="Calibri" w:hAnsi="Calibri"/>
                                <w:color w:val="FFFFFF" w:themeColor="background1"/>
                              </w:rPr>
                            </w:pPr>
                          </w:p>
                          <w:p w14:paraId="2E89095E" w14:textId="67014F3D" w:rsidR="00191EF9" w:rsidRDefault="00191EF9" w:rsidP="000A1514">
                            <w:pPr>
                              <w:keepNext/>
                              <w:spacing w:after="120" w:line="240" w:lineRule="exact"/>
                              <w:ind w:left="284" w:right="284"/>
                              <w:rPr>
                                <w:rFonts w:ascii="Calibri" w:hAnsi="Calibri"/>
                                <w:color w:val="FFFFFF" w:themeColor="background1"/>
                              </w:rPr>
                            </w:pPr>
                          </w:p>
                          <w:p w14:paraId="3849D484" w14:textId="559134F1" w:rsidR="00191EF9" w:rsidRDefault="00191EF9" w:rsidP="000A1514">
                            <w:pPr>
                              <w:keepNext/>
                              <w:spacing w:after="120" w:line="240" w:lineRule="exact"/>
                              <w:ind w:left="284" w:right="284"/>
                              <w:rPr>
                                <w:rFonts w:ascii="Calibri" w:hAnsi="Calibri"/>
                                <w:color w:val="FFFFFF" w:themeColor="background1"/>
                              </w:rPr>
                            </w:pPr>
                          </w:p>
                          <w:p w14:paraId="5045F2D8" w14:textId="16920685" w:rsidR="00191EF9" w:rsidRDefault="00191EF9" w:rsidP="000A1514">
                            <w:pPr>
                              <w:keepNext/>
                              <w:spacing w:after="120" w:line="240" w:lineRule="exact"/>
                              <w:ind w:left="284" w:right="284"/>
                              <w:rPr>
                                <w:rFonts w:ascii="Calibri" w:hAnsi="Calibri"/>
                                <w:color w:val="FFFFFF" w:themeColor="background1"/>
                              </w:rPr>
                            </w:pPr>
                          </w:p>
                          <w:p w14:paraId="7B10ED16" w14:textId="1C762CEB" w:rsidR="00191EF9" w:rsidRDefault="00191EF9" w:rsidP="000A1514">
                            <w:pPr>
                              <w:keepNext/>
                              <w:spacing w:after="120" w:line="240" w:lineRule="exact"/>
                              <w:ind w:left="284" w:right="284"/>
                              <w:rPr>
                                <w:rFonts w:ascii="Calibri" w:hAnsi="Calibri"/>
                                <w:color w:val="FFFFFF" w:themeColor="background1"/>
                              </w:rPr>
                            </w:pPr>
                          </w:p>
                          <w:p w14:paraId="7CA60052" w14:textId="29FA5211" w:rsidR="00191EF9" w:rsidRDefault="00191EF9" w:rsidP="000A1514">
                            <w:pPr>
                              <w:keepNext/>
                              <w:spacing w:after="120" w:line="240" w:lineRule="exact"/>
                              <w:ind w:left="284" w:right="284"/>
                              <w:rPr>
                                <w:rFonts w:ascii="Calibri" w:hAnsi="Calibri"/>
                                <w:color w:val="FFFFFF" w:themeColor="background1"/>
                              </w:rPr>
                            </w:pPr>
                          </w:p>
                          <w:p w14:paraId="032B0DA0" w14:textId="36B4C10E" w:rsidR="00191EF9" w:rsidRDefault="00191EF9" w:rsidP="000A1514">
                            <w:pPr>
                              <w:keepNext/>
                              <w:spacing w:after="120" w:line="240" w:lineRule="exact"/>
                              <w:ind w:left="284" w:right="284"/>
                              <w:rPr>
                                <w:rFonts w:ascii="Calibri" w:hAnsi="Calibri"/>
                                <w:color w:val="FFFFFF" w:themeColor="background1"/>
                              </w:rPr>
                            </w:pPr>
                          </w:p>
                          <w:p w14:paraId="4F5F0270" w14:textId="5EB9DFC3" w:rsidR="00191EF9" w:rsidRDefault="00191EF9" w:rsidP="000A1514">
                            <w:pPr>
                              <w:keepNext/>
                              <w:spacing w:after="120" w:line="240" w:lineRule="exact"/>
                              <w:ind w:left="284" w:right="284"/>
                              <w:rPr>
                                <w:rFonts w:ascii="Calibri" w:hAnsi="Calibri"/>
                                <w:color w:val="FFFFFF" w:themeColor="background1"/>
                              </w:rPr>
                            </w:pPr>
                          </w:p>
                          <w:p w14:paraId="4300F9D4" w14:textId="3E223467" w:rsidR="00191EF9" w:rsidRDefault="00191EF9" w:rsidP="000A1514">
                            <w:pPr>
                              <w:keepNext/>
                              <w:spacing w:after="120" w:line="240" w:lineRule="exact"/>
                              <w:ind w:left="284" w:right="284"/>
                              <w:rPr>
                                <w:rFonts w:ascii="Calibri" w:hAnsi="Calibri"/>
                                <w:color w:val="FFFFFF" w:themeColor="background1"/>
                              </w:rPr>
                            </w:pPr>
                          </w:p>
                          <w:p w14:paraId="41413B92" w14:textId="37055DC0" w:rsidR="00191EF9" w:rsidRPr="000A1514" w:rsidRDefault="00191EF9" w:rsidP="000A1514">
                            <w:pPr>
                              <w:keepNext/>
                              <w:spacing w:after="120" w:line="240" w:lineRule="exact"/>
                              <w:ind w:left="284" w:right="284"/>
                              <w:rPr>
                                <w:rFonts w:ascii="Calibri" w:hAnsi="Calibri"/>
                                <w:color w:val="FFFFFF" w:themeColor="background1"/>
                              </w:rPr>
                            </w:pPr>
                            <w:r>
                              <w:rPr>
                                <w:noProof/>
                              </w:rPr>
                              <w:drawing>
                                <wp:inline distT="0" distB="0" distL="0" distR="0" wp14:anchorId="63EA6AAF" wp14:editId="55C2A8A3">
                                  <wp:extent cx="4219575" cy="2200275"/>
                                  <wp:effectExtent l="0" t="0" r="9525" b="9525"/>
                                  <wp:docPr id="38" name="Picture 38" descr="Picture from DuluxGroup for DuluxGroup case study." title="DuluxGroup case study pictur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219575" cy="2200275"/>
                                          </a:xfrm>
                                          <a:prstGeom prst="rect">
                                            <a:avLst/>
                                          </a:prstGeom>
                                        </pic:spPr>
                                      </pic:pic>
                                    </a:graphicData>
                                  </a:graphic>
                                </wp:inline>
                              </w:drawing>
                            </w:r>
                          </w:p>
                          <w:p w14:paraId="61065976" w14:textId="0B8ED215" w:rsidR="00191EF9" w:rsidRDefault="00191EF9" w:rsidP="000A1514">
                            <w:pPr>
                              <w:keepNext/>
                              <w:spacing w:after="120" w:line="240" w:lineRule="exact"/>
                              <w:ind w:left="284" w:right="284"/>
                              <w:rPr>
                                <w:rFonts w:ascii="Calibri" w:hAnsi="Calibri"/>
                                <w:color w:val="FFFFFF" w:themeColor="background1"/>
                              </w:rPr>
                            </w:pPr>
                            <w:r>
                              <w:rPr>
                                <w:rFonts w:ascii="Calibri" w:hAnsi="Calibri"/>
                                <w:color w:val="FFFFFF" w:themeColor="background1"/>
                              </w:rPr>
                              <w:t>Source: DuluxGroup</w:t>
                            </w:r>
                          </w:p>
                          <w:p w14:paraId="7EFBA483" w14:textId="6B46BED5" w:rsidR="00191EF9" w:rsidRDefault="00191EF9" w:rsidP="00F4496C">
                            <w:pPr>
                              <w:keepNext/>
                              <w:spacing w:after="120" w:line="240" w:lineRule="exact"/>
                              <w:ind w:right="284"/>
                            </w:pP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6AC9" id="Snip and Round Single Corner Rectangle 11" o:spid="_x0000_s1028" style="position:absolute;left:0;text-align:left;margin-left:-.25pt;margin-top:20.7pt;width:385.5pt;height:4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5850,561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" o:allowoverlap="f" adj="-11796480,,5400" path="m270789,l4366266,r529584,529584l4895850,5613400,,5613400,,270789c,121236,121236,,270789,xe" fillcolor="#653979" stroked="f" strokeweight="2pt">
                <v:stroke joinstyle="miter"/>
                <v:formulas/>
                <v:path arrowok="t" o:connecttype="custom" o:connectlocs="270789,0;4366266,0;4895850,529584;4895850,5613400;0,5613400;0,270789;270789,0" o:connectangles="0,0,0,0,0,0,0" textboxrect="0,0,4895850,5613400"/>
                <v:textbox inset=".5mm,0,.5mm,0">
                  <w:txbxContent>
                    <w:p w14:paraId="2D847F99" w14:textId="77777777" w:rsidR="00191EF9" w:rsidRPr="000A1514" w:rsidRDefault="00191EF9" w:rsidP="000A1514">
                      <w:pPr>
                        <w:pStyle w:val="CaseStudyHeading"/>
                      </w:pPr>
                      <w:bookmarkStart w:id="105" w:name="_Toc33521377"/>
                      <w:r w:rsidRPr="000A1514">
                        <w:t>DuluxGroup case study</w:t>
                      </w:r>
                      <w:bookmarkEnd w:id="105"/>
                    </w:p>
                    <w:p w14:paraId="4F1FEEEB" w14:textId="77777777" w:rsidR="00191EF9" w:rsidRPr="000A1514" w:rsidRDefault="00191EF9" w:rsidP="000A1514">
                      <w:pPr>
                        <w:keepNext/>
                        <w:spacing w:after="120" w:line="240" w:lineRule="exact"/>
                        <w:ind w:left="284" w:right="284"/>
                        <w:rPr>
                          <w:rFonts w:ascii="Calibri" w:hAnsi="Calibri"/>
                          <w:color w:val="FFFFFF" w:themeColor="background1"/>
                        </w:rPr>
                      </w:pPr>
                      <w:r w:rsidRPr="000A1514">
                        <w:rPr>
                          <w:rFonts w:ascii="Calibri" w:hAnsi="Calibri"/>
                          <w:color w:val="FFFFFF" w:themeColor="background1"/>
                        </w:rPr>
                        <w:t xml:space="preserve">Japanese companies were involved in several large transactions in 2019. Among these was Nippon Paint’s $3.8 billion acquisition of the ASX listed DuluxGroup Limited. DuluxGroup is one of Australia’s largest manufacturers and distributors of paints, adhesives and other building products. The acquisition is expected to allow Nippon Paint to expand across the Asia Pacific region, beyond its existing market. Nippon Paint intends to grow the DuluxGroup business, and provide increased opportunities for DuluxGroup to pursue its growth ambitions by leveraging Nippon Paint’s global scale and resources.  </w:t>
                      </w:r>
                    </w:p>
                    <w:p w14:paraId="171D7B26" w14:textId="64018451" w:rsidR="00191EF9" w:rsidRDefault="00191EF9" w:rsidP="000A1514">
                      <w:pPr>
                        <w:keepNext/>
                        <w:spacing w:after="120" w:line="240" w:lineRule="exact"/>
                        <w:ind w:left="284" w:right="284"/>
                        <w:rPr>
                          <w:rFonts w:ascii="Calibri" w:hAnsi="Calibri"/>
                          <w:color w:val="FFFFFF" w:themeColor="background1"/>
                        </w:rPr>
                      </w:pPr>
                      <w:r w:rsidRPr="000A1514">
                        <w:rPr>
                          <w:rFonts w:ascii="Calibri" w:hAnsi="Calibri"/>
                          <w:color w:val="FFFFFF" w:themeColor="background1"/>
                        </w:rPr>
                        <w:t>Competition is a key national interest consideration when assessing proposed investments. In this particular transaction Nippon Paint only sold specialised paint in Australia to the car repairs industry and, as such, there was little overlap between its and Dulux’s business, thereby mitigating concerns around a lessening of competition.</w:t>
                      </w:r>
                    </w:p>
                    <w:p w14:paraId="5079486C" w14:textId="7FC7DFFA" w:rsidR="00191EF9" w:rsidRDefault="00191EF9" w:rsidP="000A1514">
                      <w:pPr>
                        <w:keepNext/>
                        <w:spacing w:after="120" w:line="240" w:lineRule="exact"/>
                        <w:ind w:left="284" w:right="284"/>
                        <w:rPr>
                          <w:rFonts w:ascii="Calibri" w:hAnsi="Calibri"/>
                          <w:color w:val="FFFFFF" w:themeColor="background1"/>
                        </w:rPr>
                      </w:pPr>
                    </w:p>
                    <w:p w14:paraId="31E87D9F" w14:textId="5FD5F79C" w:rsidR="00191EF9" w:rsidRDefault="00191EF9" w:rsidP="000A1514">
                      <w:pPr>
                        <w:keepNext/>
                        <w:spacing w:after="120" w:line="240" w:lineRule="exact"/>
                        <w:ind w:left="284" w:right="284"/>
                        <w:rPr>
                          <w:rFonts w:ascii="Calibri" w:hAnsi="Calibri"/>
                          <w:color w:val="FFFFFF" w:themeColor="background1"/>
                        </w:rPr>
                      </w:pPr>
                    </w:p>
                    <w:p w14:paraId="2E89095E" w14:textId="67014F3D" w:rsidR="00191EF9" w:rsidRDefault="00191EF9" w:rsidP="000A1514">
                      <w:pPr>
                        <w:keepNext/>
                        <w:spacing w:after="120" w:line="240" w:lineRule="exact"/>
                        <w:ind w:left="284" w:right="284"/>
                        <w:rPr>
                          <w:rFonts w:ascii="Calibri" w:hAnsi="Calibri"/>
                          <w:color w:val="FFFFFF" w:themeColor="background1"/>
                        </w:rPr>
                      </w:pPr>
                    </w:p>
                    <w:p w14:paraId="3849D484" w14:textId="559134F1" w:rsidR="00191EF9" w:rsidRDefault="00191EF9" w:rsidP="000A1514">
                      <w:pPr>
                        <w:keepNext/>
                        <w:spacing w:after="120" w:line="240" w:lineRule="exact"/>
                        <w:ind w:left="284" w:right="284"/>
                        <w:rPr>
                          <w:rFonts w:ascii="Calibri" w:hAnsi="Calibri"/>
                          <w:color w:val="FFFFFF" w:themeColor="background1"/>
                        </w:rPr>
                      </w:pPr>
                    </w:p>
                    <w:p w14:paraId="5045F2D8" w14:textId="16920685" w:rsidR="00191EF9" w:rsidRDefault="00191EF9" w:rsidP="000A1514">
                      <w:pPr>
                        <w:keepNext/>
                        <w:spacing w:after="120" w:line="240" w:lineRule="exact"/>
                        <w:ind w:left="284" w:right="284"/>
                        <w:rPr>
                          <w:rFonts w:ascii="Calibri" w:hAnsi="Calibri"/>
                          <w:color w:val="FFFFFF" w:themeColor="background1"/>
                        </w:rPr>
                      </w:pPr>
                    </w:p>
                    <w:p w14:paraId="7B10ED16" w14:textId="1C762CEB" w:rsidR="00191EF9" w:rsidRDefault="00191EF9" w:rsidP="000A1514">
                      <w:pPr>
                        <w:keepNext/>
                        <w:spacing w:after="120" w:line="240" w:lineRule="exact"/>
                        <w:ind w:left="284" w:right="284"/>
                        <w:rPr>
                          <w:rFonts w:ascii="Calibri" w:hAnsi="Calibri"/>
                          <w:color w:val="FFFFFF" w:themeColor="background1"/>
                        </w:rPr>
                      </w:pPr>
                    </w:p>
                    <w:p w14:paraId="7CA60052" w14:textId="29FA5211" w:rsidR="00191EF9" w:rsidRDefault="00191EF9" w:rsidP="000A1514">
                      <w:pPr>
                        <w:keepNext/>
                        <w:spacing w:after="120" w:line="240" w:lineRule="exact"/>
                        <w:ind w:left="284" w:right="284"/>
                        <w:rPr>
                          <w:rFonts w:ascii="Calibri" w:hAnsi="Calibri"/>
                          <w:color w:val="FFFFFF" w:themeColor="background1"/>
                        </w:rPr>
                      </w:pPr>
                    </w:p>
                    <w:p w14:paraId="032B0DA0" w14:textId="36B4C10E" w:rsidR="00191EF9" w:rsidRDefault="00191EF9" w:rsidP="000A1514">
                      <w:pPr>
                        <w:keepNext/>
                        <w:spacing w:after="120" w:line="240" w:lineRule="exact"/>
                        <w:ind w:left="284" w:right="284"/>
                        <w:rPr>
                          <w:rFonts w:ascii="Calibri" w:hAnsi="Calibri"/>
                          <w:color w:val="FFFFFF" w:themeColor="background1"/>
                        </w:rPr>
                      </w:pPr>
                    </w:p>
                    <w:p w14:paraId="4F5F0270" w14:textId="5EB9DFC3" w:rsidR="00191EF9" w:rsidRDefault="00191EF9" w:rsidP="000A1514">
                      <w:pPr>
                        <w:keepNext/>
                        <w:spacing w:after="120" w:line="240" w:lineRule="exact"/>
                        <w:ind w:left="284" w:right="284"/>
                        <w:rPr>
                          <w:rFonts w:ascii="Calibri" w:hAnsi="Calibri"/>
                          <w:color w:val="FFFFFF" w:themeColor="background1"/>
                        </w:rPr>
                      </w:pPr>
                    </w:p>
                    <w:p w14:paraId="4300F9D4" w14:textId="3E223467" w:rsidR="00191EF9" w:rsidRDefault="00191EF9" w:rsidP="000A1514">
                      <w:pPr>
                        <w:keepNext/>
                        <w:spacing w:after="120" w:line="240" w:lineRule="exact"/>
                        <w:ind w:left="284" w:right="284"/>
                        <w:rPr>
                          <w:rFonts w:ascii="Calibri" w:hAnsi="Calibri"/>
                          <w:color w:val="FFFFFF" w:themeColor="background1"/>
                        </w:rPr>
                      </w:pPr>
                    </w:p>
                    <w:p w14:paraId="41413B92" w14:textId="37055DC0" w:rsidR="00191EF9" w:rsidRPr="000A1514" w:rsidRDefault="00191EF9" w:rsidP="000A1514">
                      <w:pPr>
                        <w:keepNext/>
                        <w:spacing w:after="120" w:line="240" w:lineRule="exact"/>
                        <w:ind w:left="284" w:right="284"/>
                        <w:rPr>
                          <w:rFonts w:ascii="Calibri" w:hAnsi="Calibri"/>
                          <w:color w:val="FFFFFF" w:themeColor="background1"/>
                        </w:rPr>
                      </w:pPr>
                      <w:r>
                        <w:rPr>
                          <w:noProof/>
                        </w:rPr>
                        <w:drawing>
                          <wp:inline distT="0" distB="0" distL="0" distR="0" wp14:anchorId="63EA6AAF" wp14:editId="55C2A8A3">
                            <wp:extent cx="4219575" cy="2200275"/>
                            <wp:effectExtent l="0" t="0" r="9525" b="9525"/>
                            <wp:docPr id="38" name="Picture 38" descr="Picture from DuluxGroup for DuluxGroup case study." title="DuluxGroup case study pictur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19575" cy="2200275"/>
                                    </a:xfrm>
                                    <a:prstGeom prst="rect">
                                      <a:avLst/>
                                    </a:prstGeom>
                                  </pic:spPr>
                                </pic:pic>
                              </a:graphicData>
                            </a:graphic>
                          </wp:inline>
                        </w:drawing>
                      </w:r>
                    </w:p>
                    <w:p w14:paraId="61065976" w14:textId="0B8ED215" w:rsidR="00191EF9" w:rsidRDefault="00191EF9" w:rsidP="000A1514">
                      <w:pPr>
                        <w:keepNext/>
                        <w:spacing w:after="120" w:line="240" w:lineRule="exact"/>
                        <w:ind w:left="284" w:right="284"/>
                        <w:rPr>
                          <w:rFonts w:ascii="Calibri" w:hAnsi="Calibri"/>
                          <w:color w:val="FFFFFF" w:themeColor="background1"/>
                        </w:rPr>
                      </w:pPr>
                      <w:r>
                        <w:rPr>
                          <w:rFonts w:ascii="Calibri" w:hAnsi="Calibri"/>
                          <w:color w:val="FFFFFF" w:themeColor="background1"/>
                        </w:rPr>
                        <w:t>Source: DuluxGroup</w:t>
                      </w:r>
                    </w:p>
                    <w:p w14:paraId="7EFBA483" w14:textId="6B46BED5" w:rsidR="00191EF9" w:rsidRDefault="00191EF9" w:rsidP="00F4496C">
                      <w:pPr>
                        <w:keepNext/>
                        <w:spacing w:after="120" w:line="240" w:lineRule="exact"/>
                        <w:ind w:right="284"/>
                      </w:pPr>
                    </w:p>
                  </w:txbxContent>
                </v:textbox>
                <w10:wrap type="square"/>
                <w10:anchorlock/>
              </v:shape>
            </w:pict>
          </mc:Fallback>
        </mc:AlternateContent>
      </w:r>
    </w:p>
    <w:p w14:paraId="3200021D" w14:textId="77777777" w:rsidR="000A1514" w:rsidRDefault="000A1514" w:rsidP="00497197">
      <w:pPr>
        <w:pStyle w:val="SingleParagraph"/>
      </w:pPr>
    </w:p>
    <w:p w14:paraId="52B69EB6" w14:textId="5EB07186" w:rsidR="00A84283" w:rsidRPr="006D64A2" w:rsidRDefault="00A84283" w:rsidP="008B5485">
      <w:pPr>
        <w:pStyle w:val="Heading3"/>
      </w:pPr>
      <w:r w:rsidRPr="006D64A2">
        <w:t>Mineral exploration and development</w:t>
      </w:r>
    </w:p>
    <w:p w14:paraId="760CBEEA" w14:textId="44AD3BB4" w:rsidR="006D2447" w:rsidRDefault="004B37F5" w:rsidP="002E2EFE">
      <w:r>
        <w:t>In 2018–19, there were 121</w:t>
      </w:r>
      <w:r w:rsidR="00254DA2" w:rsidRPr="00254DA2">
        <w:t xml:space="preserve"> approvals in the mineral exploration and development sector, with a proposed investment value of $1</w:t>
      </w:r>
      <w:r>
        <w:t>6</w:t>
      </w:r>
      <w:r w:rsidR="00254DA2" w:rsidRPr="00254DA2">
        <w:t>.</w:t>
      </w:r>
      <w:r>
        <w:t>9</w:t>
      </w:r>
      <w:r w:rsidR="00254DA2" w:rsidRPr="00254DA2">
        <w:t xml:space="preserve"> billion. </w:t>
      </w:r>
      <w:r w:rsidR="008145E1">
        <w:t>This is down by $0.5 billion compared to the previous year</w:t>
      </w:r>
      <w:r w:rsidR="006D2447">
        <w:t xml:space="preserve">. </w:t>
      </w:r>
    </w:p>
    <w:p w14:paraId="2C2CE70F" w14:textId="4821BB19" w:rsidR="004B436F" w:rsidRPr="00A84283" w:rsidRDefault="00285637" w:rsidP="002E2EFE">
      <w:r>
        <w:t>The United States ($2.9 billion), China ($2.7</w:t>
      </w:r>
      <w:r w:rsidR="00A84283" w:rsidRPr="00A84283">
        <w:t xml:space="preserve"> billion) and </w:t>
      </w:r>
      <w:r>
        <w:t>Canada ($1.1</w:t>
      </w:r>
      <w:r w:rsidR="00A84283" w:rsidRPr="00A84283">
        <w:t xml:space="preserve"> billion) were the largest source countries of investment by value in the sector.</w:t>
      </w:r>
    </w:p>
    <w:p w14:paraId="63DFD0C4" w14:textId="4DED4C3E" w:rsidR="00A84283" w:rsidRDefault="00A84283" w:rsidP="00316050">
      <w:pPr>
        <w:pStyle w:val="TableMainHeading"/>
      </w:pPr>
      <w:bookmarkStart w:id="103" w:name="_Toc32247767"/>
      <w:bookmarkStart w:id="104" w:name="_Toc33521352"/>
      <w:r w:rsidRPr="00316050">
        <w:lastRenderedPageBreak/>
        <w:t>Table 3.6: Mineral exploration and development sector approvals: 201</w:t>
      </w:r>
      <w:r w:rsidR="00285637" w:rsidRPr="00316050">
        <w:t>5</w:t>
      </w:r>
      <w:r w:rsidRPr="00316050">
        <w:t>–1</w:t>
      </w:r>
      <w:r w:rsidR="00285637" w:rsidRPr="00316050">
        <w:t>6</w:t>
      </w:r>
      <w:r w:rsidRPr="00316050">
        <w:t xml:space="preserve"> to 201</w:t>
      </w:r>
      <w:r w:rsidR="00285637" w:rsidRPr="00316050">
        <w:t>8</w:t>
      </w:r>
      <w:r w:rsidRPr="00316050">
        <w:t>–1</w:t>
      </w:r>
      <w:r w:rsidR="00285637" w:rsidRPr="00316050">
        <w:t>9</w:t>
      </w:r>
      <w:bookmarkEnd w:id="103"/>
      <w:bookmarkEnd w:id="104"/>
    </w:p>
    <w:tbl>
      <w:tblPr>
        <w:tblW w:w="5000" w:type="pct"/>
        <w:tblLook w:val="04A0" w:firstRow="1" w:lastRow="0" w:firstColumn="1" w:lastColumn="0" w:noHBand="0" w:noVBand="1"/>
      </w:tblPr>
      <w:tblGrid>
        <w:gridCol w:w="2551"/>
        <w:gridCol w:w="596"/>
        <w:gridCol w:w="693"/>
        <w:gridCol w:w="597"/>
        <w:gridCol w:w="693"/>
        <w:gridCol w:w="631"/>
        <w:gridCol w:w="659"/>
        <w:gridCol w:w="631"/>
        <w:gridCol w:w="659"/>
      </w:tblGrid>
      <w:tr w:rsidR="00AE2955" w:rsidRPr="001C181E" w14:paraId="731DE3AD" w14:textId="77777777" w:rsidTr="00CB5DF7">
        <w:trPr>
          <w:trHeight w:val="225"/>
        </w:trPr>
        <w:tc>
          <w:tcPr>
            <w:tcW w:w="2896" w:type="dxa"/>
            <w:tcBorders>
              <w:top w:val="single" w:sz="2" w:space="0" w:color="000000" w:themeColor="text1"/>
              <w:left w:val="nil"/>
              <w:bottom w:val="nil"/>
              <w:right w:val="nil"/>
            </w:tcBorders>
            <w:shd w:val="clear" w:color="000000" w:fill="FFFFFF"/>
            <w:noWrap/>
            <w:vAlign w:val="center"/>
            <w:hideMark/>
          </w:tcPr>
          <w:p w14:paraId="78BCC130" w14:textId="77777777" w:rsidR="00AE2955" w:rsidRPr="001C181E" w:rsidRDefault="00AE2955" w:rsidP="00F4496C">
            <w:pPr>
              <w:spacing w:after="0" w:line="240" w:lineRule="auto"/>
              <w:rPr>
                <w:rFonts w:ascii="Arial" w:hAnsi="Arial" w:cs="Arial"/>
                <w:sz w:val="16"/>
                <w:szCs w:val="16"/>
              </w:rPr>
            </w:pPr>
            <w:r w:rsidRPr="001C181E">
              <w:rPr>
                <w:rFonts w:ascii="Arial" w:hAnsi="Arial" w:cs="Arial"/>
                <w:sz w:val="16"/>
                <w:szCs w:val="16"/>
              </w:rPr>
              <w:t> </w:t>
            </w:r>
          </w:p>
        </w:tc>
        <w:tc>
          <w:tcPr>
            <w:tcW w:w="1416" w:type="dxa"/>
            <w:gridSpan w:val="2"/>
            <w:tcBorders>
              <w:top w:val="single" w:sz="2" w:space="0" w:color="000000" w:themeColor="text1"/>
              <w:left w:val="nil"/>
              <w:right w:val="nil"/>
            </w:tcBorders>
            <w:shd w:val="clear" w:color="000000" w:fill="FFFFFF"/>
            <w:noWrap/>
            <w:vAlign w:val="center"/>
            <w:hideMark/>
          </w:tcPr>
          <w:p w14:paraId="7C4C54EE" w14:textId="77777777" w:rsidR="00AE2955" w:rsidRPr="001C181E" w:rsidRDefault="00AE2955" w:rsidP="00F4496C">
            <w:pPr>
              <w:spacing w:after="0" w:line="240" w:lineRule="auto"/>
              <w:jc w:val="center"/>
              <w:rPr>
                <w:rFonts w:ascii="Arial" w:hAnsi="Arial" w:cs="Arial"/>
                <w:sz w:val="16"/>
                <w:szCs w:val="16"/>
              </w:rPr>
            </w:pPr>
            <w:r w:rsidRPr="001C181E">
              <w:rPr>
                <w:rFonts w:ascii="Arial" w:hAnsi="Arial" w:cs="Arial"/>
                <w:sz w:val="16"/>
                <w:szCs w:val="16"/>
              </w:rPr>
              <w:t>2015-16</w:t>
            </w:r>
          </w:p>
        </w:tc>
        <w:tc>
          <w:tcPr>
            <w:tcW w:w="1416" w:type="dxa"/>
            <w:gridSpan w:val="2"/>
            <w:tcBorders>
              <w:top w:val="single" w:sz="2" w:space="0" w:color="000000" w:themeColor="text1"/>
              <w:left w:val="nil"/>
              <w:right w:val="nil"/>
            </w:tcBorders>
            <w:shd w:val="clear" w:color="000000" w:fill="FFFFFF"/>
            <w:noWrap/>
            <w:vAlign w:val="center"/>
            <w:hideMark/>
          </w:tcPr>
          <w:p w14:paraId="17633077" w14:textId="77777777" w:rsidR="00AE2955" w:rsidRPr="001C181E" w:rsidRDefault="00AE2955" w:rsidP="00F4496C">
            <w:pPr>
              <w:spacing w:after="0" w:line="240" w:lineRule="auto"/>
              <w:jc w:val="center"/>
              <w:rPr>
                <w:rFonts w:ascii="Arial" w:hAnsi="Arial" w:cs="Arial"/>
                <w:sz w:val="16"/>
                <w:szCs w:val="16"/>
              </w:rPr>
            </w:pPr>
            <w:r w:rsidRPr="001C181E">
              <w:rPr>
                <w:rFonts w:ascii="Arial" w:hAnsi="Arial" w:cs="Arial"/>
                <w:sz w:val="16"/>
                <w:szCs w:val="16"/>
              </w:rPr>
              <w:t>2016-17</w:t>
            </w:r>
          </w:p>
        </w:tc>
        <w:tc>
          <w:tcPr>
            <w:tcW w:w="1416" w:type="dxa"/>
            <w:gridSpan w:val="2"/>
            <w:tcBorders>
              <w:top w:val="single" w:sz="2" w:space="0" w:color="000000" w:themeColor="text1"/>
              <w:left w:val="nil"/>
              <w:right w:val="nil"/>
            </w:tcBorders>
            <w:shd w:val="clear" w:color="auto" w:fill="auto"/>
            <w:noWrap/>
            <w:vAlign w:val="center"/>
            <w:hideMark/>
          </w:tcPr>
          <w:p w14:paraId="5346FE66" w14:textId="77777777" w:rsidR="00AE2955" w:rsidRPr="001C181E" w:rsidRDefault="00AE2955" w:rsidP="00F4496C">
            <w:pPr>
              <w:spacing w:after="0" w:line="240" w:lineRule="auto"/>
              <w:jc w:val="center"/>
              <w:rPr>
                <w:rFonts w:ascii="Arial" w:hAnsi="Arial" w:cs="Arial"/>
                <w:sz w:val="16"/>
                <w:szCs w:val="16"/>
              </w:rPr>
            </w:pPr>
            <w:r w:rsidRPr="001C181E">
              <w:rPr>
                <w:rFonts w:ascii="Arial" w:hAnsi="Arial" w:cs="Arial"/>
                <w:sz w:val="16"/>
                <w:szCs w:val="16"/>
              </w:rPr>
              <w:t>2017-18</w:t>
            </w:r>
          </w:p>
        </w:tc>
        <w:tc>
          <w:tcPr>
            <w:tcW w:w="1416" w:type="dxa"/>
            <w:gridSpan w:val="2"/>
            <w:tcBorders>
              <w:top w:val="single" w:sz="2" w:space="0" w:color="000000" w:themeColor="text1"/>
              <w:left w:val="nil"/>
              <w:right w:val="nil"/>
            </w:tcBorders>
            <w:shd w:val="clear" w:color="000000" w:fill="F2F2F2"/>
            <w:noWrap/>
            <w:vAlign w:val="center"/>
            <w:hideMark/>
          </w:tcPr>
          <w:p w14:paraId="659A7F98" w14:textId="77777777" w:rsidR="00AE2955" w:rsidRPr="001C181E" w:rsidRDefault="00AE2955" w:rsidP="00F4496C">
            <w:pPr>
              <w:spacing w:after="0" w:line="240" w:lineRule="auto"/>
              <w:jc w:val="center"/>
              <w:rPr>
                <w:rFonts w:ascii="Arial" w:hAnsi="Arial" w:cs="Arial"/>
                <w:sz w:val="16"/>
                <w:szCs w:val="16"/>
              </w:rPr>
            </w:pPr>
            <w:r w:rsidRPr="001C181E">
              <w:rPr>
                <w:rFonts w:ascii="Arial" w:hAnsi="Arial" w:cs="Arial"/>
                <w:sz w:val="16"/>
                <w:szCs w:val="16"/>
              </w:rPr>
              <w:t>2018-19</w:t>
            </w:r>
          </w:p>
        </w:tc>
      </w:tr>
      <w:tr w:rsidR="00AE2955" w:rsidRPr="001C181E" w14:paraId="157FAA95" w14:textId="77777777" w:rsidTr="00CB5DF7">
        <w:trPr>
          <w:trHeight w:val="225"/>
        </w:trPr>
        <w:tc>
          <w:tcPr>
            <w:tcW w:w="2896" w:type="dxa"/>
            <w:tcBorders>
              <w:top w:val="nil"/>
              <w:left w:val="nil"/>
              <w:bottom w:val="single" w:sz="2" w:space="0" w:color="000000" w:themeColor="text1"/>
              <w:right w:val="nil"/>
            </w:tcBorders>
            <w:shd w:val="clear" w:color="000000" w:fill="FFFFFF"/>
            <w:noWrap/>
            <w:vAlign w:val="center"/>
            <w:hideMark/>
          </w:tcPr>
          <w:p w14:paraId="5CB44E8B" w14:textId="77777777" w:rsidR="00AE2955" w:rsidRPr="001C181E" w:rsidRDefault="00AE2955" w:rsidP="00F4496C">
            <w:pPr>
              <w:spacing w:after="0" w:line="240" w:lineRule="auto"/>
              <w:rPr>
                <w:rFonts w:ascii="Arial" w:hAnsi="Arial" w:cs="Arial"/>
                <w:sz w:val="16"/>
                <w:szCs w:val="16"/>
              </w:rPr>
            </w:pPr>
            <w:r>
              <w:rPr>
                <w:rFonts w:ascii="Arial" w:hAnsi="Arial" w:cs="Arial"/>
                <w:sz w:val="16"/>
                <w:szCs w:val="16"/>
              </w:rPr>
              <w:t>Group</w:t>
            </w:r>
          </w:p>
        </w:tc>
        <w:tc>
          <w:tcPr>
            <w:tcW w:w="653" w:type="dxa"/>
            <w:tcBorders>
              <w:left w:val="nil"/>
              <w:bottom w:val="single" w:sz="2" w:space="0" w:color="000000" w:themeColor="text1"/>
              <w:right w:val="nil"/>
            </w:tcBorders>
            <w:shd w:val="clear" w:color="000000" w:fill="FFFFFF"/>
            <w:noWrap/>
            <w:vAlign w:val="center"/>
            <w:hideMark/>
          </w:tcPr>
          <w:p w14:paraId="0C361D84"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No.</w:t>
            </w:r>
          </w:p>
        </w:tc>
        <w:tc>
          <w:tcPr>
            <w:tcW w:w="763" w:type="dxa"/>
            <w:tcBorders>
              <w:left w:val="nil"/>
              <w:bottom w:val="single" w:sz="2" w:space="0" w:color="000000" w:themeColor="text1"/>
              <w:right w:val="nil"/>
            </w:tcBorders>
            <w:shd w:val="clear" w:color="000000" w:fill="FFFFFF"/>
            <w:noWrap/>
            <w:vAlign w:val="center"/>
            <w:hideMark/>
          </w:tcPr>
          <w:p w14:paraId="1316FD77"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$b</w:t>
            </w:r>
          </w:p>
        </w:tc>
        <w:tc>
          <w:tcPr>
            <w:tcW w:w="653" w:type="dxa"/>
            <w:tcBorders>
              <w:left w:val="nil"/>
              <w:bottom w:val="single" w:sz="2" w:space="0" w:color="000000" w:themeColor="text1"/>
              <w:right w:val="nil"/>
            </w:tcBorders>
            <w:shd w:val="clear" w:color="000000" w:fill="FFFFFF"/>
            <w:noWrap/>
            <w:vAlign w:val="center"/>
            <w:hideMark/>
          </w:tcPr>
          <w:p w14:paraId="74066DA8"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No.</w:t>
            </w:r>
          </w:p>
        </w:tc>
        <w:tc>
          <w:tcPr>
            <w:tcW w:w="763" w:type="dxa"/>
            <w:tcBorders>
              <w:left w:val="nil"/>
              <w:bottom w:val="single" w:sz="2" w:space="0" w:color="000000" w:themeColor="text1"/>
              <w:right w:val="nil"/>
            </w:tcBorders>
            <w:shd w:val="clear" w:color="000000" w:fill="FFFFFF"/>
            <w:noWrap/>
            <w:vAlign w:val="center"/>
            <w:hideMark/>
          </w:tcPr>
          <w:p w14:paraId="35A9C569"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$b</w:t>
            </w:r>
          </w:p>
        </w:tc>
        <w:tc>
          <w:tcPr>
            <w:tcW w:w="692" w:type="dxa"/>
            <w:tcBorders>
              <w:left w:val="nil"/>
              <w:bottom w:val="single" w:sz="2" w:space="0" w:color="000000" w:themeColor="text1"/>
              <w:right w:val="nil"/>
            </w:tcBorders>
            <w:shd w:val="clear" w:color="000000" w:fill="FFFFFF"/>
            <w:vAlign w:val="center"/>
            <w:hideMark/>
          </w:tcPr>
          <w:p w14:paraId="4D071EE4"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No.</w:t>
            </w:r>
          </w:p>
        </w:tc>
        <w:tc>
          <w:tcPr>
            <w:tcW w:w="724" w:type="dxa"/>
            <w:tcBorders>
              <w:left w:val="nil"/>
              <w:bottom w:val="single" w:sz="2" w:space="0" w:color="000000" w:themeColor="text1"/>
              <w:right w:val="nil"/>
            </w:tcBorders>
            <w:shd w:val="clear" w:color="000000" w:fill="FFFFFF"/>
            <w:vAlign w:val="center"/>
            <w:hideMark/>
          </w:tcPr>
          <w:p w14:paraId="2538F130"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$b</w:t>
            </w:r>
          </w:p>
        </w:tc>
        <w:tc>
          <w:tcPr>
            <w:tcW w:w="692" w:type="dxa"/>
            <w:tcBorders>
              <w:left w:val="nil"/>
              <w:bottom w:val="single" w:sz="2" w:space="0" w:color="000000" w:themeColor="text1"/>
              <w:right w:val="nil"/>
            </w:tcBorders>
            <w:shd w:val="clear" w:color="000000" w:fill="F2F2F2"/>
            <w:vAlign w:val="center"/>
            <w:hideMark/>
          </w:tcPr>
          <w:p w14:paraId="1489888B"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No.</w:t>
            </w:r>
          </w:p>
        </w:tc>
        <w:tc>
          <w:tcPr>
            <w:tcW w:w="724" w:type="dxa"/>
            <w:tcBorders>
              <w:left w:val="nil"/>
              <w:bottom w:val="single" w:sz="2" w:space="0" w:color="000000" w:themeColor="text1"/>
              <w:right w:val="nil"/>
            </w:tcBorders>
            <w:shd w:val="clear" w:color="000000" w:fill="F2F2F2"/>
            <w:vAlign w:val="center"/>
            <w:hideMark/>
          </w:tcPr>
          <w:p w14:paraId="7B48089F"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$b</w:t>
            </w:r>
          </w:p>
        </w:tc>
      </w:tr>
      <w:tr w:rsidR="00AE2955" w:rsidRPr="001C181E" w14:paraId="3D069B9A" w14:textId="77777777" w:rsidTr="00CB5DF7">
        <w:trPr>
          <w:trHeight w:val="225"/>
        </w:trPr>
        <w:tc>
          <w:tcPr>
            <w:tcW w:w="2896" w:type="dxa"/>
            <w:tcBorders>
              <w:top w:val="single" w:sz="2" w:space="0" w:color="000000" w:themeColor="text1"/>
              <w:left w:val="nil"/>
              <w:bottom w:val="nil"/>
              <w:right w:val="nil"/>
            </w:tcBorders>
            <w:shd w:val="clear" w:color="000000" w:fill="FFFFFF"/>
            <w:noWrap/>
            <w:vAlign w:val="center"/>
            <w:hideMark/>
          </w:tcPr>
          <w:p w14:paraId="5DBFE27B" w14:textId="77777777" w:rsidR="00AE2955" w:rsidRPr="001C181E" w:rsidRDefault="00AE2955" w:rsidP="00F4496C">
            <w:pPr>
              <w:spacing w:after="0" w:line="240" w:lineRule="auto"/>
              <w:rPr>
                <w:rFonts w:ascii="Arial" w:hAnsi="Arial" w:cs="Arial"/>
                <w:sz w:val="16"/>
                <w:szCs w:val="16"/>
              </w:rPr>
            </w:pPr>
            <w:r w:rsidRPr="001C181E">
              <w:rPr>
                <w:rFonts w:ascii="Arial" w:hAnsi="Arial" w:cs="Arial"/>
                <w:sz w:val="16"/>
                <w:szCs w:val="16"/>
              </w:rPr>
              <w:t>Coal</w:t>
            </w:r>
          </w:p>
        </w:tc>
        <w:tc>
          <w:tcPr>
            <w:tcW w:w="653" w:type="dxa"/>
            <w:tcBorders>
              <w:top w:val="single" w:sz="2" w:space="0" w:color="000000" w:themeColor="text1"/>
              <w:left w:val="nil"/>
              <w:bottom w:val="nil"/>
              <w:right w:val="nil"/>
            </w:tcBorders>
            <w:shd w:val="clear" w:color="000000" w:fill="FFFFFF"/>
            <w:noWrap/>
            <w:vAlign w:val="center"/>
            <w:hideMark/>
          </w:tcPr>
          <w:p w14:paraId="2560660C"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31</w:t>
            </w:r>
          </w:p>
        </w:tc>
        <w:tc>
          <w:tcPr>
            <w:tcW w:w="763" w:type="dxa"/>
            <w:tcBorders>
              <w:top w:val="single" w:sz="2" w:space="0" w:color="000000" w:themeColor="text1"/>
              <w:left w:val="nil"/>
              <w:bottom w:val="nil"/>
              <w:right w:val="nil"/>
            </w:tcBorders>
            <w:shd w:val="clear" w:color="000000" w:fill="FFFFFF"/>
            <w:noWrap/>
            <w:vAlign w:val="center"/>
            <w:hideMark/>
          </w:tcPr>
          <w:p w14:paraId="7E379A45"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1.5</w:t>
            </w:r>
          </w:p>
        </w:tc>
        <w:tc>
          <w:tcPr>
            <w:tcW w:w="653" w:type="dxa"/>
            <w:tcBorders>
              <w:top w:val="single" w:sz="2" w:space="0" w:color="000000" w:themeColor="text1"/>
              <w:left w:val="nil"/>
              <w:bottom w:val="nil"/>
              <w:right w:val="nil"/>
            </w:tcBorders>
            <w:shd w:val="clear" w:color="000000" w:fill="FFFFFF"/>
            <w:noWrap/>
            <w:vAlign w:val="center"/>
            <w:hideMark/>
          </w:tcPr>
          <w:p w14:paraId="362646F2"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24</w:t>
            </w:r>
          </w:p>
        </w:tc>
        <w:tc>
          <w:tcPr>
            <w:tcW w:w="763" w:type="dxa"/>
            <w:tcBorders>
              <w:top w:val="single" w:sz="2" w:space="0" w:color="000000" w:themeColor="text1"/>
              <w:left w:val="nil"/>
              <w:bottom w:val="nil"/>
              <w:right w:val="nil"/>
            </w:tcBorders>
            <w:shd w:val="clear" w:color="000000" w:fill="FFFFFF"/>
            <w:noWrap/>
            <w:vAlign w:val="center"/>
            <w:hideMark/>
          </w:tcPr>
          <w:p w14:paraId="757C91BF"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5.5</w:t>
            </w:r>
          </w:p>
        </w:tc>
        <w:tc>
          <w:tcPr>
            <w:tcW w:w="692" w:type="dxa"/>
            <w:tcBorders>
              <w:top w:val="single" w:sz="2" w:space="0" w:color="000000" w:themeColor="text1"/>
              <w:left w:val="nil"/>
              <w:bottom w:val="nil"/>
              <w:right w:val="nil"/>
            </w:tcBorders>
            <w:shd w:val="clear" w:color="000000" w:fill="FFFFFF"/>
            <w:noWrap/>
            <w:vAlign w:val="center"/>
            <w:hideMark/>
          </w:tcPr>
          <w:p w14:paraId="46F03270"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23</w:t>
            </w:r>
          </w:p>
        </w:tc>
        <w:tc>
          <w:tcPr>
            <w:tcW w:w="724" w:type="dxa"/>
            <w:tcBorders>
              <w:top w:val="single" w:sz="2" w:space="0" w:color="000000" w:themeColor="text1"/>
              <w:left w:val="nil"/>
              <w:bottom w:val="nil"/>
              <w:right w:val="nil"/>
            </w:tcBorders>
            <w:shd w:val="clear" w:color="000000" w:fill="FFFFFF"/>
            <w:noWrap/>
            <w:vAlign w:val="center"/>
            <w:hideMark/>
          </w:tcPr>
          <w:p w14:paraId="07CBDBD1"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8.5</w:t>
            </w:r>
          </w:p>
        </w:tc>
        <w:tc>
          <w:tcPr>
            <w:tcW w:w="692" w:type="dxa"/>
            <w:tcBorders>
              <w:top w:val="single" w:sz="2" w:space="0" w:color="000000" w:themeColor="text1"/>
              <w:left w:val="nil"/>
              <w:bottom w:val="nil"/>
              <w:right w:val="nil"/>
            </w:tcBorders>
            <w:shd w:val="clear" w:color="000000" w:fill="F2F2F2"/>
            <w:noWrap/>
            <w:vAlign w:val="center"/>
            <w:hideMark/>
          </w:tcPr>
          <w:p w14:paraId="32BC8E55"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37</w:t>
            </w:r>
          </w:p>
        </w:tc>
        <w:tc>
          <w:tcPr>
            <w:tcW w:w="724" w:type="dxa"/>
            <w:tcBorders>
              <w:top w:val="single" w:sz="2" w:space="0" w:color="000000" w:themeColor="text1"/>
              <w:left w:val="nil"/>
              <w:bottom w:val="nil"/>
              <w:right w:val="nil"/>
            </w:tcBorders>
            <w:shd w:val="clear" w:color="000000" w:fill="F2F2F2"/>
            <w:noWrap/>
            <w:vAlign w:val="center"/>
            <w:hideMark/>
          </w:tcPr>
          <w:p w14:paraId="06AD2F92"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6.5</w:t>
            </w:r>
          </w:p>
        </w:tc>
      </w:tr>
      <w:tr w:rsidR="00AE2955" w:rsidRPr="001C181E" w14:paraId="2EDC0401" w14:textId="77777777" w:rsidTr="00F4496C">
        <w:trPr>
          <w:trHeight w:val="225"/>
        </w:trPr>
        <w:tc>
          <w:tcPr>
            <w:tcW w:w="2896" w:type="dxa"/>
            <w:tcBorders>
              <w:top w:val="nil"/>
              <w:left w:val="nil"/>
              <w:bottom w:val="nil"/>
              <w:right w:val="nil"/>
            </w:tcBorders>
            <w:shd w:val="clear" w:color="000000" w:fill="FFFFFF"/>
            <w:noWrap/>
            <w:vAlign w:val="center"/>
            <w:hideMark/>
          </w:tcPr>
          <w:p w14:paraId="418C3930" w14:textId="77777777" w:rsidR="00AE2955" w:rsidRPr="001C181E" w:rsidRDefault="00AE2955" w:rsidP="00F4496C">
            <w:pPr>
              <w:spacing w:after="0" w:line="240" w:lineRule="auto"/>
              <w:rPr>
                <w:rFonts w:ascii="Arial" w:hAnsi="Arial" w:cs="Arial"/>
                <w:sz w:val="16"/>
                <w:szCs w:val="16"/>
              </w:rPr>
            </w:pPr>
            <w:r w:rsidRPr="001C181E">
              <w:rPr>
                <w:rFonts w:ascii="Arial" w:hAnsi="Arial" w:cs="Arial"/>
                <w:sz w:val="16"/>
                <w:szCs w:val="16"/>
              </w:rPr>
              <w:t>Oil &amp; gas extraction</w:t>
            </w:r>
          </w:p>
        </w:tc>
        <w:tc>
          <w:tcPr>
            <w:tcW w:w="653" w:type="dxa"/>
            <w:tcBorders>
              <w:top w:val="nil"/>
              <w:left w:val="nil"/>
              <w:bottom w:val="nil"/>
              <w:right w:val="nil"/>
            </w:tcBorders>
            <w:shd w:val="clear" w:color="000000" w:fill="FFFFFF"/>
            <w:noWrap/>
            <w:vAlign w:val="center"/>
            <w:hideMark/>
          </w:tcPr>
          <w:p w14:paraId="3B7AC2E6"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30</w:t>
            </w:r>
          </w:p>
        </w:tc>
        <w:tc>
          <w:tcPr>
            <w:tcW w:w="763" w:type="dxa"/>
            <w:tcBorders>
              <w:top w:val="nil"/>
              <w:left w:val="nil"/>
              <w:bottom w:val="nil"/>
              <w:right w:val="nil"/>
            </w:tcBorders>
            <w:shd w:val="clear" w:color="000000" w:fill="FFFFFF"/>
            <w:noWrap/>
            <w:vAlign w:val="center"/>
            <w:hideMark/>
          </w:tcPr>
          <w:p w14:paraId="6F93D0F0"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20.7</w:t>
            </w:r>
          </w:p>
        </w:tc>
        <w:tc>
          <w:tcPr>
            <w:tcW w:w="653" w:type="dxa"/>
            <w:tcBorders>
              <w:top w:val="nil"/>
              <w:left w:val="nil"/>
              <w:bottom w:val="nil"/>
              <w:right w:val="nil"/>
            </w:tcBorders>
            <w:shd w:val="clear" w:color="000000" w:fill="FFFFFF"/>
            <w:noWrap/>
            <w:vAlign w:val="center"/>
            <w:hideMark/>
          </w:tcPr>
          <w:p w14:paraId="14C369CC"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17</w:t>
            </w:r>
          </w:p>
        </w:tc>
        <w:tc>
          <w:tcPr>
            <w:tcW w:w="763" w:type="dxa"/>
            <w:tcBorders>
              <w:top w:val="nil"/>
              <w:left w:val="nil"/>
              <w:bottom w:val="nil"/>
              <w:right w:val="nil"/>
            </w:tcBorders>
            <w:shd w:val="clear" w:color="000000" w:fill="FFFFFF"/>
            <w:noWrap/>
            <w:vAlign w:val="center"/>
            <w:hideMark/>
          </w:tcPr>
          <w:p w14:paraId="27BE6C16"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1.1</w:t>
            </w:r>
          </w:p>
        </w:tc>
        <w:tc>
          <w:tcPr>
            <w:tcW w:w="692" w:type="dxa"/>
            <w:tcBorders>
              <w:top w:val="nil"/>
              <w:left w:val="nil"/>
              <w:bottom w:val="nil"/>
              <w:right w:val="nil"/>
            </w:tcBorders>
            <w:shd w:val="clear" w:color="000000" w:fill="FFFFFF"/>
            <w:noWrap/>
            <w:vAlign w:val="center"/>
            <w:hideMark/>
          </w:tcPr>
          <w:p w14:paraId="4F454B94"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20</w:t>
            </w:r>
          </w:p>
        </w:tc>
        <w:tc>
          <w:tcPr>
            <w:tcW w:w="724" w:type="dxa"/>
            <w:tcBorders>
              <w:top w:val="nil"/>
              <w:left w:val="nil"/>
              <w:bottom w:val="nil"/>
              <w:right w:val="nil"/>
            </w:tcBorders>
            <w:shd w:val="clear" w:color="000000" w:fill="FFFFFF"/>
            <w:noWrap/>
            <w:vAlign w:val="center"/>
            <w:hideMark/>
          </w:tcPr>
          <w:p w14:paraId="30714076"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1.6</w:t>
            </w:r>
          </w:p>
        </w:tc>
        <w:tc>
          <w:tcPr>
            <w:tcW w:w="692" w:type="dxa"/>
            <w:tcBorders>
              <w:top w:val="nil"/>
              <w:left w:val="nil"/>
              <w:bottom w:val="nil"/>
              <w:right w:val="nil"/>
            </w:tcBorders>
            <w:shd w:val="clear" w:color="000000" w:fill="F2F2F2"/>
            <w:noWrap/>
            <w:vAlign w:val="center"/>
            <w:hideMark/>
          </w:tcPr>
          <w:p w14:paraId="03C2C497"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17</w:t>
            </w:r>
          </w:p>
        </w:tc>
        <w:tc>
          <w:tcPr>
            <w:tcW w:w="724" w:type="dxa"/>
            <w:tcBorders>
              <w:top w:val="nil"/>
              <w:left w:val="nil"/>
              <w:bottom w:val="nil"/>
              <w:right w:val="nil"/>
            </w:tcBorders>
            <w:shd w:val="clear" w:color="000000" w:fill="F2F2F2"/>
            <w:noWrap/>
            <w:vAlign w:val="center"/>
            <w:hideMark/>
          </w:tcPr>
          <w:p w14:paraId="61FC8089"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4.1</w:t>
            </w:r>
          </w:p>
        </w:tc>
      </w:tr>
      <w:tr w:rsidR="00AE2955" w:rsidRPr="001C181E" w14:paraId="0DB03D76" w14:textId="77777777" w:rsidTr="00F4496C">
        <w:trPr>
          <w:trHeight w:val="225"/>
        </w:trPr>
        <w:tc>
          <w:tcPr>
            <w:tcW w:w="2896" w:type="dxa"/>
            <w:tcBorders>
              <w:top w:val="nil"/>
              <w:left w:val="nil"/>
              <w:bottom w:val="nil"/>
              <w:right w:val="nil"/>
            </w:tcBorders>
            <w:shd w:val="clear" w:color="000000" w:fill="FFFFFF"/>
            <w:noWrap/>
            <w:vAlign w:val="center"/>
            <w:hideMark/>
          </w:tcPr>
          <w:p w14:paraId="499253FC" w14:textId="77777777" w:rsidR="00AE2955" w:rsidRPr="001C181E" w:rsidRDefault="00AE2955" w:rsidP="00F4496C">
            <w:pPr>
              <w:spacing w:after="0" w:line="240" w:lineRule="auto"/>
              <w:rPr>
                <w:rFonts w:ascii="Arial" w:hAnsi="Arial" w:cs="Arial"/>
                <w:sz w:val="16"/>
                <w:szCs w:val="16"/>
              </w:rPr>
            </w:pPr>
            <w:r w:rsidRPr="001C181E">
              <w:rPr>
                <w:rFonts w:ascii="Arial" w:hAnsi="Arial" w:cs="Arial"/>
                <w:sz w:val="16"/>
                <w:szCs w:val="16"/>
              </w:rPr>
              <w:t>Metallic minerals</w:t>
            </w:r>
          </w:p>
        </w:tc>
        <w:tc>
          <w:tcPr>
            <w:tcW w:w="653" w:type="dxa"/>
            <w:tcBorders>
              <w:top w:val="nil"/>
              <w:left w:val="nil"/>
              <w:bottom w:val="nil"/>
              <w:right w:val="nil"/>
            </w:tcBorders>
            <w:shd w:val="clear" w:color="000000" w:fill="FFFFFF"/>
            <w:noWrap/>
            <w:vAlign w:val="center"/>
            <w:hideMark/>
          </w:tcPr>
          <w:p w14:paraId="0DACB82D"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85</w:t>
            </w:r>
          </w:p>
        </w:tc>
        <w:tc>
          <w:tcPr>
            <w:tcW w:w="763" w:type="dxa"/>
            <w:tcBorders>
              <w:top w:val="nil"/>
              <w:left w:val="nil"/>
              <w:bottom w:val="nil"/>
              <w:right w:val="nil"/>
            </w:tcBorders>
            <w:shd w:val="clear" w:color="000000" w:fill="FFFFFF"/>
            <w:noWrap/>
            <w:vAlign w:val="center"/>
            <w:hideMark/>
          </w:tcPr>
          <w:p w14:paraId="362250B8"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4.0</w:t>
            </w:r>
          </w:p>
        </w:tc>
        <w:tc>
          <w:tcPr>
            <w:tcW w:w="653" w:type="dxa"/>
            <w:tcBorders>
              <w:top w:val="nil"/>
              <w:left w:val="nil"/>
              <w:bottom w:val="nil"/>
              <w:right w:val="nil"/>
            </w:tcBorders>
            <w:shd w:val="clear" w:color="000000" w:fill="FFFFFF"/>
            <w:noWrap/>
            <w:vAlign w:val="center"/>
            <w:hideMark/>
          </w:tcPr>
          <w:p w14:paraId="5D7F696D"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73</w:t>
            </w:r>
          </w:p>
        </w:tc>
        <w:tc>
          <w:tcPr>
            <w:tcW w:w="763" w:type="dxa"/>
            <w:tcBorders>
              <w:top w:val="nil"/>
              <w:left w:val="nil"/>
              <w:bottom w:val="nil"/>
              <w:right w:val="nil"/>
            </w:tcBorders>
            <w:shd w:val="clear" w:color="000000" w:fill="FFFFFF"/>
            <w:noWrap/>
            <w:vAlign w:val="center"/>
            <w:hideMark/>
          </w:tcPr>
          <w:p w14:paraId="7BFC587B"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6.3</w:t>
            </w:r>
          </w:p>
        </w:tc>
        <w:tc>
          <w:tcPr>
            <w:tcW w:w="692" w:type="dxa"/>
            <w:tcBorders>
              <w:top w:val="nil"/>
              <w:left w:val="nil"/>
              <w:bottom w:val="nil"/>
              <w:right w:val="nil"/>
            </w:tcBorders>
            <w:shd w:val="clear" w:color="000000" w:fill="FFFFFF"/>
            <w:noWrap/>
            <w:vAlign w:val="center"/>
            <w:hideMark/>
          </w:tcPr>
          <w:p w14:paraId="1ADB5761"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51</w:t>
            </w:r>
          </w:p>
        </w:tc>
        <w:tc>
          <w:tcPr>
            <w:tcW w:w="724" w:type="dxa"/>
            <w:tcBorders>
              <w:top w:val="nil"/>
              <w:left w:val="nil"/>
              <w:bottom w:val="nil"/>
              <w:right w:val="nil"/>
            </w:tcBorders>
            <w:shd w:val="clear" w:color="000000" w:fill="FFFFFF"/>
            <w:noWrap/>
            <w:vAlign w:val="center"/>
            <w:hideMark/>
          </w:tcPr>
          <w:p w14:paraId="6BB3DEE8"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4.9</w:t>
            </w:r>
          </w:p>
        </w:tc>
        <w:tc>
          <w:tcPr>
            <w:tcW w:w="692" w:type="dxa"/>
            <w:tcBorders>
              <w:top w:val="nil"/>
              <w:left w:val="nil"/>
              <w:bottom w:val="nil"/>
              <w:right w:val="nil"/>
            </w:tcBorders>
            <w:shd w:val="clear" w:color="000000" w:fill="F2F2F2"/>
            <w:noWrap/>
            <w:vAlign w:val="center"/>
            <w:hideMark/>
          </w:tcPr>
          <w:p w14:paraId="6E7B4CBC"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43</w:t>
            </w:r>
          </w:p>
        </w:tc>
        <w:tc>
          <w:tcPr>
            <w:tcW w:w="724" w:type="dxa"/>
            <w:tcBorders>
              <w:top w:val="nil"/>
              <w:left w:val="nil"/>
              <w:bottom w:val="nil"/>
              <w:right w:val="nil"/>
            </w:tcBorders>
            <w:shd w:val="clear" w:color="000000" w:fill="F2F2F2"/>
            <w:noWrap/>
            <w:vAlign w:val="center"/>
            <w:hideMark/>
          </w:tcPr>
          <w:p w14:paraId="0B3BBC37"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4.6</w:t>
            </w:r>
          </w:p>
        </w:tc>
      </w:tr>
      <w:tr w:rsidR="00AE2955" w:rsidRPr="001C181E" w14:paraId="33B97223" w14:textId="77777777" w:rsidTr="00F4496C">
        <w:trPr>
          <w:trHeight w:val="450"/>
        </w:trPr>
        <w:tc>
          <w:tcPr>
            <w:tcW w:w="2896" w:type="dxa"/>
            <w:tcBorders>
              <w:top w:val="nil"/>
              <w:left w:val="nil"/>
              <w:bottom w:val="nil"/>
              <w:right w:val="nil"/>
            </w:tcBorders>
            <w:shd w:val="clear" w:color="000000" w:fill="FFFFFF"/>
            <w:vAlign w:val="center"/>
            <w:hideMark/>
          </w:tcPr>
          <w:p w14:paraId="3D32832D" w14:textId="77777777" w:rsidR="00AE2955" w:rsidRPr="001C181E" w:rsidRDefault="00AE2955" w:rsidP="00F4496C">
            <w:pPr>
              <w:spacing w:after="0" w:line="240" w:lineRule="auto"/>
              <w:ind w:left="160" w:hangingChars="100" w:hanging="160"/>
              <w:rPr>
                <w:rFonts w:ascii="Arial" w:hAnsi="Arial" w:cs="Arial"/>
                <w:sz w:val="16"/>
                <w:szCs w:val="16"/>
              </w:rPr>
            </w:pPr>
            <w:r w:rsidRPr="001C181E">
              <w:rPr>
                <w:rFonts w:ascii="Arial" w:hAnsi="Arial" w:cs="Arial"/>
                <w:sz w:val="16"/>
                <w:szCs w:val="16"/>
              </w:rPr>
              <w:t>Non-metallic minerals mining and quarrying</w:t>
            </w:r>
          </w:p>
        </w:tc>
        <w:tc>
          <w:tcPr>
            <w:tcW w:w="653" w:type="dxa"/>
            <w:tcBorders>
              <w:top w:val="nil"/>
              <w:left w:val="nil"/>
              <w:bottom w:val="nil"/>
              <w:right w:val="nil"/>
            </w:tcBorders>
            <w:shd w:val="clear" w:color="000000" w:fill="FFFFFF"/>
            <w:noWrap/>
            <w:vAlign w:val="center"/>
            <w:hideMark/>
          </w:tcPr>
          <w:p w14:paraId="55DF2EBC"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9</w:t>
            </w:r>
          </w:p>
        </w:tc>
        <w:tc>
          <w:tcPr>
            <w:tcW w:w="763" w:type="dxa"/>
            <w:tcBorders>
              <w:top w:val="nil"/>
              <w:left w:val="nil"/>
              <w:bottom w:val="nil"/>
              <w:right w:val="nil"/>
            </w:tcBorders>
            <w:shd w:val="clear" w:color="000000" w:fill="FFFFFF"/>
            <w:noWrap/>
            <w:vAlign w:val="center"/>
            <w:hideMark/>
          </w:tcPr>
          <w:p w14:paraId="6E10D6E2"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0.3</w:t>
            </w:r>
          </w:p>
        </w:tc>
        <w:tc>
          <w:tcPr>
            <w:tcW w:w="653" w:type="dxa"/>
            <w:tcBorders>
              <w:top w:val="nil"/>
              <w:left w:val="nil"/>
              <w:bottom w:val="nil"/>
              <w:right w:val="nil"/>
            </w:tcBorders>
            <w:shd w:val="clear" w:color="000000" w:fill="FFFFFF"/>
            <w:noWrap/>
            <w:vAlign w:val="center"/>
            <w:hideMark/>
          </w:tcPr>
          <w:p w14:paraId="17108E38"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4</w:t>
            </w:r>
          </w:p>
        </w:tc>
        <w:tc>
          <w:tcPr>
            <w:tcW w:w="763" w:type="dxa"/>
            <w:tcBorders>
              <w:top w:val="nil"/>
              <w:left w:val="nil"/>
              <w:bottom w:val="nil"/>
              <w:right w:val="nil"/>
            </w:tcBorders>
            <w:shd w:val="clear" w:color="000000" w:fill="FFFFFF"/>
            <w:noWrap/>
            <w:vAlign w:val="center"/>
            <w:hideMark/>
          </w:tcPr>
          <w:p w14:paraId="712CC665"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0.2</w:t>
            </w:r>
          </w:p>
        </w:tc>
        <w:tc>
          <w:tcPr>
            <w:tcW w:w="692" w:type="dxa"/>
            <w:tcBorders>
              <w:top w:val="nil"/>
              <w:left w:val="nil"/>
              <w:bottom w:val="nil"/>
              <w:right w:val="nil"/>
            </w:tcBorders>
            <w:shd w:val="clear" w:color="000000" w:fill="FFFFFF"/>
            <w:noWrap/>
            <w:vAlign w:val="center"/>
            <w:hideMark/>
          </w:tcPr>
          <w:p w14:paraId="5DC3F88A"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3</w:t>
            </w:r>
          </w:p>
        </w:tc>
        <w:tc>
          <w:tcPr>
            <w:tcW w:w="724" w:type="dxa"/>
            <w:tcBorders>
              <w:top w:val="nil"/>
              <w:left w:val="nil"/>
              <w:bottom w:val="nil"/>
              <w:right w:val="nil"/>
            </w:tcBorders>
            <w:shd w:val="clear" w:color="000000" w:fill="FFFFFF"/>
            <w:noWrap/>
            <w:vAlign w:val="center"/>
            <w:hideMark/>
          </w:tcPr>
          <w:p w14:paraId="4222BD0B"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w:t>
            </w:r>
          </w:p>
        </w:tc>
        <w:tc>
          <w:tcPr>
            <w:tcW w:w="692" w:type="dxa"/>
            <w:tcBorders>
              <w:top w:val="nil"/>
              <w:left w:val="nil"/>
              <w:bottom w:val="nil"/>
              <w:right w:val="nil"/>
            </w:tcBorders>
            <w:shd w:val="clear" w:color="000000" w:fill="F2F2F2"/>
            <w:noWrap/>
            <w:vAlign w:val="center"/>
            <w:hideMark/>
          </w:tcPr>
          <w:p w14:paraId="49BB32F3"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3</w:t>
            </w:r>
          </w:p>
        </w:tc>
        <w:tc>
          <w:tcPr>
            <w:tcW w:w="724" w:type="dxa"/>
            <w:tcBorders>
              <w:top w:val="nil"/>
              <w:left w:val="nil"/>
              <w:bottom w:val="nil"/>
              <w:right w:val="nil"/>
            </w:tcBorders>
            <w:shd w:val="clear" w:color="000000" w:fill="F2F2F2"/>
            <w:noWrap/>
            <w:vAlign w:val="center"/>
            <w:hideMark/>
          </w:tcPr>
          <w:p w14:paraId="2D9E79F5"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0.8</w:t>
            </w:r>
          </w:p>
        </w:tc>
      </w:tr>
      <w:tr w:rsidR="00AE2955" w:rsidRPr="001C181E" w14:paraId="5E6621A9" w14:textId="77777777" w:rsidTr="00CB5DF7">
        <w:trPr>
          <w:trHeight w:val="450"/>
        </w:trPr>
        <w:tc>
          <w:tcPr>
            <w:tcW w:w="2896" w:type="dxa"/>
            <w:tcBorders>
              <w:top w:val="nil"/>
              <w:left w:val="nil"/>
              <w:right w:val="nil"/>
            </w:tcBorders>
            <w:shd w:val="clear" w:color="000000" w:fill="FFFFFF"/>
            <w:vAlign w:val="center"/>
            <w:hideMark/>
          </w:tcPr>
          <w:p w14:paraId="6C5C8327" w14:textId="77777777" w:rsidR="00AE2955" w:rsidRPr="001C181E" w:rsidRDefault="00AE2955" w:rsidP="00F4496C">
            <w:pPr>
              <w:spacing w:after="0" w:line="240" w:lineRule="auto"/>
              <w:ind w:left="160" w:hangingChars="100" w:hanging="160"/>
              <w:rPr>
                <w:rFonts w:ascii="Arial" w:hAnsi="Arial" w:cs="Arial"/>
                <w:sz w:val="16"/>
                <w:szCs w:val="16"/>
              </w:rPr>
            </w:pPr>
            <w:r w:rsidRPr="001C181E">
              <w:rPr>
                <w:rFonts w:ascii="Arial" w:hAnsi="Arial" w:cs="Arial"/>
                <w:sz w:val="16"/>
                <w:szCs w:val="16"/>
              </w:rPr>
              <w:t>Exploration and other mining support services</w:t>
            </w:r>
          </w:p>
        </w:tc>
        <w:tc>
          <w:tcPr>
            <w:tcW w:w="653" w:type="dxa"/>
            <w:tcBorders>
              <w:top w:val="nil"/>
              <w:left w:val="nil"/>
              <w:bottom w:val="single" w:sz="2" w:space="0" w:color="000000" w:themeColor="text1"/>
              <w:right w:val="nil"/>
            </w:tcBorders>
            <w:shd w:val="clear" w:color="000000" w:fill="FFFFFF"/>
            <w:noWrap/>
            <w:vAlign w:val="bottom"/>
            <w:hideMark/>
          </w:tcPr>
          <w:p w14:paraId="34205239"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25</w:t>
            </w:r>
          </w:p>
        </w:tc>
        <w:tc>
          <w:tcPr>
            <w:tcW w:w="763" w:type="dxa"/>
            <w:tcBorders>
              <w:top w:val="nil"/>
              <w:left w:val="nil"/>
              <w:bottom w:val="single" w:sz="2" w:space="0" w:color="000000" w:themeColor="text1"/>
              <w:right w:val="nil"/>
            </w:tcBorders>
            <w:shd w:val="clear" w:color="000000" w:fill="FFFFFF"/>
            <w:noWrap/>
            <w:vAlign w:val="bottom"/>
            <w:hideMark/>
          </w:tcPr>
          <w:p w14:paraId="56FF33A4"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1.2</w:t>
            </w:r>
          </w:p>
        </w:tc>
        <w:tc>
          <w:tcPr>
            <w:tcW w:w="653" w:type="dxa"/>
            <w:tcBorders>
              <w:top w:val="nil"/>
              <w:left w:val="nil"/>
              <w:bottom w:val="single" w:sz="2" w:space="0" w:color="000000" w:themeColor="text1"/>
              <w:right w:val="nil"/>
            </w:tcBorders>
            <w:shd w:val="clear" w:color="000000" w:fill="FFFFFF"/>
            <w:noWrap/>
            <w:vAlign w:val="bottom"/>
            <w:hideMark/>
          </w:tcPr>
          <w:p w14:paraId="176CF9BD"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22</w:t>
            </w:r>
          </w:p>
        </w:tc>
        <w:tc>
          <w:tcPr>
            <w:tcW w:w="763" w:type="dxa"/>
            <w:tcBorders>
              <w:top w:val="nil"/>
              <w:left w:val="nil"/>
              <w:bottom w:val="single" w:sz="2" w:space="0" w:color="000000" w:themeColor="text1"/>
              <w:right w:val="nil"/>
            </w:tcBorders>
            <w:shd w:val="clear" w:color="000000" w:fill="FFFFFF"/>
            <w:noWrap/>
            <w:vAlign w:val="bottom"/>
            <w:hideMark/>
          </w:tcPr>
          <w:p w14:paraId="4AB5955C"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2.8</w:t>
            </w:r>
          </w:p>
        </w:tc>
        <w:tc>
          <w:tcPr>
            <w:tcW w:w="692" w:type="dxa"/>
            <w:tcBorders>
              <w:top w:val="nil"/>
              <w:left w:val="nil"/>
              <w:bottom w:val="single" w:sz="2" w:space="0" w:color="000000" w:themeColor="text1"/>
              <w:right w:val="nil"/>
            </w:tcBorders>
            <w:shd w:val="clear" w:color="000000" w:fill="FFFFFF"/>
            <w:noWrap/>
            <w:vAlign w:val="bottom"/>
            <w:hideMark/>
          </w:tcPr>
          <w:p w14:paraId="332FD220"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18</w:t>
            </w:r>
          </w:p>
        </w:tc>
        <w:tc>
          <w:tcPr>
            <w:tcW w:w="724" w:type="dxa"/>
            <w:tcBorders>
              <w:top w:val="nil"/>
              <w:left w:val="nil"/>
              <w:bottom w:val="single" w:sz="2" w:space="0" w:color="000000" w:themeColor="text1"/>
              <w:right w:val="nil"/>
            </w:tcBorders>
            <w:shd w:val="clear" w:color="000000" w:fill="FFFFFF"/>
            <w:noWrap/>
            <w:vAlign w:val="bottom"/>
            <w:hideMark/>
          </w:tcPr>
          <w:p w14:paraId="4C9CD816"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2.4</w:t>
            </w:r>
          </w:p>
        </w:tc>
        <w:tc>
          <w:tcPr>
            <w:tcW w:w="692" w:type="dxa"/>
            <w:tcBorders>
              <w:top w:val="nil"/>
              <w:left w:val="nil"/>
              <w:bottom w:val="single" w:sz="2" w:space="0" w:color="000000" w:themeColor="text1"/>
              <w:right w:val="nil"/>
            </w:tcBorders>
            <w:shd w:val="clear" w:color="000000" w:fill="F2F2F2"/>
            <w:noWrap/>
            <w:vAlign w:val="bottom"/>
            <w:hideMark/>
          </w:tcPr>
          <w:p w14:paraId="381AA241"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21</w:t>
            </w:r>
          </w:p>
        </w:tc>
        <w:tc>
          <w:tcPr>
            <w:tcW w:w="724" w:type="dxa"/>
            <w:tcBorders>
              <w:top w:val="nil"/>
              <w:left w:val="nil"/>
              <w:bottom w:val="single" w:sz="2" w:space="0" w:color="000000" w:themeColor="text1"/>
              <w:right w:val="nil"/>
            </w:tcBorders>
            <w:shd w:val="clear" w:color="000000" w:fill="F2F2F2"/>
            <w:noWrap/>
            <w:vAlign w:val="bottom"/>
            <w:hideMark/>
          </w:tcPr>
          <w:p w14:paraId="70CF5E6B" w14:textId="77777777" w:rsidR="00AE2955" w:rsidRPr="001C181E" w:rsidRDefault="00AE2955" w:rsidP="00F4496C">
            <w:pPr>
              <w:spacing w:after="0" w:line="240" w:lineRule="auto"/>
              <w:jc w:val="right"/>
              <w:rPr>
                <w:rFonts w:ascii="Arial" w:hAnsi="Arial" w:cs="Arial"/>
                <w:sz w:val="16"/>
                <w:szCs w:val="16"/>
              </w:rPr>
            </w:pPr>
            <w:r w:rsidRPr="001C181E">
              <w:rPr>
                <w:rFonts w:ascii="Arial" w:hAnsi="Arial" w:cs="Arial"/>
                <w:sz w:val="16"/>
                <w:szCs w:val="16"/>
              </w:rPr>
              <w:t>0.9</w:t>
            </w:r>
          </w:p>
        </w:tc>
      </w:tr>
      <w:tr w:rsidR="00AE2955" w:rsidRPr="001C181E" w14:paraId="277B70D4" w14:textId="77777777" w:rsidTr="00CB5DF7">
        <w:trPr>
          <w:trHeight w:val="225"/>
        </w:trPr>
        <w:tc>
          <w:tcPr>
            <w:tcW w:w="2896" w:type="dxa"/>
            <w:tcBorders>
              <w:top w:val="nil"/>
              <w:left w:val="nil"/>
              <w:bottom w:val="single" w:sz="2" w:space="0" w:color="000000" w:themeColor="text1"/>
              <w:right w:val="nil"/>
            </w:tcBorders>
            <w:shd w:val="clear" w:color="000000" w:fill="FFFFFF"/>
            <w:noWrap/>
            <w:vAlign w:val="center"/>
            <w:hideMark/>
          </w:tcPr>
          <w:p w14:paraId="0F2634BA" w14:textId="77777777" w:rsidR="00AE2955" w:rsidRPr="001C181E" w:rsidRDefault="00AE2955" w:rsidP="00F4496C">
            <w:pPr>
              <w:spacing w:after="0" w:line="240" w:lineRule="auto"/>
              <w:rPr>
                <w:rFonts w:ascii="Arial" w:hAnsi="Arial" w:cs="Arial"/>
                <w:b/>
                <w:bCs/>
                <w:sz w:val="16"/>
                <w:szCs w:val="16"/>
              </w:rPr>
            </w:pPr>
            <w:r w:rsidRPr="001C181E">
              <w:rPr>
                <w:rFonts w:ascii="Arial" w:hAnsi="Arial" w:cs="Arial"/>
                <w:b/>
                <w:bCs/>
                <w:sz w:val="16"/>
                <w:szCs w:val="16"/>
              </w:rPr>
              <w:t>Total</w:t>
            </w:r>
          </w:p>
        </w:tc>
        <w:tc>
          <w:tcPr>
            <w:tcW w:w="653" w:type="dxa"/>
            <w:tcBorders>
              <w:top w:val="single" w:sz="2" w:space="0" w:color="000000" w:themeColor="text1"/>
              <w:left w:val="nil"/>
              <w:bottom w:val="single" w:sz="2" w:space="0" w:color="000000" w:themeColor="text1"/>
              <w:right w:val="nil"/>
            </w:tcBorders>
            <w:shd w:val="clear" w:color="000000" w:fill="FFFFFF"/>
            <w:noWrap/>
            <w:vAlign w:val="center"/>
            <w:hideMark/>
          </w:tcPr>
          <w:p w14:paraId="47C17F5D" w14:textId="77777777" w:rsidR="00AE2955" w:rsidRPr="001C181E" w:rsidRDefault="00AE2955" w:rsidP="00F4496C">
            <w:pPr>
              <w:spacing w:after="0" w:line="240" w:lineRule="auto"/>
              <w:jc w:val="right"/>
              <w:rPr>
                <w:rFonts w:ascii="Arial" w:hAnsi="Arial" w:cs="Arial"/>
                <w:b/>
                <w:bCs/>
                <w:sz w:val="16"/>
                <w:szCs w:val="16"/>
              </w:rPr>
            </w:pPr>
            <w:r w:rsidRPr="001C181E">
              <w:rPr>
                <w:rFonts w:ascii="Arial" w:hAnsi="Arial" w:cs="Arial"/>
                <w:b/>
                <w:bCs/>
                <w:sz w:val="16"/>
                <w:szCs w:val="16"/>
              </w:rPr>
              <w:t>180</w:t>
            </w:r>
          </w:p>
        </w:tc>
        <w:tc>
          <w:tcPr>
            <w:tcW w:w="763" w:type="dxa"/>
            <w:tcBorders>
              <w:top w:val="single" w:sz="2" w:space="0" w:color="000000" w:themeColor="text1"/>
              <w:left w:val="nil"/>
              <w:bottom w:val="single" w:sz="2" w:space="0" w:color="000000" w:themeColor="text1"/>
              <w:right w:val="nil"/>
            </w:tcBorders>
            <w:shd w:val="clear" w:color="000000" w:fill="FFFFFF"/>
            <w:noWrap/>
            <w:vAlign w:val="center"/>
            <w:hideMark/>
          </w:tcPr>
          <w:p w14:paraId="653FEAAD" w14:textId="77777777" w:rsidR="00AE2955" w:rsidRPr="001C181E" w:rsidRDefault="00AE2955" w:rsidP="00F4496C">
            <w:pPr>
              <w:spacing w:after="0" w:line="240" w:lineRule="auto"/>
              <w:jc w:val="right"/>
              <w:rPr>
                <w:rFonts w:ascii="Arial" w:hAnsi="Arial" w:cs="Arial"/>
                <w:b/>
                <w:bCs/>
                <w:sz w:val="16"/>
                <w:szCs w:val="16"/>
              </w:rPr>
            </w:pPr>
            <w:r w:rsidRPr="001C181E">
              <w:rPr>
                <w:rFonts w:ascii="Arial" w:hAnsi="Arial" w:cs="Arial"/>
                <w:b/>
                <w:bCs/>
                <w:sz w:val="16"/>
                <w:szCs w:val="16"/>
              </w:rPr>
              <w:t>27.6</w:t>
            </w:r>
          </w:p>
        </w:tc>
        <w:tc>
          <w:tcPr>
            <w:tcW w:w="653" w:type="dxa"/>
            <w:tcBorders>
              <w:top w:val="single" w:sz="2" w:space="0" w:color="000000" w:themeColor="text1"/>
              <w:left w:val="nil"/>
              <w:bottom w:val="single" w:sz="2" w:space="0" w:color="000000" w:themeColor="text1"/>
              <w:right w:val="nil"/>
            </w:tcBorders>
            <w:shd w:val="clear" w:color="000000" w:fill="FFFFFF"/>
            <w:noWrap/>
            <w:vAlign w:val="center"/>
            <w:hideMark/>
          </w:tcPr>
          <w:p w14:paraId="601ACB28" w14:textId="77777777" w:rsidR="00AE2955" w:rsidRPr="001C181E" w:rsidRDefault="00AE2955" w:rsidP="00F4496C">
            <w:pPr>
              <w:spacing w:after="0" w:line="240" w:lineRule="auto"/>
              <w:jc w:val="right"/>
              <w:rPr>
                <w:rFonts w:ascii="Arial" w:hAnsi="Arial" w:cs="Arial"/>
                <w:b/>
                <w:bCs/>
                <w:sz w:val="16"/>
                <w:szCs w:val="16"/>
              </w:rPr>
            </w:pPr>
            <w:r w:rsidRPr="001C181E">
              <w:rPr>
                <w:rFonts w:ascii="Arial" w:hAnsi="Arial" w:cs="Arial"/>
                <w:b/>
                <w:bCs/>
                <w:sz w:val="16"/>
                <w:szCs w:val="16"/>
              </w:rPr>
              <w:t>140</w:t>
            </w:r>
          </w:p>
        </w:tc>
        <w:tc>
          <w:tcPr>
            <w:tcW w:w="763" w:type="dxa"/>
            <w:tcBorders>
              <w:top w:val="single" w:sz="2" w:space="0" w:color="000000" w:themeColor="text1"/>
              <w:left w:val="nil"/>
              <w:bottom w:val="single" w:sz="2" w:space="0" w:color="000000" w:themeColor="text1"/>
              <w:right w:val="nil"/>
            </w:tcBorders>
            <w:shd w:val="clear" w:color="000000" w:fill="FFFFFF"/>
            <w:noWrap/>
            <w:vAlign w:val="center"/>
            <w:hideMark/>
          </w:tcPr>
          <w:p w14:paraId="7EF0B557" w14:textId="77777777" w:rsidR="00AE2955" w:rsidRPr="001C181E" w:rsidRDefault="00AE2955" w:rsidP="00F4496C">
            <w:pPr>
              <w:spacing w:after="0" w:line="240" w:lineRule="auto"/>
              <w:jc w:val="right"/>
              <w:rPr>
                <w:rFonts w:ascii="Arial" w:hAnsi="Arial" w:cs="Arial"/>
                <w:b/>
                <w:bCs/>
                <w:sz w:val="16"/>
                <w:szCs w:val="16"/>
              </w:rPr>
            </w:pPr>
            <w:r w:rsidRPr="001C181E">
              <w:rPr>
                <w:rFonts w:ascii="Arial" w:hAnsi="Arial" w:cs="Arial"/>
                <w:b/>
                <w:bCs/>
                <w:sz w:val="16"/>
                <w:szCs w:val="16"/>
              </w:rPr>
              <w:t>15.9</w:t>
            </w:r>
          </w:p>
        </w:tc>
        <w:tc>
          <w:tcPr>
            <w:tcW w:w="692" w:type="dxa"/>
            <w:tcBorders>
              <w:top w:val="single" w:sz="2" w:space="0" w:color="000000" w:themeColor="text1"/>
              <w:left w:val="nil"/>
              <w:bottom w:val="single" w:sz="2" w:space="0" w:color="000000" w:themeColor="text1"/>
              <w:right w:val="nil"/>
            </w:tcBorders>
            <w:shd w:val="clear" w:color="000000" w:fill="FFFFFF"/>
            <w:noWrap/>
            <w:vAlign w:val="center"/>
            <w:hideMark/>
          </w:tcPr>
          <w:p w14:paraId="7369B573" w14:textId="77777777" w:rsidR="00AE2955" w:rsidRPr="001C181E" w:rsidRDefault="00AE2955" w:rsidP="00F4496C">
            <w:pPr>
              <w:spacing w:after="0" w:line="240" w:lineRule="auto"/>
              <w:jc w:val="right"/>
              <w:rPr>
                <w:rFonts w:ascii="Arial" w:hAnsi="Arial" w:cs="Arial"/>
                <w:b/>
                <w:bCs/>
                <w:sz w:val="16"/>
                <w:szCs w:val="16"/>
              </w:rPr>
            </w:pPr>
            <w:r w:rsidRPr="001C181E">
              <w:rPr>
                <w:rFonts w:ascii="Arial" w:hAnsi="Arial" w:cs="Arial"/>
                <w:b/>
                <w:bCs/>
                <w:sz w:val="16"/>
                <w:szCs w:val="16"/>
              </w:rPr>
              <w:t>115</w:t>
            </w:r>
          </w:p>
        </w:tc>
        <w:tc>
          <w:tcPr>
            <w:tcW w:w="724" w:type="dxa"/>
            <w:tcBorders>
              <w:top w:val="single" w:sz="2" w:space="0" w:color="000000" w:themeColor="text1"/>
              <w:left w:val="nil"/>
              <w:bottom w:val="single" w:sz="2" w:space="0" w:color="000000" w:themeColor="text1"/>
              <w:right w:val="nil"/>
            </w:tcBorders>
            <w:shd w:val="clear" w:color="000000" w:fill="FFFFFF"/>
            <w:noWrap/>
            <w:vAlign w:val="center"/>
            <w:hideMark/>
          </w:tcPr>
          <w:p w14:paraId="3962FDE1" w14:textId="77777777" w:rsidR="00AE2955" w:rsidRPr="001C181E" w:rsidRDefault="00AE2955" w:rsidP="00F4496C">
            <w:pPr>
              <w:spacing w:after="0" w:line="240" w:lineRule="auto"/>
              <w:jc w:val="right"/>
              <w:rPr>
                <w:rFonts w:ascii="Arial" w:hAnsi="Arial" w:cs="Arial"/>
                <w:b/>
                <w:bCs/>
                <w:sz w:val="16"/>
                <w:szCs w:val="16"/>
              </w:rPr>
            </w:pPr>
            <w:r w:rsidRPr="001C181E">
              <w:rPr>
                <w:rFonts w:ascii="Arial" w:hAnsi="Arial" w:cs="Arial"/>
                <w:b/>
                <w:bCs/>
                <w:sz w:val="16"/>
                <w:szCs w:val="16"/>
              </w:rPr>
              <w:t>17.4</w:t>
            </w:r>
          </w:p>
        </w:tc>
        <w:tc>
          <w:tcPr>
            <w:tcW w:w="692" w:type="dxa"/>
            <w:tcBorders>
              <w:top w:val="single" w:sz="2" w:space="0" w:color="000000" w:themeColor="text1"/>
              <w:left w:val="nil"/>
              <w:bottom w:val="single" w:sz="2" w:space="0" w:color="000000" w:themeColor="text1"/>
              <w:right w:val="nil"/>
            </w:tcBorders>
            <w:shd w:val="clear" w:color="000000" w:fill="F2F2F2"/>
            <w:noWrap/>
            <w:vAlign w:val="center"/>
            <w:hideMark/>
          </w:tcPr>
          <w:p w14:paraId="25B27961" w14:textId="77777777" w:rsidR="00AE2955" w:rsidRPr="001C181E" w:rsidRDefault="00AE2955" w:rsidP="00F4496C">
            <w:pPr>
              <w:spacing w:after="0" w:line="240" w:lineRule="auto"/>
              <w:jc w:val="right"/>
              <w:rPr>
                <w:rFonts w:ascii="Arial" w:hAnsi="Arial" w:cs="Arial"/>
                <w:b/>
                <w:bCs/>
                <w:sz w:val="16"/>
                <w:szCs w:val="16"/>
              </w:rPr>
            </w:pPr>
            <w:r w:rsidRPr="001C181E">
              <w:rPr>
                <w:rFonts w:ascii="Arial" w:hAnsi="Arial" w:cs="Arial"/>
                <w:b/>
                <w:bCs/>
                <w:sz w:val="16"/>
                <w:szCs w:val="16"/>
              </w:rPr>
              <w:t>121</w:t>
            </w:r>
          </w:p>
        </w:tc>
        <w:tc>
          <w:tcPr>
            <w:tcW w:w="724" w:type="dxa"/>
            <w:tcBorders>
              <w:top w:val="single" w:sz="2" w:space="0" w:color="000000" w:themeColor="text1"/>
              <w:left w:val="nil"/>
              <w:bottom w:val="single" w:sz="2" w:space="0" w:color="000000" w:themeColor="text1"/>
              <w:right w:val="nil"/>
            </w:tcBorders>
            <w:shd w:val="clear" w:color="000000" w:fill="F2F2F2"/>
            <w:noWrap/>
            <w:vAlign w:val="center"/>
            <w:hideMark/>
          </w:tcPr>
          <w:p w14:paraId="4AE75382" w14:textId="77777777" w:rsidR="00AE2955" w:rsidRPr="001C181E" w:rsidRDefault="00AE2955" w:rsidP="00F4496C">
            <w:pPr>
              <w:spacing w:after="0" w:line="240" w:lineRule="auto"/>
              <w:jc w:val="right"/>
              <w:rPr>
                <w:rFonts w:ascii="Arial" w:hAnsi="Arial" w:cs="Arial"/>
                <w:b/>
                <w:bCs/>
                <w:sz w:val="16"/>
                <w:szCs w:val="16"/>
              </w:rPr>
            </w:pPr>
            <w:r w:rsidRPr="001C181E">
              <w:rPr>
                <w:rFonts w:ascii="Arial" w:hAnsi="Arial" w:cs="Arial"/>
                <w:b/>
                <w:bCs/>
                <w:sz w:val="16"/>
                <w:szCs w:val="16"/>
              </w:rPr>
              <w:t>16.9</w:t>
            </w:r>
          </w:p>
        </w:tc>
      </w:tr>
    </w:tbl>
    <w:p w14:paraId="45A43D3F" w14:textId="77777777" w:rsidR="00AE2955" w:rsidRPr="001A6701" w:rsidRDefault="00AE2955" w:rsidP="00AE2955">
      <w:pPr>
        <w:pStyle w:val="ChartorTableNote"/>
      </w:pPr>
      <w:r w:rsidRPr="001A6701">
        <w:t>Notes:</w:t>
      </w:r>
      <w:r w:rsidRPr="001A6701">
        <w:tab/>
        <w:t>Time series includes amended data from earlier publication reflecting a methodology change and greater alignment with the Australian and New Zealand Standard Industrial Classification (ANZSIC, 2006).</w:t>
      </w:r>
    </w:p>
    <w:p w14:paraId="48CE779F" w14:textId="77777777" w:rsidR="00AE2955" w:rsidRDefault="00AE2955" w:rsidP="00AE2955">
      <w:pPr>
        <w:pStyle w:val="ChartorTableNote"/>
      </w:pPr>
      <w:r w:rsidRPr="00AE2955">
        <w:t>Totals are aggregated by Group this year due to composition changes over the time series period.</w:t>
      </w:r>
    </w:p>
    <w:p w14:paraId="33CFF185" w14:textId="77777777" w:rsidR="00AE2955" w:rsidRPr="001A6701" w:rsidRDefault="00AE2955" w:rsidP="00AE2955">
      <w:pPr>
        <w:pStyle w:val="ChartorTableNote"/>
      </w:pPr>
      <w:r w:rsidRPr="001A6701">
        <w:t>Totals may not add due to rounding.</w:t>
      </w:r>
    </w:p>
    <w:p w14:paraId="4B713E3A" w14:textId="77777777" w:rsidR="00AE2955" w:rsidRPr="001A6701" w:rsidRDefault="00AE2955" w:rsidP="00AE2955">
      <w:pPr>
        <w:pStyle w:val="ChartorTableNote"/>
      </w:pPr>
      <w:r w:rsidRPr="001A6701">
        <w:t>Excludes corporate reorganisations and new businesses.</w:t>
      </w:r>
    </w:p>
    <w:p w14:paraId="526D18C7" w14:textId="55BFA438" w:rsidR="00AE2955" w:rsidRDefault="00AE2955" w:rsidP="00AE2955">
      <w:pPr>
        <w:pStyle w:val="ChartorTableNote"/>
      </w:pPr>
      <w:r w:rsidRPr="001A6701">
        <w:t>Data for 2015</w:t>
      </w:r>
      <w:r>
        <w:noBreakHyphen/>
      </w:r>
      <w:r w:rsidRPr="001A6701">
        <w:t>16 onwards was impacted by the 1</w:t>
      </w:r>
      <w:r>
        <w:t> December </w:t>
      </w:r>
      <w:r w:rsidRPr="001A6701">
        <w:t>2015 reforms. Data from 2017</w:t>
      </w:r>
      <w:r w:rsidRPr="001A6701">
        <w:noBreakHyphen/>
        <w:t>18 was impacted by the reforms announced in the 2017</w:t>
      </w:r>
      <w:r w:rsidRPr="001A6701">
        <w:noBreakHyphen/>
        <w:t>18 Budget, which were given effect on 1</w:t>
      </w:r>
      <w:r>
        <w:t> July </w:t>
      </w:r>
      <w:r w:rsidRPr="001A6701">
        <w:t>2017. These reforms may affect data comparability across time.</w:t>
      </w:r>
    </w:p>
    <w:p w14:paraId="340BDA93" w14:textId="77777777" w:rsidR="00F4496C" w:rsidRPr="00F4496C" w:rsidRDefault="00F4496C" w:rsidP="00F4496C">
      <w:pPr>
        <w:pStyle w:val="SingleParagraph"/>
      </w:pPr>
    </w:p>
    <w:p w14:paraId="098C7C38" w14:textId="71B53C00" w:rsidR="00BB0CF0" w:rsidRPr="00BB0CF0" w:rsidRDefault="00BB0CF0" w:rsidP="00F4496C">
      <w:r w:rsidRPr="00BB0CF0">
        <w:t>In January 2020, the Critical Minerals Facilitation Office (the Office) within the Department of Industry, Science, Energy and Resources was launched to support the development of critical mineral projects, including rare earths.</w:t>
      </w:r>
    </w:p>
    <w:p w14:paraId="3518708A" w14:textId="5799BCB6" w:rsidR="00A84283" w:rsidRPr="006D64A2" w:rsidRDefault="00A84283" w:rsidP="00B44658">
      <w:pPr>
        <w:pStyle w:val="Heading3"/>
      </w:pPr>
      <w:r w:rsidRPr="006D64A2">
        <w:t>Services</w:t>
      </w:r>
    </w:p>
    <w:p w14:paraId="05A23D72" w14:textId="492B9DBD" w:rsidR="00A84283" w:rsidRPr="001A6701" w:rsidRDefault="00A9676A" w:rsidP="001A6701">
      <w:pPr>
        <w:rPr>
          <w:color w:val="auto"/>
        </w:rPr>
      </w:pPr>
      <w:r w:rsidRPr="001A6701">
        <w:t xml:space="preserve">There were </w:t>
      </w:r>
      <w:r w:rsidR="008145E1">
        <w:t>245</w:t>
      </w:r>
      <w:r w:rsidRPr="001A6701">
        <w:t xml:space="preserve"> approvals for proposed investment in the services sector in 2018</w:t>
      </w:r>
      <w:r w:rsidR="00316050">
        <w:noBreakHyphen/>
      </w:r>
      <w:r w:rsidRPr="001A6701">
        <w:t xml:space="preserve">19, an increase of </w:t>
      </w:r>
      <w:r w:rsidR="008145E1">
        <w:t>60</w:t>
      </w:r>
      <w:r w:rsidRPr="001A6701">
        <w:t xml:space="preserve"> approvals on the previous year</w:t>
      </w:r>
      <w:r w:rsidR="00A84283" w:rsidRPr="001A6701">
        <w:rPr>
          <w:color w:val="auto"/>
        </w:rPr>
        <w:t>.</w:t>
      </w:r>
    </w:p>
    <w:p w14:paraId="3E1EB865" w14:textId="521332E3" w:rsidR="00A9676A" w:rsidRPr="001A6701" w:rsidRDefault="00A9676A" w:rsidP="001A6701">
      <w:pPr>
        <w:rPr>
          <w:color w:val="auto"/>
        </w:rPr>
      </w:pPr>
      <w:r w:rsidRPr="001A6701">
        <w:t>In 2018</w:t>
      </w:r>
      <w:r w:rsidR="00316050">
        <w:noBreakHyphen/>
      </w:r>
      <w:r w:rsidRPr="001A6701">
        <w:t>19, the United States was the largest source country of proposed investment by value with $31.1</w:t>
      </w:r>
      <w:r w:rsidR="00316050">
        <w:t> </w:t>
      </w:r>
      <w:r w:rsidRPr="001A6701">
        <w:t xml:space="preserve">billion of proposed investment. This </w:t>
      </w:r>
      <w:r w:rsidR="00430FB2">
        <w:t>wa</w:t>
      </w:r>
      <w:r w:rsidR="008145E1">
        <w:t>s</w:t>
      </w:r>
      <w:r w:rsidRPr="001A6701">
        <w:t xml:space="preserve"> more than </w:t>
      </w:r>
      <w:r w:rsidR="007508ED">
        <w:t xml:space="preserve">three times </w:t>
      </w:r>
      <w:r w:rsidRPr="001A6701">
        <w:rPr>
          <w:color w:val="auto"/>
        </w:rPr>
        <w:t>the value of the second largest source country, Canada, with $9.2</w:t>
      </w:r>
      <w:r w:rsidR="00316050">
        <w:rPr>
          <w:color w:val="auto"/>
        </w:rPr>
        <w:t> </w:t>
      </w:r>
      <w:r w:rsidRPr="001A6701">
        <w:rPr>
          <w:color w:val="auto"/>
        </w:rPr>
        <w:t xml:space="preserve">billion </w:t>
      </w:r>
      <w:r w:rsidR="007508ED">
        <w:rPr>
          <w:color w:val="auto"/>
        </w:rPr>
        <w:t xml:space="preserve">of </w:t>
      </w:r>
      <w:r w:rsidRPr="001A6701">
        <w:rPr>
          <w:color w:val="auto"/>
        </w:rPr>
        <w:t xml:space="preserve">proposed investment in </w:t>
      </w:r>
      <w:r w:rsidR="007508ED">
        <w:rPr>
          <w:color w:val="auto"/>
        </w:rPr>
        <w:t>this sector</w:t>
      </w:r>
      <w:r w:rsidRPr="001A6701">
        <w:rPr>
          <w:color w:val="auto"/>
        </w:rPr>
        <w:t>.</w:t>
      </w:r>
    </w:p>
    <w:p w14:paraId="23B020CF" w14:textId="5FA94A74" w:rsidR="00F32EB3" w:rsidRPr="001A6701" w:rsidRDefault="007508ED" w:rsidP="001A6701">
      <w:r>
        <w:t xml:space="preserve">The large value of proposed investment from the United States </w:t>
      </w:r>
      <w:r w:rsidR="00F32EB3" w:rsidRPr="001A6701">
        <w:t xml:space="preserve">can be partly attributed to the </w:t>
      </w:r>
      <w:r w:rsidR="00A9676A" w:rsidRPr="001A6701">
        <w:t>Walt Disney Company’s purchase of the Twenty-First Century Fox Inc global business.</w:t>
      </w:r>
    </w:p>
    <w:p w14:paraId="3B94C5C5" w14:textId="4BA0152B" w:rsidR="00A9676A" w:rsidRPr="008E1C9A" w:rsidRDefault="00A9676A" w:rsidP="001A6701">
      <w:pPr>
        <w:rPr>
          <w:color w:val="auto"/>
        </w:rPr>
      </w:pPr>
      <w:r w:rsidRPr="001A6701">
        <w:t xml:space="preserve">Transport </w:t>
      </w:r>
      <w:r w:rsidRPr="008E1C9A">
        <w:t>sector approvals showed an increase during the year mainly driven by two approvals for proposed investment in the Westconnex road project</w:t>
      </w:r>
      <w:r w:rsidR="007508ED" w:rsidRPr="008E1C9A">
        <w:t>.</w:t>
      </w:r>
      <w:r w:rsidRPr="008E1C9A">
        <w:t xml:space="preserve"> </w:t>
      </w:r>
      <w:r w:rsidR="007508ED" w:rsidRPr="008E1C9A">
        <w:t>T</w:t>
      </w:r>
      <w:r w:rsidRPr="008E1C9A">
        <w:t>he successful bidding consortium was 29.5</w:t>
      </w:r>
      <w:r w:rsidR="00055EE0">
        <w:t> per </w:t>
      </w:r>
      <w:r w:rsidRPr="008E1C9A">
        <w:t>c</w:t>
      </w:r>
      <w:r w:rsidR="00055EE0">
        <w:t xml:space="preserve">ent foreign owned and paid </w:t>
      </w:r>
      <w:r w:rsidR="008B569A">
        <w:t>approximately</w:t>
      </w:r>
      <w:r w:rsidR="00055EE0">
        <w:t xml:space="preserve"> $9.3 billion for a 51 per </w:t>
      </w:r>
      <w:r w:rsidRPr="008E1C9A">
        <w:t>cent stake in the asset.</w:t>
      </w:r>
    </w:p>
    <w:p w14:paraId="2D4F8303" w14:textId="21F5A663" w:rsidR="00F4496C" w:rsidRDefault="00F32EB3" w:rsidP="001A6701">
      <w:r w:rsidRPr="008E1C9A">
        <w:t>The value of proposed investments in h</w:t>
      </w:r>
      <w:r w:rsidR="00A9676A" w:rsidRPr="008E1C9A">
        <w:t>ealth services grew to $12.4</w:t>
      </w:r>
      <w:r w:rsidR="00055EE0">
        <w:t> </w:t>
      </w:r>
      <w:r w:rsidR="00A9676A" w:rsidRPr="008E1C9A">
        <w:t>billion in 2018</w:t>
      </w:r>
      <w:r w:rsidR="00055EE0">
        <w:noBreakHyphen/>
      </w:r>
      <w:r w:rsidR="00A9676A" w:rsidRPr="008E1C9A">
        <w:t xml:space="preserve">19, </w:t>
      </w:r>
      <w:r w:rsidR="00954B8B" w:rsidRPr="008E1C9A">
        <w:t xml:space="preserve">representing </w:t>
      </w:r>
      <w:r w:rsidR="00055EE0">
        <w:t>a 70 per </w:t>
      </w:r>
      <w:r w:rsidR="00A9676A" w:rsidRPr="008E1C9A">
        <w:t xml:space="preserve">cent increase </w:t>
      </w:r>
      <w:r w:rsidR="00954B8B" w:rsidRPr="008E1C9A">
        <w:t>from the previous year</w:t>
      </w:r>
      <w:r w:rsidR="00A9676A" w:rsidRPr="008E1C9A">
        <w:t>. Notable transactions in this sector included the $4.</w:t>
      </w:r>
      <w:r w:rsidR="0004233A" w:rsidRPr="008E1C9A">
        <w:t>5</w:t>
      </w:r>
      <w:r w:rsidR="00055EE0">
        <w:t> </w:t>
      </w:r>
      <w:r w:rsidR="00A9676A" w:rsidRPr="008E1C9A">
        <w:t>billion</w:t>
      </w:r>
      <w:r w:rsidR="00A9676A" w:rsidRPr="001A6701">
        <w:t xml:space="preserve"> takeover of private hospital operator Healthscope by Brookfield Capital Partners and </w:t>
      </w:r>
      <w:r w:rsidR="003E3FDE" w:rsidRPr="001A6701">
        <w:t>t</w:t>
      </w:r>
      <w:r w:rsidR="00A9676A" w:rsidRPr="001A6701">
        <w:t xml:space="preserve">he purchase of Sirtex Medical by </w:t>
      </w:r>
      <w:r w:rsidR="004E33F2">
        <w:t>a</w:t>
      </w:r>
      <w:r w:rsidR="00A9676A" w:rsidRPr="001A6701">
        <w:t>n offshore consortium for $1.9</w:t>
      </w:r>
      <w:r w:rsidR="005D2148">
        <w:t> </w:t>
      </w:r>
      <w:r w:rsidR="00A9676A" w:rsidRPr="001A6701">
        <w:t>billion</w:t>
      </w:r>
      <w:r w:rsidR="00A84283" w:rsidRPr="001A6701">
        <w:t>.</w:t>
      </w:r>
    </w:p>
    <w:p w14:paraId="67FCF616" w14:textId="77777777" w:rsidR="00F4496C" w:rsidRDefault="00F4496C">
      <w:pPr>
        <w:spacing w:after="0" w:line="240" w:lineRule="auto"/>
        <w:jc w:val="left"/>
      </w:pPr>
      <w:r>
        <w:br w:type="page"/>
      </w:r>
    </w:p>
    <w:p w14:paraId="1F6C9AD7" w14:textId="09E49429" w:rsidR="00A84283" w:rsidRPr="005D2148" w:rsidRDefault="00A84283" w:rsidP="005D2148">
      <w:pPr>
        <w:pStyle w:val="TableMainHeading"/>
      </w:pPr>
      <w:bookmarkStart w:id="105" w:name="_Toc32247768"/>
      <w:bookmarkStart w:id="106" w:name="_Toc33521353"/>
      <w:r w:rsidRPr="005D2148">
        <w:lastRenderedPageBreak/>
        <w:t>Table 3.7:</w:t>
      </w:r>
      <w:r w:rsidR="003E3FDE" w:rsidRPr="005D2148">
        <w:t xml:space="preserve"> Services sector approvals: 2015</w:t>
      </w:r>
      <w:r w:rsidRPr="005D2148">
        <w:t>–1</w:t>
      </w:r>
      <w:r w:rsidR="003E3FDE" w:rsidRPr="005D2148">
        <w:t>6</w:t>
      </w:r>
      <w:r w:rsidRPr="005D2148">
        <w:t xml:space="preserve"> to 201</w:t>
      </w:r>
      <w:r w:rsidR="003E3FDE" w:rsidRPr="005D2148">
        <w:t>8</w:t>
      </w:r>
      <w:r w:rsidRPr="005D2148">
        <w:t>–1</w:t>
      </w:r>
      <w:r w:rsidR="003E3FDE" w:rsidRPr="005D2148">
        <w:t>9</w:t>
      </w:r>
      <w:bookmarkEnd w:id="105"/>
      <w:bookmarkEnd w:id="106"/>
    </w:p>
    <w:tbl>
      <w:tblPr>
        <w:tblW w:w="5000" w:type="pct"/>
        <w:tblLook w:val="04A0" w:firstRow="1" w:lastRow="0" w:firstColumn="1" w:lastColumn="0" w:noHBand="0" w:noVBand="1"/>
      </w:tblPr>
      <w:tblGrid>
        <w:gridCol w:w="2275"/>
        <w:gridCol w:w="665"/>
        <w:gridCol w:w="695"/>
        <w:gridCol w:w="665"/>
        <w:gridCol w:w="695"/>
        <w:gridCol w:w="663"/>
        <w:gridCol w:w="695"/>
        <w:gridCol w:w="663"/>
        <w:gridCol w:w="694"/>
      </w:tblGrid>
      <w:tr w:rsidR="004F0E10" w:rsidRPr="004F0E10" w14:paraId="16C4B88B" w14:textId="77777777" w:rsidTr="00CB5DF7">
        <w:trPr>
          <w:trHeight w:val="225"/>
        </w:trPr>
        <w:tc>
          <w:tcPr>
            <w:tcW w:w="1475" w:type="pct"/>
            <w:tcBorders>
              <w:top w:val="single" w:sz="2" w:space="0" w:color="000000" w:themeColor="text1"/>
              <w:left w:val="nil"/>
              <w:bottom w:val="nil"/>
              <w:right w:val="nil"/>
            </w:tcBorders>
            <w:shd w:val="clear" w:color="000000" w:fill="FFFFFF"/>
            <w:noWrap/>
            <w:vAlign w:val="center"/>
            <w:hideMark/>
          </w:tcPr>
          <w:p w14:paraId="237B8BB1"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 </w:t>
            </w:r>
          </w:p>
        </w:tc>
        <w:tc>
          <w:tcPr>
            <w:tcW w:w="882" w:type="pct"/>
            <w:gridSpan w:val="2"/>
            <w:tcBorders>
              <w:top w:val="single" w:sz="2" w:space="0" w:color="000000" w:themeColor="text1"/>
              <w:left w:val="nil"/>
              <w:right w:val="nil"/>
            </w:tcBorders>
            <w:shd w:val="clear" w:color="000000" w:fill="FFFFFF"/>
            <w:noWrap/>
            <w:vAlign w:val="center"/>
            <w:hideMark/>
          </w:tcPr>
          <w:p w14:paraId="55AAC091"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2015-16</w:t>
            </w:r>
          </w:p>
        </w:tc>
        <w:tc>
          <w:tcPr>
            <w:tcW w:w="881" w:type="pct"/>
            <w:gridSpan w:val="2"/>
            <w:tcBorders>
              <w:top w:val="single" w:sz="2" w:space="0" w:color="000000" w:themeColor="text1"/>
              <w:left w:val="nil"/>
              <w:right w:val="nil"/>
            </w:tcBorders>
            <w:shd w:val="clear" w:color="000000" w:fill="FFFFFF"/>
            <w:noWrap/>
            <w:vAlign w:val="center"/>
            <w:hideMark/>
          </w:tcPr>
          <w:p w14:paraId="12AA6E85"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2016-17</w:t>
            </w:r>
          </w:p>
        </w:tc>
        <w:tc>
          <w:tcPr>
            <w:tcW w:w="881" w:type="pct"/>
            <w:gridSpan w:val="2"/>
            <w:tcBorders>
              <w:top w:val="single" w:sz="2" w:space="0" w:color="000000" w:themeColor="text1"/>
              <w:left w:val="nil"/>
              <w:right w:val="nil"/>
            </w:tcBorders>
            <w:shd w:val="clear" w:color="auto" w:fill="auto"/>
            <w:noWrap/>
            <w:vAlign w:val="center"/>
            <w:hideMark/>
          </w:tcPr>
          <w:p w14:paraId="2F5E90C0"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2017-18</w:t>
            </w:r>
          </w:p>
        </w:tc>
        <w:tc>
          <w:tcPr>
            <w:tcW w:w="881" w:type="pct"/>
            <w:gridSpan w:val="2"/>
            <w:tcBorders>
              <w:top w:val="single" w:sz="2" w:space="0" w:color="000000" w:themeColor="text1"/>
              <w:left w:val="nil"/>
              <w:right w:val="nil"/>
            </w:tcBorders>
            <w:shd w:val="clear" w:color="000000" w:fill="F2F2F2"/>
            <w:noWrap/>
            <w:vAlign w:val="center"/>
            <w:hideMark/>
          </w:tcPr>
          <w:p w14:paraId="59E3E493"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2018-19</w:t>
            </w:r>
          </w:p>
        </w:tc>
      </w:tr>
      <w:tr w:rsidR="004F0E10" w:rsidRPr="004F0E10" w14:paraId="16FEC7B0" w14:textId="77777777" w:rsidTr="00CB5DF7">
        <w:trPr>
          <w:trHeight w:val="225"/>
        </w:trPr>
        <w:tc>
          <w:tcPr>
            <w:tcW w:w="1475" w:type="pct"/>
            <w:tcBorders>
              <w:top w:val="nil"/>
              <w:left w:val="nil"/>
              <w:bottom w:val="single" w:sz="2" w:space="0" w:color="000000" w:themeColor="text1"/>
              <w:right w:val="nil"/>
            </w:tcBorders>
            <w:shd w:val="clear" w:color="000000" w:fill="FFFFFF"/>
            <w:noWrap/>
            <w:vAlign w:val="center"/>
            <w:hideMark/>
          </w:tcPr>
          <w:p w14:paraId="13E85782"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Group</w:t>
            </w:r>
          </w:p>
        </w:tc>
        <w:tc>
          <w:tcPr>
            <w:tcW w:w="431" w:type="pct"/>
            <w:tcBorders>
              <w:left w:val="nil"/>
              <w:bottom w:val="single" w:sz="2" w:space="0" w:color="000000" w:themeColor="text1"/>
              <w:right w:val="nil"/>
            </w:tcBorders>
            <w:shd w:val="clear" w:color="000000" w:fill="FFFFFF"/>
            <w:noWrap/>
            <w:vAlign w:val="center"/>
            <w:hideMark/>
          </w:tcPr>
          <w:p w14:paraId="5371D3BE"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No.</w:t>
            </w:r>
          </w:p>
        </w:tc>
        <w:tc>
          <w:tcPr>
            <w:tcW w:w="451" w:type="pct"/>
            <w:tcBorders>
              <w:left w:val="nil"/>
              <w:bottom w:val="single" w:sz="2" w:space="0" w:color="000000" w:themeColor="text1"/>
              <w:right w:val="nil"/>
            </w:tcBorders>
            <w:shd w:val="clear" w:color="000000" w:fill="FFFFFF"/>
            <w:noWrap/>
            <w:vAlign w:val="center"/>
            <w:hideMark/>
          </w:tcPr>
          <w:p w14:paraId="50D4FEB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$b</w:t>
            </w:r>
          </w:p>
        </w:tc>
        <w:tc>
          <w:tcPr>
            <w:tcW w:w="431" w:type="pct"/>
            <w:tcBorders>
              <w:left w:val="nil"/>
              <w:bottom w:val="single" w:sz="2" w:space="0" w:color="000000" w:themeColor="text1"/>
              <w:right w:val="nil"/>
            </w:tcBorders>
            <w:shd w:val="clear" w:color="000000" w:fill="FFFFFF"/>
            <w:noWrap/>
            <w:vAlign w:val="center"/>
            <w:hideMark/>
          </w:tcPr>
          <w:p w14:paraId="163D3C8E"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No.</w:t>
            </w:r>
          </w:p>
        </w:tc>
        <w:tc>
          <w:tcPr>
            <w:tcW w:w="451" w:type="pct"/>
            <w:tcBorders>
              <w:left w:val="nil"/>
              <w:bottom w:val="single" w:sz="2" w:space="0" w:color="000000" w:themeColor="text1"/>
              <w:right w:val="nil"/>
            </w:tcBorders>
            <w:shd w:val="clear" w:color="000000" w:fill="FFFFFF"/>
            <w:noWrap/>
            <w:vAlign w:val="center"/>
            <w:hideMark/>
          </w:tcPr>
          <w:p w14:paraId="4648C749"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$b</w:t>
            </w:r>
          </w:p>
        </w:tc>
        <w:tc>
          <w:tcPr>
            <w:tcW w:w="430" w:type="pct"/>
            <w:tcBorders>
              <w:left w:val="nil"/>
              <w:bottom w:val="single" w:sz="2" w:space="0" w:color="000000" w:themeColor="text1"/>
              <w:right w:val="nil"/>
            </w:tcBorders>
            <w:shd w:val="clear" w:color="auto" w:fill="auto"/>
            <w:vAlign w:val="center"/>
            <w:hideMark/>
          </w:tcPr>
          <w:p w14:paraId="7112221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No.</w:t>
            </w:r>
          </w:p>
        </w:tc>
        <w:tc>
          <w:tcPr>
            <w:tcW w:w="451" w:type="pct"/>
            <w:tcBorders>
              <w:left w:val="nil"/>
              <w:bottom w:val="single" w:sz="2" w:space="0" w:color="000000" w:themeColor="text1"/>
              <w:right w:val="nil"/>
            </w:tcBorders>
            <w:shd w:val="clear" w:color="auto" w:fill="auto"/>
            <w:vAlign w:val="center"/>
            <w:hideMark/>
          </w:tcPr>
          <w:p w14:paraId="5FB2E61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$b</w:t>
            </w:r>
          </w:p>
        </w:tc>
        <w:tc>
          <w:tcPr>
            <w:tcW w:w="430" w:type="pct"/>
            <w:tcBorders>
              <w:left w:val="nil"/>
              <w:bottom w:val="single" w:sz="2" w:space="0" w:color="000000" w:themeColor="text1"/>
              <w:right w:val="nil"/>
            </w:tcBorders>
            <w:shd w:val="clear" w:color="000000" w:fill="F2F2F2"/>
            <w:vAlign w:val="center"/>
            <w:hideMark/>
          </w:tcPr>
          <w:p w14:paraId="6D328F85"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No.</w:t>
            </w:r>
          </w:p>
        </w:tc>
        <w:tc>
          <w:tcPr>
            <w:tcW w:w="451" w:type="pct"/>
            <w:tcBorders>
              <w:left w:val="nil"/>
              <w:bottom w:val="single" w:sz="2" w:space="0" w:color="000000" w:themeColor="text1"/>
              <w:right w:val="nil"/>
            </w:tcBorders>
            <w:shd w:val="clear" w:color="000000" w:fill="F2F2F2"/>
            <w:vAlign w:val="center"/>
            <w:hideMark/>
          </w:tcPr>
          <w:p w14:paraId="47B8C8DE"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$b</w:t>
            </w:r>
          </w:p>
        </w:tc>
      </w:tr>
      <w:tr w:rsidR="004F0E10" w:rsidRPr="004F0E10" w14:paraId="18F7CE85" w14:textId="77777777" w:rsidTr="00CB5DF7">
        <w:trPr>
          <w:trHeight w:val="458"/>
        </w:trPr>
        <w:tc>
          <w:tcPr>
            <w:tcW w:w="1475" w:type="pct"/>
            <w:tcBorders>
              <w:top w:val="single" w:sz="2" w:space="0" w:color="000000" w:themeColor="text1"/>
              <w:left w:val="nil"/>
              <w:bottom w:val="nil"/>
              <w:right w:val="nil"/>
            </w:tcBorders>
            <w:shd w:val="clear" w:color="000000" w:fill="FFFFFF"/>
            <w:vAlign w:val="center"/>
            <w:hideMark/>
          </w:tcPr>
          <w:p w14:paraId="473F7903"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Accommodation,</w:t>
            </w:r>
            <w:r w:rsidRPr="004F0E10">
              <w:rPr>
                <w:rFonts w:ascii="Arial" w:hAnsi="Arial" w:cs="Arial"/>
                <w:color w:val="auto"/>
                <w:sz w:val="16"/>
                <w:szCs w:val="16"/>
              </w:rPr>
              <w:br/>
              <w:t xml:space="preserve">  food and beverage (a)</w:t>
            </w:r>
          </w:p>
        </w:tc>
        <w:tc>
          <w:tcPr>
            <w:tcW w:w="431" w:type="pct"/>
            <w:tcBorders>
              <w:top w:val="single" w:sz="2" w:space="0" w:color="000000" w:themeColor="text1"/>
              <w:left w:val="nil"/>
              <w:bottom w:val="nil"/>
              <w:right w:val="nil"/>
            </w:tcBorders>
            <w:shd w:val="clear" w:color="000000" w:fill="FFFFFF"/>
            <w:vAlign w:val="center"/>
            <w:hideMark/>
          </w:tcPr>
          <w:p w14:paraId="69124C44"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w:t>
            </w:r>
          </w:p>
        </w:tc>
        <w:tc>
          <w:tcPr>
            <w:tcW w:w="451" w:type="pct"/>
            <w:tcBorders>
              <w:top w:val="single" w:sz="2" w:space="0" w:color="000000" w:themeColor="text1"/>
              <w:left w:val="nil"/>
              <w:bottom w:val="nil"/>
              <w:right w:val="nil"/>
            </w:tcBorders>
            <w:shd w:val="clear" w:color="000000" w:fill="FFFFFF"/>
            <w:vAlign w:val="center"/>
            <w:hideMark/>
          </w:tcPr>
          <w:p w14:paraId="7E04C74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0.5</w:t>
            </w:r>
          </w:p>
        </w:tc>
        <w:tc>
          <w:tcPr>
            <w:tcW w:w="431" w:type="pct"/>
            <w:tcBorders>
              <w:top w:val="single" w:sz="2" w:space="0" w:color="000000" w:themeColor="text1"/>
              <w:left w:val="nil"/>
              <w:bottom w:val="nil"/>
              <w:right w:val="nil"/>
            </w:tcBorders>
            <w:shd w:val="clear" w:color="000000" w:fill="FFFFFF"/>
            <w:vAlign w:val="center"/>
            <w:hideMark/>
          </w:tcPr>
          <w:p w14:paraId="185E1BA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10</w:t>
            </w:r>
          </w:p>
        </w:tc>
        <w:tc>
          <w:tcPr>
            <w:tcW w:w="451" w:type="pct"/>
            <w:tcBorders>
              <w:top w:val="single" w:sz="2" w:space="0" w:color="000000" w:themeColor="text1"/>
              <w:left w:val="nil"/>
              <w:bottom w:val="nil"/>
              <w:right w:val="nil"/>
            </w:tcBorders>
            <w:shd w:val="clear" w:color="000000" w:fill="FFFFFF"/>
            <w:vAlign w:val="center"/>
            <w:hideMark/>
          </w:tcPr>
          <w:p w14:paraId="6D57B14E"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1.4</w:t>
            </w:r>
          </w:p>
        </w:tc>
        <w:tc>
          <w:tcPr>
            <w:tcW w:w="430" w:type="pct"/>
            <w:tcBorders>
              <w:top w:val="single" w:sz="2" w:space="0" w:color="000000" w:themeColor="text1"/>
              <w:left w:val="nil"/>
              <w:bottom w:val="nil"/>
              <w:right w:val="nil"/>
            </w:tcBorders>
            <w:shd w:val="clear" w:color="auto" w:fill="auto"/>
            <w:noWrap/>
            <w:vAlign w:val="center"/>
            <w:hideMark/>
          </w:tcPr>
          <w:p w14:paraId="5839DCC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8</w:t>
            </w:r>
          </w:p>
        </w:tc>
        <w:tc>
          <w:tcPr>
            <w:tcW w:w="451" w:type="pct"/>
            <w:tcBorders>
              <w:top w:val="single" w:sz="2" w:space="0" w:color="000000" w:themeColor="text1"/>
              <w:left w:val="nil"/>
              <w:bottom w:val="nil"/>
              <w:right w:val="nil"/>
            </w:tcBorders>
            <w:shd w:val="clear" w:color="auto" w:fill="auto"/>
            <w:noWrap/>
            <w:vAlign w:val="center"/>
            <w:hideMark/>
          </w:tcPr>
          <w:p w14:paraId="3ED8417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2.0</w:t>
            </w:r>
          </w:p>
        </w:tc>
        <w:tc>
          <w:tcPr>
            <w:tcW w:w="430" w:type="pct"/>
            <w:tcBorders>
              <w:top w:val="single" w:sz="2" w:space="0" w:color="000000" w:themeColor="text1"/>
              <w:left w:val="nil"/>
              <w:bottom w:val="nil"/>
              <w:right w:val="nil"/>
            </w:tcBorders>
            <w:shd w:val="clear" w:color="000000" w:fill="F2F2F2"/>
            <w:noWrap/>
            <w:vAlign w:val="center"/>
            <w:hideMark/>
          </w:tcPr>
          <w:p w14:paraId="09547DC0"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17</w:t>
            </w:r>
          </w:p>
        </w:tc>
        <w:tc>
          <w:tcPr>
            <w:tcW w:w="451" w:type="pct"/>
            <w:tcBorders>
              <w:top w:val="single" w:sz="2" w:space="0" w:color="000000" w:themeColor="text1"/>
              <w:left w:val="nil"/>
              <w:bottom w:val="nil"/>
              <w:right w:val="nil"/>
            </w:tcBorders>
            <w:shd w:val="clear" w:color="000000" w:fill="F2F2F2"/>
            <w:noWrap/>
            <w:vAlign w:val="center"/>
            <w:hideMark/>
          </w:tcPr>
          <w:p w14:paraId="0968EA79"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1.5</w:t>
            </w:r>
          </w:p>
        </w:tc>
      </w:tr>
      <w:tr w:rsidR="004F0E10" w:rsidRPr="004F0E10" w14:paraId="7BF1FE7A" w14:textId="77777777" w:rsidTr="001B3CF4">
        <w:trPr>
          <w:trHeight w:val="225"/>
        </w:trPr>
        <w:tc>
          <w:tcPr>
            <w:tcW w:w="1475" w:type="pct"/>
            <w:tcBorders>
              <w:top w:val="nil"/>
              <w:left w:val="nil"/>
              <w:bottom w:val="nil"/>
              <w:right w:val="nil"/>
            </w:tcBorders>
            <w:shd w:val="clear" w:color="000000" w:fill="FFFFFF"/>
            <w:vAlign w:val="bottom"/>
            <w:hideMark/>
          </w:tcPr>
          <w:p w14:paraId="75BA7E62"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 xml:space="preserve">Arts and Recreation (b) </w:t>
            </w:r>
          </w:p>
        </w:tc>
        <w:tc>
          <w:tcPr>
            <w:tcW w:w="431" w:type="pct"/>
            <w:tcBorders>
              <w:top w:val="nil"/>
              <w:left w:val="nil"/>
              <w:bottom w:val="nil"/>
              <w:right w:val="nil"/>
            </w:tcBorders>
            <w:shd w:val="clear" w:color="000000" w:fill="FFFFFF"/>
            <w:vAlign w:val="center"/>
            <w:hideMark/>
          </w:tcPr>
          <w:p w14:paraId="0E8F6D0A"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w:t>
            </w:r>
          </w:p>
        </w:tc>
        <w:tc>
          <w:tcPr>
            <w:tcW w:w="451" w:type="pct"/>
            <w:tcBorders>
              <w:top w:val="nil"/>
              <w:left w:val="nil"/>
              <w:bottom w:val="nil"/>
              <w:right w:val="nil"/>
            </w:tcBorders>
            <w:shd w:val="clear" w:color="000000" w:fill="FFFFFF"/>
            <w:vAlign w:val="center"/>
            <w:hideMark/>
          </w:tcPr>
          <w:p w14:paraId="2F56E0CA"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0.3</w:t>
            </w:r>
          </w:p>
        </w:tc>
        <w:tc>
          <w:tcPr>
            <w:tcW w:w="431" w:type="pct"/>
            <w:tcBorders>
              <w:top w:val="nil"/>
              <w:left w:val="nil"/>
              <w:bottom w:val="nil"/>
              <w:right w:val="nil"/>
            </w:tcBorders>
            <w:shd w:val="clear" w:color="000000" w:fill="FFFFFF"/>
            <w:vAlign w:val="center"/>
            <w:hideMark/>
          </w:tcPr>
          <w:p w14:paraId="32FA7C2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11</w:t>
            </w:r>
          </w:p>
        </w:tc>
        <w:tc>
          <w:tcPr>
            <w:tcW w:w="451" w:type="pct"/>
            <w:tcBorders>
              <w:top w:val="nil"/>
              <w:left w:val="nil"/>
              <w:bottom w:val="nil"/>
              <w:right w:val="nil"/>
            </w:tcBorders>
            <w:shd w:val="clear" w:color="000000" w:fill="FFFFFF"/>
            <w:vAlign w:val="center"/>
            <w:hideMark/>
          </w:tcPr>
          <w:p w14:paraId="4E79A4AE"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2.3</w:t>
            </w:r>
          </w:p>
        </w:tc>
        <w:tc>
          <w:tcPr>
            <w:tcW w:w="430" w:type="pct"/>
            <w:tcBorders>
              <w:top w:val="nil"/>
              <w:left w:val="nil"/>
              <w:bottom w:val="nil"/>
              <w:right w:val="nil"/>
            </w:tcBorders>
            <w:shd w:val="clear" w:color="auto" w:fill="auto"/>
            <w:noWrap/>
            <w:vAlign w:val="center"/>
            <w:hideMark/>
          </w:tcPr>
          <w:p w14:paraId="2BAF901D"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14</w:t>
            </w:r>
          </w:p>
        </w:tc>
        <w:tc>
          <w:tcPr>
            <w:tcW w:w="451" w:type="pct"/>
            <w:tcBorders>
              <w:top w:val="nil"/>
              <w:left w:val="nil"/>
              <w:bottom w:val="nil"/>
              <w:right w:val="nil"/>
            </w:tcBorders>
            <w:shd w:val="clear" w:color="auto" w:fill="auto"/>
            <w:noWrap/>
            <w:vAlign w:val="center"/>
            <w:hideMark/>
          </w:tcPr>
          <w:p w14:paraId="0938676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1.3</w:t>
            </w:r>
          </w:p>
        </w:tc>
        <w:tc>
          <w:tcPr>
            <w:tcW w:w="430" w:type="pct"/>
            <w:tcBorders>
              <w:top w:val="nil"/>
              <w:left w:val="nil"/>
              <w:bottom w:val="nil"/>
              <w:right w:val="nil"/>
            </w:tcBorders>
            <w:shd w:val="clear" w:color="000000" w:fill="F2F2F2"/>
            <w:noWrap/>
            <w:vAlign w:val="center"/>
            <w:hideMark/>
          </w:tcPr>
          <w:p w14:paraId="53E39D1A"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8</w:t>
            </w:r>
          </w:p>
        </w:tc>
        <w:tc>
          <w:tcPr>
            <w:tcW w:w="451" w:type="pct"/>
            <w:tcBorders>
              <w:top w:val="nil"/>
              <w:left w:val="nil"/>
              <w:bottom w:val="nil"/>
              <w:right w:val="nil"/>
            </w:tcBorders>
            <w:shd w:val="clear" w:color="000000" w:fill="F2F2F2"/>
            <w:noWrap/>
            <w:vAlign w:val="center"/>
            <w:hideMark/>
          </w:tcPr>
          <w:p w14:paraId="5E0EE19C"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0.7</w:t>
            </w:r>
          </w:p>
        </w:tc>
      </w:tr>
      <w:tr w:rsidR="004F0E10" w:rsidRPr="004F0E10" w14:paraId="51A243CE" w14:textId="77777777" w:rsidTr="001B3CF4">
        <w:trPr>
          <w:trHeight w:val="225"/>
        </w:trPr>
        <w:tc>
          <w:tcPr>
            <w:tcW w:w="1475" w:type="pct"/>
            <w:tcBorders>
              <w:top w:val="nil"/>
              <w:left w:val="nil"/>
              <w:bottom w:val="nil"/>
              <w:right w:val="nil"/>
            </w:tcBorders>
            <w:shd w:val="clear" w:color="000000" w:fill="FFFFFF"/>
            <w:noWrap/>
            <w:vAlign w:val="center"/>
            <w:hideMark/>
          </w:tcPr>
          <w:p w14:paraId="0DBC823D"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Communications (c)</w:t>
            </w:r>
          </w:p>
        </w:tc>
        <w:tc>
          <w:tcPr>
            <w:tcW w:w="431" w:type="pct"/>
            <w:tcBorders>
              <w:top w:val="nil"/>
              <w:left w:val="nil"/>
              <w:bottom w:val="nil"/>
              <w:right w:val="nil"/>
            </w:tcBorders>
            <w:shd w:val="clear" w:color="000000" w:fill="FFFFFF"/>
            <w:vAlign w:val="center"/>
            <w:hideMark/>
          </w:tcPr>
          <w:p w14:paraId="13DD11A4"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29</w:t>
            </w:r>
          </w:p>
        </w:tc>
        <w:tc>
          <w:tcPr>
            <w:tcW w:w="451" w:type="pct"/>
            <w:tcBorders>
              <w:top w:val="nil"/>
              <w:left w:val="nil"/>
              <w:bottom w:val="nil"/>
              <w:right w:val="nil"/>
            </w:tcBorders>
            <w:shd w:val="clear" w:color="000000" w:fill="FFFFFF"/>
            <w:vAlign w:val="center"/>
            <w:hideMark/>
          </w:tcPr>
          <w:p w14:paraId="22FA6BE4"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5.8</w:t>
            </w:r>
          </w:p>
        </w:tc>
        <w:tc>
          <w:tcPr>
            <w:tcW w:w="431" w:type="pct"/>
            <w:tcBorders>
              <w:top w:val="nil"/>
              <w:left w:val="nil"/>
              <w:bottom w:val="nil"/>
              <w:right w:val="nil"/>
            </w:tcBorders>
            <w:shd w:val="clear" w:color="000000" w:fill="FFFFFF"/>
            <w:vAlign w:val="center"/>
            <w:hideMark/>
          </w:tcPr>
          <w:p w14:paraId="7C09BCDA"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8</w:t>
            </w:r>
          </w:p>
        </w:tc>
        <w:tc>
          <w:tcPr>
            <w:tcW w:w="451" w:type="pct"/>
            <w:tcBorders>
              <w:top w:val="nil"/>
              <w:left w:val="nil"/>
              <w:bottom w:val="nil"/>
              <w:right w:val="nil"/>
            </w:tcBorders>
            <w:shd w:val="clear" w:color="000000" w:fill="FFFFFF"/>
            <w:vAlign w:val="center"/>
            <w:hideMark/>
          </w:tcPr>
          <w:p w14:paraId="1C9EEBC9"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0.9</w:t>
            </w:r>
          </w:p>
        </w:tc>
        <w:tc>
          <w:tcPr>
            <w:tcW w:w="430" w:type="pct"/>
            <w:tcBorders>
              <w:top w:val="nil"/>
              <w:left w:val="nil"/>
              <w:bottom w:val="nil"/>
              <w:right w:val="nil"/>
            </w:tcBorders>
            <w:shd w:val="clear" w:color="auto" w:fill="auto"/>
            <w:noWrap/>
            <w:vAlign w:val="center"/>
            <w:hideMark/>
          </w:tcPr>
          <w:p w14:paraId="17C849C6"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19</w:t>
            </w:r>
          </w:p>
        </w:tc>
        <w:tc>
          <w:tcPr>
            <w:tcW w:w="451" w:type="pct"/>
            <w:tcBorders>
              <w:top w:val="nil"/>
              <w:left w:val="nil"/>
              <w:bottom w:val="nil"/>
              <w:right w:val="nil"/>
            </w:tcBorders>
            <w:shd w:val="clear" w:color="auto" w:fill="auto"/>
            <w:noWrap/>
            <w:vAlign w:val="center"/>
            <w:hideMark/>
          </w:tcPr>
          <w:p w14:paraId="79C2FCE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2.2</w:t>
            </w:r>
          </w:p>
        </w:tc>
        <w:tc>
          <w:tcPr>
            <w:tcW w:w="430" w:type="pct"/>
            <w:tcBorders>
              <w:top w:val="nil"/>
              <w:left w:val="nil"/>
              <w:bottom w:val="nil"/>
              <w:right w:val="nil"/>
            </w:tcBorders>
            <w:shd w:val="clear" w:color="000000" w:fill="F2F2F2"/>
            <w:noWrap/>
            <w:vAlign w:val="center"/>
            <w:hideMark/>
          </w:tcPr>
          <w:p w14:paraId="486D312A"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21</w:t>
            </w:r>
          </w:p>
        </w:tc>
        <w:tc>
          <w:tcPr>
            <w:tcW w:w="451" w:type="pct"/>
            <w:tcBorders>
              <w:top w:val="nil"/>
              <w:left w:val="nil"/>
              <w:bottom w:val="nil"/>
              <w:right w:val="nil"/>
            </w:tcBorders>
            <w:shd w:val="clear" w:color="000000" w:fill="F2F2F2"/>
            <w:noWrap/>
            <w:vAlign w:val="center"/>
            <w:hideMark/>
          </w:tcPr>
          <w:p w14:paraId="2003ECD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17.4</w:t>
            </w:r>
          </w:p>
        </w:tc>
      </w:tr>
      <w:tr w:rsidR="004F0E10" w:rsidRPr="004F0E10" w14:paraId="0414ABD4" w14:textId="77777777" w:rsidTr="001B3CF4">
        <w:trPr>
          <w:trHeight w:val="225"/>
        </w:trPr>
        <w:tc>
          <w:tcPr>
            <w:tcW w:w="1475" w:type="pct"/>
            <w:tcBorders>
              <w:top w:val="nil"/>
              <w:left w:val="nil"/>
              <w:bottom w:val="nil"/>
              <w:right w:val="nil"/>
            </w:tcBorders>
            <w:shd w:val="clear" w:color="000000" w:fill="FFFFFF"/>
            <w:noWrap/>
            <w:vAlign w:val="center"/>
            <w:hideMark/>
          </w:tcPr>
          <w:p w14:paraId="59102328"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Construction (d)</w:t>
            </w:r>
          </w:p>
        </w:tc>
        <w:tc>
          <w:tcPr>
            <w:tcW w:w="431" w:type="pct"/>
            <w:tcBorders>
              <w:top w:val="nil"/>
              <w:left w:val="nil"/>
              <w:bottom w:val="nil"/>
              <w:right w:val="nil"/>
            </w:tcBorders>
            <w:shd w:val="clear" w:color="000000" w:fill="FFFFFF"/>
            <w:vAlign w:val="center"/>
            <w:hideMark/>
          </w:tcPr>
          <w:p w14:paraId="5B218FE5"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14</w:t>
            </w:r>
          </w:p>
        </w:tc>
        <w:tc>
          <w:tcPr>
            <w:tcW w:w="451" w:type="pct"/>
            <w:tcBorders>
              <w:top w:val="nil"/>
              <w:left w:val="nil"/>
              <w:bottom w:val="nil"/>
              <w:right w:val="nil"/>
            </w:tcBorders>
            <w:shd w:val="clear" w:color="000000" w:fill="FFFFFF"/>
            <w:vAlign w:val="center"/>
            <w:hideMark/>
          </w:tcPr>
          <w:p w14:paraId="319A204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0.9</w:t>
            </w:r>
          </w:p>
        </w:tc>
        <w:tc>
          <w:tcPr>
            <w:tcW w:w="431" w:type="pct"/>
            <w:tcBorders>
              <w:top w:val="nil"/>
              <w:left w:val="nil"/>
              <w:bottom w:val="nil"/>
              <w:right w:val="nil"/>
            </w:tcBorders>
            <w:shd w:val="clear" w:color="000000" w:fill="FFFFFF"/>
            <w:vAlign w:val="center"/>
            <w:hideMark/>
          </w:tcPr>
          <w:p w14:paraId="00D526B4"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48</w:t>
            </w:r>
          </w:p>
        </w:tc>
        <w:tc>
          <w:tcPr>
            <w:tcW w:w="451" w:type="pct"/>
            <w:tcBorders>
              <w:top w:val="nil"/>
              <w:left w:val="nil"/>
              <w:bottom w:val="nil"/>
              <w:right w:val="nil"/>
            </w:tcBorders>
            <w:shd w:val="clear" w:color="000000" w:fill="FFFFFF"/>
            <w:vAlign w:val="center"/>
            <w:hideMark/>
          </w:tcPr>
          <w:p w14:paraId="0C3A71E1"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7.3</w:t>
            </w:r>
          </w:p>
        </w:tc>
        <w:tc>
          <w:tcPr>
            <w:tcW w:w="430" w:type="pct"/>
            <w:tcBorders>
              <w:top w:val="nil"/>
              <w:left w:val="nil"/>
              <w:bottom w:val="nil"/>
              <w:right w:val="nil"/>
            </w:tcBorders>
            <w:shd w:val="clear" w:color="auto" w:fill="auto"/>
            <w:noWrap/>
            <w:vAlign w:val="center"/>
            <w:hideMark/>
          </w:tcPr>
          <w:p w14:paraId="392F77D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14</w:t>
            </w:r>
          </w:p>
        </w:tc>
        <w:tc>
          <w:tcPr>
            <w:tcW w:w="451" w:type="pct"/>
            <w:tcBorders>
              <w:top w:val="nil"/>
              <w:left w:val="nil"/>
              <w:bottom w:val="nil"/>
              <w:right w:val="nil"/>
            </w:tcBorders>
            <w:shd w:val="clear" w:color="auto" w:fill="auto"/>
            <w:noWrap/>
            <w:vAlign w:val="center"/>
            <w:hideMark/>
          </w:tcPr>
          <w:p w14:paraId="6D1553CC"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1.3</w:t>
            </w:r>
          </w:p>
        </w:tc>
        <w:tc>
          <w:tcPr>
            <w:tcW w:w="430" w:type="pct"/>
            <w:tcBorders>
              <w:top w:val="nil"/>
              <w:left w:val="nil"/>
              <w:bottom w:val="nil"/>
              <w:right w:val="nil"/>
            </w:tcBorders>
            <w:shd w:val="clear" w:color="000000" w:fill="F2F2F2"/>
            <w:noWrap/>
            <w:vAlign w:val="center"/>
            <w:hideMark/>
          </w:tcPr>
          <w:p w14:paraId="663CB5CA"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22</w:t>
            </w:r>
          </w:p>
        </w:tc>
        <w:tc>
          <w:tcPr>
            <w:tcW w:w="451" w:type="pct"/>
            <w:tcBorders>
              <w:top w:val="nil"/>
              <w:left w:val="nil"/>
              <w:bottom w:val="nil"/>
              <w:right w:val="nil"/>
            </w:tcBorders>
            <w:shd w:val="clear" w:color="000000" w:fill="F2F2F2"/>
            <w:noWrap/>
            <w:vAlign w:val="center"/>
            <w:hideMark/>
          </w:tcPr>
          <w:p w14:paraId="4216E9D0"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4.1</w:t>
            </w:r>
          </w:p>
        </w:tc>
      </w:tr>
      <w:tr w:rsidR="004F0E10" w:rsidRPr="004F0E10" w14:paraId="64756691" w14:textId="77777777" w:rsidTr="001B3CF4">
        <w:trPr>
          <w:trHeight w:val="225"/>
        </w:trPr>
        <w:tc>
          <w:tcPr>
            <w:tcW w:w="1475" w:type="pct"/>
            <w:tcBorders>
              <w:top w:val="nil"/>
              <w:left w:val="nil"/>
              <w:bottom w:val="nil"/>
              <w:right w:val="nil"/>
            </w:tcBorders>
            <w:shd w:val="clear" w:color="000000" w:fill="FFFFFF"/>
            <w:noWrap/>
            <w:vAlign w:val="center"/>
            <w:hideMark/>
          </w:tcPr>
          <w:p w14:paraId="2810A0A2"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Health (e)</w:t>
            </w:r>
          </w:p>
        </w:tc>
        <w:tc>
          <w:tcPr>
            <w:tcW w:w="431" w:type="pct"/>
            <w:tcBorders>
              <w:top w:val="nil"/>
              <w:left w:val="nil"/>
              <w:bottom w:val="nil"/>
              <w:right w:val="nil"/>
            </w:tcBorders>
            <w:shd w:val="clear" w:color="000000" w:fill="FFFFFF"/>
            <w:vAlign w:val="center"/>
            <w:hideMark/>
          </w:tcPr>
          <w:p w14:paraId="20EF3EA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20</w:t>
            </w:r>
          </w:p>
        </w:tc>
        <w:tc>
          <w:tcPr>
            <w:tcW w:w="451" w:type="pct"/>
            <w:tcBorders>
              <w:top w:val="nil"/>
              <w:left w:val="nil"/>
              <w:bottom w:val="nil"/>
              <w:right w:val="nil"/>
            </w:tcBorders>
            <w:shd w:val="clear" w:color="000000" w:fill="FFFFFF"/>
            <w:vAlign w:val="center"/>
            <w:hideMark/>
          </w:tcPr>
          <w:p w14:paraId="1543FB7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3.3</w:t>
            </w:r>
          </w:p>
        </w:tc>
        <w:tc>
          <w:tcPr>
            <w:tcW w:w="431" w:type="pct"/>
            <w:tcBorders>
              <w:top w:val="nil"/>
              <w:left w:val="nil"/>
              <w:bottom w:val="nil"/>
              <w:right w:val="nil"/>
            </w:tcBorders>
            <w:shd w:val="clear" w:color="000000" w:fill="FFFFFF"/>
            <w:vAlign w:val="center"/>
            <w:hideMark/>
          </w:tcPr>
          <w:p w14:paraId="6C12D9CC"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29</w:t>
            </w:r>
          </w:p>
        </w:tc>
        <w:tc>
          <w:tcPr>
            <w:tcW w:w="451" w:type="pct"/>
            <w:tcBorders>
              <w:top w:val="nil"/>
              <w:left w:val="nil"/>
              <w:bottom w:val="nil"/>
              <w:right w:val="nil"/>
            </w:tcBorders>
            <w:shd w:val="clear" w:color="000000" w:fill="FFFFFF"/>
            <w:vAlign w:val="center"/>
            <w:hideMark/>
          </w:tcPr>
          <w:p w14:paraId="2A3A5196"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3.6</w:t>
            </w:r>
          </w:p>
        </w:tc>
        <w:tc>
          <w:tcPr>
            <w:tcW w:w="430" w:type="pct"/>
            <w:tcBorders>
              <w:top w:val="nil"/>
              <w:left w:val="nil"/>
              <w:bottom w:val="nil"/>
              <w:right w:val="nil"/>
            </w:tcBorders>
            <w:shd w:val="clear" w:color="auto" w:fill="auto"/>
            <w:noWrap/>
            <w:vAlign w:val="center"/>
            <w:hideMark/>
          </w:tcPr>
          <w:p w14:paraId="1A589F51"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34</w:t>
            </w:r>
          </w:p>
        </w:tc>
        <w:tc>
          <w:tcPr>
            <w:tcW w:w="451" w:type="pct"/>
            <w:tcBorders>
              <w:top w:val="nil"/>
              <w:left w:val="nil"/>
              <w:bottom w:val="nil"/>
              <w:right w:val="nil"/>
            </w:tcBorders>
            <w:shd w:val="clear" w:color="auto" w:fill="auto"/>
            <w:noWrap/>
            <w:vAlign w:val="center"/>
            <w:hideMark/>
          </w:tcPr>
          <w:p w14:paraId="54E4A644"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7.3</w:t>
            </w:r>
          </w:p>
        </w:tc>
        <w:tc>
          <w:tcPr>
            <w:tcW w:w="430" w:type="pct"/>
            <w:tcBorders>
              <w:top w:val="nil"/>
              <w:left w:val="nil"/>
              <w:bottom w:val="nil"/>
              <w:right w:val="nil"/>
            </w:tcBorders>
            <w:shd w:val="clear" w:color="000000" w:fill="F2F2F2"/>
            <w:noWrap/>
            <w:vAlign w:val="center"/>
            <w:hideMark/>
          </w:tcPr>
          <w:p w14:paraId="62CB4F40"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39</w:t>
            </w:r>
          </w:p>
        </w:tc>
        <w:tc>
          <w:tcPr>
            <w:tcW w:w="451" w:type="pct"/>
            <w:tcBorders>
              <w:top w:val="nil"/>
              <w:left w:val="nil"/>
              <w:bottom w:val="nil"/>
              <w:right w:val="nil"/>
            </w:tcBorders>
            <w:shd w:val="clear" w:color="000000" w:fill="F2F2F2"/>
            <w:noWrap/>
            <w:vAlign w:val="center"/>
            <w:hideMark/>
          </w:tcPr>
          <w:p w14:paraId="2CAC2E35"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12.4</w:t>
            </w:r>
          </w:p>
        </w:tc>
      </w:tr>
      <w:tr w:rsidR="004F0E10" w:rsidRPr="004F0E10" w14:paraId="102DA529" w14:textId="77777777" w:rsidTr="001B3CF4">
        <w:trPr>
          <w:trHeight w:val="450"/>
        </w:trPr>
        <w:tc>
          <w:tcPr>
            <w:tcW w:w="1475" w:type="pct"/>
            <w:tcBorders>
              <w:top w:val="nil"/>
              <w:left w:val="nil"/>
              <w:bottom w:val="nil"/>
              <w:right w:val="nil"/>
            </w:tcBorders>
            <w:shd w:val="clear" w:color="000000" w:fill="FFFFFF"/>
            <w:vAlign w:val="center"/>
            <w:hideMark/>
          </w:tcPr>
          <w:p w14:paraId="06ECB52D"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Property and business</w:t>
            </w:r>
            <w:r w:rsidRPr="004F0E10">
              <w:rPr>
                <w:rFonts w:ascii="Arial" w:hAnsi="Arial" w:cs="Arial"/>
                <w:color w:val="auto"/>
                <w:sz w:val="16"/>
                <w:szCs w:val="16"/>
              </w:rPr>
              <w:br/>
              <w:t xml:space="preserve">  services (f)</w:t>
            </w:r>
          </w:p>
        </w:tc>
        <w:tc>
          <w:tcPr>
            <w:tcW w:w="431" w:type="pct"/>
            <w:tcBorders>
              <w:top w:val="nil"/>
              <w:left w:val="nil"/>
              <w:bottom w:val="nil"/>
              <w:right w:val="nil"/>
            </w:tcBorders>
            <w:shd w:val="clear" w:color="000000" w:fill="FFFFFF"/>
            <w:vAlign w:val="center"/>
            <w:hideMark/>
          </w:tcPr>
          <w:p w14:paraId="41EF336C"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32</w:t>
            </w:r>
          </w:p>
        </w:tc>
        <w:tc>
          <w:tcPr>
            <w:tcW w:w="451" w:type="pct"/>
            <w:tcBorders>
              <w:top w:val="nil"/>
              <w:left w:val="nil"/>
              <w:bottom w:val="nil"/>
              <w:right w:val="nil"/>
            </w:tcBorders>
            <w:shd w:val="clear" w:color="000000" w:fill="FFFFFF"/>
            <w:vAlign w:val="center"/>
            <w:hideMark/>
          </w:tcPr>
          <w:p w14:paraId="1094994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6.2</w:t>
            </w:r>
          </w:p>
        </w:tc>
        <w:tc>
          <w:tcPr>
            <w:tcW w:w="431" w:type="pct"/>
            <w:tcBorders>
              <w:top w:val="nil"/>
              <w:left w:val="nil"/>
              <w:bottom w:val="nil"/>
              <w:right w:val="nil"/>
            </w:tcBorders>
            <w:shd w:val="clear" w:color="000000" w:fill="FFFFFF"/>
            <w:vAlign w:val="center"/>
            <w:hideMark/>
          </w:tcPr>
          <w:p w14:paraId="2FC98AA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26</w:t>
            </w:r>
          </w:p>
        </w:tc>
        <w:tc>
          <w:tcPr>
            <w:tcW w:w="451" w:type="pct"/>
            <w:tcBorders>
              <w:top w:val="nil"/>
              <w:left w:val="nil"/>
              <w:bottom w:val="nil"/>
              <w:right w:val="nil"/>
            </w:tcBorders>
            <w:shd w:val="clear" w:color="000000" w:fill="FFFFFF"/>
            <w:vAlign w:val="center"/>
            <w:hideMark/>
          </w:tcPr>
          <w:p w14:paraId="61D9935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0.7</w:t>
            </w:r>
          </w:p>
        </w:tc>
        <w:tc>
          <w:tcPr>
            <w:tcW w:w="430" w:type="pct"/>
            <w:tcBorders>
              <w:top w:val="nil"/>
              <w:left w:val="nil"/>
              <w:bottom w:val="nil"/>
              <w:right w:val="nil"/>
            </w:tcBorders>
            <w:shd w:val="clear" w:color="auto" w:fill="auto"/>
            <w:noWrap/>
            <w:vAlign w:val="center"/>
            <w:hideMark/>
          </w:tcPr>
          <w:p w14:paraId="72F66CE9"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41</w:t>
            </w:r>
          </w:p>
        </w:tc>
        <w:tc>
          <w:tcPr>
            <w:tcW w:w="451" w:type="pct"/>
            <w:tcBorders>
              <w:top w:val="nil"/>
              <w:left w:val="nil"/>
              <w:bottom w:val="nil"/>
              <w:right w:val="nil"/>
            </w:tcBorders>
            <w:shd w:val="clear" w:color="auto" w:fill="auto"/>
            <w:noWrap/>
            <w:vAlign w:val="center"/>
            <w:hideMark/>
          </w:tcPr>
          <w:p w14:paraId="72BD0D9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35.1</w:t>
            </w:r>
          </w:p>
        </w:tc>
        <w:tc>
          <w:tcPr>
            <w:tcW w:w="430" w:type="pct"/>
            <w:tcBorders>
              <w:top w:val="nil"/>
              <w:left w:val="nil"/>
              <w:bottom w:val="nil"/>
              <w:right w:val="nil"/>
            </w:tcBorders>
            <w:shd w:val="clear" w:color="000000" w:fill="F2F2F2"/>
            <w:noWrap/>
            <w:vAlign w:val="center"/>
            <w:hideMark/>
          </w:tcPr>
          <w:p w14:paraId="59BF703C"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57</w:t>
            </w:r>
          </w:p>
        </w:tc>
        <w:tc>
          <w:tcPr>
            <w:tcW w:w="451" w:type="pct"/>
            <w:tcBorders>
              <w:top w:val="nil"/>
              <w:left w:val="nil"/>
              <w:bottom w:val="nil"/>
              <w:right w:val="nil"/>
            </w:tcBorders>
            <w:shd w:val="clear" w:color="000000" w:fill="F2F2F2"/>
            <w:noWrap/>
            <w:vAlign w:val="center"/>
            <w:hideMark/>
          </w:tcPr>
          <w:p w14:paraId="20419CE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9.1</w:t>
            </w:r>
          </w:p>
        </w:tc>
      </w:tr>
      <w:tr w:rsidR="004F0E10" w:rsidRPr="004F0E10" w14:paraId="34B34CD5" w14:textId="77777777" w:rsidTr="001B3CF4">
        <w:trPr>
          <w:trHeight w:val="225"/>
        </w:trPr>
        <w:tc>
          <w:tcPr>
            <w:tcW w:w="1475" w:type="pct"/>
            <w:tcBorders>
              <w:top w:val="nil"/>
              <w:left w:val="nil"/>
              <w:bottom w:val="nil"/>
              <w:right w:val="nil"/>
            </w:tcBorders>
            <w:shd w:val="clear" w:color="000000" w:fill="FFFFFF"/>
            <w:noWrap/>
            <w:vAlign w:val="center"/>
            <w:hideMark/>
          </w:tcPr>
          <w:p w14:paraId="4225DBCE"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Trade (g)</w:t>
            </w:r>
          </w:p>
        </w:tc>
        <w:tc>
          <w:tcPr>
            <w:tcW w:w="431" w:type="pct"/>
            <w:tcBorders>
              <w:top w:val="nil"/>
              <w:left w:val="nil"/>
              <w:bottom w:val="nil"/>
              <w:right w:val="nil"/>
            </w:tcBorders>
            <w:shd w:val="clear" w:color="000000" w:fill="FFFFFF"/>
            <w:vAlign w:val="center"/>
            <w:hideMark/>
          </w:tcPr>
          <w:p w14:paraId="416E335F"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16</w:t>
            </w:r>
          </w:p>
        </w:tc>
        <w:tc>
          <w:tcPr>
            <w:tcW w:w="451" w:type="pct"/>
            <w:tcBorders>
              <w:top w:val="nil"/>
              <w:left w:val="nil"/>
              <w:bottom w:val="nil"/>
              <w:right w:val="nil"/>
            </w:tcBorders>
            <w:shd w:val="clear" w:color="000000" w:fill="FFFFFF"/>
            <w:vAlign w:val="center"/>
            <w:hideMark/>
          </w:tcPr>
          <w:p w14:paraId="3BB58C91"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1.1</w:t>
            </w:r>
          </w:p>
        </w:tc>
        <w:tc>
          <w:tcPr>
            <w:tcW w:w="431" w:type="pct"/>
            <w:tcBorders>
              <w:top w:val="nil"/>
              <w:left w:val="nil"/>
              <w:bottom w:val="nil"/>
              <w:right w:val="nil"/>
            </w:tcBorders>
            <w:shd w:val="clear" w:color="000000" w:fill="FFFFFF"/>
            <w:vAlign w:val="center"/>
            <w:hideMark/>
          </w:tcPr>
          <w:p w14:paraId="3EDE7456"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26</w:t>
            </w:r>
          </w:p>
        </w:tc>
        <w:tc>
          <w:tcPr>
            <w:tcW w:w="451" w:type="pct"/>
            <w:tcBorders>
              <w:top w:val="nil"/>
              <w:left w:val="nil"/>
              <w:bottom w:val="nil"/>
              <w:right w:val="nil"/>
            </w:tcBorders>
            <w:shd w:val="clear" w:color="000000" w:fill="FFFFFF"/>
            <w:vAlign w:val="center"/>
            <w:hideMark/>
          </w:tcPr>
          <w:p w14:paraId="7721E30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3.6</w:t>
            </w:r>
          </w:p>
        </w:tc>
        <w:tc>
          <w:tcPr>
            <w:tcW w:w="430" w:type="pct"/>
            <w:tcBorders>
              <w:top w:val="nil"/>
              <w:left w:val="nil"/>
              <w:bottom w:val="nil"/>
              <w:right w:val="nil"/>
            </w:tcBorders>
            <w:shd w:val="clear" w:color="auto" w:fill="auto"/>
            <w:noWrap/>
            <w:vAlign w:val="center"/>
            <w:hideMark/>
          </w:tcPr>
          <w:p w14:paraId="6A0F70F0"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24</w:t>
            </w:r>
          </w:p>
        </w:tc>
        <w:tc>
          <w:tcPr>
            <w:tcW w:w="451" w:type="pct"/>
            <w:tcBorders>
              <w:top w:val="nil"/>
              <w:left w:val="nil"/>
              <w:bottom w:val="nil"/>
              <w:right w:val="nil"/>
            </w:tcBorders>
            <w:shd w:val="clear" w:color="auto" w:fill="auto"/>
            <w:noWrap/>
            <w:vAlign w:val="center"/>
            <w:hideMark/>
          </w:tcPr>
          <w:p w14:paraId="6D6C8884"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4.0</w:t>
            </w:r>
          </w:p>
        </w:tc>
        <w:tc>
          <w:tcPr>
            <w:tcW w:w="430" w:type="pct"/>
            <w:tcBorders>
              <w:top w:val="nil"/>
              <w:left w:val="nil"/>
              <w:bottom w:val="nil"/>
              <w:right w:val="nil"/>
            </w:tcBorders>
            <w:shd w:val="clear" w:color="000000" w:fill="F2F2F2"/>
            <w:noWrap/>
            <w:vAlign w:val="center"/>
            <w:hideMark/>
          </w:tcPr>
          <w:p w14:paraId="77BE2E4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24</w:t>
            </w:r>
          </w:p>
        </w:tc>
        <w:tc>
          <w:tcPr>
            <w:tcW w:w="451" w:type="pct"/>
            <w:tcBorders>
              <w:top w:val="nil"/>
              <w:left w:val="nil"/>
              <w:bottom w:val="nil"/>
              <w:right w:val="nil"/>
            </w:tcBorders>
            <w:shd w:val="clear" w:color="000000" w:fill="F2F2F2"/>
            <w:noWrap/>
            <w:vAlign w:val="center"/>
            <w:hideMark/>
          </w:tcPr>
          <w:p w14:paraId="56026396"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6.1</w:t>
            </w:r>
          </w:p>
        </w:tc>
      </w:tr>
      <w:tr w:rsidR="004F0E10" w:rsidRPr="004F0E10" w14:paraId="3829D3D3" w14:textId="77777777" w:rsidTr="001B3CF4">
        <w:trPr>
          <w:trHeight w:val="225"/>
        </w:trPr>
        <w:tc>
          <w:tcPr>
            <w:tcW w:w="1475" w:type="pct"/>
            <w:tcBorders>
              <w:top w:val="nil"/>
              <w:left w:val="nil"/>
              <w:bottom w:val="nil"/>
              <w:right w:val="nil"/>
            </w:tcBorders>
            <w:shd w:val="clear" w:color="000000" w:fill="FFFFFF"/>
            <w:noWrap/>
            <w:vAlign w:val="center"/>
            <w:hideMark/>
          </w:tcPr>
          <w:p w14:paraId="5D974AF6"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Transport (h)</w:t>
            </w:r>
          </w:p>
        </w:tc>
        <w:tc>
          <w:tcPr>
            <w:tcW w:w="431" w:type="pct"/>
            <w:tcBorders>
              <w:top w:val="nil"/>
              <w:left w:val="nil"/>
              <w:bottom w:val="nil"/>
              <w:right w:val="nil"/>
            </w:tcBorders>
            <w:shd w:val="clear" w:color="000000" w:fill="FFFFFF"/>
            <w:vAlign w:val="center"/>
            <w:hideMark/>
          </w:tcPr>
          <w:p w14:paraId="1023B96E"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32</w:t>
            </w:r>
          </w:p>
        </w:tc>
        <w:tc>
          <w:tcPr>
            <w:tcW w:w="451" w:type="pct"/>
            <w:tcBorders>
              <w:top w:val="nil"/>
              <w:left w:val="nil"/>
              <w:bottom w:val="nil"/>
              <w:right w:val="nil"/>
            </w:tcBorders>
            <w:shd w:val="clear" w:color="000000" w:fill="FFFFFF"/>
            <w:vAlign w:val="center"/>
            <w:hideMark/>
          </w:tcPr>
          <w:p w14:paraId="458D6051"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5.1</w:t>
            </w:r>
          </w:p>
        </w:tc>
        <w:tc>
          <w:tcPr>
            <w:tcW w:w="431" w:type="pct"/>
            <w:tcBorders>
              <w:top w:val="nil"/>
              <w:left w:val="nil"/>
              <w:bottom w:val="nil"/>
              <w:right w:val="nil"/>
            </w:tcBorders>
            <w:shd w:val="clear" w:color="000000" w:fill="FFFFFF"/>
            <w:vAlign w:val="center"/>
            <w:hideMark/>
          </w:tcPr>
          <w:p w14:paraId="5BB4D579"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45</w:t>
            </w:r>
          </w:p>
        </w:tc>
        <w:tc>
          <w:tcPr>
            <w:tcW w:w="451" w:type="pct"/>
            <w:tcBorders>
              <w:top w:val="nil"/>
              <w:left w:val="nil"/>
              <w:bottom w:val="nil"/>
              <w:right w:val="nil"/>
            </w:tcBorders>
            <w:shd w:val="clear" w:color="000000" w:fill="FFFFFF"/>
            <w:vAlign w:val="center"/>
            <w:hideMark/>
          </w:tcPr>
          <w:p w14:paraId="436E58D3"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30.2</w:t>
            </w:r>
          </w:p>
        </w:tc>
        <w:tc>
          <w:tcPr>
            <w:tcW w:w="430" w:type="pct"/>
            <w:tcBorders>
              <w:top w:val="nil"/>
              <w:left w:val="nil"/>
              <w:bottom w:val="nil"/>
              <w:right w:val="nil"/>
            </w:tcBorders>
            <w:shd w:val="clear" w:color="auto" w:fill="auto"/>
            <w:noWrap/>
            <w:vAlign w:val="center"/>
            <w:hideMark/>
          </w:tcPr>
          <w:p w14:paraId="7B5276A2"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20</w:t>
            </w:r>
          </w:p>
        </w:tc>
        <w:tc>
          <w:tcPr>
            <w:tcW w:w="451" w:type="pct"/>
            <w:tcBorders>
              <w:top w:val="nil"/>
              <w:left w:val="nil"/>
              <w:bottom w:val="nil"/>
              <w:right w:val="nil"/>
            </w:tcBorders>
            <w:shd w:val="clear" w:color="auto" w:fill="auto"/>
            <w:noWrap/>
            <w:vAlign w:val="center"/>
            <w:hideMark/>
          </w:tcPr>
          <w:p w14:paraId="259E18D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5.8</w:t>
            </w:r>
          </w:p>
        </w:tc>
        <w:tc>
          <w:tcPr>
            <w:tcW w:w="430" w:type="pct"/>
            <w:tcBorders>
              <w:top w:val="nil"/>
              <w:left w:val="nil"/>
              <w:bottom w:val="nil"/>
              <w:right w:val="nil"/>
            </w:tcBorders>
            <w:shd w:val="clear" w:color="000000" w:fill="F2F2F2"/>
            <w:noWrap/>
            <w:vAlign w:val="center"/>
            <w:hideMark/>
          </w:tcPr>
          <w:p w14:paraId="3D2BD0D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37</w:t>
            </w:r>
          </w:p>
        </w:tc>
        <w:tc>
          <w:tcPr>
            <w:tcW w:w="451" w:type="pct"/>
            <w:tcBorders>
              <w:top w:val="nil"/>
              <w:left w:val="nil"/>
              <w:bottom w:val="nil"/>
              <w:right w:val="nil"/>
            </w:tcBorders>
            <w:shd w:val="clear" w:color="000000" w:fill="F2F2F2"/>
            <w:noWrap/>
            <w:vAlign w:val="center"/>
            <w:hideMark/>
          </w:tcPr>
          <w:p w14:paraId="54F78EB0"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18.7</w:t>
            </w:r>
          </w:p>
        </w:tc>
      </w:tr>
      <w:tr w:rsidR="004F0E10" w:rsidRPr="004F0E10" w14:paraId="702C8EF7" w14:textId="77777777" w:rsidTr="00CB5DF7">
        <w:trPr>
          <w:trHeight w:val="225"/>
        </w:trPr>
        <w:tc>
          <w:tcPr>
            <w:tcW w:w="1475" w:type="pct"/>
            <w:tcBorders>
              <w:top w:val="nil"/>
              <w:left w:val="nil"/>
              <w:right w:val="nil"/>
            </w:tcBorders>
            <w:shd w:val="clear" w:color="000000" w:fill="FFFFFF"/>
            <w:noWrap/>
            <w:vAlign w:val="center"/>
            <w:hideMark/>
          </w:tcPr>
          <w:p w14:paraId="37B00FFB" w14:textId="77777777" w:rsidR="004F0E10" w:rsidRPr="004F0E10" w:rsidRDefault="004F0E10" w:rsidP="004F0E10">
            <w:pPr>
              <w:spacing w:after="0" w:line="240" w:lineRule="auto"/>
              <w:jc w:val="left"/>
              <w:rPr>
                <w:rFonts w:ascii="Arial" w:hAnsi="Arial" w:cs="Arial"/>
                <w:color w:val="auto"/>
                <w:sz w:val="16"/>
                <w:szCs w:val="16"/>
              </w:rPr>
            </w:pPr>
            <w:r w:rsidRPr="004F0E10">
              <w:rPr>
                <w:rFonts w:ascii="Arial" w:hAnsi="Arial" w:cs="Arial"/>
                <w:color w:val="auto"/>
                <w:sz w:val="16"/>
                <w:szCs w:val="16"/>
              </w:rPr>
              <w:t>Other (i)</w:t>
            </w:r>
          </w:p>
        </w:tc>
        <w:tc>
          <w:tcPr>
            <w:tcW w:w="431" w:type="pct"/>
            <w:tcBorders>
              <w:top w:val="nil"/>
              <w:left w:val="nil"/>
              <w:bottom w:val="single" w:sz="2" w:space="0" w:color="000000" w:themeColor="text1"/>
              <w:right w:val="nil"/>
            </w:tcBorders>
            <w:shd w:val="clear" w:color="000000" w:fill="FFFFFF"/>
            <w:vAlign w:val="center"/>
            <w:hideMark/>
          </w:tcPr>
          <w:p w14:paraId="7861F136"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4</w:t>
            </w:r>
          </w:p>
        </w:tc>
        <w:tc>
          <w:tcPr>
            <w:tcW w:w="451" w:type="pct"/>
            <w:tcBorders>
              <w:top w:val="nil"/>
              <w:left w:val="nil"/>
              <w:bottom w:val="single" w:sz="2" w:space="0" w:color="000000" w:themeColor="text1"/>
              <w:right w:val="nil"/>
            </w:tcBorders>
            <w:shd w:val="clear" w:color="000000" w:fill="FFFFFF"/>
            <w:vAlign w:val="center"/>
            <w:hideMark/>
          </w:tcPr>
          <w:p w14:paraId="606FAD6F"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0.3</w:t>
            </w:r>
          </w:p>
        </w:tc>
        <w:tc>
          <w:tcPr>
            <w:tcW w:w="431" w:type="pct"/>
            <w:tcBorders>
              <w:top w:val="nil"/>
              <w:left w:val="nil"/>
              <w:bottom w:val="single" w:sz="2" w:space="0" w:color="000000" w:themeColor="text1"/>
              <w:right w:val="nil"/>
            </w:tcBorders>
            <w:shd w:val="clear" w:color="000000" w:fill="FFFFFF"/>
            <w:vAlign w:val="center"/>
            <w:hideMark/>
          </w:tcPr>
          <w:p w14:paraId="375D6F3D"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12</w:t>
            </w:r>
          </w:p>
        </w:tc>
        <w:tc>
          <w:tcPr>
            <w:tcW w:w="451" w:type="pct"/>
            <w:tcBorders>
              <w:top w:val="nil"/>
              <w:left w:val="nil"/>
              <w:bottom w:val="single" w:sz="2" w:space="0" w:color="000000" w:themeColor="text1"/>
              <w:right w:val="nil"/>
            </w:tcBorders>
            <w:shd w:val="clear" w:color="000000" w:fill="FFFFFF"/>
            <w:vAlign w:val="center"/>
            <w:hideMark/>
          </w:tcPr>
          <w:p w14:paraId="168150ED"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6.6</w:t>
            </w:r>
          </w:p>
        </w:tc>
        <w:tc>
          <w:tcPr>
            <w:tcW w:w="430" w:type="pct"/>
            <w:tcBorders>
              <w:top w:val="nil"/>
              <w:left w:val="nil"/>
              <w:bottom w:val="single" w:sz="2" w:space="0" w:color="000000" w:themeColor="text1"/>
              <w:right w:val="nil"/>
            </w:tcBorders>
            <w:shd w:val="clear" w:color="auto" w:fill="auto"/>
            <w:noWrap/>
            <w:vAlign w:val="center"/>
            <w:hideMark/>
          </w:tcPr>
          <w:p w14:paraId="7A0A5ECC"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11</w:t>
            </w:r>
          </w:p>
        </w:tc>
        <w:tc>
          <w:tcPr>
            <w:tcW w:w="451" w:type="pct"/>
            <w:tcBorders>
              <w:top w:val="nil"/>
              <w:left w:val="nil"/>
              <w:bottom w:val="single" w:sz="2" w:space="0" w:color="000000" w:themeColor="text1"/>
              <w:right w:val="nil"/>
            </w:tcBorders>
            <w:shd w:val="clear" w:color="auto" w:fill="auto"/>
            <w:noWrap/>
            <w:vAlign w:val="center"/>
            <w:hideMark/>
          </w:tcPr>
          <w:p w14:paraId="7AE3BBFB"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4.3</w:t>
            </w:r>
          </w:p>
        </w:tc>
        <w:tc>
          <w:tcPr>
            <w:tcW w:w="430" w:type="pct"/>
            <w:tcBorders>
              <w:top w:val="nil"/>
              <w:left w:val="nil"/>
              <w:bottom w:val="single" w:sz="2" w:space="0" w:color="000000" w:themeColor="text1"/>
              <w:right w:val="nil"/>
            </w:tcBorders>
            <w:shd w:val="clear" w:color="000000" w:fill="F2F2F2"/>
            <w:noWrap/>
            <w:vAlign w:val="center"/>
            <w:hideMark/>
          </w:tcPr>
          <w:p w14:paraId="0DAF8067"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20</w:t>
            </w:r>
          </w:p>
        </w:tc>
        <w:tc>
          <w:tcPr>
            <w:tcW w:w="451" w:type="pct"/>
            <w:tcBorders>
              <w:top w:val="nil"/>
              <w:left w:val="nil"/>
              <w:bottom w:val="single" w:sz="2" w:space="0" w:color="000000" w:themeColor="text1"/>
              <w:right w:val="nil"/>
            </w:tcBorders>
            <w:shd w:val="clear" w:color="000000" w:fill="F2F2F2"/>
            <w:noWrap/>
            <w:vAlign w:val="center"/>
            <w:hideMark/>
          </w:tcPr>
          <w:p w14:paraId="20DD9868" w14:textId="77777777" w:rsidR="004F0E10" w:rsidRPr="004F0E10" w:rsidRDefault="004F0E10" w:rsidP="004F0E10">
            <w:pPr>
              <w:spacing w:after="0" w:line="240" w:lineRule="auto"/>
              <w:jc w:val="right"/>
              <w:rPr>
                <w:rFonts w:ascii="Arial" w:hAnsi="Arial" w:cs="Arial"/>
                <w:color w:val="auto"/>
                <w:sz w:val="16"/>
                <w:szCs w:val="16"/>
              </w:rPr>
            </w:pPr>
            <w:r w:rsidRPr="004F0E10">
              <w:rPr>
                <w:rFonts w:ascii="Arial" w:hAnsi="Arial" w:cs="Arial"/>
                <w:color w:val="auto"/>
                <w:sz w:val="16"/>
                <w:szCs w:val="16"/>
              </w:rPr>
              <w:t>5.8</w:t>
            </w:r>
          </w:p>
        </w:tc>
      </w:tr>
      <w:tr w:rsidR="004F0E10" w:rsidRPr="004F0E10" w14:paraId="73E727C0" w14:textId="77777777" w:rsidTr="00CB5DF7">
        <w:trPr>
          <w:trHeight w:val="225"/>
        </w:trPr>
        <w:tc>
          <w:tcPr>
            <w:tcW w:w="1475" w:type="pct"/>
            <w:tcBorders>
              <w:left w:val="nil"/>
              <w:bottom w:val="single" w:sz="2" w:space="0" w:color="000000" w:themeColor="text1"/>
              <w:right w:val="nil"/>
            </w:tcBorders>
            <w:shd w:val="clear" w:color="000000" w:fill="FFFFFF"/>
            <w:noWrap/>
            <w:vAlign w:val="center"/>
            <w:hideMark/>
          </w:tcPr>
          <w:p w14:paraId="78759AFB" w14:textId="77777777" w:rsidR="004F0E10" w:rsidRPr="004F0E10" w:rsidRDefault="004F0E10" w:rsidP="004F0E10">
            <w:pPr>
              <w:spacing w:after="0" w:line="240" w:lineRule="auto"/>
              <w:jc w:val="left"/>
              <w:rPr>
                <w:rFonts w:ascii="Arial" w:hAnsi="Arial" w:cs="Arial"/>
                <w:b/>
                <w:bCs/>
                <w:color w:val="auto"/>
                <w:sz w:val="16"/>
                <w:szCs w:val="16"/>
              </w:rPr>
            </w:pPr>
            <w:r w:rsidRPr="004F0E10">
              <w:rPr>
                <w:rFonts w:ascii="Arial" w:hAnsi="Arial" w:cs="Arial"/>
                <w:b/>
                <w:bCs/>
                <w:color w:val="auto"/>
                <w:sz w:val="16"/>
                <w:szCs w:val="16"/>
              </w:rPr>
              <w:t>Total</w:t>
            </w:r>
          </w:p>
        </w:tc>
        <w:tc>
          <w:tcPr>
            <w:tcW w:w="431" w:type="pct"/>
            <w:tcBorders>
              <w:top w:val="single" w:sz="2" w:space="0" w:color="000000" w:themeColor="text1"/>
              <w:left w:val="nil"/>
              <w:bottom w:val="single" w:sz="2" w:space="0" w:color="000000" w:themeColor="text1"/>
              <w:right w:val="nil"/>
            </w:tcBorders>
            <w:shd w:val="clear" w:color="000000" w:fill="FFFFFF"/>
            <w:noWrap/>
            <w:vAlign w:val="center"/>
            <w:hideMark/>
          </w:tcPr>
          <w:p w14:paraId="52C775C2" w14:textId="77777777" w:rsidR="004F0E10" w:rsidRPr="004F0E10" w:rsidRDefault="004F0E10" w:rsidP="004F0E10">
            <w:pPr>
              <w:spacing w:after="0" w:line="240" w:lineRule="auto"/>
              <w:jc w:val="right"/>
              <w:rPr>
                <w:rFonts w:ascii="Arial" w:hAnsi="Arial" w:cs="Arial"/>
                <w:b/>
                <w:bCs/>
                <w:color w:val="auto"/>
                <w:sz w:val="16"/>
                <w:szCs w:val="16"/>
              </w:rPr>
            </w:pPr>
            <w:r w:rsidRPr="004F0E10">
              <w:rPr>
                <w:rFonts w:ascii="Arial" w:hAnsi="Arial" w:cs="Arial"/>
                <w:b/>
                <w:bCs/>
                <w:color w:val="auto"/>
                <w:sz w:val="16"/>
                <w:szCs w:val="16"/>
              </w:rPr>
              <w:t>153</w:t>
            </w:r>
          </w:p>
        </w:tc>
        <w:tc>
          <w:tcPr>
            <w:tcW w:w="451" w:type="pct"/>
            <w:tcBorders>
              <w:top w:val="single" w:sz="2" w:space="0" w:color="000000" w:themeColor="text1"/>
              <w:left w:val="nil"/>
              <w:bottom w:val="single" w:sz="2" w:space="0" w:color="000000" w:themeColor="text1"/>
              <w:right w:val="nil"/>
            </w:tcBorders>
            <w:shd w:val="clear" w:color="000000" w:fill="FFFFFF"/>
            <w:noWrap/>
            <w:vAlign w:val="center"/>
            <w:hideMark/>
          </w:tcPr>
          <w:p w14:paraId="48FD86F1" w14:textId="77777777" w:rsidR="004F0E10" w:rsidRPr="004F0E10" w:rsidRDefault="004F0E10" w:rsidP="004F0E10">
            <w:pPr>
              <w:spacing w:after="0" w:line="240" w:lineRule="auto"/>
              <w:jc w:val="right"/>
              <w:rPr>
                <w:rFonts w:ascii="Arial" w:hAnsi="Arial" w:cs="Arial"/>
                <w:b/>
                <w:bCs/>
                <w:color w:val="auto"/>
                <w:sz w:val="16"/>
                <w:szCs w:val="16"/>
              </w:rPr>
            </w:pPr>
            <w:r w:rsidRPr="004F0E10">
              <w:rPr>
                <w:rFonts w:ascii="Arial" w:hAnsi="Arial" w:cs="Arial"/>
                <w:b/>
                <w:bCs/>
                <w:color w:val="auto"/>
                <w:sz w:val="16"/>
                <w:szCs w:val="16"/>
              </w:rPr>
              <w:t>23.5</w:t>
            </w:r>
          </w:p>
        </w:tc>
        <w:tc>
          <w:tcPr>
            <w:tcW w:w="431" w:type="pct"/>
            <w:tcBorders>
              <w:top w:val="single" w:sz="2" w:space="0" w:color="000000" w:themeColor="text1"/>
              <w:left w:val="nil"/>
              <w:bottom w:val="single" w:sz="2" w:space="0" w:color="000000" w:themeColor="text1"/>
              <w:right w:val="nil"/>
            </w:tcBorders>
            <w:shd w:val="clear" w:color="000000" w:fill="FFFFFF"/>
            <w:noWrap/>
            <w:vAlign w:val="center"/>
            <w:hideMark/>
          </w:tcPr>
          <w:p w14:paraId="412EA1DE" w14:textId="77777777" w:rsidR="004F0E10" w:rsidRPr="004F0E10" w:rsidRDefault="004F0E10" w:rsidP="004F0E10">
            <w:pPr>
              <w:spacing w:after="0" w:line="240" w:lineRule="auto"/>
              <w:jc w:val="right"/>
              <w:rPr>
                <w:rFonts w:ascii="Arial" w:hAnsi="Arial" w:cs="Arial"/>
                <w:b/>
                <w:bCs/>
                <w:color w:val="auto"/>
                <w:sz w:val="16"/>
                <w:szCs w:val="16"/>
              </w:rPr>
            </w:pPr>
            <w:r w:rsidRPr="004F0E10">
              <w:rPr>
                <w:rFonts w:ascii="Arial" w:hAnsi="Arial" w:cs="Arial"/>
                <w:b/>
                <w:bCs/>
                <w:color w:val="auto"/>
                <w:sz w:val="16"/>
                <w:szCs w:val="16"/>
              </w:rPr>
              <w:t>215</w:t>
            </w:r>
          </w:p>
        </w:tc>
        <w:tc>
          <w:tcPr>
            <w:tcW w:w="451" w:type="pct"/>
            <w:tcBorders>
              <w:top w:val="single" w:sz="2" w:space="0" w:color="000000" w:themeColor="text1"/>
              <w:left w:val="nil"/>
              <w:bottom w:val="single" w:sz="2" w:space="0" w:color="000000" w:themeColor="text1"/>
              <w:right w:val="nil"/>
            </w:tcBorders>
            <w:shd w:val="clear" w:color="000000" w:fill="FFFFFF"/>
            <w:noWrap/>
            <w:vAlign w:val="center"/>
            <w:hideMark/>
          </w:tcPr>
          <w:p w14:paraId="3504A514" w14:textId="77777777" w:rsidR="004F0E10" w:rsidRPr="004F0E10" w:rsidRDefault="004F0E10" w:rsidP="004F0E10">
            <w:pPr>
              <w:spacing w:after="0" w:line="240" w:lineRule="auto"/>
              <w:jc w:val="right"/>
              <w:rPr>
                <w:rFonts w:ascii="Arial" w:hAnsi="Arial" w:cs="Arial"/>
                <w:b/>
                <w:bCs/>
                <w:color w:val="auto"/>
                <w:sz w:val="16"/>
                <w:szCs w:val="16"/>
              </w:rPr>
            </w:pPr>
            <w:r w:rsidRPr="004F0E10">
              <w:rPr>
                <w:rFonts w:ascii="Arial" w:hAnsi="Arial" w:cs="Arial"/>
                <w:b/>
                <w:bCs/>
                <w:color w:val="auto"/>
                <w:sz w:val="16"/>
                <w:szCs w:val="16"/>
              </w:rPr>
              <w:t>56.5</w:t>
            </w:r>
          </w:p>
        </w:tc>
        <w:tc>
          <w:tcPr>
            <w:tcW w:w="430" w:type="pct"/>
            <w:tcBorders>
              <w:top w:val="single" w:sz="2" w:space="0" w:color="000000" w:themeColor="text1"/>
              <w:left w:val="nil"/>
              <w:bottom w:val="single" w:sz="2" w:space="0" w:color="000000" w:themeColor="text1"/>
              <w:right w:val="nil"/>
            </w:tcBorders>
            <w:shd w:val="clear" w:color="auto" w:fill="auto"/>
            <w:noWrap/>
            <w:vAlign w:val="center"/>
            <w:hideMark/>
          </w:tcPr>
          <w:p w14:paraId="0E3DCB88" w14:textId="77777777" w:rsidR="004F0E10" w:rsidRPr="004F0E10" w:rsidRDefault="004F0E10" w:rsidP="004F0E10">
            <w:pPr>
              <w:spacing w:after="0" w:line="240" w:lineRule="auto"/>
              <w:jc w:val="right"/>
              <w:rPr>
                <w:rFonts w:ascii="Arial" w:hAnsi="Arial" w:cs="Arial"/>
                <w:b/>
                <w:bCs/>
                <w:color w:val="auto"/>
                <w:sz w:val="16"/>
                <w:szCs w:val="16"/>
              </w:rPr>
            </w:pPr>
            <w:r w:rsidRPr="004F0E10">
              <w:rPr>
                <w:rFonts w:ascii="Arial" w:hAnsi="Arial" w:cs="Arial"/>
                <w:b/>
                <w:bCs/>
                <w:color w:val="auto"/>
                <w:sz w:val="16"/>
                <w:szCs w:val="16"/>
              </w:rPr>
              <w:t>185</w:t>
            </w:r>
          </w:p>
        </w:tc>
        <w:tc>
          <w:tcPr>
            <w:tcW w:w="451" w:type="pct"/>
            <w:tcBorders>
              <w:top w:val="single" w:sz="2" w:space="0" w:color="000000" w:themeColor="text1"/>
              <w:left w:val="nil"/>
              <w:bottom w:val="single" w:sz="2" w:space="0" w:color="000000" w:themeColor="text1"/>
              <w:right w:val="nil"/>
            </w:tcBorders>
            <w:shd w:val="clear" w:color="auto" w:fill="auto"/>
            <w:noWrap/>
            <w:vAlign w:val="center"/>
            <w:hideMark/>
          </w:tcPr>
          <w:p w14:paraId="73B5DD05" w14:textId="77777777" w:rsidR="004F0E10" w:rsidRPr="004F0E10" w:rsidRDefault="004F0E10" w:rsidP="004F0E10">
            <w:pPr>
              <w:spacing w:after="0" w:line="240" w:lineRule="auto"/>
              <w:jc w:val="right"/>
              <w:rPr>
                <w:rFonts w:ascii="Arial" w:hAnsi="Arial" w:cs="Arial"/>
                <w:b/>
                <w:bCs/>
                <w:color w:val="auto"/>
                <w:sz w:val="16"/>
                <w:szCs w:val="16"/>
              </w:rPr>
            </w:pPr>
            <w:r w:rsidRPr="004F0E10">
              <w:rPr>
                <w:rFonts w:ascii="Arial" w:hAnsi="Arial" w:cs="Arial"/>
                <w:b/>
                <w:bCs/>
                <w:color w:val="auto"/>
                <w:sz w:val="16"/>
                <w:szCs w:val="16"/>
              </w:rPr>
              <w:t>63.2</w:t>
            </w:r>
          </w:p>
        </w:tc>
        <w:tc>
          <w:tcPr>
            <w:tcW w:w="430" w:type="pct"/>
            <w:tcBorders>
              <w:top w:val="single" w:sz="2" w:space="0" w:color="000000" w:themeColor="text1"/>
              <w:left w:val="nil"/>
              <w:bottom w:val="single" w:sz="2" w:space="0" w:color="000000" w:themeColor="text1"/>
              <w:right w:val="nil"/>
            </w:tcBorders>
            <w:shd w:val="clear" w:color="000000" w:fill="F2F2F2"/>
            <w:noWrap/>
            <w:vAlign w:val="center"/>
            <w:hideMark/>
          </w:tcPr>
          <w:p w14:paraId="22ED06FF" w14:textId="77777777" w:rsidR="004F0E10" w:rsidRPr="004F0E10" w:rsidRDefault="004F0E10" w:rsidP="004F0E10">
            <w:pPr>
              <w:spacing w:after="0" w:line="240" w:lineRule="auto"/>
              <w:jc w:val="right"/>
              <w:rPr>
                <w:rFonts w:ascii="Arial" w:hAnsi="Arial" w:cs="Arial"/>
                <w:b/>
                <w:bCs/>
                <w:color w:val="auto"/>
                <w:sz w:val="16"/>
                <w:szCs w:val="16"/>
              </w:rPr>
            </w:pPr>
            <w:r w:rsidRPr="004F0E10">
              <w:rPr>
                <w:rFonts w:ascii="Arial" w:hAnsi="Arial" w:cs="Arial"/>
                <w:b/>
                <w:bCs/>
                <w:color w:val="auto"/>
                <w:sz w:val="16"/>
                <w:szCs w:val="16"/>
              </w:rPr>
              <w:t>245</w:t>
            </w:r>
          </w:p>
        </w:tc>
        <w:tc>
          <w:tcPr>
            <w:tcW w:w="451" w:type="pct"/>
            <w:tcBorders>
              <w:top w:val="single" w:sz="2" w:space="0" w:color="000000" w:themeColor="text1"/>
              <w:left w:val="nil"/>
              <w:bottom w:val="single" w:sz="2" w:space="0" w:color="000000" w:themeColor="text1"/>
              <w:right w:val="nil"/>
            </w:tcBorders>
            <w:shd w:val="clear" w:color="000000" w:fill="F2F2F2"/>
            <w:noWrap/>
            <w:vAlign w:val="center"/>
            <w:hideMark/>
          </w:tcPr>
          <w:p w14:paraId="7A3239FA" w14:textId="77777777" w:rsidR="004F0E10" w:rsidRPr="004F0E10" w:rsidRDefault="004F0E10" w:rsidP="004F0E10">
            <w:pPr>
              <w:spacing w:after="0" w:line="240" w:lineRule="auto"/>
              <w:jc w:val="right"/>
              <w:rPr>
                <w:rFonts w:ascii="Arial" w:hAnsi="Arial" w:cs="Arial"/>
                <w:b/>
                <w:bCs/>
                <w:color w:val="auto"/>
                <w:sz w:val="16"/>
                <w:szCs w:val="16"/>
              </w:rPr>
            </w:pPr>
            <w:r w:rsidRPr="004F0E10">
              <w:rPr>
                <w:rFonts w:ascii="Arial" w:hAnsi="Arial" w:cs="Arial"/>
                <w:b/>
                <w:bCs/>
                <w:color w:val="auto"/>
                <w:sz w:val="16"/>
                <w:szCs w:val="16"/>
              </w:rPr>
              <w:t>76.0</w:t>
            </w:r>
          </w:p>
        </w:tc>
      </w:tr>
    </w:tbl>
    <w:p w14:paraId="67589743" w14:textId="0CD7E002" w:rsidR="00A84283" w:rsidRPr="004E7F18" w:rsidRDefault="00A84283" w:rsidP="007149D6">
      <w:pPr>
        <w:pStyle w:val="ChartorTableFootnote"/>
        <w:numPr>
          <w:ilvl w:val="0"/>
          <w:numId w:val="9"/>
        </w:numPr>
      </w:pPr>
      <w:r w:rsidRPr="004E7F18">
        <w:t>Comprises: accommodation; food and beverage services.</w:t>
      </w:r>
    </w:p>
    <w:p w14:paraId="4CAFCFF6" w14:textId="50B96D8A" w:rsidR="00A84283" w:rsidRPr="004E7F18" w:rsidRDefault="00A84283" w:rsidP="009A641E">
      <w:pPr>
        <w:pStyle w:val="ChartorTableFootnote"/>
      </w:pPr>
      <w:r w:rsidRPr="004E7F18">
        <w:t>Comprises: heritage activities; creative and performing arts; sports and recreation and gambling.</w:t>
      </w:r>
    </w:p>
    <w:p w14:paraId="0FC9FC6B" w14:textId="74AC258A" w:rsidR="00A84283" w:rsidRPr="004E7F18" w:rsidRDefault="00A84283" w:rsidP="00406C1F">
      <w:pPr>
        <w:pStyle w:val="ChartorTableFootnote"/>
      </w:pPr>
      <w:r w:rsidRPr="004E7F18">
        <w:t>Comprises: publishing (including internet); motion picture and sound recording activities; broadcasting (including internet); and telecommunication services (including internet).</w:t>
      </w:r>
    </w:p>
    <w:p w14:paraId="52E54580" w14:textId="0B291A3E" w:rsidR="00A84283" w:rsidRPr="004E7F18" w:rsidRDefault="00A84283">
      <w:pPr>
        <w:pStyle w:val="ChartorTableFootnote"/>
      </w:pPr>
      <w:r w:rsidRPr="004E7F18">
        <w:t>Comprises: building construction; heavy and civil engineering construction and services to construction.</w:t>
      </w:r>
    </w:p>
    <w:p w14:paraId="40A814EB" w14:textId="42E080C9" w:rsidR="00A84283" w:rsidRPr="004E7F18" w:rsidRDefault="00A84283">
      <w:pPr>
        <w:pStyle w:val="ChartorTableFootnote"/>
      </w:pPr>
      <w:r w:rsidRPr="004E7F18">
        <w:t>Comprises: hospitals; medical and other health care services; residential and social assistance services.</w:t>
      </w:r>
    </w:p>
    <w:p w14:paraId="0B3757E9" w14:textId="39B964B4" w:rsidR="00A84283" w:rsidRPr="004E7F18" w:rsidRDefault="00A84283">
      <w:pPr>
        <w:pStyle w:val="ChartorTableFootnote"/>
      </w:pPr>
      <w:r w:rsidRPr="004E7F18">
        <w:t>Comprises: property and real estate operators; professional, scientific and technical services; computer system design services; and administrative services.</w:t>
      </w:r>
    </w:p>
    <w:p w14:paraId="653445A2" w14:textId="78B89A91" w:rsidR="00A84283" w:rsidRPr="004E7F18" w:rsidRDefault="00A84283" w:rsidP="00EA70EE">
      <w:pPr>
        <w:pStyle w:val="ChartorTableFootnote"/>
      </w:pPr>
      <w:r w:rsidRPr="004E7F18">
        <w:t xml:space="preserve">Comprises: wholesaling of basic material, machinery and equipment, grocery, liquor and tobacco products; </w:t>
      </w:r>
      <w:r w:rsidR="00EA70EE">
        <w:t>m</w:t>
      </w:r>
      <w:r w:rsidR="00EA70EE" w:rsidRPr="00EA70EE">
        <w:t xml:space="preserve">otor </w:t>
      </w:r>
      <w:r w:rsidR="00EA70EE">
        <w:t>v</w:t>
      </w:r>
      <w:r w:rsidR="00EA70EE" w:rsidRPr="00EA70EE">
        <w:t xml:space="preserve">ehicle and </w:t>
      </w:r>
      <w:r w:rsidR="00EA70EE">
        <w:t>m</w:t>
      </w:r>
      <w:r w:rsidR="00EA70EE" w:rsidRPr="00EA70EE">
        <w:t xml:space="preserve">otor </w:t>
      </w:r>
      <w:r w:rsidR="00EA70EE">
        <w:t>v</w:t>
      </w:r>
      <w:r w:rsidR="00EA70EE" w:rsidRPr="00EA70EE">
        <w:t xml:space="preserve">ehicle </w:t>
      </w:r>
      <w:r w:rsidR="00EA70EE">
        <w:t>p</w:t>
      </w:r>
      <w:r w:rsidR="00EA70EE" w:rsidRPr="00EA70EE">
        <w:t xml:space="preserve">arts </w:t>
      </w:r>
      <w:r w:rsidR="00EA70EE">
        <w:t xml:space="preserve">retailing; </w:t>
      </w:r>
      <w:r w:rsidRPr="004E7F18">
        <w:t>retailing of fuel, food and other store based retailing</w:t>
      </w:r>
      <w:r w:rsidR="00EA70EE">
        <w:t>; and n</w:t>
      </w:r>
      <w:r w:rsidR="00EA70EE" w:rsidRPr="00EA70EE">
        <w:t>on-</w:t>
      </w:r>
      <w:r w:rsidR="00EA70EE">
        <w:t>s</w:t>
      </w:r>
      <w:r w:rsidR="00EA70EE" w:rsidRPr="00EA70EE">
        <w:t xml:space="preserve">tore </w:t>
      </w:r>
      <w:r w:rsidR="00EA70EE">
        <w:t>r</w:t>
      </w:r>
      <w:r w:rsidR="00EA70EE" w:rsidRPr="00EA70EE">
        <w:t xml:space="preserve">etailing and </w:t>
      </w:r>
      <w:r w:rsidR="00EA70EE">
        <w:t>r</w:t>
      </w:r>
      <w:r w:rsidR="00EA70EE" w:rsidRPr="00EA70EE">
        <w:t xml:space="preserve">etail </w:t>
      </w:r>
      <w:r w:rsidR="00EA70EE">
        <w:t>c</w:t>
      </w:r>
      <w:r w:rsidR="00EA70EE" w:rsidRPr="00EA70EE">
        <w:t>ommiss</w:t>
      </w:r>
      <w:r w:rsidR="00EA70EE">
        <w:t>ion-based buying and/or selling</w:t>
      </w:r>
      <w:r w:rsidRPr="004E7F18">
        <w:t>.</w:t>
      </w:r>
    </w:p>
    <w:p w14:paraId="21603657" w14:textId="2ED59905" w:rsidR="00A84283" w:rsidRPr="004E7F18" w:rsidRDefault="00A84283">
      <w:pPr>
        <w:pStyle w:val="ChartorTableFootnote"/>
      </w:pPr>
      <w:r w:rsidRPr="004E7F18">
        <w:t>Comprises: road, rail, water, air and space, postal and courier (pickup and delivery), warehousing and storage; and transport support services.</w:t>
      </w:r>
    </w:p>
    <w:p w14:paraId="03115CF5" w14:textId="002CE136" w:rsidR="00A84283" w:rsidRPr="004E7F18" w:rsidRDefault="00A84283">
      <w:pPr>
        <w:pStyle w:val="ChartorTableFootnote"/>
      </w:pPr>
      <w:r w:rsidRPr="004E7F18">
        <w:t xml:space="preserve">Comprises: repair and maintenance; public administration; defence; </w:t>
      </w:r>
      <w:r w:rsidR="00177D40">
        <w:t>e</w:t>
      </w:r>
      <w:r w:rsidRPr="004E7F18">
        <w:t>ducation related services</w:t>
      </w:r>
      <w:r w:rsidR="00177D40">
        <w:t>; and personal and other services</w:t>
      </w:r>
      <w:r w:rsidRPr="004E7F18">
        <w:t>.</w:t>
      </w:r>
    </w:p>
    <w:p w14:paraId="4C27E311" w14:textId="5EC45F15" w:rsidR="00A84283" w:rsidRPr="003E3FDE" w:rsidRDefault="00A84283" w:rsidP="006D64A2">
      <w:pPr>
        <w:pStyle w:val="ChartorTableNote"/>
        <w:rPr>
          <w:color w:val="auto"/>
          <w:sz w:val="18"/>
          <w:szCs w:val="18"/>
        </w:rPr>
      </w:pPr>
      <w:r w:rsidRPr="003E3FDE">
        <w:t>Notes:</w:t>
      </w:r>
      <w:r w:rsidRPr="003E3FDE">
        <w:tab/>
        <w:t>Time series includes amended data from earlier publication</w:t>
      </w:r>
      <w:r w:rsidR="00930224">
        <w:t>s</w:t>
      </w:r>
      <w:r w:rsidRPr="003E3FDE">
        <w:t xml:space="preserve"> reflecting a </w:t>
      </w:r>
      <w:r w:rsidR="00930224">
        <w:t xml:space="preserve">change in </w:t>
      </w:r>
      <w:r w:rsidRPr="003E3FDE">
        <w:t>methodology that arts and recreation services, which was previously separately reported as tourism, has been included in this table as of this report so there is greater alignment with the Australian and New Zealand Standard Industrial Classification (ANZSIC, 2006).</w:t>
      </w:r>
    </w:p>
    <w:p w14:paraId="313EE8A2" w14:textId="4F118A89" w:rsidR="00A84283" w:rsidRPr="003E3FDE" w:rsidRDefault="00A84283" w:rsidP="006D64A2">
      <w:pPr>
        <w:pStyle w:val="ChartorTableNote"/>
        <w:rPr>
          <w:color w:val="auto"/>
          <w:sz w:val="18"/>
          <w:szCs w:val="18"/>
        </w:rPr>
      </w:pPr>
      <w:r w:rsidRPr="003E3FDE">
        <w:t>Totals may not add due to rounding.</w:t>
      </w:r>
    </w:p>
    <w:p w14:paraId="556F5715" w14:textId="5564A0F7" w:rsidR="00A84283" w:rsidRPr="003E3FDE" w:rsidRDefault="00A84283" w:rsidP="00406C1F">
      <w:pPr>
        <w:pStyle w:val="ChartorTableNote"/>
        <w:rPr>
          <w:color w:val="auto"/>
          <w:sz w:val="18"/>
          <w:szCs w:val="18"/>
        </w:rPr>
      </w:pPr>
      <w:r w:rsidRPr="003E3FDE">
        <w:t>Excludes corporate reorganisations and new businesses.</w:t>
      </w:r>
    </w:p>
    <w:p w14:paraId="2B6C9E5E" w14:textId="6B1AA1B9" w:rsidR="00A84283" w:rsidRDefault="00A84283">
      <w:pPr>
        <w:pStyle w:val="ChartorTableNote"/>
      </w:pPr>
      <w:r w:rsidRPr="001A6701">
        <w:t>Data for 2015–16 onwards was impacted by the 1 December 2015 reforms. Data from 2017</w:t>
      </w:r>
      <w:r w:rsidR="00860AA4" w:rsidRPr="001A6701">
        <w:noBreakHyphen/>
      </w:r>
      <w:r w:rsidRPr="001A6701">
        <w:t>18 was impacted by the reforms announced in the 2017</w:t>
      </w:r>
      <w:r w:rsidR="00860AA4" w:rsidRPr="001A6701">
        <w:noBreakHyphen/>
      </w:r>
      <w:r w:rsidRPr="001A6701">
        <w:t>18 Budget, which were given effect on 1 July 2017. These reforms may affect data comparability across time. </w:t>
      </w:r>
    </w:p>
    <w:p w14:paraId="64017B8A" w14:textId="7A2D6F57" w:rsidR="00E43E52" w:rsidRDefault="00E43E52">
      <w:pPr>
        <w:spacing w:after="0" w:line="240" w:lineRule="auto"/>
        <w:jc w:val="left"/>
      </w:pPr>
      <w:r>
        <w:br w:type="page"/>
      </w:r>
    </w:p>
    <w:p w14:paraId="2D5C0435" w14:textId="2B803A3D" w:rsidR="000A1514" w:rsidRDefault="000A1514" w:rsidP="00497197">
      <w:pPr>
        <w:spacing w:after="0" w:line="240" w:lineRule="auto"/>
        <w:jc w:val="left"/>
      </w:pPr>
      <w:r w:rsidRPr="007C6F91">
        <w:rPr>
          <w:rFonts w:eastAsia="Calibri"/>
          <w:noProof/>
        </w:rPr>
        <w:lastRenderedPageBreak/>
        <mc:AlternateContent>
          <mc:Choice Requires="wps">
            <w:drawing>
              <wp:anchor distT="0" distB="0" distL="114300" distR="114300" simplePos="0" relativeHeight="251658242" behindDoc="0" locked="1" layoutInCell="1" allowOverlap="0" wp14:anchorId="6E29178E" wp14:editId="4764D14F">
                <wp:simplePos x="0" y="0"/>
                <wp:positionH relativeFrom="column">
                  <wp:posOffset>-3175</wp:posOffset>
                </wp:positionH>
                <wp:positionV relativeFrom="paragraph">
                  <wp:posOffset>262890</wp:posOffset>
                </wp:positionV>
                <wp:extent cx="4895850" cy="5911215"/>
                <wp:effectExtent l="0" t="0" r="0" b="0"/>
                <wp:wrapSquare wrapText="bothSides"/>
                <wp:docPr id="18" name="Snip and Round Single Corner Rectangle 18"/>
                <wp:cNvGraphicFramePr/>
                <a:graphic xmlns:a="http://schemas.openxmlformats.org/drawingml/2006/main">
                  <a:graphicData uri="http://schemas.microsoft.com/office/word/2010/wordprocessingShape">
                    <wps:wsp>
                      <wps:cNvSpPr/>
                      <wps:spPr>
                        <a:xfrm>
                          <a:off x="0" y="0"/>
                          <a:ext cx="4895850" cy="5911215"/>
                        </a:xfrm>
                        <a:prstGeom prst="snipRoundRect">
                          <a:avLst>
                            <a:gd name="adj1" fmla="val 5531"/>
                            <a:gd name="adj2" fmla="val 10817"/>
                          </a:avLst>
                        </a:prstGeom>
                        <a:solidFill>
                          <a:srgbClr val="653979"/>
                        </a:solidFill>
                        <a:ln w="25400" cap="flat" cmpd="sng" algn="ctr">
                          <a:noFill/>
                          <a:prstDash val="solid"/>
                        </a:ln>
                        <a:effectLst/>
                      </wps:spPr>
                      <wps:txbx>
                        <w:txbxContent>
                          <w:p w14:paraId="7D079107" w14:textId="77777777" w:rsidR="00191EF9" w:rsidRPr="000A1514" w:rsidRDefault="00191EF9" w:rsidP="000A1514">
                            <w:pPr>
                              <w:pStyle w:val="CaseStudyHeading"/>
                              <w:keepNext/>
                              <w:keepLines/>
                            </w:pPr>
                            <w:bookmarkStart w:id="107" w:name="_Toc33521378"/>
                            <w:r w:rsidRPr="000A1514">
                              <w:t>Sirtex case study</w:t>
                            </w:r>
                            <w:bookmarkEnd w:id="107"/>
                          </w:p>
                          <w:p w14:paraId="2653AF1B" w14:textId="77777777" w:rsidR="00191EF9" w:rsidRPr="000A1514" w:rsidRDefault="00191EF9" w:rsidP="000A1514">
                            <w:pPr>
                              <w:keepNext/>
                              <w:keepLines/>
                              <w:spacing w:after="120" w:line="240" w:lineRule="exact"/>
                              <w:ind w:left="284" w:right="284"/>
                              <w:rPr>
                                <w:rFonts w:ascii="Calibri" w:hAnsi="Calibri"/>
                                <w:color w:val="FFFFFF" w:themeColor="background1"/>
                              </w:rPr>
                            </w:pPr>
                            <w:r w:rsidRPr="000A1514">
                              <w:rPr>
                                <w:rFonts w:ascii="Calibri" w:hAnsi="Calibri"/>
                                <w:color w:val="FFFFFF" w:themeColor="background1"/>
                              </w:rPr>
                              <w:t>In 2019, the majority Chinese owned joint bidders CDH Investments, China Grand Pharmaceutical and Healthcare Holdings Limited acquired ASX listed Sirtex Medical Limited for $1.9 billion. Sirtex supplies a clinically proven liver cancer radiation therapy to hospitals in more than 40 countries.</w:t>
                            </w:r>
                          </w:p>
                          <w:p w14:paraId="7371787F" w14:textId="1B20CFD5" w:rsidR="00191EF9" w:rsidRPr="000A1514" w:rsidRDefault="00191EF9" w:rsidP="000A1514">
                            <w:pPr>
                              <w:keepNext/>
                              <w:keepLines/>
                              <w:spacing w:after="120" w:line="240" w:lineRule="exact"/>
                              <w:ind w:left="284" w:right="284"/>
                              <w:rPr>
                                <w:rFonts w:ascii="Calibri" w:hAnsi="Calibri"/>
                                <w:color w:val="FFFFFF" w:themeColor="background1"/>
                              </w:rPr>
                            </w:pPr>
                            <w:r w:rsidRPr="000A1514">
                              <w:rPr>
                                <w:rFonts w:ascii="Calibri" w:hAnsi="Calibri"/>
                                <w:color w:val="FFFFFF" w:themeColor="background1"/>
                              </w:rPr>
                              <w:t>This acquisition continued the strong interest of foreign investors in Australia’s healthcare sector.</w:t>
                            </w:r>
                          </w:p>
                          <w:p w14:paraId="63288A3C" w14:textId="4E67497B"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78A2F196" w14:textId="0AB9B320"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11198F8B" w14:textId="2DF8997A"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3524A900" w14:textId="36585721"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76135CB6" w14:textId="62C9F1AE"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4057A587" w14:textId="508B431D"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47E894EC" w14:textId="77777777" w:rsidR="00191EF9" w:rsidRPr="000A1514" w:rsidRDefault="00191EF9" w:rsidP="000A1514">
                            <w:pPr>
                              <w:keepNext/>
                              <w:keepLines/>
                              <w:spacing w:after="120" w:line="240" w:lineRule="exact"/>
                              <w:ind w:left="284" w:right="284"/>
                              <w:jc w:val="center"/>
                              <w:rPr>
                                <w:rFonts w:ascii="Calibri" w:hAnsi="Calibri"/>
                                <w:noProof/>
                                <w:color w:val="FFFFFF" w:themeColor="background1"/>
                              </w:rPr>
                            </w:pPr>
                          </w:p>
                          <w:p w14:paraId="0E93FF35" w14:textId="77777777" w:rsidR="00191EF9" w:rsidRPr="000A1514" w:rsidRDefault="00191EF9" w:rsidP="000A1514">
                            <w:pPr>
                              <w:keepNext/>
                              <w:keepLines/>
                              <w:spacing w:after="120" w:line="240" w:lineRule="exact"/>
                              <w:ind w:left="284" w:right="284"/>
                              <w:jc w:val="center"/>
                              <w:rPr>
                                <w:rFonts w:ascii="Calibri" w:hAnsi="Calibri"/>
                                <w:noProof/>
                                <w:color w:val="FFFFFF" w:themeColor="background1"/>
                              </w:rPr>
                            </w:pPr>
                          </w:p>
                          <w:p w14:paraId="77F5880A" w14:textId="77777777" w:rsidR="00191EF9" w:rsidRPr="000A1514" w:rsidRDefault="00191EF9" w:rsidP="000A1514">
                            <w:pPr>
                              <w:keepNext/>
                              <w:keepLines/>
                              <w:spacing w:after="120" w:line="240" w:lineRule="exact"/>
                              <w:ind w:left="284" w:right="284"/>
                              <w:jc w:val="center"/>
                              <w:rPr>
                                <w:rFonts w:ascii="Calibri" w:hAnsi="Calibri"/>
                                <w:noProof/>
                                <w:color w:val="FFFFFF" w:themeColor="background1"/>
                              </w:rPr>
                            </w:pPr>
                          </w:p>
                          <w:p w14:paraId="7120A88A" w14:textId="77777777" w:rsidR="00191EF9" w:rsidRPr="000A1514" w:rsidRDefault="00191EF9" w:rsidP="000A1514">
                            <w:pPr>
                              <w:keepNext/>
                              <w:keepLines/>
                              <w:spacing w:after="120" w:line="240" w:lineRule="exact"/>
                              <w:ind w:left="284" w:right="284"/>
                              <w:jc w:val="center"/>
                              <w:rPr>
                                <w:rFonts w:ascii="Calibri" w:hAnsi="Calibri"/>
                                <w:noProof/>
                                <w:color w:val="FFFFFF" w:themeColor="background1"/>
                              </w:rPr>
                            </w:pPr>
                          </w:p>
                          <w:p w14:paraId="099A870E" w14:textId="0C5D44AF" w:rsidR="00191EF9" w:rsidRPr="000A1514" w:rsidRDefault="00191EF9" w:rsidP="000A1514">
                            <w:pPr>
                              <w:keepNext/>
                              <w:keepLines/>
                              <w:spacing w:after="120" w:line="240" w:lineRule="exact"/>
                              <w:ind w:left="284" w:right="284"/>
                              <w:jc w:val="center"/>
                              <w:rPr>
                                <w:rFonts w:ascii="Calibri" w:hAnsi="Calibri"/>
                                <w:color w:val="FFFFFF" w:themeColor="background1"/>
                              </w:rPr>
                            </w:pPr>
                            <w:r w:rsidRPr="000A1514">
                              <w:rPr>
                                <w:rFonts w:ascii="Calibri" w:hAnsi="Calibri"/>
                                <w:noProof/>
                                <w:color w:val="FFFFFF" w:themeColor="background1"/>
                              </w:rPr>
                              <w:drawing>
                                <wp:inline distT="0" distB="0" distL="0" distR="0" wp14:anchorId="28FD8826" wp14:editId="2CE6ACE9">
                                  <wp:extent cx="3366155" cy="2313305"/>
                                  <wp:effectExtent l="0" t="0" r="5715" b="0"/>
                                  <wp:docPr id="21" name="Picture 21" descr="Picture of scientist working in a lab for Sirtex case study." title="Sirtex case stud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48181930-2048x2048 sirtex.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66155" cy="2313305"/>
                                          </a:xfrm>
                                          <a:prstGeom prst="rect">
                                            <a:avLst/>
                                          </a:prstGeom>
                                        </pic:spPr>
                                      </pic:pic>
                                    </a:graphicData>
                                  </a:graphic>
                                </wp:inline>
                              </w:drawing>
                            </w:r>
                          </w:p>
                          <w:p w14:paraId="254C016E" w14:textId="77777777" w:rsidR="00191EF9" w:rsidRPr="000A1514" w:rsidRDefault="00191EF9" w:rsidP="000A1514">
                            <w:pPr>
                              <w:keepNext/>
                              <w:keepLines/>
                              <w:spacing w:after="120" w:line="240" w:lineRule="exact"/>
                              <w:ind w:left="284" w:right="284"/>
                              <w:rPr>
                                <w:rFonts w:ascii="Calibri" w:hAnsi="Calibri"/>
                                <w:color w:val="FFFFFF" w:themeColor="background1"/>
                              </w:rPr>
                            </w:pPr>
                            <w:r w:rsidRPr="000A1514">
                              <w:rPr>
                                <w:rFonts w:ascii="Calibri" w:hAnsi="Calibri"/>
                                <w:color w:val="FFFFFF" w:themeColor="background1"/>
                              </w:rPr>
                              <w:t>The acquisition saw Sirtex change from being a publicly listed company to one owned and operated by an investor</w:t>
                            </w:r>
                            <w:r w:rsidRPr="000A1514" w:rsidDel="004C183E">
                              <w:rPr>
                                <w:rFonts w:ascii="Calibri" w:hAnsi="Calibri"/>
                                <w:color w:val="FFFFFF" w:themeColor="background1"/>
                              </w:rPr>
                              <w:t xml:space="preserve"> </w:t>
                            </w:r>
                            <w:r w:rsidRPr="000A1514">
                              <w:rPr>
                                <w:rFonts w:ascii="Calibri" w:hAnsi="Calibri"/>
                                <w:color w:val="FFFFFF" w:themeColor="background1"/>
                              </w:rPr>
                              <w:t>which is expected to take a long term view and has indicated that it has capital available for further investment in the business.  The new owners have indicated they intend to expand the business and market Sirtex’s expertise in the treatment of liver cancer to the Asian markets.</w:t>
                            </w:r>
                          </w:p>
                          <w:p w14:paraId="6FDFA66F" w14:textId="77777777" w:rsidR="00191EF9" w:rsidRPr="00820BE7" w:rsidRDefault="00191EF9" w:rsidP="000A1514">
                            <w:pPr>
                              <w:keepNext/>
                              <w:keepLines/>
                              <w:spacing w:after="120" w:line="240" w:lineRule="exact"/>
                              <w:ind w:left="284" w:right="284"/>
                              <w:rPr>
                                <w:rFonts w:ascii="Calibri" w:hAnsi="Calibri"/>
                                <w:color w:val="FFFFFF" w:themeColor="background1"/>
                              </w:rPr>
                            </w:pPr>
                            <w:r w:rsidRPr="000A1514">
                              <w:rPr>
                                <w:rFonts w:ascii="Calibri" w:hAnsi="Calibri"/>
                                <w:color w:val="FFFFFF" w:themeColor="background1"/>
                              </w:rPr>
                              <w:t>CDH Investments has invested over $20 billion globally. China Grand Pharmaceutical and Healthcare Holdings Limited are principally engaged in the development, manufacture and sale of pharmaceuticals, medical devices and healthcare products around the world.</w:t>
                            </w:r>
                            <w:r w:rsidRPr="00820BE7">
                              <w:rPr>
                                <w:rFonts w:ascii="Calibri" w:hAnsi="Calibri"/>
                                <w:color w:val="FFFFFF" w:themeColor="background1"/>
                              </w:rPr>
                              <w:t xml:space="preserve"> </w:t>
                            </w:r>
                          </w:p>
                          <w:p w14:paraId="73C4A561" w14:textId="501005E9" w:rsidR="00191EF9" w:rsidRPr="00AC6F0C" w:rsidRDefault="00191EF9" w:rsidP="000A1514">
                            <w:pPr>
                              <w:keepNext/>
                              <w:spacing w:after="120" w:line="240" w:lineRule="exact"/>
                              <w:ind w:left="284" w:right="284"/>
                              <w:rPr>
                                <w:rFonts w:ascii="Calibri" w:hAnsi="Calibri"/>
                                <w:color w:val="FFFFFF" w:themeColor="background1"/>
                              </w:rPr>
                            </w:pP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9178E" id="Snip and Round Single Corner Rectangle 18" o:spid="_x0000_s1029" style="position:absolute;margin-left:-.25pt;margin-top:20.7pt;width:385.5pt;height:465.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5850,591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" o:allowoverlap="f" adj="-11796480,,5400" path="m270789,l4366266,r529584,529584l4895850,5911215,,5911215,,270789c,121236,121236,,270789,xe" fillcolor="#653979" stroked="f" strokeweight="2pt">
                <v:stroke joinstyle="miter"/>
                <v:formulas/>
                <v:path arrowok="t" o:connecttype="custom" o:connectlocs="270789,0;4366266,0;4895850,529584;4895850,5911215;0,5911215;0,270789;270789,0" o:connectangles="0,0,0,0,0,0,0" textboxrect="0,0,4895850,5911215"/>
                <v:textbox inset=".5mm,0,.5mm,0">
                  <w:txbxContent>
                    <w:p w14:paraId="7D079107" w14:textId="77777777" w:rsidR="00191EF9" w:rsidRPr="000A1514" w:rsidRDefault="00191EF9" w:rsidP="000A1514">
                      <w:pPr>
                        <w:pStyle w:val="CaseStudyHeading"/>
                        <w:keepNext/>
                        <w:keepLines/>
                      </w:pPr>
                      <w:bookmarkStart w:id="111" w:name="_Toc33521378"/>
                      <w:r w:rsidRPr="000A1514">
                        <w:t>Sirtex case study</w:t>
                      </w:r>
                      <w:bookmarkEnd w:id="111"/>
                    </w:p>
                    <w:p w14:paraId="2653AF1B" w14:textId="77777777" w:rsidR="00191EF9" w:rsidRPr="000A1514" w:rsidRDefault="00191EF9" w:rsidP="000A1514">
                      <w:pPr>
                        <w:keepNext/>
                        <w:keepLines/>
                        <w:spacing w:after="120" w:line="240" w:lineRule="exact"/>
                        <w:ind w:left="284" w:right="284"/>
                        <w:rPr>
                          <w:rFonts w:ascii="Calibri" w:hAnsi="Calibri"/>
                          <w:color w:val="FFFFFF" w:themeColor="background1"/>
                        </w:rPr>
                      </w:pPr>
                      <w:r w:rsidRPr="000A1514">
                        <w:rPr>
                          <w:rFonts w:ascii="Calibri" w:hAnsi="Calibri"/>
                          <w:color w:val="FFFFFF" w:themeColor="background1"/>
                        </w:rPr>
                        <w:t>In 2019, the majority Chinese owned joint bidders CDH Investments, China Grand Pharmaceutical and Healthcare Holdings Limited acquired ASX listed Sirtex Medical Limited for $1.9 billion. Sirtex supplies a clinically proven liver cancer radiation therapy to hospitals in more than 40 countries.</w:t>
                      </w:r>
                    </w:p>
                    <w:p w14:paraId="7371787F" w14:textId="1B20CFD5" w:rsidR="00191EF9" w:rsidRPr="000A1514" w:rsidRDefault="00191EF9" w:rsidP="000A1514">
                      <w:pPr>
                        <w:keepNext/>
                        <w:keepLines/>
                        <w:spacing w:after="120" w:line="240" w:lineRule="exact"/>
                        <w:ind w:left="284" w:right="284"/>
                        <w:rPr>
                          <w:rFonts w:ascii="Calibri" w:hAnsi="Calibri"/>
                          <w:color w:val="FFFFFF" w:themeColor="background1"/>
                        </w:rPr>
                      </w:pPr>
                      <w:r w:rsidRPr="000A1514">
                        <w:rPr>
                          <w:rFonts w:ascii="Calibri" w:hAnsi="Calibri"/>
                          <w:color w:val="FFFFFF" w:themeColor="background1"/>
                        </w:rPr>
                        <w:t>This acquisition continued the strong interest of foreign investors in Australia’s healthcare sector.</w:t>
                      </w:r>
                    </w:p>
                    <w:p w14:paraId="63288A3C" w14:textId="4E67497B"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78A2F196" w14:textId="0AB9B320"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11198F8B" w14:textId="2DF8997A"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3524A900" w14:textId="36585721"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76135CB6" w14:textId="62C9F1AE"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4057A587" w14:textId="508B431D" w:rsidR="00191EF9" w:rsidRPr="000A1514" w:rsidRDefault="00191EF9" w:rsidP="000A1514">
                      <w:pPr>
                        <w:keepNext/>
                        <w:keepLines/>
                        <w:spacing w:after="120" w:line="240" w:lineRule="exact"/>
                        <w:ind w:left="284" w:right="284"/>
                        <w:jc w:val="center"/>
                        <w:rPr>
                          <w:rFonts w:ascii="Calibri" w:hAnsi="Calibri"/>
                          <w:color w:val="FFFFFF" w:themeColor="background1"/>
                        </w:rPr>
                      </w:pPr>
                    </w:p>
                    <w:p w14:paraId="47E894EC" w14:textId="77777777" w:rsidR="00191EF9" w:rsidRPr="000A1514" w:rsidRDefault="00191EF9" w:rsidP="000A1514">
                      <w:pPr>
                        <w:keepNext/>
                        <w:keepLines/>
                        <w:spacing w:after="120" w:line="240" w:lineRule="exact"/>
                        <w:ind w:left="284" w:right="284"/>
                        <w:jc w:val="center"/>
                        <w:rPr>
                          <w:rFonts w:ascii="Calibri" w:hAnsi="Calibri"/>
                          <w:noProof/>
                          <w:color w:val="FFFFFF" w:themeColor="background1"/>
                        </w:rPr>
                      </w:pPr>
                    </w:p>
                    <w:p w14:paraId="0E93FF35" w14:textId="77777777" w:rsidR="00191EF9" w:rsidRPr="000A1514" w:rsidRDefault="00191EF9" w:rsidP="000A1514">
                      <w:pPr>
                        <w:keepNext/>
                        <w:keepLines/>
                        <w:spacing w:after="120" w:line="240" w:lineRule="exact"/>
                        <w:ind w:left="284" w:right="284"/>
                        <w:jc w:val="center"/>
                        <w:rPr>
                          <w:rFonts w:ascii="Calibri" w:hAnsi="Calibri"/>
                          <w:noProof/>
                          <w:color w:val="FFFFFF" w:themeColor="background1"/>
                        </w:rPr>
                      </w:pPr>
                    </w:p>
                    <w:p w14:paraId="77F5880A" w14:textId="77777777" w:rsidR="00191EF9" w:rsidRPr="000A1514" w:rsidRDefault="00191EF9" w:rsidP="000A1514">
                      <w:pPr>
                        <w:keepNext/>
                        <w:keepLines/>
                        <w:spacing w:after="120" w:line="240" w:lineRule="exact"/>
                        <w:ind w:left="284" w:right="284"/>
                        <w:jc w:val="center"/>
                        <w:rPr>
                          <w:rFonts w:ascii="Calibri" w:hAnsi="Calibri"/>
                          <w:noProof/>
                          <w:color w:val="FFFFFF" w:themeColor="background1"/>
                        </w:rPr>
                      </w:pPr>
                    </w:p>
                    <w:p w14:paraId="7120A88A" w14:textId="77777777" w:rsidR="00191EF9" w:rsidRPr="000A1514" w:rsidRDefault="00191EF9" w:rsidP="000A1514">
                      <w:pPr>
                        <w:keepNext/>
                        <w:keepLines/>
                        <w:spacing w:after="120" w:line="240" w:lineRule="exact"/>
                        <w:ind w:left="284" w:right="284"/>
                        <w:jc w:val="center"/>
                        <w:rPr>
                          <w:rFonts w:ascii="Calibri" w:hAnsi="Calibri"/>
                          <w:noProof/>
                          <w:color w:val="FFFFFF" w:themeColor="background1"/>
                        </w:rPr>
                      </w:pPr>
                    </w:p>
                    <w:p w14:paraId="099A870E" w14:textId="0C5D44AF" w:rsidR="00191EF9" w:rsidRPr="000A1514" w:rsidRDefault="00191EF9" w:rsidP="000A1514">
                      <w:pPr>
                        <w:keepNext/>
                        <w:keepLines/>
                        <w:spacing w:after="120" w:line="240" w:lineRule="exact"/>
                        <w:ind w:left="284" w:right="284"/>
                        <w:jc w:val="center"/>
                        <w:rPr>
                          <w:rFonts w:ascii="Calibri" w:hAnsi="Calibri"/>
                          <w:color w:val="FFFFFF" w:themeColor="background1"/>
                        </w:rPr>
                      </w:pPr>
                      <w:r w:rsidRPr="000A1514">
                        <w:rPr>
                          <w:rFonts w:ascii="Calibri" w:hAnsi="Calibri"/>
                          <w:noProof/>
                          <w:color w:val="FFFFFF" w:themeColor="background1"/>
                        </w:rPr>
                        <w:drawing>
                          <wp:inline distT="0" distB="0" distL="0" distR="0" wp14:anchorId="28FD8826" wp14:editId="2CE6ACE9">
                            <wp:extent cx="3366155" cy="2313305"/>
                            <wp:effectExtent l="0" t="0" r="5715" b="0"/>
                            <wp:docPr id="21" name="Picture 21" descr="Picture of scientist working in a lab for Sirtex case study." title="Sirtex case stud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48181930-2048x2048 sirtex.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366155" cy="2313305"/>
                                    </a:xfrm>
                                    <a:prstGeom prst="rect">
                                      <a:avLst/>
                                    </a:prstGeom>
                                  </pic:spPr>
                                </pic:pic>
                              </a:graphicData>
                            </a:graphic>
                          </wp:inline>
                        </w:drawing>
                      </w:r>
                    </w:p>
                    <w:p w14:paraId="254C016E" w14:textId="77777777" w:rsidR="00191EF9" w:rsidRPr="000A1514" w:rsidRDefault="00191EF9" w:rsidP="000A1514">
                      <w:pPr>
                        <w:keepNext/>
                        <w:keepLines/>
                        <w:spacing w:after="120" w:line="240" w:lineRule="exact"/>
                        <w:ind w:left="284" w:right="284"/>
                        <w:rPr>
                          <w:rFonts w:ascii="Calibri" w:hAnsi="Calibri"/>
                          <w:color w:val="FFFFFF" w:themeColor="background1"/>
                        </w:rPr>
                      </w:pPr>
                      <w:r w:rsidRPr="000A1514">
                        <w:rPr>
                          <w:rFonts w:ascii="Calibri" w:hAnsi="Calibri"/>
                          <w:color w:val="FFFFFF" w:themeColor="background1"/>
                        </w:rPr>
                        <w:t>The acquisition saw Sirtex change from being a publicly listed company to one owned and operated by an investor</w:t>
                      </w:r>
                      <w:r w:rsidRPr="000A1514" w:rsidDel="004C183E">
                        <w:rPr>
                          <w:rFonts w:ascii="Calibri" w:hAnsi="Calibri"/>
                          <w:color w:val="FFFFFF" w:themeColor="background1"/>
                        </w:rPr>
                        <w:t xml:space="preserve"> </w:t>
                      </w:r>
                      <w:r w:rsidRPr="000A1514">
                        <w:rPr>
                          <w:rFonts w:ascii="Calibri" w:hAnsi="Calibri"/>
                          <w:color w:val="FFFFFF" w:themeColor="background1"/>
                        </w:rPr>
                        <w:t>which is expected to take a long term view and has indicated that it has capital available for further investment in the business.  The new owners have indicated they intend to expand the business and market Sirtex’s expertise in the treatment of liver cancer to the Asian markets.</w:t>
                      </w:r>
                    </w:p>
                    <w:p w14:paraId="6FDFA66F" w14:textId="77777777" w:rsidR="00191EF9" w:rsidRPr="00820BE7" w:rsidRDefault="00191EF9" w:rsidP="000A1514">
                      <w:pPr>
                        <w:keepNext/>
                        <w:keepLines/>
                        <w:spacing w:after="120" w:line="240" w:lineRule="exact"/>
                        <w:ind w:left="284" w:right="284"/>
                        <w:rPr>
                          <w:rFonts w:ascii="Calibri" w:hAnsi="Calibri"/>
                          <w:color w:val="FFFFFF" w:themeColor="background1"/>
                        </w:rPr>
                      </w:pPr>
                      <w:r w:rsidRPr="000A1514">
                        <w:rPr>
                          <w:rFonts w:ascii="Calibri" w:hAnsi="Calibri"/>
                          <w:color w:val="FFFFFF" w:themeColor="background1"/>
                        </w:rPr>
                        <w:t>CDH Investments has invested over $20 billion globally. China Grand Pharmaceutical and Healthcare Holdings Limited are principally engaged in the development, manufacture and sale of pharmaceuticals, medical devices and healthcare products around the world.</w:t>
                      </w:r>
                      <w:r w:rsidRPr="00820BE7">
                        <w:rPr>
                          <w:rFonts w:ascii="Calibri" w:hAnsi="Calibri"/>
                          <w:color w:val="FFFFFF" w:themeColor="background1"/>
                        </w:rPr>
                        <w:t xml:space="preserve"> </w:t>
                      </w:r>
                    </w:p>
                    <w:p w14:paraId="73C4A561" w14:textId="501005E9" w:rsidR="00191EF9" w:rsidRPr="00AC6F0C" w:rsidRDefault="00191EF9" w:rsidP="000A1514">
                      <w:pPr>
                        <w:keepNext/>
                        <w:spacing w:after="120" w:line="240" w:lineRule="exact"/>
                        <w:ind w:left="284" w:right="284"/>
                        <w:rPr>
                          <w:rFonts w:ascii="Calibri" w:hAnsi="Calibri"/>
                          <w:color w:val="FFFFFF" w:themeColor="background1"/>
                        </w:rPr>
                      </w:pPr>
                    </w:p>
                  </w:txbxContent>
                </v:textbox>
                <w10:wrap type="square"/>
                <w10:anchorlock/>
              </v:shape>
            </w:pict>
          </mc:Fallback>
        </mc:AlternateContent>
      </w:r>
    </w:p>
    <w:p w14:paraId="50978551" w14:textId="77777777" w:rsidR="00A84283" w:rsidRPr="006D64A2" w:rsidRDefault="00A84283" w:rsidP="00B44658">
      <w:pPr>
        <w:pStyle w:val="Heading3"/>
      </w:pPr>
      <w:r w:rsidRPr="006D64A2">
        <w:t>Commercial real estate</w:t>
      </w:r>
    </w:p>
    <w:p w14:paraId="5FE253CF" w14:textId="02C58D45" w:rsidR="00A84283" w:rsidRPr="001A6701" w:rsidRDefault="00851AB4" w:rsidP="002E2EFE">
      <w:r w:rsidRPr="001A6701">
        <w:t>In 2018</w:t>
      </w:r>
      <w:r w:rsidR="0020659C">
        <w:noBreakHyphen/>
      </w:r>
      <w:r w:rsidRPr="001A6701">
        <w:t>19, there were 48</w:t>
      </w:r>
      <w:r w:rsidR="003740B0" w:rsidRPr="001A6701">
        <w:t>7</w:t>
      </w:r>
      <w:r w:rsidRPr="001A6701">
        <w:t xml:space="preserve"> approvals for $73.0</w:t>
      </w:r>
      <w:r w:rsidR="0020659C">
        <w:t> </w:t>
      </w:r>
      <w:r w:rsidRPr="001A6701">
        <w:t xml:space="preserve">billion of proposed investment in the commercial real estate sector. This is a </w:t>
      </w:r>
      <w:r w:rsidR="00954B8B" w:rsidRPr="001A6701">
        <w:t xml:space="preserve">significant </w:t>
      </w:r>
      <w:r w:rsidRPr="001A6701">
        <w:t>increase compared to 2017</w:t>
      </w:r>
      <w:r w:rsidR="0020659C">
        <w:noBreakHyphen/>
      </w:r>
      <w:r w:rsidRPr="001A6701">
        <w:t>18 when there were 391 approvals for $39.5</w:t>
      </w:r>
      <w:r w:rsidR="0020659C">
        <w:t> </w:t>
      </w:r>
      <w:r w:rsidRPr="001A6701">
        <w:t>billion in proposed investment</w:t>
      </w:r>
      <w:r w:rsidR="00A84283" w:rsidRPr="001A6701">
        <w:t>.</w:t>
      </w:r>
    </w:p>
    <w:p w14:paraId="0D09F757" w14:textId="34657715" w:rsidR="00851AB4" w:rsidRPr="001A6701" w:rsidRDefault="00851AB4" w:rsidP="002E2EFE">
      <w:pPr>
        <w:rPr>
          <w:color w:val="auto"/>
        </w:rPr>
      </w:pPr>
      <w:r w:rsidRPr="001A6701">
        <w:lastRenderedPageBreak/>
        <w:t>The increase in value was partly due to a $12</w:t>
      </w:r>
      <w:r w:rsidR="0020659C">
        <w:t>.1 </w:t>
      </w:r>
      <w:r w:rsidRPr="001A6701">
        <w:t>billion increase in the quantity and size of exemption certificates granted during the year. These certificates have been used by investment management funds to cover a range of pre</w:t>
      </w:r>
      <w:r w:rsidR="00954B8B" w:rsidRPr="001A6701">
        <w:rPr>
          <w:color w:val="auto"/>
        </w:rPr>
        <w:noBreakHyphen/>
      </w:r>
      <w:r w:rsidRPr="001A6701">
        <w:rPr>
          <w:color w:val="auto"/>
        </w:rPr>
        <w:t>defined target investments in the developed commercial property sector.</w:t>
      </w:r>
    </w:p>
    <w:p w14:paraId="28D911EF" w14:textId="312D6978" w:rsidR="00A84283" w:rsidRPr="001A6701" w:rsidRDefault="00851AB4" w:rsidP="002E2EFE">
      <w:pPr>
        <w:rPr>
          <w:color w:val="auto"/>
        </w:rPr>
      </w:pPr>
      <w:r w:rsidRPr="001A6701">
        <w:t xml:space="preserve">The sale of the Investa </w:t>
      </w:r>
      <w:r w:rsidRPr="008E1C9A">
        <w:t xml:space="preserve">Office </w:t>
      </w:r>
      <w:r w:rsidR="00DE25F9" w:rsidRPr="008E1C9A">
        <w:t>Fund</w:t>
      </w:r>
      <w:r w:rsidRPr="008E1C9A">
        <w:t xml:space="preserve"> saw proposals submitted by several interested foreign bidders, with Canadian pension fund OMERS ultimately successful with </w:t>
      </w:r>
      <w:r w:rsidR="00A4088F" w:rsidRPr="008E1C9A">
        <w:rPr>
          <w:color w:val="auto"/>
        </w:rPr>
        <w:t xml:space="preserve">its </w:t>
      </w:r>
      <w:r w:rsidRPr="008E1C9A">
        <w:rPr>
          <w:color w:val="auto"/>
        </w:rPr>
        <w:t>$3.4</w:t>
      </w:r>
      <w:r w:rsidR="0020659C">
        <w:rPr>
          <w:color w:val="auto"/>
        </w:rPr>
        <w:t> </w:t>
      </w:r>
      <w:r w:rsidRPr="008E1C9A">
        <w:rPr>
          <w:color w:val="auto"/>
        </w:rPr>
        <w:t>billion bid.</w:t>
      </w:r>
    </w:p>
    <w:p w14:paraId="2A91D185" w14:textId="32DD056D" w:rsidR="00A84283" w:rsidRPr="0020659C" w:rsidRDefault="00A84283" w:rsidP="0020659C">
      <w:pPr>
        <w:pStyle w:val="TableMainHeading"/>
      </w:pPr>
      <w:bookmarkStart w:id="108" w:name="_Toc32247769"/>
      <w:bookmarkStart w:id="109" w:name="_Toc33521354"/>
      <w:r w:rsidRPr="0020659C">
        <w:t>Table 3.8: Commercial real</w:t>
      </w:r>
      <w:r w:rsidR="00851AB4" w:rsidRPr="0020659C">
        <w:t xml:space="preserve"> estate approvals, by type: 2015</w:t>
      </w:r>
      <w:r w:rsidRPr="0020659C">
        <w:t>–1</w:t>
      </w:r>
      <w:r w:rsidR="00851AB4" w:rsidRPr="0020659C">
        <w:t>6</w:t>
      </w:r>
      <w:r w:rsidRPr="0020659C">
        <w:t xml:space="preserve"> to 201</w:t>
      </w:r>
      <w:r w:rsidR="00851AB4" w:rsidRPr="0020659C">
        <w:t>8</w:t>
      </w:r>
      <w:r w:rsidRPr="0020659C">
        <w:t>–1</w:t>
      </w:r>
      <w:r w:rsidR="00851AB4" w:rsidRPr="0020659C">
        <w:t>9</w:t>
      </w:r>
      <w:bookmarkEnd w:id="108"/>
      <w:bookmarkEnd w:id="109"/>
    </w:p>
    <w:tbl>
      <w:tblPr>
        <w:tblW w:w="5000" w:type="pct"/>
        <w:tblLook w:val="04A0" w:firstRow="1" w:lastRow="0" w:firstColumn="1" w:lastColumn="0" w:noHBand="0" w:noVBand="1"/>
      </w:tblPr>
      <w:tblGrid>
        <w:gridCol w:w="2812"/>
        <w:gridCol w:w="565"/>
        <w:gridCol w:w="661"/>
        <w:gridCol w:w="564"/>
        <w:gridCol w:w="660"/>
        <w:gridCol w:w="564"/>
        <w:gridCol w:w="660"/>
        <w:gridCol w:w="564"/>
        <w:gridCol w:w="660"/>
      </w:tblGrid>
      <w:tr w:rsidR="009523DA" w:rsidRPr="009523DA" w14:paraId="2A45F5D5" w14:textId="77777777" w:rsidTr="00CB5DF7">
        <w:trPr>
          <w:trHeight w:val="225"/>
        </w:trPr>
        <w:tc>
          <w:tcPr>
            <w:tcW w:w="1823" w:type="pct"/>
            <w:tcBorders>
              <w:top w:val="single" w:sz="2" w:space="0" w:color="000000" w:themeColor="text1"/>
              <w:left w:val="nil"/>
              <w:bottom w:val="nil"/>
              <w:right w:val="nil"/>
            </w:tcBorders>
            <w:shd w:val="clear" w:color="000000" w:fill="FFFFFF"/>
            <w:noWrap/>
            <w:vAlign w:val="center"/>
            <w:hideMark/>
          </w:tcPr>
          <w:p w14:paraId="6A99A1FB" w14:textId="77777777" w:rsidR="009523DA" w:rsidRPr="009523DA" w:rsidRDefault="009523DA" w:rsidP="009523DA">
            <w:pPr>
              <w:spacing w:after="0" w:line="240" w:lineRule="auto"/>
              <w:jc w:val="left"/>
              <w:rPr>
                <w:rFonts w:ascii="Arial" w:hAnsi="Arial" w:cs="Arial"/>
                <w:sz w:val="16"/>
                <w:szCs w:val="16"/>
              </w:rPr>
            </w:pPr>
            <w:r w:rsidRPr="009523DA">
              <w:rPr>
                <w:rFonts w:ascii="Arial" w:hAnsi="Arial" w:cs="Arial"/>
                <w:sz w:val="16"/>
                <w:szCs w:val="16"/>
              </w:rPr>
              <w:t> </w:t>
            </w:r>
          </w:p>
        </w:tc>
        <w:tc>
          <w:tcPr>
            <w:tcW w:w="794" w:type="pct"/>
            <w:gridSpan w:val="2"/>
            <w:tcBorders>
              <w:top w:val="single" w:sz="2" w:space="0" w:color="000000" w:themeColor="text1"/>
              <w:left w:val="nil"/>
              <w:right w:val="nil"/>
            </w:tcBorders>
            <w:shd w:val="clear" w:color="000000" w:fill="FFFFFF"/>
            <w:noWrap/>
            <w:vAlign w:val="center"/>
            <w:hideMark/>
          </w:tcPr>
          <w:p w14:paraId="22E7F752"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2015-16</w:t>
            </w:r>
          </w:p>
        </w:tc>
        <w:tc>
          <w:tcPr>
            <w:tcW w:w="794" w:type="pct"/>
            <w:gridSpan w:val="2"/>
            <w:tcBorders>
              <w:top w:val="single" w:sz="2" w:space="0" w:color="000000" w:themeColor="text1"/>
              <w:left w:val="nil"/>
              <w:right w:val="nil"/>
            </w:tcBorders>
            <w:shd w:val="clear" w:color="000000" w:fill="FFFFFF"/>
            <w:noWrap/>
            <w:vAlign w:val="center"/>
            <w:hideMark/>
          </w:tcPr>
          <w:p w14:paraId="3807D629"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2016-17</w:t>
            </w:r>
          </w:p>
        </w:tc>
        <w:tc>
          <w:tcPr>
            <w:tcW w:w="794" w:type="pct"/>
            <w:gridSpan w:val="2"/>
            <w:tcBorders>
              <w:top w:val="single" w:sz="2" w:space="0" w:color="000000" w:themeColor="text1"/>
              <w:left w:val="nil"/>
              <w:right w:val="nil"/>
            </w:tcBorders>
            <w:shd w:val="clear" w:color="auto" w:fill="auto"/>
            <w:noWrap/>
            <w:vAlign w:val="center"/>
            <w:hideMark/>
          </w:tcPr>
          <w:p w14:paraId="1FAFC6C7"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2017-18</w:t>
            </w:r>
          </w:p>
        </w:tc>
        <w:tc>
          <w:tcPr>
            <w:tcW w:w="794" w:type="pct"/>
            <w:gridSpan w:val="2"/>
            <w:tcBorders>
              <w:top w:val="single" w:sz="2" w:space="0" w:color="000000" w:themeColor="text1"/>
              <w:left w:val="nil"/>
              <w:right w:val="nil"/>
            </w:tcBorders>
            <w:shd w:val="clear" w:color="000000" w:fill="F2F2F2"/>
            <w:noWrap/>
            <w:vAlign w:val="center"/>
            <w:hideMark/>
          </w:tcPr>
          <w:p w14:paraId="356978A4"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2018-19</w:t>
            </w:r>
          </w:p>
        </w:tc>
      </w:tr>
      <w:tr w:rsidR="00963E9C" w:rsidRPr="009523DA" w14:paraId="089C13A7" w14:textId="77777777" w:rsidTr="00CB5DF7">
        <w:trPr>
          <w:trHeight w:val="225"/>
        </w:trPr>
        <w:tc>
          <w:tcPr>
            <w:tcW w:w="1823" w:type="pct"/>
            <w:tcBorders>
              <w:top w:val="nil"/>
              <w:left w:val="nil"/>
              <w:bottom w:val="single" w:sz="2" w:space="0" w:color="000000" w:themeColor="text1"/>
              <w:right w:val="nil"/>
            </w:tcBorders>
            <w:shd w:val="clear" w:color="000000" w:fill="FFFFFF"/>
            <w:noWrap/>
            <w:vAlign w:val="center"/>
            <w:hideMark/>
          </w:tcPr>
          <w:p w14:paraId="58F4C671" w14:textId="77777777" w:rsidR="009523DA" w:rsidRPr="009523DA" w:rsidRDefault="009523DA" w:rsidP="009523DA">
            <w:pPr>
              <w:spacing w:after="0" w:line="240" w:lineRule="auto"/>
              <w:jc w:val="left"/>
              <w:rPr>
                <w:rFonts w:ascii="Arial" w:hAnsi="Arial" w:cs="Arial"/>
                <w:sz w:val="16"/>
                <w:szCs w:val="16"/>
              </w:rPr>
            </w:pPr>
            <w:r w:rsidRPr="009523DA">
              <w:rPr>
                <w:rFonts w:ascii="Arial" w:hAnsi="Arial" w:cs="Arial"/>
                <w:sz w:val="16"/>
                <w:szCs w:val="16"/>
              </w:rPr>
              <w:t> </w:t>
            </w:r>
          </w:p>
        </w:tc>
        <w:tc>
          <w:tcPr>
            <w:tcW w:w="366" w:type="pct"/>
            <w:tcBorders>
              <w:left w:val="nil"/>
              <w:bottom w:val="single" w:sz="2" w:space="0" w:color="000000" w:themeColor="text1"/>
              <w:right w:val="nil"/>
            </w:tcBorders>
            <w:shd w:val="clear" w:color="000000" w:fill="FFFFFF"/>
            <w:noWrap/>
            <w:vAlign w:val="center"/>
            <w:hideMark/>
          </w:tcPr>
          <w:p w14:paraId="416DC3A1"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No.</w:t>
            </w:r>
          </w:p>
        </w:tc>
        <w:tc>
          <w:tcPr>
            <w:tcW w:w="428" w:type="pct"/>
            <w:tcBorders>
              <w:left w:val="nil"/>
              <w:bottom w:val="single" w:sz="2" w:space="0" w:color="000000" w:themeColor="text1"/>
              <w:right w:val="nil"/>
            </w:tcBorders>
            <w:shd w:val="clear" w:color="000000" w:fill="FFFFFF"/>
            <w:noWrap/>
            <w:vAlign w:val="center"/>
            <w:hideMark/>
          </w:tcPr>
          <w:p w14:paraId="2AF6C484"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$b</w:t>
            </w:r>
          </w:p>
        </w:tc>
        <w:tc>
          <w:tcPr>
            <w:tcW w:w="366" w:type="pct"/>
            <w:tcBorders>
              <w:left w:val="nil"/>
              <w:bottom w:val="single" w:sz="2" w:space="0" w:color="000000" w:themeColor="text1"/>
              <w:right w:val="nil"/>
            </w:tcBorders>
            <w:shd w:val="clear" w:color="000000" w:fill="FFFFFF"/>
            <w:noWrap/>
            <w:vAlign w:val="center"/>
            <w:hideMark/>
          </w:tcPr>
          <w:p w14:paraId="57DDCB4D"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No.</w:t>
            </w:r>
          </w:p>
        </w:tc>
        <w:tc>
          <w:tcPr>
            <w:tcW w:w="428" w:type="pct"/>
            <w:tcBorders>
              <w:left w:val="nil"/>
              <w:bottom w:val="single" w:sz="2" w:space="0" w:color="000000" w:themeColor="text1"/>
              <w:right w:val="nil"/>
            </w:tcBorders>
            <w:shd w:val="clear" w:color="000000" w:fill="FFFFFF"/>
            <w:noWrap/>
            <w:vAlign w:val="center"/>
            <w:hideMark/>
          </w:tcPr>
          <w:p w14:paraId="72CD3085"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$b</w:t>
            </w:r>
          </w:p>
        </w:tc>
        <w:tc>
          <w:tcPr>
            <w:tcW w:w="366" w:type="pct"/>
            <w:tcBorders>
              <w:left w:val="nil"/>
              <w:bottom w:val="single" w:sz="2" w:space="0" w:color="000000" w:themeColor="text1"/>
              <w:right w:val="nil"/>
            </w:tcBorders>
            <w:shd w:val="clear" w:color="auto" w:fill="auto"/>
            <w:noWrap/>
            <w:vAlign w:val="center"/>
            <w:hideMark/>
          </w:tcPr>
          <w:p w14:paraId="44CB5F91"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No.</w:t>
            </w:r>
          </w:p>
        </w:tc>
        <w:tc>
          <w:tcPr>
            <w:tcW w:w="428" w:type="pct"/>
            <w:tcBorders>
              <w:left w:val="nil"/>
              <w:bottom w:val="single" w:sz="2" w:space="0" w:color="000000" w:themeColor="text1"/>
              <w:right w:val="nil"/>
            </w:tcBorders>
            <w:shd w:val="clear" w:color="auto" w:fill="auto"/>
            <w:noWrap/>
            <w:vAlign w:val="center"/>
            <w:hideMark/>
          </w:tcPr>
          <w:p w14:paraId="491E2441"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$b</w:t>
            </w:r>
          </w:p>
        </w:tc>
        <w:tc>
          <w:tcPr>
            <w:tcW w:w="366" w:type="pct"/>
            <w:tcBorders>
              <w:left w:val="nil"/>
              <w:bottom w:val="single" w:sz="2" w:space="0" w:color="000000" w:themeColor="text1"/>
              <w:right w:val="nil"/>
            </w:tcBorders>
            <w:shd w:val="clear" w:color="000000" w:fill="F2F2F2"/>
            <w:noWrap/>
            <w:vAlign w:val="center"/>
            <w:hideMark/>
          </w:tcPr>
          <w:p w14:paraId="24619EA4"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No.</w:t>
            </w:r>
          </w:p>
        </w:tc>
        <w:tc>
          <w:tcPr>
            <w:tcW w:w="428" w:type="pct"/>
            <w:tcBorders>
              <w:left w:val="nil"/>
              <w:bottom w:val="single" w:sz="2" w:space="0" w:color="000000" w:themeColor="text1"/>
              <w:right w:val="nil"/>
            </w:tcBorders>
            <w:shd w:val="clear" w:color="000000" w:fill="F2F2F2"/>
            <w:noWrap/>
            <w:vAlign w:val="center"/>
            <w:hideMark/>
          </w:tcPr>
          <w:p w14:paraId="500FC8ED"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$b</w:t>
            </w:r>
          </w:p>
        </w:tc>
      </w:tr>
      <w:tr w:rsidR="00963E9C" w:rsidRPr="009523DA" w14:paraId="1A792A67" w14:textId="77777777" w:rsidTr="00CB5DF7">
        <w:trPr>
          <w:trHeight w:val="225"/>
        </w:trPr>
        <w:tc>
          <w:tcPr>
            <w:tcW w:w="1823" w:type="pct"/>
            <w:tcBorders>
              <w:top w:val="single" w:sz="2" w:space="0" w:color="000000" w:themeColor="text1"/>
              <w:left w:val="nil"/>
              <w:bottom w:val="nil"/>
              <w:right w:val="nil"/>
            </w:tcBorders>
            <w:shd w:val="clear" w:color="000000" w:fill="FFFFFF"/>
            <w:noWrap/>
            <w:vAlign w:val="center"/>
            <w:hideMark/>
          </w:tcPr>
          <w:p w14:paraId="66AAA231" w14:textId="77777777" w:rsidR="009523DA" w:rsidRPr="009523DA" w:rsidRDefault="009523DA" w:rsidP="009523DA">
            <w:pPr>
              <w:spacing w:after="0" w:line="240" w:lineRule="auto"/>
              <w:jc w:val="left"/>
              <w:rPr>
                <w:rFonts w:ascii="Arial" w:hAnsi="Arial" w:cs="Arial"/>
                <w:b/>
                <w:bCs/>
                <w:sz w:val="16"/>
                <w:szCs w:val="16"/>
              </w:rPr>
            </w:pPr>
            <w:r w:rsidRPr="009523DA">
              <w:rPr>
                <w:rFonts w:ascii="Arial" w:hAnsi="Arial" w:cs="Arial"/>
                <w:b/>
                <w:bCs/>
                <w:sz w:val="16"/>
                <w:szCs w:val="16"/>
              </w:rPr>
              <w:t>Commercial</w:t>
            </w:r>
          </w:p>
        </w:tc>
        <w:tc>
          <w:tcPr>
            <w:tcW w:w="366" w:type="pct"/>
            <w:tcBorders>
              <w:top w:val="single" w:sz="2" w:space="0" w:color="000000" w:themeColor="text1"/>
              <w:left w:val="nil"/>
              <w:bottom w:val="nil"/>
              <w:right w:val="nil"/>
            </w:tcBorders>
            <w:shd w:val="clear" w:color="000000" w:fill="FFFFFF"/>
            <w:noWrap/>
            <w:vAlign w:val="center"/>
            <w:hideMark/>
          </w:tcPr>
          <w:p w14:paraId="3B1D184E"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428" w:type="pct"/>
            <w:tcBorders>
              <w:top w:val="single" w:sz="2" w:space="0" w:color="000000" w:themeColor="text1"/>
              <w:left w:val="nil"/>
              <w:bottom w:val="nil"/>
              <w:right w:val="nil"/>
            </w:tcBorders>
            <w:shd w:val="clear" w:color="000000" w:fill="FFFFFF"/>
            <w:noWrap/>
            <w:vAlign w:val="center"/>
            <w:hideMark/>
          </w:tcPr>
          <w:p w14:paraId="663A2E64"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366" w:type="pct"/>
            <w:tcBorders>
              <w:top w:val="single" w:sz="2" w:space="0" w:color="000000" w:themeColor="text1"/>
              <w:left w:val="nil"/>
              <w:bottom w:val="nil"/>
              <w:right w:val="nil"/>
            </w:tcBorders>
            <w:shd w:val="clear" w:color="000000" w:fill="FFFFFF"/>
            <w:noWrap/>
            <w:vAlign w:val="center"/>
            <w:hideMark/>
          </w:tcPr>
          <w:p w14:paraId="6112AC29"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428" w:type="pct"/>
            <w:tcBorders>
              <w:top w:val="single" w:sz="2" w:space="0" w:color="000000" w:themeColor="text1"/>
              <w:left w:val="nil"/>
              <w:bottom w:val="nil"/>
              <w:right w:val="nil"/>
            </w:tcBorders>
            <w:shd w:val="clear" w:color="000000" w:fill="FFFFFF"/>
            <w:noWrap/>
            <w:vAlign w:val="center"/>
            <w:hideMark/>
          </w:tcPr>
          <w:p w14:paraId="24638813"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366" w:type="pct"/>
            <w:tcBorders>
              <w:top w:val="single" w:sz="2" w:space="0" w:color="000000" w:themeColor="text1"/>
              <w:left w:val="nil"/>
              <w:bottom w:val="nil"/>
              <w:right w:val="nil"/>
            </w:tcBorders>
            <w:shd w:val="clear" w:color="auto" w:fill="auto"/>
            <w:noWrap/>
            <w:vAlign w:val="center"/>
            <w:hideMark/>
          </w:tcPr>
          <w:p w14:paraId="1967F8F4" w14:textId="77777777" w:rsidR="009523DA" w:rsidRPr="009523DA" w:rsidRDefault="009523DA" w:rsidP="009523DA">
            <w:pPr>
              <w:spacing w:after="0" w:line="240" w:lineRule="auto"/>
              <w:jc w:val="right"/>
              <w:rPr>
                <w:rFonts w:ascii="Arial" w:hAnsi="Arial" w:cs="Arial"/>
                <w:sz w:val="16"/>
                <w:szCs w:val="16"/>
              </w:rPr>
            </w:pPr>
          </w:p>
        </w:tc>
        <w:tc>
          <w:tcPr>
            <w:tcW w:w="428" w:type="pct"/>
            <w:tcBorders>
              <w:top w:val="single" w:sz="2" w:space="0" w:color="000000" w:themeColor="text1"/>
              <w:left w:val="nil"/>
              <w:bottom w:val="nil"/>
              <w:right w:val="nil"/>
            </w:tcBorders>
            <w:shd w:val="clear" w:color="auto" w:fill="auto"/>
            <w:noWrap/>
            <w:vAlign w:val="center"/>
            <w:hideMark/>
          </w:tcPr>
          <w:p w14:paraId="44C65705" w14:textId="77777777" w:rsidR="009523DA" w:rsidRPr="009523DA" w:rsidRDefault="009523DA" w:rsidP="009523DA">
            <w:pPr>
              <w:spacing w:after="0" w:line="240" w:lineRule="auto"/>
              <w:jc w:val="left"/>
              <w:rPr>
                <w:rFonts w:ascii="Times New Roman" w:hAnsi="Times New Roman"/>
                <w:color w:val="auto"/>
              </w:rPr>
            </w:pPr>
          </w:p>
        </w:tc>
        <w:tc>
          <w:tcPr>
            <w:tcW w:w="366" w:type="pct"/>
            <w:tcBorders>
              <w:top w:val="single" w:sz="2" w:space="0" w:color="000000" w:themeColor="text1"/>
              <w:left w:val="nil"/>
              <w:bottom w:val="nil"/>
              <w:right w:val="nil"/>
            </w:tcBorders>
            <w:shd w:val="clear" w:color="000000" w:fill="F2F2F2"/>
            <w:noWrap/>
            <w:vAlign w:val="center"/>
            <w:hideMark/>
          </w:tcPr>
          <w:p w14:paraId="0805455E" w14:textId="77777777" w:rsidR="009523DA" w:rsidRPr="009523DA" w:rsidRDefault="009523DA" w:rsidP="009523DA">
            <w:pPr>
              <w:spacing w:after="0" w:line="240" w:lineRule="auto"/>
              <w:jc w:val="left"/>
              <w:rPr>
                <w:rFonts w:ascii="Arial" w:hAnsi="Arial" w:cs="Arial"/>
                <w:color w:val="auto"/>
                <w:sz w:val="16"/>
                <w:szCs w:val="16"/>
              </w:rPr>
            </w:pPr>
            <w:r w:rsidRPr="009523DA">
              <w:rPr>
                <w:rFonts w:ascii="Arial" w:hAnsi="Arial" w:cs="Arial"/>
                <w:color w:val="auto"/>
                <w:sz w:val="16"/>
                <w:szCs w:val="16"/>
              </w:rPr>
              <w:t> </w:t>
            </w:r>
          </w:p>
        </w:tc>
        <w:tc>
          <w:tcPr>
            <w:tcW w:w="428" w:type="pct"/>
            <w:tcBorders>
              <w:top w:val="single" w:sz="2" w:space="0" w:color="000000" w:themeColor="text1"/>
              <w:left w:val="nil"/>
              <w:bottom w:val="nil"/>
              <w:right w:val="nil"/>
            </w:tcBorders>
            <w:shd w:val="clear" w:color="000000" w:fill="F2F2F2"/>
            <w:noWrap/>
            <w:vAlign w:val="center"/>
            <w:hideMark/>
          </w:tcPr>
          <w:p w14:paraId="4D42E5DD" w14:textId="77777777" w:rsidR="009523DA" w:rsidRPr="009523DA" w:rsidRDefault="009523DA" w:rsidP="009523DA">
            <w:pPr>
              <w:spacing w:after="0" w:line="240" w:lineRule="auto"/>
              <w:jc w:val="left"/>
              <w:rPr>
                <w:rFonts w:ascii="Arial" w:hAnsi="Arial" w:cs="Arial"/>
                <w:color w:val="auto"/>
                <w:sz w:val="16"/>
                <w:szCs w:val="16"/>
              </w:rPr>
            </w:pPr>
            <w:r w:rsidRPr="009523DA">
              <w:rPr>
                <w:rFonts w:ascii="Arial" w:hAnsi="Arial" w:cs="Arial"/>
                <w:color w:val="auto"/>
                <w:sz w:val="16"/>
                <w:szCs w:val="16"/>
              </w:rPr>
              <w:t> </w:t>
            </w:r>
          </w:p>
        </w:tc>
      </w:tr>
      <w:tr w:rsidR="00963E9C" w:rsidRPr="009523DA" w14:paraId="1FC77211" w14:textId="77777777" w:rsidTr="00963E9C">
        <w:trPr>
          <w:trHeight w:val="225"/>
        </w:trPr>
        <w:tc>
          <w:tcPr>
            <w:tcW w:w="1823" w:type="pct"/>
            <w:tcBorders>
              <w:top w:val="nil"/>
              <w:left w:val="nil"/>
              <w:bottom w:val="nil"/>
              <w:right w:val="nil"/>
            </w:tcBorders>
            <w:shd w:val="clear" w:color="000000" w:fill="FFFFFF"/>
            <w:noWrap/>
            <w:vAlign w:val="center"/>
            <w:hideMark/>
          </w:tcPr>
          <w:p w14:paraId="355C6019" w14:textId="77777777" w:rsidR="009523DA" w:rsidRPr="009523DA" w:rsidRDefault="009523DA" w:rsidP="009523DA">
            <w:pPr>
              <w:spacing w:after="0" w:line="240" w:lineRule="auto"/>
              <w:jc w:val="left"/>
              <w:rPr>
                <w:rFonts w:ascii="Arial" w:hAnsi="Arial" w:cs="Arial"/>
                <w:sz w:val="16"/>
                <w:szCs w:val="16"/>
                <w:u w:val="single"/>
              </w:rPr>
            </w:pPr>
            <w:r w:rsidRPr="009523DA">
              <w:rPr>
                <w:rFonts w:ascii="Arial" w:hAnsi="Arial" w:cs="Arial"/>
                <w:sz w:val="16"/>
                <w:szCs w:val="16"/>
                <w:u w:val="single"/>
              </w:rPr>
              <w:t>Developed</w:t>
            </w:r>
          </w:p>
        </w:tc>
        <w:tc>
          <w:tcPr>
            <w:tcW w:w="366" w:type="pct"/>
            <w:tcBorders>
              <w:top w:val="nil"/>
              <w:left w:val="nil"/>
              <w:bottom w:val="nil"/>
              <w:right w:val="nil"/>
            </w:tcBorders>
            <w:shd w:val="clear" w:color="000000" w:fill="FFFFFF"/>
            <w:noWrap/>
            <w:vAlign w:val="center"/>
            <w:hideMark/>
          </w:tcPr>
          <w:p w14:paraId="33DF7F24"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428" w:type="pct"/>
            <w:tcBorders>
              <w:top w:val="nil"/>
              <w:left w:val="nil"/>
              <w:bottom w:val="nil"/>
              <w:right w:val="nil"/>
            </w:tcBorders>
            <w:shd w:val="clear" w:color="000000" w:fill="FFFFFF"/>
            <w:noWrap/>
            <w:vAlign w:val="center"/>
            <w:hideMark/>
          </w:tcPr>
          <w:p w14:paraId="201D5CAD"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366" w:type="pct"/>
            <w:tcBorders>
              <w:top w:val="nil"/>
              <w:left w:val="nil"/>
              <w:bottom w:val="nil"/>
              <w:right w:val="nil"/>
            </w:tcBorders>
            <w:shd w:val="clear" w:color="000000" w:fill="FFFFFF"/>
            <w:noWrap/>
            <w:vAlign w:val="center"/>
            <w:hideMark/>
          </w:tcPr>
          <w:p w14:paraId="21790F19"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428" w:type="pct"/>
            <w:tcBorders>
              <w:top w:val="nil"/>
              <w:left w:val="nil"/>
              <w:bottom w:val="nil"/>
              <w:right w:val="nil"/>
            </w:tcBorders>
            <w:shd w:val="clear" w:color="000000" w:fill="FFFFFF"/>
            <w:noWrap/>
            <w:vAlign w:val="center"/>
            <w:hideMark/>
          </w:tcPr>
          <w:p w14:paraId="3C44F90A"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366" w:type="pct"/>
            <w:tcBorders>
              <w:top w:val="nil"/>
              <w:left w:val="nil"/>
              <w:bottom w:val="nil"/>
              <w:right w:val="nil"/>
            </w:tcBorders>
            <w:shd w:val="clear" w:color="auto" w:fill="auto"/>
            <w:noWrap/>
            <w:vAlign w:val="center"/>
            <w:hideMark/>
          </w:tcPr>
          <w:p w14:paraId="3D12CEFF" w14:textId="77777777" w:rsidR="009523DA" w:rsidRPr="009523DA" w:rsidRDefault="009523DA" w:rsidP="009523DA">
            <w:pPr>
              <w:spacing w:after="0" w:line="240" w:lineRule="auto"/>
              <w:jc w:val="right"/>
              <w:rPr>
                <w:rFonts w:ascii="Arial" w:hAnsi="Arial" w:cs="Arial"/>
                <w:sz w:val="16"/>
                <w:szCs w:val="16"/>
              </w:rPr>
            </w:pPr>
          </w:p>
        </w:tc>
        <w:tc>
          <w:tcPr>
            <w:tcW w:w="428" w:type="pct"/>
            <w:tcBorders>
              <w:top w:val="nil"/>
              <w:left w:val="nil"/>
              <w:bottom w:val="nil"/>
              <w:right w:val="nil"/>
            </w:tcBorders>
            <w:shd w:val="clear" w:color="auto" w:fill="auto"/>
            <w:noWrap/>
            <w:vAlign w:val="center"/>
            <w:hideMark/>
          </w:tcPr>
          <w:p w14:paraId="159BE8BA" w14:textId="77777777" w:rsidR="009523DA" w:rsidRPr="009523DA" w:rsidRDefault="009523DA" w:rsidP="009523DA">
            <w:pPr>
              <w:spacing w:after="0" w:line="240" w:lineRule="auto"/>
              <w:jc w:val="left"/>
              <w:rPr>
                <w:rFonts w:ascii="Times New Roman" w:hAnsi="Times New Roman"/>
                <w:color w:val="auto"/>
              </w:rPr>
            </w:pPr>
          </w:p>
        </w:tc>
        <w:tc>
          <w:tcPr>
            <w:tcW w:w="366" w:type="pct"/>
            <w:tcBorders>
              <w:top w:val="nil"/>
              <w:left w:val="nil"/>
              <w:bottom w:val="nil"/>
              <w:right w:val="nil"/>
            </w:tcBorders>
            <w:shd w:val="clear" w:color="000000" w:fill="F2F2F2"/>
            <w:noWrap/>
            <w:vAlign w:val="center"/>
            <w:hideMark/>
          </w:tcPr>
          <w:p w14:paraId="193BE41D" w14:textId="77777777" w:rsidR="009523DA" w:rsidRPr="009523DA" w:rsidRDefault="009523DA" w:rsidP="009523DA">
            <w:pPr>
              <w:spacing w:after="0" w:line="240" w:lineRule="auto"/>
              <w:jc w:val="left"/>
              <w:rPr>
                <w:rFonts w:ascii="Arial" w:hAnsi="Arial" w:cs="Arial"/>
                <w:color w:val="auto"/>
                <w:sz w:val="16"/>
                <w:szCs w:val="16"/>
              </w:rPr>
            </w:pPr>
            <w:r w:rsidRPr="009523DA">
              <w:rPr>
                <w:rFonts w:ascii="Arial" w:hAnsi="Arial" w:cs="Arial"/>
                <w:color w:val="auto"/>
                <w:sz w:val="16"/>
                <w:szCs w:val="16"/>
              </w:rPr>
              <w:t> </w:t>
            </w:r>
          </w:p>
        </w:tc>
        <w:tc>
          <w:tcPr>
            <w:tcW w:w="428" w:type="pct"/>
            <w:tcBorders>
              <w:top w:val="nil"/>
              <w:left w:val="nil"/>
              <w:bottom w:val="nil"/>
              <w:right w:val="nil"/>
            </w:tcBorders>
            <w:shd w:val="clear" w:color="000000" w:fill="F2F2F2"/>
            <w:noWrap/>
            <w:vAlign w:val="center"/>
            <w:hideMark/>
          </w:tcPr>
          <w:p w14:paraId="29AAFD62" w14:textId="77777777" w:rsidR="009523DA" w:rsidRPr="009523DA" w:rsidRDefault="009523DA" w:rsidP="009523DA">
            <w:pPr>
              <w:spacing w:after="0" w:line="240" w:lineRule="auto"/>
              <w:jc w:val="left"/>
              <w:rPr>
                <w:rFonts w:ascii="Arial" w:hAnsi="Arial" w:cs="Arial"/>
                <w:color w:val="auto"/>
                <w:sz w:val="16"/>
                <w:szCs w:val="16"/>
              </w:rPr>
            </w:pPr>
            <w:r w:rsidRPr="009523DA">
              <w:rPr>
                <w:rFonts w:ascii="Arial" w:hAnsi="Arial" w:cs="Arial"/>
                <w:color w:val="auto"/>
                <w:sz w:val="16"/>
                <w:szCs w:val="16"/>
              </w:rPr>
              <w:t> </w:t>
            </w:r>
          </w:p>
        </w:tc>
      </w:tr>
      <w:tr w:rsidR="00963E9C" w:rsidRPr="009523DA" w14:paraId="283E814F" w14:textId="77777777" w:rsidTr="00CB5DF7">
        <w:trPr>
          <w:trHeight w:val="225"/>
        </w:trPr>
        <w:tc>
          <w:tcPr>
            <w:tcW w:w="1823" w:type="pct"/>
            <w:tcBorders>
              <w:top w:val="nil"/>
              <w:left w:val="nil"/>
              <w:bottom w:val="nil"/>
              <w:right w:val="nil"/>
            </w:tcBorders>
            <w:shd w:val="clear" w:color="000000" w:fill="FFFFFF"/>
            <w:noWrap/>
            <w:vAlign w:val="center"/>
            <w:hideMark/>
          </w:tcPr>
          <w:p w14:paraId="416FCB5F" w14:textId="77777777" w:rsidR="009523DA" w:rsidRPr="009523DA" w:rsidRDefault="009523DA" w:rsidP="009523DA">
            <w:pPr>
              <w:spacing w:after="0" w:line="240" w:lineRule="auto"/>
              <w:jc w:val="left"/>
              <w:rPr>
                <w:rFonts w:ascii="Arial" w:hAnsi="Arial" w:cs="Arial"/>
                <w:sz w:val="16"/>
                <w:szCs w:val="16"/>
              </w:rPr>
            </w:pPr>
            <w:r w:rsidRPr="009523DA">
              <w:rPr>
                <w:rFonts w:ascii="Arial" w:hAnsi="Arial" w:cs="Arial"/>
                <w:sz w:val="16"/>
                <w:szCs w:val="16"/>
              </w:rPr>
              <w:t>- Existing commercial property</w:t>
            </w:r>
          </w:p>
        </w:tc>
        <w:tc>
          <w:tcPr>
            <w:tcW w:w="366" w:type="pct"/>
            <w:tcBorders>
              <w:top w:val="nil"/>
              <w:left w:val="nil"/>
              <w:right w:val="nil"/>
            </w:tcBorders>
            <w:shd w:val="clear" w:color="000000" w:fill="FFFFFF"/>
            <w:noWrap/>
            <w:vAlign w:val="center"/>
            <w:hideMark/>
          </w:tcPr>
          <w:p w14:paraId="78D9C324"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331</w:t>
            </w:r>
          </w:p>
        </w:tc>
        <w:tc>
          <w:tcPr>
            <w:tcW w:w="428" w:type="pct"/>
            <w:tcBorders>
              <w:top w:val="nil"/>
              <w:left w:val="nil"/>
              <w:right w:val="nil"/>
            </w:tcBorders>
            <w:shd w:val="clear" w:color="000000" w:fill="FFFFFF"/>
            <w:noWrap/>
            <w:vAlign w:val="center"/>
            <w:hideMark/>
          </w:tcPr>
          <w:p w14:paraId="55202ECB"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39.5</w:t>
            </w:r>
          </w:p>
        </w:tc>
        <w:tc>
          <w:tcPr>
            <w:tcW w:w="366" w:type="pct"/>
            <w:tcBorders>
              <w:top w:val="nil"/>
              <w:left w:val="nil"/>
              <w:right w:val="nil"/>
            </w:tcBorders>
            <w:shd w:val="clear" w:color="000000" w:fill="FFFFFF"/>
            <w:noWrap/>
            <w:vAlign w:val="center"/>
            <w:hideMark/>
          </w:tcPr>
          <w:p w14:paraId="4EAFFF2E"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219</w:t>
            </w:r>
          </w:p>
        </w:tc>
        <w:tc>
          <w:tcPr>
            <w:tcW w:w="428" w:type="pct"/>
            <w:tcBorders>
              <w:top w:val="nil"/>
              <w:left w:val="nil"/>
              <w:right w:val="nil"/>
            </w:tcBorders>
            <w:shd w:val="clear" w:color="000000" w:fill="FFFFFF"/>
            <w:noWrap/>
            <w:vAlign w:val="center"/>
            <w:hideMark/>
          </w:tcPr>
          <w:p w14:paraId="50DD74F5"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20.9</w:t>
            </w:r>
          </w:p>
        </w:tc>
        <w:tc>
          <w:tcPr>
            <w:tcW w:w="366" w:type="pct"/>
            <w:tcBorders>
              <w:top w:val="nil"/>
              <w:left w:val="nil"/>
              <w:right w:val="nil"/>
            </w:tcBorders>
            <w:shd w:val="clear" w:color="auto" w:fill="auto"/>
            <w:noWrap/>
            <w:vAlign w:val="center"/>
            <w:hideMark/>
          </w:tcPr>
          <w:p w14:paraId="5ADCAE66"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166</w:t>
            </w:r>
          </w:p>
        </w:tc>
        <w:tc>
          <w:tcPr>
            <w:tcW w:w="428" w:type="pct"/>
            <w:tcBorders>
              <w:top w:val="nil"/>
              <w:left w:val="nil"/>
              <w:right w:val="nil"/>
            </w:tcBorders>
            <w:shd w:val="clear" w:color="auto" w:fill="auto"/>
            <w:noWrap/>
            <w:vAlign w:val="center"/>
            <w:hideMark/>
          </w:tcPr>
          <w:p w14:paraId="5F1B5F43"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18.3</w:t>
            </w:r>
          </w:p>
        </w:tc>
        <w:tc>
          <w:tcPr>
            <w:tcW w:w="366" w:type="pct"/>
            <w:tcBorders>
              <w:top w:val="nil"/>
              <w:left w:val="nil"/>
              <w:right w:val="nil"/>
            </w:tcBorders>
            <w:shd w:val="clear" w:color="000000" w:fill="F2F2F2"/>
            <w:noWrap/>
            <w:vAlign w:val="center"/>
            <w:hideMark/>
          </w:tcPr>
          <w:p w14:paraId="38226FDF"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184</w:t>
            </w:r>
          </w:p>
        </w:tc>
        <w:tc>
          <w:tcPr>
            <w:tcW w:w="428" w:type="pct"/>
            <w:tcBorders>
              <w:top w:val="nil"/>
              <w:left w:val="nil"/>
              <w:right w:val="nil"/>
            </w:tcBorders>
            <w:shd w:val="clear" w:color="000000" w:fill="F2F2F2"/>
            <w:noWrap/>
            <w:vAlign w:val="center"/>
            <w:hideMark/>
          </w:tcPr>
          <w:p w14:paraId="1C2A9262"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39.0</w:t>
            </w:r>
          </w:p>
        </w:tc>
      </w:tr>
      <w:tr w:rsidR="00963E9C" w:rsidRPr="009523DA" w14:paraId="78F43CDB" w14:textId="77777777" w:rsidTr="00CB5DF7">
        <w:trPr>
          <w:trHeight w:val="225"/>
        </w:trPr>
        <w:tc>
          <w:tcPr>
            <w:tcW w:w="1823" w:type="pct"/>
            <w:tcBorders>
              <w:top w:val="nil"/>
              <w:left w:val="nil"/>
              <w:bottom w:val="nil"/>
              <w:right w:val="nil"/>
            </w:tcBorders>
            <w:shd w:val="clear" w:color="000000" w:fill="FFFFFF"/>
            <w:noWrap/>
            <w:vAlign w:val="center"/>
            <w:hideMark/>
          </w:tcPr>
          <w:p w14:paraId="00F38706" w14:textId="77777777" w:rsidR="009523DA" w:rsidRPr="009523DA" w:rsidRDefault="009523DA" w:rsidP="009523DA">
            <w:pPr>
              <w:spacing w:after="0" w:line="240" w:lineRule="auto"/>
              <w:jc w:val="left"/>
              <w:rPr>
                <w:rFonts w:ascii="Arial" w:hAnsi="Arial" w:cs="Arial"/>
                <w:sz w:val="16"/>
                <w:szCs w:val="16"/>
              </w:rPr>
            </w:pPr>
            <w:r w:rsidRPr="009523DA">
              <w:rPr>
                <w:rFonts w:ascii="Arial" w:hAnsi="Arial" w:cs="Arial"/>
                <w:sz w:val="16"/>
                <w:szCs w:val="16"/>
              </w:rPr>
              <w:t>- Exemption certificates (a)</w:t>
            </w:r>
          </w:p>
        </w:tc>
        <w:tc>
          <w:tcPr>
            <w:tcW w:w="366" w:type="pct"/>
            <w:tcBorders>
              <w:top w:val="nil"/>
              <w:left w:val="nil"/>
              <w:bottom w:val="single" w:sz="2" w:space="0" w:color="000000" w:themeColor="text1"/>
              <w:right w:val="nil"/>
            </w:tcBorders>
            <w:shd w:val="clear" w:color="000000" w:fill="FFFFFF"/>
            <w:noWrap/>
            <w:vAlign w:val="center"/>
            <w:hideMark/>
          </w:tcPr>
          <w:p w14:paraId="198FA40F"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18</w:t>
            </w:r>
          </w:p>
        </w:tc>
        <w:tc>
          <w:tcPr>
            <w:tcW w:w="428" w:type="pct"/>
            <w:tcBorders>
              <w:top w:val="nil"/>
              <w:left w:val="nil"/>
              <w:bottom w:val="single" w:sz="2" w:space="0" w:color="000000" w:themeColor="text1"/>
              <w:right w:val="nil"/>
            </w:tcBorders>
            <w:shd w:val="clear" w:color="000000" w:fill="FFFFFF"/>
            <w:noWrap/>
            <w:vAlign w:val="center"/>
            <w:hideMark/>
          </w:tcPr>
          <w:p w14:paraId="369593BD"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4.5</w:t>
            </w:r>
          </w:p>
        </w:tc>
        <w:tc>
          <w:tcPr>
            <w:tcW w:w="366" w:type="pct"/>
            <w:tcBorders>
              <w:top w:val="nil"/>
              <w:left w:val="nil"/>
              <w:bottom w:val="single" w:sz="2" w:space="0" w:color="000000" w:themeColor="text1"/>
              <w:right w:val="nil"/>
            </w:tcBorders>
            <w:shd w:val="clear" w:color="000000" w:fill="FFFFFF"/>
            <w:noWrap/>
            <w:vAlign w:val="center"/>
            <w:hideMark/>
          </w:tcPr>
          <w:p w14:paraId="23519929"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30</w:t>
            </w:r>
          </w:p>
        </w:tc>
        <w:tc>
          <w:tcPr>
            <w:tcW w:w="428" w:type="pct"/>
            <w:tcBorders>
              <w:top w:val="nil"/>
              <w:left w:val="nil"/>
              <w:bottom w:val="single" w:sz="2" w:space="0" w:color="000000" w:themeColor="text1"/>
              <w:right w:val="nil"/>
            </w:tcBorders>
            <w:shd w:val="clear" w:color="000000" w:fill="FFFFFF"/>
            <w:noWrap/>
            <w:vAlign w:val="center"/>
            <w:hideMark/>
          </w:tcPr>
          <w:p w14:paraId="0C6D6D73"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11.2</w:t>
            </w:r>
          </w:p>
        </w:tc>
        <w:tc>
          <w:tcPr>
            <w:tcW w:w="366" w:type="pct"/>
            <w:tcBorders>
              <w:top w:val="nil"/>
              <w:left w:val="nil"/>
              <w:bottom w:val="single" w:sz="2" w:space="0" w:color="000000" w:themeColor="text1"/>
              <w:right w:val="nil"/>
            </w:tcBorders>
            <w:shd w:val="clear" w:color="auto" w:fill="auto"/>
            <w:noWrap/>
            <w:vAlign w:val="center"/>
            <w:hideMark/>
          </w:tcPr>
          <w:p w14:paraId="5D0C870E"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25</w:t>
            </w:r>
          </w:p>
        </w:tc>
        <w:tc>
          <w:tcPr>
            <w:tcW w:w="428" w:type="pct"/>
            <w:tcBorders>
              <w:top w:val="nil"/>
              <w:left w:val="nil"/>
              <w:bottom w:val="single" w:sz="2" w:space="0" w:color="000000" w:themeColor="text1"/>
              <w:right w:val="nil"/>
            </w:tcBorders>
            <w:shd w:val="clear" w:color="auto" w:fill="auto"/>
            <w:noWrap/>
            <w:vAlign w:val="center"/>
            <w:hideMark/>
          </w:tcPr>
          <w:p w14:paraId="44A5F95B"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7.1</w:t>
            </w:r>
          </w:p>
        </w:tc>
        <w:tc>
          <w:tcPr>
            <w:tcW w:w="366" w:type="pct"/>
            <w:tcBorders>
              <w:top w:val="nil"/>
              <w:left w:val="nil"/>
              <w:bottom w:val="single" w:sz="2" w:space="0" w:color="000000" w:themeColor="text1"/>
              <w:right w:val="nil"/>
            </w:tcBorders>
            <w:shd w:val="clear" w:color="000000" w:fill="F2F2F2"/>
            <w:noWrap/>
            <w:vAlign w:val="center"/>
            <w:hideMark/>
          </w:tcPr>
          <w:p w14:paraId="2E5BE6A9"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37</w:t>
            </w:r>
          </w:p>
        </w:tc>
        <w:tc>
          <w:tcPr>
            <w:tcW w:w="428" w:type="pct"/>
            <w:tcBorders>
              <w:top w:val="nil"/>
              <w:left w:val="nil"/>
              <w:bottom w:val="single" w:sz="2" w:space="0" w:color="000000" w:themeColor="text1"/>
              <w:right w:val="nil"/>
            </w:tcBorders>
            <w:shd w:val="clear" w:color="000000" w:fill="F2F2F2"/>
            <w:noWrap/>
            <w:vAlign w:val="center"/>
            <w:hideMark/>
          </w:tcPr>
          <w:p w14:paraId="16ACA9A1"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19.2</w:t>
            </w:r>
          </w:p>
        </w:tc>
      </w:tr>
      <w:tr w:rsidR="00963E9C" w:rsidRPr="009523DA" w14:paraId="55B3DCEE" w14:textId="77777777" w:rsidTr="00CB5DF7">
        <w:trPr>
          <w:trHeight w:val="225"/>
        </w:trPr>
        <w:tc>
          <w:tcPr>
            <w:tcW w:w="1823" w:type="pct"/>
            <w:tcBorders>
              <w:top w:val="nil"/>
              <w:left w:val="nil"/>
              <w:bottom w:val="nil"/>
              <w:right w:val="nil"/>
            </w:tcBorders>
            <w:shd w:val="clear" w:color="000000" w:fill="FFFFFF"/>
            <w:noWrap/>
            <w:vAlign w:val="center"/>
            <w:hideMark/>
          </w:tcPr>
          <w:p w14:paraId="4CCFA6AD" w14:textId="77777777" w:rsidR="009523DA" w:rsidRPr="009523DA" w:rsidRDefault="009523DA" w:rsidP="009523DA">
            <w:pPr>
              <w:spacing w:after="0" w:line="240" w:lineRule="auto"/>
              <w:jc w:val="left"/>
              <w:rPr>
                <w:rFonts w:ascii="Arial" w:hAnsi="Arial" w:cs="Arial"/>
                <w:i/>
                <w:iCs/>
                <w:sz w:val="16"/>
                <w:szCs w:val="16"/>
              </w:rPr>
            </w:pPr>
            <w:r w:rsidRPr="009523DA">
              <w:rPr>
                <w:rFonts w:ascii="Arial" w:hAnsi="Arial" w:cs="Arial"/>
                <w:i/>
                <w:iCs/>
                <w:sz w:val="16"/>
                <w:szCs w:val="16"/>
              </w:rPr>
              <w:t>Sub-total 'Developed'</w:t>
            </w:r>
          </w:p>
        </w:tc>
        <w:tc>
          <w:tcPr>
            <w:tcW w:w="366" w:type="pct"/>
            <w:tcBorders>
              <w:top w:val="single" w:sz="2" w:space="0" w:color="000000" w:themeColor="text1"/>
              <w:left w:val="nil"/>
              <w:bottom w:val="nil"/>
              <w:right w:val="nil"/>
            </w:tcBorders>
            <w:shd w:val="clear" w:color="000000" w:fill="FFFFFF"/>
            <w:noWrap/>
            <w:vAlign w:val="center"/>
            <w:hideMark/>
          </w:tcPr>
          <w:p w14:paraId="553A2445" w14:textId="77777777" w:rsidR="009523DA" w:rsidRPr="009523DA" w:rsidRDefault="009523DA" w:rsidP="009523DA">
            <w:pPr>
              <w:spacing w:after="0" w:line="240" w:lineRule="auto"/>
              <w:jc w:val="right"/>
              <w:rPr>
                <w:rFonts w:ascii="Arial" w:hAnsi="Arial" w:cs="Arial"/>
                <w:i/>
                <w:iCs/>
                <w:sz w:val="16"/>
                <w:szCs w:val="16"/>
              </w:rPr>
            </w:pPr>
            <w:r w:rsidRPr="009523DA">
              <w:rPr>
                <w:rFonts w:ascii="Arial" w:hAnsi="Arial" w:cs="Arial"/>
                <w:i/>
                <w:iCs/>
                <w:sz w:val="16"/>
                <w:szCs w:val="16"/>
              </w:rPr>
              <w:t>349</w:t>
            </w:r>
          </w:p>
        </w:tc>
        <w:tc>
          <w:tcPr>
            <w:tcW w:w="428" w:type="pct"/>
            <w:tcBorders>
              <w:top w:val="single" w:sz="2" w:space="0" w:color="000000" w:themeColor="text1"/>
              <w:left w:val="nil"/>
              <w:bottom w:val="nil"/>
              <w:right w:val="nil"/>
            </w:tcBorders>
            <w:shd w:val="clear" w:color="000000" w:fill="FFFFFF"/>
            <w:noWrap/>
            <w:vAlign w:val="center"/>
            <w:hideMark/>
          </w:tcPr>
          <w:p w14:paraId="328E5AB6" w14:textId="77777777" w:rsidR="009523DA" w:rsidRPr="009523DA" w:rsidRDefault="009523DA" w:rsidP="009523DA">
            <w:pPr>
              <w:spacing w:after="0" w:line="240" w:lineRule="auto"/>
              <w:jc w:val="right"/>
              <w:rPr>
                <w:rFonts w:ascii="Arial" w:hAnsi="Arial" w:cs="Arial"/>
                <w:i/>
                <w:iCs/>
                <w:sz w:val="16"/>
                <w:szCs w:val="16"/>
              </w:rPr>
            </w:pPr>
            <w:r w:rsidRPr="009523DA">
              <w:rPr>
                <w:rFonts w:ascii="Arial" w:hAnsi="Arial" w:cs="Arial"/>
                <w:i/>
                <w:iCs/>
                <w:sz w:val="16"/>
                <w:szCs w:val="16"/>
              </w:rPr>
              <w:t>43.9</w:t>
            </w:r>
          </w:p>
        </w:tc>
        <w:tc>
          <w:tcPr>
            <w:tcW w:w="366" w:type="pct"/>
            <w:tcBorders>
              <w:top w:val="single" w:sz="2" w:space="0" w:color="000000" w:themeColor="text1"/>
              <w:left w:val="nil"/>
              <w:bottom w:val="nil"/>
              <w:right w:val="nil"/>
            </w:tcBorders>
            <w:shd w:val="clear" w:color="000000" w:fill="FFFFFF"/>
            <w:noWrap/>
            <w:vAlign w:val="center"/>
            <w:hideMark/>
          </w:tcPr>
          <w:p w14:paraId="1A3AC452" w14:textId="77777777" w:rsidR="009523DA" w:rsidRPr="009523DA" w:rsidRDefault="009523DA" w:rsidP="009523DA">
            <w:pPr>
              <w:spacing w:after="0" w:line="240" w:lineRule="auto"/>
              <w:jc w:val="right"/>
              <w:rPr>
                <w:rFonts w:ascii="Arial" w:hAnsi="Arial" w:cs="Arial"/>
                <w:i/>
                <w:iCs/>
                <w:sz w:val="16"/>
                <w:szCs w:val="16"/>
              </w:rPr>
            </w:pPr>
            <w:r w:rsidRPr="009523DA">
              <w:rPr>
                <w:rFonts w:ascii="Arial" w:hAnsi="Arial" w:cs="Arial"/>
                <w:i/>
                <w:iCs/>
                <w:sz w:val="16"/>
                <w:szCs w:val="16"/>
              </w:rPr>
              <w:t>249</w:t>
            </w:r>
          </w:p>
        </w:tc>
        <w:tc>
          <w:tcPr>
            <w:tcW w:w="428" w:type="pct"/>
            <w:tcBorders>
              <w:top w:val="single" w:sz="2" w:space="0" w:color="000000" w:themeColor="text1"/>
              <w:left w:val="nil"/>
              <w:bottom w:val="nil"/>
              <w:right w:val="nil"/>
            </w:tcBorders>
            <w:shd w:val="clear" w:color="000000" w:fill="FFFFFF"/>
            <w:noWrap/>
            <w:vAlign w:val="center"/>
            <w:hideMark/>
          </w:tcPr>
          <w:p w14:paraId="5B8A4D36" w14:textId="77777777" w:rsidR="009523DA" w:rsidRPr="009523DA" w:rsidRDefault="009523DA" w:rsidP="009523DA">
            <w:pPr>
              <w:spacing w:after="0" w:line="240" w:lineRule="auto"/>
              <w:jc w:val="right"/>
              <w:rPr>
                <w:rFonts w:ascii="Arial" w:hAnsi="Arial" w:cs="Arial"/>
                <w:i/>
                <w:iCs/>
                <w:sz w:val="16"/>
                <w:szCs w:val="16"/>
              </w:rPr>
            </w:pPr>
            <w:r w:rsidRPr="009523DA">
              <w:rPr>
                <w:rFonts w:ascii="Arial" w:hAnsi="Arial" w:cs="Arial"/>
                <w:i/>
                <w:iCs/>
                <w:sz w:val="16"/>
                <w:szCs w:val="16"/>
              </w:rPr>
              <w:t>32.1</w:t>
            </w:r>
          </w:p>
        </w:tc>
        <w:tc>
          <w:tcPr>
            <w:tcW w:w="366" w:type="pct"/>
            <w:tcBorders>
              <w:top w:val="single" w:sz="2" w:space="0" w:color="000000" w:themeColor="text1"/>
              <w:left w:val="nil"/>
              <w:bottom w:val="nil"/>
              <w:right w:val="nil"/>
            </w:tcBorders>
            <w:shd w:val="clear" w:color="auto" w:fill="auto"/>
            <w:noWrap/>
            <w:vAlign w:val="center"/>
            <w:hideMark/>
          </w:tcPr>
          <w:p w14:paraId="63C0FF22" w14:textId="77777777" w:rsidR="009523DA" w:rsidRPr="009523DA" w:rsidRDefault="009523DA" w:rsidP="009523DA">
            <w:pPr>
              <w:spacing w:after="0" w:line="240" w:lineRule="auto"/>
              <w:jc w:val="right"/>
              <w:rPr>
                <w:rFonts w:ascii="Arial" w:hAnsi="Arial" w:cs="Arial"/>
                <w:i/>
                <w:iCs/>
                <w:color w:val="auto"/>
                <w:sz w:val="16"/>
                <w:szCs w:val="16"/>
              </w:rPr>
            </w:pPr>
            <w:r w:rsidRPr="009523DA">
              <w:rPr>
                <w:rFonts w:ascii="Arial" w:hAnsi="Arial" w:cs="Arial"/>
                <w:i/>
                <w:iCs/>
                <w:color w:val="auto"/>
                <w:sz w:val="16"/>
                <w:szCs w:val="16"/>
              </w:rPr>
              <w:t>191</w:t>
            </w:r>
          </w:p>
        </w:tc>
        <w:tc>
          <w:tcPr>
            <w:tcW w:w="428" w:type="pct"/>
            <w:tcBorders>
              <w:top w:val="single" w:sz="2" w:space="0" w:color="000000" w:themeColor="text1"/>
              <w:left w:val="nil"/>
              <w:bottom w:val="nil"/>
              <w:right w:val="nil"/>
            </w:tcBorders>
            <w:shd w:val="clear" w:color="auto" w:fill="auto"/>
            <w:noWrap/>
            <w:vAlign w:val="center"/>
            <w:hideMark/>
          </w:tcPr>
          <w:p w14:paraId="7E08B87A" w14:textId="77777777" w:rsidR="009523DA" w:rsidRPr="009523DA" w:rsidRDefault="009523DA" w:rsidP="009523DA">
            <w:pPr>
              <w:spacing w:after="0" w:line="240" w:lineRule="auto"/>
              <w:jc w:val="right"/>
              <w:rPr>
                <w:rFonts w:ascii="Arial" w:hAnsi="Arial" w:cs="Arial"/>
                <w:i/>
                <w:iCs/>
                <w:color w:val="auto"/>
                <w:sz w:val="16"/>
                <w:szCs w:val="16"/>
              </w:rPr>
            </w:pPr>
            <w:r w:rsidRPr="009523DA">
              <w:rPr>
                <w:rFonts w:ascii="Arial" w:hAnsi="Arial" w:cs="Arial"/>
                <w:i/>
                <w:iCs/>
                <w:color w:val="auto"/>
                <w:sz w:val="16"/>
                <w:szCs w:val="16"/>
              </w:rPr>
              <w:t>25.4</w:t>
            </w:r>
          </w:p>
        </w:tc>
        <w:tc>
          <w:tcPr>
            <w:tcW w:w="366" w:type="pct"/>
            <w:tcBorders>
              <w:top w:val="single" w:sz="2" w:space="0" w:color="000000" w:themeColor="text1"/>
              <w:left w:val="nil"/>
              <w:bottom w:val="nil"/>
              <w:right w:val="nil"/>
            </w:tcBorders>
            <w:shd w:val="clear" w:color="000000" w:fill="F2F2F2"/>
            <w:noWrap/>
            <w:vAlign w:val="center"/>
            <w:hideMark/>
          </w:tcPr>
          <w:p w14:paraId="2F9A2D90" w14:textId="77777777" w:rsidR="009523DA" w:rsidRPr="009523DA" w:rsidRDefault="009523DA" w:rsidP="009523DA">
            <w:pPr>
              <w:spacing w:after="0" w:line="240" w:lineRule="auto"/>
              <w:jc w:val="right"/>
              <w:rPr>
                <w:rFonts w:ascii="Arial" w:hAnsi="Arial" w:cs="Arial"/>
                <w:i/>
                <w:iCs/>
                <w:color w:val="auto"/>
                <w:sz w:val="16"/>
                <w:szCs w:val="16"/>
              </w:rPr>
            </w:pPr>
            <w:r w:rsidRPr="009523DA">
              <w:rPr>
                <w:rFonts w:ascii="Arial" w:hAnsi="Arial" w:cs="Arial"/>
                <w:i/>
                <w:iCs/>
                <w:color w:val="auto"/>
                <w:sz w:val="16"/>
                <w:szCs w:val="16"/>
              </w:rPr>
              <w:t>221</w:t>
            </w:r>
          </w:p>
        </w:tc>
        <w:tc>
          <w:tcPr>
            <w:tcW w:w="428" w:type="pct"/>
            <w:tcBorders>
              <w:top w:val="single" w:sz="2" w:space="0" w:color="000000" w:themeColor="text1"/>
              <w:left w:val="nil"/>
              <w:bottom w:val="nil"/>
              <w:right w:val="nil"/>
            </w:tcBorders>
            <w:shd w:val="clear" w:color="000000" w:fill="F2F2F2"/>
            <w:noWrap/>
            <w:vAlign w:val="center"/>
            <w:hideMark/>
          </w:tcPr>
          <w:p w14:paraId="48D2AFEC" w14:textId="77777777" w:rsidR="009523DA" w:rsidRPr="009523DA" w:rsidRDefault="009523DA" w:rsidP="009523DA">
            <w:pPr>
              <w:spacing w:after="0" w:line="240" w:lineRule="auto"/>
              <w:jc w:val="right"/>
              <w:rPr>
                <w:rFonts w:ascii="Arial" w:hAnsi="Arial" w:cs="Arial"/>
                <w:i/>
                <w:iCs/>
                <w:color w:val="auto"/>
                <w:sz w:val="16"/>
                <w:szCs w:val="16"/>
              </w:rPr>
            </w:pPr>
            <w:r w:rsidRPr="009523DA">
              <w:rPr>
                <w:rFonts w:ascii="Arial" w:hAnsi="Arial" w:cs="Arial"/>
                <w:i/>
                <w:iCs/>
                <w:color w:val="auto"/>
                <w:sz w:val="16"/>
                <w:szCs w:val="16"/>
              </w:rPr>
              <w:t>58.3</w:t>
            </w:r>
          </w:p>
        </w:tc>
      </w:tr>
      <w:tr w:rsidR="00963E9C" w:rsidRPr="009523DA" w14:paraId="3402F84B" w14:textId="77777777" w:rsidTr="00963E9C">
        <w:trPr>
          <w:trHeight w:val="225"/>
        </w:trPr>
        <w:tc>
          <w:tcPr>
            <w:tcW w:w="1823" w:type="pct"/>
            <w:tcBorders>
              <w:top w:val="nil"/>
              <w:left w:val="nil"/>
              <w:bottom w:val="nil"/>
              <w:right w:val="nil"/>
            </w:tcBorders>
            <w:shd w:val="clear" w:color="000000" w:fill="FFFFFF"/>
            <w:noWrap/>
            <w:vAlign w:val="center"/>
            <w:hideMark/>
          </w:tcPr>
          <w:p w14:paraId="702F7B63" w14:textId="77777777" w:rsidR="009523DA" w:rsidRPr="009523DA" w:rsidRDefault="009523DA" w:rsidP="009523DA">
            <w:pPr>
              <w:spacing w:after="0" w:line="240" w:lineRule="auto"/>
              <w:jc w:val="left"/>
              <w:rPr>
                <w:rFonts w:ascii="Arial" w:hAnsi="Arial" w:cs="Arial"/>
                <w:sz w:val="16"/>
                <w:szCs w:val="16"/>
                <w:u w:val="single"/>
              </w:rPr>
            </w:pPr>
            <w:r w:rsidRPr="009523DA">
              <w:rPr>
                <w:rFonts w:ascii="Arial" w:hAnsi="Arial" w:cs="Arial"/>
                <w:sz w:val="16"/>
                <w:szCs w:val="16"/>
                <w:u w:val="single"/>
              </w:rPr>
              <w:t>For development</w:t>
            </w:r>
          </w:p>
        </w:tc>
        <w:tc>
          <w:tcPr>
            <w:tcW w:w="366" w:type="pct"/>
            <w:tcBorders>
              <w:top w:val="nil"/>
              <w:left w:val="nil"/>
              <w:bottom w:val="nil"/>
              <w:right w:val="nil"/>
            </w:tcBorders>
            <w:shd w:val="clear" w:color="000000" w:fill="FFFFFF"/>
            <w:noWrap/>
            <w:vAlign w:val="center"/>
            <w:hideMark/>
          </w:tcPr>
          <w:p w14:paraId="689D7881"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428" w:type="pct"/>
            <w:tcBorders>
              <w:top w:val="nil"/>
              <w:left w:val="nil"/>
              <w:bottom w:val="nil"/>
              <w:right w:val="nil"/>
            </w:tcBorders>
            <w:shd w:val="clear" w:color="000000" w:fill="FFFFFF"/>
            <w:noWrap/>
            <w:vAlign w:val="center"/>
            <w:hideMark/>
          </w:tcPr>
          <w:p w14:paraId="7C24CA4C"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366" w:type="pct"/>
            <w:tcBorders>
              <w:top w:val="nil"/>
              <w:left w:val="nil"/>
              <w:bottom w:val="nil"/>
              <w:right w:val="nil"/>
            </w:tcBorders>
            <w:shd w:val="clear" w:color="000000" w:fill="FFFFFF"/>
            <w:noWrap/>
            <w:vAlign w:val="center"/>
            <w:hideMark/>
          </w:tcPr>
          <w:p w14:paraId="2A71B2DB"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428" w:type="pct"/>
            <w:tcBorders>
              <w:top w:val="nil"/>
              <w:left w:val="nil"/>
              <w:bottom w:val="nil"/>
              <w:right w:val="nil"/>
            </w:tcBorders>
            <w:shd w:val="clear" w:color="000000" w:fill="FFFFFF"/>
            <w:noWrap/>
            <w:vAlign w:val="center"/>
            <w:hideMark/>
          </w:tcPr>
          <w:p w14:paraId="66E74F1A"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 </w:t>
            </w:r>
          </w:p>
        </w:tc>
        <w:tc>
          <w:tcPr>
            <w:tcW w:w="366" w:type="pct"/>
            <w:tcBorders>
              <w:top w:val="nil"/>
              <w:left w:val="nil"/>
              <w:bottom w:val="nil"/>
              <w:right w:val="nil"/>
            </w:tcBorders>
            <w:shd w:val="clear" w:color="auto" w:fill="auto"/>
            <w:noWrap/>
            <w:vAlign w:val="center"/>
            <w:hideMark/>
          </w:tcPr>
          <w:p w14:paraId="52D28697" w14:textId="77777777" w:rsidR="009523DA" w:rsidRPr="009523DA" w:rsidRDefault="009523DA" w:rsidP="009523DA">
            <w:pPr>
              <w:spacing w:after="0" w:line="240" w:lineRule="auto"/>
              <w:jc w:val="right"/>
              <w:rPr>
                <w:rFonts w:ascii="Arial" w:hAnsi="Arial" w:cs="Arial"/>
                <w:sz w:val="16"/>
                <w:szCs w:val="16"/>
              </w:rPr>
            </w:pPr>
          </w:p>
        </w:tc>
        <w:tc>
          <w:tcPr>
            <w:tcW w:w="428" w:type="pct"/>
            <w:tcBorders>
              <w:top w:val="nil"/>
              <w:left w:val="nil"/>
              <w:bottom w:val="nil"/>
              <w:right w:val="nil"/>
            </w:tcBorders>
            <w:shd w:val="clear" w:color="auto" w:fill="auto"/>
            <w:noWrap/>
            <w:vAlign w:val="center"/>
            <w:hideMark/>
          </w:tcPr>
          <w:p w14:paraId="71822924" w14:textId="77777777" w:rsidR="009523DA" w:rsidRPr="009523DA" w:rsidRDefault="009523DA" w:rsidP="009523DA">
            <w:pPr>
              <w:spacing w:after="0" w:line="240" w:lineRule="auto"/>
              <w:jc w:val="left"/>
              <w:rPr>
                <w:rFonts w:ascii="Times New Roman" w:hAnsi="Times New Roman"/>
                <w:color w:val="auto"/>
              </w:rPr>
            </w:pPr>
          </w:p>
        </w:tc>
        <w:tc>
          <w:tcPr>
            <w:tcW w:w="366" w:type="pct"/>
            <w:tcBorders>
              <w:top w:val="nil"/>
              <w:left w:val="nil"/>
              <w:bottom w:val="nil"/>
              <w:right w:val="nil"/>
            </w:tcBorders>
            <w:shd w:val="clear" w:color="000000" w:fill="F2F2F2"/>
            <w:noWrap/>
            <w:vAlign w:val="center"/>
            <w:hideMark/>
          </w:tcPr>
          <w:p w14:paraId="29714590" w14:textId="77777777" w:rsidR="009523DA" w:rsidRPr="009523DA" w:rsidRDefault="009523DA" w:rsidP="009523DA">
            <w:pPr>
              <w:spacing w:after="0" w:line="240" w:lineRule="auto"/>
              <w:jc w:val="left"/>
              <w:rPr>
                <w:rFonts w:ascii="Arial" w:hAnsi="Arial" w:cs="Arial"/>
                <w:color w:val="auto"/>
                <w:sz w:val="16"/>
                <w:szCs w:val="16"/>
              </w:rPr>
            </w:pPr>
            <w:r w:rsidRPr="009523DA">
              <w:rPr>
                <w:rFonts w:ascii="Arial" w:hAnsi="Arial" w:cs="Arial"/>
                <w:color w:val="auto"/>
                <w:sz w:val="16"/>
                <w:szCs w:val="16"/>
              </w:rPr>
              <w:t> </w:t>
            </w:r>
          </w:p>
        </w:tc>
        <w:tc>
          <w:tcPr>
            <w:tcW w:w="428" w:type="pct"/>
            <w:tcBorders>
              <w:top w:val="nil"/>
              <w:left w:val="nil"/>
              <w:bottom w:val="nil"/>
              <w:right w:val="nil"/>
            </w:tcBorders>
            <w:shd w:val="clear" w:color="000000" w:fill="F2F2F2"/>
            <w:noWrap/>
            <w:vAlign w:val="center"/>
            <w:hideMark/>
          </w:tcPr>
          <w:p w14:paraId="798665F9" w14:textId="77777777" w:rsidR="009523DA" w:rsidRPr="009523DA" w:rsidRDefault="009523DA" w:rsidP="009523DA">
            <w:pPr>
              <w:spacing w:after="0" w:line="240" w:lineRule="auto"/>
              <w:jc w:val="left"/>
              <w:rPr>
                <w:rFonts w:ascii="Arial" w:hAnsi="Arial" w:cs="Arial"/>
                <w:color w:val="auto"/>
                <w:sz w:val="16"/>
                <w:szCs w:val="16"/>
              </w:rPr>
            </w:pPr>
            <w:r w:rsidRPr="009523DA">
              <w:rPr>
                <w:rFonts w:ascii="Arial" w:hAnsi="Arial" w:cs="Arial"/>
                <w:color w:val="auto"/>
                <w:sz w:val="16"/>
                <w:szCs w:val="16"/>
              </w:rPr>
              <w:t> </w:t>
            </w:r>
          </w:p>
        </w:tc>
      </w:tr>
      <w:tr w:rsidR="00963E9C" w:rsidRPr="009523DA" w14:paraId="182FB88E" w14:textId="77777777" w:rsidTr="00963E9C">
        <w:trPr>
          <w:trHeight w:val="225"/>
        </w:trPr>
        <w:tc>
          <w:tcPr>
            <w:tcW w:w="1823" w:type="pct"/>
            <w:tcBorders>
              <w:top w:val="nil"/>
              <w:left w:val="nil"/>
              <w:bottom w:val="nil"/>
              <w:right w:val="nil"/>
            </w:tcBorders>
            <w:shd w:val="clear" w:color="000000" w:fill="FFFFFF"/>
            <w:noWrap/>
            <w:vAlign w:val="center"/>
            <w:hideMark/>
          </w:tcPr>
          <w:p w14:paraId="70FC3261" w14:textId="77777777" w:rsidR="009523DA" w:rsidRPr="009523DA" w:rsidRDefault="009523DA" w:rsidP="009523DA">
            <w:pPr>
              <w:spacing w:after="0" w:line="240" w:lineRule="auto"/>
              <w:jc w:val="left"/>
              <w:rPr>
                <w:rFonts w:ascii="Arial" w:hAnsi="Arial" w:cs="Arial"/>
                <w:sz w:val="16"/>
                <w:szCs w:val="16"/>
              </w:rPr>
            </w:pPr>
            <w:r w:rsidRPr="009523DA">
              <w:rPr>
                <w:rFonts w:ascii="Arial" w:hAnsi="Arial" w:cs="Arial"/>
                <w:sz w:val="16"/>
                <w:szCs w:val="16"/>
              </w:rPr>
              <w:t>- Vacant commercial property</w:t>
            </w:r>
          </w:p>
        </w:tc>
        <w:tc>
          <w:tcPr>
            <w:tcW w:w="366" w:type="pct"/>
            <w:tcBorders>
              <w:top w:val="nil"/>
              <w:left w:val="nil"/>
              <w:bottom w:val="nil"/>
              <w:right w:val="nil"/>
            </w:tcBorders>
            <w:shd w:val="clear" w:color="000000" w:fill="FFFFFF"/>
            <w:noWrap/>
            <w:vAlign w:val="center"/>
            <w:hideMark/>
          </w:tcPr>
          <w:p w14:paraId="1625AAFA"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235</w:t>
            </w:r>
          </w:p>
        </w:tc>
        <w:tc>
          <w:tcPr>
            <w:tcW w:w="428" w:type="pct"/>
            <w:tcBorders>
              <w:top w:val="nil"/>
              <w:left w:val="nil"/>
              <w:bottom w:val="nil"/>
              <w:right w:val="nil"/>
            </w:tcBorders>
            <w:shd w:val="clear" w:color="000000" w:fill="FFFFFF"/>
            <w:noWrap/>
            <w:vAlign w:val="center"/>
            <w:hideMark/>
          </w:tcPr>
          <w:p w14:paraId="3E1CF67D"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4.0</w:t>
            </w:r>
          </w:p>
        </w:tc>
        <w:tc>
          <w:tcPr>
            <w:tcW w:w="366" w:type="pct"/>
            <w:tcBorders>
              <w:top w:val="nil"/>
              <w:left w:val="nil"/>
              <w:bottom w:val="nil"/>
              <w:right w:val="nil"/>
            </w:tcBorders>
            <w:shd w:val="clear" w:color="000000" w:fill="FFFFFF"/>
            <w:noWrap/>
            <w:vAlign w:val="center"/>
            <w:hideMark/>
          </w:tcPr>
          <w:p w14:paraId="7828DFB1"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182</w:t>
            </w:r>
          </w:p>
        </w:tc>
        <w:tc>
          <w:tcPr>
            <w:tcW w:w="428" w:type="pct"/>
            <w:tcBorders>
              <w:top w:val="nil"/>
              <w:left w:val="nil"/>
              <w:bottom w:val="nil"/>
              <w:right w:val="nil"/>
            </w:tcBorders>
            <w:shd w:val="clear" w:color="000000" w:fill="FFFFFF"/>
            <w:noWrap/>
            <w:vAlign w:val="center"/>
            <w:hideMark/>
          </w:tcPr>
          <w:p w14:paraId="531A71AD"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3.7</w:t>
            </w:r>
          </w:p>
        </w:tc>
        <w:tc>
          <w:tcPr>
            <w:tcW w:w="366" w:type="pct"/>
            <w:tcBorders>
              <w:top w:val="nil"/>
              <w:left w:val="nil"/>
              <w:bottom w:val="nil"/>
              <w:right w:val="nil"/>
            </w:tcBorders>
            <w:shd w:val="clear" w:color="auto" w:fill="auto"/>
            <w:noWrap/>
            <w:vAlign w:val="center"/>
            <w:hideMark/>
          </w:tcPr>
          <w:p w14:paraId="3887D4BD"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169</w:t>
            </w:r>
          </w:p>
        </w:tc>
        <w:tc>
          <w:tcPr>
            <w:tcW w:w="428" w:type="pct"/>
            <w:tcBorders>
              <w:top w:val="nil"/>
              <w:left w:val="nil"/>
              <w:bottom w:val="nil"/>
              <w:right w:val="nil"/>
            </w:tcBorders>
            <w:shd w:val="clear" w:color="auto" w:fill="auto"/>
            <w:noWrap/>
            <w:vAlign w:val="center"/>
            <w:hideMark/>
          </w:tcPr>
          <w:p w14:paraId="4DF916CC"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6.0</w:t>
            </w:r>
          </w:p>
        </w:tc>
        <w:tc>
          <w:tcPr>
            <w:tcW w:w="366" w:type="pct"/>
            <w:tcBorders>
              <w:top w:val="nil"/>
              <w:left w:val="nil"/>
              <w:bottom w:val="nil"/>
              <w:right w:val="nil"/>
            </w:tcBorders>
            <w:shd w:val="clear" w:color="000000" w:fill="F2F2F2"/>
            <w:noWrap/>
            <w:vAlign w:val="center"/>
            <w:hideMark/>
          </w:tcPr>
          <w:p w14:paraId="67EC7C87"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228</w:t>
            </w:r>
          </w:p>
        </w:tc>
        <w:tc>
          <w:tcPr>
            <w:tcW w:w="428" w:type="pct"/>
            <w:tcBorders>
              <w:top w:val="nil"/>
              <w:left w:val="nil"/>
              <w:bottom w:val="nil"/>
              <w:right w:val="nil"/>
            </w:tcBorders>
            <w:shd w:val="clear" w:color="000000" w:fill="F2F2F2"/>
            <w:noWrap/>
            <w:vAlign w:val="center"/>
            <w:hideMark/>
          </w:tcPr>
          <w:p w14:paraId="767240E0"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6.8</w:t>
            </w:r>
          </w:p>
        </w:tc>
      </w:tr>
      <w:tr w:rsidR="00963E9C" w:rsidRPr="009523DA" w14:paraId="703C5209" w14:textId="77777777" w:rsidTr="00CB5DF7">
        <w:trPr>
          <w:trHeight w:val="225"/>
        </w:trPr>
        <w:tc>
          <w:tcPr>
            <w:tcW w:w="1823" w:type="pct"/>
            <w:tcBorders>
              <w:top w:val="nil"/>
              <w:left w:val="nil"/>
              <w:bottom w:val="nil"/>
              <w:right w:val="nil"/>
            </w:tcBorders>
            <w:shd w:val="clear" w:color="000000" w:fill="FFFFFF"/>
            <w:vAlign w:val="center"/>
            <w:hideMark/>
          </w:tcPr>
          <w:p w14:paraId="79C7D7B4" w14:textId="77777777" w:rsidR="009523DA" w:rsidRPr="009523DA" w:rsidRDefault="009523DA" w:rsidP="009523DA">
            <w:pPr>
              <w:spacing w:after="0" w:line="240" w:lineRule="auto"/>
              <w:jc w:val="left"/>
              <w:rPr>
                <w:rFonts w:ascii="Arial" w:hAnsi="Arial" w:cs="Arial"/>
                <w:sz w:val="16"/>
                <w:szCs w:val="16"/>
              </w:rPr>
            </w:pPr>
            <w:r w:rsidRPr="009523DA">
              <w:rPr>
                <w:rFonts w:ascii="Arial" w:hAnsi="Arial" w:cs="Arial"/>
                <w:sz w:val="16"/>
                <w:szCs w:val="16"/>
              </w:rPr>
              <w:t>- Exemption certificates (a)</w:t>
            </w:r>
          </w:p>
        </w:tc>
        <w:tc>
          <w:tcPr>
            <w:tcW w:w="366" w:type="pct"/>
            <w:tcBorders>
              <w:top w:val="nil"/>
              <w:left w:val="nil"/>
              <w:bottom w:val="single" w:sz="2" w:space="0" w:color="000000" w:themeColor="text1"/>
              <w:right w:val="nil"/>
            </w:tcBorders>
            <w:shd w:val="clear" w:color="000000" w:fill="FFFFFF"/>
            <w:noWrap/>
            <w:vAlign w:val="center"/>
            <w:hideMark/>
          </w:tcPr>
          <w:p w14:paraId="02AB1678"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22</w:t>
            </w:r>
          </w:p>
        </w:tc>
        <w:tc>
          <w:tcPr>
            <w:tcW w:w="428" w:type="pct"/>
            <w:tcBorders>
              <w:top w:val="nil"/>
              <w:left w:val="nil"/>
              <w:bottom w:val="single" w:sz="2" w:space="0" w:color="000000" w:themeColor="text1"/>
              <w:right w:val="nil"/>
            </w:tcBorders>
            <w:shd w:val="clear" w:color="000000" w:fill="FFFFFF"/>
            <w:noWrap/>
            <w:vAlign w:val="center"/>
            <w:hideMark/>
          </w:tcPr>
          <w:p w14:paraId="7889B9A8"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1.8</w:t>
            </w:r>
          </w:p>
        </w:tc>
        <w:tc>
          <w:tcPr>
            <w:tcW w:w="366" w:type="pct"/>
            <w:tcBorders>
              <w:top w:val="nil"/>
              <w:left w:val="nil"/>
              <w:bottom w:val="single" w:sz="2" w:space="0" w:color="000000" w:themeColor="text1"/>
              <w:right w:val="nil"/>
            </w:tcBorders>
            <w:shd w:val="clear" w:color="000000" w:fill="FFFFFF"/>
            <w:noWrap/>
            <w:vAlign w:val="center"/>
            <w:hideMark/>
          </w:tcPr>
          <w:p w14:paraId="56A4477C"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34</w:t>
            </w:r>
          </w:p>
        </w:tc>
        <w:tc>
          <w:tcPr>
            <w:tcW w:w="428" w:type="pct"/>
            <w:tcBorders>
              <w:top w:val="nil"/>
              <w:left w:val="nil"/>
              <w:bottom w:val="single" w:sz="2" w:space="0" w:color="000000" w:themeColor="text1"/>
              <w:right w:val="nil"/>
            </w:tcBorders>
            <w:shd w:val="clear" w:color="000000" w:fill="FFFFFF"/>
            <w:noWrap/>
            <w:vAlign w:val="center"/>
            <w:hideMark/>
          </w:tcPr>
          <w:p w14:paraId="77574EB7" w14:textId="77777777" w:rsidR="009523DA" w:rsidRPr="009523DA" w:rsidRDefault="009523DA" w:rsidP="009523DA">
            <w:pPr>
              <w:spacing w:after="0" w:line="240" w:lineRule="auto"/>
              <w:jc w:val="right"/>
              <w:rPr>
                <w:rFonts w:ascii="Arial" w:hAnsi="Arial" w:cs="Arial"/>
                <w:sz w:val="16"/>
                <w:szCs w:val="16"/>
              </w:rPr>
            </w:pPr>
            <w:r w:rsidRPr="009523DA">
              <w:rPr>
                <w:rFonts w:ascii="Arial" w:hAnsi="Arial" w:cs="Arial"/>
                <w:sz w:val="16"/>
                <w:szCs w:val="16"/>
              </w:rPr>
              <w:t>7.9</w:t>
            </w:r>
          </w:p>
        </w:tc>
        <w:tc>
          <w:tcPr>
            <w:tcW w:w="366" w:type="pct"/>
            <w:tcBorders>
              <w:top w:val="nil"/>
              <w:left w:val="nil"/>
              <w:bottom w:val="single" w:sz="2" w:space="0" w:color="000000" w:themeColor="text1"/>
              <w:right w:val="nil"/>
            </w:tcBorders>
            <w:shd w:val="clear" w:color="auto" w:fill="auto"/>
            <w:noWrap/>
            <w:vAlign w:val="center"/>
            <w:hideMark/>
          </w:tcPr>
          <w:p w14:paraId="6B73A72F"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32</w:t>
            </w:r>
          </w:p>
        </w:tc>
        <w:tc>
          <w:tcPr>
            <w:tcW w:w="428" w:type="pct"/>
            <w:tcBorders>
              <w:top w:val="nil"/>
              <w:left w:val="nil"/>
              <w:bottom w:val="single" w:sz="2" w:space="0" w:color="000000" w:themeColor="text1"/>
              <w:right w:val="nil"/>
            </w:tcBorders>
            <w:shd w:val="clear" w:color="auto" w:fill="auto"/>
            <w:noWrap/>
            <w:vAlign w:val="center"/>
            <w:hideMark/>
          </w:tcPr>
          <w:p w14:paraId="4EE194B5"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8.0</w:t>
            </w:r>
          </w:p>
        </w:tc>
        <w:tc>
          <w:tcPr>
            <w:tcW w:w="366" w:type="pct"/>
            <w:tcBorders>
              <w:top w:val="nil"/>
              <w:left w:val="nil"/>
              <w:bottom w:val="single" w:sz="2" w:space="0" w:color="000000" w:themeColor="text1"/>
              <w:right w:val="nil"/>
            </w:tcBorders>
            <w:shd w:val="clear" w:color="000000" w:fill="F2F2F2"/>
            <w:noWrap/>
            <w:vAlign w:val="center"/>
            <w:hideMark/>
          </w:tcPr>
          <w:p w14:paraId="3F12CD7A"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38</w:t>
            </w:r>
          </w:p>
        </w:tc>
        <w:tc>
          <w:tcPr>
            <w:tcW w:w="428" w:type="pct"/>
            <w:tcBorders>
              <w:top w:val="nil"/>
              <w:left w:val="nil"/>
              <w:bottom w:val="single" w:sz="2" w:space="0" w:color="000000" w:themeColor="text1"/>
              <w:right w:val="nil"/>
            </w:tcBorders>
            <w:shd w:val="clear" w:color="000000" w:fill="F2F2F2"/>
            <w:noWrap/>
            <w:vAlign w:val="center"/>
            <w:hideMark/>
          </w:tcPr>
          <w:p w14:paraId="4F61A679" w14:textId="77777777" w:rsidR="009523DA" w:rsidRPr="009523DA" w:rsidRDefault="009523DA" w:rsidP="009523DA">
            <w:pPr>
              <w:spacing w:after="0" w:line="240" w:lineRule="auto"/>
              <w:jc w:val="right"/>
              <w:rPr>
                <w:rFonts w:ascii="Arial" w:hAnsi="Arial" w:cs="Arial"/>
                <w:color w:val="auto"/>
                <w:sz w:val="16"/>
                <w:szCs w:val="16"/>
              </w:rPr>
            </w:pPr>
            <w:r w:rsidRPr="009523DA">
              <w:rPr>
                <w:rFonts w:ascii="Arial" w:hAnsi="Arial" w:cs="Arial"/>
                <w:color w:val="auto"/>
                <w:sz w:val="16"/>
                <w:szCs w:val="16"/>
              </w:rPr>
              <w:t>7.9</w:t>
            </w:r>
          </w:p>
        </w:tc>
      </w:tr>
      <w:tr w:rsidR="00963E9C" w:rsidRPr="009523DA" w14:paraId="6500B517" w14:textId="77777777" w:rsidTr="00CB5DF7">
        <w:trPr>
          <w:trHeight w:val="225"/>
        </w:trPr>
        <w:tc>
          <w:tcPr>
            <w:tcW w:w="1823" w:type="pct"/>
            <w:tcBorders>
              <w:top w:val="nil"/>
              <w:left w:val="nil"/>
              <w:right w:val="nil"/>
            </w:tcBorders>
            <w:shd w:val="clear" w:color="000000" w:fill="FFFFFF"/>
            <w:noWrap/>
            <w:vAlign w:val="center"/>
            <w:hideMark/>
          </w:tcPr>
          <w:p w14:paraId="55241A8E" w14:textId="77777777" w:rsidR="009523DA" w:rsidRPr="009523DA" w:rsidRDefault="009523DA" w:rsidP="009523DA">
            <w:pPr>
              <w:spacing w:after="0" w:line="240" w:lineRule="auto"/>
              <w:jc w:val="left"/>
              <w:rPr>
                <w:rFonts w:ascii="Arial" w:hAnsi="Arial" w:cs="Arial"/>
                <w:i/>
                <w:iCs/>
                <w:sz w:val="16"/>
                <w:szCs w:val="16"/>
              </w:rPr>
            </w:pPr>
            <w:r w:rsidRPr="009523DA">
              <w:rPr>
                <w:rFonts w:ascii="Arial" w:hAnsi="Arial" w:cs="Arial"/>
                <w:i/>
                <w:iCs/>
                <w:sz w:val="16"/>
                <w:szCs w:val="16"/>
              </w:rPr>
              <w:t>Sub-total 'For development'</w:t>
            </w:r>
          </w:p>
        </w:tc>
        <w:tc>
          <w:tcPr>
            <w:tcW w:w="366" w:type="pct"/>
            <w:tcBorders>
              <w:top w:val="single" w:sz="2" w:space="0" w:color="000000" w:themeColor="text1"/>
              <w:left w:val="nil"/>
              <w:bottom w:val="single" w:sz="2" w:space="0" w:color="000000" w:themeColor="text1"/>
              <w:right w:val="nil"/>
            </w:tcBorders>
            <w:shd w:val="clear" w:color="000000" w:fill="FFFFFF"/>
            <w:noWrap/>
            <w:vAlign w:val="center"/>
            <w:hideMark/>
          </w:tcPr>
          <w:p w14:paraId="651B9A04" w14:textId="77777777" w:rsidR="009523DA" w:rsidRPr="009523DA" w:rsidRDefault="009523DA" w:rsidP="009523DA">
            <w:pPr>
              <w:spacing w:after="0" w:line="240" w:lineRule="auto"/>
              <w:jc w:val="right"/>
              <w:rPr>
                <w:rFonts w:ascii="Arial" w:hAnsi="Arial" w:cs="Arial"/>
                <w:i/>
                <w:iCs/>
                <w:sz w:val="16"/>
                <w:szCs w:val="16"/>
              </w:rPr>
            </w:pPr>
            <w:r w:rsidRPr="009523DA">
              <w:rPr>
                <w:rFonts w:ascii="Arial" w:hAnsi="Arial" w:cs="Arial"/>
                <w:i/>
                <w:iCs/>
                <w:sz w:val="16"/>
                <w:szCs w:val="16"/>
              </w:rPr>
              <w:t>257</w:t>
            </w:r>
          </w:p>
        </w:tc>
        <w:tc>
          <w:tcPr>
            <w:tcW w:w="428" w:type="pct"/>
            <w:tcBorders>
              <w:top w:val="single" w:sz="2" w:space="0" w:color="000000" w:themeColor="text1"/>
              <w:left w:val="nil"/>
              <w:bottom w:val="single" w:sz="2" w:space="0" w:color="000000" w:themeColor="text1"/>
              <w:right w:val="nil"/>
            </w:tcBorders>
            <w:shd w:val="clear" w:color="000000" w:fill="FFFFFF"/>
            <w:noWrap/>
            <w:vAlign w:val="center"/>
            <w:hideMark/>
          </w:tcPr>
          <w:p w14:paraId="6EF082E3" w14:textId="77777777" w:rsidR="009523DA" w:rsidRPr="009523DA" w:rsidRDefault="009523DA" w:rsidP="009523DA">
            <w:pPr>
              <w:spacing w:after="0" w:line="240" w:lineRule="auto"/>
              <w:jc w:val="right"/>
              <w:rPr>
                <w:rFonts w:ascii="Arial" w:hAnsi="Arial" w:cs="Arial"/>
                <w:i/>
                <w:iCs/>
                <w:sz w:val="16"/>
                <w:szCs w:val="16"/>
              </w:rPr>
            </w:pPr>
            <w:r w:rsidRPr="009523DA">
              <w:rPr>
                <w:rFonts w:ascii="Arial" w:hAnsi="Arial" w:cs="Arial"/>
                <w:i/>
                <w:iCs/>
                <w:sz w:val="16"/>
                <w:szCs w:val="16"/>
              </w:rPr>
              <w:t>5.7</w:t>
            </w:r>
          </w:p>
        </w:tc>
        <w:tc>
          <w:tcPr>
            <w:tcW w:w="366" w:type="pct"/>
            <w:tcBorders>
              <w:top w:val="single" w:sz="2" w:space="0" w:color="000000" w:themeColor="text1"/>
              <w:left w:val="nil"/>
              <w:bottom w:val="single" w:sz="2" w:space="0" w:color="000000" w:themeColor="text1"/>
              <w:right w:val="nil"/>
            </w:tcBorders>
            <w:shd w:val="clear" w:color="000000" w:fill="FFFFFF"/>
            <w:noWrap/>
            <w:vAlign w:val="center"/>
            <w:hideMark/>
          </w:tcPr>
          <w:p w14:paraId="1BDA2CD6" w14:textId="77777777" w:rsidR="009523DA" w:rsidRPr="009523DA" w:rsidRDefault="009523DA" w:rsidP="009523DA">
            <w:pPr>
              <w:spacing w:after="0" w:line="240" w:lineRule="auto"/>
              <w:jc w:val="right"/>
              <w:rPr>
                <w:rFonts w:ascii="Arial" w:hAnsi="Arial" w:cs="Arial"/>
                <w:i/>
                <w:iCs/>
                <w:sz w:val="16"/>
                <w:szCs w:val="16"/>
              </w:rPr>
            </w:pPr>
            <w:r w:rsidRPr="009523DA">
              <w:rPr>
                <w:rFonts w:ascii="Arial" w:hAnsi="Arial" w:cs="Arial"/>
                <w:i/>
                <w:iCs/>
                <w:sz w:val="16"/>
                <w:szCs w:val="16"/>
              </w:rPr>
              <w:t>216</w:t>
            </w:r>
          </w:p>
        </w:tc>
        <w:tc>
          <w:tcPr>
            <w:tcW w:w="428" w:type="pct"/>
            <w:tcBorders>
              <w:top w:val="single" w:sz="2" w:space="0" w:color="000000" w:themeColor="text1"/>
              <w:left w:val="nil"/>
              <w:bottom w:val="single" w:sz="2" w:space="0" w:color="000000" w:themeColor="text1"/>
              <w:right w:val="nil"/>
            </w:tcBorders>
            <w:shd w:val="clear" w:color="000000" w:fill="FFFFFF"/>
            <w:noWrap/>
            <w:vAlign w:val="center"/>
            <w:hideMark/>
          </w:tcPr>
          <w:p w14:paraId="1BF6D6A6" w14:textId="77777777" w:rsidR="009523DA" w:rsidRPr="009523DA" w:rsidRDefault="009523DA" w:rsidP="009523DA">
            <w:pPr>
              <w:spacing w:after="0" w:line="240" w:lineRule="auto"/>
              <w:jc w:val="right"/>
              <w:rPr>
                <w:rFonts w:ascii="Arial" w:hAnsi="Arial" w:cs="Arial"/>
                <w:i/>
                <w:iCs/>
                <w:sz w:val="16"/>
                <w:szCs w:val="16"/>
              </w:rPr>
            </w:pPr>
            <w:r w:rsidRPr="009523DA">
              <w:rPr>
                <w:rFonts w:ascii="Arial" w:hAnsi="Arial" w:cs="Arial"/>
                <w:i/>
                <w:iCs/>
                <w:sz w:val="16"/>
                <w:szCs w:val="16"/>
              </w:rPr>
              <w:t>11.6</w:t>
            </w:r>
          </w:p>
        </w:tc>
        <w:tc>
          <w:tcPr>
            <w:tcW w:w="366" w:type="pct"/>
            <w:tcBorders>
              <w:top w:val="single" w:sz="2" w:space="0" w:color="000000" w:themeColor="text1"/>
              <w:left w:val="nil"/>
              <w:bottom w:val="single" w:sz="2" w:space="0" w:color="000000" w:themeColor="text1"/>
              <w:right w:val="nil"/>
            </w:tcBorders>
            <w:shd w:val="clear" w:color="auto" w:fill="auto"/>
            <w:noWrap/>
            <w:vAlign w:val="center"/>
            <w:hideMark/>
          </w:tcPr>
          <w:p w14:paraId="67956E07" w14:textId="77777777" w:rsidR="009523DA" w:rsidRPr="009523DA" w:rsidRDefault="009523DA" w:rsidP="009523DA">
            <w:pPr>
              <w:spacing w:after="0" w:line="240" w:lineRule="auto"/>
              <w:jc w:val="right"/>
              <w:rPr>
                <w:rFonts w:ascii="Arial" w:hAnsi="Arial" w:cs="Arial"/>
                <w:i/>
                <w:iCs/>
                <w:color w:val="auto"/>
                <w:sz w:val="16"/>
                <w:szCs w:val="16"/>
              </w:rPr>
            </w:pPr>
            <w:r w:rsidRPr="009523DA">
              <w:rPr>
                <w:rFonts w:ascii="Arial" w:hAnsi="Arial" w:cs="Arial"/>
                <w:i/>
                <w:iCs/>
                <w:color w:val="auto"/>
                <w:sz w:val="16"/>
                <w:szCs w:val="16"/>
              </w:rPr>
              <w:t>200</w:t>
            </w:r>
          </w:p>
        </w:tc>
        <w:tc>
          <w:tcPr>
            <w:tcW w:w="428" w:type="pct"/>
            <w:tcBorders>
              <w:top w:val="single" w:sz="2" w:space="0" w:color="000000" w:themeColor="text1"/>
              <w:left w:val="nil"/>
              <w:bottom w:val="single" w:sz="2" w:space="0" w:color="000000" w:themeColor="text1"/>
              <w:right w:val="nil"/>
            </w:tcBorders>
            <w:shd w:val="clear" w:color="auto" w:fill="auto"/>
            <w:noWrap/>
            <w:vAlign w:val="center"/>
            <w:hideMark/>
          </w:tcPr>
          <w:p w14:paraId="6AAAE692" w14:textId="77777777" w:rsidR="009523DA" w:rsidRPr="009523DA" w:rsidRDefault="009523DA" w:rsidP="009523DA">
            <w:pPr>
              <w:spacing w:after="0" w:line="240" w:lineRule="auto"/>
              <w:jc w:val="right"/>
              <w:rPr>
                <w:rFonts w:ascii="Arial" w:hAnsi="Arial" w:cs="Arial"/>
                <w:i/>
                <w:iCs/>
                <w:color w:val="auto"/>
                <w:sz w:val="16"/>
                <w:szCs w:val="16"/>
              </w:rPr>
            </w:pPr>
            <w:r w:rsidRPr="009523DA">
              <w:rPr>
                <w:rFonts w:ascii="Arial" w:hAnsi="Arial" w:cs="Arial"/>
                <w:i/>
                <w:iCs/>
                <w:color w:val="auto"/>
                <w:sz w:val="16"/>
                <w:szCs w:val="16"/>
              </w:rPr>
              <w:t>14.0</w:t>
            </w:r>
          </w:p>
        </w:tc>
        <w:tc>
          <w:tcPr>
            <w:tcW w:w="366" w:type="pct"/>
            <w:tcBorders>
              <w:top w:val="single" w:sz="2" w:space="0" w:color="000000" w:themeColor="text1"/>
              <w:left w:val="nil"/>
              <w:bottom w:val="single" w:sz="2" w:space="0" w:color="000000" w:themeColor="text1"/>
              <w:right w:val="nil"/>
            </w:tcBorders>
            <w:shd w:val="clear" w:color="000000" w:fill="F2F2F2"/>
            <w:noWrap/>
            <w:vAlign w:val="center"/>
            <w:hideMark/>
          </w:tcPr>
          <w:p w14:paraId="395C5BB0" w14:textId="77777777" w:rsidR="009523DA" w:rsidRPr="009523DA" w:rsidRDefault="009523DA" w:rsidP="009523DA">
            <w:pPr>
              <w:spacing w:after="0" w:line="240" w:lineRule="auto"/>
              <w:jc w:val="right"/>
              <w:rPr>
                <w:rFonts w:ascii="Arial" w:hAnsi="Arial" w:cs="Arial"/>
                <w:i/>
                <w:iCs/>
                <w:color w:val="auto"/>
                <w:sz w:val="16"/>
                <w:szCs w:val="16"/>
              </w:rPr>
            </w:pPr>
            <w:r w:rsidRPr="009523DA">
              <w:rPr>
                <w:rFonts w:ascii="Arial" w:hAnsi="Arial" w:cs="Arial"/>
                <w:i/>
                <w:iCs/>
                <w:color w:val="auto"/>
                <w:sz w:val="16"/>
                <w:szCs w:val="16"/>
              </w:rPr>
              <w:t>266</w:t>
            </w:r>
          </w:p>
        </w:tc>
        <w:tc>
          <w:tcPr>
            <w:tcW w:w="428" w:type="pct"/>
            <w:tcBorders>
              <w:top w:val="single" w:sz="2" w:space="0" w:color="000000" w:themeColor="text1"/>
              <w:left w:val="nil"/>
              <w:bottom w:val="single" w:sz="2" w:space="0" w:color="000000" w:themeColor="text1"/>
              <w:right w:val="nil"/>
            </w:tcBorders>
            <w:shd w:val="clear" w:color="000000" w:fill="F2F2F2"/>
            <w:noWrap/>
            <w:vAlign w:val="center"/>
            <w:hideMark/>
          </w:tcPr>
          <w:p w14:paraId="273630F3" w14:textId="77777777" w:rsidR="009523DA" w:rsidRPr="009523DA" w:rsidRDefault="009523DA" w:rsidP="009523DA">
            <w:pPr>
              <w:spacing w:after="0" w:line="240" w:lineRule="auto"/>
              <w:jc w:val="right"/>
              <w:rPr>
                <w:rFonts w:ascii="Arial" w:hAnsi="Arial" w:cs="Arial"/>
                <w:i/>
                <w:iCs/>
                <w:color w:val="auto"/>
                <w:sz w:val="16"/>
                <w:szCs w:val="16"/>
              </w:rPr>
            </w:pPr>
            <w:r w:rsidRPr="009523DA">
              <w:rPr>
                <w:rFonts w:ascii="Arial" w:hAnsi="Arial" w:cs="Arial"/>
                <w:i/>
                <w:iCs/>
                <w:color w:val="auto"/>
                <w:sz w:val="16"/>
                <w:szCs w:val="16"/>
              </w:rPr>
              <w:t>14.7</w:t>
            </w:r>
          </w:p>
        </w:tc>
      </w:tr>
      <w:tr w:rsidR="00963E9C" w:rsidRPr="009523DA" w14:paraId="56512A38" w14:textId="77777777" w:rsidTr="00CB5DF7">
        <w:trPr>
          <w:trHeight w:val="225"/>
        </w:trPr>
        <w:tc>
          <w:tcPr>
            <w:tcW w:w="1823" w:type="pct"/>
            <w:tcBorders>
              <w:top w:val="nil"/>
              <w:left w:val="nil"/>
              <w:bottom w:val="single" w:sz="2" w:space="0" w:color="000000" w:themeColor="text1"/>
              <w:right w:val="nil"/>
            </w:tcBorders>
            <w:shd w:val="clear" w:color="000000" w:fill="FFFFFF"/>
            <w:noWrap/>
            <w:vAlign w:val="center"/>
            <w:hideMark/>
          </w:tcPr>
          <w:p w14:paraId="673012E3" w14:textId="77777777" w:rsidR="009523DA" w:rsidRPr="009523DA" w:rsidRDefault="009523DA" w:rsidP="009523DA">
            <w:pPr>
              <w:spacing w:after="0" w:line="240" w:lineRule="auto"/>
              <w:jc w:val="left"/>
              <w:rPr>
                <w:rFonts w:ascii="Arial" w:hAnsi="Arial" w:cs="Arial"/>
                <w:b/>
                <w:bCs/>
                <w:sz w:val="16"/>
                <w:szCs w:val="16"/>
              </w:rPr>
            </w:pPr>
            <w:r w:rsidRPr="009523DA">
              <w:rPr>
                <w:rFonts w:ascii="Arial" w:hAnsi="Arial" w:cs="Arial"/>
                <w:b/>
                <w:bCs/>
                <w:sz w:val="16"/>
                <w:szCs w:val="16"/>
              </w:rPr>
              <w:t>Total commercial</w:t>
            </w:r>
          </w:p>
        </w:tc>
        <w:tc>
          <w:tcPr>
            <w:tcW w:w="366" w:type="pct"/>
            <w:tcBorders>
              <w:top w:val="single" w:sz="2" w:space="0" w:color="000000" w:themeColor="text1"/>
              <w:left w:val="nil"/>
              <w:bottom w:val="single" w:sz="2" w:space="0" w:color="000000" w:themeColor="text1"/>
              <w:right w:val="nil"/>
            </w:tcBorders>
            <w:shd w:val="clear" w:color="000000" w:fill="FFFFFF"/>
            <w:noWrap/>
            <w:vAlign w:val="center"/>
            <w:hideMark/>
          </w:tcPr>
          <w:p w14:paraId="3A517F02" w14:textId="77777777" w:rsidR="009523DA" w:rsidRPr="009523DA" w:rsidRDefault="009523DA" w:rsidP="009523DA">
            <w:pPr>
              <w:spacing w:after="0" w:line="240" w:lineRule="auto"/>
              <w:jc w:val="right"/>
              <w:rPr>
                <w:rFonts w:ascii="Arial" w:hAnsi="Arial" w:cs="Arial"/>
                <w:b/>
                <w:bCs/>
                <w:sz w:val="16"/>
                <w:szCs w:val="16"/>
              </w:rPr>
            </w:pPr>
            <w:r w:rsidRPr="009523DA">
              <w:rPr>
                <w:rFonts w:ascii="Arial" w:hAnsi="Arial" w:cs="Arial"/>
                <w:b/>
                <w:bCs/>
                <w:sz w:val="16"/>
                <w:szCs w:val="16"/>
              </w:rPr>
              <w:t>606</w:t>
            </w:r>
          </w:p>
        </w:tc>
        <w:tc>
          <w:tcPr>
            <w:tcW w:w="428" w:type="pct"/>
            <w:tcBorders>
              <w:top w:val="single" w:sz="2" w:space="0" w:color="000000" w:themeColor="text1"/>
              <w:left w:val="nil"/>
              <w:bottom w:val="single" w:sz="2" w:space="0" w:color="000000" w:themeColor="text1"/>
              <w:right w:val="nil"/>
            </w:tcBorders>
            <w:shd w:val="clear" w:color="000000" w:fill="FFFFFF"/>
            <w:noWrap/>
            <w:vAlign w:val="center"/>
            <w:hideMark/>
          </w:tcPr>
          <w:p w14:paraId="638242D2" w14:textId="77777777" w:rsidR="009523DA" w:rsidRPr="009523DA" w:rsidRDefault="009523DA" w:rsidP="009523DA">
            <w:pPr>
              <w:spacing w:after="0" w:line="240" w:lineRule="auto"/>
              <w:jc w:val="right"/>
              <w:rPr>
                <w:rFonts w:ascii="Arial" w:hAnsi="Arial" w:cs="Arial"/>
                <w:b/>
                <w:bCs/>
                <w:sz w:val="16"/>
                <w:szCs w:val="16"/>
              </w:rPr>
            </w:pPr>
            <w:r w:rsidRPr="009523DA">
              <w:rPr>
                <w:rFonts w:ascii="Arial" w:hAnsi="Arial" w:cs="Arial"/>
                <w:b/>
                <w:bCs/>
                <w:sz w:val="16"/>
                <w:szCs w:val="16"/>
              </w:rPr>
              <w:t>49.7</w:t>
            </w:r>
          </w:p>
        </w:tc>
        <w:tc>
          <w:tcPr>
            <w:tcW w:w="366" w:type="pct"/>
            <w:tcBorders>
              <w:top w:val="single" w:sz="2" w:space="0" w:color="000000" w:themeColor="text1"/>
              <w:left w:val="nil"/>
              <w:bottom w:val="single" w:sz="2" w:space="0" w:color="000000" w:themeColor="text1"/>
              <w:right w:val="nil"/>
            </w:tcBorders>
            <w:shd w:val="clear" w:color="000000" w:fill="FFFFFF"/>
            <w:noWrap/>
            <w:vAlign w:val="center"/>
            <w:hideMark/>
          </w:tcPr>
          <w:p w14:paraId="174A5CFD" w14:textId="77777777" w:rsidR="009523DA" w:rsidRPr="009523DA" w:rsidRDefault="009523DA" w:rsidP="009523DA">
            <w:pPr>
              <w:spacing w:after="0" w:line="240" w:lineRule="auto"/>
              <w:jc w:val="right"/>
              <w:rPr>
                <w:rFonts w:ascii="Arial" w:hAnsi="Arial" w:cs="Arial"/>
                <w:b/>
                <w:bCs/>
                <w:sz w:val="16"/>
                <w:szCs w:val="16"/>
              </w:rPr>
            </w:pPr>
            <w:r w:rsidRPr="009523DA">
              <w:rPr>
                <w:rFonts w:ascii="Arial" w:hAnsi="Arial" w:cs="Arial"/>
                <w:b/>
                <w:bCs/>
                <w:sz w:val="16"/>
                <w:szCs w:val="16"/>
              </w:rPr>
              <w:t>465</w:t>
            </w:r>
          </w:p>
        </w:tc>
        <w:tc>
          <w:tcPr>
            <w:tcW w:w="428" w:type="pct"/>
            <w:tcBorders>
              <w:top w:val="single" w:sz="2" w:space="0" w:color="000000" w:themeColor="text1"/>
              <w:left w:val="nil"/>
              <w:bottom w:val="single" w:sz="2" w:space="0" w:color="000000" w:themeColor="text1"/>
              <w:right w:val="nil"/>
            </w:tcBorders>
            <w:shd w:val="clear" w:color="000000" w:fill="FFFFFF"/>
            <w:noWrap/>
            <w:vAlign w:val="center"/>
            <w:hideMark/>
          </w:tcPr>
          <w:p w14:paraId="1ADE2290" w14:textId="77777777" w:rsidR="009523DA" w:rsidRPr="009523DA" w:rsidRDefault="009523DA" w:rsidP="009523DA">
            <w:pPr>
              <w:spacing w:after="0" w:line="240" w:lineRule="auto"/>
              <w:jc w:val="right"/>
              <w:rPr>
                <w:rFonts w:ascii="Arial" w:hAnsi="Arial" w:cs="Arial"/>
                <w:b/>
                <w:bCs/>
                <w:sz w:val="16"/>
                <w:szCs w:val="16"/>
              </w:rPr>
            </w:pPr>
            <w:r w:rsidRPr="009523DA">
              <w:rPr>
                <w:rFonts w:ascii="Arial" w:hAnsi="Arial" w:cs="Arial"/>
                <w:b/>
                <w:bCs/>
                <w:sz w:val="16"/>
                <w:szCs w:val="16"/>
              </w:rPr>
              <w:t>43.7</w:t>
            </w:r>
          </w:p>
        </w:tc>
        <w:tc>
          <w:tcPr>
            <w:tcW w:w="366" w:type="pct"/>
            <w:tcBorders>
              <w:top w:val="single" w:sz="2" w:space="0" w:color="000000" w:themeColor="text1"/>
              <w:left w:val="nil"/>
              <w:bottom w:val="single" w:sz="2" w:space="0" w:color="000000" w:themeColor="text1"/>
              <w:right w:val="nil"/>
            </w:tcBorders>
            <w:shd w:val="clear" w:color="auto" w:fill="auto"/>
            <w:noWrap/>
            <w:vAlign w:val="center"/>
            <w:hideMark/>
          </w:tcPr>
          <w:p w14:paraId="56E0C12F" w14:textId="77777777" w:rsidR="009523DA" w:rsidRPr="009523DA" w:rsidRDefault="009523DA" w:rsidP="009523DA">
            <w:pPr>
              <w:spacing w:after="0" w:line="240" w:lineRule="auto"/>
              <w:jc w:val="right"/>
              <w:rPr>
                <w:rFonts w:ascii="Arial" w:hAnsi="Arial" w:cs="Arial"/>
                <w:b/>
                <w:bCs/>
                <w:color w:val="auto"/>
                <w:sz w:val="16"/>
                <w:szCs w:val="16"/>
              </w:rPr>
            </w:pPr>
            <w:r w:rsidRPr="009523DA">
              <w:rPr>
                <w:rFonts w:ascii="Arial" w:hAnsi="Arial" w:cs="Arial"/>
                <w:b/>
                <w:bCs/>
                <w:color w:val="auto"/>
                <w:sz w:val="16"/>
                <w:szCs w:val="16"/>
              </w:rPr>
              <w:t>391</w:t>
            </w:r>
          </w:p>
        </w:tc>
        <w:tc>
          <w:tcPr>
            <w:tcW w:w="428" w:type="pct"/>
            <w:tcBorders>
              <w:top w:val="single" w:sz="2" w:space="0" w:color="000000" w:themeColor="text1"/>
              <w:left w:val="nil"/>
              <w:bottom w:val="single" w:sz="2" w:space="0" w:color="000000" w:themeColor="text1"/>
              <w:right w:val="nil"/>
            </w:tcBorders>
            <w:shd w:val="clear" w:color="auto" w:fill="auto"/>
            <w:noWrap/>
            <w:vAlign w:val="center"/>
            <w:hideMark/>
          </w:tcPr>
          <w:p w14:paraId="075FFDDF" w14:textId="77777777" w:rsidR="009523DA" w:rsidRPr="009523DA" w:rsidRDefault="009523DA" w:rsidP="009523DA">
            <w:pPr>
              <w:spacing w:after="0" w:line="240" w:lineRule="auto"/>
              <w:jc w:val="right"/>
              <w:rPr>
                <w:rFonts w:ascii="Arial" w:hAnsi="Arial" w:cs="Arial"/>
                <w:b/>
                <w:bCs/>
                <w:color w:val="auto"/>
                <w:sz w:val="16"/>
                <w:szCs w:val="16"/>
              </w:rPr>
            </w:pPr>
            <w:r w:rsidRPr="009523DA">
              <w:rPr>
                <w:rFonts w:ascii="Arial" w:hAnsi="Arial" w:cs="Arial"/>
                <w:b/>
                <w:bCs/>
                <w:color w:val="auto"/>
                <w:sz w:val="16"/>
                <w:szCs w:val="16"/>
              </w:rPr>
              <w:t>39.5</w:t>
            </w:r>
          </w:p>
        </w:tc>
        <w:tc>
          <w:tcPr>
            <w:tcW w:w="366" w:type="pct"/>
            <w:tcBorders>
              <w:top w:val="single" w:sz="2" w:space="0" w:color="000000" w:themeColor="text1"/>
              <w:left w:val="nil"/>
              <w:bottom w:val="single" w:sz="2" w:space="0" w:color="000000" w:themeColor="text1"/>
              <w:right w:val="nil"/>
            </w:tcBorders>
            <w:shd w:val="clear" w:color="000000" w:fill="F2F2F2"/>
            <w:noWrap/>
            <w:vAlign w:val="center"/>
            <w:hideMark/>
          </w:tcPr>
          <w:p w14:paraId="089B06AB" w14:textId="77777777" w:rsidR="009523DA" w:rsidRPr="009523DA" w:rsidRDefault="009523DA" w:rsidP="009523DA">
            <w:pPr>
              <w:spacing w:after="0" w:line="240" w:lineRule="auto"/>
              <w:jc w:val="right"/>
              <w:rPr>
                <w:rFonts w:ascii="Arial" w:hAnsi="Arial" w:cs="Arial"/>
                <w:b/>
                <w:bCs/>
                <w:color w:val="auto"/>
                <w:sz w:val="16"/>
                <w:szCs w:val="16"/>
              </w:rPr>
            </w:pPr>
            <w:r w:rsidRPr="009523DA">
              <w:rPr>
                <w:rFonts w:ascii="Arial" w:hAnsi="Arial" w:cs="Arial"/>
                <w:b/>
                <w:bCs/>
                <w:color w:val="auto"/>
                <w:sz w:val="16"/>
                <w:szCs w:val="16"/>
              </w:rPr>
              <w:t>487</w:t>
            </w:r>
          </w:p>
        </w:tc>
        <w:tc>
          <w:tcPr>
            <w:tcW w:w="428" w:type="pct"/>
            <w:tcBorders>
              <w:top w:val="single" w:sz="2" w:space="0" w:color="000000" w:themeColor="text1"/>
              <w:left w:val="nil"/>
              <w:bottom w:val="single" w:sz="2" w:space="0" w:color="000000" w:themeColor="text1"/>
              <w:right w:val="nil"/>
            </w:tcBorders>
            <w:shd w:val="clear" w:color="000000" w:fill="F2F2F2"/>
            <w:noWrap/>
            <w:vAlign w:val="center"/>
            <w:hideMark/>
          </w:tcPr>
          <w:p w14:paraId="3E5B7981" w14:textId="77777777" w:rsidR="009523DA" w:rsidRPr="009523DA" w:rsidRDefault="009523DA" w:rsidP="009523DA">
            <w:pPr>
              <w:spacing w:after="0" w:line="240" w:lineRule="auto"/>
              <w:jc w:val="right"/>
              <w:rPr>
                <w:rFonts w:ascii="Arial" w:hAnsi="Arial" w:cs="Arial"/>
                <w:b/>
                <w:bCs/>
                <w:color w:val="auto"/>
                <w:sz w:val="16"/>
                <w:szCs w:val="16"/>
              </w:rPr>
            </w:pPr>
            <w:r w:rsidRPr="009523DA">
              <w:rPr>
                <w:rFonts w:ascii="Arial" w:hAnsi="Arial" w:cs="Arial"/>
                <w:b/>
                <w:bCs/>
                <w:color w:val="auto"/>
                <w:sz w:val="16"/>
                <w:szCs w:val="16"/>
              </w:rPr>
              <w:t>73.0</w:t>
            </w:r>
          </w:p>
        </w:tc>
      </w:tr>
    </w:tbl>
    <w:p w14:paraId="55D77851" w14:textId="3F2CE261" w:rsidR="00A84283" w:rsidRPr="00F3272D" w:rsidRDefault="00A84283" w:rsidP="007149D6">
      <w:pPr>
        <w:pStyle w:val="ChartorTableFootnote"/>
        <w:numPr>
          <w:ilvl w:val="0"/>
          <w:numId w:val="10"/>
        </w:numPr>
      </w:pPr>
      <w:r w:rsidRPr="00F3272D">
        <w:t>From 1 December 2015, annual programs under the new provisions in the Act are known as exemption certificates for foreign persons. They are no longer limited to a 12 month period.</w:t>
      </w:r>
    </w:p>
    <w:p w14:paraId="462F914B" w14:textId="77777777" w:rsidR="00A84283" w:rsidRPr="001A6701" w:rsidRDefault="00A84283" w:rsidP="006D64A2">
      <w:pPr>
        <w:pStyle w:val="ChartorTableNote"/>
      </w:pPr>
      <w:r w:rsidRPr="00851AB4">
        <w:t>Notes:</w:t>
      </w:r>
      <w:r w:rsidRPr="00851AB4">
        <w:tab/>
      </w:r>
      <w:r w:rsidRPr="001A6701">
        <w:t>Totals may not add due to rounding.</w:t>
      </w:r>
    </w:p>
    <w:p w14:paraId="29E5CA3B" w14:textId="52D86B18" w:rsidR="00A84283" w:rsidRPr="001A6701" w:rsidRDefault="00A84283" w:rsidP="006D64A2">
      <w:pPr>
        <w:pStyle w:val="ChartorTableNote"/>
      </w:pPr>
      <w:r w:rsidRPr="001A6701">
        <w:t>Excludes individual approvals for corporate reorganisations (some corporate reorganisations may be covered by exemption certificates).</w:t>
      </w:r>
    </w:p>
    <w:p w14:paraId="6F8C070F" w14:textId="4FC506B1" w:rsidR="00A84283" w:rsidRPr="001A6701" w:rsidRDefault="00A84283" w:rsidP="00406C1F">
      <w:pPr>
        <w:pStyle w:val="ChartorTableNote"/>
      </w:pPr>
      <w:r w:rsidRPr="001A6701">
        <w:t>Data for 2015–16 onwards was impacted by the 1 December 2015 reforms. Data from 2017</w:t>
      </w:r>
      <w:r w:rsidR="00851AB4" w:rsidRPr="001A6701">
        <w:noBreakHyphen/>
      </w:r>
      <w:r w:rsidRPr="001A6701">
        <w:t>18 was impacted by the reforms announced in the 2017</w:t>
      </w:r>
      <w:r w:rsidR="00851AB4" w:rsidRPr="001A6701">
        <w:noBreakHyphen/>
      </w:r>
      <w:r w:rsidRPr="001A6701">
        <w:t>18 Budget, which were given effect on 1 July 2017. These reforms may affect data comparability across time.</w:t>
      </w:r>
    </w:p>
    <w:p w14:paraId="5D6EF0BB" w14:textId="47861CF8" w:rsidR="00A84283" w:rsidRPr="00E55E34" w:rsidRDefault="00A84283" w:rsidP="00E55E34">
      <w:pPr>
        <w:pStyle w:val="TableMainHeading"/>
      </w:pPr>
      <w:bookmarkStart w:id="110" w:name="_Toc32247770"/>
      <w:bookmarkStart w:id="111" w:name="_Toc33521355"/>
      <w:r w:rsidRPr="00E55E34">
        <w:t>Table 3.9: State and territory distribution of proposed investment in commercial real estate in 201</w:t>
      </w:r>
      <w:r w:rsidR="00851AB4" w:rsidRPr="00E55E34">
        <w:t>8</w:t>
      </w:r>
      <w:r w:rsidRPr="00E55E34">
        <w:t>–1</w:t>
      </w:r>
      <w:r w:rsidR="00851AB4" w:rsidRPr="00E55E34">
        <w:t>9</w:t>
      </w:r>
      <w:bookmarkEnd w:id="110"/>
      <w:bookmarkEnd w:id="111"/>
    </w:p>
    <w:tbl>
      <w:tblPr>
        <w:tblW w:w="5000" w:type="pct"/>
        <w:tblLook w:val="04A0" w:firstRow="1" w:lastRow="0" w:firstColumn="1" w:lastColumn="0" w:noHBand="0" w:noVBand="1"/>
      </w:tblPr>
      <w:tblGrid>
        <w:gridCol w:w="1625"/>
        <w:gridCol w:w="1186"/>
        <w:gridCol w:w="272"/>
        <w:gridCol w:w="1258"/>
        <w:gridCol w:w="1974"/>
        <w:gridCol w:w="272"/>
        <w:gridCol w:w="1123"/>
      </w:tblGrid>
      <w:tr w:rsidR="008B71E3" w:rsidRPr="008B71E3" w14:paraId="1B46632A" w14:textId="77777777" w:rsidTr="00CB5DF7">
        <w:trPr>
          <w:trHeight w:val="225"/>
        </w:trPr>
        <w:tc>
          <w:tcPr>
            <w:tcW w:w="1556" w:type="dxa"/>
            <w:tcBorders>
              <w:top w:val="single" w:sz="2" w:space="0" w:color="000000" w:themeColor="text1"/>
              <w:left w:val="nil"/>
              <w:bottom w:val="nil"/>
              <w:right w:val="nil"/>
            </w:tcBorders>
            <w:shd w:val="clear" w:color="000000" w:fill="FFFFFF"/>
            <w:noWrap/>
            <w:vAlign w:val="center"/>
            <w:hideMark/>
          </w:tcPr>
          <w:p w14:paraId="01E12C65" w14:textId="77777777" w:rsidR="008B71E3" w:rsidRPr="008B71E3" w:rsidRDefault="008B71E3">
            <w:pPr>
              <w:spacing w:after="0" w:line="240" w:lineRule="auto"/>
              <w:jc w:val="left"/>
              <w:rPr>
                <w:rFonts w:ascii="Arial" w:hAnsi="Arial" w:cs="Arial"/>
                <w:sz w:val="16"/>
                <w:szCs w:val="16"/>
              </w:rPr>
            </w:pPr>
            <w:r w:rsidRPr="008B71E3">
              <w:rPr>
                <w:rFonts w:ascii="Arial" w:hAnsi="Arial" w:cs="Arial"/>
                <w:sz w:val="16"/>
                <w:szCs w:val="16"/>
              </w:rPr>
              <w:t> </w:t>
            </w:r>
          </w:p>
        </w:tc>
        <w:tc>
          <w:tcPr>
            <w:tcW w:w="1136" w:type="dxa"/>
            <w:tcBorders>
              <w:top w:val="single" w:sz="2" w:space="0" w:color="000000" w:themeColor="text1"/>
              <w:left w:val="nil"/>
              <w:bottom w:val="nil"/>
              <w:right w:val="nil"/>
            </w:tcBorders>
            <w:shd w:val="clear" w:color="000000" w:fill="FFFFFF"/>
            <w:noWrap/>
            <w:vAlign w:val="center"/>
            <w:hideMark/>
          </w:tcPr>
          <w:p w14:paraId="3670D47E"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 </w:t>
            </w:r>
          </w:p>
        </w:tc>
        <w:tc>
          <w:tcPr>
            <w:tcW w:w="196" w:type="dxa"/>
            <w:tcBorders>
              <w:top w:val="single" w:sz="2" w:space="0" w:color="000000" w:themeColor="text1"/>
              <w:left w:val="nil"/>
              <w:bottom w:val="nil"/>
              <w:right w:val="nil"/>
            </w:tcBorders>
            <w:shd w:val="clear" w:color="000000" w:fill="FFFFFF"/>
            <w:noWrap/>
            <w:vAlign w:val="center"/>
            <w:hideMark/>
          </w:tcPr>
          <w:p w14:paraId="2194A94A"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 </w:t>
            </w:r>
          </w:p>
        </w:tc>
        <w:tc>
          <w:tcPr>
            <w:tcW w:w="3096" w:type="dxa"/>
            <w:gridSpan w:val="2"/>
            <w:tcBorders>
              <w:top w:val="single" w:sz="2" w:space="0" w:color="000000" w:themeColor="text1"/>
              <w:left w:val="nil"/>
              <w:bottom w:val="nil"/>
              <w:right w:val="nil"/>
            </w:tcBorders>
            <w:shd w:val="clear" w:color="000000" w:fill="FFFFFF"/>
            <w:noWrap/>
            <w:vAlign w:val="center"/>
            <w:hideMark/>
          </w:tcPr>
          <w:p w14:paraId="5F2F393F" w14:textId="77777777" w:rsidR="008B71E3" w:rsidRPr="008B71E3" w:rsidRDefault="008B71E3" w:rsidP="008B71E3">
            <w:pPr>
              <w:spacing w:after="0" w:line="240" w:lineRule="auto"/>
              <w:jc w:val="center"/>
              <w:rPr>
                <w:rFonts w:ascii="Arial" w:hAnsi="Arial" w:cs="Arial"/>
                <w:sz w:val="16"/>
                <w:szCs w:val="16"/>
              </w:rPr>
            </w:pPr>
            <w:r w:rsidRPr="008B71E3">
              <w:rPr>
                <w:rFonts w:ascii="Arial" w:hAnsi="Arial" w:cs="Arial"/>
                <w:sz w:val="16"/>
                <w:szCs w:val="16"/>
              </w:rPr>
              <w:t>Commercial</w:t>
            </w:r>
          </w:p>
        </w:tc>
        <w:tc>
          <w:tcPr>
            <w:tcW w:w="196" w:type="dxa"/>
            <w:tcBorders>
              <w:top w:val="single" w:sz="2" w:space="0" w:color="000000" w:themeColor="text1"/>
              <w:left w:val="nil"/>
              <w:bottom w:val="nil"/>
              <w:right w:val="nil"/>
            </w:tcBorders>
            <w:shd w:val="clear" w:color="000000" w:fill="FFFFFF"/>
            <w:noWrap/>
            <w:vAlign w:val="center"/>
            <w:hideMark/>
          </w:tcPr>
          <w:p w14:paraId="31B41D06" w14:textId="77777777" w:rsidR="008B71E3" w:rsidRPr="008B71E3" w:rsidRDefault="008B71E3" w:rsidP="008B71E3">
            <w:pPr>
              <w:spacing w:after="0" w:line="240" w:lineRule="auto"/>
              <w:jc w:val="center"/>
              <w:rPr>
                <w:rFonts w:ascii="Arial" w:hAnsi="Arial" w:cs="Arial"/>
                <w:sz w:val="16"/>
                <w:szCs w:val="16"/>
              </w:rPr>
            </w:pPr>
            <w:r w:rsidRPr="008B71E3">
              <w:rPr>
                <w:rFonts w:ascii="Arial" w:hAnsi="Arial" w:cs="Arial"/>
                <w:sz w:val="16"/>
                <w:szCs w:val="16"/>
              </w:rPr>
              <w:t> </w:t>
            </w:r>
          </w:p>
        </w:tc>
        <w:tc>
          <w:tcPr>
            <w:tcW w:w="1076" w:type="dxa"/>
            <w:tcBorders>
              <w:top w:val="single" w:sz="2" w:space="0" w:color="000000" w:themeColor="text1"/>
              <w:left w:val="nil"/>
              <w:bottom w:val="nil"/>
              <w:right w:val="nil"/>
            </w:tcBorders>
            <w:shd w:val="clear" w:color="000000" w:fill="FFFFFF"/>
            <w:noWrap/>
            <w:vAlign w:val="center"/>
            <w:hideMark/>
          </w:tcPr>
          <w:p w14:paraId="65CA41AC"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 </w:t>
            </w:r>
          </w:p>
        </w:tc>
      </w:tr>
      <w:tr w:rsidR="008B71E3" w:rsidRPr="008B71E3" w14:paraId="57DE3357" w14:textId="77777777" w:rsidTr="00CB5DF7">
        <w:trPr>
          <w:trHeight w:val="225"/>
        </w:trPr>
        <w:tc>
          <w:tcPr>
            <w:tcW w:w="1556" w:type="dxa"/>
            <w:tcBorders>
              <w:top w:val="nil"/>
              <w:left w:val="nil"/>
              <w:right w:val="nil"/>
            </w:tcBorders>
            <w:shd w:val="clear" w:color="000000" w:fill="FFFFFF"/>
            <w:noWrap/>
            <w:vAlign w:val="center"/>
            <w:hideMark/>
          </w:tcPr>
          <w:p w14:paraId="76570983"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 </w:t>
            </w:r>
          </w:p>
        </w:tc>
        <w:tc>
          <w:tcPr>
            <w:tcW w:w="1136" w:type="dxa"/>
            <w:tcBorders>
              <w:top w:val="nil"/>
              <w:left w:val="nil"/>
              <w:right w:val="nil"/>
            </w:tcBorders>
            <w:shd w:val="clear" w:color="000000" w:fill="FFFFFF"/>
            <w:noWrap/>
            <w:vAlign w:val="center"/>
            <w:hideMark/>
          </w:tcPr>
          <w:p w14:paraId="0414DCD5" w14:textId="77777777"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Number of</w:t>
            </w:r>
          </w:p>
        </w:tc>
        <w:tc>
          <w:tcPr>
            <w:tcW w:w="196" w:type="dxa"/>
            <w:tcBorders>
              <w:top w:val="nil"/>
              <w:left w:val="nil"/>
              <w:bottom w:val="nil"/>
              <w:right w:val="nil"/>
            </w:tcBorders>
            <w:shd w:val="clear" w:color="000000" w:fill="FFFFFF"/>
            <w:noWrap/>
            <w:vAlign w:val="center"/>
            <w:hideMark/>
          </w:tcPr>
          <w:p w14:paraId="2F687CC5"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 </w:t>
            </w:r>
          </w:p>
        </w:tc>
        <w:tc>
          <w:tcPr>
            <w:tcW w:w="1205" w:type="dxa"/>
            <w:tcBorders>
              <w:top w:val="nil"/>
              <w:left w:val="nil"/>
              <w:right w:val="nil"/>
            </w:tcBorders>
            <w:shd w:val="clear" w:color="000000" w:fill="FFFFFF"/>
            <w:noWrap/>
            <w:vAlign w:val="center"/>
            <w:hideMark/>
          </w:tcPr>
          <w:p w14:paraId="56875D8B" w14:textId="77777777"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Developed</w:t>
            </w:r>
          </w:p>
        </w:tc>
        <w:tc>
          <w:tcPr>
            <w:tcW w:w="1891" w:type="dxa"/>
            <w:tcBorders>
              <w:top w:val="nil"/>
              <w:left w:val="nil"/>
              <w:right w:val="nil"/>
            </w:tcBorders>
            <w:shd w:val="clear" w:color="000000" w:fill="FFFFFF"/>
            <w:noWrap/>
            <w:vAlign w:val="center"/>
            <w:hideMark/>
          </w:tcPr>
          <w:p w14:paraId="221C7E61" w14:textId="77777777"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For development</w:t>
            </w:r>
          </w:p>
        </w:tc>
        <w:tc>
          <w:tcPr>
            <w:tcW w:w="196" w:type="dxa"/>
            <w:tcBorders>
              <w:top w:val="nil"/>
              <w:left w:val="nil"/>
              <w:bottom w:val="nil"/>
              <w:right w:val="nil"/>
            </w:tcBorders>
            <w:shd w:val="clear" w:color="000000" w:fill="FFFFFF"/>
            <w:noWrap/>
            <w:vAlign w:val="center"/>
            <w:hideMark/>
          </w:tcPr>
          <w:p w14:paraId="3A2923C2" w14:textId="77777777"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 </w:t>
            </w:r>
          </w:p>
        </w:tc>
        <w:tc>
          <w:tcPr>
            <w:tcW w:w="1076" w:type="dxa"/>
            <w:tcBorders>
              <w:top w:val="nil"/>
              <w:left w:val="nil"/>
              <w:right w:val="nil"/>
            </w:tcBorders>
            <w:shd w:val="clear" w:color="000000" w:fill="FFFFFF"/>
            <w:noWrap/>
            <w:vAlign w:val="center"/>
            <w:hideMark/>
          </w:tcPr>
          <w:p w14:paraId="574D9F1E" w14:textId="77777777"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Total</w:t>
            </w:r>
          </w:p>
        </w:tc>
      </w:tr>
      <w:tr w:rsidR="008B71E3" w:rsidRPr="008B71E3" w14:paraId="0D07B70A" w14:textId="77777777" w:rsidTr="00CB5DF7">
        <w:trPr>
          <w:trHeight w:val="225"/>
        </w:trPr>
        <w:tc>
          <w:tcPr>
            <w:tcW w:w="1556" w:type="dxa"/>
            <w:tcBorders>
              <w:top w:val="nil"/>
              <w:left w:val="nil"/>
              <w:bottom w:val="single" w:sz="2" w:space="0" w:color="000000" w:themeColor="text1"/>
              <w:right w:val="nil"/>
            </w:tcBorders>
            <w:shd w:val="clear" w:color="000000" w:fill="FFFFFF"/>
            <w:noWrap/>
            <w:vAlign w:val="center"/>
            <w:hideMark/>
          </w:tcPr>
          <w:p w14:paraId="02646A99"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Location</w:t>
            </w:r>
          </w:p>
        </w:tc>
        <w:tc>
          <w:tcPr>
            <w:tcW w:w="1136" w:type="dxa"/>
            <w:tcBorders>
              <w:top w:val="nil"/>
              <w:left w:val="nil"/>
              <w:bottom w:val="single" w:sz="2" w:space="0" w:color="000000" w:themeColor="text1"/>
              <w:right w:val="nil"/>
            </w:tcBorders>
            <w:shd w:val="clear" w:color="000000" w:fill="FFFFFF"/>
            <w:noWrap/>
            <w:vAlign w:val="center"/>
            <w:hideMark/>
          </w:tcPr>
          <w:p w14:paraId="615A28D3" w14:textId="77777777"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approvals</w:t>
            </w:r>
          </w:p>
        </w:tc>
        <w:tc>
          <w:tcPr>
            <w:tcW w:w="196" w:type="dxa"/>
            <w:tcBorders>
              <w:top w:val="nil"/>
              <w:left w:val="nil"/>
              <w:bottom w:val="nil"/>
              <w:right w:val="nil"/>
            </w:tcBorders>
            <w:shd w:val="clear" w:color="000000" w:fill="FFFFFF"/>
            <w:noWrap/>
            <w:vAlign w:val="center"/>
            <w:hideMark/>
          </w:tcPr>
          <w:p w14:paraId="5ADD1E2A"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 </w:t>
            </w:r>
          </w:p>
        </w:tc>
        <w:tc>
          <w:tcPr>
            <w:tcW w:w="1205" w:type="dxa"/>
            <w:tcBorders>
              <w:top w:val="nil"/>
              <w:left w:val="nil"/>
              <w:bottom w:val="single" w:sz="2" w:space="0" w:color="000000" w:themeColor="text1"/>
              <w:right w:val="nil"/>
            </w:tcBorders>
            <w:shd w:val="clear" w:color="000000" w:fill="FFFFFF"/>
            <w:noWrap/>
            <w:vAlign w:val="center"/>
            <w:hideMark/>
          </w:tcPr>
          <w:p w14:paraId="6FDB173C" w14:textId="44238789"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$b</w:t>
            </w:r>
          </w:p>
        </w:tc>
        <w:tc>
          <w:tcPr>
            <w:tcW w:w="1891" w:type="dxa"/>
            <w:tcBorders>
              <w:top w:val="nil"/>
              <w:left w:val="nil"/>
              <w:bottom w:val="single" w:sz="2" w:space="0" w:color="000000" w:themeColor="text1"/>
              <w:right w:val="nil"/>
            </w:tcBorders>
            <w:shd w:val="clear" w:color="000000" w:fill="FFFFFF"/>
            <w:noWrap/>
            <w:vAlign w:val="center"/>
            <w:hideMark/>
          </w:tcPr>
          <w:p w14:paraId="43173ACE" w14:textId="1AF19277"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$b</w:t>
            </w:r>
          </w:p>
        </w:tc>
        <w:tc>
          <w:tcPr>
            <w:tcW w:w="196" w:type="dxa"/>
            <w:tcBorders>
              <w:top w:val="nil"/>
              <w:left w:val="nil"/>
              <w:bottom w:val="nil"/>
              <w:right w:val="nil"/>
            </w:tcBorders>
            <w:shd w:val="clear" w:color="000000" w:fill="FFFFFF"/>
            <w:noWrap/>
            <w:vAlign w:val="center"/>
            <w:hideMark/>
          </w:tcPr>
          <w:p w14:paraId="6D37BACA" w14:textId="77777777"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 </w:t>
            </w:r>
          </w:p>
        </w:tc>
        <w:tc>
          <w:tcPr>
            <w:tcW w:w="1076" w:type="dxa"/>
            <w:tcBorders>
              <w:top w:val="nil"/>
              <w:left w:val="nil"/>
              <w:bottom w:val="single" w:sz="2" w:space="0" w:color="000000" w:themeColor="text1"/>
              <w:right w:val="nil"/>
            </w:tcBorders>
            <w:shd w:val="clear" w:color="000000" w:fill="FFFFFF"/>
            <w:noWrap/>
            <w:vAlign w:val="center"/>
            <w:hideMark/>
          </w:tcPr>
          <w:p w14:paraId="0E05BBF1" w14:textId="051F3A36" w:rsidR="008B71E3" w:rsidRPr="008B71E3" w:rsidRDefault="008B71E3" w:rsidP="008B71E3">
            <w:pPr>
              <w:spacing w:after="0" w:line="240" w:lineRule="auto"/>
              <w:jc w:val="right"/>
              <w:rPr>
                <w:rFonts w:ascii="Arial" w:hAnsi="Arial" w:cs="Arial"/>
                <w:sz w:val="16"/>
                <w:szCs w:val="16"/>
              </w:rPr>
            </w:pPr>
            <w:r w:rsidRPr="008B71E3">
              <w:rPr>
                <w:rFonts w:ascii="Arial" w:hAnsi="Arial" w:cs="Arial"/>
                <w:sz w:val="16"/>
                <w:szCs w:val="16"/>
              </w:rPr>
              <w:t>$b</w:t>
            </w:r>
          </w:p>
        </w:tc>
      </w:tr>
      <w:tr w:rsidR="008B71E3" w:rsidRPr="008B71E3" w14:paraId="01E5B1F5" w14:textId="77777777" w:rsidTr="00CB5DF7">
        <w:trPr>
          <w:trHeight w:val="225"/>
        </w:trPr>
        <w:tc>
          <w:tcPr>
            <w:tcW w:w="1556" w:type="dxa"/>
            <w:tcBorders>
              <w:top w:val="single" w:sz="2" w:space="0" w:color="000000" w:themeColor="text1"/>
              <w:left w:val="nil"/>
              <w:bottom w:val="nil"/>
              <w:right w:val="nil"/>
            </w:tcBorders>
            <w:shd w:val="clear" w:color="000000" w:fill="FFFFFF"/>
            <w:noWrap/>
            <w:vAlign w:val="center"/>
            <w:hideMark/>
          </w:tcPr>
          <w:p w14:paraId="7C05ADBB"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ACT</w:t>
            </w:r>
          </w:p>
        </w:tc>
        <w:tc>
          <w:tcPr>
            <w:tcW w:w="1136" w:type="dxa"/>
            <w:tcBorders>
              <w:top w:val="single" w:sz="2" w:space="0" w:color="000000" w:themeColor="text1"/>
              <w:left w:val="nil"/>
              <w:bottom w:val="nil"/>
              <w:right w:val="nil"/>
            </w:tcBorders>
            <w:shd w:val="clear" w:color="000000" w:fill="FFFFFF"/>
            <w:noWrap/>
            <w:vAlign w:val="center"/>
            <w:hideMark/>
          </w:tcPr>
          <w:p w14:paraId="00E6DA7F"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3</w:t>
            </w:r>
          </w:p>
        </w:tc>
        <w:tc>
          <w:tcPr>
            <w:tcW w:w="196" w:type="dxa"/>
            <w:tcBorders>
              <w:top w:val="nil"/>
              <w:left w:val="nil"/>
              <w:bottom w:val="nil"/>
              <w:right w:val="nil"/>
            </w:tcBorders>
            <w:shd w:val="clear" w:color="000000" w:fill="FFFFFF"/>
            <w:noWrap/>
            <w:vAlign w:val="center"/>
            <w:hideMark/>
          </w:tcPr>
          <w:p w14:paraId="3358DB7B"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single" w:sz="2" w:space="0" w:color="000000" w:themeColor="text1"/>
              <w:left w:val="nil"/>
              <w:bottom w:val="nil"/>
              <w:right w:val="nil"/>
            </w:tcBorders>
            <w:shd w:val="clear" w:color="000000" w:fill="FFFFFF"/>
            <w:noWrap/>
            <w:vAlign w:val="center"/>
            <w:hideMark/>
          </w:tcPr>
          <w:p w14:paraId="72E8D101"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0.1</w:t>
            </w:r>
          </w:p>
        </w:tc>
        <w:tc>
          <w:tcPr>
            <w:tcW w:w="1891" w:type="dxa"/>
            <w:tcBorders>
              <w:top w:val="single" w:sz="2" w:space="0" w:color="000000" w:themeColor="text1"/>
              <w:left w:val="nil"/>
              <w:bottom w:val="nil"/>
              <w:right w:val="nil"/>
            </w:tcBorders>
            <w:shd w:val="clear" w:color="000000" w:fill="FFFFFF"/>
            <w:noWrap/>
            <w:vAlign w:val="center"/>
            <w:hideMark/>
          </w:tcPr>
          <w:p w14:paraId="68A6F81A"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0.0</w:t>
            </w:r>
          </w:p>
        </w:tc>
        <w:tc>
          <w:tcPr>
            <w:tcW w:w="196" w:type="dxa"/>
            <w:tcBorders>
              <w:top w:val="nil"/>
              <w:left w:val="nil"/>
              <w:bottom w:val="nil"/>
              <w:right w:val="nil"/>
            </w:tcBorders>
            <w:shd w:val="clear" w:color="000000" w:fill="FFFFFF"/>
            <w:noWrap/>
            <w:vAlign w:val="center"/>
            <w:hideMark/>
          </w:tcPr>
          <w:p w14:paraId="6888F2DB"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single" w:sz="2" w:space="0" w:color="000000" w:themeColor="text1"/>
              <w:left w:val="nil"/>
              <w:bottom w:val="nil"/>
              <w:right w:val="nil"/>
            </w:tcBorders>
            <w:shd w:val="clear" w:color="000000" w:fill="FFFFFF"/>
            <w:noWrap/>
            <w:vAlign w:val="center"/>
            <w:hideMark/>
          </w:tcPr>
          <w:p w14:paraId="68D9AD99"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0.1</w:t>
            </w:r>
          </w:p>
        </w:tc>
      </w:tr>
      <w:tr w:rsidR="008B71E3" w:rsidRPr="008B71E3" w14:paraId="5688E8AF" w14:textId="77777777" w:rsidTr="00CB5DF7">
        <w:trPr>
          <w:trHeight w:val="225"/>
        </w:trPr>
        <w:tc>
          <w:tcPr>
            <w:tcW w:w="1556" w:type="dxa"/>
            <w:tcBorders>
              <w:top w:val="nil"/>
              <w:left w:val="nil"/>
              <w:bottom w:val="nil"/>
              <w:right w:val="nil"/>
            </w:tcBorders>
            <w:shd w:val="clear" w:color="000000" w:fill="FFFFFF"/>
            <w:noWrap/>
            <w:vAlign w:val="center"/>
            <w:hideMark/>
          </w:tcPr>
          <w:p w14:paraId="63E8C2A4"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NSW</w:t>
            </w:r>
          </w:p>
        </w:tc>
        <w:tc>
          <w:tcPr>
            <w:tcW w:w="1136" w:type="dxa"/>
            <w:tcBorders>
              <w:top w:val="nil"/>
              <w:left w:val="nil"/>
              <w:bottom w:val="nil"/>
              <w:right w:val="nil"/>
            </w:tcBorders>
            <w:shd w:val="clear" w:color="000000" w:fill="FFFFFF"/>
            <w:noWrap/>
            <w:vAlign w:val="center"/>
            <w:hideMark/>
          </w:tcPr>
          <w:p w14:paraId="73800816"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117</w:t>
            </w:r>
          </w:p>
        </w:tc>
        <w:tc>
          <w:tcPr>
            <w:tcW w:w="196" w:type="dxa"/>
            <w:tcBorders>
              <w:top w:val="nil"/>
              <w:left w:val="nil"/>
              <w:bottom w:val="nil"/>
              <w:right w:val="nil"/>
            </w:tcBorders>
            <w:shd w:val="clear" w:color="000000" w:fill="FFFFFF"/>
            <w:noWrap/>
            <w:vAlign w:val="center"/>
            <w:hideMark/>
          </w:tcPr>
          <w:p w14:paraId="11C3242A"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nil"/>
              <w:left w:val="nil"/>
              <w:bottom w:val="nil"/>
              <w:right w:val="nil"/>
            </w:tcBorders>
            <w:shd w:val="clear" w:color="000000" w:fill="FFFFFF"/>
            <w:noWrap/>
            <w:vAlign w:val="center"/>
            <w:hideMark/>
          </w:tcPr>
          <w:p w14:paraId="064F0F97"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7.6</w:t>
            </w:r>
          </w:p>
        </w:tc>
        <w:tc>
          <w:tcPr>
            <w:tcW w:w="1891" w:type="dxa"/>
            <w:tcBorders>
              <w:top w:val="nil"/>
              <w:left w:val="nil"/>
              <w:bottom w:val="nil"/>
              <w:right w:val="nil"/>
            </w:tcBorders>
            <w:shd w:val="clear" w:color="000000" w:fill="FFFFFF"/>
            <w:noWrap/>
            <w:vAlign w:val="center"/>
            <w:hideMark/>
          </w:tcPr>
          <w:p w14:paraId="2215CD67"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2.6</w:t>
            </w:r>
          </w:p>
        </w:tc>
        <w:tc>
          <w:tcPr>
            <w:tcW w:w="196" w:type="dxa"/>
            <w:tcBorders>
              <w:top w:val="nil"/>
              <w:left w:val="nil"/>
              <w:bottom w:val="nil"/>
              <w:right w:val="nil"/>
            </w:tcBorders>
            <w:shd w:val="clear" w:color="000000" w:fill="FFFFFF"/>
            <w:noWrap/>
            <w:vAlign w:val="center"/>
            <w:hideMark/>
          </w:tcPr>
          <w:p w14:paraId="3975AF13"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nil"/>
              <w:left w:val="nil"/>
              <w:bottom w:val="nil"/>
              <w:right w:val="nil"/>
            </w:tcBorders>
            <w:shd w:val="clear" w:color="000000" w:fill="FFFFFF"/>
            <w:noWrap/>
            <w:vAlign w:val="center"/>
            <w:hideMark/>
          </w:tcPr>
          <w:p w14:paraId="72CA50C1"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10.2</w:t>
            </w:r>
          </w:p>
        </w:tc>
      </w:tr>
      <w:tr w:rsidR="008B71E3" w:rsidRPr="008B71E3" w14:paraId="523B4942" w14:textId="77777777" w:rsidTr="00CB5DF7">
        <w:trPr>
          <w:trHeight w:val="225"/>
        </w:trPr>
        <w:tc>
          <w:tcPr>
            <w:tcW w:w="1556" w:type="dxa"/>
            <w:tcBorders>
              <w:top w:val="nil"/>
              <w:left w:val="nil"/>
              <w:bottom w:val="nil"/>
              <w:right w:val="nil"/>
            </w:tcBorders>
            <w:shd w:val="clear" w:color="000000" w:fill="FFFFFF"/>
            <w:noWrap/>
            <w:vAlign w:val="center"/>
            <w:hideMark/>
          </w:tcPr>
          <w:p w14:paraId="5D53630E"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NT</w:t>
            </w:r>
          </w:p>
        </w:tc>
        <w:tc>
          <w:tcPr>
            <w:tcW w:w="1136" w:type="dxa"/>
            <w:tcBorders>
              <w:top w:val="nil"/>
              <w:left w:val="nil"/>
              <w:bottom w:val="nil"/>
              <w:right w:val="nil"/>
            </w:tcBorders>
            <w:shd w:val="clear" w:color="000000" w:fill="FFFFFF"/>
            <w:noWrap/>
            <w:vAlign w:val="center"/>
            <w:hideMark/>
          </w:tcPr>
          <w:p w14:paraId="630BF5FD"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2</w:t>
            </w:r>
          </w:p>
        </w:tc>
        <w:tc>
          <w:tcPr>
            <w:tcW w:w="196" w:type="dxa"/>
            <w:tcBorders>
              <w:top w:val="nil"/>
              <w:left w:val="nil"/>
              <w:bottom w:val="nil"/>
              <w:right w:val="nil"/>
            </w:tcBorders>
            <w:shd w:val="clear" w:color="000000" w:fill="FFFFFF"/>
            <w:noWrap/>
            <w:vAlign w:val="center"/>
            <w:hideMark/>
          </w:tcPr>
          <w:p w14:paraId="5CE8C5F2"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nil"/>
              <w:left w:val="nil"/>
              <w:bottom w:val="nil"/>
              <w:right w:val="nil"/>
            </w:tcBorders>
            <w:shd w:val="clear" w:color="000000" w:fill="FFFFFF"/>
            <w:noWrap/>
            <w:vAlign w:val="center"/>
            <w:hideMark/>
          </w:tcPr>
          <w:p w14:paraId="68FEC95A"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0.0</w:t>
            </w:r>
          </w:p>
        </w:tc>
        <w:tc>
          <w:tcPr>
            <w:tcW w:w="1891" w:type="dxa"/>
            <w:tcBorders>
              <w:top w:val="nil"/>
              <w:left w:val="nil"/>
              <w:bottom w:val="nil"/>
              <w:right w:val="nil"/>
            </w:tcBorders>
            <w:shd w:val="clear" w:color="000000" w:fill="FFFFFF"/>
            <w:noWrap/>
            <w:vAlign w:val="center"/>
            <w:hideMark/>
          </w:tcPr>
          <w:p w14:paraId="117F65E1"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0.0</w:t>
            </w:r>
          </w:p>
        </w:tc>
        <w:tc>
          <w:tcPr>
            <w:tcW w:w="196" w:type="dxa"/>
            <w:tcBorders>
              <w:top w:val="nil"/>
              <w:left w:val="nil"/>
              <w:bottom w:val="nil"/>
              <w:right w:val="nil"/>
            </w:tcBorders>
            <w:shd w:val="clear" w:color="000000" w:fill="FFFFFF"/>
            <w:noWrap/>
            <w:vAlign w:val="center"/>
            <w:hideMark/>
          </w:tcPr>
          <w:p w14:paraId="5F741698"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nil"/>
              <w:left w:val="nil"/>
              <w:bottom w:val="nil"/>
              <w:right w:val="nil"/>
            </w:tcBorders>
            <w:shd w:val="clear" w:color="000000" w:fill="FFFFFF"/>
            <w:noWrap/>
            <w:vAlign w:val="center"/>
            <w:hideMark/>
          </w:tcPr>
          <w:p w14:paraId="0393A55B"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0.0</w:t>
            </w:r>
          </w:p>
        </w:tc>
      </w:tr>
      <w:tr w:rsidR="008B71E3" w:rsidRPr="008B71E3" w14:paraId="56465F15" w14:textId="77777777" w:rsidTr="00CB5DF7">
        <w:trPr>
          <w:trHeight w:val="225"/>
        </w:trPr>
        <w:tc>
          <w:tcPr>
            <w:tcW w:w="1556" w:type="dxa"/>
            <w:tcBorders>
              <w:top w:val="nil"/>
              <w:left w:val="nil"/>
              <w:bottom w:val="nil"/>
              <w:right w:val="nil"/>
            </w:tcBorders>
            <w:shd w:val="clear" w:color="000000" w:fill="FFFFFF"/>
            <w:noWrap/>
            <w:vAlign w:val="center"/>
            <w:hideMark/>
          </w:tcPr>
          <w:p w14:paraId="47764177"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Qld</w:t>
            </w:r>
          </w:p>
        </w:tc>
        <w:tc>
          <w:tcPr>
            <w:tcW w:w="1136" w:type="dxa"/>
            <w:tcBorders>
              <w:top w:val="nil"/>
              <w:left w:val="nil"/>
              <w:bottom w:val="nil"/>
              <w:right w:val="nil"/>
            </w:tcBorders>
            <w:shd w:val="clear" w:color="000000" w:fill="FFFFFF"/>
            <w:noWrap/>
            <w:vAlign w:val="center"/>
            <w:hideMark/>
          </w:tcPr>
          <w:p w14:paraId="1EBA5FEE"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78</w:t>
            </w:r>
          </w:p>
        </w:tc>
        <w:tc>
          <w:tcPr>
            <w:tcW w:w="196" w:type="dxa"/>
            <w:tcBorders>
              <w:top w:val="nil"/>
              <w:left w:val="nil"/>
              <w:bottom w:val="nil"/>
              <w:right w:val="nil"/>
            </w:tcBorders>
            <w:shd w:val="clear" w:color="000000" w:fill="FFFFFF"/>
            <w:noWrap/>
            <w:vAlign w:val="center"/>
            <w:hideMark/>
          </w:tcPr>
          <w:p w14:paraId="6EFEDDF0"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nil"/>
              <w:left w:val="nil"/>
              <w:bottom w:val="nil"/>
              <w:right w:val="nil"/>
            </w:tcBorders>
            <w:shd w:val="clear" w:color="000000" w:fill="FFFFFF"/>
            <w:noWrap/>
            <w:vAlign w:val="center"/>
            <w:hideMark/>
          </w:tcPr>
          <w:p w14:paraId="42952E08"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1.6</w:t>
            </w:r>
          </w:p>
        </w:tc>
        <w:tc>
          <w:tcPr>
            <w:tcW w:w="1891" w:type="dxa"/>
            <w:tcBorders>
              <w:top w:val="nil"/>
              <w:left w:val="nil"/>
              <w:bottom w:val="nil"/>
              <w:right w:val="nil"/>
            </w:tcBorders>
            <w:shd w:val="clear" w:color="000000" w:fill="FFFFFF"/>
            <w:noWrap/>
            <w:vAlign w:val="center"/>
            <w:hideMark/>
          </w:tcPr>
          <w:p w14:paraId="7013CDD5"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1.9</w:t>
            </w:r>
          </w:p>
        </w:tc>
        <w:tc>
          <w:tcPr>
            <w:tcW w:w="196" w:type="dxa"/>
            <w:tcBorders>
              <w:top w:val="nil"/>
              <w:left w:val="nil"/>
              <w:bottom w:val="nil"/>
              <w:right w:val="nil"/>
            </w:tcBorders>
            <w:shd w:val="clear" w:color="000000" w:fill="FFFFFF"/>
            <w:noWrap/>
            <w:vAlign w:val="center"/>
            <w:hideMark/>
          </w:tcPr>
          <w:p w14:paraId="42CC57EB"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nil"/>
              <w:left w:val="nil"/>
              <w:bottom w:val="nil"/>
              <w:right w:val="nil"/>
            </w:tcBorders>
            <w:shd w:val="clear" w:color="000000" w:fill="FFFFFF"/>
            <w:noWrap/>
            <w:vAlign w:val="center"/>
            <w:hideMark/>
          </w:tcPr>
          <w:p w14:paraId="3455AFCF"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3.5</w:t>
            </w:r>
          </w:p>
        </w:tc>
      </w:tr>
      <w:tr w:rsidR="008B71E3" w:rsidRPr="008B71E3" w14:paraId="683BD1DC" w14:textId="77777777" w:rsidTr="00CB5DF7">
        <w:trPr>
          <w:trHeight w:val="225"/>
        </w:trPr>
        <w:tc>
          <w:tcPr>
            <w:tcW w:w="1556" w:type="dxa"/>
            <w:tcBorders>
              <w:top w:val="nil"/>
              <w:left w:val="nil"/>
              <w:bottom w:val="nil"/>
              <w:right w:val="nil"/>
            </w:tcBorders>
            <w:shd w:val="clear" w:color="000000" w:fill="FFFFFF"/>
            <w:noWrap/>
            <w:vAlign w:val="center"/>
            <w:hideMark/>
          </w:tcPr>
          <w:p w14:paraId="64BA7C06"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SA</w:t>
            </w:r>
          </w:p>
        </w:tc>
        <w:tc>
          <w:tcPr>
            <w:tcW w:w="1136" w:type="dxa"/>
            <w:tcBorders>
              <w:top w:val="nil"/>
              <w:left w:val="nil"/>
              <w:bottom w:val="nil"/>
              <w:right w:val="nil"/>
            </w:tcBorders>
            <w:shd w:val="clear" w:color="000000" w:fill="FFFFFF"/>
            <w:noWrap/>
            <w:vAlign w:val="center"/>
            <w:hideMark/>
          </w:tcPr>
          <w:p w14:paraId="6134D263"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18</w:t>
            </w:r>
          </w:p>
        </w:tc>
        <w:tc>
          <w:tcPr>
            <w:tcW w:w="196" w:type="dxa"/>
            <w:tcBorders>
              <w:top w:val="nil"/>
              <w:left w:val="nil"/>
              <w:bottom w:val="nil"/>
              <w:right w:val="nil"/>
            </w:tcBorders>
            <w:shd w:val="clear" w:color="000000" w:fill="FFFFFF"/>
            <w:noWrap/>
            <w:vAlign w:val="center"/>
            <w:hideMark/>
          </w:tcPr>
          <w:p w14:paraId="4278027F"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nil"/>
              <w:left w:val="nil"/>
              <w:bottom w:val="nil"/>
              <w:right w:val="nil"/>
            </w:tcBorders>
            <w:shd w:val="clear" w:color="000000" w:fill="FFFFFF"/>
            <w:noWrap/>
            <w:vAlign w:val="center"/>
            <w:hideMark/>
          </w:tcPr>
          <w:p w14:paraId="11049682"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0.0</w:t>
            </w:r>
          </w:p>
        </w:tc>
        <w:tc>
          <w:tcPr>
            <w:tcW w:w="1891" w:type="dxa"/>
            <w:tcBorders>
              <w:top w:val="nil"/>
              <w:left w:val="nil"/>
              <w:bottom w:val="nil"/>
              <w:right w:val="nil"/>
            </w:tcBorders>
            <w:shd w:val="clear" w:color="000000" w:fill="FFFFFF"/>
            <w:noWrap/>
            <w:vAlign w:val="center"/>
            <w:hideMark/>
          </w:tcPr>
          <w:p w14:paraId="780EC0EE"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0.1</w:t>
            </w:r>
          </w:p>
        </w:tc>
        <w:tc>
          <w:tcPr>
            <w:tcW w:w="196" w:type="dxa"/>
            <w:tcBorders>
              <w:top w:val="nil"/>
              <w:left w:val="nil"/>
              <w:bottom w:val="nil"/>
              <w:right w:val="nil"/>
            </w:tcBorders>
            <w:shd w:val="clear" w:color="000000" w:fill="FFFFFF"/>
            <w:noWrap/>
            <w:vAlign w:val="center"/>
            <w:hideMark/>
          </w:tcPr>
          <w:p w14:paraId="690C6424"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nil"/>
              <w:left w:val="nil"/>
              <w:bottom w:val="nil"/>
              <w:right w:val="nil"/>
            </w:tcBorders>
            <w:shd w:val="clear" w:color="000000" w:fill="FFFFFF"/>
            <w:noWrap/>
            <w:vAlign w:val="center"/>
            <w:hideMark/>
          </w:tcPr>
          <w:p w14:paraId="1B6AB8AF"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0.2</w:t>
            </w:r>
          </w:p>
        </w:tc>
      </w:tr>
      <w:tr w:rsidR="008B71E3" w:rsidRPr="008B71E3" w14:paraId="44772907" w14:textId="77777777" w:rsidTr="00CB5DF7">
        <w:trPr>
          <w:trHeight w:val="225"/>
        </w:trPr>
        <w:tc>
          <w:tcPr>
            <w:tcW w:w="1556" w:type="dxa"/>
            <w:tcBorders>
              <w:top w:val="nil"/>
              <w:left w:val="nil"/>
              <w:bottom w:val="nil"/>
              <w:right w:val="nil"/>
            </w:tcBorders>
            <w:shd w:val="clear" w:color="000000" w:fill="FFFFFF"/>
            <w:noWrap/>
            <w:vAlign w:val="center"/>
            <w:hideMark/>
          </w:tcPr>
          <w:p w14:paraId="59EEDF47"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Tas.</w:t>
            </w:r>
          </w:p>
        </w:tc>
        <w:tc>
          <w:tcPr>
            <w:tcW w:w="1136" w:type="dxa"/>
            <w:tcBorders>
              <w:top w:val="nil"/>
              <w:left w:val="nil"/>
              <w:bottom w:val="nil"/>
              <w:right w:val="nil"/>
            </w:tcBorders>
            <w:shd w:val="clear" w:color="000000" w:fill="FFFFFF"/>
            <w:noWrap/>
            <w:vAlign w:val="center"/>
            <w:hideMark/>
          </w:tcPr>
          <w:p w14:paraId="3BF89863"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2</w:t>
            </w:r>
          </w:p>
        </w:tc>
        <w:tc>
          <w:tcPr>
            <w:tcW w:w="196" w:type="dxa"/>
            <w:tcBorders>
              <w:top w:val="nil"/>
              <w:left w:val="nil"/>
              <w:bottom w:val="nil"/>
              <w:right w:val="nil"/>
            </w:tcBorders>
            <w:shd w:val="clear" w:color="000000" w:fill="FFFFFF"/>
            <w:noWrap/>
            <w:vAlign w:val="center"/>
            <w:hideMark/>
          </w:tcPr>
          <w:p w14:paraId="4AFACF87"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nil"/>
              <w:left w:val="nil"/>
              <w:bottom w:val="nil"/>
              <w:right w:val="nil"/>
            </w:tcBorders>
            <w:shd w:val="clear" w:color="000000" w:fill="FFFFFF"/>
            <w:noWrap/>
            <w:vAlign w:val="center"/>
            <w:hideMark/>
          </w:tcPr>
          <w:p w14:paraId="12F8456A"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0.0</w:t>
            </w:r>
          </w:p>
        </w:tc>
        <w:tc>
          <w:tcPr>
            <w:tcW w:w="1891" w:type="dxa"/>
            <w:tcBorders>
              <w:top w:val="nil"/>
              <w:left w:val="nil"/>
              <w:bottom w:val="nil"/>
              <w:right w:val="nil"/>
            </w:tcBorders>
            <w:shd w:val="clear" w:color="000000" w:fill="FFFFFF"/>
            <w:noWrap/>
            <w:vAlign w:val="center"/>
            <w:hideMark/>
          </w:tcPr>
          <w:p w14:paraId="598B9F0A"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0.1</w:t>
            </w:r>
          </w:p>
        </w:tc>
        <w:tc>
          <w:tcPr>
            <w:tcW w:w="196" w:type="dxa"/>
            <w:tcBorders>
              <w:top w:val="nil"/>
              <w:left w:val="nil"/>
              <w:bottom w:val="nil"/>
              <w:right w:val="nil"/>
            </w:tcBorders>
            <w:shd w:val="clear" w:color="000000" w:fill="FFFFFF"/>
            <w:noWrap/>
            <w:vAlign w:val="center"/>
            <w:hideMark/>
          </w:tcPr>
          <w:p w14:paraId="5C6130ED"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nil"/>
              <w:left w:val="nil"/>
              <w:bottom w:val="nil"/>
              <w:right w:val="nil"/>
            </w:tcBorders>
            <w:shd w:val="clear" w:color="000000" w:fill="FFFFFF"/>
            <w:noWrap/>
            <w:vAlign w:val="center"/>
            <w:hideMark/>
          </w:tcPr>
          <w:p w14:paraId="179EDC53"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0.1</w:t>
            </w:r>
          </w:p>
        </w:tc>
      </w:tr>
      <w:tr w:rsidR="008B71E3" w:rsidRPr="008B71E3" w14:paraId="29B15EA0" w14:textId="77777777" w:rsidTr="00CB5DF7">
        <w:trPr>
          <w:trHeight w:val="225"/>
        </w:trPr>
        <w:tc>
          <w:tcPr>
            <w:tcW w:w="1556" w:type="dxa"/>
            <w:tcBorders>
              <w:top w:val="nil"/>
              <w:left w:val="nil"/>
              <w:bottom w:val="nil"/>
              <w:right w:val="nil"/>
            </w:tcBorders>
            <w:shd w:val="clear" w:color="000000" w:fill="FFFFFF"/>
            <w:noWrap/>
            <w:vAlign w:val="center"/>
            <w:hideMark/>
          </w:tcPr>
          <w:p w14:paraId="2A6DD952"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Vic.</w:t>
            </w:r>
          </w:p>
        </w:tc>
        <w:tc>
          <w:tcPr>
            <w:tcW w:w="1136" w:type="dxa"/>
            <w:tcBorders>
              <w:top w:val="nil"/>
              <w:left w:val="nil"/>
              <w:bottom w:val="nil"/>
              <w:right w:val="nil"/>
            </w:tcBorders>
            <w:shd w:val="clear" w:color="000000" w:fill="FFFFFF"/>
            <w:noWrap/>
            <w:vAlign w:val="center"/>
            <w:hideMark/>
          </w:tcPr>
          <w:p w14:paraId="5336E838"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113</w:t>
            </w:r>
          </w:p>
        </w:tc>
        <w:tc>
          <w:tcPr>
            <w:tcW w:w="196" w:type="dxa"/>
            <w:tcBorders>
              <w:top w:val="nil"/>
              <w:left w:val="nil"/>
              <w:bottom w:val="nil"/>
              <w:right w:val="nil"/>
            </w:tcBorders>
            <w:shd w:val="clear" w:color="000000" w:fill="FFFFFF"/>
            <w:noWrap/>
            <w:vAlign w:val="center"/>
            <w:hideMark/>
          </w:tcPr>
          <w:p w14:paraId="7C77867B"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nil"/>
              <w:left w:val="nil"/>
              <w:bottom w:val="nil"/>
              <w:right w:val="nil"/>
            </w:tcBorders>
            <w:shd w:val="clear" w:color="000000" w:fill="FFFFFF"/>
            <w:noWrap/>
            <w:vAlign w:val="center"/>
            <w:hideMark/>
          </w:tcPr>
          <w:p w14:paraId="106F0A3B"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3.3</w:t>
            </w:r>
          </w:p>
        </w:tc>
        <w:tc>
          <w:tcPr>
            <w:tcW w:w="1891" w:type="dxa"/>
            <w:tcBorders>
              <w:top w:val="nil"/>
              <w:left w:val="nil"/>
              <w:bottom w:val="nil"/>
              <w:right w:val="nil"/>
            </w:tcBorders>
            <w:shd w:val="clear" w:color="000000" w:fill="FFFFFF"/>
            <w:noWrap/>
            <w:vAlign w:val="center"/>
            <w:hideMark/>
          </w:tcPr>
          <w:p w14:paraId="0EE8427E"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0.9</w:t>
            </w:r>
          </w:p>
        </w:tc>
        <w:tc>
          <w:tcPr>
            <w:tcW w:w="196" w:type="dxa"/>
            <w:tcBorders>
              <w:top w:val="nil"/>
              <w:left w:val="nil"/>
              <w:bottom w:val="nil"/>
              <w:right w:val="nil"/>
            </w:tcBorders>
            <w:shd w:val="clear" w:color="000000" w:fill="FFFFFF"/>
            <w:noWrap/>
            <w:vAlign w:val="center"/>
            <w:hideMark/>
          </w:tcPr>
          <w:p w14:paraId="7F4B9311"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nil"/>
              <w:left w:val="nil"/>
              <w:bottom w:val="nil"/>
              <w:right w:val="nil"/>
            </w:tcBorders>
            <w:shd w:val="clear" w:color="000000" w:fill="FFFFFF"/>
            <w:noWrap/>
            <w:vAlign w:val="center"/>
            <w:hideMark/>
          </w:tcPr>
          <w:p w14:paraId="1155F554"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4.3</w:t>
            </w:r>
          </w:p>
        </w:tc>
      </w:tr>
      <w:tr w:rsidR="008B71E3" w:rsidRPr="008B71E3" w14:paraId="01326D34" w14:textId="77777777" w:rsidTr="00CB5DF7">
        <w:trPr>
          <w:trHeight w:val="225"/>
        </w:trPr>
        <w:tc>
          <w:tcPr>
            <w:tcW w:w="1556" w:type="dxa"/>
            <w:tcBorders>
              <w:top w:val="nil"/>
              <w:left w:val="nil"/>
              <w:bottom w:val="nil"/>
              <w:right w:val="nil"/>
            </w:tcBorders>
            <w:shd w:val="clear" w:color="000000" w:fill="FFFFFF"/>
            <w:noWrap/>
            <w:vAlign w:val="center"/>
            <w:hideMark/>
          </w:tcPr>
          <w:p w14:paraId="1487E211"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WA</w:t>
            </w:r>
          </w:p>
        </w:tc>
        <w:tc>
          <w:tcPr>
            <w:tcW w:w="1136" w:type="dxa"/>
            <w:tcBorders>
              <w:top w:val="nil"/>
              <w:left w:val="nil"/>
              <w:bottom w:val="nil"/>
              <w:right w:val="nil"/>
            </w:tcBorders>
            <w:shd w:val="clear" w:color="000000" w:fill="FFFFFF"/>
            <w:noWrap/>
            <w:vAlign w:val="center"/>
            <w:hideMark/>
          </w:tcPr>
          <w:p w14:paraId="3BF853A8"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43</w:t>
            </w:r>
          </w:p>
        </w:tc>
        <w:tc>
          <w:tcPr>
            <w:tcW w:w="196" w:type="dxa"/>
            <w:tcBorders>
              <w:top w:val="nil"/>
              <w:left w:val="nil"/>
              <w:bottom w:val="nil"/>
              <w:right w:val="nil"/>
            </w:tcBorders>
            <w:shd w:val="clear" w:color="000000" w:fill="FFFFFF"/>
            <w:noWrap/>
            <w:vAlign w:val="center"/>
            <w:hideMark/>
          </w:tcPr>
          <w:p w14:paraId="40AE37B0"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nil"/>
              <w:left w:val="nil"/>
              <w:bottom w:val="nil"/>
              <w:right w:val="nil"/>
            </w:tcBorders>
            <w:shd w:val="clear" w:color="000000" w:fill="FFFFFF"/>
            <w:noWrap/>
            <w:vAlign w:val="center"/>
            <w:hideMark/>
          </w:tcPr>
          <w:p w14:paraId="769B24BD"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0.3</w:t>
            </w:r>
          </w:p>
        </w:tc>
        <w:tc>
          <w:tcPr>
            <w:tcW w:w="1891" w:type="dxa"/>
            <w:tcBorders>
              <w:top w:val="nil"/>
              <w:left w:val="nil"/>
              <w:bottom w:val="nil"/>
              <w:right w:val="nil"/>
            </w:tcBorders>
            <w:shd w:val="clear" w:color="000000" w:fill="FFFFFF"/>
            <w:noWrap/>
            <w:vAlign w:val="center"/>
            <w:hideMark/>
          </w:tcPr>
          <w:p w14:paraId="38DD63A4"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0.6</w:t>
            </w:r>
          </w:p>
        </w:tc>
        <w:tc>
          <w:tcPr>
            <w:tcW w:w="196" w:type="dxa"/>
            <w:tcBorders>
              <w:top w:val="nil"/>
              <w:left w:val="nil"/>
              <w:bottom w:val="nil"/>
              <w:right w:val="nil"/>
            </w:tcBorders>
            <w:shd w:val="clear" w:color="000000" w:fill="FFFFFF"/>
            <w:noWrap/>
            <w:vAlign w:val="center"/>
            <w:hideMark/>
          </w:tcPr>
          <w:p w14:paraId="20446385"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nil"/>
              <w:left w:val="nil"/>
              <w:bottom w:val="nil"/>
              <w:right w:val="nil"/>
            </w:tcBorders>
            <w:shd w:val="clear" w:color="000000" w:fill="FFFFFF"/>
            <w:noWrap/>
            <w:vAlign w:val="center"/>
            <w:hideMark/>
          </w:tcPr>
          <w:p w14:paraId="7AAAB017"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0.9</w:t>
            </w:r>
          </w:p>
        </w:tc>
      </w:tr>
      <w:tr w:rsidR="008B71E3" w:rsidRPr="008B71E3" w14:paraId="25FBB168" w14:textId="77777777" w:rsidTr="00CB5DF7">
        <w:trPr>
          <w:trHeight w:val="225"/>
        </w:trPr>
        <w:tc>
          <w:tcPr>
            <w:tcW w:w="1556" w:type="dxa"/>
            <w:tcBorders>
              <w:top w:val="nil"/>
              <w:left w:val="nil"/>
              <w:bottom w:val="single" w:sz="2" w:space="0" w:color="000000" w:themeColor="text1"/>
              <w:right w:val="nil"/>
            </w:tcBorders>
            <w:shd w:val="clear" w:color="000000" w:fill="FFFFFF"/>
            <w:noWrap/>
            <w:vAlign w:val="center"/>
            <w:hideMark/>
          </w:tcPr>
          <w:p w14:paraId="06940756" w14:textId="77777777" w:rsidR="008B71E3" w:rsidRPr="008B71E3" w:rsidRDefault="008B71E3" w:rsidP="008B71E3">
            <w:pPr>
              <w:spacing w:after="0" w:line="240" w:lineRule="auto"/>
              <w:jc w:val="left"/>
              <w:rPr>
                <w:rFonts w:ascii="Arial" w:hAnsi="Arial" w:cs="Arial"/>
                <w:sz w:val="16"/>
                <w:szCs w:val="16"/>
              </w:rPr>
            </w:pPr>
            <w:r w:rsidRPr="008B71E3">
              <w:rPr>
                <w:rFonts w:ascii="Arial" w:hAnsi="Arial" w:cs="Arial"/>
                <w:sz w:val="16"/>
                <w:szCs w:val="16"/>
              </w:rPr>
              <w:t>Various (a)</w:t>
            </w:r>
          </w:p>
        </w:tc>
        <w:tc>
          <w:tcPr>
            <w:tcW w:w="1136" w:type="dxa"/>
            <w:tcBorders>
              <w:top w:val="nil"/>
              <w:left w:val="nil"/>
              <w:bottom w:val="single" w:sz="2" w:space="0" w:color="000000" w:themeColor="text1"/>
              <w:right w:val="nil"/>
            </w:tcBorders>
            <w:shd w:val="clear" w:color="000000" w:fill="FFFFFF"/>
            <w:noWrap/>
            <w:vAlign w:val="center"/>
            <w:hideMark/>
          </w:tcPr>
          <w:p w14:paraId="77EA1E7E"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111</w:t>
            </w:r>
          </w:p>
        </w:tc>
        <w:tc>
          <w:tcPr>
            <w:tcW w:w="196" w:type="dxa"/>
            <w:tcBorders>
              <w:top w:val="nil"/>
              <w:left w:val="nil"/>
              <w:right w:val="nil"/>
            </w:tcBorders>
            <w:shd w:val="clear" w:color="000000" w:fill="FFFFFF"/>
            <w:noWrap/>
            <w:vAlign w:val="center"/>
            <w:hideMark/>
          </w:tcPr>
          <w:p w14:paraId="6BA0D292"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205" w:type="dxa"/>
            <w:tcBorders>
              <w:top w:val="nil"/>
              <w:left w:val="nil"/>
              <w:bottom w:val="single" w:sz="2" w:space="0" w:color="000000" w:themeColor="text1"/>
              <w:right w:val="nil"/>
            </w:tcBorders>
            <w:shd w:val="clear" w:color="000000" w:fill="FFFFFF"/>
            <w:noWrap/>
            <w:vAlign w:val="center"/>
            <w:hideMark/>
          </w:tcPr>
          <w:p w14:paraId="13BB234D"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45.3</w:t>
            </w:r>
          </w:p>
        </w:tc>
        <w:tc>
          <w:tcPr>
            <w:tcW w:w="1891" w:type="dxa"/>
            <w:tcBorders>
              <w:top w:val="nil"/>
              <w:left w:val="nil"/>
              <w:bottom w:val="single" w:sz="2" w:space="0" w:color="000000" w:themeColor="text1"/>
              <w:right w:val="nil"/>
            </w:tcBorders>
            <w:shd w:val="clear" w:color="000000" w:fill="FFFFFF"/>
            <w:noWrap/>
            <w:vAlign w:val="center"/>
            <w:hideMark/>
          </w:tcPr>
          <w:p w14:paraId="0D4608FB"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8.5</w:t>
            </w:r>
          </w:p>
        </w:tc>
        <w:tc>
          <w:tcPr>
            <w:tcW w:w="196" w:type="dxa"/>
            <w:tcBorders>
              <w:top w:val="nil"/>
              <w:left w:val="nil"/>
              <w:right w:val="nil"/>
            </w:tcBorders>
            <w:shd w:val="clear" w:color="000000" w:fill="FFFFFF"/>
            <w:noWrap/>
            <w:vAlign w:val="center"/>
            <w:hideMark/>
          </w:tcPr>
          <w:p w14:paraId="52D34E03"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 </w:t>
            </w:r>
          </w:p>
        </w:tc>
        <w:tc>
          <w:tcPr>
            <w:tcW w:w="1076" w:type="dxa"/>
            <w:tcBorders>
              <w:top w:val="nil"/>
              <w:left w:val="nil"/>
              <w:bottom w:val="single" w:sz="2" w:space="0" w:color="000000" w:themeColor="text1"/>
              <w:right w:val="nil"/>
            </w:tcBorders>
            <w:shd w:val="clear" w:color="000000" w:fill="FFFFFF"/>
            <w:noWrap/>
            <w:vAlign w:val="center"/>
            <w:hideMark/>
          </w:tcPr>
          <w:p w14:paraId="0F64B836" w14:textId="77777777" w:rsidR="008B71E3" w:rsidRPr="008B71E3" w:rsidRDefault="008B71E3" w:rsidP="008B71E3">
            <w:pPr>
              <w:spacing w:after="0" w:line="240" w:lineRule="auto"/>
              <w:jc w:val="right"/>
              <w:rPr>
                <w:rFonts w:ascii="Arial" w:hAnsi="Arial" w:cs="Arial"/>
                <w:color w:val="auto"/>
                <w:sz w:val="16"/>
                <w:szCs w:val="16"/>
              </w:rPr>
            </w:pPr>
            <w:r w:rsidRPr="008B71E3">
              <w:rPr>
                <w:rFonts w:ascii="Arial" w:hAnsi="Arial" w:cs="Arial"/>
                <w:color w:val="auto"/>
                <w:sz w:val="16"/>
                <w:szCs w:val="16"/>
              </w:rPr>
              <w:t>53.8</w:t>
            </w:r>
          </w:p>
        </w:tc>
      </w:tr>
      <w:tr w:rsidR="008B71E3" w:rsidRPr="008B71E3" w14:paraId="6F028233" w14:textId="77777777" w:rsidTr="00CB5DF7">
        <w:trPr>
          <w:trHeight w:val="225"/>
        </w:trPr>
        <w:tc>
          <w:tcPr>
            <w:tcW w:w="1556" w:type="dxa"/>
            <w:tcBorders>
              <w:top w:val="single" w:sz="2" w:space="0" w:color="000000" w:themeColor="text1"/>
              <w:left w:val="nil"/>
              <w:bottom w:val="single" w:sz="2" w:space="0" w:color="000000" w:themeColor="text1"/>
              <w:right w:val="nil"/>
            </w:tcBorders>
            <w:shd w:val="clear" w:color="000000" w:fill="FFFFFF"/>
            <w:noWrap/>
            <w:vAlign w:val="center"/>
            <w:hideMark/>
          </w:tcPr>
          <w:p w14:paraId="43D1A8B0" w14:textId="77777777" w:rsidR="008B71E3" w:rsidRPr="008B71E3" w:rsidRDefault="008B71E3" w:rsidP="008B71E3">
            <w:pPr>
              <w:spacing w:after="0" w:line="240" w:lineRule="auto"/>
              <w:jc w:val="left"/>
              <w:rPr>
                <w:rFonts w:ascii="Arial" w:hAnsi="Arial" w:cs="Arial"/>
                <w:b/>
                <w:bCs/>
                <w:sz w:val="16"/>
                <w:szCs w:val="16"/>
              </w:rPr>
            </w:pPr>
            <w:r w:rsidRPr="008B71E3">
              <w:rPr>
                <w:rFonts w:ascii="Arial" w:hAnsi="Arial" w:cs="Arial"/>
                <w:b/>
                <w:bCs/>
                <w:sz w:val="16"/>
                <w:szCs w:val="16"/>
              </w:rPr>
              <w:t>Total</w:t>
            </w:r>
          </w:p>
        </w:tc>
        <w:tc>
          <w:tcPr>
            <w:tcW w:w="1136" w:type="dxa"/>
            <w:tcBorders>
              <w:top w:val="single" w:sz="2" w:space="0" w:color="000000" w:themeColor="text1"/>
              <w:left w:val="nil"/>
              <w:bottom w:val="single" w:sz="2" w:space="0" w:color="000000" w:themeColor="text1"/>
              <w:right w:val="nil"/>
            </w:tcBorders>
            <w:shd w:val="clear" w:color="000000" w:fill="FFFFFF"/>
            <w:noWrap/>
            <w:vAlign w:val="center"/>
            <w:hideMark/>
          </w:tcPr>
          <w:p w14:paraId="5D4153D5" w14:textId="77777777" w:rsidR="008B71E3" w:rsidRPr="008B71E3" w:rsidRDefault="008B71E3" w:rsidP="008B71E3">
            <w:pPr>
              <w:spacing w:after="0" w:line="240" w:lineRule="auto"/>
              <w:jc w:val="right"/>
              <w:rPr>
                <w:rFonts w:ascii="Arial" w:hAnsi="Arial" w:cs="Arial"/>
                <w:b/>
                <w:bCs/>
                <w:color w:val="auto"/>
                <w:sz w:val="16"/>
                <w:szCs w:val="16"/>
              </w:rPr>
            </w:pPr>
            <w:r w:rsidRPr="008B71E3">
              <w:rPr>
                <w:rFonts w:ascii="Arial" w:hAnsi="Arial" w:cs="Arial"/>
                <w:b/>
                <w:bCs/>
                <w:color w:val="auto"/>
                <w:sz w:val="16"/>
                <w:szCs w:val="16"/>
              </w:rPr>
              <w:t>487</w:t>
            </w:r>
          </w:p>
        </w:tc>
        <w:tc>
          <w:tcPr>
            <w:tcW w:w="196" w:type="dxa"/>
            <w:tcBorders>
              <w:top w:val="nil"/>
              <w:left w:val="nil"/>
              <w:bottom w:val="single" w:sz="2" w:space="0" w:color="000000" w:themeColor="text1"/>
              <w:right w:val="nil"/>
            </w:tcBorders>
            <w:shd w:val="clear" w:color="000000" w:fill="FFFFFF"/>
            <w:noWrap/>
            <w:vAlign w:val="center"/>
            <w:hideMark/>
          </w:tcPr>
          <w:p w14:paraId="2E3A01CC" w14:textId="77777777" w:rsidR="008B71E3" w:rsidRPr="008B71E3" w:rsidRDefault="008B71E3" w:rsidP="008B71E3">
            <w:pPr>
              <w:spacing w:after="0" w:line="240" w:lineRule="auto"/>
              <w:jc w:val="right"/>
              <w:rPr>
                <w:rFonts w:ascii="Arial" w:hAnsi="Arial" w:cs="Arial"/>
                <w:b/>
                <w:bCs/>
                <w:color w:val="auto"/>
                <w:sz w:val="16"/>
                <w:szCs w:val="16"/>
              </w:rPr>
            </w:pPr>
            <w:r w:rsidRPr="008B71E3">
              <w:rPr>
                <w:rFonts w:ascii="Arial" w:hAnsi="Arial" w:cs="Arial"/>
                <w:b/>
                <w:bCs/>
                <w:color w:val="auto"/>
                <w:sz w:val="16"/>
                <w:szCs w:val="16"/>
              </w:rPr>
              <w:t> </w:t>
            </w:r>
          </w:p>
        </w:tc>
        <w:tc>
          <w:tcPr>
            <w:tcW w:w="1205" w:type="dxa"/>
            <w:tcBorders>
              <w:top w:val="single" w:sz="2" w:space="0" w:color="000000" w:themeColor="text1"/>
              <w:left w:val="nil"/>
              <w:bottom w:val="single" w:sz="2" w:space="0" w:color="000000" w:themeColor="text1"/>
              <w:right w:val="nil"/>
            </w:tcBorders>
            <w:shd w:val="clear" w:color="000000" w:fill="FFFFFF"/>
            <w:noWrap/>
            <w:vAlign w:val="center"/>
            <w:hideMark/>
          </w:tcPr>
          <w:p w14:paraId="0263CCC6" w14:textId="77777777" w:rsidR="008B71E3" w:rsidRPr="008B71E3" w:rsidRDefault="008B71E3" w:rsidP="008B71E3">
            <w:pPr>
              <w:spacing w:after="0" w:line="240" w:lineRule="auto"/>
              <w:jc w:val="right"/>
              <w:rPr>
                <w:rFonts w:ascii="Arial" w:hAnsi="Arial" w:cs="Arial"/>
                <w:b/>
                <w:bCs/>
                <w:color w:val="auto"/>
                <w:sz w:val="16"/>
                <w:szCs w:val="16"/>
              </w:rPr>
            </w:pPr>
            <w:r w:rsidRPr="008B71E3">
              <w:rPr>
                <w:rFonts w:ascii="Arial" w:hAnsi="Arial" w:cs="Arial"/>
                <w:b/>
                <w:bCs/>
                <w:color w:val="auto"/>
                <w:sz w:val="16"/>
                <w:szCs w:val="16"/>
              </w:rPr>
              <w:t>58.3</w:t>
            </w:r>
          </w:p>
        </w:tc>
        <w:tc>
          <w:tcPr>
            <w:tcW w:w="1891" w:type="dxa"/>
            <w:tcBorders>
              <w:top w:val="single" w:sz="2" w:space="0" w:color="000000" w:themeColor="text1"/>
              <w:left w:val="nil"/>
              <w:bottom w:val="single" w:sz="2" w:space="0" w:color="000000" w:themeColor="text1"/>
              <w:right w:val="nil"/>
            </w:tcBorders>
            <w:shd w:val="clear" w:color="000000" w:fill="FFFFFF"/>
            <w:noWrap/>
            <w:vAlign w:val="center"/>
            <w:hideMark/>
          </w:tcPr>
          <w:p w14:paraId="49B37D5A" w14:textId="77777777" w:rsidR="008B71E3" w:rsidRPr="008B71E3" w:rsidRDefault="008B71E3" w:rsidP="008B71E3">
            <w:pPr>
              <w:spacing w:after="0" w:line="240" w:lineRule="auto"/>
              <w:jc w:val="right"/>
              <w:rPr>
                <w:rFonts w:ascii="Arial" w:hAnsi="Arial" w:cs="Arial"/>
                <w:b/>
                <w:bCs/>
                <w:color w:val="auto"/>
                <w:sz w:val="16"/>
                <w:szCs w:val="16"/>
              </w:rPr>
            </w:pPr>
            <w:r w:rsidRPr="008B71E3">
              <w:rPr>
                <w:rFonts w:ascii="Arial" w:hAnsi="Arial" w:cs="Arial"/>
                <w:b/>
                <w:bCs/>
                <w:color w:val="auto"/>
                <w:sz w:val="16"/>
                <w:szCs w:val="16"/>
              </w:rPr>
              <w:t>14.7</w:t>
            </w:r>
          </w:p>
        </w:tc>
        <w:tc>
          <w:tcPr>
            <w:tcW w:w="196" w:type="dxa"/>
            <w:tcBorders>
              <w:top w:val="nil"/>
              <w:left w:val="nil"/>
              <w:bottom w:val="single" w:sz="2" w:space="0" w:color="000000" w:themeColor="text1"/>
              <w:right w:val="nil"/>
            </w:tcBorders>
            <w:shd w:val="clear" w:color="000000" w:fill="FFFFFF"/>
            <w:noWrap/>
            <w:vAlign w:val="center"/>
            <w:hideMark/>
          </w:tcPr>
          <w:p w14:paraId="05DCD319" w14:textId="77777777" w:rsidR="008B71E3" w:rsidRPr="008B71E3" w:rsidRDefault="008B71E3" w:rsidP="008B71E3">
            <w:pPr>
              <w:spacing w:after="0" w:line="240" w:lineRule="auto"/>
              <w:jc w:val="right"/>
              <w:rPr>
                <w:rFonts w:ascii="Arial" w:hAnsi="Arial" w:cs="Arial"/>
                <w:b/>
                <w:bCs/>
                <w:color w:val="auto"/>
                <w:sz w:val="16"/>
                <w:szCs w:val="16"/>
              </w:rPr>
            </w:pPr>
            <w:r w:rsidRPr="008B71E3">
              <w:rPr>
                <w:rFonts w:ascii="Arial" w:hAnsi="Arial" w:cs="Arial"/>
                <w:b/>
                <w:bCs/>
                <w:color w:val="auto"/>
                <w:sz w:val="16"/>
                <w:szCs w:val="16"/>
              </w:rPr>
              <w:t> </w:t>
            </w:r>
          </w:p>
        </w:tc>
        <w:tc>
          <w:tcPr>
            <w:tcW w:w="1076" w:type="dxa"/>
            <w:tcBorders>
              <w:top w:val="single" w:sz="2" w:space="0" w:color="000000" w:themeColor="text1"/>
              <w:left w:val="nil"/>
              <w:bottom w:val="single" w:sz="2" w:space="0" w:color="000000" w:themeColor="text1"/>
              <w:right w:val="nil"/>
            </w:tcBorders>
            <w:shd w:val="clear" w:color="000000" w:fill="FFFFFF"/>
            <w:noWrap/>
            <w:vAlign w:val="center"/>
            <w:hideMark/>
          </w:tcPr>
          <w:p w14:paraId="039B11B2" w14:textId="77777777" w:rsidR="008B71E3" w:rsidRPr="008B71E3" w:rsidRDefault="008B71E3" w:rsidP="008B71E3">
            <w:pPr>
              <w:spacing w:after="0" w:line="240" w:lineRule="auto"/>
              <w:jc w:val="right"/>
              <w:rPr>
                <w:rFonts w:ascii="Arial" w:hAnsi="Arial" w:cs="Arial"/>
                <w:b/>
                <w:bCs/>
                <w:color w:val="auto"/>
                <w:sz w:val="16"/>
                <w:szCs w:val="16"/>
              </w:rPr>
            </w:pPr>
            <w:r w:rsidRPr="008B71E3">
              <w:rPr>
                <w:rFonts w:ascii="Arial" w:hAnsi="Arial" w:cs="Arial"/>
                <w:b/>
                <w:bCs/>
                <w:color w:val="auto"/>
                <w:sz w:val="16"/>
                <w:szCs w:val="16"/>
              </w:rPr>
              <w:t>73.0</w:t>
            </w:r>
          </w:p>
        </w:tc>
      </w:tr>
    </w:tbl>
    <w:p w14:paraId="5F0E7D97" w14:textId="452EF43B" w:rsidR="00A84283" w:rsidRPr="00F3272D" w:rsidRDefault="00A84283" w:rsidP="007149D6">
      <w:pPr>
        <w:pStyle w:val="ChartorTableFootnote"/>
        <w:numPr>
          <w:ilvl w:val="0"/>
          <w:numId w:val="11"/>
        </w:numPr>
      </w:pPr>
      <w:r w:rsidRPr="00F3272D">
        <w:t>Comprises approvals where the proposed investment is to be undertaken in more than one state or territory.</w:t>
      </w:r>
    </w:p>
    <w:p w14:paraId="49F4EB43" w14:textId="77777777" w:rsidR="00A84283" w:rsidRPr="001A6701" w:rsidRDefault="00A84283" w:rsidP="006D64A2">
      <w:pPr>
        <w:pStyle w:val="ChartorTableNote"/>
      </w:pPr>
      <w:r w:rsidRPr="00851AB4">
        <w:t>Notes:</w:t>
      </w:r>
      <w:r w:rsidRPr="00851AB4">
        <w:tab/>
      </w:r>
      <w:r w:rsidRPr="001A6701">
        <w:t>Totals may not add due to rounding.</w:t>
      </w:r>
    </w:p>
    <w:p w14:paraId="53F24846" w14:textId="5C2CF424" w:rsidR="00A84283" w:rsidRPr="001A6701" w:rsidRDefault="00A84283" w:rsidP="006D64A2">
      <w:pPr>
        <w:pStyle w:val="ChartorTableNote"/>
      </w:pPr>
      <w:r w:rsidRPr="001A6701">
        <w:t>Excludes individual approvals for corporate reorganisations (some corporate reorganisations may be covered by exemption certificates).</w:t>
      </w:r>
    </w:p>
    <w:p w14:paraId="10CB8498" w14:textId="35D25D93" w:rsidR="00A84283" w:rsidRPr="001A6701" w:rsidRDefault="00A84283" w:rsidP="00406C1F">
      <w:pPr>
        <w:pStyle w:val="ChartorTableNote"/>
      </w:pPr>
      <w:r w:rsidRPr="001A6701">
        <w:t>Includes exemption certificates.</w:t>
      </w:r>
    </w:p>
    <w:p w14:paraId="6AAA628E" w14:textId="4C3C2C87" w:rsidR="00A84283" w:rsidRPr="001A6701" w:rsidRDefault="00A84283">
      <w:pPr>
        <w:pStyle w:val="ChartorTableNote"/>
      </w:pPr>
      <w:r w:rsidRPr="001A6701">
        <w:t>‘0.0’ indicates a figure of zero or a figure less than $50 million.</w:t>
      </w:r>
    </w:p>
    <w:p w14:paraId="2593C94A" w14:textId="2FC6B28C" w:rsidR="00A84283" w:rsidRPr="001A6701" w:rsidRDefault="00A84283">
      <w:pPr>
        <w:pStyle w:val="ChartorTableNote"/>
      </w:pPr>
      <w:r w:rsidRPr="001A6701">
        <w:t>The 2017</w:t>
      </w:r>
      <w:r w:rsidR="00E55E34">
        <w:noBreakHyphen/>
      </w:r>
      <w:r w:rsidRPr="001A6701">
        <w:t>18 figures were impacted by the reforms announced in the 2017</w:t>
      </w:r>
      <w:r w:rsidR="00E55E34">
        <w:noBreakHyphen/>
      </w:r>
      <w:r w:rsidRPr="001A6701">
        <w:t>18 Budget, which were given effect on 1</w:t>
      </w:r>
      <w:r w:rsidR="00E55E34">
        <w:t> July </w:t>
      </w:r>
      <w:r w:rsidRPr="001A6701">
        <w:t>2017. The reforms may affect data comparability.</w:t>
      </w:r>
    </w:p>
    <w:p w14:paraId="319DDE58" w14:textId="77777777" w:rsidR="00A84283" w:rsidRPr="00A84283" w:rsidRDefault="00A84283" w:rsidP="006622A5">
      <w:pPr>
        <w:pStyle w:val="Heading3"/>
      </w:pPr>
      <w:r w:rsidRPr="00F3397B">
        <w:lastRenderedPageBreak/>
        <w:t>Residential real estate</w:t>
      </w:r>
    </w:p>
    <w:p w14:paraId="7752F708" w14:textId="2B43C47C" w:rsidR="003C43A1" w:rsidRPr="00A84283" w:rsidRDefault="00A84283" w:rsidP="003C43A1">
      <w:r w:rsidRPr="00A84283">
        <w:t>In 2018</w:t>
      </w:r>
      <w:r w:rsidR="00E55E34">
        <w:noBreakHyphen/>
      </w:r>
      <w:r w:rsidRPr="00A84283">
        <w:t xml:space="preserve">19, a total of </w:t>
      </w:r>
      <w:r w:rsidR="00160ADA">
        <w:t>7</w:t>
      </w:r>
      <w:r w:rsidR="002865BA">
        <w:t>,</w:t>
      </w:r>
      <w:r w:rsidR="00160ADA">
        <w:t>513</w:t>
      </w:r>
      <w:r w:rsidRPr="00A84283">
        <w:t xml:space="preserve"> residential real estate applications were approved for proposed investment worth $</w:t>
      </w:r>
      <w:r w:rsidR="00160ADA">
        <w:t>14.8</w:t>
      </w:r>
      <w:r w:rsidR="00E55E34">
        <w:t> </w:t>
      </w:r>
      <w:r w:rsidRPr="00A84283">
        <w:t>billion. This is a 2,5</w:t>
      </w:r>
      <w:r w:rsidR="00160ADA">
        <w:t>23</w:t>
      </w:r>
      <w:r w:rsidRPr="00A84283">
        <w:t xml:space="preserve"> decline in th</w:t>
      </w:r>
      <w:r w:rsidR="00DD0B52">
        <w:t>e number of approvals from 2017</w:t>
      </w:r>
      <w:r w:rsidR="00E55E34">
        <w:noBreakHyphen/>
      </w:r>
      <w:r w:rsidRPr="00A84283">
        <w:t>18</w:t>
      </w:r>
      <w:r w:rsidR="003C43A1">
        <w:t xml:space="preserve"> and continues a trend seen since 2015</w:t>
      </w:r>
      <w:r w:rsidR="00E55E34">
        <w:noBreakHyphen/>
      </w:r>
      <w:r w:rsidR="003C43A1">
        <w:t>16.</w:t>
      </w:r>
      <w:r w:rsidR="00782F93" w:rsidRPr="00782F93">
        <w:t xml:space="preserve"> </w:t>
      </w:r>
      <w:r w:rsidR="00E55E34">
        <w:t>Despite this, 2018</w:t>
      </w:r>
      <w:r w:rsidR="00E55E34">
        <w:noBreakHyphen/>
      </w:r>
      <w:r w:rsidR="00782F93">
        <w:t xml:space="preserve">19 saw </w:t>
      </w:r>
      <w:r w:rsidR="003C43A1">
        <w:t xml:space="preserve">an </w:t>
      </w:r>
      <w:r w:rsidR="00782F93">
        <w:t>increase in the value of proposed investment in residential real</w:t>
      </w:r>
      <w:r w:rsidR="003C43A1">
        <w:t xml:space="preserve"> estate</w:t>
      </w:r>
      <w:r w:rsidR="00782F93">
        <w:t xml:space="preserve"> </w:t>
      </w:r>
      <w:r w:rsidR="003C43A1">
        <w:t xml:space="preserve">by </w:t>
      </w:r>
      <w:r w:rsidRPr="00A84283">
        <w:t>$</w:t>
      </w:r>
      <w:r w:rsidR="00570C10">
        <w:t>2</w:t>
      </w:r>
      <w:r w:rsidR="00160ADA">
        <w:t>.3</w:t>
      </w:r>
      <w:r w:rsidR="00504794">
        <w:t xml:space="preserve"> </w:t>
      </w:r>
      <w:r w:rsidRPr="00A84283">
        <w:t>billion</w:t>
      </w:r>
      <w:r w:rsidR="003C43A1">
        <w:t xml:space="preserve">, </w:t>
      </w:r>
      <w:r w:rsidR="003C43A1" w:rsidRPr="008E1C9A">
        <w:t>representing an 18</w:t>
      </w:r>
      <w:r w:rsidR="00E55E34">
        <w:t> </w:t>
      </w:r>
      <w:r w:rsidR="003C43A1" w:rsidRPr="008E1C9A">
        <w:t>per</w:t>
      </w:r>
      <w:r w:rsidR="00E55E34">
        <w:t> </w:t>
      </w:r>
      <w:r w:rsidR="003C43A1">
        <w:t>cent increase on the previous year</w:t>
      </w:r>
      <w:r w:rsidRPr="00A84283">
        <w:t>.</w:t>
      </w:r>
      <w:r w:rsidR="003C43A1">
        <w:t xml:space="preserve"> This increase can be attributed </w:t>
      </w:r>
      <w:r w:rsidR="006E6E49">
        <w:t>almost solely</w:t>
      </w:r>
      <w:r w:rsidR="003C43A1">
        <w:t xml:space="preserve"> to the approval of </w:t>
      </w:r>
      <w:r w:rsidR="00177105">
        <w:t xml:space="preserve">‘for development </w:t>
      </w:r>
      <w:r w:rsidR="003C43A1">
        <w:t xml:space="preserve">residential real estate </w:t>
      </w:r>
      <w:r w:rsidR="003C43A1" w:rsidRPr="00177105">
        <w:t>exemption certificates</w:t>
      </w:r>
      <w:r w:rsidR="00177105">
        <w:t>’</w:t>
      </w:r>
      <w:r w:rsidR="003C43A1">
        <w:t>.</w:t>
      </w:r>
    </w:p>
    <w:p w14:paraId="64B4D0F3" w14:textId="1AC50258" w:rsidR="00A84283" w:rsidRPr="00A84283" w:rsidRDefault="00F8682C" w:rsidP="002E2EFE">
      <w:r>
        <w:t>An analysis of residential real estate data since 201</w:t>
      </w:r>
      <w:r w:rsidR="005D0E22">
        <w:t>5</w:t>
      </w:r>
      <w:r w:rsidR="00E55E34">
        <w:noBreakHyphen/>
      </w:r>
      <w:r>
        <w:t>1</w:t>
      </w:r>
      <w:r w:rsidR="005D0E22">
        <w:t>6</w:t>
      </w:r>
      <w:r>
        <w:t xml:space="preserve"> </w:t>
      </w:r>
      <w:r w:rsidR="005D0E22">
        <w:t>indicates a dampening of foreign demand for residential real estate. M</w:t>
      </w:r>
      <w:r w:rsidR="00A84283" w:rsidRPr="00A84283">
        <w:t>any factors may explain the fall in the number of resi</w:t>
      </w:r>
      <w:r w:rsidR="00E55E34">
        <w:t xml:space="preserve">dential real estate approvals. </w:t>
      </w:r>
      <w:r w:rsidR="00EA2E29">
        <w:t xml:space="preserve">These </w:t>
      </w:r>
      <w:r w:rsidR="005D0E22">
        <w:t>include</w:t>
      </w:r>
      <w:r w:rsidR="00A84283" w:rsidRPr="00A84283">
        <w:t xml:space="preserve"> foreign investment application fees, </w:t>
      </w:r>
      <w:r w:rsidR="00EA2E29">
        <w:t xml:space="preserve">a </w:t>
      </w:r>
      <w:r w:rsidR="00A84283" w:rsidRPr="00A84283">
        <w:t xml:space="preserve">tightening </w:t>
      </w:r>
      <w:r w:rsidR="005D6E1A">
        <w:t>of</w:t>
      </w:r>
      <w:r w:rsidR="00A84283" w:rsidRPr="00A84283">
        <w:t xml:space="preserve"> domestic credit and increased restrictions on capital transfers in home countries, </w:t>
      </w:r>
      <w:r w:rsidR="005D6E1A" w:rsidRPr="00A84283">
        <w:t>state taxes and foreign resident stamp duty increases</w:t>
      </w:r>
      <w:r w:rsidR="0076594C">
        <w:t xml:space="preserve">, </w:t>
      </w:r>
      <w:r w:rsidR="00715EE0">
        <w:t>and the introduction of an exemption certificate so that only one approval is required for individuals considering a number of residential properties with the intention to purchase only one property</w:t>
      </w:r>
      <w:r w:rsidR="000B24BF">
        <w:t>.</w:t>
      </w:r>
    </w:p>
    <w:p w14:paraId="6FB9271E" w14:textId="4406906D" w:rsidR="00A84283" w:rsidRPr="00A84283" w:rsidRDefault="00A84283" w:rsidP="002E2EFE">
      <w:r w:rsidRPr="00A84283">
        <w:t>In 201</w:t>
      </w:r>
      <w:r w:rsidR="00570C10">
        <w:t>8</w:t>
      </w:r>
      <w:r w:rsidRPr="00A84283">
        <w:t>–1</w:t>
      </w:r>
      <w:r w:rsidR="00570C10">
        <w:t>9</w:t>
      </w:r>
      <w:r w:rsidRPr="00A84283">
        <w:t xml:space="preserve">, </w:t>
      </w:r>
      <w:r w:rsidR="001620FE">
        <w:t xml:space="preserve">the number of </w:t>
      </w:r>
      <w:r w:rsidRPr="00A84283">
        <w:t xml:space="preserve">residential real estate approvals </w:t>
      </w:r>
      <w:r w:rsidR="004E3DC9">
        <w:t xml:space="preserve">for </w:t>
      </w:r>
      <w:r w:rsidR="00873566">
        <w:t xml:space="preserve">proposed </w:t>
      </w:r>
      <w:r w:rsidR="00497197">
        <w:t>purchases in New South </w:t>
      </w:r>
      <w:r w:rsidR="004E3DC9">
        <w:t xml:space="preserve">Wales </w:t>
      </w:r>
      <w:r w:rsidR="00DE25F9">
        <w:t>and</w:t>
      </w:r>
      <w:r w:rsidR="004E3DC9">
        <w:t xml:space="preserve"> Victoria fell to 60 per cent</w:t>
      </w:r>
      <w:r w:rsidRPr="00A84283">
        <w:t xml:space="preserve"> </w:t>
      </w:r>
      <w:r w:rsidR="004E3DC9">
        <w:t xml:space="preserve">of all approvals given to </w:t>
      </w:r>
      <w:r w:rsidRPr="00A84283">
        <w:t>single state</w:t>
      </w:r>
      <w:r w:rsidR="00DE25F9">
        <w:t>s/territories</w:t>
      </w:r>
      <w:r w:rsidR="004E3DC9">
        <w:t>. T</w:t>
      </w:r>
      <w:r w:rsidRPr="00A84283">
        <w:t xml:space="preserve">he value of residential real estate approvals in these two states </w:t>
      </w:r>
      <w:r w:rsidR="00E55E34">
        <w:t xml:space="preserve">together </w:t>
      </w:r>
      <w:r w:rsidR="004E3DC9">
        <w:t xml:space="preserve">fell by </w:t>
      </w:r>
      <w:r w:rsidRPr="008E1C9A">
        <w:t xml:space="preserve">roughly </w:t>
      </w:r>
      <w:r w:rsidR="004E3DC9" w:rsidRPr="008E1C9A">
        <w:t xml:space="preserve">25 per cent </w:t>
      </w:r>
      <w:r w:rsidRPr="008E1C9A">
        <w:t>compared to the previous financial year.</w:t>
      </w:r>
      <w:r w:rsidRPr="00A84283">
        <w:t xml:space="preserve"> </w:t>
      </w:r>
    </w:p>
    <w:p w14:paraId="2D1EAC93" w14:textId="3D3CFB73" w:rsidR="00A84283" w:rsidRPr="00123729" w:rsidRDefault="00A84283" w:rsidP="00123729">
      <w:pPr>
        <w:pStyle w:val="ChartMainHeading"/>
      </w:pPr>
      <w:bookmarkStart w:id="112" w:name="_Toc31716194"/>
      <w:bookmarkStart w:id="113" w:name="_Toc32247760"/>
      <w:bookmarkStart w:id="114" w:name="_Toc33521374"/>
      <w:r w:rsidRPr="00123729">
        <w:t>Chart 3.3: Share of residential real estate approval</w:t>
      </w:r>
      <w:r w:rsidR="002865BA" w:rsidRPr="00123729">
        <w:t>s by state and territory in 201</w:t>
      </w:r>
      <w:r w:rsidRPr="00123729">
        <w:t>8</w:t>
      </w:r>
      <w:r w:rsidR="002865BA" w:rsidRPr="00123729">
        <w:noBreakHyphen/>
        <w:t>19</w:t>
      </w:r>
      <w:r w:rsidRPr="00123729">
        <w:t>, by number</w:t>
      </w:r>
      <w:bookmarkEnd w:id="112"/>
      <w:bookmarkEnd w:id="113"/>
      <w:bookmarkEnd w:id="114"/>
    </w:p>
    <w:p w14:paraId="0CCF54DA" w14:textId="0F70FC58" w:rsidR="00A84283" w:rsidRPr="00A84283" w:rsidRDefault="00E550DA">
      <w:pPr>
        <w:pStyle w:val="Circletext"/>
      </w:pPr>
      <w:r>
        <w:rPr>
          <w:noProof/>
        </w:rPr>
        <w:drawing>
          <wp:inline distT="0" distB="0" distL="0" distR="0" wp14:anchorId="7C8D63C1" wp14:editId="3052496A">
            <wp:extent cx="4895571" cy="2703829"/>
            <wp:effectExtent l="0" t="0" r="0" b="0"/>
            <wp:docPr id="10" name="Picture 10" descr="Pie Chart shows the share by number of residential real estate approvals in 2018-19 by state and territory. The Northern Territory has been excluded due to its proportionately small number of approvals. &#10;Victoria is the largest state for approvals with 42 per cent and is more than New South Wales and Queensland combined (18 per cent each). Excluding Northern Territory, the other states proportion of approvals are Western Australia with 9 per cent, South Australia with 6 per cent, Australian Capital Territory with 5 per cent and Tasmania with 2 per cent." title="Chart 3.3: Share of residential real estate approvals by state and territory in 2018 19, b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9230 FIRB Annual Report - Charts and graphs-0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895571" cy="2703829"/>
                    </a:xfrm>
                    <a:prstGeom prst="rect">
                      <a:avLst/>
                    </a:prstGeom>
                  </pic:spPr>
                </pic:pic>
              </a:graphicData>
            </a:graphic>
          </wp:inline>
        </w:drawing>
      </w:r>
    </w:p>
    <w:p w14:paraId="08F6F3AF" w14:textId="77777777" w:rsidR="00A84283" w:rsidRPr="002865BA" w:rsidRDefault="00A84283" w:rsidP="006D64A2">
      <w:pPr>
        <w:pStyle w:val="ChartorTableNote"/>
        <w:rPr>
          <w:color w:val="auto"/>
          <w:sz w:val="18"/>
          <w:szCs w:val="18"/>
        </w:rPr>
      </w:pPr>
      <w:r w:rsidRPr="002865BA">
        <w:t>Notes:</w:t>
      </w:r>
      <w:r w:rsidRPr="002865BA">
        <w:tab/>
        <w:t xml:space="preserve">This Chart excludes approvals that apply to more than one state or territory. </w:t>
      </w:r>
    </w:p>
    <w:p w14:paraId="04EF34CE" w14:textId="48D41F95" w:rsidR="00A84283" w:rsidRPr="002865BA" w:rsidRDefault="00A84283" w:rsidP="006D64A2">
      <w:pPr>
        <w:pStyle w:val="ChartorTableNote"/>
        <w:rPr>
          <w:color w:val="auto"/>
          <w:sz w:val="18"/>
          <w:szCs w:val="18"/>
        </w:rPr>
      </w:pPr>
      <w:r w:rsidRPr="002865BA">
        <w:t xml:space="preserve">The Northern Territory has not been allocated a share for the purpose of this Chart due to the proportionately small number of approvals. </w:t>
      </w:r>
    </w:p>
    <w:p w14:paraId="67C96719" w14:textId="7D4D90A4" w:rsidR="00A84283" w:rsidRPr="002865BA" w:rsidRDefault="00A84283" w:rsidP="00406C1F">
      <w:pPr>
        <w:pStyle w:val="ChartorTableNote"/>
        <w:rPr>
          <w:color w:val="auto"/>
          <w:sz w:val="18"/>
          <w:szCs w:val="18"/>
        </w:rPr>
      </w:pPr>
      <w:r w:rsidRPr="002865BA">
        <w:t xml:space="preserve">Due to the above and rounding this Chart does not add to 100 per cent. </w:t>
      </w:r>
    </w:p>
    <w:p w14:paraId="348526FD" w14:textId="77777777" w:rsidR="00A84283" w:rsidRPr="00A84283" w:rsidRDefault="00A84283">
      <w:pPr>
        <w:pStyle w:val="Circletext"/>
      </w:pPr>
    </w:p>
    <w:p w14:paraId="370D0EEE" w14:textId="77777777" w:rsidR="00A84283" w:rsidRPr="00A84283" w:rsidRDefault="00A84283" w:rsidP="00A12D76">
      <w:pPr>
        <w:pStyle w:val="Heading4"/>
        <w:rPr>
          <w:b w:val="0"/>
        </w:rPr>
      </w:pPr>
      <w:r w:rsidRPr="00A84283">
        <w:lastRenderedPageBreak/>
        <w:t>Established residential dwellings</w:t>
      </w:r>
    </w:p>
    <w:p w14:paraId="0B02A099" w14:textId="03CAC856" w:rsidR="00A84283" w:rsidRPr="001A6701" w:rsidRDefault="00A84283" w:rsidP="002E2EFE">
      <w:pPr>
        <w:rPr>
          <w:color w:val="auto"/>
        </w:rPr>
      </w:pPr>
      <w:r w:rsidRPr="001A6701">
        <w:t>In 2018</w:t>
      </w:r>
      <w:r w:rsidR="00E55E34">
        <w:noBreakHyphen/>
      </w:r>
      <w:r w:rsidRPr="001A6701">
        <w:t xml:space="preserve">19, there were 1,312 approvals for established residential dwellings. Established dwellings (or developed residential premises) can generally only be purchased by temporary residents for use as their home while </w:t>
      </w:r>
      <w:r w:rsidRPr="001A6701">
        <w:rPr>
          <w:color w:val="auto"/>
        </w:rPr>
        <w:t>they remain in Australia. A small number of approvals are given for foreign persons that operate a substantial Australian business to acquire an established dwelling to house Australian based staff</w:t>
      </w:r>
      <w:r w:rsidR="008510C4">
        <w:rPr>
          <w:color w:val="auto"/>
        </w:rPr>
        <w:t xml:space="preserve"> or for rede</w:t>
      </w:r>
      <w:r w:rsidR="00497197">
        <w:rPr>
          <w:color w:val="auto"/>
        </w:rPr>
        <w:t>velopment to add to the housing </w:t>
      </w:r>
      <w:r w:rsidR="008510C4">
        <w:rPr>
          <w:color w:val="auto"/>
        </w:rPr>
        <w:t>stock</w:t>
      </w:r>
      <w:r w:rsidRPr="001A6701">
        <w:rPr>
          <w:color w:val="auto"/>
        </w:rPr>
        <w:t xml:space="preserve">. </w:t>
      </w:r>
    </w:p>
    <w:p w14:paraId="7ED7C2C7" w14:textId="3A27561E" w:rsidR="00A84283" w:rsidRPr="001A6701" w:rsidRDefault="00DE08BC" w:rsidP="002E2EFE">
      <w:r w:rsidRPr="001A6701">
        <w:t>After increasing to about</w:t>
      </w:r>
      <w:r w:rsidR="00A84283" w:rsidRPr="001A6701">
        <w:t xml:space="preserve"> a third of all established dwelling approvals</w:t>
      </w:r>
      <w:r w:rsidR="0026166C">
        <w:t xml:space="preserve"> in 201</w:t>
      </w:r>
      <w:r w:rsidR="00D7075A">
        <w:t>7</w:t>
      </w:r>
      <w:r w:rsidR="00E55E34">
        <w:noBreakHyphen/>
      </w:r>
      <w:r w:rsidR="0026166C">
        <w:t>1</w:t>
      </w:r>
      <w:r w:rsidR="00D7075A">
        <w:t>8</w:t>
      </w:r>
      <w:r w:rsidRPr="001A6701">
        <w:t xml:space="preserve">, established dwelling </w:t>
      </w:r>
      <w:r w:rsidR="00A84283" w:rsidRPr="001A6701">
        <w:t xml:space="preserve">single purchase exemption certificates </w:t>
      </w:r>
      <w:r w:rsidRPr="001A6701">
        <w:t xml:space="preserve">returned to about a quarter of </w:t>
      </w:r>
      <w:r w:rsidR="00A84283" w:rsidRPr="001A6701">
        <w:t>all established dwelling approvals</w:t>
      </w:r>
      <w:r w:rsidR="0026166C">
        <w:t xml:space="preserve"> in 2018</w:t>
      </w:r>
      <w:r w:rsidR="00E55E34">
        <w:noBreakHyphen/>
      </w:r>
      <w:r w:rsidR="0026166C">
        <w:t>19</w:t>
      </w:r>
      <w:r w:rsidR="00A84283" w:rsidRPr="001A6701">
        <w:t>. These certificates enable foreign persons to receive pre</w:t>
      </w:r>
      <w:r w:rsidR="00E55E34">
        <w:noBreakHyphen/>
      </w:r>
      <w:r w:rsidR="00A84283" w:rsidRPr="001A6701">
        <w:t xml:space="preserve">approval to purchase a single established dwelling and notify the details of the property once purchased, rather than requiring the person to seek individual approvals for each dwelling they may be considering purchasing. </w:t>
      </w:r>
    </w:p>
    <w:p w14:paraId="7447B835" w14:textId="77777777" w:rsidR="00A84283" w:rsidRPr="001B3CF4" w:rsidRDefault="00A84283" w:rsidP="00A12D76">
      <w:pPr>
        <w:pStyle w:val="Heading4"/>
        <w:rPr>
          <w:b w:val="0"/>
        </w:rPr>
      </w:pPr>
      <w:r w:rsidRPr="001B3CF4">
        <w:t>For development</w:t>
      </w:r>
    </w:p>
    <w:p w14:paraId="7E72CD6D" w14:textId="1ABACE22" w:rsidR="00A84283" w:rsidRPr="001B3CF4" w:rsidRDefault="00A84283" w:rsidP="002E2EFE">
      <w:pPr>
        <w:rPr>
          <w:color w:val="auto"/>
        </w:rPr>
      </w:pPr>
      <w:r w:rsidRPr="001B3CF4">
        <w:t xml:space="preserve">Australia’s foreign investment policy encourages investment in the residential real estate sector, which is expected to </w:t>
      </w:r>
      <w:r w:rsidRPr="001B3CF4">
        <w:rPr>
          <w:color w:val="auto"/>
        </w:rPr>
        <w:t xml:space="preserve">help build new supply. </w:t>
      </w:r>
      <w:r w:rsidR="003D5D74" w:rsidRPr="001B3CF4">
        <w:rPr>
          <w:color w:val="auto"/>
        </w:rPr>
        <w:t>In</w:t>
      </w:r>
      <w:r w:rsidRPr="001B3CF4">
        <w:rPr>
          <w:color w:val="auto"/>
        </w:rPr>
        <w:t xml:space="preserve"> 2018</w:t>
      </w:r>
      <w:r w:rsidR="00954DD1" w:rsidRPr="001B3CF4">
        <w:rPr>
          <w:color w:val="auto"/>
        </w:rPr>
        <w:noBreakHyphen/>
      </w:r>
      <w:r w:rsidRPr="001B3CF4">
        <w:rPr>
          <w:color w:val="auto"/>
        </w:rPr>
        <w:t>19, 6,</w:t>
      </w:r>
      <w:r w:rsidR="00B442D7" w:rsidRPr="001B3CF4">
        <w:rPr>
          <w:color w:val="auto"/>
        </w:rPr>
        <w:t>200</w:t>
      </w:r>
      <w:r w:rsidRPr="001B3CF4">
        <w:rPr>
          <w:color w:val="auto"/>
        </w:rPr>
        <w:t xml:space="preserve"> approvals for development were given including </w:t>
      </w:r>
      <w:r w:rsidR="001776D8">
        <w:rPr>
          <w:color w:val="auto"/>
        </w:rPr>
        <w:t xml:space="preserve">combination exemption certificates for </w:t>
      </w:r>
      <w:r w:rsidRPr="001B3CF4">
        <w:rPr>
          <w:color w:val="auto"/>
        </w:rPr>
        <w:t>new dwellings, vacant land and</w:t>
      </w:r>
      <w:r w:rsidR="00497197">
        <w:rPr>
          <w:color w:val="auto"/>
        </w:rPr>
        <w:t xml:space="preserve"> other residential property for </w:t>
      </w:r>
      <w:r w:rsidRPr="001B3CF4">
        <w:rPr>
          <w:color w:val="auto"/>
        </w:rPr>
        <w:t>development.</w:t>
      </w:r>
    </w:p>
    <w:p w14:paraId="55FE4570" w14:textId="522E2A9C" w:rsidR="001C6603" w:rsidRPr="00303BBF" w:rsidRDefault="001C6603" w:rsidP="001C6603">
      <w:r w:rsidRPr="001B3CF4">
        <w:t>In 2018</w:t>
      </w:r>
      <w:r w:rsidR="00954DD1" w:rsidRPr="001B3CF4">
        <w:noBreakHyphen/>
      </w:r>
      <w:r w:rsidRPr="001B3CF4">
        <w:t>19</w:t>
      </w:r>
      <w:r w:rsidR="00EC340E" w:rsidRPr="001B3CF4">
        <w:t>,</w:t>
      </w:r>
      <w:r w:rsidRPr="001B3CF4">
        <w:t xml:space="preserve"> the value of exemption certificate approvals</w:t>
      </w:r>
      <w:r w:rsidR="00EC340E" w:rsidRPr="001B3CF4">
        <w:t xml:space="preserve"> </w:t>
      </w:r>
      <w:r w:rsidR="003D5D74" w:rsidRPr="001B3CF4">
        <w:t xml:space="preserve">increased </w:t>
      </w:r>
      <w:r w:rsidR="00EC340E" w:rsidRPr="001B3CF4">
        <w:t>to $9.</w:t>
      </w:r>
      <w:r w:rsidR="00AB38D7" w:rsidRPr="001B3CF4">
        <w:t>2</w:t>
      </w:r>
      <w:r w:rsidR="00954DD1" w:rsidRPr="001B3CF4">
        <w:t> </w:t>
      </w:r>
      <w:r w:rsidR="00EC340E" w:rsidRPr="001B3CF4">
        <w:t>billion compared to $4.6</w:t>
      </w:r>
      <w:r w:rsidR="00954DD1" w:rsidRPr="001B3CF4">
        <w:t> </w:t>
      </w:r>
      <w:r w:rsidR="00EC340E" w:rsidRPr="001B3CF4">
        <w:t>billion in the previous period.</w:t>
      </w:r>
      <w:r w:rsidR="00EC340E">
        <w:t xml:space="preserve"> </w:t>
      </w:r>
    </w:p>
    <w:p w14:paraId="320D0D81" w14:textId="425A1365" w:rsidR="00A84283" w:rsidRPr="00954DD1" w:rsidRDefault="00A84283" w:rsidP="00F420FF">
      <w:pPr>
        <w:pStyle w:val="TableMainHeading"/>
      </w:pPr>
      <w:bookmarkStart w:id="115" w:name="_Toc32247771"/>
      <w:bookmarkStart w:id="116" w:name="_Toc33521356"/>
      <w:r w:rsidRPr="00954DD1">
        <w:lastRenderedPageBreak/>
        <w:t>Table 3.10: Residential real estate approvals, by type: 201</w:t>
      </w:r>
      <w:r w:rsidR="00D63159" w:rsidRPr="00954DD1">
        <w:t>5</w:t>
      </w:r>
      <w:r w:rsidRPr="00954DD1">
        <w:t>–1</w:t>
      </w:r>
      <w:r w:rsidR="00D63159" w:rsidRPr="00954DD1">
        <w:t>6</w:t>
      </w:r>
      <w:r w:rsidRPr="00954DD1">
        <w:t xml:space="preserve"> to 201</w:t>
      </w:r>
      <w:r w:rsidR="00D63159" w:rsidRPr="00954DD1">
        <w:t>8</w:t>
      </w:r>
      <w:r w:rsidRPr="00954DD1">
        <w:t>–1</w:t>
      </w:r>
      <w:r w:rsidR="00D63159" w:rsidRPr="00954DD1">
        <w:t>9</w:t>
      </w:r>
      <w:bookmarkEnd w:id="115"/>
      <w:bookmarkEnd w:id="116"/>
    </w:p>
    <w:tbl>
      <w:tblPr>
        <w:tblW w:w="5000" w:type="pct"/>
        <w:tblLook w:val="04A0" w:firstRow="1" w:lastRow="0" w:firstColumn="1" w:lastColumn="0" w:noHBand="0" w:noVBand="1"/>
      </w:tblPr>
      <w:tblGrid>
        <w:gridCol w:w="2330"/>
        <w:gridCol w:w="268"/>
        <w:gridCol w:w="722"/>
        <w:gridCol w:w="540"/>
        <w:gridCol w:w="722"/>
        <w:gridCol w:w="540"/>
        <w:gridCol w:w="722"/>
        <w:gridCol w:w="540"/>
        <w:gridCol w:w="693"/>
        <w:gridCol w:w="633"/>
      </w:tblGrid>
      <w:tr w:rsidR="008A6495" w:rsidRPr="008A6495" w14:paraId="298E7C1F" w14:textId="77777777" w:rsidTr="00C45942">
        <w:trPr>
          <w:trHeight w:val="225"/>
        </w:trPr>
        <w:tc>
          <w:tcPr>
            <w:tcW w:w="2276" w:type="dxa"/>
            <w:tcBorders>
              <w:top w:val="single" w:sz="2" w:space="0" w:color="000000" w:themeColor="text1"/>
              <w:left w:val="nil"/>
              <w:right w:val="nil"/>
            </w:tcBorders>
            <w:shd w:val="clear" w:color="auto" w:fill="auto"/>
            <w:noWrap/>
            <w:vAlign w:val="bottom"/>
            <w:hideMark/>
          </w:tcPr>
          <w:p w14:paraId="33788547"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w:t>
            </w:r>
          </w:p>
        </w:tc>
        <w:tc>
          <w:tcPr>
            <w:tcW w:w="156" w:type="dxa"/>
            <w:tcBorders>
              <w:top w:val="single" w:sz="2" w:space="0" w:color="000000" w:themeColor="text1"/>
              <w:left w:val="nil"/>
              <w:right w:val="nil"/>
            </w:tcBorders>
            <w:shd w:val="clear" w:color="auto" w:fill="auto"/>
            <w:noWrap/>
            <w:vAlign w:val="bottom"/>
            <w:hideMark/>
          </w:tcPr>
          <w:p w14:paraId="319DC81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c>
          <w:tcPr>
            <w:tcW w:w="1156" w:type="dxa"/>
            <w:gridSpan w:val="2"/>
            <w:tcBorders>
              <w:top w:val="single" w:sz="2" w:space="0" w:color="000000" w:themeColor="text1"/>
              <w:left w:val="nil"/>
              <w:right w:val="nil"/>
            </w:tcBorders>
            <w:shd w:val="clear" w:color="auto" w:fill="auto"/>
            <w:noWrap/>
            <w:vAlign w:val="bottom"/>
            <w:hideMark/>
          </w:tcPr>
          <w:p w14:paraId="0D12D9C7" w14:textId="77777777" w:rsidR="008A6495" w:rsidRPr="008A6495" w:rsidRDefault="008A6495" w:rsidP="008A6495">
            <w:pPr>
              <w:keepNext/>
              <w:keepLines/>
              <w:spacing w:after="0" w:line="240" w:lineRule="auto"/>
              <w:jc w:val="center"/>
              <w:rPr>
                <w:rFonts w:ascii="Arial" w:hAnsi="Arial" w:cs="Arial"/>
                <w:color w:val="auto"/>
                <w:sz w:val="16"/>
                <w:szCs w:val="16"/>
              </w:rPr>
            </w:pPr>
            <w:r w:rsidRPr="008A6495">
              <w:rPr>
                <w:rFonts w:ascii="Arial" w:hAnsi="Arial" w:cs="Arial"/>
                <w:color w:val="auto"/>
                <w:sz w:val="16"/>
                <w:szCs w:val="16"/>
              </w:rPr>
              <w:t>2015-16</w:t>
            </w:r>
          </w:p>
        </w:tc>
        <w:tc>
          <w:tcPr>
            <w:tcW w:w="1156" w:type="dxa"/>
            <w:gridSpan w:val="2"/>
            <w:tcBorders>
              <w:top w:val="single" w:sz="2" w:space="0" w:color="000000" w:themeColor="text1"/>
              <w:left w:val="nil"/>
              <w:right w:val="nil"/>
            </w:tcBorders>
            <w:shd w:val="clear" w:color="auto" w:fill="auto"/>
            <w:noWrap/>
            <w:vAlign w:val="bottom"/>
            <w:hideMark/>
          </w:tcPr>
          <w:p w14:paraId="27396795" w14:textId="77777777" w:rsidR="008A6495" w:rsidRPr="008A6495" w:rsidRDefault="008A6495" w:rsidP="008A6495">
            <w:pPr>
              <w:keepNext/>
              <w:keepLines/>
              <w:spacing w:after="0" w:line="240" w:lineRule="auto"/>
              <w:jc w:val="center"/>
              <w:rPr>
                <w:rFonts w:ascii="Arial" w:hAnsi="Arial" w:cs="Arial"/>
                <w:color w:val="auto"/>
                <w:sz w:val="16"/>
                <w:szCs w:val="16"/>
              </w:rPr>
            </w:pPr>
            <w:r w:rsidRPr="008A6495">
              <w:rPr>
                <w:rFonts w:ascii="Arial" w:hAnsi="Arial" w:cs="Arial"/>
                <w:color w:val="auto"/>
                <w:sz w:val="16"/>
                <w:szCs w:val="16"/>
              </w:rPr>
              <w:t>2016-17</w:t>
            </w:r>
          </w:p>
        </w:tc>
        <w:tc>
          <w:tcPr>
            <w:tcW w:w="1156" w:type="dxa"/>
            <w:gridSpan w:val="2"/>
            <w:tcBorders>
              <w:top w:val="single" w:sz="2" w:space="0" w:color="000000" w:themeColor="text1"/>
              <w:left w:val="nil"/>
              <w:right w:val="nil"/>
            </w:tcBorders>
            <w:shd w:val="clear" w:color="auto" w:fill="auto"/>
            <w:noWrap/>
            <w:vAlign w:val="bottom"/>
            <w:hideMark/>
          </w:tcPr>
          <w:p w14:paraId="6047931F" w14:textId="77777777" w:rsidR="008A6495" w:rsidRPr="008A6495" w:rsidRDefault="008A6495" w:rsidP="008A6495">
            <w:pPr>
              <w:keepNext/>
              <w:keepLines/>
              <w:spacing w:after="0" w:line="240" w:lineRule="auto"/>
              <w:jc w:val="center"/>
              <w:rPr>
                <w:rFonts w:ascii="Arial" w:hAnsi="Arial" w:cs="Arial"/>
                <w:color w:val="auto"/>
                <w:sz w:val="16"/>
                <w:szCs w:val="16"/>
              </w:rPr>
            </w:pPr>
            <w:r w:rsidRPr="008A6495">
              <w:rPr>
                <w:rFonts w:ascii="Arial" w:hAnsi="Arial" w:cs="Arial"/>
                <w:color w:val="auto"/>
                <w:sz w:val="16"/>
                <w:szCs w:val="16"/>
              </w:rPr>
              <w:t>2017-18</w:t>
            </w:r>
          </w:p>
        </w:tc>
        <w:tc>
          <w:tcPr>
            <w:tcW w:w="1296" w:type="dxa"/>
            <w:gridSpan w:val="2"/>
            <w:tcBorders>
              <w:top w:val="single" w:sz="2" w:space="0" w:color="000000" w:themeColor="text1"/>
              <w:left w:val="nil"/>
              <w:right w:val="nil"/>
            </w:tcBorders>
            <w:shd w:val="clear" w:color="000000" w:fill="F2F2F2"/>
            <w:noWrap/>
            <w:vAlign w:val="bottom"/>
            <w:hideMark/>
          </w:tcPr>
          <w:p w14:paraId="34E3FDDB" w14:textId="77777777" w:rsidR="008A6495" w:rsidRPr="008A6495" w:rsidRDefault="008A6495" w:rsidP="008A6495">
            <w:pPr>
              <w:keepNext/>
              <w:keepLines/>
              <w:spacing w:after="0" w:line="240" w:lineRule="auto"/>
              <w:jc w:val="center"/>
              <w:rPr>
                <w:rFonts w:ascii="Arial" w:hAnsi="Arial" w:cs="Arial"/>
                <w:color w:val="auto"/>
                <w:sz w:val="16"/>
                <w:szCs w:val="16"/>
              </w:rPr>
            </w:pPr>
            <w:r w:rsidRPr="008A6495">
              <w:rPr>
                <w:rFonts w:ascii="Arial" w:hAnsi="Arial" w:cs="Arial"/>
                <w:color w:val="auto"/>
                <w:sz w:val="16"/>
                <w:szCs w:val="16"/>
              </w:rPr>
              <w:t>2018-19</w:t>
            </w:r>
          </w:p>
        </w:tc>
      </w:tr>
      <w:tr w:rsidR="008A6495" w:rsidRPr="008A6495" w14:paraId="726B2D52" w14:textId="77777777" w:rsidTr="00C45942">
        <w:trPr>
          <w:trHeight w:val="225"/>
        </w:trPr>
        <w:tc>
          <w:tcPr>
            <w:tcW w:w="2276" w:type="dxa"/>
            <w:tcBorders>
              <w:top w:val="nil"/>
              <w:left w:val="nil"/>
              <w:right w:val="nil"/>
            </w:tcBorders>
            <w:shd w:val="clear" w:color="auto" w:fill="auto"/>
            <w:noWrap/>
            <w:vAlign w:val="bottom"/>
            <w:hideMark/>
          </w:tcPr>
          <w:p w14:paraId="5A3C88A0"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w:t>
            </w:r>
          </w:p>
        </w:tc>
        <w:tc>
          <w:tcPr>
            <w:tcW w:w="156" w:type="dxa"/>
            <w:tcBorders>
              <w:top w:val="nil"/>
              <w:left w:val="nil"/>
              <w:right w:val="nil"/>
            </w:tcBorders>
            <w:shd w:val="clear" w:color="auto" w:fill="auto"/>
            <w:noWrap/>
            <w:vAlign w:val="bottom"/>
            <w:hideMark/>
          </w:tcPr>
          <w:p w14:paraId="5F525A62"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left w:val="nil"/>
              <w:bottom w:val="single" w:sz="2" w:space="0" w:color="000000" w:themeColor="text1"/>
              <w:right w:val="nil"/>
            </w:tcBorders>
            <w:shd w:val="clear" w:color="auto" w:fill="auto"/>
            <w:noWrap/>
            <w:vAlign w:val="bottom"/>
            <w:hideMark/>
          </w:tcPr>
          <w:p w14:paraId="75624FE5"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No.</w:t>
            </w:r>
          </w:p>
        </w:tc>
        <w:tc>
          <w:tcPr>
            <w:tcW w:w="524" w:type="dxa"/>
            <w:tcBorders>
              <w:left w:val="nil"/>
              <w:bottom w:val="single" w:sz="2" w:space="0" w:color="000000" w:themeColor="text1"/>
              <w:right w:val="nil"/>
            </w:tcBorders>
            <w:shd w:val="clear" w:color="auto" w:fill="auto"/>
            <w:noWrap/>
            <w:vAlign w:val="bottom"/>
            <w:hideMark/>
          </w:tcPr>
          <w:p w14:paraId="579FEC6A"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$b</w:t>
            </w:r>
          </w:p>
        </w:tc>
        <w:tc>
          <w:tcPr>
            <w:tcW w:w="632" w:type="dxa"/>
            <w:tcBorders>
              <w:left w:val="nil"/>
              <w:bottom w:val="single" w:sz="2" w:space="0" w:color="000000" w:themeColor="text1"/>
              <w:right w:val="nil"/>
            </w:tcBorders>
            <w:shd w:val="clear" w:color="auto" w:fill="auto"/>
            <w:noWrap/>
            <w:vAlign w:val="bottom"/>
            <w:hideMark/>
          </w:tcPr>
          <w:p w14:paraId="2D3D91D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No.</w:t>
            </w:r>
          </w:p>
        </w:tc>
        <w:tc>
          <w:tcPr>
            <w:tcW w:w="524" w:type="dxa"/>
            <w:tcBorders>
              <w:left w:val="nil"/>
              <w:bottom w:val="single" w:sz="2" w:space="0" w:color="000000" w:themeColor="text1"/>
              <w:right w:val="nil"/>
            </w:tcBorders>
            <w:shd w:val="clear" w:color="auto" w:fill="auto"/>
            <w:noWrap/>
            <w:vAlign w:val="bottom"/>
            <w:hideMark/>
          </w:tcPr>
          <w:p w14:paraId="2E101409"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$b</w:t>
            </w:r>
          </w:p>
        </w:tc>
        <w:tc>
          <w:tcPr>
            <w:tcW w:w="632" w:type="dxa"/>
            <w:tcBorders>
              <w:left w:val="nil"/>
              <w:bottom w:val="single" w:sz="2" w:space="0" w:color="000000" w:themeColor="text1"/>
              <w:right w:val="nil"/>
            </w:tcBorders>
            <w:shd w:val="clear" w:color="auto" w:fill="auto"/>
            <w:noWrap/>
            <w:vAlign w:val="bottom"/>
            <w:hideMark/>
          </w:tcPr>
          <w:p w14:paraId="39DD6294"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No.</w:t>
            </w:r>
          </w:p>
        </w:tc>
        <w:tc>
          <w:tcPr>
            <w:tcW w:w="524" w:type="dxa"/>
            <w:tcBorders>
              <w:left w:val="nil"/>
              <w:bottom w:val="single" w:sz="2" w:space="0" w:color="000000" w:themeColor="text1"/>
              <w:right w:val="nil"/>
            </w:tcBorders>
            <w:shd w:val="clear" w:color="auto" w:fill="auto"/>
            <w:noWrap/>
            <w:vAlign w:val="bottom"/>
            <w:hideMark/>
          </w:tcPr>
          <w:p w14:paraId="7D1BA247"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$b</w:t>
            </w:r>
          </w:p>
        </w:tc>
        <w:tc>
          <w:tcPr>
            <w:tcW w:w="677" w:type="dxa"/>
            <w:tcBorders>
              <w:left w:val="nil"/>
              <w:bottom w:val="single" w:sz="2" w:space="0" w:color="000000" w:themeColor="text1"/>
              <w:right w:val="nil"/>
            </w:tcBorders>
            <w:shd w:val="clear" w:color="000000" w:fill="F2F2F2"/>
            <w:noWrap/>
            <w:vAlign w:val="bottom"/>
            <w:hideMark/>
          </w:tcPr>
          <w:p w14:paraId="282D67D1"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No.</w:t>
            </w:r>
          </w:p>
        </w:tc>
        <w:tc>
          <w:tcPr>
            <w:tcW w:w="619" w:type="dxa"/>
            <w:tcBorders>
              <w:left w:val="nil"/>
              <w:bottom w:val="single" w:sz="2" w:space="0" w:color="000000" w:themeColor="text1"/>
              <w:right w:val="nil"/>
            </w:tcBorders>
            <w:shd w:val="clear" w:color="000000" w:fill="F2F2F2"/>
            <w:noWrap/>
            <w:vAlign w:val="bottom"/>
            <w:hideMark/>
          </w:tcPr>
          <w:p w14:paraId="70F497A9"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$b</w:t>
            </w:r>
          </w:p>
        </w:tc>
      </w:tr>
      <w:tr w:rsidR="008A6495" w:rsidRPr="008A6495" w14:paraId="751092B4" w14:textId="77777777" w:rsidTr="00C45942">
        <w:trPr>
          <w:trHeight w:val="225"/>
        </w:trPr>
        <w:tc>
          <w:tcPr>
            <w:tcW w:w="2276" w:type="dxa"/>
            <w:tcBorders>
              <w:left w:val="nil"/>
              <w:bottom w:val="nil"/>
              <w:right w:val="nil"/>
            </w:tcBorders>
            <w:shd w:val="clear" w:color="auto" w:fill="auto"/>
            <w:noWrap/>
            <w:vAlign w:val="bottom"/>
            <w:hideMark/>
          </w:tcPr>
          <w:p w14:paraId="14B6979B" w14:textId="77777777" w:rsidR="008A6495" w:rsidRPr="008A6495" w:rsidRDefault="008A6495" w:rsidP="008A6495">
            <w:pPr>
              <w:keepNext/>
              <w:keepLines/>
              <w:spacing w:after="0" w:line="240" w:lineRule="auto"/>
              <w:jc w:val="left"/>
              <w:rPr>
                <w:rFonts w:ascii="Arial" w:hAnsi="Arial" w:cs="Arial"/>
                <w:b/>
                <w:bCs/>
                <w:color w:val="auto"/>
                <w:sz w:val="16"/>
                <w:szCs w:val="16"/>
              </w:rPr>
            </w:pPr>
            <w:r w:rsidRPr="008A6495">
              <w:rPr>
                <w:rFonts w:ascii="Arial" w:hAnsi="Arial" w:cs="Arial"/>
                <w:b/>
                <w:bCs/>
                <w:color w:val="auto"/>
                <w:sz w:val="16"/>
                <w:szCs w:val="16"/>
              </w:rPr>
              <w:t>Residential</w:t>
            </w:r>
          </w:p>
        </w:tc>
        <w:tc>
          <w:tcPr>
            <w:tcW w:w="156" w:type="dxa"/>
            <w:tcBorders>
              <w:left w:val="nil"/>
              <w:bottom w:val="nil"/>
              <w:right w:val="nil"/>
            </w:tcBorders>
            <w:shd w:val="clear" w:color="auto" w:fill="auto"/>
            <w:noWrap/>
            <w:vAlign w:val="bottom"/>
            <w:hideMark/>
          </w:tcPr>
          <w:p w14:paraId="3BE2CFAE" w14:textId="77777777" w:rsidR="008A6495" w:rsidRPr="008A6495" w:rsidRDefault="008A6495" w:rsidP="008A6495">
            <w:pPr>
              <w:keepNext/>
              <w:keepLines/>
              <w:spacing w:after="0" w:line="240" w:lineRule="auto"/>
              <w:jc w:val="left"/>
              <w:rPr>
                <w:rFonts w:ascii="Arial" w:hAnsi="Arial" w:cs="Arial"/>
                <w:b/>
                <w:bCs/>
                <w:color w:val="auto"/>
                <w:sz w:val="16"/>
                <w:szCs w:val="16"/>
              </w:rPr>
            </w:pPr>
          </w:p>
        </w:tc>
        <w:tc>
          <w:tcPr>
            <w:tcW w:w="632" w:type="dxa"/>
            <w:tcBorders>
              <w:top w:val="single" w:sz="2" w:space="0" w:color="000000" w:themeColor="text1"/>
              <w:left w:val="nil"/>
              <w:bottom w:val="nil"/>
              <w:right w:val="nil"/>
            </w:tcBorders>
            <w:shd w:val="clear" w:color="auto" w:fill="auto"/>
            <w:noWrap/>
            <w:vAlign w:val="bottom"/>
            <w:hideMark/>
          </w:tcPr>
          <w:p w14:paraId="07460CCC"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single" w:sz="2" w:space="0" w:color="000000" w:themeColor="text1"/>
              <w:left w:val="nil"/>
              <w:bottom w:val="nil"/>
              <w:right w:val="nil"/>
            </w:tcBorders>
            <w:shd w:val="clear" w:color="auto" w:fill="auto"/>
            <w:noWrap/>
            <w:vAlign w:val="bottom"/>
            <w:hideMark/>
          </w:tcPr>
          <w:p w14:paraId="2565A5A2"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single" w:sz="2" w:space="0" w:color="000000" w:themeColor="text1"/>
              <w:left w:val="nil"/>
              <w:bottom w:val="nil"/>
              <w:right w:val="nil"/>
            </w:tcBorders>
            <w:shd w:val="clear" w:color="auto" w:fill="auto"/>
            <w:noWrap/>
            <w:vAlign w:val="bottom"/>
            <w:hideMark/>
          </w:tcPr>
          <w:p w14:paraId="4790022E"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single" w:sz="2" w:space="0" w:color="000000" w:themeColor="text1"/>
              <w:left w:val="nil"/>
              <w:bottom w:val="nil"/>
              <w:right w:val="nil"/>
            </w:tcBorders>
            <w:shd w:val="clear" w:color="auto" w:fill="auto"/>
            <w:noWrap/>
            <w:vAlign w:val="bottom"/>
            <w:hideMark/>
          </w:tcPr>
          <w:p w14:paraId="7AB07FBD"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single" w:sz="2" w:space="0" w:color="000000" w:themeColor="text1"/>
              <w:left w:val="nil"/>
              <w:bottom w:val="nil"/>
              <w:right w:val="nil"/>
            </w:tcBorders>
            <w:shd w:val="clear" w:color="auto" w:fill="auto"/>
            <w:noWrap/>
            <w:vAlign w:val="bottom"/>
            <w:hideMark/>
          </w:tcPr>
          <w:p w14:paraId="60217E7A"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single" w:sz="2" w:space="0" w:color="000000" w:themeColor="text1"/>
              <w:left w:val="nil"/>
              <w:bottom w:val="nil"/>
              <w:right w:val="nil"/>
            </w:tcBorders>
            <w:shd w:val="clear" w:color="auto" w:fill="auto"/>
            <w:noWrap/>
            <w:vAlign w:val="bottom"/>
            <w:hideMark/>
          </w:tcPr>
          <w:p w14:paraId="7FFE023B" w14:textId="77777777" w:rsidR="008A6495" w:rsidRPr="008A6495" w:rsidRDefault="008A6495" w:rsidP="008A6495">
            <w:pPr>
              <w:keepNext/>
              <w:keepLines/>
              <w:spacing w:after="0" w:line="240" w:lineRule="auto"/>
              <w:jc w:val="right"/>
              <w:rPr>
                <w:rFonts w:ascii="Times New Roman" w:hAnsi="Times New Roman"/>
                <w:color w:val="auto"/>
              </w:rPr>
            </w:pPr>
          </w:p>
        </w:tc>
        <w:tc>
          <w:tcPr>
            <w:tcW w:w="677" w:type="dxa"/>
            <w:tcBorders>
              <w:top w:val="single" w:sz="2" w:space="0" w:color="000000" w:themeColor="text1"/>
              <w:left w:val="nil"/>
              <w:bottom w:val="nil"/>
              <w:right w:val="nil"/>
            </w:tcBorders>
            <w:shd w:val="clear" w:color="000000" w:fill="F2F2F2"/>
            <w:noWrap/>
            <w:vAlign w:val="bottom"/>
            <w:hideMark/>
          </w:tcPr>
          <w:p w14:paraId="4EA8918F" w14:textId="77777777" w:rsidR="008A6495" w:rsidRPr="008A6495" w:rsidRDefault="008A6495" w:rsidP="008A6495">
            <w:pPr>
              <w:keepNext/>
              <w:keepLines/>
              <w:spacing w:after="0" w:line="240" w:lineRule="auto"/>
              <w:jc w:val="left"/>
              <w:rPr>
                <w:rFonts w:ascii="Arial" w:hAnsi="Arial" w:cs="Arial"/>
                <w:sz w:val="16"/>
                <w:szCs w:val="16"/>
              </w:rPr>
            </w:pPr>
            <w:r w:rsidRPr="008A6495">
              <w:rPr>
                <w:rFonts w:ascii="Arial" w:hAnsi="Arial" w:cs="Arial"/>
                <w:sz w:val="16"/>
                <w:szCs w:val="16"/>
              </w:rPr>
              <w:t> </w:t>
            </w:r>
          </w:p>
        </w:tc>
        <w:tc>
          <w:tcPr>
            <w:tcW w:w="619" w:type="dxa"/>
            <w:tcBorders>
              <w:top w:val="single" w:sz="2" w:space="0" w:color="000000" w:themeColor="text1"/>
              <w:left w:val="nil"/>
              <w:bottom w:val="nil"/>
              <w:right w:val="nil"/>
            </w:tcBorders>
            <w:shd w:val="clear" w:color="000000" w:fill="F2F2F2"/>
            <w:noWrap/>
            <w:vAlign w:val="bottom"/>
            <w:hideMark/>
          </w:tcPr>
          <w:p w14:paraId="33E50C2B" w14:textId="77777777" w:rsidR="008A6495" w:rsidRPr="008A6495" w:rsidRDefault="008A6495" w:rsidP="008A6495">
            <w:pPr>
              <w:keepNext/>
              <w:keepLines/>
              <w:spacing w:after="0" w:line="240" w:lineRule="auto"/>
              <w:jc w:val="left"/>
              <w:rPr>
                <w:rFonts w:ascii="Arial" w:hAnsi="Arial" w:cs="Arial"/>
                <w:sz w:val="16"/>
                <w:szCs w:val="16"/>
              </w:rPr>
            </w:pPr>
            <w:r w:rsidRPr="008A6495">
              <w:rPr>
                <w:rFonts w:ascii="Arial" w:hAnsi="Arial" w:cs="Arial"/>
                <w:sz w:val="16"/>
                <w:szCs w:val="16"/>
              </w:rPr>
              <w:t> </w:t>
            </w:r>
          </w:p>
        </w:tc>
      </w:tr>
      <w:tr w:rsidR="008A6495" w:rsidRPr="008A6495" w14:paraId="3FA3D05E" w14:textId="77777777" w:rsidTr="00826C87">
        <w:trPr>
          <w:trHeight w:val="225"/>
        </w:trPr>
        <w:tc>
          <w:tcPr>
            <w:tcW w:w="2276" w:type="dxa"/>
            <w:tcBorders>
              <w:top w:val="nil"/>
              <w:left w:val="nil"/>
              <w:bottom w:val="nil"/>
              <w:right w:val="nil"/>
            </w:tcBorders>
            <w:shd w:val="clear" w:color="auto" w:fill="auto"/>
            <w:noWrap/>
            <w:vAlign w:val="bottom"/>
            <w:hideMark/>
          </w:tcPr>
          <w:p w14:paraId="17D8EF5D" w14:textId="77777777" w:rsidR="008A6495" w:rsidRPr="008A6495" w:rsidRDefault="008A6495" w:rsidP="008A6495">
            <w:pPr>
              <w:keepNext/>
              <w:keepLines/>
              <w:spacing w:after="0" w:line="240" w:lineRule="auto"/>
              <w:jc w:val="left"/>
              <w:rPr>
                <w:rFonts w:ascii="Arial" w:hAnsi="Arial" w:cs="Arial"/>
                <w:color w:val="auto"/>
                <w:sz w:val="16"/>
                <w:szCs w:val="16"/>
                <w:u w:val="single"/>
              </w:rPr>
            </w:pPr>
            <w:r w:rsidRPr="008A6495">
              <w:rPr>
                <w:rFonts w:ascii="Arial" w:hAnsi="Arial" w:cs="Arial"/>
                <w:color w:val="auto"/>
                <w:sz w:val="16"/>
                <w:szCs w:val="16"/>
                <w:u w:val="single"/>
              </w:rPr>
              <w:t>Developed</w:t>
            </w:r>
          </w:p>
        </w:tc>
        <w:tc>
          <w:tcPr>
            <w:tcW w:w="156" w:type="dxa"/>
            <w:tcBorders>
              <w:top w:val="nil"/>
              <w:left w:val="nil"/>
              <w:bottom w:val="nil"/>
              <w:right w:val="nil"/>
            </w:tcBorders>
            <w:shd w:val="clear" w:color="auto" w:fill="auto"/>
            <w:noWrap/>
            <w:vAlign w:val="bottom"/>
            <w:hideMark/>
          </w:tcPr>
          <w:p w14:paraId="786392E1" w14:textId="77777777" w:rsidR="008A6495" w:rsidRPr="008A6495" w:rsidRDefault="008A6495" w:rsidP="008A6495">
            <w:pPr>
              <w:keepNext/>
              <w:keepLines/>
              <w:spacing w:after="0" w:line="240" w:lineRule="auto"/>
              <w:jc w:val="left"/>
              <w:rPr>
                <w:rFonts w:ascii="Arial" w:hAnsi="Arial" w:cs="Arial"/>
                <w:color w:val="auto"/>
                <w:sz w:val="16"/>
                <w:szCs w:val="16"/>
                <w:u w:val="single"/>
              </w:rPr>
            </w:pPr>
          </w:p>
        </w:tc>
        <w:tc>
          <w:tcPr>
            <w:tcW w:w="632" w:type="dxa"/>
            <w:tcBorders>
              <w:top w:val="nil"/>
              <w:left w:val="nil"/>
              <w:bottom w:val="nil"/>
              <w:right w:val="nil"/>
            </w:tcBorders>
            <w:shd w:val="clear" w:color="auto" w:fill="auto"/>
            <w:noWrap/>
            <w:vAlign w:val="bottom"/>
            <w:hideMark/>
          </w:tcPr>
          <w:p w14:paraId="1F06C89D"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624AE0B6"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6D9B905D"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03FE2F5B"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496B7B5E"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3B689FAA" w14:textId="77777777" w:rsidR="008A6495" w:rsidRPr="008A6495" w:rsidRDefault="008A6495" w:rsidP="008A6495">
            <w:pPr>
              <w:keepNext/>
              <w:keepLines/>
              <w:spacing w:after="0" w:line="240" w:lineRule="auto"/>
              <w:jc w:val="right"/>
              <w:rPr>
                <w:rFonts w:ascii="Times New Roman" w:hAnsi="Times New Roman"/>
                <w:color w:val="auto"/>
              </w:rPr>
            </w:pPr>
          </w:p>
        </w:tc>
        <w:tc>
          <w:tcPr>
            <w:tcW w:w="677" w:type="dxa"/>
            <w:tcBorders>
              <w:top w:val="nil"/>
              <w:left w:val="nil"/>
              <w:bottom w:val="nil"/>
              <w:right w:val="nil"/>
            </w:tcBorders>
            <w:shd w:val="clear" w:color="000000" w:fill="F2F2F2"/>
            <w:noWrap/>
            <w:vAlign w:val="bottom"/>
            <w:hideMark/>
          </w:tcPr>
          <w:p w14:paraId="37C2006B" w14:textId="77777777" w:rsidR="008A6495" w:rsidRPr="008A6495" w:rsidRDefault="008A6495" w:rsidP="008A6495">
            <w:pPr>
              <w:keepNext/>
              <w:keepLines/>
              <w:spacing w:after="0" w:line="240" w:lineRule="auto"/>
              <w:jc w:val="left"/>
              <w:rPr>
                <w:rFonts w:ascii="Arial" w:hAnsi="Arial" w:cs="Arial"/>
                <w:sz w:val="16"/>
                <w:szCs w:val="16"/>
              </w:rPr>
            </w:pPr>
            <w:r w:rsidRPr="008A6495">
              <w:rPr>
                <w:rFonts w:ascii="Arial" w:hAnsi="Arial" w:cs="Arial"/>
                <w:sz w:val="16"/>
                <w:szCs w:val="16"/>
              </w:rPr>
              <w:t> </w:t>
            </w:r>
          </w:p>
        </w:tc>
        <w:tc>
          <w:tcPr>
            <w:tcW w:w="619" w:type="dxa"/>
            <w:tcBorders>
              <w:top w:val="nil"/>
              <w:left w:val="nil"/>
              <w:bottom w:val="nil"/>
              <w:right w:val="nil"/>
            </w:tcBorders>
            <w:shd w:val="clear" w:color="000000" w:fill="F2F2F2"/>
            <w:noWrap/>
            <w:vAlign w:val="bottom"/>
            <w:hideMark/>
          </w:tcPr>
          <w:p w14:paraId="2896E389" w14:textId="77777777" w:rsidR="008A6495" w:rsidRPr="008A6495" w:rsidRDefault="008A6495" w:rsidP="008A6495">
            <w:pPr>
              <w:keepNext/>
              <w:keepLines/>
              <w:spacing w:after="0" w:line="240" w:lineRule="auto"/>
              <w:jc w:val="left"/>
              <w:rPr>
                <w:rFonts w:ascii="Arial" w:hAnsi="Arial" w:cs="Arial"/>
                <w:sz w:val="16"/>
                <w:szCs w:val="16"/>
              </w:rPr>
            </w:pPr>
            <w:r w:rsidRPr="008A6495">
              <w:rPr>
                <w:rFonts w:ascii="Arial" w:hAnsi="Arial" w:cs="Arial"/>
                <w:sz w:val="16"/>
                <w:szCs w:val="16"/>
              </w:rPr>
              <w:t> </w:t>
            </w:r>
          </w:p>
        </w:tc>
      </w:tr>
      <w:tr w:rsidR="008A6495" w:rsidRPr="008A6495" w14:paraId="0194E526" w14:textId="77777777" w:rsidTr="00826C87">
        <w:trPr>
          <w:trHeight w:val="225"/>
        </w:trPr>
        <w:tc>
          <w:tcPr>
            <w:tcW w:w="2276" w:type="dxa"/>
            <w:tcBorders>
              <w:top w:val="nil"/>
              <w:left w:val="nil"/>
              <w:bottom w:val="nil"/>
              <w:right w:val="nil"/>
            </w:tcBorders>
            <w:shd w:val="clear" w:color="auto" w:fill="auto"/>
            <w:noWrap/>
            <w:vAlign w:val="bottom"/>
            <w:hideMark/>
          </w:tcPr>
          <w:p w14:paraId="0A7D7893"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Existing residential property</w:t>
            </w:r>
          </w:p>
        </w:tc>
        <w:tc>
          <w:tcPr>
            <w:tcW w:w="156" w:type="dxa"/>
            <w:tcBorders>
              <w:top w:val="nil"/>
              <w:left w:val="nil"/>
              <w:bottom w:val="nil"/>
              <w:right w:val="nil"/>
            </w:tcBorders>
            <w:shd w:val="clear" w:color="auto" w:fill="auto"/>
            <w:noWrap/>
            <w:vAlign w:val="bottom"/>
            <w:hideMark/>
          </w:tcPr>
          <w:p w14:paraId="0A874B64"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0363E059"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29A25F78"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55354DB8"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78F35E7D"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2B7CC8AA"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6D2AE0EC" w14:textId="77777777" w:rsidR="008A6495" w:rsidRPr="008A6495" w:rsidRDefault="008A6495" w:rsidP="008A6495">
            <w:pPr>
              <w:keepNext/>
              <w:keepLines/>
              <w:spacing w:after="0" w:line="240" w:lineRule="auto"/>
              <w:jc w:val="right"/>
              <w:rPr>
                <w:rFonts w:ascii="Times New Roman" w:hAnsi="Times New Roman"/>
                <w:color w:val="auto"/>
              </w:rPr>
            </w:pPr>
          </w:p>
        </w:tc>
        <w:tc>
          <w:tcPr>
            <w:tcW w:w="677" w:type="dxa"/>
            <w:tcBorders>
              <w:top w:val="nil"/>
              <w:left w:val="nil"/>
              <w:bottom w:val="nil"/>
              <w:right w:val="nil"/>
            </w:tcBorders>
            <w:shd w:val="clear" w:color="000000" w:fill="F2F2F2"/>
            <w:noWrap/>
            <w:vAlign w:val="bottom"/>
            <w:hideMark/>
          </w:tcPr>
          <w:p w14:paraId="21039C4C" w14:textId="77777777" w:rsidR="008A6495" w:rsidRPr="008A6495" w:rsidRDefault="008A6495" w:rsidP="008A6495">
            <w:pPr>
              <w:keepNext/>
              <w:keepLines/>
              <w:spacing w:after="0" w:line="240" w:lineRule="auto"/>
              <w:jc w:val="left"/>
              <w:rPr>
                <w:rFonts w:ascii="Arial" w:hAnsi="Arial" w:cs="Arial"/>
                <w:sz w:val="16"/>
                <w:szCs w:val="16"/>
              </w:rPr>
            </w:pPr>
            <w:r w:rsidRPr="008A6495">
              <w:rPr>
                <w:rFonts w:ascii="Arial" w:hAnsi="Arial" w:cs="Arial"/>
                <w:sz w:val="16"/>
                <w:szCs w:val="16"/>
              </w:rPr>
              <w:t> </w:t>
            </w:r>
          </w:p>
        </w:tc>
        <w:tc>
          <w:tcPr>
            <w:tcW w:w="619" w:type="dxa"/>
            <w:tcBorders>
              <w:top w:val="nil"/>
              <w:left w:val="nil"/>
              <w:bottom w:val="nil"/>
              <w:right w:val="nil"/>
            </w:tcBorders>
            <w:shd w:val="clear" w:color="000000" w:fill="F2F2F2"/>
            <w:noWrap/>
            <w:vAlign w:val="bottom"/>
            <w:hideMark/>
          </w:tcPr>
          <w:p w14:paraId="228FCC14" w14:textId="77777777" w:rsidR="008A6495" w:rsidRPr="008A6495" w:rsidRDefault="008A6495" w:rsidP="008A6495">
            <w:pPr>
              <w:keepNext/>
              <w:keepLines/>
              <w:spacing w:after="0" w:line="240" w:lineRule="auto"/>
              <w:jc w:val="left"/>
              <w:rPr>
                <w:rFonts w:ascii="Arial" w:hAnsi="Arial" w:cs="Arial"/>
                <w:sz w:val="16"/>
                <w:szCs w:val="16"/>
              </w:rPr>
            </w:pPr>
            <w:r w:rsidRPr="008A6495">
              <w:rPr>
                <w:rFonts w:ascii="Arial" w:hAnsi="Arial" w:cs="Arial"/>
                <w:sz w:val="16"/>
                <w:szCs w:val="16"/>
              </w:rPr>
              <w:t> </w:t>
            </w:r>
          </w:p>
        </w:tc>
      </w:tr>
      <w:tr w:rsidR="008A6495" w:rsidRPr="008A6495" w14:paraId="72D2FFD1" w14:textId="77777777" w:rsidTr="00826C87">
        <w:trPr>
          <w:trHeight w:val="225"/>
        </w:trPr>
        <w:tc>
          <w:tcPr>
            <w:tcW w:w="2276" w:type="dxa"/>
            <w:tcBorders>
              <w:top w:val="nil"/>
              <w:left w:val="nil"/>
              <w:bottom w:val="nil"/>
              <w:right w:val="nil"/>
            </w:tcBorders>
            <w:shd w:val="clear" w:color="auto" w:fill="auto"/>
            <w:noWrap/>
            <w:vAlign w:val="bottom"/>
            <w:hideMark/>
          </w:tcPr>
          <w:p w14:paraId="48279A07"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r w:rsidRPr="008A6495">
              <w:rPr>
                <w:rFonts w:ascii="Arial" w:hAnsi="Arial" w:cs="Arial"/>
                <w:color w:val="auto"/>
                <w:sz w:val="16"/>
                <w:szCs w:val="16"/>
              </w:rPr>
              <w:t>- Individual purchases</w:t>
            </w:r>
          </w:p>
        </w:tc>
        <w:tc>
          <w:tcPr>
            <w:tcW w:w="156" w:type="dxa"/>
            <w:tcBorders>
              <w:top w:val="nil"/>
              <w:left w:val="nil"/>
              <w:bottom w:val="nil"/>
              <w:right w:val="nil"/>
            </w:tcBorders>
            <w:shd w:val="clear" w:color="auto" w:fill="auto"/>
            <w:noWrap/>
            <w:vAlign w:val="bottom"/>
            <w:hideMark/>
          </w:tcPr>
          <w:p w14:paraId="324CD35D"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48556D67"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5,632</w:t>
            </w:r>
          </w:p>
        </w:tc>
        <w:tc>
          <w:tcPr>
            <w:tcW w:w="524" w:type="dxa"/>
            <w:tcBorders>
              <w:top w:val="nil"/>
              <w:left w:val="nil"/>
              <w:bottom w:val="nil"/>
              <w:right w:val="nil"/>
            </w:tcBorders>
            <w:shd w:val="clear" w:color="auto" w:fill="auto"/>
            <w:noWrap/>
            <w:vAlign w:val="bottom"/>
            <w:hideMark/>
          </w:tcPr>
          <w:p w14:paraId="1052E15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6.9</w:t>
            </w:r>
          </w:p>
        </w:tc>
        <w:tc>
          <w:tcPr>
            <w:tcW w:w="632" w:type="dxa"/>
            <w:tcBorders>
              <w:top w:val="nil"/>
              <w:left w:val="nil"/>
              <w:bottom w:val="nil"/>
              <w:right w:val="nil"/>
            </w:tcBorders>
            <w:shd w:val="clear" w:color="auto" w:fill="auto"/>
            <w:noWrap/>
            <w:vAlign w:val="bottom"/>
            <w:hideMark/>
          </w:tcPr>
          <w:p w14:paraId="569C513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1,484</w:t>
            </w:r>
          </w:p>
        </w:tc>
        <w:tc>
          <w:tcPr>
            <w:tcW w:w="524" w:type="dxa"/>
            <w:tcBorders>
              <w:top w:val="nil"/>
              <w:left w:val="nil"/>
              <w:bottom w:val="nil"/>
              <w:right w:val="nil"/>
            </w:tcBorders>
            <w:shd w:val="clear" w:color="auto" w:fill="auto"/>
            <w:noWrap/>
            <w:vAlign w:val="bottom"/>
            <w:hideMark/>
          </w:tcPr>
          <w:p w14:paraId="45E3F602"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2.1</w:t>
            </w:r>
          </w:p>
        </w:tc>
        <w:tc>
          <w:tcPr>
            <w:tcW w:w="632" w:type="dxa"/>
            <w:tcBorders>
              <w:top w:val="nil"/>
              <w:left w:val="nil"/>
              <w:bottom w:val="nil"/>
              <w:right w:val="nil"/>
            </w:tcBorders>
            <w:shd w:val="clear" w:color="auto" w:fill="auto"/>
            <w:noWrap/>
            <w:vAlign w:val="bottom"/>
            <w:hideMark/>
          </w:tcPr>
          <w:p w14:paraId="55617474"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1,075</w:t>
            </w:r>
          </w:p>
        </w:tc>
        <w:tc>
          <w:tcPr>
            <w:tcW w:w="524" w:type="dxa"/>
            <w:tcBorders>
              <w:top w:val="nil"/>
              <w:left w:val="nil"/>
              <w:bottom w:val="nil"/>
              <w:right w:val="nil"/>
            </w:tcBorders>
            <w:shd w:val="clear" w:color="auto" w:fill="auto"/>
            <w:noWrap/>
            <w:vAlign w:val="bottom"/>
            <w:hideMark/>
          </w:tcPr>
          <w:p w14:paraId="16BD7C28"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1.5</w:t>
            </w:r>
          </w:p>
        </w:tc>
        <w:tc>
          <w:tcPr>
            <w:tcW w:w="677" w:type="dxa"/>
            <w:tcBorders>
              <w:top w:val="nil"/>
              <w:left w:val="nil"/>
              <w:bottom w:val="nil"/>
              <w:right w:val="nil"/>
            </w:tcBorders>
            <w:shd w:val="clear" w:color="000000" w:fill="F2F2F2"/>
            <w:noWrap/>
            <w:vAlign w:val="bottom"/>
            <w:hideMark/>
          </w:tcPr>
          <w:p w14:paraId="7E50C13A"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995</w:t>
            </w:r>
          </w:p>
        </w:tc>
        <w:tc>
          <w:tcPr>
            <w:tcW w:w="619" w:type="dxa"/>
            <w:tcBorders>
              <w:top w:val="nil"/>
              <w:left w:val="nil"/>
              <w:bottom w:val="nil"/>
              <w:right w:val="nil"/>
            </w:tcBorders>
            <w:shd w:val="clear" w:color="000000" w:fill="F2F2F2"/>
            <w:noWrap/>
            <w:vAlign w:val="bottom"/>
            <w:hideMark/>
          </w:tcPr>
          <w:p w14:paraId="7B11BED6"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1.2</w:t>
            </w:r>
          </w:p>
        </w:tc>
      </w:tr>
      <w:tr w:rsidR="008A6495" w:rsidRPr="008A6495" w14:paraId="0E2DE68B" w14:textId="77777777" w:rsidTr="00C45942">
        <w:trPr>
          <w:trHeight w:val="225"/>
        </w:trPr>
        <w:tc>
          <w:tcPr>
            <w:tcW w:w="2276" w:type="dxa"/>
            <w:tcBorders>
              <w:top w:val="nil"/>
              <w:left w:val="nil"/>
              <w:bottom w:val="nil"/>
              <w:right w:val="nil"/>
            </w:tcBorders>
            <w:shd w:val="clear" w:color="auto" w:fill="auto"/>
            <w:noWrap/>
            <w:vAlign w:val="bottom"/>
            <w:hideMark/>
          </w:tcPr>
          <w:p w14:paraId="23ACDA4E"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r w:rsidRPr="008A6495">
              <w:rPr>
                <w:rFonts w:ascii="Arial" w:hAnsi="Arial" w:cs="Arial"/>
                <w:color w:val="auto"/>
                <w:sz w:val="16"/>
                <w:szCs w:val="16"/>
              </w:rPr>
              <w:t>- Single purchase EC (a)</w:t>
            </w:r>
          </w:p>
        </w:tc>
        <w:tc>
          <w:tcPr>
            <w:tcW w:w="156" w:type="dxa"/>
            <w:tcBorders>
              <w:top w:val="nil"/>
              <w:left w:val="nil"/>
              <w:bottom w:val="nil"/>
              <w:right w:val="nil"/>
            </w:tcBorders>
            <w:shd w:val="clear" w:color="auto" w:fill="auto"/>
            <w:noWrap/>
            <w:vAlign w:val="bottom"/>
            <w:hideMark/>
          </w:tcPr>
          <w:p w14:paraId="393FB309"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p>
        </w:tc>
        <w:tc>
          <w:tcPr>
            <w:tcW w:w="632" w:type="dxa"/>
            <w:tcBorders>
              <w:top w:val="nil"/>
              <w:left w:val="nil"/>
              <w:bottom w:val="single" w:sz="2" w:space="0" w:color="000000" w:themeColor="text1"/>
              <w:right w:val="nil"/>
            </w:tcBorders>
            <w:shd w:val="clear" w:color="auto" w:fill="auto"/>
            <w:noWrap/>
            <w:vAlign w:val="bottom"/>
            <w:hideMark/>
          </w:tcPr>
          <w:p w14:paraId="5BC42BC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244</w:t>
            </w:r>
          </w:p>
        </w:tc>
        <w:tc>
          <w:tcPr>
            <w:tcW w:w="524" w:type="dxa"/>
            <w:tcBorders>
              <w:top w:val="nil"/>
              <w:left w:val="nil"/>
              <w:bottom w:val="single" w:sz="2" w:space="0" w:color="000000" w:themeColor="text1"/>
              <w:right w:val="nil"/>
            </w:tcBorders>
            <w:shd w:val="clear" w:color="auto" w:fill="auto"/>
            <w:noWrap/>
            <w:vAlign w:val="bottom"/>
            <w:hideMark/>
          </w:tcPr>
          <w:p w14:paraId="0FD10E8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0.4</w:t>
            </w:r>
          </w:p>
        </w:tc>
        <w:tc>
          <w:tcPr>
            <w:tcW w:w="632" w:type="dxa"/>
            <w:tcBorders>
              <w:top w:val="nil"/>
              <w:left w:val="nil"/>
              <w:bottom w:val="single" w:sz="2" w:space="0" w:color="000000" w:themeColor="text1"/>
              <w:right w:val="nil"/>
            </w:tcBorders>
            <w:shd w:val="clear" w:color="auto" w:fill="auto"/>
            <w:noWrap/>
            <w:vAlign w:val="bottom"/>
            <w:hideMark/>
          </w:tcPr>
          <w:p w14:paraId="6227D7B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521</w:t>
            </w:r>
          </w:p>
        </w:tc>
        <w:tc>
          <w:tcPr>
            <w:tcW w:w="524" w:type="dxa"/>
            <w:tcBorders>
              <w:top w:val="nil"/>
              <w:left w:val="nil"/>
              <w:bottom w:val="single" w:sz="2" w:space="0" w:color="000000" w:themeColor="text1"/>
              <w:right w:val="nil"/>
            </w:tcBorders>
            <w:shd w:val="clear" w:color="auto" w:fill="auto"/>
            <w:noWrap/>
            <w:vAlign w:val="bottom"/>
            <w:hideMark/>
          </w:tcPr>
          <w:p w14:paraId="2D8C676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0.8</w:t>
            </w:r>
          </w:p>
        </w:tc>
        <w:tc>
          <w:tcPr>
            <w:tcW w:w="632" w:type="dxa"/>
            <w:tcBorders>
              <w:top w:val="nil"/>
              <w:left w:val="nil"/>
              <w:bottom w:val="single" w:sz="2" w:space="0" w:color="000000" w:themeColor="text1"/>
              <w:right w:val="nil"/>
            </w:tcBorders>
            <w:shd w:val="clear" w:color="auto" w:fill="auto"/>
            <w:noWrap/>
            <w:vAlign w:val="bottom"/>
            <w:hideMark/>
          </w:tcPr>
          <w:p w14:paraId="7E68541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538</w:t>
            </w:r>
          </w:p>
        </w:tc>
        <w:tc>
          <w:tcPr>
            <w:tcW w:w="524" w:type="dxa"/>
            <w:tcBorders>
              <w:top w:val="nil"/>
              <w:left w:val="nil"/>
              <w:bottom w:val="single" w:sz="2" w:space="0" w:color="000000" w:themeColor="text1"/>
              <w:right w:val="nil"/>
            </w:tcBorders>
            <w:shd w:val="clear" w:color="auto" w:fill="auto"/>
            <w:noWrap/>
            <w:vAlign w:val="bottom"/>
            <w:hideMark/>
          </w:tcPr>
          <w:p w14:paraId="036E65C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0.9</w:t>
            </w:r>
          </w:p>
        </w:tc>
        <w:tc>
          <w:tcPr>
            <w:tcW w:w="677" w:type="dxa"/>
            <w:tcBorders>
              <w:top w:val="nil"/>
              <w:left w:val="nil"/>
              <w:bottom w:val="single" w:sz="2" w:space="0" w:color="000000" w:themeColor="text1"/>
              <w:right w:val="nil"/>
            </w:tcBorders>
            <w:shd w:val="clear" w:color="000000" w:fill="F2F2F2"/>
            <w:noWrap/>
            <w:vAlign w:val="bottom"/>
            <w:hideMark/>
          </w:tcPr>
          <w:p w14:paraId="3D44178E"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317</w:t>
            </w:r>
          </w:p>
        </w:tc>
        <w:tc>
          <w:tcPr>
            <w:tcW w:w="619" w:type="dxa"/>
            <w:tcBorders>
              <w:top w:val="nil"/>
              <w:left w:val="nil"/>
              <w:bottom w:val="single" w:sz="2" w:space="0" w:color="000000" w:themeColor="text1"/>
              <w:right w:val="nil"/>
            </w:tcBorders>
            <w:shd w:val="clear" w:color="000000" w:fill="F2F2F2"/>
            <w:noWrap/>
            <w:vAlign w:val="bottom"/>
            <w:hideMark/>
          </w:tcPr>
          <w:p w14:paraId="78487142"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0.4</w:t>
            </w:r>
          </w:p>
        </w:tc>
      </w:tr>
      <w:tr w:rsidR="008A6495" w:rsidRPr="008A6495" w14:paraId="1CC7CABD" w14:textId="77777777" w:rsidTr="00C45942">
        <w:trPr>
          <w:trHeight w:val="225"/>
        </w:trPr>
        <w:tc>
          <w:tcPr>
            <w:tcW w:w="2276" w:type="dxa"/>
            <w:tcBorders>
              <w:top w:val="nil"/>
              <w:left w:val="nil"/>
              <w:bottom w:val="nil"/>
              <w:right w:val="nil"/>
            </w:tcBorders>
            <w:shd w:val="clear" w:color="auto" w:fill="auto"/>
            <w:noWrap/>
            <w:vAlign w:val="bottom"/>
            <w:hideMark/>
          </w:tcPr>
          <w:p w14:paraId="11F215D3" w14:textId="77777777" w:rsidR="008A6495" w:rsidRPr="008A6495" w:rsidRDefault="008A6495" w:rsidP="008A6495">
            <w:pPr>
              <w:keepNext/>
              <w:keepLines/>
              <w:spacing w:after="0" w:line="240" w:lineRule="auto"/>
              <w:jc w:val="left"/>
              <w:rPr>
                <w:rFonts w:ascii="Arial" w:hAnsi="Arial" w:cs="Arial"/>
                <w:i/>
                <w:iCs/>
                <w:color w:val="auto"/>
                <w:sz w:val="16"/>
                <w:szCs w:val="16"/>
              </w:rPr>
            </w:pPr>
            <w:r w:rsidRPr="008A6495">
              <w:rPr>
                <w:rFonts w:ascii="Arial" w:hAnsi="Arial" w:cs="Arial"/>
                <w:i/>
                <w:iCs/>
                <w:color w:val="auto"/>
                <w:sz w:val="16"/>
                <w:szCs w:val="16"/>
              </w:rPr>
              <w:t>Sub-total 'Existing'</w:t>
            </w:r>
          </w:p>
        </w:tc>
        <w:tc>
          <w:tcPr>
            <w:tcW w:w="156" w:type="dxa"/>
            <w:tcBorders>
              <w:top w:val="nil"/>
              <w:left w:val="nil"/>
              <w:bottom w:val="nil"/>
              <w:right w:val="nil"/>
            </w:tcBorders>
            <w:shd w:val="clear" w:color="auto" w:fill="auto"/>
            <w:noWrap/>
            <w:vAlign w:val="bottom"/>
            <w:hideMark/>
          </w:tcPr>
          <w:p w14:paraId="0F3C0364" w14:textId="77777777" w:rsidR="008A6495" w:rsidRPr="008A6495" w:rsidRDefault="008A6495" w:rsidP="008A6495">
            <w:pPr>
              <w:keepNext/>
              <w:keepLines/>
              <w:spacing w:after="0" w:line="240" w:lineRule="auto"/>
              <w:jc w:val="left"/>
              <w:rPr>
                <w:rFonts w:ascii="Arial" w:hAnsi="Arial" w:cs="Arial"/>
                <w:i/>
                <w:iCs/>
                <w:color w:val="auto"/>
                <w:sz w:val="16"/>
                <w:szCs w:val="16"/>
              </w:rPr>
            </w:pPr>
          </w:p>
        </w:tc>
        <w:tc>
          <w:tcPr>
            <w:tcW w:w="632" w:type="dxa"/>
            <w:tcBorders>
              <w:top w:val="single" w:sz="2" w:space="0" w:color="000000" w:themeColor="text1"/>
              <w:left w:val="nil"/>
              <w:bottom w:val="nil"/>
              <w:right w:val="nil"/>
            </w:tcBorders>
            <w:shd w:val="clear" w:color="auto" w:fill="auto"/>
            <w:noWrap/>
            <w:vAlign w:val="bottom"/>
            <w:hideMark/>
          </w:tcPr>
          <w:p w14:paraId="0C5ACE9A"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5,876</w:t>
            </w:r>
          </w:p>
        </w:tc>
        <w:tc>
          <w:tcPr>
            <w:tcW w:w="524" w:type="dxa"/>
            <w:tcBorders>
              <w:top w:val="single" w:sz="2" w:space="0" w:color="000000" w:themeColor="text1"/>
              <w:left w:val="nil"/>
              <w:bottom w:val="nil"/>
              <w:right w:val="nil"/>
            </w:tcBorders>
            <w:shd w:val="clear" w:color="auto" w:fill="auto"/>
            <w:noWrap/>
            <w:vAlign w:val="bottom"/>
            <w:hideMark/>
          </w:tcPr>
          <w:p w14:paraId="12B49110"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7.3</w:t>
            </w:r>
          </w:p>
        </w:tc>
        <w:tc>
          <w:tcPr>
            <w:tcW w:w="632" w:type="dxa"/>
            <w:tcBorders>
              <w:top w:val="single" w:sz="2" w:space="0" w:color="000000" w:themeColor="text1"/>
              <w:left w:val="nil"/>
              <w:bottom w:val="nil"/>
              <w:right w:val="nil"/>
            </w:tcBorders>
            <w:shd w:val="clear" w:color="auto" w:fill="auto"/>
            <w:noWrap/>
            <w:vAlign w:val="bottom"/>
            <w:hideMark/>
          </w:tcPr>
          <w:p w14:paraId="342DBF3F"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2,005</w:t>
            </w:r>
          </w:p>
        </w:tc>
        <w:tc>
          <w:tcPr>
            <w:tcW w:w="524" w:type="dxa"/>
            <w:tcBorders>
              <w:top w:val="single" w:sz="2" w:space="0" w:color="000000" w:themeColor="text1"/>
              <w:left w:val="nil"/>
              <w:bottom w:val="nil"/>
              <w:right w:val="nil"/>
            </w:tcBorders>
            <w:shd w:val="clear" w:color="auto" w:fill="auto"/>
            <w:noWrap/>
            <w:vAlign w:val="bottom"/>
            <w:hideMark/>
          </w:tcPr>
          <w:p w14:paraId="5A0EA2B6"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2.9</w:t>
            </w:r>
          </w:p>
        </w:tc>
        <w:tc>
          <w:tcPr>
            <w:tcW w:w="632" w:type="dxa"/>
            <w:tcBorders>
              <w:top w:val="single" w:sz="2" w:space="0" w:color="000000" w:themeColor="text1"/>
              <w:left w:val="nil"/>
              <w:bottom w:val="nil"/>
              <w:right w:val="nil"/>
            </w:tcBorders>
            <w:shd w:val="clear" w:color="auto" w:fill="auto"/>
            <w:noWrap/>
            <w:vAlign w:val="bottom"/>
            <w:hideMark/>
          </w:tcPr>
          <w:p w14:paraId="7E84FD40"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1,613</w:t>
            </w:r>
          </w:p>
        </w:tc>
        <w:tc>
          <w:tcPr>
            <w:tcW w:w="524" w:type="dxa"/>
            <w:tcBorders>
              <w:top w:val="single" w:sz="2" w:space="0" w:color="000000" w:themeColor="text1"/>
              <w:left w:val="nil"/>
              <w:bottom w:val="nil"/>
              <w:right w:val="nil"/>
            </w:tcBorders>
            <w:shd w:val="clear" w:color="auto" w:fill="auto"/>
            <w:noWrap/>
            <w:vAlign w:val="bottom"/>
            <w:hideMark/>
          </w:tcPr>
          <w:p w14:paraId="4EF477FC"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2.3</w:t>
            </w:r>
          </w:p>
        </w:tc>
        <w:tc>
          <w:tcPr>
            <w:tcW w:w="677" w:type="dxa"/>
            <w:tcBorders>
              <w:top w:val="single" w:sz="2" w:space="0" w:color="000000" w:themeColor="text1"/>
              <w:left w:val="nil"/>
              <w:bottom w:val="nil"/>
              <w:right w:val="nil"/>
            </w:tcBorders>
            <w:shd w:val="clear" w:color="000000" w:fill="F2F2F2"/>
            <w:noWrap/>
            <w:vAlign w:val="bottom"/>
            <w:hideMark/>
          </w:tcPr>
          <w:p w14:paraId="13ABE294"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1,312</w:t>
            </w:r>
          </w:p>
        </w:tc>
        <w:tc>
          <w:tcPr>
            <w:tcW w:w="619" w:type="dxa"/>
            <w:tcBorders>
              <w:top w:val="single" w:sz="2" w:space="0" w:color="000000" w:themeColor="text1"/>
              <w:left w:val="nil"/>
              <w:bottom w:val="nil"/>
              <w:right w:val="nil"/>
            </w:tcBorders>
            <w:shd w:val="clear" w:color="000000" w:fill="F2F2F2"/>
            <w:noWrap/>
            <w:vAlign w:val="bottom"/>
            <w:hideMark/>
          </w:tcPr>
          <w:p w14:paraId="44200E0C"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1.7</w:t>
            </w:r>
          </w:p>
        </w:tc>
      </w:tr>
      <w:tr w:rsidR="008A6495" w:rsidRPr="008A6495" w14:paraId="79933984" w14:textId="77777777" w:rsidTr="00C45942">
        <w:trPr>
          <w:trHeight w:val="225"/>
        </w:trPr>
        <w:tc>
          <w:tcPr>
            <w:tcW w:w="2276" w:type="dxa"/>
            <w:tcBorders>
              <w:top w:val="nil"/>
              <w:left w:val="nil"/>
              <w:bottom w:val="nil"/>
              <w:right w:val="nil"/>
            </w:tcBorders>
            <w:shd w:val="clear" w:color="auto" w:fill="auto"/>
            <w:noWrap/>
            <w:vAlign w:val="bottom"/>
            <w:hideMark/>
          </w:tcPr>
          <w:p w14:paraId="37B9691C"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Exemption certificate (b)</w:t>
            </w:r>
          </w:p>
        </w:tc>
        <w:tc>
          <w:tcPr>
            <w:tcW w:w="156" w:type="dxa"/>
            <w:tcBorders>
              <w:top w:val="nil"/>
              <w:left w:val="nil"/>
              <w:bottom w:val="nil"/>
              <w:right w:val="nil"/>
            </w:tcBorders>
            <w:shd w:val="clear" w:color="auto" w:fill="auto"/>
            <w:noWrap/>
            <w:vAlign w:val="bottom"/>
            <w:hideMark/>
          </w:tcPr>
          <w:p w14:paraId="5F0236B4"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top w:val="nil"/>
              <w:left w:val="nil"/>
              <w:bottom w:val="single" w:sz="2" w:space="0" w:color="000000" w:themeColor="text1"/>
              <w:right w:val="nil"/>
            </w:tcBorders>
            <w:shd w:val="clear" w:color="auto" w:fill="auto"/>
            <w:noWrap/>
            <w:vAlign w:val="bottom"/>
            <w:hideMark/>
          </w:tcPr>
          <w:p w14:paraId="72F987EE"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w:t>
            </w:r>
          </w:p>
        </w:tc>
        <w:tc>
          <w:tcPr>
            <w:tcW w:w="524" w:type="dxa"/>
            <w:tcBorders>
              <w:top w:val="nil"/>
              <w:left w:val="nil"/>
              <w:bottom w:val="single" w:sz="2" w:space="0" w:color="000000" w:themeColor="text1"/>
              <w:right w:val="nil"/>
            </w:tcBorders>
            <w:shd w:val="clear" w:color="auto" w:fill="auto"/>
            <w:noWrap/>
            <w:vAlign w:val="bottom"/>
            <w:hideMark/>
          </w:tcPr>
          <w:p w14:paraId="69E0AEEB"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0.0</w:t>
            </w:r>
          </w:p>
        </w:tc>
        <w:tc>
          <w:tcPr>
            <w:tcW w:w="632" w:type="dxa"/>
            <w:tcBorders>
              <w:top w:val="nil"/>
              <w:left w:val="nil"/>
              <w:bottom w:val="single" w:sz="2" w:space="0" w:color="000000" w:themeColor="text1"/>
              <w:right w:val="nil"/>
            </w:tcBorders>
            <w:shd w:val="clear" w:color="auto" w:fill="auto"/>
            <w:noWrap/>
            <w:vAlign w:val="bottom"/>
            <w:hideMark/>
          </w:tcPr>
          <w:p w14:paraId="6BA35824"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w:t>
            </w:r>
          </w:p>
        </w:tc>
        <w:tc>
          <w:tcPr>
            <w:tcW w:w="524" w:type="dxa"/>
            <w:tcBorders>
              <w:top w:val="nil"/>
              <w:left w:val="nil"/>
              <w:bottom w:val="single" w:sz="2" w:space="0" w:color="000000" w:themeColor="text1"/>
              <w:right w:val="nil"/>
            </w:tcBorders>
            <w:shd w:val="clear" w:color="auto" w:fill="auto"/>
            <w:noWrap/>
            <w:vAlign w:val="bottom"/>
            <w:hideMark/>
          </w:tcPr>
          <w:p w14:paraId="7479570F"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0.0</w:t>
            </w:r>
          </w:p>
        </w:tc>
        <w:tc>
          <w:tcPr>
            <w:tcW w:w="632" w:type="dxa"/>
            <w:tcBorders>
              <w:top w:val="nil"/>
              <w:left w:val="nil"/>
              <w:bottom w:val="single" w:sz="2" w:space="0" w:color="000000" w:themeColor="text1"/>
              <w:right w:val="nil"/>
            </w:tcBorders>
            <w:shd w:val="clear" w:color="auto" w:fill="auto"/>
            <w:noWrap/>
            <w:vAlign w:val="bottom"/>
            <w:hideMark/>
          </w:tcPr>
          <w:p w14:paraId="6E0DCF8F"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w:t>
            </w:r>
          </w:p>
        </w:tc>
        <w:tc>
          <w:tcPr>
            <w:tcW w:w="524" w:type="dxa"/>
            <w:tcBorders>
              <w:top w:val="nil"/>
              <w:left w:val="nil"/>
              <w:bottom w:val="single" w:sz="2" w:space="0" w:color="000000" w:themeColor="text1"/>
              <w:right w:val="nil"/>
            </w:tcBorders>
            <w:shd w:val="clear" w:color="auto" w:fill="auto"/>
            <w:noWrap/>
            <w:vAlign w:val="bottom"/>
            <w:hideMark/>
          </w:tcPr>
          <w:p w14:paraId="22E09D8F"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0.0</w:t>
            </w:r>
          </w:p>
        </w:tc>
        <w:tc>
          <w:tcPr>
            <w:tcW w:w="677" w:type="dxa"/>
            <w:tcBorders>
              <w:top w:val="nil"/>
              <w:left w:val="nil"/>
              <w:bottom w:val="single" w:sz="2" w:space="0" w:color="000000" w:themeColor="text1"/>
              <w:right w:val="nil"/>
            </w:tcBorders>
            <w:shd w:val="clear" w:color="000000" w:fill="F2F2F2"/>
            <w:noWrap/>
            <w:vAlign w:val="bottom"/>
            <w:hideMark/>
          </w:tcPr>
          <w:p w14:paraId="1E092D20"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w:t>
            </w:r>
          </w:p>
        </w:tc>
        <w:tc>
          <w:tcPr>
            <w:tcW w:w="619" w:type="dxa"/>
            <w:tcBorders>
              <w:top w:val="nil"/>
              <w:left w:val="nil"/>
              <w:bottom w:val="single" w:sz="2" w:space="0" w:color="000000" w:themeColor="text1"/>
              <w:right w:val="nil"/>
            </w:tcBorders>
            <w:shd w:val="clear" w:color="000000" w:fill="F2F2F2"/>
            <w:noWrap/>
            <w:vAlign w:val="bottom"/>
            <w:hideMark/>
          </w:tcPr>
          <w:p w14:paraId="6114E49D"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0.1</w:t>
            </w:r>
          </w:p>
        </w:tc>
      </w:tr>
      <w:tr w:rsidR="008A6495" w:rsidRPr="008A6495" w14:paraId="78D3AFDA" w14:textId="77777777" w:rsidTr="00C45942">
        <w:trPr>
          <w:trHeight w:val="225"/>
        </w:trPr>
        <w:tc>
          <w:tcPr>
            <w:tcW w:w="2276" w:type="dxa"/>
            <w:tcBorders>
              <w:top w:val="nil"/>
              <w:left w:val="nil"/>
              <w:bottom w:val="nil"/>
              <w:right w:val="nil"/>
            </w:tcBorders>
            <w:shd w:val="clear" w:color="auto" w:fill="auto"/>
            <w:noWrap/>
            <w:vAlign w:val="bottom"/>
            <w:hideMark/>
          </w:tcPr>
          <w:p w14:paraId="20127F08" w14:textId="77777777" w:rsidR="008A6495" w:rsidRPr="008A6495" w:rsidRDefault="008A6495" w:rsidP="008A6495">
            <w:pPr>
              <w:keepNext/>
              <w:keepLines/>
              <w:spacing w:after="0" w:line="240" w:lineRule="auto"/>
              <w:jc w:val="left"/>
              <w:rPr>
                <w:rFonts w:ascii="Arial" w:hAnsi="Arial" w:cs="Arial"/>
                <w:i/>
                <w:iCs/>
                <w:color w:val="auto"/>
                <w:sz w:val="16"/>
                <w:szCs w:val="16"/>
              </w:rPr>
            </w:pPr>
            <w:r w:rsidRPr="008A6495">
              <w:rPr>
                <w:rFonts w:ascii="Arial" w:hAnsi="Arial" w:cs="Arial"/>
                <w:i/>
                <w:iCs/>
                <w:color w:val="auto"/>
                <w:sz w:val="16"/>
                <w:szCs w:val="16"/>
              </w:rPr>
              <w:t>Sub-total 'Developed'</w:t>
            </w:r>
          </w:p>
        </w:tc>
        <w:tc>
          <w:tcPr>
            <w:tcW w:w="156" w:type="dxa"/>
            <w:tcBorders>
              <w:top w:val="nil"/>
              <w:left w:val="nil"/>
              <w:bottom w:val="nil"/>
              <w:right w:val="nil"/>
            </w:tcBorders>
            <w:shd w:val="clear" w:color="auto" w:fill="auto"/>
            <w:noWrap/>
            <w:vAlign w:val="bottom"/>
            <w:hideMark/>
          </w:tcPr>
          <w:p w14:paraId="00A015F9" w14:textId="77777777" w:rsidR="008A6495" w:rsidRPr="008A6495" w:rsidRDefault="008A6495" w:rsidP="008A6495">
            <w:pPr>
              <w:keepNext/>
              <w:keepLines/>
              <w:spacing w:after="0" w:line="240" w:lineRule="auto"/>
              <w:jc w:val="left"/>
              <w:rPr>
                <w:rFonts w:ascii="Arial" w:hAnsi="Arial" w:cs="Arial"/>
                <w:i/>
                <w:iCs/>
                <w:color w:val="auto"/>
                <w:sz w:val="16"/>
                <w:szCs w:val="16"/>
              </w:rPr>
            </w:pPr>
          </w:p>
        </w:tc>
        <w:tc>
          <w:tcPr>
            <w:tcW w:w="632" w:type="dxa"/>
            <w:tcBorders>
              <w:top w:val="single" w:sz="2" w:space="0" w:color="000000" w:themeColor="text1"/>
              <w:left w:val="nil"/>
              <w:bottom w:val="nil"/>
              <w:right w:val="nil"/>
            </w:tcBorders>
            <w:shd w:val="clear" w:color="auto" w:fill="auto"/>
            <w:noWrap/>
            <w:vAlign w:val="bottom"/>
            <w:hideMark/>
          </w:tcPr>
          <w:p w14:paraId="1877B08D"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5,877</w:t>
            </w:r>
          </w:p>
        </w:tc>
        <w:tc>
          <w:tcPr>
            <w:tcW w:w="524" w:type="dxa"/>
            <w:tcBorders>
              <w:top w:val="single" w:sz="2" w:space="0" w:color="000000" w:themeColor="text1"/>
              <w:left w:val="nil"/>
              <w:bottom w:val="nil"/>
              <w:right w:val="nil"/>
            </w:tcBorders>
            <w:shd w:val="clear" w:color="auto" w:fill="auto"/>
            <w:noWrap/>
            <w:vAlign w:val="bottom"/>
            <w:hideMark/>
          </w:tcPr>
          <w:p w14:paraId="42BCC274"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7.3</w:t>
            </w:r>
          </w:p>
        </w:tc>
        <w:tc>
          <w:tcPr>
            <w:tcW w:w="632" w:type="dxa"/>
            <w:tcBorders>
              <w:top w:val="single" w:sz="2" w:space="0" w:color="000000" w:themeColor="text1"/>
              <w:left w:val="nil"/>
              <w:bottom w:val="nil"/>
              <w:right w:val="nil"/>
            </w:tcBorders>
            <w:shd w:val="clear" w:color="auto" w:fill="auto"/>
            <w:noWrap/>
            <w:vAlign w:val="bottom"/>
            <w:hideMark/>
          </w:tcPr>
          <w:p w14:paraId="5E7CA814"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2,008</w:t>
            </w:r>
          </w:p>
        </w:tc>
        <w:tc>
          <w:tcPr>
            <w:tcW w:w="524" w:type="dxa"/>
            <w:tcBorders>
              <w:top w:val="single" w:sz="2" w:space="0" w:color="000000" w:themeColor="text1"/>
              <w:left w:val="nil"/>
              <w:bottom w:val="nil"/>
              <w:right w:val="nil"/>
            </w:tcBorders>
            <w:shd w:val="clear" w:color="auto" w:fill="auto"/>
            <w:noWrap/>
            <w:vAlign w:val="bottom"/>
            <w:hideMark/>
          </w:tcPr>
          <w:p w14:paraId="6F48F7CE"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3.0</w:t>
            </w:r>
          </w:p>
        </w:tc>
        <w:tc>
          <w:tcPr>
            <w:tcW w:w="632" w:type="dxa"/>
            <w:tcBorders>
              <w:top w:val="single" w:sz="2" w:space="0" w:color="000000" w:themeColor="text1"/>
              <w:left w:val="nil"/>
              <w:bottom w:val="nil"/>
              <w:right w:val="nil"/>
            </w:tcBorders>
            <w:shd w:val="clear" w:color="auto" w:fill="auto"/>
            <w:noWrap/>
            <w:vAlign w:val="bottom"/>
            <w:hideMark/>
          </w:tcPr>
          <w:p w14:paraId="5D57934B"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1,615</w:t>
            </w:r>
          </w:p>
        </w:tc>
        <w:tc>
          <w:tcPr>
            <w:tcW w:w="524" w:type="dxa"/>
            <w:tcBorders>
              <w:top w:val="single" w:sz="2" w:space="0" w:color="000000" w:themeColor="text1"/>
              <w:left w:val="nil"/>
              <w:bottom w:val="nil"/>
              <w:right w:val="nil"/>
            </w:tcBorders>
            <w:shd w:val="clear" w:color="auto" w:fill="auto"/>
            <w:noWrap/>
            <w:vAlign w:val="bottom"/>
            <w:hideMark/>
          </w:tcPr>
          <w:p w14:paraId="03BA8F06"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2.4</w:t>
            </w:r>
          </w:p>
        </w:tc>
        <w:tc>
          <w:tcPr>
            <w:tcW w:w="677" w:type="dxa"/>
            <w:tcBorders>
              <w:top w:val="single" w:sz="2" w:space="0" w:color="000000" w:themeColor="text1"/>
              <w:left w:val="nil"/>
              <w:bottom w:val="nil"/>
              <w:right w:val="nil"/>
            </w:tcBorders>
            <w:shd w:val="clear" w:color="000000" w:fill="F2F2F2"/>
            <w:noWrap/>
            <w:vAlign w:val="bottom"/>
            <w:hideMark/>
          </w:tcPr>
          <w:p w14:paraId="270D8670"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1,313</w:t>
            </w:r>
          </w:p>
        </w:tc>
        <w:tc>
          <w:tcPr>
            <w:tcW w:w="619" w:type="dxa"/>
            <w:tcBorders>
              <w:top w:val="single" w:sz="2" w:space="0" w:color="000000" w:themeColor="text1"/>
              <w:left w:val="nil"/>
              <w:bottom w:val="nil"/>
              <w:right w:val="nil"/>
            </w:tcBorders>
            <w:shd w:val="clear" w:color="000000" w:fill="F2F2F2"/>
            <w:noWrap/>
            <w:vAlign w:val="bottom"/>
            <w:hideMark/>
          </w:tcPr>
          <w:p w14:paraId="4CEB4570"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1.8</w:t>
            </w:r>
          </w:p>
        </w:tc>
      </w:tr>
      <w:tr w:rsidR="008A6495" w:rsidRPr="008A6495" w14:paraId="3E353359" w14:textId="77777777" w:rsidTr="00826C87">
        <w:trPr>
          <w:trHeight w:val="225"/>
        </w:trPr>
        <w:tc>
          <w:tcPr>
            <w:tcW w:w="2276" w:type="dxa"/>
            <w:tcBorders>
              <w:top w:val="nil"/>
              <w:left w:val="nil"/>
              <w:bottom w:val="nil"/>
              <w:right w:val="nil"/>
            </w:tcBorders>
            <w:shd w:val="clear" w:color="auto" w:fill="auto"/>
            <w:noWrap/>
            <w:vAlign w:val="bottom"/>
            <w:hideMark/>
          </w:tcPr>
          <w:p w14:paraId="6C0E3A0D" w14:textId="77777777" w:rsidR="008A6495" w:rsidRPr="008A6495" w:rsidRDefault="008A6495" w:rsidP="008A6495">
            <w:pPr>
              <w:keepNext/>
              <w:keepLines/>
              <w:spacing w:after="0" w:line="240" w:lineRule="auto"/>
              <w:jc w:val="left"/>
              <w:rPr>
                <w:rFonts w:ascii="Arial" w:hAnsi="Arial" w:cs="Arial"/>
                <w:color w:val="auto"/>
                <w:sz w:val="16"/>
                <w:szCs w:val="16"/>
                <w:u w:val="single"/>
              </w:rPr>
            </w:pPr>
            <w:r w:rsidRPr="008A6495">
              <w:rPr>
                <w:rFonts w:ascii="Arial" w:hAnsi="Arial" w:cs="Arial"/>
                <w:color w:val="auto"/>
                <w:sz w:val="16"/>
                <w:szCs w:val="16"/>
                <w:u w:val="single"/>
              </w:rPr>
              <w:t>For development</w:t>
            </w:r>
          </w:p>
        </w:tc>
        <w:tc>
          <w:tcPr>
            <w:tcW w:w="156" w:type="dxa"/>
            <w:tcBorders>
              <w:top w:val="nil"/>
              <w:left w:val="nil"/>
              <w:bottom w:val="nil"/>
              <w:right w:val="nil"/>
            </w:tcBorders>
            <w:shd w:val="clear" w:color="auto" w:fill="auto"/>
            <w:noWrap/>
            <w:vAlign w:val="bottom"/>
            <w:hideMark/>
          </w:tcPr>
          <w:p w14:paraId="78D5E84D" w14:textId="77777777" w:rsidR="008A6495" w:rsidRPr="008A6495" w:rsidRDefault="008A6495" w:rsidP="008A6495">
            <w:pPr>
              <w:keepNext/>
              <w:keepLines/>
              <w:spacing w:after="0" w:line="240" w:lineRule="auto"/>
              <w:jc w:val="left"/>
              <w:rPr>
                <w:rFonts w:ascii="Arial" w:hAnsi="Arial" w:cs="Arial"/>
                <w:color w:val="auto"/>
                <w:sz w:val="16"/>
                <w:szCs w:val="16"/>
                <w:u w:val="single"/>
              </w:rPr>
            </w:pPr>
          </w:p>
        </w:tc>
        <w:tc>
          <w:tcPr>
            <w:tcW w:w="632" w:type="dxa"/>
            <w:tcBorders>
              <w:top w:val="nil"/>
              <w:left w:val="nil"/>
              <w:bottom w:val="nil"/>
              <w:right w:val="nil"/>
            </w:tcBorders>
            <w:shd w:val="clear" w:color="auto" w:fill="auto"/>
            <w:noWrap/>
            <w:vAlign w:val="bottom"/>
            <w:hideMark/>
          </w:tcPr>
          <w:p w14:paraId="413DBB3F"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784541AA"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13F51889"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3CBB0A53"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6E87E1B9"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6DEB72A9" w14:textId="77777777" w:rsidR="008A6495" w:rsidRPr="008A6495" w:rsidRDefault="008A6495" w:rsidP="008A6495">
            <w:pPr>
              <w:keepNext/>
              <w:keepLines/>
              <w:spacing w:after="0" w:line="240" w:lineRule="auto"/>
              <w:jc w:val="right"/>
              <w:rPr>
                <w:rFonts w:ascii="Times New Roman" w:hAnsi="Times New Roman"/>
                <w:color w:val="auto"/>
              </w:rPr>
            </w:pPr>
          </w:p>
        </w:tc>
        <w:tc>
          <w:tcPr>
            <w:tcW w:w="677" w:type="dxa"/>
            <w:tcBorders>
              <w:top w:val="nil"/>
              <w:left w:val="nil"/>
              <w:bottom w:val="nil"/>
              <w:right w:val="nil"/>
            </w:tcBorders>
            <w:shd w:val="clear" w:color="000000" w:fill="F2F2F2"/>
            <w:noWrap/>
            <w:vAlign w:val="bottom"/>
            <w:hideMark/>
          </w:tcPr>
          <w:p w14:paraId="7C9AB25B"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c>
          <w:tcPr>
            <w:tcW w:w="619" w:type="dxa"/>
            <w:tcBorders>
              <w:top w:val="nil"/>
              <w:left w:val="nil"/>
              <w:bottom w:val="nil"/>
              <w:right w:val="nil"/>
            </w:tcBorders>
            <w:shd w:val="clear" w:color="000000" w:fill="F2F2F2"/>
            <w:noWrap/>
            <w:vAlign w:val="bottom"/>
            <w:hideMark/>
          </w:tcPr>
          <w:p w14:paraId="55B93BBA"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r>
      <w:tr w:rsidR="008A6495" w:rsidRPr="008A6495" w14:paraId="0201C5ED" w14:textId="77777777" w:rsidTr="00826C87">
        <w:trPr>
          <w:trHeight w:val="225"/>
        </w:trPr>
        <w:tc>
          <w:tcPr>
            <w:tcW w:w="2276" w:type="dxa"/>
            <w:tcBorders>
              <w:top w:val="nil"/>
              <w:left w:val="nil"/>
              <w:bottom w:val="nil"/>
              <w:right w:val="nil"/>
            </w:tcBorders>
            <w:shd w:val="clear" w:color="auto" w:fill="auto"/>
            <w:noWrap/>
            <w:vAlign w:val="bottom"/>
            <w:hideMark/>
          </w:tcPr>
          <w:p w14:paraId="19FFC2F0"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Vacant land</w:t>
            </w:r>
          </w:p>
        </w:tc>
        <w:tc>
          <w:tcPr>
            <w:tcW w:w="156" w:type="dxa"/>
            <w:tcBorders>
              <w:top w:val="nil"/>
              <w:left w:val="nil"/>
              <w:bottom w:val="nil"/>
              <w:right w:val="nil"/>
            </w:tcBorders>
            <w:shd w:val="clear" w:color="auto" w:fill="auto"/>
            <w:noWrap/>
            <w:vAlign w:val="bottom"/>
            <w:hideMark/>
          </w:tcPr>
          <w:p w14:paraId="03E6305B"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30D9CB42" w14:textId="77777777" w:rsidR="008A6495" w:rsidRPr="008A6495" w:rsidRDefault="008A6495" w:rsidP="008A6495">
            <w:pPr>
              <w:keepNext/>
              <w:keepLines/>
              <w:spacing w:after="0" w:line="240" w:lineRule="auto"/>
              <w:jc w:val="lef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2E575F4C" w14:textId="77777777" w:rsidR="008A6495" w:rsidRPr="008A6495" w:rsidRDefault="008A6495" w:rsidP="008A6495">
            <w:pPr>
              <w:keepNext/>
              <w:keepLines/>
              <w:spacing w:after="0" w:line="240" w:lineRule="auto"/>
              <w:jc w:val="lef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68EFA28D" w14:textId="77777777" w:rsidR="008A6495" w:rsidRPr="008A6495" w:rsidRDefault="008A6495" w:rsidP="008A6495">
            <w:pPr>
              <w:keepNext/>
              <w:keepLines/>
              <w:spacing w:after="0" w:line="240" w:lineRule="auto"/>
              <w:jc w:val="lef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4C3BE10D"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303583CB"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100DD4F2" w14:textId="77777777" w:rsidR="008A6495" w:rsidRPr="008A6495" w:rsidRDefault="008A6495" w:rsidP="008A6495">
            <w:pPr>
              <w:keepNext/>
              <w:keepLines/>
              <w:spacing w:after="0" w:line="240" w:lineRule="auto"/>
              <w:jc w:val="right"/>
              <w:rPr>
                <w:rFonts w:ascii="Times New Roman" w:hAnsi="Times New Roman"/>
                <w:color w:val="auto"/>
              </w:rPr>
            </w:pPr>
          </w:p>
        </w:tc>
        <w:tc>
          <w:tcPr>
            <w:tcW w:w="677" w:type="dxa"/>
            <w:tcBorders>
              <w:top w:val="nil"/>
              <w:left w:val="nil"/>
              <w:bottom w:val="nil"/>
              <w:right w:val="nil"/>
            </w:tcBorders>
            <w:shd w:val="clear" w:color="000000" w:fill="F2F2F2"/>
            <w:noWrap/>
            <w:vAlign w:val="bottom"/>
            <w:hideMark/>
          </w:tcPr>
          <w:p w14:paraId="7DAF055A"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c>
          <w:tcPr>
            <w:tcW w:w="619" w:type="dxa"/>
            <w:tcBorders>
              <w:top w:val="nil"/>
              <w:left w:val="nil"/>
              <w:bottom w:val="nil"/>
              <w:right w:val="nil"/>
            </w:tcBorders>
            <w:shd w:val="clear" w:color="000000" w:fill="F2F2F2"/>
            <w:noWrap/>
            <w:vAlign w:val="bottom"/>
            <w:hideMark/>
          </w:tcPr>
          <w:p w14:paraId="3E6D4BC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r>
      <w:tr w:rsidR="008A6495" w:rsidRPr="008A6495" w14:paraId="668DBF0A" w14:textId="77777777" w:rsidTr="00C45942">
        <w:trPr>
          <w:trHeight w:val="225"/>
        </w:trPr>
        <w:tc>
          <w:tcPr>
            <w:tcW w:w="2276" w:type="dxa"/>
            <w:tcBorders>
              <w:top w:val="nil"/>
              <w:left w:val="nil"/>
              <w:bottom w:val="nil"/>
              <w:right w:val="nil"/>
            </w:tcBorders>
            <w:shd w:val="clear" w:color="auto" w:fill="auto"/>
            <w:noWrap/>
            <w:vAlign w:val="bottom"/>
            <w:hideMark/>
          </w:tcPr>
          <w:p w14:paraId="1912CF65"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r w:rsidRPr="008A6495">
              <w:rPr>
                <w:rFonts w:ascii="Arial" w:hAnsi="Arial" w:cs="Arial"/>
                <w:color w:val="auto"/>
                <w:sz w:val="16"/>
                <w:szCs w:val="16"/>
              </w:rPr>
              <w:t>- Individual purchases</w:t>
            </w:r>
          </w:p>
        </w:tc>
        <w:tc>
          <w:tcPr>
            <w:tcW w:w="156" w:type="dxa"/>
            <w:tcBorders>
              <w:top w:val="nil"/>
              <w:left w:val="nil"/>
              <w:bottom w:val="nil"/>
              <w:right w:val="nil"/>
            </w:tcBorders>
            <w:shd w:val="clear" w:color="auto" w:fill="auto"/>
            <w:noWrap/>
            <w:vAlign w:val="bottom"/>
            <w:hideMark/>
          </w:tcPr>
          <w:p w14:paraId="01AB1550"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p>
        </w:tc>
        <w:tc>
          <w:tcPr>
            <w:tcW w:w="632" w:type="dxa"/>
            <w:tcBorders>
              <w:top w:val="nil"/>
              <w:left w:val="nil"/>
              <w:right w:val="nil"/>
            </w:tcBorders>
            <w:shd w:val="clear" w:color="auto" w:fill="auto"/>
            <w:noWrap/>
            <w:vAlign w:val="bottom"/>
            <w:hideMark/>
          </w:tcPr>
          <w:p w14:paraId="1B5D4A59"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7,005</w:t>
            </w:r>
          </w:p>
        </w:tc>
        <w:tc>
          <w:tcPr>
            <w:tcW w:w="524" w:type="dxa"/>
            <w:tcBorders>
              <w:top w:val="nil"/>
              <w:left w:val="nil"/>
              <w:right w:val="nil"/>
            </w:tcBorders>
            <w:shd w:val="clear" w:color="auto" w:fill="auto"/>
            <w:noWrap/>
            <w:vAlign w:val="bottom"/>
            <w:hideMark/>
          </w:tcPr>
          <w:p w14:paraId="64F9F938"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2.8</w:t>
            </w:r>
          </w:p>
        </w:tc>
        <w:tc>
          <w:tcPr>
            <w:tcW w:w="632" w:type="dxa"/>
            <w:tcBorders>
              <w:top w:val="nil"/>
              <w:left w:val="nil"/>
              <w:right w:val="nil"/>
            </w:tcBorders>
            <w:shd w:val="clear" w:color="auto" w:fill="auto"/>
            <w:noWrap/>
            <w:vAlign w:val="bottom"/>
            <w:hideMark/>
          </w:tcPr>
          <w:p w14:paraId="64DAD5B9"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2,911</w:t>
            </w:r>
          </w:p>
        </w:tc>
        <w:tc>
          <w:tcPr>
            <w:tcW w:w="524" w:type="dxa"/>
            <w:tcBorders>
              <w:top w:val="nil"/>
              <w:left w:val="nil"/>
              <w:right w:val="nil"/>
            </w:tcBorders>
            <w:shd w:val="clear" w:color="auto" w:fill="auto"/>
            <w:noWrap/>
            <w:vAlign w:val="bottom"/>
            <w:hideMark/>
          </w:tcPr>
          <w:p w14:paraId="3A460821"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1.1</w:t>
            </w:r>
          </w:p>
        </w:tc>
        <w:tc>
          <w:tcPr>
            <w:tcW w:w="632" w:type="dxa"/>
            <w:tcBorders>
              <w:top w:val="nil"/>
              <w:left w:val="nil"/>
              <w:right w:val="nil"/>
            </w:tcBorders>
            <w:shd w:val="clear" w:color="auto" w:fill="auto"/>
            <w:noWrap/>
            <w:vAlign w:val="bottom"/>
            <w:hideMark/>
          </w:tcPr>
          <w:p w14:paraId="2BB29F60"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2,281</w:t>
            </w:r>
          </w:p>
        </w:tc>
        <w:tc>
          <w:tcPr>
            <w:tcW w:w="524" w:type="dxa"/>
            <w:tcBorders>
              <w:top w:val="nil"/>
              <w:left w:val="nil"/>
              <w:right w:val="nil"/>
            </w:tcBorders>
            <w:shd w:val="clear" w:color="auto" w:fill="auto"/>
            <w:noWrap/>
            <w:vAlign w:val="bottom"/>
            <w:hideMark/>
          </w:tcPr>
          <w:p w14:paraId="7E98E0F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0.9</w:t>
            </w:r>
          </w:p>
        </w:tc>
        <w:tc>
          <w:tcPr>
            <w:tcW w:w="677" w:type="dxa"/>
            <w:tcBorders>
              <w:top w:val="nil"/>
              <w:left w:val="nil"/>
              <w:right w:val="nil"/>
            </w:tcBorders>
            <w:shd w:val="clear" w:color="000000" w:fill="F2F2F2"/>
            <w:noWrap/>
            <w:vAlign w:val="bottom"/>
            <w:hideMark/>
          </w:tcPr>
          <w:p w14:paraId="49FC562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1,745</w:t>
            </w:r>
          </w:p>
        </w:tc>
        <w:tc>
          <w:tcPr>
            <w:tcW w:w="619" w:type="dxa"/>
            <w:tcBorders>
              <w:top w:val="nil"/>
              <w:left w:val="nil"/>
              <w:right w:val="nil"/>
            </w:tcBorders>
            <w:shd w:val="clear" w:color="000000" w:fill="F2F2F2"/>
            <w:noWrap/>
            <w:vAlign w:val="bottom"/>
            <w:hideMark/>
          </w:tcPr>
          <w:p w14:paraId="7082D762"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0.7</w:t>
            </w:r>
          </w:p>
        </w:tc>
      </w:tr>
      <w:tr w:rsidR="008A6495" w:rsidRPr="008A6495" w14:paraId="3C1903A3" w14:textId="77777777" w:rsidTr="00C45942">
        <w:trPr>
          <w:trHeight w:val="225"/>
        </w:trPr>
        <w:tc>
          <w:tcPr>
            <w:tcW w:w="2276" w:type="dxa"/>
            <w:tcBorders>
              <w:top w:val="nil"/>
              <w:left w:val="nil"/>
              <w:bottom w:val="nil"/>
              <w:right w:val="nil"/>
            </w:tcBorders>
            <w:shd w:val="clear" w:color="auto" w:fill="auto"/>
            <w:noWrap/>
            <w:vAlign w:val="bottom"/>
            <w:hideMark/>
          </w:tcPr>
          <w:p w14:paraId="66E6C6F6"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r w:rsidRPr="008A6495">
              <w:rPr>
                <w:rFonts w:ascii="Arial" w:hAnsi="Arial" w:cs="Arial"/>
                <w:color w:val="auto"/>
                <w:sz w:val="16"/>
                <w:szCs w:val="16"/>
              </w:rPr>
              <w:t>- Single purchase EC (a)</w:t>
            </w:r>
          </w:p>
        </w:tc>
        <w:tc>
          <w:tcPr>
            <w:tcW w:w="156" w:type="dxa"/>
            <w:tcBorders>
              <w:top w:val="nil"/>
              <w:left w:val="nil"/>
              <w:bottom w:val="nil"/>
              <w:right w:val="nil"/>
            </w:tcBorders>
            <w:shd w:val="clear" w:color="auto" w:fill="auto"/>
            <w:noWrap/>
            <w:vAlign w:val="bottom"/>
            <w:hideMark/>
          </w:tcPr>
          <w:p w14:paraId="3E6BAD86"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p>
        </w:tc>
        <w:tc>
          <w:tcPr>
            <w:tcW w:w="632" w:type="dxa"/>
            <w:tcBorders>
              <w:top w:val="nil"/>
              <w:left w:val="nil"/>
              <w:bottom w:val="single" w:sz="2" w:space="0" w:color="000000" w:themeColor="text1"/>
              <w:right w:val="nil"/>
            </w:tcBorders>
            <w:shd w:val="clear" w:color="auto" w:fill="auto"/>
            <w:noWrap/>
            <w:vAlign w:val="bottom"/>
            <w:hideMark/>
          </w:tcPr>
          <w:p w14:paraId="43ECC592"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single" w:sz="2" w:space="0" w:color="000000" w:themeColor="text1"/>
              <w:right w:val="nil"/>
            </w:tcBorders>
            <w:shd w:val="clear" w:color="auto" w:fill="auto"/>
            <w:noWrap/>
            <w:vAlign w:val="bottom"/>
            <w:hideMark/>
          </w:tcPr>
          <w:p w14:paraId="6D644E59" w14:textId="77777777" w:rsidR="008A6495" w:rsidRPr="008A6495" w:rsidRDefault="008A6495" w:rsidP="008A6495">
            <w:pPr>
              <w:keepNext/>
              <w:keepLines/>
              <w:spacing w:after="0" w:line="240" w:lineRule="auto"/>
              <w:jc w:val="right"/>
              <w:rPr>
                <w:rFonts w:ascii="Arial" w:hAnsi="Arial" w:cs="Arial"/>
                <w:color w:val="auto"/>
                <w:sz w:val="16"/>
                <w:szCs w:val="16"/>
              </w:rPr>
            </w:pPr>
          </w:p>
        </w:tc>
        <w:tc>
          <w:tcPr>
            <w:tcW w:w="632" w:type="dxa"/>
            <w:tcBorders>
              <w:top w:val="nil"/>
              <w:left w:val="nil"/>
              <w:bottom w:val="single" w:sz="2" w:space="0" w:color="000000" w:themeColor="text1"/>
              <w:right w:val="nil"/>
            </w:tcBorders>
            <w:shd w:val="clear" w:color="auto" w:fill="auto"/>
            <w:noWrap/>
            <w:vAlign w:val="bottom"/>
            <w:hideMark/>
          </w:tcPr>
          <w:p w14:paraId="3C1EA425"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single" w:sz="2" w:space="0" w:color="000000" w:themeColor="text1"/>
              <w:right w:val="nil"/>
            </w:tcBorders>
            <w:shd w:val="clear" w:color="auto" w:fill="auto"/>
            <w:noWrap/>
            <w:vAlign w:val="bottom"/>
            <w:hideMark/>
          </w:tcPr>
          <w:p w14:paraId="7E8BE3FF"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c>
          <w:tcPr>
            <w:tcW w:w="632" w:type="dxa"/>
            <w:tcBorders>
              <w:top w:val="nil"/>
              <w:left w:val="nil"/>
              <w:bottom w:val="single" w:sz="2" w:space="0" w:color="000000" w:themeColor="text1"/>
              <w:right w:val="nil"/>
            </w:tcBorders>
            <w:shd w:val="clear" w:color="auto" w:fill="auto"/>
            <w:noWrap/>
            <w:vAlign w:val="bottom"/>
            <w:hideMark/>
          </w:tcPr>
          <w:p w14:paraId="57B6B58E"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118</w:t>
            </w:r>
          </w:p>
        </w:tc>
        <w:tc>
          <w:tcPr>
            <w:tcW w:w="524" w:type="dxa"/>
            <w:tcBorders>
              <w:top w:val="nil"/>
              <w:left w:val="nil"/>
              <w:bottom w:val="single" w:sz="2" w:space="0" w:color="000000" w:themeColor="text1"/>
              <w:right w:val="nil"/>
            </w:tcBorders>
            <w:shd w:val="clear" w:color="auto" w:fill="auto"/>
            <w:noWrap/>
            <w:vAlign w:val="bottom"/>
            <w:hideMark/>
          </w:tcPr>
          <w:p w14:paraId="175FF59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0.1</w:t>
            </w:r>
          </w:p>
        </w:tc>
        <w:tc>
          <w:tcPr>
            <w:tcW w:w="677" w:type="dxa"/>
            <w:tcBorders>
              <w:top w:val="nil"/>
              <w:left w:val="nil"/>
              <w:bottom w:val="single" w:sz="2" w:space="0" w:color="000000" w:themeColor="text1"/>
              <w:right w:val="nil"/>
            </w:tcBorders>
            <w:shd w:val="clear" w:color="000000" w:fill="F2F2F2"/>
            <w:noWrap/>
            <w:vAlign w:val="bottom"/>
            <w:hideMark/>
          </w:tcPr>
          <w:p w14:paraId="575E2029"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39</w:t>
            </w:r>
          </w:p>
        </w:tc>
        <w:tc>
          <w:tcPr>
            <w:tcW w:w="619" w:type="dxa"/>
            <w:tcBorders>
              <w:top w:val="nil"/>
              <w:left w:val="nil"/>
              <w:bottom w:val="single" w:sz="2" w:space="0" w:color="000000" w:themeColor="text1"/>
              <w:right w:val="nil"/>
            </w:tcBorders>
            <w:shd w:val="clear" w:color="000000" w:fill="F2F2F2"/>
            <w:noWrap/>
            <w:vAlign w:val="bottom"/>
            <w:hideMark/>
          </w:tcPr>
          <w:p w14:paraId="5104B177"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0.0</w:t>
            </w:r>
          </w:p>
        </w:tc>
      </w:tr>
      <w:tr w:rsidR="008A6495" w:rsidRPr="008A6495" w14:paraId="0DF9CD00" w14:textId="77777777" w:rsidTr="00C45942">
        <w:trPr>
          <w:trHeight w:val="225"/>
        </w:trPr>
        <w:tc>
          <w:tcPr>
            <w:tcW w:w="2276" w:type="dxa"/>
            <w:tcBorders>
              <w:top w:val="nil"/>
              <w:left w:val="nil"/>
              <w:bottom w:val="nil"/>
              <w:right w:val="nil"/>
            </w:tcBorders>
            <w:shd w:val="clear" w:color="auto" w:fill="auto"/>
            <w:noWrap/>
            <w:vAlign w:val="bottom"/>
            <w:hideMark/>
          </w:tcPr>
          <w:p w14:paraId="26AD6327" w14:textId="77777777" w:rsidR="008A6495" w:rsidRPr="008A6495" w:rsidRDefault="008A6495" w:rsidP="008A6495">
            <w:pPr>
              <w:keepNext/>
              <w:keepLines/>
              <w:spacing w:after="0" w:line="240" w:lineRule="auto"/>
              <w:jc w:val="left"/>
              <w:rPr>
                <w:rFonts w:ascii="Arial" w:hAnsi="Arial" w:cs="Arial"/>
                <w:i/>
                <w:iCs/>
                <w:color w:val="auto"/>
                <w:sz w:val="16"/>
                <w:szCs w:val="16"/>
              </w:rPr>
            </w:pPr>
            <w:r w:rsidRPr="008A6495">
              <w:rPr>
                <w:rFonts w:ascii="Arial" w:hAnsi="Arial" w:cs="Arial"/>
                <w:i/>
                <w:iCs/>
                <w:color w:val="auto"/>
                <w:sz w:val="16"/>
                <w:szCs w:val="16"/>
              </w:rPr>
              <w:t>Sub-total 'Vacant land'</w:t>
            </w:r>
          </w:p>
        </w:tc>
        <w:tc>
          <w:tcPr>
            <w:tcW w:w="156" w:type="dxa"/>
            <w:tcBorders>
              <w:top w:val="nil"/>
              <w:left w:val="nil"/>
              <w:bottom w:val="nil"/>
              <w:right w:val="nil"/>
            </w:tcBorders>
            <w:shd w:val="clear" w:color="auto" w:fill="auto"/>
            <w:noWrap/>
            <w:vAlign w:val="bottom"/>
            <w:hideMark/>
          </w:tcPr>
          <w:p w14:paraId="64C187F6" w14:textId="77777777" w:rsidR="008A6495" w:rsidRPr="008A6495" w:rsidRDefault="008A6495" w:rsidP="008A6495">
            <w:pPr>
              <w:keepNext/>
              <w:keepLines/>
              <w:spacing w:after="0" w:line="240" w:lineRule="auto"/>
              <w:jc w:val="left"/>
              <w:rPr>
                <w:rFonts w:ascii="Arial" w:hAnsi="Arial" w:cs="Arial"/>
                <w:i/>
                <w:iCs/>
                <w:color w:val="auto"/>
                <w:sz w:val="16"/>
                <w:szCs w:val="16"/>
              </w:rPr>
            </w:pPr>
          </w:p>
        </w:tc>
        <w:tc>
          <w:tcPr>
            <w:tcW w:w="632" w:type="dxa"/>
            <w:tcBorders>
              <w:top w:val="single" w:sz="2" w:space="0" w:color="000000" w:themeColor="text1"/>
              <w:left w:val="nil"/>
              <w:bottom w:val="nil"/>
              <w:right w:val="nil"/>
            </w:tcBorders>
            <w:shd w:val="clear" w:color="auto" w:fill="auto"/>
            <w:noWrap/>
            <w:vAlign w:val="bottom"/>
            <w:hideMark/>
          </w:tcPr>
          <w:p w14:paraId="6F89DC6E"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7,005</w:t>
            </w:r>
          </w:p>
        </w:tc>
        <w:tc>
          <w:tcPr>
            <w:tcW w:w="524" w:type="dxa"/>
            <w:tcBorders>
              <w:top w:val="single" w:sz="2" w:space="0" w:color="000000" w:themeColor="text1"/>
              <w:left w:val="nil"/>
              <w:bottom w:val="nil"/>
              <w:right w:val="nil"/>
            </w:tcBorders>
            <w:shd w:val="clear" w:color="auto" w:fill="auto"/>
            <w:noWrap/>
            <w:vAlign w:val="bottom"/>
            <w:hideMark/>
          </w:tcPr>
          <w:p w14:paraId="16DA4FAA"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2.8</w:t>
            </w:r>
          </w:p>
        </w:tc>
        <w:tc>
          <w:tcPr>
            <w:tcW w:w="632" w:type="dxa"/>
            <w:tcBorders>
              <w:top w:val="single" w:sz="2" w:space="0" w:color="000000" w:themeColor="text1"/>
              <w:left w:val="nil"/>
              <w:bottom w:val="nil"/>
              <w:right w:val="nil"/>
            </w:tcBorders>
            <w:shd w:val="clear" w:color="auto" w:fill="auto"/>
            <w:noWrap/>
            <w:vAlign w:val="bottom"/>
            <w:hideMark/>
          </w:tcPr>
          <w:p w14:paraId="502EEF38"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2,911</w:t>
            </w:r>
          </w:p>
        </w:tc>
        <w:tc>
          <w:tcPr>
            <w:tcW w:w="524" w:type="dxa"/>
            <w:tcBorders>
              <w:top w:val="single" w:sz="2" w:space="0" w:color="000000" w:themeColor="text1"/>
              <w:left w:val="nil"/>
              <w:bottom w:val="nil"/>
              <w:right w:val="nil"/>
            </w:tcBorders>
            <w:shd w:val="clear" w:color="auto" w:fill="auto"/>
            <w:noWrap/>
            <w:vAlign w:val="bottom"/>
            <w:hideMark/>
          </w:tcPr>
          <w:p w14:paraId="339C159B"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1.1</w:t>
            </w:r>
          </w:p>
        </w:tc>
        <w:tc>
          <w:tcPr>
            <w:tcW w:w="632" w:type="dxa"/>
            <w:tcBorders>
              <w:top w:val="single" w:sz="2" w:space="0" w:color="000000" w:themeColor="text1"/>
              <w:left w:val="nil"/>
              <w:bottom w:val="nil"/>
              <w:right w:val="nil"/>
            </w:tcBorders>
            <w:shd w:val="clear" w:color="auto" w:fill="auto"/>
            <w:noWrap/>
            <w:vAlign w:val="bottom"/>
            <w:hideMark/>
          </w:tcPr>
          <w:p w14:paraId="05F5A21F"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2,399</w:t>
            </w:r>
          </w:p>
        </w:tc>
        <w:tc>
          <w:tcPr>
            <w:tcW w:w="524" w:type="dxa"/>
            <w:tcBorders>
              <w:top w:val="single" w:sz="2" w:space="0" w:color="000000" w:themeColor="text1"/>
              <w:left w:val="nil"/>
              <w:bottom w:val="nil"/>
              <w:right w:val="nil"/>
            </w:tcBorders>
            <w:shd w:val="clear" w:color="auto" w:fill="auto"/>
            <w:noWrap/>
            <w:vAlign w:val="bottom"/>
            <w:hideMark/>
          </w:tcPr>
          <w:p w14:paraId="3B592553"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0.9</w:t>
            </w:r>
          </w:p>
        </w:tc>
        <w:tc>
          <w:tcPr>
            <w:tcW w:w="677" w:type="dxa"/>
            <w:tcBorders>
              <w:top w:val="single" w:sz="2" w:space="0" w:color="000000" w:themeColor="text1"/>
              <w:left w:val="nil"/>
              <w:bottom w:val="nil"/>
              <w:right w:val="nil"/>
            </w:tcBorders>
            <w:shd w:val="clear" w:color="000000" w:fill="F2F2F2"/>
            <w:noWrap/>
            <w:vAlign w:val="bottom"/>
            <w:hideMark/>
          </w:tcPr>
          <w:p w14:paraId="65F9C57B"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1,784</w:t>
            </w:r>
          </w:p>
        </w:tc>
        <w:tc>
          <w:tcPr>
            <w:tcW w:w="619" w:type="dxa"/>
            <w:tcBorders>
              <w:top w:val="single" w:sz="2" w:space="0" w:color="000000" w:themeColor="text1"/>
              <w:left w:val="nil"/>
              <w:bottom w:val="nil"/>
              <w:right w:val="nil"/>
            </w:tcBorders>
            <w:shd w:val="clear" w:color="000000" w:fill="F2F2F2"/>
            <w:noWrap/>
            <w:vAlign w:val="bottom"/>
            <w:hideMark/>
          </w:tcPr>
          <w:p w14:paraId="3A19E1D7"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0.7</w:t>
            </w:r>
          </w:p>
        </w:tc>
      </w:tr>
      <w:tr w:rsidR="008A6495" w:rsidRPr="008A6495" w14:paraId="4849FE54" w14:textId="77777777" w:rsidTr="00826C87">
        <w:trPr>
          <w:trHeight w:val="225"/>
        </w:trPr>
        <w:tc>
          <w:tcPr>
            <w:tcW w:w="2276" w:type="dxa"/>
            <w:tcBorders>
              <w:top w:val="nil"/>
              <w:left w:val="nil"/>
              <w:bottom w:val="nil"/>
              <w:right w:val="nil"/>
            </w:tcBorders>
            <w:shd w:val="clear" w:color="auto" w:fill="auto"/>
            <w:noWrap/>
            <w:vAlign w:val="bottom"/>
            <w:hideMark/>
          </w:tcPr>
          <w:p w14:paraId="433A2EF3"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New dwellings</w:t>
            </w:r>
          </w:p>
        </w:tc>
        <w:tc>
          <w:tcPr>
            <w:tcW w:w="156" w:type="dxa"/>
            <w:tcBorders>
              <w:top w:val="nil"/>
              <w:left w:val="nil"/>
              <w:bottom w:val="nil"/>
              <w:right w:val="nil"/>
            </w:tcBorders>
            <w:shd w:val="clear" w:color="auto" w:fill="auto"/>
            <w:noWrap/>
            <w:vAlign w:val="bottom"/>
            <w:hideMark/>
          </w:tcPr>
          <w:p w14:paraId="2A27F1BA"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5971310E"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6673C0AC"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01B3777B"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5CFB59DC" w14:textId="77777777" w:rsidR="008A6495" w:rsidRPr="008A6495" w:rsidRDefault="008A6495" w:rsidP="008A6495">
            <w:pPr>
              <w:keepNext/>
              <w:keepLines/>
              <w:spacing w:after="0" w:line="240" w:lineRule="auto"/>
              <w:jc w:val="right"/>
              <w:rPr>
                <w:rFonts w:ascii="Times New Roman" w:hAnsi="Times New Roman"/>
                <w:color w:val="auto"/>
              </w:rPr>
            </w:pPr>
          </w:p>
        </w:tc>
        <w:tc>
          <w:tcPr>
            <w:tcW w:w="632" w:type="dxa"/>
            <w:tcBorders>
              <w:top w:val="nil"/>
              <w:left w:val="nil"/>
              <w:bottom w:val="nil"/>
              <w:right w:val="nil"/>
            </w:tcBorders>
            <w:shd w:val="clear" w:color="auto" w:fill="auto"/>
            <w:noWrap/>
            <w:vAlign w:val="bottom"/>
            <w:hideMark/>
          </w:tcPr>
          <w:p w14:paraId="31B34543" w14:textId="77777777" w:rsidR="008A6495" w:rsidRPr="008A6495" w:rsidRDefault="008A6495" w:rsidP="008A6495">
            <w:pPr>
              <w:keepNext/>
              <w:keepLines/>
              <w:spacing w:after="0" w:line="240" w:lineRule="auto"/>
              <w:jc w:val="right"/>
              <w:rPr>
                <w:rFonts w:ascii="Times New Roman" w:hAnsi="Times New Roman"/>
                <w:color w:val="auto"/>
              </w:rPr>
            </w:pPr>
          </w:p>
        </w:tc>
        <w:tc>
          <w:tcPr>
            <w:tcW w:w="524" w:type="dxa"/>
            <w:tcBorders>
              <w:top w:val="nil"/>
              <w:left w:val="nil"/>
              <w:bottom w:val="nil"/>
              <w:right w:val="nil"/>
            </w:tcBorders>
            <w:shd w:val="clear" w:color="auto" w:fill="auto"/>
            <w:noWrap/>
            <w:vAlign w:val="bottom"/>
            <w:hideMark/>
          </w:tcPr>
          <w:p w14:paraId="4574DAE1" w14:textId="77777777" w:rsidR="008A6495" w:rsidRPr="008A6495" w:rsidRDefault="008A6495" w:rsidP="008A6495">
            <w:pPr>
              <w:keepNext/>
              <w:keepLines/>
              <w:spacing w:after="0" w:line="240" w:lineRule="auto"/>
              <w:jc w:val="right"/>
              <w:rPr>
                <w:rFonts w:ascii="Times New Roman" w:hAnsi="Times New Roman"/>
                <w:color w:val="auto"/>
              </w:rPr>
            </w:pPr>
          </w:p>
        </w:tc>
        <w:tc>
          <w:tcPr>
            <w:tcW w:w="677" w:type="dxa"/>
            <w:tcBorders>
              <w:top w:val="nil"/>
              <w:left w:val="nil"/>
              <w:bottom w:val="nil"/>
              <w:right w:val="nil"/>
            </w:tcBorders>
            <w:shd w:val="clear" w:color="000000" w:fill="F2F2F2"/>
            <w:noWrap/>
            <w:vAlign w:val="bottom"/>
            <w:hideMark/>
          </w:tcPr>
          <w:p w14:paraId="2EFDC4C7"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c>
          <w:tcPr>
            <w:tcW w:w="619" w:type="dxa"/>
            <w:tcBorders>
              <w:top w:val="nil"/>
              <w:left w:val="nil"/>
              <w:bottom w:val="nil"/>
              <w:right w:val="nil"/>
            </w:tcBorders>
            <w:shd w:val="clear" w:color="000000" w:fill="F2F2F2"/>
            <w:noWrap/>
            <w:vAlign w:val="bottom"/>
            <w:hideMark/>
          </w:tcPr>
          <w:p w14:paraId="5872D45E"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r>
      <w:tr w:rsidR="008A6495" w:rsidRPr="008A6495" w14:paraId="536163B3" w14:textId="77777777" w:rsidTr="00826C87">
        <w:trPr>
          <w:trHeight w:val="225"/>
        </w:trPr>
        <w:tc>
          <w:tcPr>
            <w:tcW w:w="2276" w:type="dxa"/>
            <w:tcBorders>
              <w:top w:val="nil"/>
              <w:left w:val="nil"/>
              <w:bottom w:val="nil"/>
              <w:right w:val="nil"/>
            </w:tcBorders>
            <w:shd w:val="clear" w:color="auto" w:fill="auto"/>
            <w:noWrap/>
            <w:vAlign w:val="bottom"/>
            <w:hideMark/>
          </w:tcPr>
          <w:p w14:paraId="59AEB0BC"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r w:rsidRPr="008A6495">
              <w:rPr>
                <w:rFonts w:ascii="Arial" w:hAnsi="Arial" w:cs="Arial"/>
                <w:color w:val="auto"/>
                <w:sz w:val="16"/>
                <w:szCs w:val="16"/>
              </w:rPr>
              <w:t>- Individual purchases</w:t>
            </w:r>
          </w:p>
        </w:tc>
        <w:tc>
          <w:tcPr>
            <w:tcW w:w="156" w:type="dxa"/>
            <w:tcBorders>
              <w:top w:val="nil"/>
              <w:left w:val="nil"/>
              <w:bottom w:val="nil"/>
              <w:right w:val="nil"/>
            </w:tcBorders>
            <w:shd w:val="clear" w:color="auto" w:fill="auto"/>
            <w:noWrap/>
            <w:vAlign w:val="bottom"/>
            <w:hideMark/>
          </w:tcPr>
          <w:p w14:paraId="1DBEFC6F"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42E6E386"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26,052</w:t>
            </w:r>
          </w:p>
        </w:tc>
        <w:tc>
          <w:tcPr>
            <w:tcW w:w="524" w:type="dxa"/>
            <w:tcBorders>
              <w:top w:val="nil"/>
              <w:left w:val="nil"/>
              <w:bottom w:val="nil"/>
              <w:right w:val="nil"/>
            </w:tcBorders>
            <w:shd w:val="clear" w:color="auto" w:fill="auto"/>
            <w:noWrap/>
            <w:vAlign w:val="bottom"/>
            <w:hideMark/>
          </w:tcPr>
          <w:p w14:paraId="2EB3642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19.3</w:t>
            </w:r>
          </w:p>
        </w:tc>
        <w:tc>
          <w:tcPr>
            <w:tcW w:w="632" w:type="dxa"/>
            <w:tcBorders>
              <w:top w:val="nil"/>
              <w:left w:val="nil"/>
              <w:bottom w:val="nil"/>
              <w:right w:val="nil"/>
            </w:tcBorders>
            <w:shd w:val="clear" w:color="auto" w:fill="auto"/>
            <w:noWrap/>
            <w:vAlign w:val="bottom"/>
            <w:hideMark/>
          </w:tcPr>
          <w:p w14:paraId="3316B351"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7,864</w:t>
            </w:r>
          </w:p>
        </w:tc>
        <w:tc>
          <w:tcPr>
            <w:tcW w:w="524" w:type="dxa"/>
            <w:tcBorders>
              <w:top w:val="nil"/>
              <w:left w:val="nil"/>
              <w:bottom w:val="nil"/>
              <w:right w:val="nil"/>
            </w:tcBorders>
            <w:shd w:val="clear" w:color="auto" w:fill="auto"/>
            <w:noWrap/>
            <w:vAlign w:val="bottom"/>
            <w:hideMark/>
          </w:tcPr>
          <w:p w14:paraId="08EA0145"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6.6</w:t>
            </w:r>
          </w:p>
        </w:tc>
        <w:tc>
          <w:tcPr>
            <w:tcW w:w="632" w:type="dxa"/>
            <w:tcBorders>
              <w:top w:val="nil"/>
              <w:left w:val="nil"/>
              <w:bottom w:val="nil"/>
              <w:right w:val="nil"/>
            </w:tcBorders>
            <w:shd w:val="clear" w:color="auto" w:fill="auto"/>
            <w:noWrap/>
            <w:vAlign w:val="bottom"/>
            <w:hideMark/>
          </w:tcPr>
          <w:p w14:paraId="143F7B8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5,494</w:t>
            </w:r>
          </w:p>
        </w:tc>
        <w:tc>
          <w:tcPr>
            <w:tcW w:w="524" w:type="dxa"/>
            <w:tcBorders>
              <w:top w:val="nil"/>
              <w:left w:val="nil"/>
              <w:bottom w:val="nil"/>
              <w:right w:val="nil"/>
            </w:tcBorders>
            <w:shd w:val="clear" w:color="auto" w:fill="auto"/>
            <w:noWrap/>
            <w:vAlign w:val="bottom"/>
            <w:hideMark/>
          </w:tcPr>
          <w:p w14:paraId="62738EA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4.8</w:t>
            </w:r>
          </w:p>
        </w:tc>
        <w:tc>
          <w:tcPr>
            <w:tcW w:w="677" w:type="dxa"/>
            <w:tcBorders>
              <w:top w:val="nil"/>
              <w:left w:val="nil"/>
              <w:bottom w:val="nil"/>
              <w:right w:val="nil"/>
            </w:tcBorders>
            <w:shd w:val="clear" w:color="000000" w:fill="F2F2F2"/>
            <w:noWrap/>
            <w:vAlign w:val="bottom"/>
            <w:hideMark/>
          </w:tcPr>
          <w:p w14:paraId="0633E8D2"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3,888</w:t>
            </w:r>
          </w:p>
        </w:tc>
        <w:tc>
          <w:tcPr>
            <w:tcW w:w="619" w:type="dxa"/>
            <w:tcBorders>
              <w:top w:val="nil"/>
              <w:left w:val="nil"/>
              <w:bottom w:val="nil"/>
              <w:right w:val="nil"/>
            </w:tcBorders>
            <w:shd w:val="clear" w:color="000000" w:fill="F2F2F2"/>
            <w:noWrap/>
            <w:vAlign w:val="bottom"/>
            <w:hideMark/>
          </w:tcPr>
          <w:p w14:paraId="10777F75"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3.1</w:t>
            </w:r>
          </w:p>
        </w:tc>
      </w:tr>
      <w:tr w:rsidR="008A6495" w:rsidRPr="008A6495" w14:paraId="17BA217D" w14:textId="77777777" w:rsidTr="00826C87">
        <w:trPr>
          <w:trHeight w:val="225"/>
        </w:trPr>
        <w:tc>
          <w:tcPr>
            <w:tcW w:w="2276" w:type="dxa"/>
            <w:tcBorders>
              <w:top w:val="nil"/>
              <w:left w:val="nil"/>
              <w:bottom w:val="nil"/>
              <w:right w:val="nil"/>
            </w:tcBorders>
            <w:shd w:val="clear" w:color="auto" w:fill="auto"/>
            <w:noWrap/>
            <w:vAlign w:val="bottom"/>
            <w:hideMark/>
          </w:tcPr>
          <w:p w14:paraId="5A3AACB5"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r w:rsidRPr="008A6495">
              <w:rPr>
                <w:rFonts w:ascii="Arial" w:hAnsi="Arial" w:cs="Arial"/>
                <w:color w:val="auto"/>
                <w:sz w:val="16"/>
                <w:szCs w:val="16"/>
              </w:rPr>
              <w:t>- Single purchase EC (a)</w:t>
            </w:r>
          </w:p>
        </w:tc>
        <w:tc>
          <w:tcPr>
            <w:tcW w:w="156" w:type="dxa"/>
            <w:tcBorders>
              <w:top w:val="nil"/>
              <w:left w:val="nil"/>
              <w:bottom w:val="nil"/>
              <w:right w:val="nil"/>
            </w:tcBorders>
            <w:shd w:val="clear" w:color="auto" w:fill="auto"/>
            <w:noWrap/>
            <w:vAlign w:val="bottom"/>
            <w:hideMark/>
          </w:tcPr>
          <w:p w14:paraId="18007E10"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65F0EB46"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nil"/>
              <w:right w:val="nil"/>
            </w:tcBorders>
            <w:shd w:val="clear" w:color="auto" w:fill="auto"/>
            <w:noWrap/>
            <w:vAlign w:val="bottom"/>
            <w:hideMark/>
          </w:tcPr>
          <w:p w14:paraId="667ED6DC" w14:textId="77777777" w:rsidR="008A6495" w:rsidRPr="008A6495" w:rsidRDefault="008A6495" w:rsidP="008A6495">
            <w:pPr>
              <w:keepNext/>
              <w:keepLines/>
              <w:spacing w:after="0" w:line="240" w:lineRule="auto"/>
              <w:jc w:val="righ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2B05AE7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nil"/>
              <w:right w:val="nil"/>
            </w:tcBorders>
            <w:shd w:val="clear" w:color="auto" w:fill="auto"/>
            <w:noWrap/>
            <w:vAlign w:val="bottom"/>
            <w:hideMark/>
          </w:tcPr>
          <w:p w14:paraId="1403887E" w14:textId="77777777" w:rsidR="008A6495" w:rsidRPr="008A6495" w:rsidRDefault="008A6495" w:rsidP="008A6495">
            <w:pPr>
              <w:keepNext/>
              <w:keepLines/>
              <w:spacing w:after="0" w:line="240" w:lineRule="auto"/>
              <w:jc w:val="righ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6697FB26"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166</w:t>
            </w:r>
          </w:p>
        </w:tc>
        <w:tc>
          <w:tcPr>
            <w:tcW w:w="524" w:type="dxa"/>
            <w:tcBorders>
              <w:top w:val="nil"/>
              <w:left w:val="nil"/>
              <w:bottom w:val="nil"/>
              <w:right w:val="nil"/>
            </w:tcBorders>
            <w:shd w:val="clear" w:color="auto" w:fill="auto"/>
            <w:noWrap/>
            <w:vAlign w:val="bottom"/>
            <w:hideMark/>
          </w:tcPr>
          <w:p w14:paraId="6F8AD58A"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0.1</w:t>
            </w:r>
          </w:p>
        </w:tc>
        <w:tc>
          <w:tcPr>
            <w:tcW w:w="677" w:type="dxa"/>
            <w:tcBorders>
              <w:top w:val="nil"/>
              <w:left w:val="nil"/>
              <w:bottom w:val="nil"/>
              <w:right w:val="nil"/>
            </w:tcBorders>
            <w:shd w:val="clear" w:color="000000" w:fill="F2F2F2"/>
            <w:noWrap/>
            <w:vAlign w:val="bottom"/>
            <w:hideMark/>
          </w:tcPr>
          <w:p w14:paraId="3C2F0F30"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60</w:t>
            </w:r>
          </w:p>
        </w:tc>
        <w:tc>
          <w:tcPr>
            <w:tcW w:w="619" w:type="dxa"/>
            <w:tcBorders>
              <w:top w:val="nil"/>
              <w:left w:val="nil"/>
              <w:bottom w:val="nil"/>
              <w:right w:val="nil"/>
            </w:tcBorders>
            <w:shd w:val="clear" w:color="000000" w:fill="F2F2F2"/>
            <w:noWrap/>
            <w:vAlign w:val="bottom"/>
            <w:hideMark/>
          </w:tcPr>
          <w:p w14:paraId="7466683F"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0.1</w:t>
            </w:r>
          </w:p>
        </w:tc>
      </w:tr>
      <w:tr w:rsidR="008A6495" w:rsidRPr="008A6495" w14:paraId="336C89BD" w14:textId="77777777" w:rsidTr="00C45942">
        <w:trPr>
          <w:trHeight w:val="225"/>
        </w:trPr>
        <w:tc>
          <w:tcPr>
            <w:tcW w:w="2276" w:type="dxa"/>
            <w:tcBorders>
              <w:top w:val="nil"/>
              <w:left w:val="nil"/>
              <w:bottom w:val="nil"/>
              <w:right w:val="nil"/>
            </w:tcBorders>
            <w:shd w:val="clear" w:color="auto" w:fill="auto"/>
            <w:noWrap/>
            <w:vAlign w:val="bottom"/>
            <w:hideMark/>
          </w:tcPr>
          <w:p w14:paraId="5AA381C3"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r w:rsidRPr="008A6495">
              <w:rPr>
                <w:rFonts w:ascii="Arial" w:hAnsi="Arial" w:cs="Arial"/>
                <w:color w:val="auto"/>
                <w:sz w:val="16"/>
                <w:szCs w:val="16"/>
              </w:rPr>
              <w:t>- New dwelling EC</w:t>
            </w:r>
          </w:p>
        </w:tc>
        <w:tc>
          <w:tcPr>
            <w:tcW w:w="156" w:type="dxa"/>
            <w:tcBorders>
              <w:top w:val="nil"/>
              <w:left w:val="nil"/>
              <w:bottom w:val="nil"/>
              <w:right w:val="nil"/>
            </w:tcBorders>
            <w:shd w:val="clear" w:color="auto" w:fill="auto"/>
            <w:noWrap/>
            <w:vAlign w:val="bottom"/>
            <w:hideMark/>
          </w:tcPr>
          <w:p w14:paraId="4DB60F5F"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p>
        </w:tc>
        <w:tc>
          <w:tcPr>
            <w:tcW w:w="632" w:type="dxa"/>
            <w:tcBorders>
              <w:top w:val="nil"/>
              <w:left w:val="nil"/>
              <w:right w:val="nil"/>
            </w:tcBorders>
            <w:shd w:val="clear" w:color="auto" w:fill="auto"/>
            <w:noWrap/>
            <w:vAlign w:val="bottom"/>
            <w:hideMark/>
          </w:tcPr>
          <w:p w14:paraId="5C78A12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201</w:t>
            </w:r>
          </w:p>
        </w:tc>
        <w:tc>
          <w:tcPr>
            <w:tcW w:w="524" w:type="dxa"/>
            <w:tcBorders>
              <w:top w:val="nil"/>
              <w:left w:val="nil"/>
              <w:right w:val="nil"/>
            </w:tcBorders>
            <w:shd w:val="clear" w:color="auto" w:fill="auto"/>
            <w:noWrap/>
            <w:vAlign w:val="bottom"/>
            <w:hideMark/>
          </w:tcPr>
          <w:p w14:paraId="1ACC2A3E"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38.4</w:t>
            </w:r>
          </w:p>
        </w:tc>
        <w:tc>
          <w:tcPr>
            <w:tcW w:w="632" w:type="dxa"/>
            <w:tcBorders>
              <w:top w:val="nil"/>
              <w:left w:val="nil"/>
              <w:right w:val="nil"/>
            </w:tcBorders>
            <w:shd w:val="clear" w:color="auto" w:fill="auto"/>
            <w:noWrap/>
            <w:vAlign w:val="bottom"/>
            <w:hideMark/>
          </w:tcPr>
          <w:p w14:paraId="257D5FC5"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46</w:t>
            </w:r>
          </w:p>
        </w:tc>
        <w:tc>
          <w:tcPr>
            <w:tcW w:w="524" w:type="dxa"/>
            <w:tcBorders>
              <w:top w:val="nil"/>
              <w:left w:val="nil"/>
              <w:right w:val="nil"/>
            </w:tcBorders>
            <w:shd w:val="clear" w:color="auto" w:fill="auto"/>
            <w:noWrap/>
            <w:vAlign w:val="bottom"/>
            <w:hideMark/>
          </w:tcPr>
          <w:p w14:paraId="55CFDAD6"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14.1</w:t>
            </w:r>
          </w:p>
        </w:tc>
        <w:tc>
          <w:tcPr>
            <w:tcW w:w="632" w:type="dxa"/>
            <w:tcBorders>
              <w:top w:val="nil"/>
              <w:left w:val="nil"/>
              <w:right w:val="nil"/>
            </w:tcBorders>
            <w:shd w:val="clear" w:color="auto" w:fill="auto"/>
            <w:noWrap/>
            <w:vAlign w:val="bottom"/>
            <w:hideMark/>
          </w:tcPr>
          <w:p w14:paraId="220B2E84"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24</w:t>
            </w:r>
          </w:p>
        </w:tc>
        <w:tc>
          <w:tcPr>
            <w:tcW w:w="524" w:type="dxa"/>
            <w:tcBorders>
              <w:top w:val="nil"/>
              <w:left w:val="nil"/>
              <w:right w:val="nil"/>
            </w:tcBorders>
            <w:shd w:val="clear" w:color="auto" w:fill="auto"/>
            <w:noWrap/>
            <w:vAlign w:val="bottom"/>
            <w:hideMark/>
          </w:tcPr>
          <w:p w14:paraId="2204519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2.7</w:t>
            </w:r>
          </w:p>
        </w:tc>
        <w:tc>
          <w:tcPr>
            <w:tcW w:w="677" w:type="dxa"/>
            <w:tcBorders>
              <w:top w:val="nil"/>
              <w:left w:val="nil"/>
              <w:right w:val="nil"/>
            </w:tcBorders>
            <w:shd w:val="clear" w:color="000000" w:fill="F2F2F2"/>
            <w:noWrap/>
            <w:vAlign w:val="bottom"/>
            <w:hideMark/>
          </w:tcPr>
          <w:p w14:paraId="1ABA4328"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16</w:t>
            </w:r>
          </w:p>
        </w:tc>
        <w:tc>
          <w:tcPr>
            <w:tcW w:w="619" w:type="dxa"/>
            <w:tcBorders>
              <w:top w:val="nil"/>
              <w:left w:val="nil"/>
              <w:right w:val="nil"/>
            </w:tcBorders>
            <w:shd w:val="clear" w:color="000000" w:fill="F2F2F2"/>
            <w:noWrap/>
            <w:vAlign w:val="bottom"/>
            <w:hideMark/>
          </w:tcPr>
          <w:p w14:paraId="76AF0555"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1.7</w:t>
            </w:r>
          </w:p>
        </w:tc>
      </w:tr>
      <w:tr w:rsidR="008A6495" w:rsidRPr="008A6495" w14:paraId="6F99884C" w14:textId="77777777" w:rsidTr="00C45942">
        <w:trPr>
          <w:trHeight w:val="225"/>
        </w:trPr>
        <w:tc>
          <w:tcPr>
            <w:tcW w:w="2276" w:type="dxa"/>
            <w:tcBorders>
              <w:top w:val="nil"/>
              <w:left w:val="nil"/>
              <w:bottom w:val="nil"/>
              <w:right w:val="nil"/>
            </w:tcBorders>
            <w:shd w:val="clear" w:color="auto" w:fill="auto"/>
            <w:noWrap/>
            <w:vAlign w:val="bottom"/>
            <w:hideMark/>
          </w:tcPr>
          <w:p w14:paraId="65ECD4E0"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r w:rsidRPr="008A6495">
              <w:rPr>
                <w:rFonts w:ascii="Arial" w:hAnsi="Arial" w:cs="Arial"/>
                <w:color w:val="auto"/>
                <w:sz w:val="16"/>
                <w:szCs w:val="16"/>
              </w:rPr>
              <w:t>- Near new dwelling EC</w:t>
            </w:r>
          </w:p>
        </w:tc>
        <w:tc>
          <w:tcPr>
            <w:tcW w:w="156" w:type="dxa"/>
            <w:tcBorders>
              <w:top w:val="nil"/>
              <w:left w:val="nil"/>
              <w:bottom w:val="nil"/>
              <w:right w:val="nil"/>
            </w:tcBorders>
            <w:shd w:val="clear" w:color="auto" w:fill="auto"/>
            <w:noWrap/>
            <w:vAlign w:val="bottom"/>
            <w:hideMark/>
          </w:tcPr>
          <w:p w14:paraId="49AF7E93" w14:textId="77777777" w:rsidR="008A6495" w:rsidRPr="008A6495" w:rsidRDefault="008A6495" w:rsidP="008A6495">
            <w:pPr>
              <w:keepNext/>
              <w:keepLines/>
              <w:spacing w:after="0" w:line="240" w:lineRule="auto"/>
              <w:ind w:firstLineChars="100" w:firstLine="160"/>
              <w:jc w:val="left"/>
              <w:rPr>
                <w:rFonts w:ascii="Arial" w:hAnsi="Arial" w:cs="Arial"/>
                <w:color w:val="auto"/>
                <w:sz w:val="16"/>
                <w:szCs w:val="16"/>
              </w:rPr>
            </w:pPr>
          </w:p>
        </w:tc>
        <w:tc>
          <w:tcPr>
            <w:tcW w:w="632" w:type="dxa"/>
            <w:tcBorders>
              <w:top w:val="nil"/>
              <w:left w:val="nil"/>
              <w:bottom w:val="single" w:sz="2" w:space="0" w:color="000000" w:themeColor="text1"/>
              <w:right w:val="nil"/>
            </w:tcBorders>
            <w:shd w:val="clear" w:color="auto" w:fill="auto"/>
            <w:noWrap/>
            <w:vAlign w:val="bottom"/>
            <w:hideMark/>
          </w:tcPr>
          <w:p w14:paraId="6C97A82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single" w:sz="2" w:space="0" w:color="000000" w:themeColor="text1"/>
              <w:right w:val="nil"/>
            </w:tcBorders>
            <w:shd w:val="clear" w:color="auto" w:fill="auto"/>
            <w:noWrap/>
            <w:vAlign w:val="bottom"/>
            <w:hideMark/>
          </w:tcPr>
          <w:p w14:paraId="111A45A6" w14:textId="77777777" w:rsidR="008A6495" w:rsidRPr="008A6495" w:rsidRDefault="008A6495" w:rsidP="008A6495">
            <w:pPr>
              <w:keepNext/>
              <w:keepLines/>
              <w:spacing w:after="0" w:line="240" w:lineRule="auto"/>
              <w:jc w:val="right"/>
              <w:rPr>
                <w:rFonts w:ascii="Arial" w:hAnsi="Arial" w:cs="Arial"/>
                <w:color w:val="auto"/>
                <w:sz w:val="16"/>
                <w:szCs w:val="16"/>
              </w:rPr>
            </w:pPr>
          </w:p>
        </w:tc>
        <w:tc>
          <w:tcPr>
            <w:tcW w:w="632" w:type="dxa"/>
            <w:tcBorders>
              <w:top w:val="nil"/>
              <w:left w:val="nil"/>
              <w:bottom w:val="single" w:sz="2" w:space="0" w:color="000000" w:themeColor="text1"/>
              <w:right w:val="nil"/>
            </w:tcBorders>
            <w:shd w:val="clear" w:color="auto" w:fill="auto"/>
            <w:noWrap/>
            <w:vAlign w:val="bottom"/>
            <w:hideMark/>
          </w:tcPr>
          <w:p w14:paraId="37EE9964"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single" w:sz="2" w:space="0" w:color="000000" w:themeColor="text1"/>
              <w:right w:val="nil"/>
            </w:tcBorders>
            <w:shd w:val="clear" w:color="auto" w:fill="auto"/>
            <w:noWrap/>
            <w:vAlign w:val="bottom"/>
            <w:hideMark/>
          </w:tcPr>
          <w:p w14:paraId="577F71F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 </w:t>
            </w:r>
          </w:p>
        </w:tc>
        <w:tc>
          <w:tcPr>
            <w:tcW w:w="632" w:type="dxa"/>
            <w:tcBorders>
              <w:top w:val="nil"/>
              <w:left w:val="nil"/>
              <w:bottom w:val="single" w:sz="2" w:space="0" w:color="000000" w:themeColor="text1"/>
              <w:right w:val="nil"/>
            </w:tcBorders>
            <w:shd w:val="clear" w:color="auto" w:fill="auto"/>
            <w:noWrap/>
            <w:vAlign w:val="bottom"/>
            <w:hideMark/>
          </w:tcPr>
          <w:p w14:paraId="4F44B686"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10</w:t>
            </w:r>
          </w:p>
        </w:tc>
        <w:tc>
          <w:tcPr>
            <w:tcW w:w="524" w:type="dxa"/>
            <w:tcBorders>
              <w:top w:val="nil"/>
              <w:left w:val="nil"/>
              <w:bottom w:val="single" w:sz="2" w:space="0" w:color="000000" w:themeColor="text1"/>
              <w:right w:val="nil"/>
            </w:tcBorders>
            <w:shd w:val="clear" w:color="auto" w:fill="auto"/>
            <w:noWrap/>
            <w:vAlign w:val="bottom"/>
            <w:hideMark/>
          </w:tcPr>
          <w:p w14:paraId="1A1B14B0"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0.0</w:t>
            </w:r>
          </w:p>
        </w:tc>
        <w:tc>
          <w:tcPr>
            <w:tcW w:w="677" w:type="dxa"/>
            <w:tcBorders>
              <w:top w:val="nil"/>
              <w:left w:val="nil"/>
              <w:bottom w:val="single" w:sz="2" w:space="0" w:color="000000" w:themeColor="text1"/>
              <w:right w:val="nil"/>
            </w:tcBorders>
            <w:shd w:val="clear" w:color="000000" w:fill="F2F2F2"/>
            <w:noWrap/>
            <w:vAlign w:val="bottom"/>
            <w:hideMark/>
          </w:tcPr>
          <w:p w14:paraId="1BF56DE5"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22</w:t>
            </w:r>
          </w:p>
        </w:tc>
        <w:tc>
          <w:tcPr>
            <w:tcW w:w="619" w:type="dxa"/>
            <w:tcBorders>
              <w:top w:val="nil"/>
              <w:left w:val="nil"/>
              <w:bottom w:val="single" w:sz="2" w:space="0" w:color="000000" w:themeColor="text1"/>
              <w:right w:val="nil"/>
            </w:tcBorders>
            <w:shd w:val="clear" w:color="000000" w:fill="F2F2F2"/>
            <w:noWrap/>
            <w:vAlign w:val="bottom"/>
            <w:hideMark/>
          </w:tcPr>
          <w:p w14:paraId="3185A862"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0.0</w:t>
            </w:r>
          </w:p>
        </w:tc>
      </w:tr>
      <w:tr w:rsidR="008A6495" w:rsidRPr="008A6495" w14:paraId="5BDD29EF" w14:textId="77777777" w:rsidTr="00C45942">
        <w:trPr>
          <w:trHeight w:val="225"/>
        </w:trPr>
        <w:tc>
          <w:tcPr>
            <w:tcW w:w="2276" w:type="dxa"/>
            <w:tcBorders>
              <w:top w:val="nil"/>
              <w:left w:val="nil"/>
              <w:bottom w:val="nil"/>
              <w:right w:val="nil"/>
            </w:tcBorders>
            <w:shd w:val="clear" w:color="auto" w:fill="auto"/>
            <w:noWrap/>
            <w:vAlign w:val="bottom"/>
            <w:hideMark/>
          </w:tcPr>
          <w:p w14:paraId="700EBD7F" w14:textId="77777777" w:rsidR="008A6495" w:rsidRPr="008A6495" w:rsidRDefault="008A6495" w:rsidP="008A6495">
            <w:pPr>
              <w:keepNext/>
              <w:keepLines/>
              <w:spacing w:after="0" w:line="240" w:lineRule="auto"/>
              <w:jc w:val="left"/>
              <w:rPr>
                <w:rFonts w:ascii="Arial" w:hAnsi="Arial" w:cs="Arial"/>
                <w:i/>
                <w:iCs/>
                <w:color w:val="auto"/>
                <w:sz w:val="16"/>
                <w:szCs w:val="16"/>
              </w:rPr>
            </w:pPr>
            <w:r w:rsidRPr="008A6495">
              <w:rPr>
                <w:rFonts w:ascii="Arial" w:hAnsi="Arial" w:cs="Arial"/>
                <w:i/>
                <w:iCs/>
                <w:color w:val="auto"/>
                <w:sz w:val="16"/>
                <w:szCs w:val="16"/>
              </w:rPr>
              <w:t>Sub-total 'New dwellings'</w:t>
            </w:r>
          </w:p>
        </w:tc>
        <w:tc>
          <w:tcPr>
            <w:tcW w:w="156" w:type="dxa"/>
            <w:tcBorders>
              <w:top w:val="nil"/>
              <w:left w:val="nil"/>
              <w:bottom w:val="nil"/>
              <w:right w:val="nil"/>
            </w:tcBorders>
            <w:shd w:val="clear" w:color="auto" w:fill="auto"/>
            <w:noWrap/>
            <w:vAlign w:val="bottom"/>
            <w:hideMark/>
          </w:tcPr>
          <w:p w14:paraId="0088B4F1" w14:textId="77777777" w:rsidR="008A6495" w:rsidRPr="008A6495" w:rsidRDefault="008A6495" w:rsidP="008A6495">
            <w:pPr>
              <w:keepNext/>
              <w:keepLines/>
              <w:spacing w:after="0" w:line="240" w:lineRule="auto"/>
              <w:jc w:val="left"/>
              <w:rPr>
                <w:rFonts w:ascii="Arial" w:hAnsi="Arial" w:cs="Arial"/>
                <w:i/>
                <w:iCs/>
                <w:color w:val="auto"/>
                <w:sz w:val="16"/>
                <w:szCs w:val="16"/>
              </w:rPr>
            </w:pPr>
          </w:p>
        </w:tc>
        <w:tc>
          <w:tcPr>
            <w:tcW w:w="632" w:type="dxa"/>
            <w:tcBorders>
              <w:top w:val="single" w:sz="2" w:space="0" w:color="000000" w:themeColor="text1"/>
              <w:left w:val="nil"/>
              <w:bottom w:val="nil"/>
              <w:right w:val="nil"/>
            </w:tcBorders>
            <w:shd w:val="clear" w:color="auto" w:fill="auto"/>
            <w:noWrap/>
            <w:vAlign w:val="bottom"/>
            <w:hideMark/>
          </w:tcPr>
          <w:p w14:paraId="17922226"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26,253</w:t>
            </w:r>
          </w:p>
        </w:tc>
        <w:tc>
          <w:tcPr>
            <w:tcW w:w="524" w:type="dxa"/>
            <w:tcBorders>
              <w:top w:val="single" w:sz="2" w:space="0" w:color="000000" w:themeColor="text1"/>
              <w:left w:val="nil"/>
              <w:bottom w:val="nil"/>
              <w:right w:val="nil"/>
            </w:tcBorders>
            <w:shd w:val="clear" w:color="auto" w:fill="auto"/>
            <w:noWrap/>
            <w:vAlign w:val="bottom"/>
            <w:hideMark/>
          </w:tcPr>
          <w:p w14:paraId="5C34BFCE"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57.6</w:t>
            </w:r>
          </w:p>
        </w:tc>
        <w:tc>
          <w:tcPr>
            <w:tcW w:w="632" w:type="dxa"/>
            <w:tcBorders>
              <w:top w:val="single" w:sz="2" w:space="0" w:color="000000" w:themeColor="text1"/>
              <w:left w:val="nil"/>
              <w:bottom w:val="nil"/>
              <w:right w:val="nil"/>
            </w:tcBorders>
            <w:shd w:val="clear" w:color="auto" w:fill="auto"/>
            <w:noWrap/>
            <w:vAlign w:val="bottom"/>
            <w:hideMark/>
          </w:tcPr>
          <w:p w14:paraId="6EAF296C"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7,910</w:t>
            </w:r>
          </w:p>
        </w:tc>
        <w:tc>
          <w:tcPr>
            <w:tcW w:w="524" w:type="dxa"/>
            <w:tcBorders>
              <w:top w:val="single" w:sz="2" w:space="0" w:color="000000" w:themeColor="text1"/>
              <w:left w:val="nil"/>
              <w:bottom w:val="nil"/>
              <w:right w:val="nil"/>
            </w:tcBorders>
            <w:shd w:val="clear" w:color="auto" w:fill="auto"/>
            <w:noWrap/>
            <w:vAlign w:val="bottom"/>
            <w:hideMark/>
          </w:tcPr>
          <w:p w14:paraId="50D505D3"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20.7</w:t>
            </w:r>
          </w:p>
        </w:tc>
        <w:tc>
          <w:tcPr>
            <w:tcW w:w="632" w:type="dxa"/>
            <w:tcBorders>
              <w:top w:val="single" w:sz="2" w:space="0" w:color="000000" w:themeColor="text1"/>
              <w:left w:val="nil"/>
              <w:bottom w:val="nil"/>
              <w:right w:val="nil"/>
            </w:tcBorders>
            <w:shd w:val="clear" w:color="auto" w:fill="auto"/>
            <w:noWrap/>
            <w:vAlign w:val="bottom"/>
            <w:hideMark/>
          </w:tcPr>
          <w:p w14:paraId="174D5795"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5,694</w:t>
            </w:r>
          </w:p>
        </w:tc>
        <w:tc>
          <w:tcPr>
            <w:tcW w:w="524" w:type="dxa"/>
            <w:tcBorders>
              <w:top w:val="single" w:sz="2" w:space="0" w:color="000000" w:themeColor="text1"/>
              <w:left w:val="nil"/>
              <w:bottom w:val="nil"/>
              <w:right w:val="nil"/>
            </w:tcBorders>
            <w:shd w:val="clear" w:color="auto" w:fill="auto"/>
            <w:noWrap/>
            <w:vAlign w:val="bottom"/>
            <w:hideMark/>
          </w:tcPr>
          <w:p w14:paraId="0D25A023"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7.7</w:t>
            </w:r>
          </w:p>
        </w:tc>
        <w:tc>
          <w:tcPr>
            <w:tcW w:w="677" w:type="dxa"/>
            <w:tcBorders>
              <w:top w:val="single" w:sz="2" w:space="0" w:color="000000" w:themeColor="text1"/>
              <w:left w:val="nil"/>
              <w:bottom w:val="nil"/>
              <w:right w:val="nil"/>
            </w:tcBorders>
            <w:shd w:val="clear" w:color="000000" w:fill="F2F2F2"/>
            <w:noWrap/>
            <w:vAlign w:val="bottom"/>
            <w:hideMark/>
          </w:tcPr>
          <w:p w14:paraId="777D0A3F"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3,986</w:t>
            </w:r>
          </w:p>
        </w:tc>
        <w:tc>
          <w:tcPr>
            <w:tcW w:w="619" w:type="dxa"/>
            <w:tcBorders>
              <w:top w:val="single" w:sz="2" w:space="0" w:color="000000" w:themeColor="text1"/>
              <w:left w:val="nil"/>
              <w:bottom w:val="nil"/>
              <w:right w:val="nil"/>
            </w:tcBorders>
            <w:shd w:val="clear" w:color="000000" w:fill="F2F2F2"/>
            <w:noWrap/>
            <w:vAlign w:val="bottom"/>
            <w:hideMark/>
          </w:tcPr>
          <w:p w14:paraId="12FF012F"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4.8</w:t>
            </w:r>
          </w:p>
        </w:tc>
      </w:tr>
      <w:tr w:rsidR="008A6495" w:rsidRPr="008A6495" w14:paraId="6AC5F888" w14:textId="77777777" w:rsidTr="00826C87">
        <w:trPr>
          <w:trHeight w:val="225"/>
        </w:trPr>
        <w:tc>
          <w:tcPr>
            <w:tcW w:w="2276" w:type="dxa"/>
            <w:tcBorders>
              <w:top w:val="nil"/>
              <w:left w:val="nil"/>
              <w:bottom w:val="nil"/>
              <w:right w:val="nil"/>
            </w:tcBorders>
            <w:shd w:val="clear" w:color="auto" w:fill="auto"/>
            <w:noWrap/>
            <w:vAlign w:val="bottom"/>
            <w:hideMark/>
          </w:tcPr>
          <w:p w14:paraId="4E9EA910"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Redevelopment</w:t>
            </w:r>
          </w:p>
        </w:tc>
        <w:tc>
          <w:tcPr>
            <w:tcW w:w="156" w:type="dxa"/>
            <w:tcBorders>
              <w:top w:val="nil"/>
              <w:left w:val="nil"/>
              <w:bottom w:val="nil"/>
              <w:right w:val="nil"/>
            </w:tcBorders>
            <w:shd w:val="clear" w:color="auto" w:fill="auto"/>
            <w:noWrap/>
            <w:vAlign w:val="bottom"/>
            <w:hideMark/>
          </w:tcPr>
          <w:p w14:paraId="37C8B297"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top w:val="nil"/>
              <w:left w:val="nil"/>
              <w:bottom w:val="nil"/>
              <w:right w:val="nil"/>
            </w:tcBorders>
            <w:shd w:val="clear" w:color="auto" w:fill="auto"/>
            <w:noWrap/>
            <w:vAlign w:val="bottom"/>
            <w:hideMark/>
          </w:tcPr>
          <w:p w14:paraId="29781449"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988</w:t>
            </w:r>
          </w:p>
        </w:tc>
        <w:tc>
          <w:tcPr>
            <w:tcW w:w="524" w:type="dxa"/>
            <w:tcBorders>
              <w:top w:val="nil"/>
              <w:left w:val="nil"/>
              <w:bottom w:val="nil"/>
              <w:right w:val="nil"/>
            </w:tcBorders>
            <w:shd w:val="clear" w:color="auto" w:fill="auto"/>
            <w:noWrap/>
            <w:vAlign w:val="bottom"/>
            <w:hideMark/>
          </w:tcPr>
          <w:p w14:paraId="7EAF0EA8"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2.8</w:t>
            </w:r>
          </w:p>
        </w:tc>
        <w:tc>
          <w:tcPr>
            <w:tcW w:w="632" w:type="dxa"/>
            <w:tcBorders>
              <w:top w:val="nil"/>
              <w:left w:val="nil"/>
              <w:bottom w:val="nil"/>
              <w:right w:val="nil"/>
            </w:tcBorders>
            <w:shd w:val="clear" w:color="auto" w:fill="auto"/>
            <w:noWrap/>
            <w:vAlign w:val="bottom"/>
            <w:hideMark/>
          </w:tcPr>
          <w:p w14:paraId="1CD23094"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335</w:t>
            </w:r>
          </w:p>
        </w:tc>
        <w:tc>
          <w:tcPr>
            <w:tcW w:w="524" w:type="dxa"/>
            <w:tcBorders>
              <w:top w:val="nil"/>
              <w:left w:val="nil"/>
              <w:bottom w:val="nil"/>
              <w:right w:val="nil"/>
            </w:tcBorders>
            <w:shd w:val="clear" w:color="auto" w:fill="auto"/>
            <w:noWrap/>
            <w:vAlign w:val="bottom"/>
            <w:hideMark/>
          </w:tcPr>
          <w:p w14:paraId="469E66D2"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0.9</w:t>
            </w:r>
          </w:p>
        </w:tc>
        <w:tc>
          <w:tcPr>
            <w:tcW w:w="632" w:type="dxa"/>
            <w:tcBorders>
              <w:top w:val="nil"/>
              <w:left w:val="nil"/>
              <w:bottom w:val="nil"/>
              <w:right w:val="nil"/>
            </w:tcBorders>
            <w:shd w:val="clear" w:color="auto" w:fill="auto"/>
            <w:noWrap/>
            <w:vAlign w:val="bottom"/>
            <w:hideMark/>
          </w:tcPr>
          <w:p w14:paraId="45DB63F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315</w:t>
            </w:r>
          </w:p>
        </w:tc>
        <w:tc>
          <w:tcPr>
            <w:tcW w:w="524" w:type="dxa"/>
            <w:tcBorders>
              <w:top w:val="nil"/>
              <w:left w:val="nil"/>
              <w:bottom w:val="nil"/>
              <w:right w:val="nil"/>
            </w:tcBorders>
            <w:shd w:val="clear" w:color="auto" w:fill="auto"/>
            <w:noWrap/>
            <w:vAlign w:val="bottom"/>
            <w:hideMark/>
          </w:tcPr>
          <w:p w14:paraId="0C963D11"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0.8</w:t>
            </w:r>
          </w:p>
        </w:tc>
        <w:tc>
          <w:tcPr>
            <w:tcW w:w="677" w:type="dxa"/>
            <w:tcBorders>
              <w:top w:val="nil"/>
              <w:left w:val="nil"/>
              <w:bottom w:val="nil"/>
              <w:right w:val="nil"/>
            </w:tcBorders>
            <w:shd w:val="clear" w:color="000000" w:fill="F2F2F2"/>
            <w:noWrap/>
            <w:vAlign w:val="bottom"/>
            <w:hideMark/>
          </w:tcPr>
          <w:p w14:paraId="7AB17C34"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261</w:t>
            </w:r>
          </w:p>
        </w:tc>
        <w:tc>
          <w:tcPr>
            <w:tcW w:w="619" w:type="dxa"/>
            <w:tcBorders>
              <w:top w:val="nil"/>
              <w:left w:val="nil"/>
              <w:bottom w:val="nil"/>
              <w:right w:val="nil"/>
            </w:tcBorders>
            <w:shd w:val="clear" w:color="000000" w:fill="F2F2F2"/>
            <w:noWrap/>
            <w:vAlign w:val="bottom"/>
            <w:hideMark/>
          </w:tcPr>
          <w:p w14:paraId="05F6DE97"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0.5</w:t>
            </w:r>
          </w:p>
        </w:tc>
      </w:tr>
      <w:tr w:rsidR="008A6495" w:rsidRPr="008A6495" w14:paraId="563253D1" w14:textId="77777777" w:rsidTr="00C45942">
        <w:trPr>
          <w:trHeight w:val="225"/>
        </w:trPr>
        <w:tc>
          <w:tcPr>
            <w:tcW w:w="2276" w:type="dxa"/>
            <w:tcBorders>
              <w:top w:val="nil"/>
              <w:left w:val="nil"/>
              <w:bottom w:val="nil"/>
              <w:right w:val="nil"/>
            </w:tcBorders>
            <w:shd w:val="clear" w:color="auto" w:fill="auto"/>
            <w:noWrap/>
            <w:vAlign w:val="bottom"/>
            <w:hideMark/>
          </w:tcPr>
          <w:p w14:paraId="47DC63A8"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Exemption certificate (b)</w:t>
            </w:r>
          </w:p>
        </w:tc>
        <w:tc>
          <w:tcPr>
            <w:tcW w:w="156" w:type="dxa"/>
            <w:tcBorders>
              <w:top w:val="nil"/>
              <w:left w:val="nil"/>
              <w:bottom w:val="nil"/>
              <w:right w:val="nil"/>
            </w:tcBorders>
            <w:shd w:val="clear" w:color="auto" w:fill="auto"/>
            <w:noWrap/>
            <w:vAlign w:val="bottom"/>
            <w:hideMark/>
          </w:tcPr>
          <w:p w14:paraId="6CE7ED62"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top w:val="nil"/>
              <w:left w:val="nil"/>
              <w:bottom w:val="single" w:sz="2" w:space="0" w:color="000000" w:themeColor="text1"/>
              <w:right w:val="nil"/>
            </w:tcBorders>
            <w:shd w:val="clear" w:color="auto" w:fill="auto"/>
            <w:noWrap/>
            <w:vAlign w:val="bottom"/>
            <w:hideMark/>
          </w:tcPr>
          <w:p w14:paraId="188AC22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18</w:t>
            </w:r>
          </w:p>
        </w:tc>
        <w:tc>
          <w:tcPr>
            <w:tcW w:w="524" w:type="dxa"/>
            <w:tcBorders>
              <w:top w:val="nil"/>
              <w:left w:val="nil"/>
              <w:bottom w:val="single" w:sz="2" w:space="0" w:color="000000" w:themeColor="text1"/>
              <w:right w:val="nil"/>
            </w:tcBorders>
            <w:shd w:val="clear" w:color="auto" w:fill="auto"/>
            <w:noWrap/>
            <w:vAlign w:val="bottom"/>
            <w:hideMark/>
          </w:tcPr>
          <w:p w14:paraId="1E46842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2.0</w:t>
            </w:r>
          </w:p>
        </w:tc>
        <w:tc>
          <w:tcPr>
            <w:tcW w:w="632" w:type="dxa"/>
            <w:tcBorders>
              <w:top w:val="nil"/>
              <w:left w:val="nil"/>
              <w:bottom w:val="single" w:sz="2" w:space="0" w:color="000000" w:themeColor="text1"/>
              <w:right w:val="nil"/>
            </w:tcBorders>
            <w:shd w:val="clear" w:color="auto" w:fill="auto"/>
            <w:noWrap/>
            <w:vAlign w:val="bottom"/>
            <w:hideMark/>
          </w:tcPr>
          <w:p w14:paraId="12493C17"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34</w:t>
            </w:r>
          </w:p>
        </w:tc>
        <w:tc>
          <w:tcPr>
            <w:tcW w:w="524" w:type="dxa"/>
            <w:tcBorders>
              <w:top w:val="nil"/>
              <w:left w:val="nil"/>
              <w:bottom w:val="single" w:sz="2" w:space="0" w:color="000000" w:themeColor="text1"/>
              <w:right w:val="nil"/>
            </w:tcBorders>
            <w:shd w:val="clear" w:color="auto" w:fill="auto"/>
            <w:noWrap/>
            <w:vAlign w:val="bottom"/>
            <w:hideMark/>
          </w:tcPr>
          <w:p w14:paraId="1E93095C"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4.3</w:t>
            </w:r>
          </w:p>
        </w:tc>
        <w:tc>
          <w:tcPr>
            <w:tcW w:w="632" w:type="dxa"/>
            <w:tcBorders>
              <w:top w:val="nil"/>
              <w:left w:val="nil"/>
              <w:bottom w:val="single" w:sz="2" w:space="0" w:color="000000" w:themeColor="text1"/>
              <w:right w:val="nil"/>
            </w:tcBorders>
            <w:shd w:val="clear" w:color="auto" w:fill="auto"/>
            <w:noWrap/>
            <w:vAlign w:val="bottom"/>
            <w:hideMark/>
          </w:tcPr>
          <w:p w14:paraId="09DAE172"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13</w:t>
            </w:r>
          </w:p>
        </w:tc>
        <w:tc>
          <w:tcPr>
            <w:tcW w:w="524" w:type="dxa"/>
            <w:tcBorders>
              <w:top w:val="nil"/>
              <w:left w:val="nil"/>
              <w:bottom w:val="single" w:sz="2" w:space="0" w:color="000000" w:themeColor="text1"/>
              <w:right w:val="nil"/>
            </w:tcBorders>
            <w:shd w:val="clear" w:color="auto" w:fill="auto"/>
            <w:noWrap/>
            <w:vAlign w:val="bottom"/>
            <w:hideMark/>
          </w:tcPr>
          <w:p w14:paraId="2D078FC8"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0.8</w:t>
            </w:r>
          </w:p>
        </w:tc>
        <w:tc>
          <w:tcPr>
            <w:tcW w:w="677" w:type="dxa"/>
            <w:tcBorders>
              <w:top w:val="nil"/>
              <w:left w:val="nil"/>
              <w:bottom w:val="single" w:sz="2" w:space="0" w:color="000000" w:themeColor="text1"/>
              <w:right w:val="nil"/>
            </w:tcBorders>
            <w:shd w:val="clear" w:color="000000" w:fill="F2F2F2"/>
            <w:noWrap/>
            <w:vAlign w:val="bottom"/>
            <w:hideMark/>
          </w:tcPr>
          <w:p w14:paraId="1623BC6F"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43</w:t>
            </w:r>
          </w:p>
        </w:tc>
        <w:tc>
          <w:tcPr>
            <w:tcW w:w="619" w:type="dxa"/>
            <w:tcBorders>
              <w:top w:val="nil"/>
              <w:left w:val="nil"/>
              <w:bottom w:val="single" w:sz="2" w:space="0" w:color="000000" w:themeColor="text1"/>
              <w:right w:val="nil"/>
            </w:tcBorders>
            <w:shd w:val="clear" w:color="000000" w:fill="F2F2F2"/>
            <w:noWrap/>
            <w:vAlign w:val="bottom"/>
            <w:hideMark/>
          </w:tcPr>
          <w:p w14:paraId="74009A74"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6.8</w:t>
            </w:r>
          </w:p>
        </w:tc>
      </w:tr>
      <w:tr w:rsidR="008A6495" w:rsidRPr="008A6495" w14:paraId="36E1F2B8" w14:textId="77777777" w:rsidTr="00C45942">
        <w:trPr>
          <w:trHeight w:val="225"/>
        </w:trPr>
        <w:tc>
          <w:tcPr>
            <w:tcW w:w="2276" w:type="dxa"/>
            <w:tcBorders>
              <w:top w:val="nil"/>
              <w:left w:val="nil"/>
              <w:bottom w:val="nil"/>
              <w:right w:val="nil"/>
            </w:tcBorders>
            <w:shd w:val="clear" w:color="auto" w:fill="auto"/>
            <w:noWrap/>
            <w:vAlign w:val="bottom"/>
            <w:hideMark/>
          </w:tcPr>
          <w:p w14:paraId="63C6668B" w14:textId="77777777" w:rsidR="008A6495" w:rsidRPr="008A6495" w:rsidRDefault="008A6495" w:rsidP="008A6495">
            <w:pPr>
              <w:keepNext/>
              <w:keepLines/>
              <w:spacing w:after="0" w:line="240" w:lineRule="auto"/>
              <w:jc w:val="left"/>
              <w:rPr>
                <w:rFonts w:ascii="Arial" w:hAnsi="Arial" w:cs="Arial"/>
                <w:i/>
                <w:iCs/>
                <w:color w:val="auto"/>
                <w:sz w:val="16"/>
                <w:szCs w:val="16"/>
              </w:rPr>
            </w:pPr>
            <w:r w:rsidRPr="008A6495">
              <w:rPr>
                <w:rFonts w:ascii="Arial" w:hAnsi="Arial" w:cs="Arial"/>
                <w:i/>
                <w:iCs/>
                <w:color w:val="auto"/>
                <w:sz w:val="16"/>
                <w:szCs w:val="16"/>
              </w:rPr>
              <w:t>Sub-total 'For development'</w:t>
            </w:r>
          </w:p>
        </w:tc>
        <w:tc>
          <w:tcPr>
            <w:tcW w:w="156" w:type="dxa"/>
            <w:tcBorders>
              <w:top w:val="nil"/>
              <w:left w:val="nil"/>
              <w:bottom w:val="nil"/>
              <w:right w:val="nil"/>
            </w:tcBorders>
            <w:shd w:val="clear" w:color="auto" w:fill="auto"/>
            <w:noWrap/>
            <w:vAlign w:val="bottom"/>
            <w:hideMark/>
          </w:tcPr>
          <w:p w14:paraId="4D58D8BC" w14:textId="77777777" w:rsidR="008A6495" w:rsidRPr="008A6495" w:rsidRDefault="008A6495" w:rsidP="008A6495">
            <w:pPr>
              <w:keepNext/>
              <w:keepLines/>
              <w:spacing w:after="0" w:line="240" w:lineRule="auto"/>
              <w:jc w:val="left"/>
              <w:rPr>
                <w:rFonts w:ascii="Arial" w:hAnsi="Arial" w:cs="Arial"/>
                <w:i/>
                <w:iCs/>
                <w:color w:val="auto"/>
                <w:sz w:val="16"/>
                <w:szCs w:val="16"/>
              </w:rPr>
            </w:pPr>
          </w:p>
        </w:tc>
        <w:tc>
          <w:tcPr>
            <w:tcW w:w="632" w:type="dxa"/>
            <w:tcBorders>
              <w:top w:val="single" w:sz="2" w:space="0" w:color="000000" w:themeColor="text1"/>
              <w:left w:val="nil"/>
              <w:bottom w:val="single" w:sz="2" w:space="0" w:color="000000" w:themeColor="text1"/>
              <w:right w:val="nil"/>
            </w:tcBorders>
            <w:shd w:val="clear" w:color="auto" w:fill="auto"/>
            <w:noWrap/>
            <w:vAlign w:val="bottom"/>
            <w:hideMark/>
          </w:tcPr>
          <w:p w14:paraId="647F6FE6"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34,264</w:t>
            </w:r>
          </w:p>
        </w:tc>
        <w:tc>
          <w:tcPr>
            <w:tcW w:w="524" w:type="dxa"/>
            <w:tcBorders>
              <w:top w:val="single" w:sz="2" w:space="0" w:color="000000" w:themeColor="text1"/>
              <w:left w:val="nil"/>
              <w:bottom w:val="single" w:sz="2" w:space="0" w:color="000000" w:themeColor="text1"/>
              <w:right w:val="nil"/>
            </w:tcBorders>
            <w:shd w:val="clear" w:color="auto" w:fill="auto"/>
            <w:noWrap/>
            <w:vAlign w:val="bottom"/>
            <w:hideMark/>
          </w:tcPr>
          <w:p w14:paraId="07F4AEF6"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65.2</w:t>
            </w:r>
          </w:p>
        </w:tc>
        <w:tc>
          <w:tcPr>
            <w:tcW w:w="632" w:type="dxa"/>
            <w:tcBorders>
              <w:top w:val="single" w:sz="2" w:space="0" w:color="000000" w:themeColor="text1"/>
              <w:left w:val="nil"/>
              <w:bottom w:val="single" w:sz="2" w:space="0" w:color="000000" w:themeColor="text1"/>
              <w:right w:val="nil"/>
            </w:tcBorders>
            <w:shd w:val="clear" w:color="auto" w:fill="auto"/>
            <w:noWrap/>
            <w:vAlign w:val="bottom"/>
            <w:hideMark/>
          </w:tcPr>
          <w:p w14:paraId="50E8D621"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11,190</w:t>
            </w:r>
          </w:p>
        </w:tc>
        <w:tc>
          <w:tcPr>
            <w:tcW w:w="524" w:type="dxa"/>
            <w:tcBorders>
              <w:top w:val="single" w:sz="2" w:space="0" w:color="000000" w:themeColor="text1"/>
              <w:left w:val="nil"/>
              <w:bottom w:val="single" w:sz="2" w:space="0" w:color="000000" w:themeColor="text1"/>
              <w:right w:val="nil"/>
            </w:tcBorders>
            <w:shd w:val="clear" w:color="auto" w:fill="auto"/>
            <w:noWrap/>
            <w:vAlign w:val="bottom"/>
            <w:hideMark/>
          </w:tcPr>
          <w:p w14:paraId="0F6B83C3"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27.1</w:t>
            </w:r>
          </w:p>
        </w:tc>
        <w:tc>
          <w:tcPr>
            <w:tcW w:w="632" w:type="dxa"/>
            <w:tcBorders>
              <w:top w:val="single" w:sz="2" w:space="0" w:color="000000" w:themeColor="text1"/>
              <w:left w:val="nil"/>
              <w:bottom w:val="single" w:sz="2" w:space="0" w:color="000000" w:themeColor="text1"/>
              <w:right w:val="nil"/>
            </w:tcBorders>
            <w:shd w:val="clear" w:color="auto" w:fill="auto"/>
            <w:noWrap/>
            <w:vAlign w:val="bottom"/>
            <w:hideMark/>
          </w:tcPr>
          <w:p w14:paraId="2AAA862A"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8,421</w:t>
            </w:r>
          </w:p>
        </w:tc>
        <w:tc>
          <w:tcPr>
            <w:tcW w:w="524" w:type="dxa"/>
            <w:tcBorders>
              <w:top w:val="single" w:sz="2" w:space="0" w:color="000000" w:themeColor="text1"/>
              <w:left w:val="nil"/>
              <w:bottom w:val="single" w:sz="2" w:space="0" w:color="000000" w:themeColor="text1"/>
              <w:right w:val="nil"/>
            </w:tcBorders>
            <w:shd w:val="clear" w:color="auto" w:fill="auto"/>
            <w:noWrap/>
            <w:vAlign w:val="bottom"/>
            <w:hideMark/>
          </w:tcPr>
          <w:p w14:paraId="6AE9C72E"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10.2</w:t>
            </w:r>
          </w:p>
        </w:tc>
        <w:tc>
          <w:tcPr>
            <w:tcW w:w="677" w:type="dxa"/>
            <w:tcBorders>
              <w:top w:val="single" w:sz="2" w:space="0" w:color="000000" w:themeColor="text1"/>
              <w:left w:val="nil"/>
              <w:bottom w:val="single" w:sz="2" w:space="0" w:color="000000" w:themeColor="text1"/>
              <w:right w:val="nil"/>
            </w:tcBorders>
            <w:shd w:val="clear" w:color="000000" w:fill="F2F2F2"/>
            <w:noWrap/>
            <w:vAlign w:val="bottom"/>
            <w:hideMark/>
          </w:tcPr>
          <w:p w14:paraId="258B2C52"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6,074</w:t>
            </w:r>
          </w:p>
        </w:tc>
        <w:tc>
          <w:tcPr>
            <w:tcW w:w="619" w:type="dxa"/>
            <w:tcBorders>
              <w:top w:val="single" w:sz="2" w:space="0" w:color="000000" w:themeColor="text1"/>
              <w:left w:val="nil"/>
              <w:bottom w:val="single" w:sz="2" w:space="0" w:color="000000" w:themeColor="text1"/>
              <w:right w:val="nil"/>
            </w:tcBorders>
            <w:shd w:val="clear" w:color="000000" w:fill="F2F2F2"/>
            <w:noWrap/>
            <w:vAlign w:val="bottom"/>
            <w:hideMark/>
          </w:tcPr>
          <w:p w14:paraId="672FFBF6"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12.9</w:t>
            </w:r>
          </w:p>
        </w:tc>
      </w:tr>
      <w:tr w:rsidR="008A6495" w:rsidRPr="008A6495" w14:paraId="3313B6BB" w14:textId="77777777" w:rsidTr="00C45942">
        <w:trPr>
          <w:trHeight w:val="465"/>
        </w:trPr>
        <w:tc>
          <w:tcPr>
            <w:tcW w:w="2276" w:type="dxa"/>
            <w:tcBorders>
              <w:top w:val="nil"/>
              <w:left w:val="nil"/>
              <w:bottom w:val="nil"/>
              <w:right w:val="nil"/>
            </w:tcBorders>
            <w:shd w:val="clear" w:color="auto" w:fill="auto"/>
            <w:vAlign w:val="bottom"/>
            <w:hideMark/>
          </w:tcPr>
          <w:p w14:paraId="15295B55"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Combination exemption certificates</w:t>
            </w:r>
          </w:p>
        </w:tc>
        <w:tc>
          <w:tcPr>
            <w:tcW w:w="156" w:type="dxa"/>
            <w:tcBorders>
              <w:top w:val="nil"/>
              <w:left w:val="nil"/>
              <w:bottom w:val="nil"/>
              <w:right w:val="nil"/>
            </w:tcBorders>
            <w:shd w:val="clear" w:color="auto" w:fill="auto"/>
            <w:noWrap/>
            <w:hideMark/>
          </w:tcPr>
          <w:p w14:paraId="6EA1813A"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top w:val="single" w:sz="2" w:space="0" w:color="000000" w:themeColor="text1"/>
              <w:left w:val="nil"/>
              <w:bottom w:val="nil"/>
              <w:right w:val="nil"/>
            </w:tcBorders>
            <w:shd w:val="clear" w:color="auto" w:fill="auto"/>
            <w:noWrap/>
            <w:hideMark/>
          </w:tcPr>
          <w:p w14:paraId="44E7747F"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524" w:type="dxa"/>
            <w:tcBorders>
              <w:top w:val="single" w:sz="2" w:space="0" w:color="000000" w:themeColor="text1"/>
              <w:left w:val="nil"/>
              <w:bottom w:val="nil"/>
              <w:right w:val="nil"/>
            </w:tcBorders>
            <w:shd w:val="clear" w:color="auto" w:fill="auto"/>
            <w:noWrap/>
            <w:hideMark/>
          </w:tcPr>
          <w:p w14:paraId="7E6D11A9"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632" w:type="dxa"/>
            <w:tcBorders>
              <w:top w:val="single" w:sz="2" w:space="0" w:color="000000" w:themeColor="text1"/>
              <w:left w:val="nil"/>
              <w:bottom w:val="nil"/>
              <w:right w:val="nil"/>
            </w:tcBorders>
            <w:shd w:val="clear" w:color="auto" w:fill="auto"/>
            <w:noWrap/>
            <w:hideMark/>
          </w:tcPr>
          <w:p w14:paraId="394B8551"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524" w:type="dxa"/>
            <w:tcBorders>
              <w:top w:val="single" w:sz="2" w:space="0" w:color="000000" w:themeColor="text1"/>
              <w:left w:val="nil"/>
              <w:bottom w:val="nil"/>
              <w:right w:val="nil"/>
            </w:tcBorders>
            <w:shd w:val="clear" w:color="auto" w:fill="auto"/>
            <w:noWrap/>
            <w:hideMark/>
          </w:tcPr>
          <w:p w14:paraId="21465742"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632" w:type="dxa"/>
            <w:tcBorders>
              <w:top w:val="single" w:sz="2" w:space="0" w:color="000000" w:themeColor="text1"/>
              <w:left w:val="nil"/>
              <w:bottom w:val="nil"/>
              <w:right w:val="nil"/>
            </w:tcBorders>
            <w:shd w:val="clear" w:color="auto" w:fill="auto"/>
            <w:noWrap/>
            <w:hideMark/>
          </w:tcPr>
          <w:p w14:paraId="228E48DC"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524" w:type="dxa"/>
            <w:tcBorders>
              <w:top w:val="single" w:sz="2" w:space="0" w:color="000000" w:themeColor="text1"/>
              <w:left w:val="nil"/>
              <w:bottom w:val="nil"/>
              <w:right w:val="nil"/>
            </w:tcBorders>
            <w:shd w:val="clear" w:color="auto" w:fill="auto"/>
            <w:noWrap/>
            <w:hideMark/>
          </w:tcPr>
          <w:p w14:paraId="478DD725"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677" w:type="dxa"/>
            <w:tcBorders>
              <w:top w:val="single" w:sz="2" w:space="0" w:color="000000" w:themeColor="text1"/>
              <w:left w:val="nil"/>
              <w:bottom w:val="nil"/>
              <w:right w:val="nil"/>
            </w:tcBorders>
            <w:shd w:val="clear" w:color="000000" w:fill="F2F2F2"/>
            <w:noWrap/>
            <w:hideMark/>
          </w:tcPr>
          <w:p w14:paraId="27837B43"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619" w:type="dxa"/>
            <w:tcBorders>
              <w:top w:val="single" w:sz="2" w:space="0" w:color="000000" w:themeColor="text1"/>
              <w:left w:val="nil"/>
              <w:bottom w:val="nil"/>
              <w:right w:val="nil"/>
            </w:tcBorders>
            <w:shd w:val="clear" w:color="000000" w:fill="F2F2F2"/>
            <w:noWrap/>
            <w:hideMark/>
          </w:tcPr>
          <w:p w14:paraId="7A1C847D"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r>
      <w:tr w:rsidR="008A6495" w:rsidRPr="008A6495" w14:paraId="553B581E" w14:textId="77777777" w:rsidTr="00C45942">
        <w:trPr>
          <w:trHeight w:val="465"/>
        </w:trPr>
        <w:tc>
          <w:tcPr>
            <w:tcW w:w="2276" w:type="dxa"/>
            <w:tcBorders>
              <w:top w:val="nil"/>
              <w:left w:val="nil"/>
              <w:bottom w:val="nil"/>
              <w:right w:val="nil"/>
            </w:tcBorders>
            <w:shd w:val="clear" w:color="auto" w:fill="auto"/>
            <w:vAlign w:val="bottom"/>
            <w:hideMark/>
          </w:tcPr>
          <w:p w14:paraId="1655FF93" w14:textId="77777777" w:rsidR="008A6495" w:rsidRPr="008A6495" w:rsidRDefault="008A6495" w:rsidP="008A6495">
            <w:pPr>
              <w:keepNext/>
              <w:keepLines/>
              <w:spacing w:after="0" w:line="240" w:lineRule="auto"/>
              <w:jc w:val="left"/>
              <w:rPr>
                <w:rFonts w:ascii="Arial" w:hAnsi="Arial" w:cs="Arial"/>
                <w:color w:val="auto"/>
                <w:sz w:val="16"/>
                <w:szCs w:val="16"/>
              </w:rPr>
            </w:pPr>
            <w:r w:rsidRPr="008A6495">
              <w:rPr>
                <w:rFonts w:ascii="Arial" w:hAnsi="Arial" w:cs="Arial"/>
                <w:color w:val="auto"/>
                <w:sz w:val="16"/>
                <w:szCs w:val="16"/>
              </w:rPr>
              <w:t>- established dwelling / vacant land / new dwellings</w:t>
            </w:r>
          </w:p>
        </w:tc>
        <w:tc>
          <w:tcPr>
            <w:tcW w:w="156" w:type="dxa"/>
            <w:tcBorders>
              <w:top w:val="nil"/>
              <w:left w:val="nil"/>
              <w:bottom w:val="nil"/>
              <w:right w:val="nil"/>
            </w:tcBorders>
            <w:shd w:val="clear" w:color="auto" w:fill="auto"/>
            <w:hideMark/>
          </w:tcPr>
          <w:p w14:paraId="7C3A637F" w14:textId="77777777" w:rsidR="008A6495" w:rsidRPr="008A6495" w:rsidRDefault="008A6495" w:rsidP="008A6495">
            <w:pPr>
              <w:keepNext/>
              <w:keepLines/>
              <w:spacing w:after="0" w:line="240" w:lineRule="auto"/>
              <w:jc w:val="left"/>
              <w:rPr>
                <w:rFonts w:ascii="Arial" w:hAnsi="Arial" w:cs="Arial"/>
                <w:color w:val="auto"/>
                <w:sz w:val="16"/>
                <w:szCs w:val="16"/>
              </w:rPr>
            </w:pPr>
          </w:p>
        </w:tc>
        <w:tc>
          <w:tcPr>
            <w:tcW w:w="632" w:type="dxa"/>
            <w:tcBorders>
              <w:top w:val="nil"/>
              <w:left w:val="nil"/>
              <w:bottom w:val="single" w:sz="2" w:space="0" w:color="auto"/>
              <w:right w:val="nil"/>
            </w:tcBorders>
            <w:shd w:val="clear" w:color="auto" w:fill="auto"/>
            <w:noWrap/>
            <w:hideMark/>
          </w:tcPr>
          <w:p w14:paraId="6707E8B5"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single" w:sz="2" w:space="0" w:color="auto"/>
              <w:right w:val="nil"/>
            </w:tcBorders>
            <w:shd w:val="clear" w:color="auto" w:fill="auto"/>
            <w:hideMark/>
          </w:tcPr>
          <w:p w14:paraId="35776569"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632" w:type="dxa"/>
            <w:tcBorders>
              <w:top w:val="nil"/>
              <w:left w:val="nil"/>
              <w:bottom w:val="single" w:sz="2" w:space="0" w:color="auto"/>
              <w:right w:val="nil"/>
            </w:tcBorders>
            <w:shd w:val="clear" w:color="auto" w:fill="auto"/>
            <w:noWrap/>
            <w:hideMark/>
          </w:tcPr>
          <w:p w14:paraId="407A3813"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single" w:sz="2" w:space="0" w:color="auto"/>
              <w:right w:val="nil"/>
            </w:tcBorders>
            <w:shd w:val="clear" w:color="auto" w:fill="auto"/>
            <w:hideMark/>
          </w:tcPr>
          <w:p w14:paraId="2BC5FCF5"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632" w:type="dxa"/>
            <w:tcBorders>
              <w:top w:val="nil"/>
              <w:left w:val="nil"/>
              <w:bottom w:val="single" w:sz="2" w:space="0" w:color="auto"/>
              <w:right w:val="nil"/>
            </w:tcBorders>
            <w:shd w:val="clear" w:color="auto" w:fill="auto"/>
            <w:noWrap/>
            <w:hideMark/>
          </w:tcPr>
          <w:p w14:paraId="6586047D"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na</w:t>
            </w:r>
          </w:p>
        </w:tc>
        <w:tc>
          <w:tcPr>
            <w:tcW w:w="524" w:type="dxa"/>
            <w:tcBorders>
              <w:top w:val="nil"/>
              <w:left w:val="nil"/>
              <w:bottom w:val="single" w:sz="2" w:space="0" w:color="auto"/>
              <w:right w:val="nil"/>
            </w:tcBorders>
            <w:shd w:val="clear" w:color="auto" w:fill="auto"/>
            <w:hideMark/>
          </w:tcPr>
          <w:p w14:paraId="6167262B" w14:textId="77777777" w:rsidR="008A6495" w:rsidRPr="008A6495" w:rsidRDefault="008A6495" w:rsidP="008A6495">
            <w:pPr>
              <w:keepNext/>
              <w:keepLines/>
              <w:spacing w:after="0" w:line="240" w:lineRule="auto"/>
              <w:jc w:val="right"/>
              <w:rPr>
                <w:rFonts w:ascii="Arial" w:hAnsi="Arial" w:cs="Arial"/>
                <w:i/>
                <w:iCs/>
                <w:color w:val="auto"/>
                <w:sz w:val="16"/>
                <w:szCs w:val="16"/>
              </w:rPr>
            </w:pPr>
            <w:r w:rsidRPr="008A6495">
              <w:rPr>
                <w:rFonts w:ascii="Arial" w:hAnsi="Arial" w:cs="Arial"/>
                <w:i/>
                <w:iCs/>
                <w:color w:val="auto"/>
                <w:sz w:val="16"/>
                <w:szCs w:val="16"/>
              </w:rPr>
              <w:t> </w:t>
            </w:r>
          </w:p>
        </w:tc>
        <w:tc>
          <w:tcPr>
            <w:tcW w:w="677" w:type="dxa"/>
            <w:tcBorders>
              <w:top w:val="nil"/>
              <w:left w:val="nil"/>
              <w:bottom w:val="single" w:sz="2" w:space="0" w:color="auto"/>
              <w:right w:val="nil"/>
            </w:tcBorders>
            <w:shd w:val="clear" w:color="000000" w:fill="F2F2F2"/>
            <w:hideMark/>
          </w:tcPr>
          <w:p w14:paraId="4D303C00"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126</w:t>
            </w:r>
          </w:p>
        </w:tc>
        <w:tc>
          <w:tcPr>
            <w:tcW w:w="619" w:type="dxa"/>
            <w:tcBorders>
              <w:top w:val="nil"/>
              <w:left w:val="nil"/>
              <w:bottom w:val="single" w:sz="2" w:space="0" w:color="auto"/>
              <w:right w:val="nil"/>
            </w:tcBorders>
            <w:shd w:val="clear" w:color="000000" w:fill="F2F2F2"/>
            <w:hideMark/>
          </w:tcPr>
          <w:p w14:paraId="4E7AB9EB" w14:textId="77777777" w:rsidR="008A6495" w:rsidRPr="008A6495" w:rsidRDefault="008A6495" w:rsidP="008A6495">
            <w:pPr>
              <w:keepNext/>
              <w:keepLines/>
              <w:spacing w:after="0" w:line="240" w:lineRule="auto"/>
              <w:jc w:val="right"/>
              <w:rPr>
                <w:rFonts w:ascii="Arial" w:hAnsi="Arial" w:cs="Arial"/>
                <w:color w:val="auto"/>
                <w:sz w:val="16"/>
                <w:szCs w:val="16"/>
              </w:rPr>
            </w:pPr>
            <w:r w:rsidRPr="008A6495">
              <w:rPr>
                <w:rFonts w:ascii="Arial" w:hAnsi="Arial" w:cs="Arial"/>
                <w:color w:val="auto"/>
                <w:sz w:val="16"/>
                <w:szCs w:val="16"/>
              </w:rPr>
              <w:t>0.1</w:t>
            </w:r>
          </w:p>
        </w:tc>
      </w:tr>
      <w:tr w:rsidR="008A6495" w:rsidRPr="008A6495" w14:paraId="67D219C3" w14:textId="77777777" w:rsidTr="00C45942">
        <w:trPr>
          <w:trHeight w:val="225"/>
        </w:trPr>
        <w:tc>
          <w:tcPr>
            <w:tcW w:w="2276" w:type="dxa"/>
            <w:tcBorders>
              <w:top w:val="nil"/>
              <w:left w:val="nil"/>
              <w:bottom w:val="single" w:sz="2" w:space="0" w:color="000000" w:themeColor="text1"/>
              <w:right w:val="nil"/>
            </w:tcBorders>
            <w:shd w:val="clear" w:color="auto" w:fill="auto"/>
            <w:noWrap/>
            <w:vAlign w:val="bottom"/>
            <w:hideMark/>
          </w:tcPr>
          <w:p w14:paraId="60B05861" w14:textId="77777777" w:rsidR="008A6495" w:rsidRPr="008A6495" w:rsidRDefault="008A6495" w:rsidP="008A6495">
            <w:pPr>
              <w:keepNext/>
              <w:keepLines/>
              <w:spacing w:after="0" w:line="240" w:lineRule="auto"/>
              <w:jc w:val="left"/>
              <w:rPr>
                <w:rFonts w:ascii="Arial" w:hAnsi="Arial" w:cs="Arial"/>
                <w:b/>
                <w:bCs/>
                <w:sz w:val="16"/>
                <w:szCs w:val="16"/>
              </w:rPr>
            </w:pPr>
            <w:r w:rsidRPr="008A6495">
              <w:rPr>
                <w:rFonts w:ascii="Arial" w:hAnsi="Arial" w:cs="Arial"/>
                <w:b/>
                <w:bCs/>
                <w:sz w:val="16"/>
                <w:szCs w:val="16"/>
              </w:rPr>
              <w:t xml:space="preserve">Total residential </w:t>
            </w:r>
          </w:p>
        </w:tc>
        <w:tc>
          <w:tcPr>
            <w:tcW w:w="156" w:type="dxa"/>
            <w:tcBorders>
              <w:top w:val="nil"/>
              <w:left w:val="nil"/>
              <w:bottom w:val="single" w:sz="2" w:space="0" w:color="000000" w:themeColor="text1"/>
              <w:right w:val="nil"/>
            </w:tcBorders>
            <w:shd w:val="clear" w:color="auto" w:fill="auto"/>
            <w:noWrap/>
            <w:vAlign w:val="bottom"/>
            <w:hideMark/>
          </w:tcPr>
          <w:p w14:paraId="683B6723" w14:textId="77777777" w:rsidR="008A6495" w:rsidRPr="008A6495" w:rsidRDefault="008A6495" w:rsidP="008A6495">
            <w:pPr>
              <w:keepNext/>
              <w:keepLines/>
              <w:spacing w:after="0" w:line="240" w:lineRule="auto"/>
              <w:jc w:val="right"/>
              <w:rPr>
                <w:rFonts w:ascii="Arial" w:hAnsi="Arial" w:cs="Arial"/>
                <w:b/>
                <w:bCs/>
                <w:sz w:val="16"/>
                <w:szCs w:val="16"/>
              </w:rPr>
            </w:pPr>
            <w:r w:rsidRPr="008A6495">
              <w:rPr>
                <w:rFonts w:ascii="Arial" w:hAnsi="Arial" w:cs="Arial"/>
                <w:b/>
                <w:bCs/>
                <w:sz w:val="16"/>
                <w:szCs w:val="16"/>
              </w:rPr>
              <w:t> </w:t>
            </w:r>
          </w:p>
        </w:tc>
        <w:tc>
          <w:tcPr>
            <w:tcW w:w="632" w:type="dxa"/>
            <w:tcBorders>
              <w:top w:val="single" w:sz="2" w:space="0" w:color="auto"/>
              <w:left w:val="nil"/>
              <w:bottom w:val="single" w:sz="2" w:space="0" w:color="000000" w:themeColor="text1"/>
              <w:right w:val="nil"/>
            </w:tcBorders>
            <w:shd w:val="clear" w:color="auto" w:fill="auto"/>
            <w:noWrap/>
            <w:vAlign w:val="bottom"/>
            <w:hideMark/>
          </w:tcPr>
          <w:p w14:paraId="49F0AB1E" w14:textId="77777777" w:rsidR="008A6495" w:rsidRPr="008A6495" w:rsidRDefault="008A6495" w:rsidP="008A6495">
            <w:pPr>
              <w:keepNext/>
              <w:keepLines/>
              <w:spacing w:after="0" w:line="240" w:lineRule="auto"/>
              <w:jc w:val="right"/>
              <w:rPr>
                <w:rFonts w:ascii="Arial" w:hAnsi="Arial" w:cs="Arial"/>
                <w:b/>
                <w:bCs/>
                <w:sz w:val="16"/>
                <w:szCs w:val="16"/>
              </w:rPr>
            </w:pPr>
            <w:r w:rsidRPr="008A6495">
              <w:rPr>
                <w:rFonts w:ascii="Arial" w:hAnsi="Arial" w:cs="Arial"/>
                <w:b/>
                <w:bCs/>
                <w:sz w:val="16"/>
                <w:szCs w:val="16"/>
              </w:rPr>
              <w:t>40,141</w:t>
            </w:r>
          </w:p>
        </w:tc>
        <w:tc>
          <w:tcPr>
            <w:tcW w:w="524" w:type="dxa"/>
            <w:tcBorders>
              <w:top w:val="single" w:sz="2" w:space="0" w:color="auto"/>
              <w:left w:val="nil"/>
              <w:bottom w:val="single" w:sz="2" w:space="0" w:color="000000" w:themeColor="text1"/>
              <w:right w:val="nil"/>
            </w:tcBorders>
            <w:shd w:val="clear" w:color="auto" w:fill="auto"/>
            <w:noWrap/>
            <w:vAlign w:val="bottom"/>
            <w:hideMark/>
          </w:tcPr>
          <w:p w14:paraId="30E16BFA" w14:textId="77777777" w:rsidR="008A6495" w:rsidRPr="008A6495" w:rsidRDefault="008A6495" w:rsidP="008A6495">
            <w:pPr>
              <w:keepNext/>
              <w:keepLines/>
              <w:spacing w:after="0" w:line="240" w:lineRule="auto"/>
              <w:jc w:val="right"/>
              <w:rPr>
                <w:rFonts w:ascii="Arial" w:hAnsi="Arial" w:cs="Arial"/>
                <w:b/>
                <w:bCs/>
                <w:sz w:val="16"/>
                <w:szCs w:val="16"/>
              </w:rPr>
            </w:pPr>
            <w:r w:rsidRPr="008A6495">
              <w:rPr>
                <w:rFonts w:ascii="Arial" w:hAnsi="Arial" w:cs="Arial"/>
                <w:b/>
                <w:bCs/>
                <w:sz w:val="16"/>
                <w:szCs w:val="16"/>
              </w:rPr>
              <w:t>72.4</w:t>
            </w:r>
          </w:p>
        </w:tc>
        <w:tc>
          <w:tcPr>
            <w:tcW w:w="632" w:type="dxa"/>
            <w:tcBorders>
              <w:top w:val="single" w:sz="2" w:space="0" w:color="auto"/>
              <w:left w:val="nil"/>
              <w:bottom w:val="single" w:sz="2" w:space="0" w:color="000000" w:themeColor="text1"/>
              <w:right w:val="nil"/>
            </w:tcBorders>
            <w:shd w:val="clear" w:color="auto" w:fill="auto"/>
            <w:noWrap/>
            <w:vAlign w:val="bottom"/>
            <w:hideMark/>
          </w:tcPr>
          <w:p w14:paraId="52F813A3" w14:textId="77777777" w:rsidR="008A6495" w:rsidRPr="008A6495" w:rsidRDefault="008A6495" w:rsidP="008A6495">
            <w:pPr>
              <w:keepNext/>
              <w:keepLines/>
              <w:spacing w:after="0" w:line="240" w:lineRule="auto"/>
              <w:jc w:val="right"/>
              <w:rPr>
                <w:rFonts w:ascii="Arial" w:hAnsi="Arial" w:cs="Arial"/>
                <w:b/>
                <w:bCs/>
                <w:color w:val="auto"/>
                <w:sz w:val="16"/>
                <w:szCs w:val="16"/>
              </w:rPr>
            </w:pPr>
            <w:r w:rsidRPr="008A6495">
              <w:rPr>
                <w:rFonts w:ascii="Arial" w:hAnsi="Arial" w:cs="Arial"/>
                <w:b/>
                <w:bCs/>
                <w:color w:val="auto"/>
                <w:sz w:val="16"/>
                <w:szCs w:val="16"/>
              </w:rPr>
              <w:t>13,198</w:t>
            </w:r>
          </w:p>
        </w:tc>
        <w:tc>
          <w:tcPr>
            <w:tcW w:w="524" w:type="dxa"/>
            <w:tcBorders>
              <w:top w:val="single" w:sz="2" w:space="0" w:color="auto"/>
              <w:left w:val="nil"/>
              <w:bottom w:val="single" w:sz="2" w:space="0" w:color="000000" w:themeColor="text1"/>
              <w:right w:val="nil"/>
            </w:tcBorders>
            <w:shd w:val="clear" w:color="auto" w:fill="auto"/>
            <w:noWrap/>
            <w:vAlign w:val="bottom"/>
            <w:hideMark/>
          </w:tcPr>
          <w:p w14:paraId="12162870" w14:textId="77777777" w:rsidR="008A6495" w:rsidRPr="008A6495" w:rsidRDefault="008A6495" w:rsidP="008A6495">
            <w:pPr>
              <w:keepNext/>
              <w:keepLines/>
              <w:spacing w:after="0" w:line="240" w:lineRule="auto"/>
              <w:jc w:val="right"/>
              <w:rPr>
                <w:rFonts w:ascii="Arial" w:hAnsi="Arial" w:cs="Arial"/>
                <w:b/>
                <w:bCs/>
                <w:color w:val="auto"/>
                <w:sz w:val="16"/>
                <w:szCs w:val="16"/>
              </w:rPr>
            </w:pPr>
            <w:r w:rsidRPr="008A6495">
              <w:rPr>
                <w:rFonts w:ascii="Arial" w:hAnsi="Arial" w:cs="Arial"/>
                <w:b/>
                <w:bCs/>
                <w:color w:val="auto"/>
                <w:sz w:val="16"/>
                <w:szCs w:val="16"/>
              </w:rPr>
              <w:t>30.0</w:t>
            </w:r>
          </w:p>
        </w:tc>
        <w:tc>
          <w:tcPr>
            <w:tcW w:w="632" w:type="dxa"/>
            <w:tcBorders>
              <w:top w:val="single" w:sz="2" w:space="0" w:color="auto"/>
              <w:left w:val="nil"/>
              <w:bottom w:val="single" w:sz="2" w:space="0" w:color="000000" w:themeColor="text1"/>
              <w:right w:val="nil"/>
            </w:tcBorders>
            <w:shd w:val="clear" w:color="auto" w:fill="auto"/>
            <w:noWrap/>
            <w:vAlign w:val="bottom"/>
            <w:hideMark/>
          </w:tcPr>
          <w:p w14:paraId="771A0A74" w14:textId="77777777" w:rsidR="008A6495" w:rsidRPr="008A6495" w:rsidRDefault="008A6495" w:rsidP="008A6495">
            <w:pPr>
              <w:keepNext/>
              <w:keepLines/>
              <w:spacing w:after="0" w:line="240" w:lineRule="auto"/>
              <w:jc w:val="right"/>
              <w:rPr>
                <w:rFonts w:ascii="Arial" w:hAnsi="Arial" w:cs="Arial"/>
                <w:b/>
                <w:bCs/>
                <w:color w:val="auto"/>
                <w:sz w:val="16"/>
                <w:szCs w:val="16"/>
              </w:rPr>
            </w:pPr>
            <w:r w:rsidRPr="008A6495">
              <w:rPr>
                <w:rFonts w:ascii="Arial" w:hAnsi="Arial" w:cs="Arial"/>
                <w:b/>
                <w:bCs/>
                <w:color w:val="auto"/>
                <w:sz w:val="16"/>
                <w:szCs w:val="16"/>
              </w:rPr>
              <w:t>10,036</w:t>
            </w:r>
          </w:p>
        </w:tc>
        <w:tc>
          <w:tcPr>
            <w:tcW w:w="524" w:type="dxa"/>
            <w:tcBorders>
              <w:top w:val="single" w:sz="2" w:space="0" w:color="auto"/>
              <w:left w:val="nil"/>
              <w:bottom w:val="single" w:sz="2" w:space="0" w:color="000000" w:themeColor="text1"/>
              <w:right w:val="nil"/>
            </w:tcBorders>
            <w:shd w:val="clear" w:color="auto" w:fill="auto"/>
            <w:noWrap/>
            <w:vAlign w:val="bottom"/>
            <w:hideMark/>
          </w:tcPr>
          <w:p w14:paraId="3D100611" w14:textId="77777777" w:rsidR="008A6495" w:rsidRPr="008A6495" w:rsidRDefault="008A6495" w:rsidP="008A6495">
            <w:pPr>
              <w:keepNext/>
              <w:keepLines/>
              <w:spacing w:after="0" w:line="240" w:lineRule="auto"/>
              <w:jc w:val="right"/>
              <w:rPr>
                <w:rFonts w:ascii="Arial" w:hAnsi="Arial" w:cs="Arial"/>
                <w:b/>
                <w:bCs/>
                <w:color w:val="auto"/>
                <w:sz w:val="16"/>
                <w:szCs w:val="16"/>
              </w:rPr>
            </w:pPr>
            <w:r w:rsidRPr="008A6495">
              <w:rPr>
                <w:rFonts w:ascii="Arial" w:hAnsi="Arial" w:cs="Arial"/>
                <w:b/>
                <w:bCs/>
                <w:color w:val="auto"/>
                <w:sz w:val="16"/>
                <w:szCs w:val="16"/>
              </w:rPr>
              <w:t>12.5</w:t>
            </w:r>
          </w:p>
        </w:tc>
        <w:tc>
          <w:tcPr>
            <w:tcW w:w="677" w:type="dxa"/>
            <w:tcBorders>
              <w:top w:val="single" w:sz="2" w:space="0" w:color="auto"/>
              <w:left w:val="nil"/>
              <w:bottom w:val="single" w:sz="2" w:space="0" w:color="000000" w:themeColor="text1"/>
              <w:right w:val="nil"/>
            </w:tcBorders>
            <w:shd w:val="clear" w:color="000000" w:fill="F2F2F2"/>
            <w:noWrap/>
            <w:vAlign w:val="bottom"/>
            <w:hideMark/>
          </w:tcPr>
          <w:p w14:paraId="2AC592D1" w14:textId="77777777" w:rsidR="008A6495" w:rsidRPr="008A6495" w:rsidRDefault="008A6495" w:rsidP="008A6495">
            <w:pPr>
              <w:keepNext/>
              <w:keepLines/>
              <w:spacing w:after="0" w:line="240" w:lineRule="auto"/>
              <w:jc w:val="right"/>
              <w:rPr>
                <w:rFonts w:ascii="Arial" w:hAnsi="Arial" w:cs="Arial"/>
                <w:b/>
                <w:bCs/>
                <w:color w:val="auto"/>
                <w:sz w:val="16"/>
                <w:szCs w:val="16"/>
              </w:rPr>
            </w:pPr>
            <w:r w:rsidRPr="008A6495">
              <w:rPr>
                <w:rFonts w:ascii="Arial" w:hAnsi="Arial" w:cs="Arial"/>
                <w:b/>
                <w:bCs/>
                <w:color w:val="auto"/>
                <w:sz w:val="16"/>
                <w:szCs w:val="16"/>
              </w:rPr>
              <w:t>7,513</w:t>
            </w:r>
          </w:p>
        </w:tc>
        <w:tc>
          <w:tcPr>
            <w:tcW w:w="619" w:type="dxa"/>
            <w:tcBorders>
              <w:top w:val="single" w:sz="2" w:space="0" w:color="auto"/>
              <w:left w:val="nil"/>
              <w:bottom w:val="single" w:sz="2" w:space="0" w:color="000000" w:themeColor="text1"/>
              <w:right w:val="nil"/>
            </w:tcBorders>
            <w:shd w:val="clear" w:color="000000" w:fill="F2F2F2"/>
            <w:noWrap/>
            <w:vAlign w:val="bottom"/>
            <w:hideMark/>
          </w:tcPr>
          <w:p w14:paraId="789E3131" w14:textId="77777777" w:rsidR="008A6495" w:rsidRPr="008A6495" w:rsidRDefault="008A6495" w:rsidP="008A6495">
            <w:pPr>
              <w:keepNext/>
              <w:keepLines/>
              <w:spacing w:after="0" w:line="240" w:lineRule="auto"/>
              <w:jc w:val="right"/>
              <w:rPr>
                <w:rFonts w:ascii="Arial" w:hAnsi="Arial" w:cs="Arial"/>
                <w:b/>
                <w:bCs/>
                <w:color w:val="auto"/>
                <w:sz w:val="16"/>
                <w:szCs w:val="16"/>
              </w:rPr>
            </w:pPr>
            <w:r w:rsidRPr="008A6495">
              <w:rPr>
                <w:rFonts w:ascii="Arial" w:hAnsi="Arial" w:cs="Arial"/>
                <w:b/>
                <w:bCs/>
                <w:color w:val="auto"/>
                <w:sz w:val="16"/>
                <w:szCs w:val="16"/>
              </w:rPr>
              <w:t>14.8</w:t>
            </w:r>
          </w:p>
        </w:tc>
      </w:tr>
    </w:tbl>
    <w:p w14:paraId="5C908C90" w14:textId="455DCBBE" w:rsidR="00A84283" w:rsidRPr="00F3272D" w:rsidRDefault="00A84283" w:rsidP="007149D6">
      <w:pPr>
        <w:pStyle w:val="ChartandTableFootnoteAlpha"/>
        <w:keepNext/>
        <w:keepLines/>
        <w:numPr>
          <w:ilvl w:val="0"/>
          <w:numId w:val="12"/>
        </w:numPr>
      </w:pPr>
      <w:r w:rsidRPr="00F3272D">
        <w:t>Exemption certificates to purchase one established dwelling, known as established dwelling exemption certificates, were introduced from 1</w:t>
      </w:r>
      <w:r w:rsidR="009C36AC">
        <w:t> December </w:t>
      </w:r>
      <w:r w:rsidRPr="00F3272D">
        <w:t>2015. Initially the certificates were only available if pu</w:t>
      </w:r>
      <w:r w:rsidR="00D63159" w:rsidRPr="00F3272D">
        <w:t>rchasing at auction. As of 2016</w:t>
      </w:r>
      <w:r w:rsidR="00D63159" w:rsidRPr="00F3272D">
        <w:noBreakHyphen/>
        <w:t>1</w:t>
      </w:r>
      <w:r w:rsidRPr="00F3272D">
        <w:t>7 the certificates were expanded to cover purchase by any method. Exemption certificates for the certificate holder to purchase one lot of vacant land or one new dwelling were introduced from 1</w:t>
      </w:r>
      <w:r w:rsidR="009C36AC">
        <w:t> July </w:t>
      </w:r>
      <w:r w:rsidRPr="00F3272D">
        <w:t>2017.</w:t>
      </w:r>
    </w:p>
    <w:p w14:paraId="306D643A" w14:textId="1A7C448B" w:rsidR="00A84283" w:rsidRPr="00F3272D" w:rsidRDefault="00A84283" w:rsidP="007149D6">
      <w:pPr>
        <w:pStyle w:val="ChartandTableFootnoteAlpha"/>
        <w:keepNext/>
        <w:keepLines/>
        <w:numPr>
          <w:ilvl w:val="0"/>
          <w:numId w:val="12"/>
        </w:numPr>
      </w:pPr>
      <w:r w:rsidRPr="00F3272D">
        <w:t>From 1</w:t>
      </w:r>
      <w:r w:rsidR="009C36AC">
        <w:t> December </w:t>
      </w:r>
      <w:r w:rsidRPr="00F3272D">
        <w:t>2015, annual programs, under the new provisions in the Act are known as exemption certificates for foreign persons. They are no longer limited to a 12</w:t>
      </w:r>
      <w:r w:rsidR="009C36AC">
        <w:t> </w:t>
      </w:r>
      <w:r w:rsidRPr="00F3272D">
        <w:t>month period.</w:t>
      </w:r>
    </w:p>
    <w:p w14:paraId="6FAADED5" w14:textId="77777777" w:rsidR="00A84283" w:rsidRPr="001A6701" w:rsidRDefault="00A84283" w:rsidP="008A6495">
      <w:pPr>
        <w:pStyle w:val="ChartorTableNote"/>
        <w:keepNext/>
        <w:keepLines/>
      </w:pPr>
      <w:r w:rsidRPr="00D63159">
        <w:t>Notes:</w:t>
      </w:r>
      <w:r w:rsidRPr="00D63159">
        <w:tab/>
      </w:r>
      <w:r w:rsidRPr="001A6701">
        <w:t>Totals may not add due to rounding.</w:t>
      </w:r>
    </w:p>
    <w:p w14:paraId="09338273" w14:textId="7F36B598" w:rsidR="00A84283" w:rsidRPr="001A6701" w:rsidRDefault="00A84283" w:rsidP="008A6495">
      <w:pPr>
        <w:pStyle w:val="ChartorTableNote"/>
        <w:keepNext/>
        <w:keepLines/>
      </w:pPr>
      <w:r w:rsidRPr="001A6701">
        <w:t>‘0.0’ indicates a figure of zero or a figure less than $50</w:t>
      </w:r>
      <w:r w:rsidR="009C36AC">
        <w:t> </w:t>
      </w:r>
      <w:r w:rsidRPr="001A6701">
        <w:t>million.</w:t>
      </w:r>
    </w:p>
    <w:p w14:paraId="18202D01" w14:textId="3C3E51E1" w:rsidR="00A84283" w:rsidRPr="001A6701" w:rsidRDefault="00A84283" w:rsidP="008A6495">
      <w:pPr>
        <w:pStyle w:val="ChartorTableNote"/>
        <w:keepNext/>
        <w:keepLines/>
      </w:pPr>
      <w:r w:rsidRPr="001A6701">
        <w:t xml:space="preserve">EC refers to </w:t>
      </w:r>
      <w:r w:rsidR="00954DD1">
        <w:t>e</w:t>
      </w:r>
      <w:r w:rsidRPr="001A6701">
        <w:t xml:space="preserve">xemption </w:t>
      </w:r>
      <w:r w:rsidR="00954DD1">
        <w:t>c</w:t>
      </w:r>
      <w:r w:rsidRPr="001A6701">
        <w:t>ertificates.</w:t>
      </w:r>
    </w:p>
    <w:p w14:paraId="256B2DD2" w14:textId="5CA003AA" w:rsidR="00A84283" w:rsidRPr="001A6701" w:rsidRDefault="00A84283" w:rsidP="008A6495">
      <w:pPr>
        <w:pStyle w:val="ChartorTableNote"/>
        <w:keepNext/>
        <w:keepLines/>
      </w:pPr>
      <w:r w:rsidRPr="001A6701">
        <w:t>An approval category that was not available during a financial year is denoted by ‘na’.</w:t>
      </w:r>
    </w:p>
    <w:p w14:paraId="510F7BC9" w14:textId="4FC83E45" w:rsidR="00D63159" w:rsidRPr="001A6701" w:rsidRDefault="00A84283" w:rsidP="008A6495">
      <w:pPr>
        <w:pStyle w:val="ChartorTableNote"/>
        <w:keepNext/>
        <w:keepLines/>
      </w:pPr>
      <w:r w:rsidRPr="001A6701">
        <w:t>The value ascribed to a new dwelling exemption certificate is the total estimated sales value of the new dwellings in the development available for purchase by foreign persons. The value recorded is as provided by the applicant when applying for the exemption certificate. From the 2017</w:t>
      </w:r>
      <w:r w:rsidR="009C36AC">
        <w:noBreakHyphen/>
      </w:r>
      <w:r w:rsidRPr="001A6701">
        <w:t>18 Budget onwards, approved new dwelling exemption certificates only allow developers to sell a maximum of</w:t>
      </w:r>
      <w:r w:rsidR="00D63159" w:rsidRPr="001A6701">
        <w:t xml:space="preserve"> </w:t>
      </w:r>
      <w:r w:rsidRPr="001A6701">
        <w:t>50</w:t>
      </w:r>
      <w:r w:rsidR="009C36AC">
        <w:t> per </w:t>
      </w:r>
      <w:r w:rsidRPr="001A6701">
        <w:t>cent of dwellings in a development to foreign persons.</w:t>
      </w:r>
    </w:p>
    <w:p w14:paraId="6F393436" w14:textId="22A787DD" w:rsidR="00826C87" w:rsidRDefault="00A84283">
      <w:pPr>
        <w:pStyle w:val="ChartorTableNote"/>
      </w:pPr>
      <w:r w:rsidRPr="001A6701">
        <w:t>Data for 2015</w:t>
      </w:r>
      <w:r w:rsidR="009C36AC">
        <w:noBreakHyphen/>
      </w:r>
      <w:r w:rsidRPr="001A6701">
        <w:t>16 onwards was impacted by the 1</w:t>
      </w:r>
      <w:r w:rsidR="009C36AC">
        <w:t> December </w:t>
      </w:r>
      <w:r w:rsidRPr="001A6701">
        <w:t>2015 reforms. Data from 2016</w:t>
      </w:r>
      <w:r w:rsidR="00D63159" w:rsidRPr="001A6701">
        <w:noBreakHyphen/>
      </w:r>
      <w:r w:rsidRPr="001A6701">
        <w:t>17 onwards was impacted by the limiting foreign ownership in new developments reform announced in the 2017</w:t>
      </w:r>
      <w:r w:rsidR="00D63159" w:rsidRPr="001A6701">
        <w:noBreakHyphen/>
      </w:r>
      <w:r w:rsidRPr="001A6701">
        <w:t>18 Budget that had immediate effect from Budget night, 7.30</w:t>
      </w:r>
      <w:r w:rsidR="009C36AC">
        <w:t> pm on Tuesday, 9 May </w:t>
      </w:r>
      <w:r w:rsidRPr="001A6701">
        <w:t>2017. Data from 2017</w:t>
      </w:r>
      <w:r w:rsidR="00D63159" w:rsidRPr="001A6701">
        <w:noBreakHyphen/>
      </w:r>
      <w:r w:rsidRPr="001A6701">
        <w:t>18 was impacted by the other reforms announced in the 2017</w:t>
      </w:r>
      <w:r w:rsidR="00D63159" w:rsidRPr="001A6701">
        <w:noBreakHyphen/>
      </w:r>
      <w:r w:rsidRPr="001A6701">
        <w:t>18 Budget, which were given effect on 1</w:t>
      </w:r>
      <w:r w:rsidR="009C36AC">
        <w:t> July </w:t>
      </w:r>
      <w:r w:rsidRPr="001A6701">
        <w:t xml:space="preserve">2017. These reforms may affect data comparability. </w:t>
      </w:r>
    </w:p>
    <w:p w14:paraId="1013F245" w14:textId="77777777" w:rsidR="00826C87" w:rsidRDefault="00826C87" w:rsidP="00826C87">
      <w:pPr>
        <w:rPr>
          <w:rFonts w:ascii="Arial" w:hAnsi="Arial"/>
          <w:sz w:val="16"/>
        </w:rPr>
      </w:pPr>
      <w:r>
        <w:br w:type="page"/>
      </w:r>
    </w:p>
    <w:p w14:paraId="0094F382" w14:textId="4C07C007" w:rsidR="00A84283" w:rsidRPr="00743BAD" w:rsidRDefault="00A84283" w:rsidP="00743BAD">
      <w:pPr>
        <w:pStyle w:val="TableMainHeading"/>
      </w:pPr>
      <w:bookmarkStart w:id="117" w:name="_Toc32247772"/>
      <w:bookmarkStart w:id="118" w:name="_Toc33521357"/>
      <w:r w:rsidRPr="00743BAD">
        <w:lastRenderedPageBreak/>
        <w:t>Table 3.11: State and territory distribution of proposed investment in residential real estate in 201</w:t>
      </w:r>
      <w:r w:rsidR="00D63159" w:rsidRPr="00743BAD">
        <w:t>8</w:t>
      </w:r>
      <w:r w:rsidRPr="00743BAD">
        <w:t>–1</w:t>
      </w:r>
      <w:r w:rsidR="00D63159" w:rsidRPr="00743BAD">
        <w:t>9</w:t>
      </w:r>
      <w:bookmarkEnd w:id="117"/>
      <w:bookmarkEnd w:id="118"/>
      <w:r w:rsidRPr="00743BAD">
        <w:t xml:space="preserve"> </w:t>
      </w:r>
    </w:p>
    <w:tbl>
      <w:tblPr>
        <w:tblW w:w="0" w:type="auto"/>
        <w:tblLayout w:type="fixed"/>
        <w:tblLook w:val="04A0" w:firstRow="1" w:lastRow="0" w:firstColumn="1" w:lastColumn="0" w:noHBand="0" w:noVBand="1"/>
      </w:tblPr>
      <w:tblGrid>
        <w:gridCol w:w="1702"/>
        <w:gridCol w:w="1195"/>
        <w:gridCol w:w="261"/>
        <w:gridCol w:w="1219"/>
        <w:gridCol w:w="1922"/>
        <w:gridCol w:w="261"/>
        <w:gridCol w:w="1150"/>
      </w:tblGrid>
      <w:tr w:rsidR="001856EB" w:rsidRPr="001856EB" w14:paraId="4C83CFBE" w14:textId="77777777" w:rsidTr="00C45942">
        <w:trPr>
          <w:trHeight w:val="225"/>
        </w:trPr>
        <w:tc>
          <w:tcPr>
            <w:tcW w:w="1702" w:type="dxa"/>
            <w:tcBorders>
              <w:top w:val="single" w:sz="2" w:space="0" w:color="000000" w:themeColor="text1"/>
              <w:left w:val="nil"/>
              <w:bottom w:val="nil"/>
              <w:right w:val="nil"/>
            </w:tcBorders>
            <w:shd w:val="clear" w:color="000000" w:fill="FFFFFF"/>
            <w:noWrap/>
            <w:vAlign w:val="center"/>
            <w:hideMark/>
          </w:tcPr>
          <w:p w14:paraId="36B84215" w14:textId="77777777" w:rsidR="001856EB" w:rsidRPr="001856EB" w:rsidRDefault="001856EB">
            <w:pPr>
              <w:spacing w:after="0" w:line="240" w:lineRule="auto"/>
              <w:jc w:val="left"/>
              <w:rPr>
                <w:rFonts w:ascii="Arial" w:hAnsi="Arial" w:cs="Arial"/>
                <w:sz w:val="16"/>
                <w:szCs w:val="16"/>
              </w:rPr>
            </w:pPr>
            <w:r w:rsidRPr="001856EB">
              <w:rPr>
                <w:rFonts w:ascii="Arial" w:hAnsi="Arial" w:cs="Arial"/>
                <w:sz w:val="16"/>
                <w:szCs w:val="16"/>
              </w:rPr>
              <w:t> </w:t>
            </w:r>
          </w:p>
        </w:tc>
        <w:tc>
          <w:tcPr>
            <w:tcW w:w="1195" w:type="dxa"/>
            <w:tcBorders>
              <w:top w:val="single" w:sz="2" w:space="0" w:color="000000" w:themeColor="text1"/>
              <w:left w:val="nil"/>
              <w:bottom w:val="nil"/>
              <w:right w:val="nil"/>
            </w:tcBorders>
            <w:shd w:val="clear" w:color="000000" w:fill="FFFFFF"/>
            <w:noWrap/>
            <w:vAlign w:val="center"/>
            <w:hideMark/>
          </w:tcPr>
          <w:p w14:paraId="55CBE430"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 </w:t>
            </w:r>
          </w:p>
        </w:tc>
        <w:tc>
          <w:tcPr>
            <w:tcW w:w="261" w:type="dxa"/>
            <w:tcBorders>
              <w:top w:val="single" w:sz="2" w:space="0" w:color="000000" w:themeColor="text1"/>
              <w:left w:val="nil"/>
              <w:bottom w:val="nil"/>
              <w:right w:val="nil"/>
            </w:tcBorders>
            <w:shd w:val="clear" w:color="000000" w:fill="FFFFFF"/>
            <w:noWrap/>
            <w:vAlign w:val="center"/>
            <w:hideMark/>
          </w:tcPr>
          <w:p w14:paraId="09FDE6FF"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 </w:t>
            </w:r>
          </w:p>
        </w:tc>
        <w:tc>
          <w:tcPr>
            <w:tcW w:w="3141" w:type="dxa"/>
            <w:gridSpan w:val="2"/>
            <w:tcBorders>
              <w:top w:val="single" w:sz="2" w:space="0" w:color="000000" w:themeColor="text1"/>
              <w:left w:val="nil"/>
              <w:bottom w:val="nil"/>
              <w:right w:val="nil"/>
            </w:tcBorders>
            <w:shd w:val="clear" w:color="000000" w:fill="FFFFFF"/>
            <w:noWrap/>
            <w:vAlign w:val="center"/>
            <w:hideMark/>
          </w:tcPr>
          <w:p w14:paraId="6C938B24" w14:textId="77777777" w:rsidR="001856EB" w:rsidRPr="001856EB" w:rsidRDefault="001856EB" w:rsidP="001856EB">
            <w:pPr>
              <w:spacing w:after="0" w:line="240" w:lineRule="auto"/>
              <w:jc w:val="center"/>
              <w:rPr>
                <w:rFonts w:ascii="Arial" w:hAnsi="Arial" w:cs="Arial"/>
                <w:sz w:val="16"/>
                <w:szCs w:val="16"/>
              </w:rPr>
            </w:pPr>
            <w:r w:rsidRPr="001856EB">
              <w:rPr>
                <w:rFonts w:ascii="Arial" w:hAnsi="Arial" w:cs="Arial"/>
                <w:sz w:val="16"/>
                <w:szCs w:val="16"/>
              </w:rPr>
              <w:t>Residential</w:t>
            </w:r>
          </w:p>
        </w:tc>
        <w:tc>
          <w:tcPr>
            <w:tcW w:w="261" w:type="dxa"/>
            <w:tcBorders>
              <w:top w:val="single" w:sz="2" w:space="0" w:color="000000" w:themeColor="text1"/>
              <w:left w:val="nil"/>
              <w:bottom w:val="nil"/>
              <w:right w:val="nil"/>
            </w:tcBorders>
            <w:shd w:val="clear" w:color="000000" w:fill="FFFFFF"/>
            <w:noWrap/>
            <w:vAlign w:val="center"/>
            <w:hideMark/>
          </w:tcPr>
          <w:p w14:paraId="734DE15B" w14:textId="77777777" w:rsidR="001856EB" w:rsidRPr="001856EB" w:rsidRDefault="001856EB" w:rsidP="001856EB">
            <w:pPr>
              <w:spacing w:after="0" w:line="240" w:lineRule="auto"/>
              <w:jc w:val="center"/>
              <w:rPr>
                <w:rFonts w:ascii="Arial" w:hAnsi="Arial" w:cs="Arial"/>
                <w:sz w:val="16"/>
                <w:szCs w:val="16"/>
              </w:rPr>
            </w:pPr>
            <w:r w:rsidRPr="001856EB">
              <w:rPr>
                <w:rFonts w:ascii="Arial" w:hAnsi="Arial" w:cs="Arial"/>
                <w:sz w:val="16"/>
                <w:szCs w:val="16"/>
              </w:rPr>
              <w:t> </w:t>
            </w:r>
          </w:p>
        </w:tc>
        <w:tc>
          <w:tcPr>
            <w:tcW w:w="1150" w:type="dxa"/>
            <w:tcBorders>
              <w:top w:val="single" w:sz="2" w:space="0" w:color="000000" w:themeColor="text1"/>
              <w:left w:val="nil"/>
              <w:bottom w:val="nil"/>
              <w:right w:val="nil"/>
            </w:tcBorders>
            <w:shd w:val="clear" w:color="000000" w:fill="FFFFFF"/>
            <w:noWrap/>
            <w:vAlign w:val="center"/>
            <w:hideMark/>
          </w:tcPr>
          <w:p w14:paraId="0DCB54E0"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 </w:t>
            </w:r>
          </w:p>
        </w:tc>
      </w:tr>
      <w:tr w:rsidR="001856EB" w:rsidRPr="001856EB" w14:paraId="0897B55B" w14:textId="77777777" w:rsidTr="00C45942">
        <w:trPr>
          <w:trHeight w:val="225"/>
        </w:trPr>
        <w:tc>
          <w:tcPr>
            <w:tcW w:w="1702" w:type="dxa"/>
            <w:tcBorders>
              <w:top w:val="nil"/>
              <w:left w:val="nil"/>
              <w:right w:val="nil"/>
            </w:tcBorders>
            <w:shd w:val="clear" w:color="000000" w:fill="FFFFFF"/>
            <w:noWrap/>
            <w:vAlign w:val="center"/>
            <w:hideMark/>
          </w:tcPr>
          <w:p w14:paraId="77C598F7"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 </w:t>
            </w:r>
          </w:p>
        </w:tc>
        <w:tc>
          <w:tcPr>
            <w:tcW w:w="1195" w:type="dxa"/>
            <w:tcBorders>
              <w:top w:val="nil"/>
              <w:left w:val="nil"/>
              <w:right w:val="nil"/>
            </w:tcBorders>
            <w:shd w:val="clear" w:color="000000" w:fill="FFFFFF"/>
            <w:noWrap/>
            <w:vAlign w:val="center"/>
            <w:hideMark/>
          </w:tcPr>
          <w:p w14:paraId="728A3FFA" w14:textId="77777777"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Number of</w:t>
            </w:r>
          </w:p>
        </w:tc>
        <w:tc>
          <w:tcPr>
            <w:tcW w:w="261" w:type="dxa"/>
            <w:tcBorders>
              <w:top w:val="nil"/>
              <w:left w:val="nil"/>
              <w:bottom w:val="nil"/>
              <w:right w:val="nil"/>
            </w:tcBorders>
            <w:shd w:val="clear" w:color="000000" w:fill="FFFFFF"/>
            <w:noWrap/>
            <w:vAlign w:val="center"/>
            <w:hideMark/>
          </w:tcPr>
          <w:p w14:paraId="3CC54A97"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 </w:t>
            </w:r>
          </w:p>
        </w:tc>
        <w:tc>
          <w:tcPr>
            <w:tcW w:w="1219" w:type="dxa"/>
            <w:tcBorders>
              <w:top w:val="nil"/>
              <w:left w:val="nil"/>
              <w:right w:val="nil"/>
            </w:tcBorders>
            <w:shd w:val="clear" w:color="000000" w:fill="FFFFFF"/>
            <w:noWrap/>
            <w:vAlign w:val="center"/>
            <w:hideMark/>
          </w:tcPr>
          <w:p w14:paraId="77CB4491" w14:textId="77777777"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Developed</w:t>
            </w:r>
          </w:p>
        </w:tc>
        <w:tc>
          <w:tcPr>
            <w:tcW w:w="1922" w:type="dxa"/>
            <w:tcBorders>
              <w:top w:val="nil"/>
              <w:left w:val="nil"/>
              <w:right w:val="nil"/>
            </w:tcBorders>
            <w:shd w:val="clear" w:color="000000" w:fill="FFFFFF"/>
            <w:noWrap/>
            <w:vAlign w:val="center"/>
            <w:hideMark/>
          </w:tcPr>
          <w:p w14:paraId="4C1253FA" w14:textId="77777777"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For development</w:t>
            </w:r>
          </w:p>
        </w:tc>
        <w:tc>
          <w:tcPr>
            <w:tcW w:w="261" w:type="dxa"/>
            <w:tcBorders>
              <w:top w:val="nil"/>
              <w:left w:val="nil"/>
              <w:bottom w:val="nil"/>
              <w:right w:val="nil"/>
            </w:tcBorders>
            <w:shd w:val="clear" w:color="000000" w:fill="FFFFFF"/>
            <w:noWrap/>
            <w:vAlign w:val="center"/>
            <w:hideMark/>
          </w:tcPr>
          <w:p w14:paraId="762C8DD6" w14:textId="77777777"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 </w:t>
            </w:r>
          </w:p>
        </w:tc>
        <w:tc>
          <w:tcPr>
            <w:tcW w:w="1150" w:type="dxa"/>
            <w:tcBorders>
              <w:top w:val="nil"/>
              <w:left w:val="nil"/>
              <w:right w:val="nil"/>
            </w:tcBorders>
            <w:shd w:val="clear" w:color="000000" w:fill="FFFFFF"/>
            <w:noWrap/>
            <w:vAlign w:val="center"/>
            <w:hideMark/>
          </w:tcPr>
          <w:p w14:paraId="264A39CA" w14:textId="77777777"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Total</w:t>
            </w:r>
          </w:p>
        </w:tc>
      </w:tr>
      <w:tr w:rsidR="001856EB" w:rsidRPr="001856EB" w14:paraId="69E67F90" w14:textId="77777777" w:rsidTr="00C45942">
        <w:trPr>
          <w:trHeight w:val="225"/>
        </w:trPr>
        <w:tc>
          <w:tcPr>
            <w:tcW w:w="1702" w:type="dxa"/>
            <w:tcBorders>
              <w:top w:val="nil"/>
              <w:left w:val="nil"/>
              <w:bottom w:val="single" w:sz="2" w:space="0" w:color="000000" w:themeColor="text1"/>
              <w:right w:val="nil"/>
            </w:tcBorders>
            <w:shd w:val="clear" w:color="000000" w:fill="FFFFFF"/>
            <w:noWrap/>
            <w:vAlign w:val="center"/>
            <w:hideMark/>
          </w:tcPr>
          <w:p w14:paraId="3F1515A9"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Location</w:t>
            </w:r>
          </w:p>
        </w:tc>
        <w:tc>
          <w:tcPr>
            <w:tcW w:w="1195" w:type="dxa"/>
            <w:tcBorders>
              <w:top w:val="nil"/>
              <w:left w:val="nil"/>
              <w:bottom w:val="single" w:sz="2" w:space="0" w:color="000000" w:themeColor="text1"/>
              <w:right w:val="nil"/>
            </w:tcBorders>
            <w:shd w:val="clear" w:color="000000" w:fill="FFFFFF"/>
            <w:noWrap/>
            <w:vAlign w:val="center"/>
            <w:hideMark/>
          </w:tcPr>
          <w:p w14:paraId="26ECD7AD" w14:textId="77777777"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approvals</w:t>
            </w:r>
          </w:p>
        </w:tc>
        <w:tc>
          <w:tcPr>
            <w:tcW w:w="261" w:type="dxa"/>
            <w:tcBorders>
              <w:top w:val="nil"/>
              <w:left w:val="nil"/>
              <w:bottom w:val="nil"/>
              <w:right w:val="nil"/>
            </w:tcBorders>
            <w:shd w:val="clear" w:color="000000" w:fill="FFFFFF"/>
            <w:noWrap/>
            <w:vAlign w:val="center"/>
            <w:hideMark/>
          </w:tcPr>
          <w:p w14:paraId="671AD52C"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 </w:t>
            </w:r>
          </w:p>
        </w:tc>
        <w:tc>
          <w:tcPr>
            <w:tcW w:w="1219" w:type="dxa"/>
            <w:tcBorders>
              <w:top w:val="nil"/>
              <w:left w:val="nil"/>
              <w:bottom w:val="single" w:sz="2" w:space="0" w:color="000000" w:themeColor="text1"/>
              <w:right w:val="nil"/>
            </w:tcBorders>
            <w:shd w:val="clear" w:color="000000" w:fill="FFFFFF"/>
            <w:noWrap/>
            <w:vAlign w:val="center"/>
            <w:hideMark/>
          </w:tcPr>
          <w:p w14:paraId="0B70E436" w14:textId="1F513F59"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$b</w:t>
            </w:r>
          </w:p>
        </w:tc>
        <w:tc>
          <w:tcPr>
            <w:tcW w:w="1922" w:type="dxa"/>
            <w:tcBorders>
              <w:top w:val="nil"/>
              <w:left w:val="nil"/>
              <w:bottom w:val="single" w:sz="2" w:space="0" w:color="000000" w:themeColor="text1"/>
              <w:right w:val="nil"/>
            </w:tcBorders>
            <w:shd w:val="clear" w:color="000000" w:fill="FFFFFF"/>
            <w:noWrap/>
            <w:vAlign w:val="center"/>
            <w:hideMark/>
          </w:tcPr>
          <w:p w14:paraId="04EF9C53" w14:textId="73A91355"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$b</w:t>
            </w:r>
          </w:p>
        </w:tc>
        <w:tc>
          <w:tcPr>
            <w:tcW w:w="261" w:type="dxa"/>
            <w:tcBorders>
              <w:top w:val="nil"/>
              <w:left w:val="nil"/>
              <w:bottom w:val="nil"/>
              <w:right w:val="nil"/>
            </w:tcBorders>
            <w:shd w:val="clear" w:color="000000" w:fill="FFFFFF"/>
            <w:noWrap/>
            <w:vAlign w:val="center"/>
            <w:hideMark/>
          </w:tcPr>
          <w:p w14:paraId="774CD22C" w14:textId="77777777"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 </w:t>
            </w:r>
          </w:p>
        </w:tc>
        <w:tc>
          <w:tcPr>
            <w:tcW w:w="1150" w:type="dxa"/>
            <w:tcBorders>
              <w:top w:val="nil"/>
              <w:left w:val="nil"/>
              <w:bottom w:val="single" w:sz="2" w:space="0" w:color="000000" w:themeColor="text1"/>
              <w:right w:val="nil"/>
            </w:tcBorders>
            <w:shd w:val="clear" w:color="000000" w:fill="FFFFFF"/>
            <w:noWrap/>
            <w:vAlign w:val="center"/>
            <w:hideMark/>
          </w:tcPr>
          <w:p w14:paraId="5927E0C3" w14:textId="6B095593" w:rsidR="001856EB" w:rsidRPr="001856EB" w:rsidRDefault="001856EB" w:rsidP="001856EB">
            <w:pPr>
              <w:spacing w:after="0" w:line="240" w:lineRule="auto"/>
              <w:jc w:val="right"/>
              <w:rPr>
                <w:rFonts w:ascii="Arial" w:hAnsi="Arial" w:cs="Arial"/>
                <w:sz w:val="16"/>
                <w:szCs w:val="16"/>
              </w:rPr>
            </w:pPr>
            <w:r w:rsidRPr="001856EB">
              <w:rPr>
                <w:rFonts w:ascii="Arial" w:hAnsi="Arial" w:cs="Arial"/>
                <w:sz w:val="16"/>
                <w:szCs w:val="16"/>
              </w:rPr>
              <w:t>$b</w:t>
            </w:r>
          </w:p>
        </w:tc>
      </w:tr>
      <w:tr w:rsidR="001856EB" w:rsidRPr="001856EB" w14:paraId="47A41915" w14:textId="77777777" w:rsidTr="00C45942">
        <w:trPr>
          <w:trHeight w:val="225"/>
        </w:trPr>
        <w:tc>
          <w:tcPr>
            <w:tcW w:w="1702" w:type="dxa"/>
            <w:tcBorders>
              <w:top w:val="single" w:sz="2" w:space="0" w:color="000000" w:themeColor="text1"/>
              <w:left w:val="nil"/>
              <w:bottom w:val="nil"/>
              <w:right w:val="nil"/>
            </w:tcBorders>
            <w:shd w:val="clear" w:color="000000" w:fill="FFFFFF"/>
            <w:noWrap/>
            <w:vAlign w:val="center"/>
            <w:hideMark/>
          </w:tcPr>
          <w:p w14:paraId="4AB8B8A3"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ACT</w:t>
            </w:r>
          </w:p>
        </w:tc>
        <w:tc>
          <w:tcPr>
            <w:tcW w:w="1195" w:type="dxa"/>
            <w:tcBorders>
              <w:top w:val="single" w:sz="2" w:space="0" w:color="000000" w:themeColor="text1"/>
              <w:left w:val="nil"/>
              <w:bottom w:val="nil"/>
              <w:right w:val="nil"/>
            </w:tcBorders>
            <w:shd w:val="clear" w:color="000000" w:fill="FFFFFF"/>
            <w:noWrap/>
            <w:vAlign w:val="center"/>
            <w:hideMark/>
          </w:tcPr>
          <w:p w14:paraId="2B9032B0" w14:textId="75F71819"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346</w:t>
            </w:r>
          </w:p>
        </w:tc>
        <w:tc>
          <w:tcPr>
            <w:tcW w:w="261" w:type="dxa"/>
            <w:tcBorders>
              <w:top w:val="nil"/>
              <w:left w:val="nil"/>
              <w:bottom w:val="nil"/>
              <w:right w:val="nil"/>
            </w:tcBorders>
            <w:shd w:val="clear" w:color="000000" w:fill="FFFFFF"/>
            <w:noWrap/>
            <w:vAlign w:val="center"/>
            <w:hideMark/>
          </w:tcPr>
          <w:p w14:paraId="55F54BE0"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 </w:t>
            </w:r>
          </w:p>
        </w:tc>
        <w:tc>
          <w:tcPr>
            <w:tcW w:w="1219" w:type="dxa"/>
            <w:tcBorders>
              <w:top w:val="single" w:sz="2" w:space="0" w:color="000000" w:themeColor="text1"/>
              <w:left w:val="nil"/>
              <w:bottom w:val="nil"/>
              <w:right w:val="nil"/>
            </w:tcBorders>
            <w:shd w:val="clear" w:color="000000" w:fill="FFFFFF"/>
            <w:noWrap/>
            <w:vAlign w:val="center"/>
            <w:hideMark/>
          </w:tcPr>
          <w:p w14:paraId="3E6CA438"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0.0</w:t>
            </w:r>
          </w:p>
        </w:tc>
        <w:tc>
          <w:tcPr>
            <w:tcW w:w="1922" w:type="dxa"/>
            <w:tcBorders>
              <w:top w:val="single" w:sz="2" w:space="0" w:color="000000" w:themeColor="text1"/>
              <w:left w:val="nil"/>
              <w:bottom w:val="nil"/>
              <w:right w:val="nil"/>
            </w:tcBorders>
            <w:shd w:val="clear" w:color="000000" w:fill="FFFFFF"/>
            <w:noWrap/>
            <w:vAlign w:val="center"/>
            <w:hideMark/>
          </w:tcPr>
          <w:p w14:paraId="68E4DBFF"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0.2</w:t>
            </w:r>
          </w:p>
        </w:tc>
        <w:tc>
          <w:tcPr>
            <w:tcW w:w="261" w:type="dxa"/>
            <w:tcBorders>
              <w:top w:val="nil"/>
              <w:left w:val="nil"/>
              <w:bottom w:val="nil"/>
              <w:right w:val="nil"/>
            </w:tcBorders>
            <w:shd w:val="clear" w:color="000000" w:fill="FFFFFF"/>
            <w:noWrap/>
            <w:vAlign w:val="center"/>
            <w:hideMark/>
          </w:tcPr>
          <w:p w14:paraId="2ED8B5CE"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 </w:t>
            </w:r>
          </w:p>
        </w:tc>
        <w:tc>
          <w:tcPr>
            <w:tcW w:w="1150" w:type="dxa"/>
            <w:tcBorders>
              <w:top w:val="single" w:sz="2" w:space="0" w:color="000000" w:themeColor="text1"/>
              <w:left w:val="nil"/>
              <w:bottom w:val="nil"/>
              <w:right w:val="nil"/>
            </w:tcBorders>
            <w:shd w:val="clear" w:color="000000" w:fill="FFFFFF"/>
            <w:noWrap/>
            <w:vAlign w:val="center"/>
            <w:hideMark/>
          </w:tcPr>
          <w:p w14:paraId="4AC37674"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0.2</w:t>
            </w:r>
          </w:p>
        </w:tc>
      </w:tr>
      <w:tr w:rsidR="001856EB" w:rsidRPr="001856EB" w14:paraId="0379609E" w14:textId="77777777" w:rsidTr="001856EB">
        <w:trPr>
          <w:trHeight w:val="225"/>
        </w:trPr>
        <w:tc>
          <w:tcPr>
            <w:tcW w:w="1702" w:type="dxa"/>
            <w:tcBorders>
              <w:top w:val="nil"/>
              <w:left w:val="nil"/>
              <w:bottom w:val="nil"/>
              <w:right w:val="nil"/>
            </w:tcBorders>
            <w:shd w:val="clear" w:color="000000" w:fill="FFFFFF"/>
            <w:noWrap/>
            <w:vAlign w:val="center"/>
            <w:hideMark/>
          </w:tcPr>
          <w:p w14:paraId="7D630567"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NSW</w:t>
            </w:r>
          </w:p>
        </w:tc>
        <w:tc>
          <w:tcPr>
            <w:tcW w:w="1195" w:type="dxa"/>
            <w:tcBorders>
              <w:top w:val="nil"/>
              <w:left w:val="nil"/>
              <w:bottom w:val="nil"/>
              <w:right w:val="nil"/>
            </w:tcBorders>
            <w:shd w:val="clear" w:color="000000" w:fill="FFFFFF"/>
            <w:noWrap/>
            <w:vAlign w:val="center"/>
            <w:hideMark/>
          </w:tcPr>
          <w:p w14:paraId="5AD34B42" w14:textId="5C829B2B"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1,337</w:t>
            </w:r>
          </w:p>
        </w:tc>
        <w:tc>
          <w:tcPr>
            <w:tcW w:w="261" w:type="dxa"/>
            <w:tcBorders>
              <w:top w:val="nil"/>
              <w:left w:val="nil"/>
              <w:bottom w:val="nil"/>
              <w:right w:val="nil"/>
            </w:tcBorders>
            <w:shd w:val="clear" w:color="000000" w:fill="FFFFFF"/>
            <w:noWrap/>
            <w:vAlign w:val="center"/>
            <w:hideMark/>
          </w:tcPr>
          <w:p w14:paraId="76FB1324"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219" w:type="dxa"/>
            <w:tcBorders>
              <w:top w:val="nil"/>
              <w:left w:val="nil"/>
              <w:bottom w:val="nil"/>
              <w:right w:val="nil"/>
            </w:tcBorders>
            <w:shd w:val="clear" w:color="000000" w:fill="FFFFFF"/>
            <w:noWrap/>
            <w:vAlign w:val="center"/>
            <w:hideMark/>
          </w:tcPr>
          <w:p w14:paraId="191A4910"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0.3</w:t>
            </w:r>
          </w:p>
        </w:tc>
        <w:tc>
          <w:tcPr>
            <w:tcW w:w="1922" w:type="dxa"/>
            <w:tcBorders>
              <w:top w:val="nil"/>
              <w:left w:val="nil"/>
              <w:bottom w:val="nil"/>
              <w:right w:val="nil"/>
            </w:tcBorders>
            <w:shd w:val="clear" w:color="000000" w:fill="FFFFFF"/>
            <w:noWrap/>
            <w:vAlign w:val="center"/>
            <w:hideMark/>
          </w:tcPr>
          <w:p w14:paraId="20719D64"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2.8</w:t>
            </w:r>
          </w:p>
        </w:tc>
        <w:tc>
          <w:tcPr>
            <w:tcW w:w="261" w:type="dxa"/>
            <w:tcBorders>
              <w:top w:val="nil"/>
              <w:left w:val="nil"/>
              <w:bottom w:val="nil"/>
              <w:right w:val="nil"/>
            </w:tcBorders>
            <w:shd w:val="clear" w:color="000000" w:fill="FFFFFF"/>
            <w:noWrap/>
            <w:vAlign w:val="center"/>
            <w:hideMark/>
          </w:tcPr>
          <w:p w14:paraId="41AFD01B"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150" w:type="dxa"/>
            <w:tcBorders>
              <w:top w:val="nil"/>
              <w:left w:val="nil"/>
              <w:bottom w:val="nil"/>
              <w:right w:val="nil"/>
            </w:tcBorders>
            <w:shd w:val="clear" w:color="000000" w:fill="FFFFFF"/>
            <w:noWrap/>
            <w:vAlign w:val="center"/>
            <w:hideMark/>
          </w:tcPr>
          <w:p w14:paraId="10CF804A"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3.1</w:t>
            </w:r>
          </w:p>
        </w:tc>
      </w:tr>
      <w:tr w:rsidR="001856EB" w:rsidRPr="001856EB" w14:paraId="35D2C23D" w14:textId="77777777" w:rsidTr="001856EB">
        <w:trPr>
          <w:trHeight w:val="225"/>
        </w:trPr>
        <w:tc>
          <w:tcPr>
            <w:tcW w:w="1702" w:type="dxa"/>
            <w:tcBorders>
              <w:top w:val="nil"/>
              <w:left w:val="nil"/>
              <w:bottom w:val="nil"/>
              <w:right w:val="nil"/>
            </w:tcBorders>
            <w:shd w:val="clear" w:color="000000" w:fill="FFFFFF"/>
            <w:noWrap/>
            <w:vAlign w:val="center"/>
            <w:hideMark/>
          </w:tcPr>
          <w:p w14:paraId="627C36AF"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NT</w:t>
            </w:r>
          </w:p>
        </w:tc>
        <w:tc>
          <w:tcPr>
            <w:tcW w:w="1195" w:type="dxa"/>
            <w:tcBorders>
              <w:top w:val="nil"/>
              <w:left w:val="nil"/>
              <w:bottom w:val="nil"/>
              <w:right w:val="nil"/>
            </w:tcBorders>
            <w:shd w:val="clear" w:color="000000" w:fill="FFFFFF"/>
            <w:noWrap/>
            <w:vAlign w:val="center"/>
            <w:hideMark/>
          </w:tcPr>
          <w:p w14:paraId="524AB4A2" w14:textId="6C0792CB"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9</w:t>
            </w:r>
          </w:p>
        </w:tc>
        <w:tc>
          <w:tcPr>
            <w:tcW w:w="261" w:type="dxa"/>
            <w:tcBorders>
              <w:top w:val="nil"/>
              <w:left w:val="nil"/>
              <w:bottom w:val="nil"/>
              <w:right w:val="nil"/>
            </w:tcBorders>
            <w:shd w:val="clear" w:color="000000" w:fill="FFFFFF"/>
            <w:noWrap/>
            <w:vAlign w:val="center"/>
            <w:hideMark/>
          </w:tcPr>
          <w:p w14:paraId="17009B9F"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219" w:type="dxa"/>
            <w:tcBorders>
              <w:top w:val="nil"/>
              <w:left w:val="nil"/>
              <w:bottom w:val="nil"/>
              <w:right w:val="nil"/>
            </w:tcBorders>
            <w:shd w:val="clear" w:color="000000" w:fill="FFFFFF"/>
            <w:noWrap/>
            <w:vAlign w:val="center"/>
            <w:hideMark/>
          </w:tcPr>
          <w:p w14:paraId="0D5EE467"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0.0</w:t>
            </w:r>
          </w:p>
        </w:tc>
        <w:tc>
          <w:tcPr>
            <w:tcW w:w="1922" w:type="dxa"/>
            <w:tcBorders>
              <w:top w:val="nil"/>
              <w:left w:val="nil"/>
              <w:bottom w:val="nil"/>
              <w:right w:val="nil"/>
            </w:tcBorders>
            <w:shd w:val="clear" w:color="000000" w:fill="FFFFFF"/>
            <w:noWrap/>
            <w:vAlign w:val="center"/>
            <w:hideMark/>
          </w:tcPr>
          <w:p w14:paraId="0C6CFB65"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0.0</w:t>
            </w:r>
          </w:p>
        </w:tc>
        <w:tc>
          <w:tcPr>
            <w:tcW w:w="261" w:type="dxa"/>
            <w:tcBorders>
              <w:top w:val="nil"/>
              <w:left w:val="nil"/>
              <w:bottom w:val="nil"/>
              <w:right w:val="nil"/>
            </w:tcBorders>
            <w:shd w:val="clear" w:color="000000" w:fill="FFFFFF"/>
            <w:noWrap/>
            <w:vAlign w:val="center"/>
            <w:hideMark/>
          </w:tcPr>
          <w:p w14:paraId="4BF4F91A"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150" w:type="dxa"/>
            <w:tcBorders>
              <w:top w:val="nil"/>
              <w:left w:val="nil"/>
              <w:bottom w:val="nil"/>
              <w:right w:val="nil"/>
            </w:tcBorders>
            <w:shd w:val="clear" w:color="000000" w:fill="FFFFFF"/>
            <w:noWrap/>
            <w:vAlign w:val="center"/>
            <w:hideMark/>
          </w:tcPr>
          <w:p w14:paraId="1005491E"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0.0</w:t>
            </w:r>
          </w:p>
        </w:tc>
      </w:tr>
      <w:tr w:rsidR="001856EB" w:rsidRPr="001856EB" w14:paraId="5013C64C" w14:textId="77777777" w:rsidTr="001856EB">
        <w:trPr>
          <w:trHeight w:val="225"/>
        </w:trPr>
        <w:tc>
          <w:tcPr>
            <w:tcW w:w="1702" w:type="dxa"/>
            <w:tcBorders>
              <w:top w:val="nil"/>
              <w:left w:val="nil"/>
              <w:bottom w:val="nil"/>
              <w:right w:val="nil"/>
            </w:tcBorders>
            <w:shd w:val="clear" w:color="000000" w:fill="FFFFFF"/>
            <w:noWrap/>
            <w:vAlign w:val="center"/>
            <w:hideMark/>
          </w:tcPr>
          <w:p w14:paraId="71727CCB"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Qld</w:t>
            </w:r>
          </w:p>
        </w:tc>
        <w:tc>
          <w:tcPr>
            <w:tcW w:w="1195" w:type="dxa"/>
            <w:tcBorders>
              <w:top w:val="nil"/>
              <w:left w:val="nil"/>
              <w:bottom w:val="nil"/>
              <w:right w:val="nil"/>
            </w:tcBorders>
            <w:shd w:val="clear" w:color="000000" w:fill="FFFFFF"/>
            <w:noWrap/>
            <w:vAlign w:val="center"/>
            <w:hideMark/>
          </w:tcPr>
          <w:p w14:paraId="502A6165" w14:textId="51E7F25E"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1,343</w:t>
            </w:r>
          </w:p>
        </w:tc>
        <w:tc>
          <w:tcPr>
            <w:tcW w:w="261" w:type="dxa"/>
            <w:tcBorders>
              <w:top w:val="nil"/>
              <w:left w:val="nil"/>
              <w:bottom w:val="nil"/>
              <w:right w:val="nil"/>
            </w:tcBorders>
            <w:shd w:val="clear" w:color="000000" w:fill="FFFFFF"/>
            <w:noWrap/>
            <w:vAlign w:val="center"/>
            <w:hideMark/>
          </w:tcPr>
          <w:p w14:paraId="04E73E08"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219" w:type="dxa"/>
            <w:tcBorders>
              <w:top w:val="nil"/>
              <w:left w:val="nil"/>
              <w:bottom w:val="nil"/>
              <w:right w:val="nil"/>
            </w:tcBorders>
            <w:shd w:val="clear" w:color="000000" w:fill="FFFFFF"/>
            <w:noWrap/>
            <w:vAlign w:val="center"/>
            <w:hideMark/>
          </w:tcPr>
          <w:p w14:paraId="36436052"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0.2</w:t>
            </w:r>
          </w:p>
        </w:tc>
        <w:tc>
          <w:tcPr>
            <w:tcW w:w="1922" w:type="dxa"/>
            <w:tcBorders>
              <w:top w:val="nil"/>
              <w:left w:val="nil"/>
              <w:bottom w:val="nil"/>
              <w:right w:val="nil"/>
            </w:tcBorders>
            <w:shd w:val="clear" w:color="000000" w:fill="FFFFFF"/>
            <w:noWrap/>
            <w:vAlign w:val="center"/>
            <w:hideMark/>
          </w:tcPr>
          <w:p w14:paraId="51D2F218"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1.1</w:t>
            </w:r>
          </w:p>
        </w:tc>
        <w:tc>
          <w:tcPr>
            <w:tcW w:w="261" w:type="dxa"/>
            <w:tcBorders>
              <w:top w:val="nil"/>
              <w:left w:val="nil"/>
              <w:bottom w:val="nil"/>
              <w:right w:val="nil"/>
            </w:tcBorders>
            <w:shd w:val="clear" w:color="000000" w:fill="FFFFFF"/>
            <w:noWrap/>
            <w:vAlign w:val="center"/>
            <w:hideMark/>
          </w:tcPr>
          <w:p w14:paraId="249E676D"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150" w:type="dxa"/>
            <w:tcBorders>
              <w:top w:val="nil"/>
              <w:left w:val="nil"/>
              <w:bottom w:val="nil"/>
              <w:right w:val="nil"/>
            </w:tcBorders>
            <w:shd w:val="clear" w:color="000000" w:fill="FFFFFF"/>
            <w:noWrap/>
            <w:vAlign w:val="center"/>
            <w:hideMark/>
          </w:tcPr>
          <w:p w14:paraId="6BF278DE"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1.3</w:t>
            </w:r>
          </w:p>
        </w:tc>
      </w:tr>
      <w:tr w:rsidR="001856EB" w:rsidRPr="001856EB" w14:paraId="2B95820B" w14:textId="77777777" w:rsidTr="001856EB">
        <w:trPr>
          <w:trHeight w:val="225"/>
        </w:trPr>
        <w:tc>
          <w:tcPr>
            <w:tcW w:w="1702" w:type="dxa"/>
            <w:tcBorders>
              <w:top w:val="nil"/>
              <w:left w:val="nil"/>
              <w:bottom w:val="nil"/>
              <w:right w:val="nil"/>
            </w:tcBorders>
            <w:shd w:val="clear" w:color="000000" w:fill="FFFFFF"/>
            <w:noWrap/>
            <w:vAlign w:val="center"/>
            <w:hideMark/>
          </w:tcPr>
          <w:p w14:paraId="21AB2FF2"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SA</w:t>
            </w:r>
          </w:p>
        </w:tc>
        <w:tc>
          <w:tcPr>
            <w:tcW w:w="1195" w:type="dxa"/>
            <w:tcBorders>
              <w:top w:val="nil"/>
              <w:left w:val="nil"/>
              <w:bottom w:val="nil"/>
              <w:right w:val="nil"/>
            </w:tcBorders>
            <w:shd w:val="clear" w:color="000000" w:fill="FFFFFF"/>
            <w:noWrap/>
            <w:vAlign w:val="center"/>
            <w:hideMark/>
          </w:tcPr>
          <w:p w14:paraId="3F5B24B1" w14:textId="0D7F9574"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462</w:t>
            </w:r>
          </w:p>
        </w:tc>
        <w:tc>
          <w:tcPr>
            <w:tcW w:w="261" w:type="dxa"/>
            <w:tcBorders>
              <w:top w:val="nil"/>
              <w:left w:val="nil"/>
              <w:bottom w:val="nil"/>
              <w:right w:val="nil"/>
            </w:tcBorders>
            <w:shd w:val="clear" w:color="000000" w:fill="FFFFFF"/>
            <w:noWrap/>
            <w:vAlign w:val="center"/>
            <w:hideMark/>
          </w:tcPr>
          <w:p w14:paraId="269B629C"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219" w:type="dxa"/>
            <w:tcBorders>
              <w:top w:val="nil"/>
              <w:left w:val="nil"/>
              <w:bottom w:val="nil"/>
              <w:right w:val="nil"/>
            </w:tcBorders>
            <w:shd w:val="clear" w:color="000000" w:fill="FFFFFF"/>
            <w:noWrap/>
            <w:vAlign w:val="center"/>
            <w:hideMark/>
          </w:tcPr>
          <w:p w14:paraId="3222B903"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0.1</w:t>
            </w:r>
          </w:p>
        </w:tc>
        <w:tc>
          <w:tcPr>
            <w:tcW w:w="1922" w:type="dxa"/>
            <w:tcBorders>
              <w:top w:val="nil"/>
              <w:left w:val="nil"/>
              <w:bottom w:val="nil"/>
              <w:right w:val="nil"/>
            </w:tcBorders>
            <w:shd w:val="clear" w:color="000000" w:fill="FFFFFF"/>
            <w:noWrap/>
            <w:vAlign w:val="center"/>
            <w:hideMark/>
          </w:tcPr>
          <w:p w14:paraId="792086B9"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0.2</w:t>
            </w:r>
          </w:p>
        </w:tc>
        <w:tc>
          <w:tcPr>
            <w:tcW w:w="261" w:type="dxa"/>
            <w:tcBorders>
              <w:top w:val="nil"/>
              <w:left w:val="nil"/>
              <w:bottom w:val="nil"/>
              <w:right w:val="nil"/>
            </w:tcBorders>
            <w:shd w:val="clear" w:color="000000" w:fill="FFFFFF"/>
            <w:noWrap/>
            <w:vAlign w:val="center"/>
            <w:hideMark/>
          </w:tcPr>
          <w:p w14:paraId="6FDD50DA"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150" w:type="dxa"/>
            <w:tcBorders>
              <w:top w:val="nil"/>
              <w:left w:val="nil"/>
              <w:bottom w:val="nil"/>
              <w:right w:val="nil"/>
            </w:tcBorders>
            <w:shd w:val="clear" w:color="000000" w:fill="FFFFFF"/>
            <w:noWrap/>
            <w:vAlign w:val="center"/>
            <w:hideMark/>
          </w:tcPr>
          <w:p w14:paraId="1873BFE5"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0.2</w:t>
            </w:r>
          </w:p>
        </w:tc>
      </w:tr>
      <w:tr w:rsidR="001856EB" w:rsidRPr="001856EB" w14:paraId="25A837CE" w14:textId="77777777" w:rsidTr="001856EB">
        <w:trPr>
          <w:trHeight w:val="225"/>
        </w:trPr>
        <w:tc>
          <w:tcPr>
            <w:tcW w:w="1702" w:type="dxa"/>
            <w:tcBorders>
              <w:top w:val="nil"/>
              <w:left w:val="nil"/>
              <w:bottom w:val="nil"/>
              <w:right w:val="nil"/>
            </w:tcBorders>
            <w:shd w:val="clear" w:color="000000" w:fill="FFFFFF"/>
            <w:noWrap/>
            <w:vAlign w:val="center"/>
            <w:hideMark/>
          </w:tcPr>
          <w:p w14:paraId="21AAAF46"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Tas.</w:t>
            </w:r>
          </w:p>
        </w:tc>
        <w:tc>
          <w:tcPr>
            <w:tcW w:w="1195" w:type="dxa"/>
            <w:tcBorders>
              <w:top w:val="nil"/>
              <w:left w:val="nil"/>
              <w:bottom w:val="nil"/>
              <w:right w:val="nil"/>
            </w:tcBorders>
            <w:shd w:val="clear" w:color="000000" w:fill="FFFFFF"/>
            <w:noWrap/>
            <w:vAlign w:val="center"/>
            <w:hideMark/>
          </w:tcPr>
          <w:p w14:paraId="2C12CAA7" w14:textId="621742EB"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165</w:t>
            </w:r>
          </w:p>
        </w:tc>
        <w:tc>
          <w:tcPr>
            <w:tcW w:w="261" w:type="dxa"/>
            <w:tcBorders>
              <w:top w:val="nil"/>
              <w:left w:val="nil"/>
              <w:bottom w:val="nil"/>
              <w:right w:val="nil"/>
            </w:tcBorders>
            <w:shd w:val="clear" w:color="000000" w:fill="FFFFFF"/>
            <w:noWrap/>
            <w:vAlign w:val="center"/>
            <w:hideMark/>
          </w:tcPr>
          <w:p w14:paraId="67F52150"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219" w:type="dxa"/>
            <w:tcBorders>
              <w:top w:val="nil"/>
              <w:left w:val="nil"/>
              <w:bottom w:val="nil"/>
              <w:right w:val="nil"/>
            </w:tcBorders>
            <w:shd w:val="clear" w:color="000000" w:fill="FFFFFF"/>
            <w:noWrap/>
            <w:vAlign w:val="center"/>
            <w:hideMark/>
          </w:tcPr>
          <w:p w14:paraId="420BE031"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0.1</w:t>
            </w:r>
          </w:p>
        </w:tc>
        <w:tc>
          <w:tcPr>
            <w:tcW w:w="1922" w:type="dxa"/>
            <w:tcBorders>
              <w:top w:val="nil"/>
              <w:left w:val="nil"/>
              <w:bottom w:val="nil"/>
              <w:right w:val="nil"/>
            </w:tcBorders>
            <w:shd w:val="clear" w:color="000000" w:fill="FFFFFF"/>
            <w:noWrap/>
            <w:vAlign w:val="center"/>
            <w:hideMark/>
          </w:tcPr>
          <w:p w14:paraId="5CA48161"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0.0</w:t>
            </w:r>
          </w:p>
        </w:tc>
        <w:tc>
          <w:tcPr>
            <w:tcW w:w="261" w:type="dxa"/>
            <w:tcBorders>
              <w:top w:val="nil"/>
              <w:left w:val="nil"/>
              <w:bottom w:val="nil"/>
              <w:right w:val="nil"/>
            </w:tcBorders>
            <w:shd w:val="clear" w:color="000000" w:fill="FFFFFF"/>
            <w:noWrap/>
            <w:vAlign w:val="center"/>
            <w:hideMark/>
          </w:tcPr>
          <w:p w14:paraId="2E044E51"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150" w:type="dxa"/>
            <w:tcBorders>
              <w:top w:val="nil"/>
              <w:left w:val="nil"/>
              <w:bottom w:val="nil"/>
              <w:right w:val="nil"/>
            </w:tcBorders>
            <w:shd w:val="clear" w:color="000000" w:fill="FFFFFF"/>
            <w:noWrap/>
            <w:vAlign w:val="center"/>
            <w:hideMark/>
          </w:tcPr>
          <w:p w14:paraId="763D385D"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0.1</w:t>
            </w:r>
          </w:p>
        </w:tc>
      </w:tr>
      <w:tr w:rsidR="001856EB" w:rsidRPr="001856EB" w14:paraId="00404B22" w14:textId="77777777" w:rsidTr="001856EB">
        <w:trPr>
          <w:trHeight w:val="225"/>
        </w:trPr>
        <w:tc>
          <w:tcPr>
            <w:tcW w:w="1702" w:type="dxa"/>
            <w:tcBorders>
              <w:top w:val="nil"/>
              <w:left w:val="nil"/>
              <w:bottom w:val="nil"/>
              <w:right w:val="nil"/>
            </w:tcBorders>
            <w:shd w:val="clear" w:color="000000" w:fill="FFFFFF"/>
            <w:noWrap/>
            <w:vAlign w:val="center"/>
            <w:hideMark/>
          </w:tcPr>
          <w:p w14:paraId="4171A297"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Vic.</w:t>
            </w:r>
          </w:p>
        </w:tc>
        <w:tc>
          <w:tcPr>
            <w:tcW w:w="1195" w:type="dxa"/>
            <w:tcBorders>
              <w:top w:val="nil"/>
              <w:left w:val="nil"/>
              <w:bottom w:val="nil"/>
              <w:right w:val="nil"/>
            </w:tcBorders>
            <w:shd w:val="clear" w:color="000000" w:fill="FFFFFF"/>
            <w:noWrap/>
            <w:vAlign w:val="center"/>
            <w:hideMark/>
          </w:tcPr>
          <w:p w14:paraId="3F776302" w14:textId="6FEF2B8B"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3,163</w:t>
            </w:r>
          </w:p>
        </w:tc>
        <w:tc>
          <w:tcPr>
            <w:tcW w:w="261" w:type="dxa"/>
            <w:tcBorders>
              <w:top w:val="nil"/>
              <w:left w:val="nil"/>
              <w:bottom w:val="nil"/>
              <w:right w:val="nil"/>
            </w:tcBorders>
            <w:shd w:val="clear" w:color="000000" w:fill="FFFFFF"/>
            <w:noWrap/>
            <w:vAlign w:val="center"/>
            <w:hideMark/>
          </w:tcPr>
          <w:p w14:paraId="621E09A2"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219" w:type="dxa"/>
            <w:tcBorders>
              <w:top w:val="nil"/>
              <w:left w:val="nil"/>
              <w:bottom w:val="nil"/>
              <w:right w:val="nil"/>
            </w:tcBorders>
            <w:shd w:val="clear" w:color="000000" w:fill="FFFFFF"/>
            <w:noWrap/>
            <w:vAlign w:val="center"/>
            <w:hideMark/>
          </w:tcPr>
          <w:p w14:paraId="356477C0"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0.9</w:t>
            </w:r>
          </w:p>
        </w:tc>
        <w:tc>
          <w:tcPr>
            <w:tcW w:w="1922" w:type="dxa"/>
            <w:tcBorders>
              <w:top w:val="nil"/>
              <w:left w:val="nil"/>
              <w:bottom w:val="nil"/>
              <w:right w:val="nil"/>
            </w:tcBorders>
            <w:shd w:val="clear" w:color="000000" w:fill="FFFFFF"/>
            <w:noWrap/>
            <w:vAlign w:val="center"/>
            <w:hideMark/>
          </w:tcPr>
          <w:p w14:paraId="6A52C9CE"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2.9</w:t>
            </w:r>
          </w:p>
        </w:tc>
        <w:tc>
          <w:tcPr>
            <w:tcW w:w="261" w:type="dxa"/>
            <w:tcBorders>
              <w:top w:val="nil"/>
              <w:left w:val="nil"/>
              <w:bottom w:val="nil"/>
              <w:right w:val="nil"/>
            </w:tcBorders>
            <w:shd w:val="clear" w:color="000000" w:fill="FFFFFF"/>
            <w:noWrap/>
            <w:vAlign w:val="center"/>
            <w:hideMark/>
          </w:tcPr>
          <w:p w14:paraId="0514C180"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150" w:type="dxa"/>
            <w:tcBorders>
              <w:top w:val="nil"/>
              <w:left w:val="nil"/>
              <w:bottom w:val="nil"/>
              <w:right w:val="nil"/>
            </w:tcBorders>
            <w:shd w:val="clear" w:color="000000" w:fill="FFFFFF"/>
            <w:noWrap/>
            <w:vAlign w:val="center"/>
            <w:hideMark/>
          </w:tcPr>
          <w:p w14:paraId="085000ED"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3.9</w:t>
            </w:r>
          </w:p>
        </w:tc>
      </w:tr>
      <w:tr w:rsidR="001856EB" w:rsidRPr="001856EB" w14:paraId="761BA108" w14:textId="77777777" w:rsidTr="001856EB">
        <w:trPr>
          <w:trHeight w:val="225"/>
        </w:trPr>
        <w:tc>
          <w:tcPr>
            <w:tcW w:w="1702" w:type="dxa"/>
            <w:tcBorders>
              <w:top w:val="nil"/>
              <w:left w:val="nil"/>
              <w:bottom w:val="nil"/>
              <w:right w:val="nil"/>
            </w:tcBorders>
            <w:shd w:val="clear" w:color="000000" w:fill="FFFFFF"/>
            <w:noWrap/>
            <w:vAlign w:val="center"/>
            <w:hideMark/>
          </w:tcPr>
          <w:p w14:paraId="3D8F1252"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WA</w:t>
            </w:r>
          </w:p>
        </w:tc>
        <w:tc>
          <w:tcPr>
            <w:tcW w:w="1195" w:type="dxa"/>
            <w:tcBorders>
              <w:top w:val="nil"/>
              <w:left w:val="nil"/>
              <w:bottom w:val="nil"/>
              <w:right w:val="nil"/>
            </w:tcBorders>
            <w:shd w:val="clear" w:color="000000" w:fill="FFFFFF"/>
            <w:noWrap/>
            <w:vAlign w:val="center"/>
            <w:hideMark/>
          </w:tcPr>
          <w:p w14:paraId="34BEABC2" w14:textId="1B4D8268"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657</w:t>
            </w:r>
          </w:p>
        </w:tc>
        <w:tc>
          <w:tcPr>
            <w:tcW w:w="261" w:type="dxa"/>
            <w:tcBorders>
              <w:top w:val="nil"/>
              <w:left w:val="nil"/>
              <w:bottom w:val="nil"/>
              <w:right w:val="nil"/>
            </w:tcBorders>
            <w:shd w:val="clear" w:color="000000" w:fill="FFFFFF"/>
            <w:noWrap/>
            <w:vAlign w:val="center"/>
            <w:hideMark/>
          </w:tcPr>
          <w:p w14:paraId="11CFFCC8"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219" w:type="dxa"/>
            <w:tcBorders>
              <w:top w:val="nil"/>
              <w:left w:val="nil"/>
              <w:bottom w:val="nil"/>
              <w:right w:val="nil"/>
            </w:tcBorders>
            <w:shd w:val="clear" w:color="000000" w:fill="FFFFFF"/>
            <w:noWrap/>
            <w:vAlign w:val="center"/>
            <w:hideMark/>
          </w:tcPr>
          <w:p w14:paraId="73214D2F"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0.2</w:t>
            </w:r>
          </w:p>
        </w:tc>
        <w:tc>
          <w:tcPr>
            <w:tcW w:w="1922" w:type="dxa"/>
            <w:tcBorders>
              <w:top w:val="nil"/>
              <w:left w:val="nil"/>
              <w:bottom w:val="nil"/>
              <w:right w:val="nil"/>
            </w:tcBorders>
            <w:shd w:val="clear" w:color="000000" w:fill="FFFFFF"/>
            <w:noWrap/>
            <w:vAlign w:val="center"/>
            <w:hideMark/>
          </w:tcPr>
          <w:p w14:paraId="5F9AFDAE"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0.5</w:t>
            </w:r>
          </w:p>
        </w:tc>
        <w:tc>
          <w:tcPr>
            <w:tcW w:w="261" w:type="dxa"/>
            <w:tcBorders>
              <w:top w:val="nil"/>
              <w:left w:val="nil"/>
              <w:bottom w:val="nil"/>
              <w:right w:val="nil"/>
            </w:tcBorders>
            <w:shd w:val="clear" w:color="000000" w:fill="FFFFFF"/>
            <w:noWrap/>
            <w:vAlign w:val="center"/>
            <w:hideMark/>
          </w:tcPr>
          <w:p w14:paraId="5802F4EB"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150" w:type="dxa"/>
            <w:tcBorders>
              <w:top w:val="nil"/>
              <w:left w:val="nil"/>
              <w:bottom w:val="nil"/>
              <w:right w:val="nil"/>
            </w:tcBorders>
            <w:shd w:val="clear" w:color="000000" w:fill="FFFFFF"/>
            <w:noWrap/>
            <w:vAlign w:val="center"/>
            <w:hideMark/>
          </w:tcPr>
          <w:p w14:paraId="047ACD1E"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0.6</w:t>
            </w:r>
          </w:p>
        </w:tc>
      </w:tr>
      <w:tr w:rsidR="001856EB" w:rsidRPr="001856EB" w14:paraId="2056ABB4" w14:textId="77777777" w:rsidTr="00C45942">
        <w:trPr>
          <w:trHeight w:val="225"/>
        </w:trPr>
        <w:tc>
          <w:tcPr>
            <w:tcW w:w="1702" w:type="dxa"/>
            <w:tcBorders>
              <w:top w:val="nil"/>
              <w:left w:val="nil"/>
              <w:right w:val="nil"/>
            </w:tcBorders>
            <w:shd w:val="clear" w:color="000000" w:fill="FFFFFF"/>
            <w:noWrap/>
            <w:vAlign w:val="center"/>
            <w:hideMark/>
          </w:tcPr>
          <w:p w14:paraId="1CFDA565" w14:textId="77777777" w:rsidR="001856EB" w:rsidRPr="001856EB" w:rsidRDefault="001856EB" w:rsidP="001856EB">
            <w:pPr>
              <w:spacing w:after="0" w:line="240" w:lineRule="auto"/>
              <w:jc w:val="left"/>
              <w:rPr>
                <w:rFonts w:ascii="Arial" w:hAnsi="Arial" w:cs="Arial"/>
                <w:sz w:val="16"/>
                <w:szCs w:val="16"/>
              </w:rPr>
            </w:pPr>
            <w:r w:rsidRPr="001856EB">
              <w:rPr>
                <w:rFonts w:ascii="Arial" w:hAnsi="Arial" w:cs="Arial"/>
                <w:sz w:val="16"/>
                <w:szCs w:val="16"/>
              </w:rPr>
              <w:t>Various</w:t>
            </w:r>
            <w:r w:rsidRPr="001856EB">
              <w:rPr>
                <w:rFonts w:ascii="Arial" w:hAnsi="Arial" w:cs="Arial"/>
                <w:sz w:val="12"/>
                <w:szCs w:val="12"/>
              </w:rPr>
              <w:t xml:space="preserve"> </w:t>
            </w:r>
            <w:r w:rsidRPr="001856EB">
              <w:rPr>
                <w:rFonts w:ascii="Arial" w:hAnsi="Arial" w:cs="Arial"/>
                <w:sz w:val="16"/>
                <w:szCs w:val="16"/>
              </w:rPr>
              <w:t>(a)</w:t>
            </w:r>
          </w:p>
        </w:tc>
        <w:tc>
          <w:tcPr>
            <w:tcW w:w="1195" w:type="dxa"/>
            <w:tcBorders>
              <w:top w:val="nil"/>
              <w:left w:val="nil"/>
              <w:bottom w:val="single" w:sz="2" w:space="0" w:color="000000" w:themeColor="text1"/>
              <w:right w:val="nil"/>
            </w:tcBorders>
            <w:shd w:val="clear" w:color="000000" w:fill="FFFFFF"/>
            <w:noWrap/>
            <w:vAlign w:val="center"/>
            <w:hideMark/>
          </w:tcPr>
          <w:p w14:paraId="49BEE656" w14:textId="11442949"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31</w:t>
            </w:r>
          </w:p>
        </w:tc>
        <w:tc>
          <w:tcPr>
            <w:tcW w:w="261" w:type="dxa"/>
            <w:tcBorders>
              <w:top w:val="nil"/>
              <w:left w:val="nil"/>
              <w:right w:val="nil"/>
            </w:tcBorders>
            <w:shd w:val="clear" w:color="000000" w:fill="FFFFFF"/>
            <w:noWrap/>
            <w:vAlign w:val="center"/>
            <w:hideMark/>
          </w:tcPr>
          <w:p w14:paraId="3B97587E" w14:textId="77777777" w:rsidR="001856EB" w:rsidRPr="001856EB" w:rsidRDefault="001856EB" w:rsidP="001856EB">
            <w:pPr>
              <w:spacing w:after="0" w:line="240" w:lineRule="auto"/>
              <w:jc w:val="left"/>
              <w:rPr>
                <w:rFonts w:ascii="Arial" w:hAnsi="Arial" w:cs="Arial"/>
                <w:color w:val="auto"/>
                <w:sz w:val="16"/>
                <w:szCs w:val="16"/>
              </w:rPr>
            </w:pPr>
            <w:r w:rsidRPr="001856EB">
              <w:rPr>
                <w:rFonts w:ascii="Arial" w:hAnsi="Arial" w:cs="Arial"/>
                <w:color w:val="auto"/>
                <w:sz w:val="16"/>
                <w:szCs w:val="16"/>
              </w:rPr>
              <w:t> </w:t>
            </w:r>
          </w:p>
        </w:tc>
        <w:tc>
          <w:tcPr>
            <w:tcW w:w="1219" w:type="dxa"/>
            <w:tcBorders>
              <w:top w:val="nil"/>
              <w:left w:val="nil"/>
              <w:bottom w:val="single" w:sz="2" w:space="0" w:color="000000" w:themeColor="text1"/>
              <w:right w:val="nil"/>
            </w:tcBorders>
            <w:shd w:val="clear" w:color="000000" w:fill="FFFFFF"/>
            <w:noWrap/>
            <w:vAlign w:val="center"/>
            <w:hideMark/>
          </w:tcPr>
          <w:p w14:paraId="382ABF27"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0.1</w:t>
            </w:r>
          </w:p>
        </w:tc>
        <w:tc>
          <w:tcPr>
            <w:tcW w:w="1922" w:type="dxa"/>
            <w:tcBorders>
              <w:top w:val="nil"/>
              <w:left w:val="nil"/>
              <w:bottom w:val="single" w:sz="2" w:space="0" w:color="000000" w:themeColor="text1"/>
              <w:right w:val="nil"/>
            </w:tcBorders>
            <w:shd w:val="clear" w:color="000000" w:fill="FFFFFF"/>
            <w:noWrap/>
            <w:vAlign w:val="center"/>
            <w:hideMark/>
          </w:tcPr>
          <w:p w14:paraId="5AF40BCA"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5.4</w:t>
            </w:r>
          </w:p>
        </w:tc>
        <w:tc>
          <w:tcPr>
            <w:tcW w:w="261" w:type="dxa"/>
            <w:tcBorders>
              <w:top w:val="nil"/>
              <w:left w:val="nil"/>
              <w:right w:val="nil"/>
            </w:tcBorders>
            <w:shd w:val="clear" w:color="000000" w:fill="FFFFFF"/>
            <w:noWrap/>
            <w:vAlign w:val="center"/>
            <w:hideMark/>
          </w:tcPr>
          <w:p w14:paraId="5F752F4E"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 </w:t>
            </w:r>
          </w:p>
        </w:tc>
        <w:tc>
          <w:tcPr>
            <w:tcW w:w="1150" w:type="dxa"/>
            <w:tcBorders>
              <w:top w:val="nil"/>
              <w:left w:val="nil"/>
              <w:bottom w:val="single" w:sz="2" w:space="0" w:color="000000" w:themeColor="text1"/>
              <w:right w:val="nil"/>
            </w:tcBorders>
            <w:shd w:val="clear" w:color="000000" w:fill="FFFFFF"/>
            <w:noWrap/>
            <w:vAlign w:val="center"/>
            <w:hideMark/>
          </w:tcPr>
          <w:p w14:paraId="2DA4A4E5" w14:textId="77777777" w:rsidR="001856EB" w:rsidRPr="001856EB" w:rsidRDefault="001856EB" w:rsidP="001856EB">
            <w:pPr>
              <w:spacing w:after="0" w:line="240" w:lineRule="auto"/>
              <w:jc w:val="right"/>
              <w:rPr>
                <w:rFonts w:ascii="Arial" w:hAnsi="Arial" w:cs="Arial"/>
                <w:color w:val="auto"/>
                <w:sz w:val="16"/>
                <w:szCs w:val="16"/>
              </w:rPr>
            </w:pPr>
            <w:r w:rsidRPr="001856EB">
              <w:rPr>
                <w:rFonts w:ascii="Arial" w:hAnsi="Arial" w:cs="Arial"/>
                <w:color w:val="auto"/>
                <w:sz w:val="16"/>
                <w:szCs w:val="16"/>
              </w:rPr>
              <w:t>5.5</w:t>
            </w:r>
          </w:p>
        </w:tc>
      </w:tr>
      <w:tr w:rsidR="001856EB" w:rsidRPr="001856EB" w14:paraId="49F0109E" w14:textId="77777777" w:rsidTr="00C45942">
        <w:trPr>
          <w:trHeight w:val="225"/>
        </w:trPr>
        <w:tc>
          <w:tcPr>
            <w:tcW w:w="1702" w:type="dxa"/>
            <w:tcBorders>
              <w:left w:val="nil"/>
              <w:bottom w:val="single" w:sz="2" w:space="0" w:color="000000" w:themeColor="text1"/>
              <w:right w:val="nil"/>
            </w:tcBorders>
            <w:shd w:val="clear" w:color="000000" w:fill="FFFFFF"/>
            <w:noWrap/>
            <w:vAlign w:val="center"/>
            <w:hideMark/>
          </w:tcPr>
          <w:p w14:paraId="3805C8F2" w14:textId="77777777" w:rsidR="001856EB" w:rsidRPr="001856EB" w:rsidRDefault="001856EB" w:rsidP="001856EB">
            <w:pPr>
              <w:spacing w:after="0" w:line="240" w:lineRule="auto"/>
              <w:jc w:val="left"/>
              <w:rPr>
                <w:rFonts w:ascii="Arial" w:hAnsi="Arial" w:cs="Arial"/>
                <w:b/>
                <w:bCs/>
                <w:sz w:val="16"/>
                <w:szCs w:val="16"/>
              </w:rPr>
            </w:pPr>
            <w:r w:rsidRPr="001856EB">
              <w:rPr>
                <w:rFonts w:ascii="Arial" w:hAnsi="Arial" w:cs="Arial"/>
                <w:b/>
                <w:bCs/>
                <w:sz w:val="16"/>
                <w:szCs w:val="16"/>
              </w:rPr>
              <w:t>Total</w:t>
            </w:r>
          </w:p>
        </w:tc>
        <w:tc>
          <w:tcPr>
            <w:tcW w:w="1195" w:type="dxa"/>
            <w:tcBorders>
              <w:top w:val="single" w:sz="2" w:space="0" w:color="000000" w:themeColor="text1"/>
              <w:left w:val="nil"/>
              <w:bottom w:val="single" w:sz="2" w:space="0" w:color="000000" w:themeColor="text1"/>
              <w:right w:val="nil"/>
            </w:tcBorders>
            <w:shd w:val="clear" w:color="000000" w:fill="FFFFFF"/>
            <w:noWrap/>
            <w:vAlign w:val="center"/>
            <w:hideMark/>
          </w:tcPr>
          <w:p w14:paraId="50FABA5D" w14:textId="1ADC76DA" w:rsidR="001856EB" w:rsidRPr="001856EB" w:rsidRDefault="001856EB" w:rsidP="001856EB">
            <w:pPr>
              <w:spacing w:after="0" w:line="240" w:lineRule="auto"/>
              <w:jc w:val="right"/>
              <w:rPr>
                <w:rFonts w:ascii="Arial" w:hAnsi="Arial" w:cs="Arial"/>
                <w:b/>
                <w:bCs/>
                <w:color w:val="auto"/>
                <w:sz w:val="16"/>
                <w:szCs w:val="16"/>
              </w:rPr>
            </w:pPr>
            <w:r w:rsidRPr="001856EB">
              <w:rPr>
                <w:rFonts w:ascii="Arial" w:hAnsi="Arial" w:cs="Arial"/>
                <w:b/>
                <w:bCs/>
                <w:color w:val="auto"/>
                <w:sz w:val="16"/>
                <w:szCs w:val="16"/>
              </w:rPr>
              <w:t>7,513</w:t>
            </w:r>
          </w:p>
        </w:tc>
        <w:tc>
          <w:tcPr>
            <w:tcW w:w="261" w:type="dxa"/>
            <w:tcBorders>
              <w:left w:val="nil"/>
              <w:bottom w:val="single" w:sz="2" w:space="0" w:color="000000" w:themeColor="text1"/>
              <w:right w:val="nil"/>
            </w:tcBorders>
            <w:shd w:val="clear" w:color="000000" w:fill="FFFFFF"/>
            <w:noWrap/>
            <w:vAlign w:val="center"/>
            <w:hideMark/>
          </w:tcPr>
          <w:p w14:paraId="3DCC6271" w14:textId="77777777" w:rsidR="001856EB" w:rsidRPr="001856EB" w:rsidRDefault="001856EB" w:rsidP="001856EB">
            <w:pPr>
              <w:spacing w:after="0" w:line="240" w:lineRule="auto"/>
              <w:jc w:val="left"/>
              <w:rPr>
                <w:rFonts w:ascii="Arial" w:hAnsi="Arial" w:cs="Arial"/>
                <w:b/>
                <w:bCs/>
                <w:color w:val="auto"/>
                <w:sz w:val="16"/>
                <w:szCs w:val="16"/>
              </w:rPr>
            </w:pPr>
            <w:r w:rsidRPr="001856EB">
              <w:rPr>
                <w:rFonts w:ascii="Arial" w:hAnsi="Arial" w:cs="Arial"/>
                <w:b/>
                <w:bCs/>
                <w:color w:val="auto"/>
                <w:sz w:val="16"/>
                <w:szCs w:val="16"/>
              </w:rPr>
              <w:t> </w:t>
            </w:r>
          </w:p>
        </w:tc>
        <w:tc>
          <w:tcPr>
            <w:tcW w:w="1219" w:type="dxa"/>
            <w:tcBorders>
              <w:top w:val="single" w:sz="2" w:space="0" w:color="000000" w:themeColor="text1"/>
              <w:left w:val="nil"/>
              <w:bottom w:val="single" w:sz="2" w:space="0" w:color="000000" w:themeColor="text1"/>
              <w:right w:val="nil"/>
            </w:tcBorders>
            <w:shd w:val="clear" w:color="000000" w:fill="FFFFFF"/>
            <w:noWrap/>
            <w:vAlign w:val="center"/>
            <w:hideMark/>
          </w:tcPr>
          <w:p w14:paraId="64E96F07" w14:textId="77777777" w:rsidR="001856EB" w:rsidRPr="001856EB" w:rsidRDefault="001856EB" w:rsidP="001856EB">
            <w:pPr>
              <w:spacing w:after="0" w:line="240" w:lineRule="auto"/>
              <w:jc w:val="right"/>
              <w:rPr>
                <w:rFonts w:ascii="Arial" w:hAnsi="Arial" w:cs="Arial"/>
                <w:b/>
                <w:bCs/>
                <w:color w:val="auto"/>
                <w:sz w:val="16"/>
                <w:szCs w:val="16"/>
              </w:rPr>
            </w:pPr>
            <w:r w:rsidRPr="001856EB">
              <w:rPr>
                <w:rFonts w:ascii="Arial" w:hAnsi="Arial" w:cs="Arial"/>
                <w:b/>
                <w:bCs/>
                <w:color w:val="auto"/>
                <w:sz w:val="16"/>
                <w:szCs w:val="16"/>
              </w:rPr>
              <w:t>1.8</w:t>
            </w:r>
          </w:p>
        </w:tc>
        <w:tc>
          <w:tcPr>
            <w:tcW w:w="1922" w:type="dxa"/>
            <w:tcBorders>
              <w:top w:val="single" w:sz="2" w:space="0" w:color="000000" w:themeColor="text1"/>
              <w:left w:val="nil"/>
              <w:bottom w:val="single" w:sz="2" w:space="0" w:color="000000" w:themeColor="text1"/>
              <w:right w:val="nil"/>
            </w:tcBorders>
            <w:shd w:val="clear" w:color="000000" w:fill="FFFFFF"/>
            <w:noWrap/>
            <w:vAlign w:val="center"/>
            <w:hideMark/>
          </w:tcPr>
          <w:p w14:paraId="6A55418C" w14:textId="77777777" w:rsidR="001856EB" w:rsidRPr="001856EB" w:rsidRDefault="001856EB" w:rsidP="001856EB">
            <w:pPr>
              <w:spacing w:after="0" w:line="240" w:lineRule="auto"/>
              <w:jc w:val="right"/>
              <w:rPr>
                <w:rFonts w:ascii="Arial" w:hAnsi="Arial" w:cs="Arial"/>
                <w:b/>
                <w:bCs/>
                <w:color w:val="auto"/>
                <w:sz w:val="16"/>
                <w:szCs w:val="16"/>
              </w:rPr>
            </w:pPr>
            <w:r w:rsidRPr="001856EB">
              <w:rPr>
                <w:rFonts w:ascii="Arial" w:hAnsi="Arial" w:cs="Arial"/>
                <w:b/>
                <w:bCs/>
                <w:color w:val="auto"/>
                <w:sz w:val="16"/>
                <w:szCs w:val="16"/>
              </w:rPr>
              <w:t>13.0</w:t>
            </w:r>
          </w:p>
        </w:tc>
        <w:tc>
          <w:tcPr>
            <w:tcW w:w="261" w:type="dxa"/>
            <w:tcBorders>
              <w:left w:val="nil"/>
              <w:bottom w:val="single" w:sz="2" w:space="0" w:color="000000" w:themeColor="text1"/>
              <w:right w:val="nil"/>
            </w:tcBorders>
            <w:shd w:val="clear" w:color="000000" w:fill="FFFFFF"/>
            <w:noWrap/>
            <w:vAlign w:val="center"/>
            <w:hideMark/>
          </w:tcPr>
          <w:p w14:paraId="63C0882D" w14:textId="77777777" w:rsidR="001856EB" w:rsidRPr="001856EB" w:rsidRDefault="001856EB" w:rsidP="001856EB">
            <w:pPr>
              <w:spacing w:after="0" w:line="240" w:lineRule="auto"/>
              <w:jc w:val="left"/>
              <w:rPr>
                <w:rFonts w:ascii="Arial" w:hAnsi="Arial" w:cs="Arial"/>
                <w:b/>
                <w:bCs/>
                <w:color w:val="auto"/>
                <w:sz w:val="16"/>
                <w:szCs w:val="16"/>
              </w:rPr>
            </w:pPr>
            <w:r w:rsidRPr="001856EB">
              <w:rPr>
                <w:rFonts w:ascii="Arial" w:hAnsi="Arial" w:cs="Arial"/>
                <w:b/>
                <w:bCs/>
                <w:color w:val="auto"/>
                <w:sz w:val="16"/>
                <w:szCs w:val="16"/>
              </w:rPr>
              <w:t> </w:t>
            </w:r>
          </w:p>
        </w:tc>
        <w:tc>
          <w:tcPr>
            <w:tcW w:w="1150" w:type="dxa"/>
            <w:tcBorders>
              <w:top w:val="single" w:sz="2" w:space="0" w:color="000000" w:themeColor="text1"/>
              <w:left w:val="nil"/>
              <w:bottom w:val="single" w:sz="2" w:space="0" w:color="000000" w:themeColor="text1"/>
              <w:right w:val="nil"/>
            </w:tcBorders>
            <w:shd w:val="clear" w:color="000000" w:fill="FFFFFF"/>
            <w:noWrap/>
            <w:vAlign w:val="center"/>
            <w:hideMark/>
          </w:tcPr>
          <w:p w14:paraId="6C350AE6" w14:textId="77777777" w:rsidR="001856EB" w:rsidRPr="001856EB" w:rsidRDefault="001856EB" w:rsidP="001856EB">
            <w:pPr>
              <w:spacing w:after="0" w:line="240" w:lineRule="auto"/>
              <w:jc w:val="right"/>
              <w:rPr>
                <w:rFonts w:ascii="Arial" w:hAnsi="Arial" w:cs="Arial"/>
                <w:b/>
                <w:bCs/>
                <w:color w:val="auto"/>
                <w:sz w:val="16"/>
                <w:szCs w:val="16"/>
              </w:rPr>
            </w:pPr>
            <w:r w:rsidRPr="001856EB">
              <w:rPr>
                <w:rFonts w:ascii="Arial" w:hAnsi="Arial" w:cs="Arial"/>
                <w:b/>
                <w:bCs/>
                <w:color w:val="auto"/>
                <w:sz w:val="16"/>
                <w:szCs w:val="16"/>
              </w:rPr>
              <w:t>14.8</w:t>
            </w:r>
          </w:p>
        </w:tc>
      </w:tr>
    </w:tbl>
    <w:p w14:paraId="73DE64E4" w14:textId="1C11F6B3" w:rsidR="00A84283" w:rsidRPr="00F3272D" w:rsidRDefault="00A84283" w:rsidP="007149D6">
      <w:pPr>
        <w:pStyle w:val="ChartandTableFootnoteAlpha"/>
        <w:numPr>
          <w:ilvl w:val="0"/>
          <w:numId w:val="13"/>
        </w:numPr>
      </w:pPr>
      <w:r w:rsidRPr="00F3272D">
        <w:t>Comprises approvals where the proposed investment is to be undertaken in more than one state or territory.</w:t>
      </w:r>
    </w:p>
    <w:p w14:paraId="35D17BBC" w14:textId="77777777" w:rsidR="00A84283" w:rsidRPr="00743BAD" w:rsidRDefault="00A84283" w:rsidP="006D64A2">
      <w:pPr>
        <w:pStyle w:val="ChartorTableNote"/>
      </w:pPr>
      <w:r w:rsidRPr="00743BAD">
        <w:t xml:space="preserve">Notes: </w:t>
      </w:r>
      <w:r w:rsidRPr="00743BAD">
        <w:tab/>
        <w:t>Totals may not add due to rounding.</w:t>
      </w:r>
    </w:p>
    <w:p w14:paraId="4084AD58" w14:textId="09958831" w:rsidR="00A84283" w:rsidRPr="00743BAD" w:rsidRDefault="00A84283" w:rsidP="006D64A2">
      <w:pPr>
        <w:pStyle w:val="ChartorTableNote"/>
      </w:pPr>
      <w:r w:rsidRPr="00743BAD">
        <w:t>Includes exemption certificates.</w:t>
      </w:r>
    </w:p>
    <w:p w14:paraId="3CFADED6" w14:textId="48EE860C" w:rsidR="00A84283" w:rsidRPr="00743BAD" w:rsidRDefault="00A84283" w:rsidP="00406C1F">
      <w:pPr>
        <w:pStyle w:val="ChartorTableNote"/>
      </w:pPr>
      <w:r w:rsidRPr="00743BAD">
        <w:t>‘0.0’ indicates a figure of zero or a figure less than $50</w:t>
      </w:r>
      <w:r w:rsidR="009C36AC">
        <w:t> </w:t>
      </w:r>
      <w:r w:rsidRPr="00743BAD">
        <w:t>million.</w:t>
      </w:r>
    </w:p>
    <w:p w14:paraId="7F4397B9" w14:textId="3A4AEA9D" w:rsidR="00A84283" w:rsidRPr="00743BAD" w:rsidRDefault="00A84283">
      <w:pPr>
        <w:pStyle w:val="ChartorTableNote"/>
      </w:pPr>
      <w:r w:rsidRPr="00743BAD">
        <w:t>The 2017</w:t>
      </w:r>
      <w:r w:rsidR="00D63159" w:rsidRPr="00743BAD">
        <w:noBreakHyphen/>
      </w:r>
      <w:r w:rsidRPr="00743BAD">
        <w:t>18 figures were impacted by the reforms announced in the 2017</w:t>
      </w:r>
      <w:r w:rsidR="009C36AC">
        <w:noBreakHyphen/>
      </w:r>
      <w:r w:rsidRPr="00743BAD">
        <w:t>18 Budget, which were given effect on 1</w:t>
      </w:r>
      <w:r w:rsidR="009C36AC">
        <w:t> July </w:t>
      </w:r>
      <w:r w:rsidRPr="00743BAD">
        <w:t>2017. The reforms may affect data comparability.</w:t>
      </w:r>
    </w:p>
    <w:p w14:paraId="5F208832" w14:textId="450FE417" w:rsidR="00A84283" w:rsidRDefault="00A84283" w:rsidP="00743BAD">
      <w:pPr>
        <w:pStyle w:val="TableMainHeading"/>
      </w:pPr>
      <w:bookmarkStart w:id="119" w:name="_Toc32247773"/>
      <w:bookmarkStart w:id="120" w:name="_Toc33521358"/>
      <w:r w:rsidRPr="00743BAD">
        <w:t>Table 3.12: State and territory distribution of proposed investment in residential real estate, by type in 20</w:t>
      </w:r>
      <w:r w:rsidR="00460353" w:rsidRPr="00743BAD">
        <w:t>18</w:t>
      </w:r>
      <w:r w:rsidR="00460353" w:rsidRPr="00743BAD">
        <w:noBreakHyphen/>
      </w:r>
      <w:r w:rsidRPr="00743BAD">
        <w:t>1</w:t>
      </w:r>
      <w:r w:rsidR="00460353" w:rsidRPr="00743BAD">
        <w:t>9</w:t>
      </w:r>
      <w:bookmarkEnd w:id="119"/>
      <w:bookmarkEnd w:id="120"/>
      <w:r w:rsidRPr="00743BAD">
        <w:t xml:space="preserve"> </w:t>
      </w:r>
    </w:p>
    <w:tbl>
      <w:tblPr>
        <w:tblW w:w="5000" w:type="pct"/>
        <w:tblLayout w:type="fixed"/>
        <w:tblLook w:val="04A0" w:firstRow="1" w:lastRow="0" w:firstColumn="1" w:lastColumn="0" w:noHBand="0" w:noVBand="1"/>
      </w:tblPr>
      <w:tblGrid>
        <w:gridCol w:w="921"/>
        <w:gridCol w:w="639"/>
        <w:gridCol w:w="425"/>
        <w:gridCol w:w="689"/>
        <w:gridCol w:w="445"/>
        <w:gridCol w:w="567"/>
        <w:gridCol w:w="567"/>
        <w:gridCol w:w="283"/>
        <w:gridCol w:w="426"/>
        <w:gridCol w:w="425"/>
        <w:gridCol w:w="567"/>
        <w:gridCol w:w="567"/>
        <w:gridCol w:w="567"/>
        <w:gridCol w:w="622"/>
      </w:tblGrid>
      <w:tr w:rsidR="005668A1" w:rsidRPr="00D66648" w14:paraId="3EBAD000" w14:textId="77777777" w:rsidTr="00C45942">
        <w:tc>
          <w:tcPr>
            <w:tcW w:w="921" w:type="dxa"/>
            <w:tcBorders>
              <w:top w:val="single" w:sz="2" w:space="0" w:color="000000" w:themeColor="text1"/>
              <w:left w:val="nil"/>
              <w:right w:val="nil"/>
            </w:tcBorders>
            <w:shd w:val="clear" w:color="000000" w:fill="FFFFFF"/>
            <w:noWrap/>
            <w:vAlign w:val="center"/>
            <w:hideMark/>
          </w:tcPr>
          <w:p w14:paraId="4A3BBEE8" w14:textId="77777777" w:rsidR="00626056" w:rsidRPr="00D66648" w:rsidRDefault="00626056" w:rsidP="00D66648">
            <w:pPr>
              <w:pStyle w:val="TableTextBase"/>
            </w:pPr>
            <w:r w:rsidRPr="00D66648">
              <w:t> </w:t>
            </w:r>
          </w:p>
        </w:tc>
        <w:tc>
          <w:tcPr>
            <w:tcW w:w="1064" w:type="dxa"/>
            <w:gridSpan w:val="2"/>
            <w:tcBorders>
              <w:top w:val="single" w:sz="2" w:space="0" w:color="000000" w:themeColor="text1"/>
              <w:left w:val="nil"/>
              <w:right w:val="nil"/>
            </w:tcBorders>
            <w:shd w:val="clear" w:color="000000" w:fill="FFFFFF"/>
            <w:vAlign w:val="center"/>
            <w:hideMark/>
          </w:tcPr>
          <w:p w14:paraId="7117A0E5" w14:textId="77777777" w:rsidR="00626056" w:rsidRPr="00D66648" w:rsidRDefault="00626056" w:rsidP="008A4010">
            <w:pPr>
              <w:pStyle w:val="TableTextBase"/>
              <w:jc w:val="center"/>
            </w:pPr>
            <w:r w:rsidRPr="00D66648">
              <w:t>New</w:t>
            </w:r>
            <w:r w:rsidRPr="00D66648">
              <w:br/>
              <w:t>Dwelling</w:t>
            </w:r>
          </w:p>
        </w:tc>
        <w:tc>
          <w:tcPr>
            <w:tcW w:w="1134" w:type="dxa"/>
            <w:gridSpan w:val="2"/>
            <w:tcBorders>
              <w:top w:val="single" w:sz="2" w:space="0" w:color="000000" w:themeColor="text1"/>
              <w:left w:val="nil"/>
              <w:right w:val="nil"/>
            </w:tcBorders>
            <w:shd w:val="clear" w:color="000000" w:fill="FFFFFF"/>
            <w:vAlign w:val="center"/>
            <w:hideMark/>
          </w:tcPr>
          <w:p w14:paraId="3284707F" w14:textId="77777777" w:rsidR="00626056" w:rsidRPr="00D66648" w:rsidRDefault="00626056" w:rsidP="008A4010">
            <w:pPr>
              <w:pStyle w:val="TableTextBase"/>
              <w:jc w:val="center"/>
            </w:pPr>
            <w:r w:rsidRPr="00D66648">
              <w:t>Existing</w:t>
            </w:r>
            <w:r w:rsidRPr="00D66648">
              <w:br/>
              <w:t>Property</w:t>
            </w:r>
          </w:p>
        </w:tc>
        <w:tc>
          <w:tcPr>
            <w:tcW w:w="1417" w:type="dxa"/>
            <w:gridSpan w:val="3"/>
            <w:tcBorders>
              <w:top w:val="single" w:sz="2" w:space="0" w:color="000000" w:themeColor="text1"/>
              <w:left w:val="nil"/>
              <w:right w:val="nil"/>
            </w:tcBorders>
            <w:shd w:val="clear" w:color="000000" w:fill="FFFFFF"/>
            <w:noWrap/>
            <w:vAlign w:val="bottom"/>
            <w:hideMark/>
          </w:tcPr>
          <w:p w14:paraId="1DDC82FE" w14:textId="77777777" w:rsidR="00626056" w:rsidRPr="00D66648" w:rsidRDefault="00626056" w:rsidP="008A4010">
            <w:pPr>
              <w:pStyle w:val="TableTextBase"/>
            </w:pPr>
            <w:r w:rsidRPr="00D66648">
              <w:t>Redevelopment</w:t>
            </w:r>
          </w:p>
        </w:tc>
        <w:tc>
          <w:tcPr>
            <w:tcW w:w="851" w:type="dxa"/>
            <w:gridSpan w:val="2"/>
            <w:tcBorders>
              <w:top w:val="single" w:sz="2" w:space="0" w:color="000000" w:themeColor="text1"/>
              <w:left w:val="nil"/>
              <w:right w:val="nil"/>
            </w:tcBorders>
            <w:shd w:val="clear" w:color="000000" w:fill="FFFFFF"/>
            <w:vAlign w:val="center"/>
            <w:hideMark/>
          </w:tcPr>
          <w:p w14:paraId="2F9A0F5C" w14:textId="77777777" w:rsidR="00626056" w:rsidRPr="00D66648" w:rsidRDefault="00626056" w:rsidP="008A4010">
            <w:pPr>
              <w:pStyle w:val="TableTextBase"/>
              <w:jc w:val="center"/>
            </w:pPr>
            <w:r w:rsidRPr="00D66648">
              <w:t>Vacant</w:t>
            </w:r>
            <w:r w:rsidRPr="00D66648">
              <w:br/>
              <w:t>land</w:t>
            </w:r>
          </w:p>
        </w:tc>
        <w:tc>
          <w:tcPr>
            <w:tcW w:w="1134" w:type="dxa"/>
            <w:gridSpan w:val="2"/>
            <w:tcBorders>
              <w:top w:val="single" w:sz="2" w:space="0" w:color="000000" w:themeColor="text1"/>
              <w:left w:val="nil"/>
              <w:right w:val="nil"/>
            </w:tcBorders>
            <w:shd w:val="clear" w:color="000000" w:fill="FFFFFF"/>
            <w:noWrap/>
            <w:vAlign w:val="bottom"/>
            <w:hideMark/>
          </w:tcPr>
          <w:p w14:paraId="444C0208" w14:textId="77777777" w:rsidR="00626056" w:rsidRPr="00D66648" w:rsidRDefault="00626056" w:rsidP="008A4010">
            <w:pPr>
              <w:pStyle w:val="TableTextBase"/>
              <w:jc w:val="center"/>
            </w:pPr>
            <w:r w:rsidRPr="00D66648">
              <w:t>Developer (b)</w:t>
            </w:r>
          </w:p>
        </w:tc>
        <w:tc>
          <w:tcPr>
            <w:tcW w:w="1189" w:type="dxa"/>
            <w:gridSpan w:val="2"/>
            <w:tcBorders>
              <w:top w:val="single" w:sz="2" w:space="0" w:color="000000" w:themeColor="text1"/>
              <w:left w:val="nil"/>
              <w:right w:val="nil"/>
            </w:tcBorders>
            <w:shd w:val="clear" w:color="000000" w:fill="FFFFFF"/>
            <w:noWrap/>
            <w:vAlign w:val="bottom"/>
            <w:hideMark/>
          </w:tcPr>
          <w:p w14:paraId="32F6BCEE" w14:textId="77777777" w:rsidR="00626056" w:rsidRPr="00D66648" w:rsidRDefault="00626056" w:rsidP="008A4010">
            <w:pPr>
              <w:pStyle w:val="TableTextBase"/>
              <w:jc w:val="center"/>
            </w:pPr>
            <w:r w:rsidRPr="00D66648">
              <w:t>Combination ECs</w:t>
            </w:r>
          </w:p>
        </w:tc>
      </w:tr>
      <w:tr w:rsidR="005668A1" w:rsidRPr="00D66648" w14:paraId="1BEA0C40" w14:textId="77777777" w:rsidTr="00C45942">
        <w:tc>
          <w:tcPr>
            <w:tcW w:w="921" w:type="dxa"/>
            <w:tcBorders>
              <w:top w:val="nil"/>
              <w:left w:val="nil"/>
              <w:bottom w:val="single" w:sz="2" w:space="0" w:color="000000" w:themeColor="text1"/>
              <w:right w:val="nil"/>
            </w:tcBorders>
            <w:shd w:val="clear" w:color="000000" w:fill="FFFFFF"/>
            <w:noWrap/>
            <w:vAlign w:val="center"/>
            <w:hideMark/>
          </w:tcPr>
          <w:p w14:paraId="1FCA6C2A" w14:textId="77777777" w:rsidR="00626056" w:rsidRPr="00D66648" w:rsidRDefault="00626056" w:rsidP="00D66648">
            <w:pPr>
              <w:pStyle w:val="TableTextBase"/>
            </w:pPr>
            <w:r w:rsidRPr="00D66648">
              <w:t>Location</w:t>
            </w:r>
          </w:p>
        </w:tc>
        <w:tc>
          <w:tcPr>
            <w:tcW w:w="639" w:type="dxa"/>
            <w:tcBorders>
              <w:top w:val="nil"/>
              <w:left w:val="nil"/>
              <w:bottom w:val="single" w:sz="2" w:space="0" w:color="000000" w:themeColor="text1"/>
              <w:right w:val="nil"/>
            </w:tcBorders>
            <w:shd w:val="clear" w:color="000000" w:fill="FFFFFF"/>
            <w:noWrap/>
            <w:vAlign w:val="center"/>
            <w:hideMark/>
          </w:tcPr>
          <w:p w14:paraId="33A44AC5" w14:textId="77777777" w:rsidR="00626056" w:rsidRPr="00D66648" w:rsidRDefault="00626056" w:rsidP="00D66648">
            <w:pPr>
              <w:pStyle w:val="TableTextBase"/>
            </w:pPr>
            <w:r w:rsidRPr="00D66648">
              <w:t>No.</w:t>
            </w:r>
          </w:p>
        </w:tc>
        <w:tc>
          <w:tcPr>
            <w:tcW w:w="425" w:type="dxa"/>
            <w:tcBorders>
              <w:top w:val="nil"/>
              <w:left w:val="nil"/>
              <w:bottom w:val="single" w:sz="2" w:space="0" w:color="000000" w:themeColor="text1"/>
              <w:right w:val="nil"/>
            </w:tcBorders>
            <w:shd w:val="clear" w:color="000000" w:fill="FFFFFF"/>
            <w:noWrap/>
            <w:vAlign w:val="center"/>
            <w:hideMark/>
          </w:tcPr>
          <w:p w14:paraId="40D5344B" w14:textId="275FB84D" w:rsidR="00626056" w:rsidRPr="00D66648" w:rsidRDefault="000D6976" w:rsidP="00D66648">
            <w:pPr>
              <w:pStyle w:val="TableTextBase"/>
            </w:pPr>
            <w:r w:rsidRPr="00D66648">
              <w:t>$b</w:t>
            </w:r>
          </w:p>
        </w:tc>
        <w:tc>
          <w:tcPr>
            <w:tcW w:w="689" w:type="dxa"/>
            <w:tcBorders>
              <w:top w:val="nil"/>
              <w:left w:val="nil"/>
              <w:bottom w:val="single" w:sz="2" w:space="0" w:color="000000" w:themeColor="text1"/>
              <w:right w:val="nil"/>
            </w:tcBorders>
            <w:shd w:val="clear" w:color="000000" w:fill="FFFFFF"/>
            <w:noWrap/>
            <w:vAlign w:val="center"/>
            <w:hideMark/>
          </w:tcPr>
          <w:p w14:paraId="4E43FB16" w14:textId="77777777" w:rsidR="00626056" w:rsidRPr="00D66648" w:rsidRDefault="00626056" w:rsidP="00D66648">
            <w:pPr>
              <w:pStyle w:val="TableTextBase"/>
            </w:pPr>
            <w:r w:rsidRPr="00D66648">
              <w:t>No.</w:t>
            </w:r>
          </w:p>
        </w:tc>
        <w:tc>
          <w:tcPr>
            <w:tcW w:w="445" w:type="dxa"/>
            <w:tcBorders>
              <w:top w:val="nil"/>
              <w:left w:val="nil"/>
              <w:bottom w:val="single" w:sz="2" w:space="0" w:color="000000" w:themeColor="text1"/>
              <w:right w:val="nil"/>
            </w:tcBorders>
            <w:shd w:val="clear" w:color="000000" w:fill="FFFFFF"/>
            <w:noWrap/>
            <w:vAlign w:val="center"/>
            <w:hideMark/>
          </w:tcPr>
          <w:p w14:paraId="21044CAB" w14:textId="74DC6406" w:rsidR="00626056" w:rsidRPr="00D66648" w:rsidRDefault="00626056" w:rsidP="00D66648">
            <w:pPr>
              <w:pStyle w:val="TableTextBase"/>
            </w:pPr>
            <w:r w:rsidRPr="00D66648">
              <w:t>$b</w:t>
            </w:r>
          </w:p>
        </w:tc>
        <w:tc>
          <w:tcPr>
            <w:tcW w:w="567" w:type="dxa"/>
            <w:tcBorders>
              <w:top w:val="nil"/>
              <w:left w:val="nil"/>
              <w:bottom w:val="single" w:sz="2" w:space="0" w:color="000000" w:themeColor="text1"/>
              <w:right w:val="nil"/>
            </w:tcBorders>
            <w:shd w:val="clear" w:color="000000" w:fill="FFFFFF"/>
            <w:noWrap/>
            <w:vAlign w:val="center"/>
            <w:hideMark/>
          </w:tcPr>
          <w:p w14:paraId="3CFDEF26" w14:textId="77777777" w:rsidR="00626056" w:rsidRPr="00D66648" w:rsidRDefault="00626056" w:rsidP="00D66648">
            <w:pPr>
              <w:pStyle w:val="TableTextBase"/>
            </w:pPr>
            <w:r w:rsidRPr="00D66648">
              <w:t>No.</w:t>
            </w:r>
          </w:p>
        </w:tc>
        <w:tc>
          <w:tcPr>
            <w:tcW w:w="567" w:type="dxa"/>
            <w:tcBorders>
              <w:top w:val="nil"/>
              <w:left w:val="nil"/>
              <w:bottom w:val="single" w:sz="2" w:space="0" w:color="000000" w:themeColor="text1"/>
              <w:right w:val="nil"/>
            </w:tcBorders>
            <w:shd w:val="clear" w:color="000000" w:fill="FFFFFF"/>
            <w:noWrap/>
            <w:vAlign w:val="center"/>
            <w:hideMark/>
          </w:tcPr>
          <w:p w14:paraId="74CC5307" w14:textId="465A2649" w:rsidR="00626056" w:rsidRPr="00D66648" w:rsidRDefault="000D6976" w:rsidP="00D66648">
            <w:pPr>
              <w:pStyle w:val="TableTextBase"/>
            </w:pPr>
            <w:r w:rsidRPr="00D66648">
              <w:t>$b</w:t>
            </w:r>
          </w:p>
        </w:tc>
        <w:tc>
          <w:tcPr>
            <w:tcW w:w="709" w:type="dxa"/>
            <w:gridSpan w:val="2"/>
            <w:tcBorders>
              <w:top w:val="nil"/>
              <w:left w:val="nil"/>
              <w:bottom w:val="single" w:sz="2" w:space="0" w:color="000000" w:themeColor="text1"/>
              <w:right w:val="nil"/>
            </w:tcBorders>
            <w:shd w:val="clear" w:color="000000" w:fill="FFFFFF"/>
            <w:noWrap/>
            <w:vAlign w:val="center"/>
            <w:hideMark/>
          </w:tcPr>
          <w:p w14:paraId="5D9A25A8" w14:textId="77777777" w:rsidR="00626056" w:rsidRPr="00D66648" w:rsidRDefault="00626056" w:rsidP="00D66648">
            <w:pPr>
              <w:pStyle w:val="TableTextBase"/>
            </w:pPr>
            <w:r w:rsidRPr="00D66648">
              <w:t>No.</w:t>
            </w:r>
          </w:p>
        </w:tc>
        <w:tc>
          <w:tcPr>
            <w:tcW w:w="425" w:type="dxa"/>
            <w:tcBorders>
              <w:top w:val="nil"/>
              <w:left w:val="nil"/>
              <w:bottom w:val="single" w:sz="2" w:space="0" w:color="000000" w:themeColor="text1"/>
              <w:right w:val="nil"/>
            </w:tcBorders>
            <w:shd w:val="clear" w:color="000000" w:fill="FFFFFF"/>
            <w:noWrap/>
            <w:vAlign w:val="center"/>
            <w:hideMark/>
          </w:tcPr>
          <w:p w14:paraId="7DA39071" w14:textId="5E2BBD1A" w:rsidR="00626056" w:rsidRPr="00D66648" w:rsidRDefault="000D6976" w:rsidP="00D66648">
            <w:pPr>
              <w:pStyle w:val="TableTextBase"/>
            </w:pPr>
            <w:r w:rsidRPr="00D66648">
              <w:t>$b</w:t>
            </w:r>
          </w:p>
        </w:tc>
        <w:tc>
          <w:tcPr>
            <w:tcW w:w="567" w:type="dxa"/>
            <w:tcBorders>
              <w:top w:val="nil"/>
              <w:left w:val="nil"/>
              <w:bottom w:val="single" w:sz="2" w:space="0" w:color="000000" w:themeColor="text1"/>
              <w:right w:val="nil"/>
            </w:tcBorders>
            <w:shd w:val="clear" w:color="000000" w:fill="FFFFFF"/>
            <w:noWrap/>
            <w:vAlign w:val="center"/>
            <w:hideMark/>
          </w:tcPr>
          <w:p w14:paraId="06E94D45" w14:textId="77777777" w:rsidR="00626056" w:rsidRPr="00D66648" w:rsidRDefault="00626056" w:rsidP="00D66648">
            <w:pPr>
              <w:pStyle w:val="TableTextBase"/>
            </w:pPr>
            <w:r w:rsidRPr="00D66648">
              <w:t>No.</w:t>
            </w:r>
          </w:p>
        </w:tc>
        <w:tc>
          <w:tcPr>
            <w:tcW w:w="567" w:type="dxa"/>
            <w:tcBorders>
              <w:top w:val="nil"/>
              <w:left w:val="nil"/>
              <w:bottom w:val="single" w:sz="2" w:space="0" w:color="000000" w:themeColor="text1"/>
              <w:right w:val="nil"/>
            </w:tcBorders>
            <w:shd w:val="clear" w:color="000000" w:fill="FFFFFF"/>
            <w:noWrap/>
            <w:vAlign w:val="center"/>
            <w:hideMark/>
          </w:tcPr>
          <w:p w14:paraId="3F45FA40" w14:textId="77777777" w:rsidR="00626056" w:rsidRPr="00D66648" w:rsidRDefault="00626056" w:rsidP="00D66648">
            <w:pPr>
              <w:pStyle w:val="TableTextBase"/>
            </w:pPr>
            <w:r w:rsidRPr="00D66648">
              <w:t xml:space="preserve">$b </w:t>
            </w:r>
          </w:p>
        </w:tc>
        <w:tc>
          <w:tcPr>
            <w:tcW w:w="567" w:type="dxa"/>
            <w:tcBorders>
              <w:top w:val="nil"/>
              <w:left w:val="nil"/>
              <w:bottom w:val="single" w:sz="2" w:space="0" w:color="000000" w:themeColor="text1"/>
              <w:right w:val="nil"/>
            </w:tcBorders>
            <w:shd w:val="clear" w:color="000000" w:fill="FFFFFF"/>
            <w:noWrap/>
            <w:vAlign w:val="center"/>
            <w:hideMark/>
          </w:tcPr>
          <w:p w14:paraId="7A9E4D33" w14:textId="77777777" w:rsidR="00626056" w:rsidRPr="00D66648" w:rsidRDefault="00626056" w:rsidP="00D66648">
            <w:pPr>
              <w:pStyle w:val="TableTextBase"/>
            </w:pPr>
            <w:r w:rsidRPr="00D66648">
              <w:t>No.</w:t>
            </w:r>
          </w:p>
        </w:tc>
        <w:tc>
          <w:tcPr>
            <w:tcW w:w="622" w:type="dxa"/>
            <w:tcBorders>
              <w:top w:val="nil"/>
              <w:left w:val="nil"/>
              <w:bottom w:val="single" w:sz="2" w:space="0" w:color="000000" w:themeColor="text1"/>
              <w:right w:val="nil"/>
            </w:tcBorders>
            <w:shd w:val="clear" w:color="000000" w:fill="FFFFFF"/>
            <w:noWrap/>
            <w:vAlign w:val="center"/>
            <w:hideMark/>
          </w:tcPr>
          <w:p w14:paraId="2604A992" w14:textId="77777777" w:rsidR="00626056" w:rsidRPr="00D66648" w:rsidRDefault="00626056" w:rsidP="00D66648">
            <w:pPr>
              <w:pStyle w:val="TableTextBase"/>
            </w:pPr>
            <w:r w:rsidRPr="00D66648">
              <w:t xml:space="preserve">$b </w:t>
            </w:r>
          </w:p>
        </w:tc>
      </w:tr>
      <w:tr w:rsidR="005668A1" w:rsidRPr="00D66648" w14:paraId="37B94E73" w14:textId="77777777" w:rsidTr="00C45942">
        <w:tc>
          <w:tcPr>
            <w:tcW w:w="921" w:type="dxa"/>
            <w:tcBorders>
              <w:top w:val="single" w:sz="2" w:space="0" w:color="000000" w:themeColor="text1"/>
              <w:left w:val="nil"/>
              <w:bottom w:val="nil"/>
              <w:right w:val="nil"/>
            </w:tcBorders>
            <w:shd w:val="clear" w:color="000000" w:fill="FFFFFF"/>
            <w:noWrap/>
            <w:vAlign w:val="center"/>
            <w:hideMark/>
          </w:tcPr>
          <w:p w14:paraId="7CE4AE4A" w14:textId="77777777" w:rsidR="00626056" w:rsidRPr="00D66648" w:rsidRDefault="00626056" w:rsidP="00D66648">
            <w:pPr>
              <w:pStyle w:val="TableTextBase"/>
            </w:pPr>
            <w:r w:rsidRPr="00D66648">
              <w:t>ACT</w:t>
            </w:r>
          </w:p>
        </w:tc>
        <w:tc>
          <w:tcPr>
            <w:tcW w:w="639" w:type="dxa"/>
            <w:tcBorders>
              <w:top w:val="single" w:sz="2" w:space="0" w:color="000000" w:themeColor="text1"/>
              <w:left w:val="nil"/>
              <w:bottom w:val="nil"/>
              <w:right w:val="nil"/>
            </w:tcBorders>
            <w:shd w:val="clear" w:color="000000" w:fill="FFFFFF"/>
            <w:noWrap/>
            <w:vAlign w:val="center"/>
            <w:hideMark/>
          </w:tcPr>
          <w:p w14:paraId="6BFF522E" w14:textId="77777777" w:rsidR="00626056" w:rsidRPr="00D66648" w:rsidRDefault="00626056" w:rsidP="00D66648">
            <w:pPr>
              <w:pStyle w:val="TableTextBase"/>
            </w:pPr>
            <w:r w:rsidRPr="00D66648">
              <w:t>294</w:t>
            </w:r>
          </w:p>
        </w:tc>
        <w:tc>
          <w:tcPr>
            <w:tcW w:w="425" w:type="dxa"/>
            <w:tcBorders>
              <w:top w:val="single" w:sz="2" w:space="0" w:color="000000" w:themeColor="text1"/>
              <w:left w:val="nil"/>
              <w:bottom w:val="nil"/>
              <w:right w:val="nil"/>
            </w:tcBorders>
            <w:shd w:val="clear" w:color="000000" w:fill="FFFFFF"/>
            <w:noWrap/>
            <w:vAlign w:val="center"/>
            <w:hideMark/>
          </w:tcPr>
          <w:p w14:paraId="3D008DF2" w14:textId="77777777" w:rsidR="00626056" w:rsidRPr="00D66648" w:rsidRDefault="00626056" w:rsidP="00D66648">
            <w:pPr>
              <w:pStyle w:val="TableTextBase"/>
            </w:pPr>
            <w:r w:rsidRPr="00D66648">
              <w:t>0.2</w:t>
            </w:r>
          </w:p>
        </w:tc>
        <w:tc>
          <w:tcPr>
            <w:tcW w:w="689" w:type="dxa"/>
            <w:tcBorders>
              <w:top w:val="single" w:sz="2" w:space="0" w:color="000000" w:themeColor="text1"/>
              <w:left w:val="nil"/>
              <w:bottom w:val="nil"/>
              <w:right w:val="nil"/>
            </w:tcBorders>
            <w:shd w:val="clear" w:color="000000" w:fill="FFFFFF"/>
            <w:noWrap/>
            <w:vAlign w:val="center"/>
            <w:hideMark/>
          </w:tcPr>
          <w:p w14:paraId="595251A8" w14:textId="77777777" w:rsidR="00626056" w:rsidRPr="00D66648" w:rsidRDefault="00626056" w:rsidP="00D66648">
            <w:pPr>
              <w:pStyle w:val="TableTextBase"/>
            </w:pPr>
            <w:r w:rsidRPr="00D66648">
              <w:t>40</w:t>
            </w:r>
          </w:p>
        </w:tc>
        <w:tc>
          <w:tcPr>
            <w:tcW w:w="445" w:type="dxa"/>
            <w:tcBorders>
              <w:top w:val="single" w:sz="2" w:space="0" w:color="000000" w:themeColor="text1"/>
              <w:left w:val="nil"/>
              <w:bottom w:val="nil"/>
              <w:right w:val="nil"/>
            </w:tcBorders>
            <w:shd w:val="clear" w:color="000000" w:fill="FFFFFF"/>
            <w:noWrap/>
            <w:vAlign w:val="center"/>
            <w:hideMark/>
          </w:tcPr>
          <w:p w14:paraId="46138494" w14:textId="77777777" w:rsidR="00626056" w:rsidRPr="00D66648" w:rsidRDefault="00626056" w:rsidP="00D66648">
            <w:pPr>
              <w:pStyle w:val="TableTextBase"/>
            </w:pPr>
            <w:r w:rsidRPr="00D66648">
              <w:t>0.0</w:t>
            </w:r>
          </w:p>
        </w:tc>
        <w:tc>
          <w:tcPr>
            <w:tcW w:w="567" w:type="dxa"/>
            <w:tcBorders>
              <w:top w:val="single" w:sz="2" w:space="0" w:color="000000" w:themeColor="text1"/>
              <w:left w:val="nil"/>
              <w:bottom w:val="nil"/>
              <w:right w:val="nil"/>
            </w:tcBorders>
            <w:shd w:val="clear" w:color="000000" w:fill="FFFFFF"/>
            <w:noWrap/>
            <w:vAlign w:val="center"/>
            <w:hideMark/>
          </w:tcPr>
          <w:p w14:paraId="75D206D7" w14:textId="77777777" w:rsidR="00626056" w:rsidRPr="00D66648" w:rsidRDefault="00626056" w:rsidP="00D66648">
            <w:pPr>
              <w:pStyle w:val="TableTextBase"/>
            </w:pPr>
            <w:r w:rsidRPr="00D66648">
              <w:t>4</w:t>
            </w:r>
          </w:p>
        </w:tc>
        <w:tc>
          <w:tcPr>
            <w:tcW w:w="567" w:type="dxa"/>
            <w:tcBorders>
              <w:top w:val="single" w:sz="2" w:space="0" w:color="000000" w:themeColor="text1"/>
              <w:left w:val="nil"/>
              <w:bottom w:val="nil"/>
              <w:right w:val="nil"/>
            </w:tcBorders>
            <w:shd w:val="clear" w:color="000000" w:fill="FFFFFF"/>
            <w:noWrap/>
            <w:vAlign w:val="center"/>
            <w:hideMark/>
          </w:tcPr>
          <w:p w14:paraId="155D6796" w14:textId="77777777" w:rsidR="00626056" w:rsidRPr="00D66648" w:rsidRDefault="00626056" w:rsidP="00D66648">
            <w:pPr>
              <w:pStyle w:val="TableTextBase"/>
            </w:pPr>
            <w:r w:rsidRPr="00D66648">
              <w:t>0.0</w:t>
            </w:r>
          </w:p>
        </w:tc>
        <w:tc>
          <w:tcPr>
            <w:tcW w:w="709" w:type="dxa"/>
            <w:gridSpan w:val="2"/>
            <w:tcBorders>
              <w:top w:val="single" w:sz="2" w:space="0" w:color="000000" w:themeColor="text1"/>
              <w:left w:val="nil"/>
              <w:bottom w:val="nil"/>
              <w:right w:val="nil"/>
            </w:tcBorders>
            <w:shd w:val="clear" w:color="000000" w:fill="FFFFFF"/>
            <w:noWrap/>
            <w:vAlign w:val="center"/>
            <w:hideMark/>
          </w:tcPr>
          <w:p w14:paraId="3B5B942C" w14:textId="77777777" w:rsidR="00626056" w:rsidRPr="00D66648" w:rsidRDefault="00626056" w:rsidP="00D66648">
            <w:pPr>
              <w:pStyle w:val="TableTextBase"/>
            </w:pPr>
            <w:r w:rsidRPr="00D66648">
              <w:t>3</w:t>
            </w:r>
          </w:p>
        </w:tc>
        <w:tc>
          <w:tcPr>
            <w:tcW w:w="425" w:type="dxa"/>
            <w:tcBorders>
              <w:top w:val="single" w:sz="2" w:space="0" w:color="000000" w:themeColor="text1"/>
              <w:left w:val="nil"/>
              <w:bottom w:val="nil"/>
              <w:right w:val="nil"/>
            </w:tcBorders>
            <w:shd w:val="clear" w:color="000000" w:fill="FFFFFF"/>
            <w:noWrap/>
            <w:vAlign w:val="center"/>
            <w:hideMark/>
          </w:tcPr>
          <w:p w14:paraId="43503C0B" w14:textId="77777777" w:rsidR="00626056" w:rsidRPr="00D66648" w:rsidRDefault="00626056" w:rsidP="00D66648">
            <w:pPr>
              <w:pStyle w:val="TableTextBase"/>
            </w:pPr>
            <w:r w:rsidRPr="00D66648">
              <w:t>0.0</w:t>
            </w:r>
          </w:p>
        </w:tc>
        <w:tc>
          <w:tcPr>
            <w:tcW w:w="567" w:type="dxa"/>
            <w:tcBorders>
              <w:top w:val="single" w:sz="2" w:space="0" w:color="000000" w:themeColor="text1"/>
              <w:left w:val="nil"/>
              <w:bottom w:val="nil"/>
              <w:right w:val="nil"/>
            </w:tcBorders>
            <w:shd w:val="clear" w:color="000000" w:fill="FFFFFF"/>
            <w:noWrap/>
            <w:vAlign w:val="center"/>
            <w:hideMark/>
          </w:tcPr>
          <w:p w14:paraId="781C4696" w14:textId="77777777" w:rsidR="00626056" w:rsidRPr="00D66648" w:rsidRDefault="00626056" w:rsidP="00D66648">
            <w:pPr>
              <w:pStyle w:val="TableTextBase"/>
            </w:pPr>
            <w:r w:rsidRPr="00D66648">
              <w:t>0</w:t>
            </w:r>
          </w:p>
        </w:tc>
        <w:tc>
          <w:tcPr>
            <w:tcW w:w="567" w:type="dxa"/>
            <w:tcBorders>
              <w:top w:val="single" w:sz="2" w:space="0" w:color="000000" w:themeColor="text1"/>
              <w:left w:val="nil"/>
              <w:bottom w:val="nil"/>
              <w:right w:val="nil"/>
            </w:tcBorders>
            <w:shd w:val="clear" w:color="000000" w:fill="FFFFFF"/>
            <w:noWrap/>
            <w:vAlign w:val="center"/>
            <w:hideMark/>
          </w:tcPr>
          <w:p w14:paraId="6FCCEB77" w14:textId="77777777" w:rsidR="00626056" w:rsidRPr="00D66648" w:rsidRDefault="00626056" w:rsidP="00D66648">
            <w:pPr>
              <w:pStyle w:val="TableTextBase"/>
            </w:pPr>
            <w:r w:rsidRPr="00D66648">
              <w:t>0.0</w:t>
            </w:r>
          </w:p>
        </w:tc>
        <w:tc>
          <w:tcPr>
            <w:tcW w:w="567" w:type="dxa"/>
            <w:tcBorders>
              <w:top w:val="single" w:sz="2" w:space="0" w:color="000000" w:themeColor="text1"/>
              <w:left w:val="nil"/>
              <w:bottom w:val="nil"/>
              <w:right w:val="nil"/>
            </w:tcBorders>
            <w:shd w:val="clear" w:color="000000" w:fill="FFFFFF"/>
            <w:noWrap/>
            <w:vAlign w:val="center"/>
            <w:hideMark/>
          </w:tcPr>
          <w:p w14:paraId="2372218E" w14:textId="77777777" w:rsidR="00626056" w:rsidRPr="00D66648" w:rsidRDefault="00626056" w:rsidP="00D66648">
            <w:pPr>
              <w:pStyle w:val="TableTextBase"/>
            </w:pPr>
            <w:r w:rsidRPr="00D66648">
              <w:t>5</w:t>
            </w:r>
          </w:p>
        </w:tc>
        <w:tc>
          <w:tcPr>
            <w:tcW w:w="622" w:type="dxa"/>
            <w:tcBorders>
              <w:top w:val="single" w:sz="2" w:space="0" w:color="000000" w:themeColor="text1"/>
              <w:left w:val="nil"/>
              <w:bottom w:val="nil"/>
              <w:right w:val="nil"/>
            </w:tcBorders>
            <w:shd w:val="clear" w:color="000000" w:fill="FFFFFF"/>
            <w:noWrap/>
            <w:vAlign w:val="center"/>
            <w:hideMark/>
          </w:tcPr>
          <w:p w14:paraId="6C7DF8A9" w14:textId="77777777" w:rsidR="00626056" w:rsidRPr="00D66648" w:rsidRDefault="00626056" w:rsidP="00D66648">
            <w:pPr>
              <w:pStyle w:val="TableTextBase"/>
            </w:pPr>
            <w:r w:rsidRPr="00D66648">
              <w:t>0.0</w:t>
            </w:r>
          </w:p>
        </w:tc>
      </w:tr>
      <w:tr w:rsidR="005668A1" w:rsidRPr="00D66648" w14:paraId="69A6C8BC" w14:textId="77777777" w:rsidTr="008A4010">
        <w:tc>
          <w:tcPr>
            <w:tcW w:w="921" w:type="dxa"/>
            <w:tcBorders>
              <w:top w:val="nil"/>
              <w:left w:val="nil"/>
              <w:bottom w:val="nil"/>
              <w:right w:val="nil"/>
            </w:tcBorders>
            <w:shd w:val="clear" w:color="000000" w:fill="FFFFFF"/>
            <w:noWrap/>
            <w:vAlign w:val="center"/>
            <w:hideMark/>
          </w:tcPr>
          <w:p w14:paraId="5B0370B6" w14:textId="77777777" w:rsidR="00626056" w:rsidRPr="00D66648" w:rsidRDefault="00626056" w:rsidP="00D66648">
            <w:pPr>
              <w:pStyle w:val="TableTextBase"/>
            </w:pPr>
            <w:r w:rsidRPr="00D66648">
              <w:t>NSW</w:t>
            </w:r>
          </w:p>
        </w:tc>
        <w:tc>
          <w:tcPr>
            <w:tcW w:w="639" w:type="dxa"/>
            <w:tcBorders>
              <w:top w:val="nil"/>
              <w:left w:val="nil"/>
              <w:bottom w:val="nil"/>
              <w:right w:val="nil"/>
            </w:tcBorders>
            <w:shd w:val="clear" w:color="000000" w:fill="FFFFFF"/>
            <w:noWrap/>
            <w:vAlign w:val="center"/>
            <w:hideMark/>
          </w:tcPr>
          <w:p w14:paraId="2E07D547" w14:textId="77777777" w:rsidR="00626056" w:rsidRPr="00D66648" w:rsidRDefault="00626056" w:rsidP="00D66648">
            <w:pPr>
              <w:pStyle w:val="TableTextBase"/>
            </w:pPr>
            <w:r w:rsidRPr="00D66648">
              <w:t>946</w:t>
            </w:r>
          </w:p>
        </w:tc>
        <w:tc>
          <w:tcPr>
            <w:tcW w:w="425" w:type="dxa"/>
            <w:tcBorders>
              <w:top w:val="nil"/>
              <w:left w:val="nil"/>
              <w:bottom w:val="nil"/>
              <w:right w:val="nil"/>
            </w:tcBorders>
            <w:shd w:val="clear" w:color="000000" w:fill="FFFFFF"/>
            <w:noWrap/>
            <w:vAlign w:val="center"/>
            <w:hideMark/>
          </w:tcPr>
          <w:p w14:paraId="7D8DD27D" w14:textId="77777777" w:rsidR="00626056" w:rsidRPr="00D66648" w:rsidRDefault="00626056" w:rsidP="00D66648">
            <w:pPr>
              <w:pStyle w:val="TableTextBase"/>
            </w:pPr>
            <w:r w:rsidRPr="00D66648">
              <w:t>1.1</w:t>
            </w:r>
          </w:p>
        </w:tc>
        <w:tc>
          <w:tcPr>
            <w:tcW w:w="689" w:type="dxa"/>
            <w:tcBorders>
              <w:top w:val="nil"/>
              <w:left w:val="nil"/>
              <w:bottom w:val="nil"/>
              <w:right w:val="nil"/>
            </w:tcBorders>
            <w:shd w:val="clear" w:color="000000" w:fill="FFFFFF"/>
            <w:noWrap/>
            <w:vAlign w:val="center"/>
            <w:hideMark/>
          </w:tcPr>
          <w:p w14:paraId="44D11379" w14:textId="77777777" w:rsidR="00626056" w:rsidRPr="00D66648" w:rsidRDefault="00626056" w:rsidP="00D66648">
            <w:pPr>
              <w:pStyle w:val="TableTextBase"/>
            </w:pPr>
            <w:r w:rsidRPr="00D66648">
              <w:t>162</w:t>
            </w:r>
          </w:p>
        </w:tc>
        <w:tc>
          <w:tcPr>
            <w:tcW w:w="445" w:type="dxa"/>
            <w:tcBorders>
              <w:top w:val="nil"/>
              <w:left w:val="nil"/>
              <w:bottom w:val="nil"/>
              <w:right w:val="nil"/>
            </w:tcBorders>
            <w:shd w:val="clear" w:color="000000" w:fill="FFFFFF"/>
            <w:noWrap/>
            <w:vAlign w:val="center"/>
            <w:hideMark/>
          </w:tcPr>
          <w:p w14:paraId="23E4F1C9" w14:textId="77777777" w:rsidR="00626056" w:rsidRPr="00D66648" w:rsidRDefault="00626056" w:rsidP="00D66648">
            <w:pPr>
              <w:pStyle w:val="TableTextBase"/>
            </w:pPr>
            <w:r w:rsidRPr="00D66648">
              <w:t>0.3</w:t>
            </w:r>
          </w:p>
        </w:tc>
        <w:tc>
          <w:tcPr>
            <w:tcW w:w="567" w:type="dxa"/>
            <w:tcBorders>
              <w:top w:val="nil"/>
              <w:left w:val="nil"/>
              <w:bottom w:val="nil"/>
              <w:right w:val="nil"/>
            </w:tcBorders>
            <w:shd w:val="clear" w:color="000000" w:fill="FFFFFF"/>
            <w:noWrap/>
            <w:vAlign w:val="center"/>
            <w:hideMark/>
          </w:tcPr>
          <w:p w14:paraId="211C63EB" w14:textId="77777777" w:rsidR="00626056" w:rsidRPr="00D66648" w:rsidRDefault="00626056" w:rsidP="00D66648">
            <w:pPr>
              <w:pStyle w:val="TableTextBase"/>
            </w:pPr>
            <w:r w:rsidRPr="00D66648">
              <w:t>99</w:t>
            </w:r>
          </w:p>
        </w:tc>
        <w:tc>
          <w:tcPr>
            <w:tcW w:w="567" w:type="dxa"/>
            <w:tcBorders>
              <w:top w:val="nil"/>
              <w:left w:val="nil"/>
              <w:bottom w:val="nil"/>
              <w:right w:val="nil"/>
            </w:tcBorders>
            <w:shd w:val="clear" w:color="000000" w:fill="FFFFFF"/>
            <w:noWrap/>
            <w:vAlign w:val="center"/>
            <w:hideMark/>
          </w:tcPr>
          <w:p w14:paraId="5931F52D" w14:textId="77777777" w:rsidR="00626056" w:rsidRPr="00D66648" w:rsidRDefault="00626056" w:rsidP="00D66648">
            <w:pPr>
              <w:pStyle w:val="TableTextBase"/>
            </w:pPr>
            <w:r w:rsidRPr="00D66648">
              <w:t>0.3</w:t>
            </w:r>
          </w:p>
        </w:tc>
        <w:tc>
          <w:tcPr>
            <w:tcW w:w="709" w:type="dxa"/>
            <w:gridSpan w:val="2"/>
            <w:tcBorders>
              <w:top w:val="nil"/>
              <w:left w:val="nil"/>
              <w:bottom w:val="nil"/>
              <w:right w:val="nil"/>
            </w:tcBorders>
            <w:shd w:val="clear" w:color="000000" w:fill="FFFFFF"/>
            <w:noWrap/>
            <w:vAlign w:val="center"/>
            <w:hideMark/>
          </w:tcPr>
          <w:p w14:paraId="6C97B223" w14:textId="77777777" w:rsidR="00626056" w:rsidRPr="00D66648" w:rsidRDefault="00626056" w:rsidP="00D66648">
            <w:pPr>
              <w:pStyle w:val="TableTextBase"/>
            </w:pPr>
            <w:r w:rsidRPr="00D66648">
              <w:t>107</w:t>
            </w:r>
          </w:p>
        </w:tc>
        <w:tc>
          <w:tcPr>
            <w:tcW w:w="425" w:type="dxa"/>
            <w:tcBorders>
              <w:top w:val="nil"/>
              <w:left w:val="nil"/>
              <w:bottom w:val="nil"/>
              <w:right w:val="nil"/>
            </w:tcBorders>
            <w:shd w:val="clear" w:color="000000" w:fill="FFFFFF"/>
            <w:noWrap/>
            <w:vAlign w:val="center"/>
            <w:hideMark/>
          </w:tcPr>
          <w:p w14:paraId="1299CD0C" w14:textId="77777777" w:rsidR="00626056" w:rsidRPr="00D66648" w:rsidRDefault="00626056" w:rsidP="00D66648">
            <w:pPr>
              <w:pStyle w:val="TableTextBase"/>
            </w:pPr>
            <w:r w:rsidRPr="00D66648">
              <w:t>1.0</w:t>
            </w:r>
          </w:p>
        </w:tc>
        <w:tc>
          <w:tcPr>
            <w:tcW w:w="567" w:type="dxa"/>
            <w:tcBorders>
              <w:top w:val="nil"/>
              <w:left w:val="nil"/>
              <w:bottom w:val="nil"/>
              <w:right w:val="nil"/>
            </w:tcBorders>
            <w:shd w:val="clear" w:color="000000" w:fill="FFFFFF"/>
            <w:noWrap/>
            <w:vAlign w:val="center"/>
            <w:hideMark/>
          </w:tcPr>
          <w:p w14:paraId="315C013A" w14:textId="77777777" w:rsidR="00626056" w:rsidRPr="00D66648" w:rsidRDefault="00626056" w:rsidP="00D66648">
            <w:pPr>
              <w:pStyle w:val="TableTextBase"/>
            </w:pPr>
            <w:r w:rsidRPr="00D66648">
              <w:t>9</w:t>
            </w:r>
          </w:p>
        </w:tc>
        <w:tc>
          <w:tcPr>
            <w:tcW w:w="567" w:type="dxa"/>
            <w:tcBorders>
              <w:top w:val="nil"/>
              <w:left w:val="nil"/>
              <w:bottom w:val="nil"/>
              <w:right w:val="nil"/>
            </w:tcBorders>
            <w:shd w:val="clear" w:color="000000" w:fill="FFFFFF"/>
            <w:noWrap/>
            <w:vAlign w:val="center"/>
            <w:hideMark/>
          </w:tcPr>
          <w:p w14:paraId="31A7ECEE" w14:textId="77777777" w:rsidR="00626056" w:rsidRPr="00D66648" w:rsidRDefault="00626056" w:rsidP="00D66648">
            <w:pPr>
              <w:pStyle w:val="TableTextBase"/>
            </w:pPr>
            <w:r w:rsidRPr="00D66648">
              <w:t>0.4</w:t>
            </w:r>
          </w:p>
        </w:tc>
        <w:tc>
          <w:tcPr>
            <w:tcW w:w="567" w:type="dxa"/>
            <w:tcBorders>
              <w:top w:val="nil"/>
              <w:left w:val="nil"/>
              <w:bottom w:val="nil"/>
              <w:right w:val="nil"/>
            </w:tcBorders>
            <w:shd w:val="clear" w:color="000000" w:fill="FFFFFF"/>
            <w:noWrap/>
            <w:vAlign w:val="center"/>
            <w:hideMark/>
          </w:tcPr>
          <w:p w14:paraId="12393EA8" w14:textId="77777777" w:rsidR="00626056" w:rsidRPr="00D66648" w:rsidRDefault="00626056" w:rsidP="00D66648">
            <w:pPr>
              <w:pStyle w:val="TableTextBase"/>
            </w:pPr>
            <w:r w:rsidRPr="00D66648">
              <w:t>14</w:t>
            </w:r>
          </w:p>
        </w:tc>
        <w:tc>
          <w:tcPr>
            <w:tcW w:w="622" w:type="dxa"/>
            <w:tcBorders>
              <w:top w:val="nil"/>
              <w:left w:val="nil"/>
              <w:bottom w:val="nil"/>
              <w:right w:val="nil"/>
            </w:tcBorders>
            <w:shd w:val="clear" w:color="000000" w:fill="FFFFFF"/>
            <w:noWrap/>
            <w:vAlign w:val="center"/>
            <w:hideMark/>
          </w:tcPr>
          <w:p w14:paraId="39255E7E" w14:textId="77777777" w:rsidR="00626056" w:rsidRPr="00D66648" w:rsidRDefault="00626056" w:rsidP="00D66648">
            <w:pPr>
              <w:pStyle w:val="TableTextBase"/>
            </w:pPr>
            <w:r w:rsidRPr="00D66648">
              <w:t>0.0</w:t>
            </w:r>
          </w:p>
        </w:tc>
      </w:tr>
      <w:tr w:rsidR="005668A1" w:rsidRPr="00D66648" w14:paraId="001DB162" w14:textId="77777777" w:rsidTr="008A4010">
        <w:tc>
          <w:tcPr>
            <w:tcW w:w="921" w:type="dxa"/>
            <w:tcBorders>
              <w:top w:val="nil"/>
              <w:left w:val="nil"/>
              <w:bottom w:val="nil"/>
              <w:right w:val="nil"/>
            </w:tcBorders>
            <w:shd w:val="clear" w:color="000000" w:fill="FFFFFF"/>
            <w:noWrap/>
            <w:vAlign w:val="center"/>
            <w:hideMark/>
          </w:tcPr>
          <w:p w14:paraId="3E6FC0A5" w14:textId="77777777" w:rsidR="00626056" w:rsidRPr="00D66648" w:rsidRDefault="00626056" w:rsidP="00D66648">
            <w:pPr>
              <w:pStyle w:val="TableTextBase"/>
            </w:pPr>
            <w:r w:rsidRPr="00D66648">
              <w:t>NT</w:t>
            </w:r>
          </w:p>
        </w:tc>
        <w:tc>
          <w:tcPr>
            <w:tcW w:w="639" w:type="dxa"/>
            <w:tcBorders>
              <w:top w:val="nil"/>
              <w:left w:val="nil"/>
              <w:bottom w:val="nil"/>
              <w:right w:val="nil"/>
            </w:tcBorders>
            <w:shd w:val="clear" w:color="000000" w:fill="FFFFFF"/>
            <w:noWrap/>
            <w:vAlign w:val="center"/>
            <w:hideMark/>
          </w:tcPr>
          <w:p w14:paraId="603E4671" w14:textId="77777777" w:rsidR="00626056" w:rsidRPr="00D66648" w:rsidRDefault="00626056" w:rsidP="00D66648">
            <w:pPr>
              <w:pStyle w:val="TableTextBase"/>
            </w:pPr>
            <w:r w:rsidRPr="00D66648">
              <w:t>0</w:t>
            </w:r>
          </w:p>
        </w:tc>
        <w:tc>
          <w:tcPr>
            <w:tcW w:w="425" w:type="dxa"/>
            <w:tcBorders>
              <w:top w:val="nil"/>
              <w:left w:val="nil"/>
              <w:bottom w:val="nil"/>
              <w:right w:val="nil"/>
            </w:tcBorders>
            <w:shd w:val="clear" w:color="000000" w:fill="FFFFFF"/>
            <w:noWrap/>
            <w:vAlign w:val="center"/>
            <w:hideMark/>
          </w:tcPr>
          <w:p w14:paraId="50214859" w14:textId="77777777" w:rsidR="00626056" w:rsidRPr="00D66648" w:rsidRDefault="00626056" w:rsidP="00D66648">
            <w:pPr>
              <w:pStyle w:val="TableTextBase"/>
            </w:pPr>
            <w:r w:rsidRPr="00D66648">
              <w:t>0.0</w:t>
            </w:r>
          </w:p>
        </w:tc>
        <w:tc>
          <w:tcPr>
            <w:tcW w:w="689" w:type="dxa"/>
            <w:tcBorders>
              <w:top w:val="nil"/>
              <w:left w:val="nil"/>
              <w:bottom w:val="nil"/>
              <w:right w:val="nil"/>
            </w:tcBorders>
            <w:shd w:val="clear" w:color="000000" w:fill="FFFFFF"/>
            <w:noWrap/>
            <w:vAlign w:val="center"/>
            <w:hideMark/>
          </w:tcPr>
          <w:p w14:paraId="27E15C5E" w14:textId="77777777" w:rsidR="00626056" w:rsidRPr="00D66648" w:rsidRDefault="00626056" w:rsidP="00D66648">
            <w:pPr>
              <w:pStyle w:val="TableTextBase"/>
            </w:pPr>
            <w:r w:rsidRPr="00D66648">
              <w:t>7</w:t>
            </w:r>
          </w:p>
        </w:tc>
        <w:tc>
          <w:tcPr>
            <w:tcW w:w="445" w:type="dxa"/>
            <w:tcBorders>
              <w:top w:val="nil"/>
              <w:left w:val="nil"/>
              <w:bottom w:val="nil"/>
              <w:right w:val="nil"/>
            </w:tcBorders>
            <w:shd w:val="clear" w:color="000000" w:fill="FFFFFF"/>
            <w:noWrap/>
            <w:vAlign w:val="center"/>
            <w:hideMark/>
          </w:tcPr>
          <w:p w14:paraId="0BA15A6B" w14:textId="77777777" w:rsidR="00626056" w:rsidRPr="00D66648" w:rsidRDefault="00626056" w:rsidP="00D66648">
            <w:pPr>
              <w:pStyle w:val="TableTextBase"/>
            </w:pPr>
            <w:r w:rsidRPr="00D66648">
              <w:t>0.0</w:t>
            </w:r>
          </w:p>
        </w:tc>
        <w:tc>
          <w:tcPr>
            <w:tcW w:w="567" w:type="dxa"/>
            <w:tcBorders>
              <w:top w:val="nil"/>
              <w:left w:val="nil"/>
              <w:bottom w:val="nil"/>
              <w:right w:val="nil"/>
            </w:tcBorders>
            <w:shd w:val="clear" w:color="000000" w:fill="FFFFFF"/>
            <w:noWrap/>
            <w:vAlign w:val="center"/>
            <w:hideMark/>
          </w:tcPr>
          <w:p w14:paraId="48166D4C" w14:textId="77777777" w:rsidR="00626056" w:rsidRPr="00D66648" w:rsidRDefault="00626056" w:rsidP="00D66648">
            <w:pPr>
              <w:pStyle w:val="TableTextBase"/>
            </w:pPr>
            <w:r w:rsidRPr="00D66648">
              <w:t>0</w:t>
            </w:r>
          </w:p>
        </w:tc>
        <w:tc>
          <w:tcPr>
            <w:tcW w:w="567" w:type="dxa"/>
            <w:tcBorders>
              <w:top w:val="nil"/>
              <w:left w:val="nil"/>
              <w:bottom w:val="nil"/>
              <w:right w:val="nil"/>
            </w:tcBorders>
            <w:shd w:val="clear" w:color="000000" w:fill="FFFFFF"/>
            <w:noWrap/>
            <w:vAlign w:val="center"/>
            <w:hideMark/>
          </w:tcPr>
          <w:p w14:paraId="1F6BDFD1" w14:textId="77777777" w:rsidR="00626056" w:rsidRPr="00D66648" w:rsidRDefault="00626056" w:rsidP="00D66648">
            <w:pPr>
              <w:pStyle w:val="TableTextBase"/>
            </w:pPr>
            <w:r w:rsidRPr="00D66648">
              <w:t>0.0</w:t>
            </w:r>
          </w:p>
        </w:tc>
        <w:tc>
          <w:tcPr>
            <w:tcW w:w="709" w:type="dxa"/>
            <w:gridSpan w:val="2"/>
            <w:tcBorders>
              <w:top w:val="nil"/>
              <w:left w:val="nil"/>
              <w:bottom w:val="nil"/>
              <w:right w:val="nil"/>
            </w:tcBorders>
            <w:shd w:val="clear" w:color="000000" w:fill="FFFFFF"/>
            <w:noWrap/>
            <w:vAlign w:val="center"/>
            <w:hideMark/>
          </w:tcPr>
          <w:p w14:paraId="08761B4A" w14:textId="77777777" w:rsidR="00626056" w:rsidRPr="00D66648" w:rsidRDefault="00626056" w:rsidP="00D66648">
            <w:pPr>
              <w:pStyle w:val="TableTextBase"/>
            </w:pPr>
            <w:r w:rsidRPr="00D66648">
              <w:t>1</w:t>
            </w:r>
          </w:p>
        </w:tc>
        <w:tc>
          <w:tcPr>
            <w:tcW w:w="425" w:type="dxa"/>
            <w:tcBorders>
              <w:top w:val="nil"/>
              <w:left w:val="nil"/>
              <w:bottom w:val="nil"/>
              <w:right w:val="nil"/>
            </w:tcBorders>
            <w:shd w:val="clear" w:color="000000" w:fill="FFFFFF"/>
            <w:noWrap/>
            <w:vAlign w:val="center"/>
            <w:hideMark/>
          </w:tcPr>
          <w:p w14:paraId="36018880" w14:textId="77777777" w:rsidR="00626056" w:rsidRPr="00D66648" w:rsidRDefault="00626056" w:rsidP="00D66648">
            <w:pPr>
              <w:pStyle w:val="TableTextBase"/>
            </w:pPr>
            <w:r w:rsidRPr="00D66648">
              <w:t>0.0</w:t>
            </w:r>
          </w:p>
        </w:tc>
        <w:tc>
          <w:tcPr>
            <w:tcW w:w="567" w:type="dxa"/>
            <w:tcBorders>
              <w:top w:val="nil"/>
              <w:left w:val="nil"/>
              <w:bottom w:val="nil"/>
              <w:right w:val="nil"/>
            </w:tcBorders>
            <w:shd w:val="clear" w:color="000000" w:fill="FFFFFF"/>
            <w:noWrap/>
            <w:vAlign w:val="center"/>
            <w:hideMark/>
          </w:tcPr>
          <w:p w14:paraId="73DE6D30" w14:textId="77777777" w:rsidR="00626056" w:rsidRPr="00D66648" w:rsidRDefault="00626056" w:rsidP="00D66648">
            <w:pPr>
              <w:pStyle w:val="TableTextBase"/>
            </w:pPr>
            <w:r w:rsidRPr="00D66648">
              <w:t>0</w:t>
            </w:r>
          </w:p>
        </w:tc>
        <w:tc>
          <w:tcPr>
            <w:tcW w:w="567" w:type="dxa"/>
            <w:tcBorders>
              <w:top w:val="nil"/>
              <w:left w:val="nil"/>
              <w:bottom w:val="nil"/>
              <w:right w:val="nil"/>
            </w:tcBorders>
            <w:shd w:val="clear" w:color="000000" w:fill="FFFFFF"/>
            <w:noWrap/>
            <w:vAlign w:val="center"/>
            <w:hideMark/>
          </w:tcPr>
          <w:p w14:paraId="370FD0B6" w14:textId="77777777" w:rsidR="00626056" w:rsidRPr="00D66648" w:rsidRDefault="00626056" w:rsidP="00D66648">
            <w:pPr>
              <w:pStyle w:val="TableTextBase"/>
            </w:pPr>
            <w:r w:rsidRPr="00D66648">
              <w:t>0.0</w:t>
            </w:r>
          </w:p>
        </w:tc>
        <w:tc>
          <w:tcPr>
            <w:tcW w:w="567" w:type="dxa"/>
            <w:tcBorders>
              <w:top w:val="nil"/>
              <w:left w:val="nil"/>
              <w:bottom w:val="nil"/>
              <w:right w:val="nil"/>
            </w:tcBorders>
            <w:shd w:val="clear" w:color="000000" w:fill="FFFFFF"/>
            <w:noWrap/>
            <w:vAlign w:val="center"/>
            <w:hideMark/>
          </w:tcPr>
          <w:p w14:paraId="74C69CC6" w14:textId="77777777" w:rsidR="00626056" w:rsidRPr="00D66648" w:rsidRDefault="00626056" w:rsidP="00D66648">
            <w:pPr>
              <w:pStyle w:val="TableTextBase"/>
            </w:pPr>
            <w:r w:rsidRPr="00D66648">
              <w:t>1</w:t>
            </w:r>
          </w:p>
        </w:tc>
        <w:tc>
          <w:tcPr>
            <w:tcW w:w="622" w:type="dxa"/>
            <w:tcBorders>
              <w:top w:val="nil"/>
              <w:left w:val="nil"/>
              <w:bottom w:val="nil"/>
              <w:right w:val="nil"/>
            </w:tcBorders>
            <w:shd w:val="clear" w:color="000000" w:fill="FFFFFF"/>
            <w:noWrap/>
            <w:vAlign w:val="center"/>
            <w:hideMark/>
          </w:tcPr>
          <w:p w14:paraId="02793CCA" w14:textId="77777777" w:rsidR="00626056" w:rsidRPr="00D66648" w:rsidRDefault="00626056" w:rsidP="00D66648">
            <w:pPr>
              <w:pStyle w:val="TableTextBase"/>
            </w:pPr>
            <w:r w:rsidRPr="00D66648">
              <w:t>0.0</w:t>
            </w:r>
          </w:p>
        </w:tc>
      </w:tr>
      <w:tr w:rsidR="005668A1" w:rsidRPr="00D66648" w14:paraId="3F6472E6" w14:textId="77777777" w:rsidTr="008A4010">
        <w:tc>
          <w:tcPr>
            <w:tcW w:w="921" w:type="dxa"/>
            <w:tcBorders>
              <w:top w:val="nil"/>
              <w:left w:val="nil"/>
              <w:bottom w:val="nil"/>
              <w:right w:val="nil"/>
            </w:tcBorders>
            <w:shd w:val="clear" w:color="000000" w:fill="FFFFFF"/>
            <w:noWrap/>
            <w:vAlign w:val="center"/>
            <w:hideMark/>
          </w:tcPr>
          <w:p w14:paraId="0E2A9F39" w14:textId="77777777" w:rsidR="00626056" w:rsidRPr="00D66648" w:rsidRDefault="00626056" w:rsidP="00D66648">
            <w:pPr>
              <w:pStyle w:val="TableTextBase"/>
            </w:pPr>
            <w:r w:rsidRPr="00D66648">
              <w:t>Qld</w:t>
            </w:r>
          </w:p>
        </w:tc>
        <w:tc>
          <w:tcPr>
            <w:tcW w:w="639" w:type="dxa"/>
            <w:tcBorders>
              <w:top w:val="nil"/>
              <w:left w:val="nil"/>
              <w:bottom w:val="nil"/>
              <w:right w:val="nil"/>
            </w:tcBorders>
            <w:shd w:val="clear" w:color="000000" w:fill="FFFFFF"/>
            <w:noWrap/>
            <w:vAlign w:val="center"/>
            <w:hideMark/>
          </w:tcPr>
          <w:p w14:paraId="142B1509" w14:textId="77777777" w:rsidR="00626056" w:rsidRPr="00D66648" w:rsidRDefault="00626056" w:rsidP="00D66648">
            <w:pPr>
              <w:pStyle w:val="TableTextBase"/>
            </w:pPr>
            <w:r w:rsidRPr="00D66648">
              <w:t>699</w:t>
            </w:r>
          </w:p>
        </w:tc>
        <w:tc>
          <w:tcPr>
            <w:tcW w:w="425" w:type="dxa"/>
            <w:tcBorders>
              <w:top w:val="nil"/>
              <w:left w:val="nil"/>
              <w:bottom w:val="nil"/>
              <w:right w:val="nil"/>
            </w:tcBorders>
            <w:shd w:val="clear" w:color="000000" w:fill="FFFFFF"/>
            <w:noWrap/>
            <w:vAlign w:val="center"/>
            <w:hideMark/>
          </w:tcPr>
          <w:p w14:paraId="53D2C0DA" w14:textId="77777777" w:rsidR="00626056" w:rsidRPr="00D66648" w:rsidRDefault="00626056" w:rsidP="00D66648">
            <w:pPr>
              <w:pStyle w:val="TableTextBase"/>
            </w:pPr>
            <w:r w:rsidRPr="00D66648">
              <w:t>0.5</w:t>
            </w:r>
          </w:p>
        </w:tc>
        <w:tc>
          <w:tcPr>
            <w:tcW w:w="689" w:type="dxa"/>
            <w:tcBorders>
              <w:top w:val="nil"/>
              <w:left w:val="nil"/>
              <w:bottom w:val="nil"/>
              <w:right w:val="nil"/>
            </w:tcBorders>
            <w:shd w:val="clear" w:color="000000" w:fill="FFFFFF"/>
            <w:noWrap/>
            <w:vAlign w:val="center"/>
            <w:hideMark/>
          </w:tcPr>
          <w:p w14:paraId="573D4914" w14:textId="77777777" w:rsidR="00626056" w:rsidRPr="00D66648" w:rsidRDefault="00626056" w:rsidP="00D66648">
            <w:pPr>
              <w:pStyle w:val="TableTextBase"/>
            </w:pPr>
            <w:r w:rsidRPr="00D66648">
              <w:t>209</w:t>
            </w:r>
          </w:p>
        </w:tc>
        <w:tc>
          <w:tcPr>
            <w:tcW w:w="445" w:type="dxa"/>
            <w:tcBorders>
              <w:top w:val="nil"/>
              <w:left w:val="nil"/>
              <w:bottom w:val="nil"/>
              <w:right w:val="nil"/>
            </w:tcBorders>
            <w:shd w:val="clear" w:color="000000" w:fill="FFFFFF"/>
            <w:noWrap/>
            <w:vAlign w:val="center"/>
            <w:hideMark/>
          </w:tcPr>
          <w:p w14:paraId="652974F5" w14:textId="77777777" w:rsidR="00626056" w:rsidRPr="00D66648" w:rsidRDefault="00626056" w:rsidP="00D66648">
            <w:pPr>
              <w:pStyle w:val="TableTextBase"/>
            </w:pPr>
            <w:r w:rsidRPr="00D66648">
              <w:t>0.2</w:t>
            </w:r>
          </w:p>
        </w:tc>
        <w:tc>
          <w:tcPr>
            <w:tcW w:w="567" w:type="dxa"/>
            <w:tcBorders>
              <w:top w:val="nil"/>
              <w:left w:val="nil"/>
              <w:bottom w:val="nil"/>
              <w:right w:val="nil"/>
            </w:tcBorders>
            <w:shd w:val="clear" w:color="000000" w:fill="FFFFFF"/>
            <w:noWrap/>
            <w:vAlign w:val="center"/>
            <w:hideMark/>
          </w:tcPr>
          <w:p w14:paraId="0278BC0A" w14:textId="77777777" w:rsidR="00626056" w:rsidRPr="00D66648" w:rsidRDefault="00626056" w:rsidP="00D66648">
            <w:pPr>
              <w:pStyle w:val="TableTextBase"/>
            </w:pPr>
            <w:r w:rsidRPr="00D66648">
              <w:t>28</w:t>
            </w:r>
          </w:p>
        </w:tc>
        <w:tc>
          <w:tcPr>
            <w:tcW w:w="567" w:type="dxa"/>
            <w:tcBorders>
              <w:top w:val="nil"/>
              <w:left w:val="nil"/>
              <w:bottom w:val="nil"/>
              <w:right w:val="nil"/>
            </w:tcBorders>
            <w:shd w:val="clear" w:color="000000" w:fill="FFFFFF"/>
            <w:noWrap/>
            <w:vAlign w:val="center"/>
            <w:hideMark/>
          </w:tcPr>
          <w:p w14:paraId="6CD287B9" w14:textId="77777777" w:rsidR="00626056" w:rsidRPr="00D66648" w:rsidRDefault="00626056" w:rsidP="00D66648">
            <w:pPr>
              <w:pStyle w:val="TableTextBase"/>
            </w:pPr>
            <w:r w:rsidRPr="00D66648">
              <w:t>0.2</w:t>
            </w:r>
          </w:p>
        </w:tc>
        <w:tc>
          <w:tcPr>
            <w:tcW w:w="709" w:type="dxa"/>
            <w:gridSpan w:val="2"/>
            <w:tcBorders>
              <w:top w:val="nil"/>
              <w:left w:val="nil"/>
              <w:bottom w:val="nil"/>
              <w:right w:val="nil"/>
            </w:tcBorders>
            <w:shd w:val="clear" w:color="000000" w:fill="FFFFFF"/>
            <w:noWrap/>
            <w:vAlign w:val="center"/>
            <w:hideMark/>
          </w:tcPr>
          <w:p w14:paraId="63ADB7F9" w14:textId="77777777" w:rsidR="00626056" w:rsidRPr="00D66648" w:rsidRDefault="00626056" w:rsidP="00D66648">
            <w:pPr>
              <w:pStyle w:val="TableTextBase"/>
            </w:pPr>
            <w:r w:rsidRPr="00D66648">
              <w:t>385</w:t>
            </w:r>
          </w:p>
        </w:tc>
        <w:tc>
          <w:tcPr>
            <w:tcW w:w="425" w:type="dxa"/>
            <w:tcBorders>
              <w:top w:val="nil"/>
              <w:left w:val="nil"/>
              <w:bottom w:val="nil"/>
              <w:right w:val="nil"/>
            </w:tcBorders>
            <w:shd w:val="clear" w:color="000000" w:fill="FFFFFF"/>
            <w:noWrap/>
            <w:vAlign w:val="center"/>
            <w:hideMark/>
          </w:tcPr>
          <w:p w14:paraId="1A77AE4A" w14:textId="77777777" w:rsidR="00626056" w:rsidRPr="00D66648" w:rsidRDefault="00626056" w:rsidP="00D66648">
            <w:pPr>
              <w:pStyle w:val="TableTextBase"/>
            </w:pPr>
            <w:r w:rsidRPr="00D66648">
              <w:t>0.2</w:t>
            </w:r>
          </w:p>
        </w:tc>
        <w:tc>
          <w:tcPr>
            <w:tcW w:w="567" w:type="dxa"/>
            <w:tcBorders>
              <w:top w:val="nil"/>
              <w:left w:val="nil"/>
              <w:bottom w:val="nil"/>
              <w:right w:val="nil"/>
            </w:tcBorders>
            <w:shd w:val="clear" w:color="000000" w:fill="FFFFFF"/>
            <w:noWrap/>
            <w:vAlign w:val="center"/>
            <w:hideMark/>
          </w:tcPr>
          <w:p w14:paraId="7C6616C2" w14:textId="77777777" w:rsidR="00626056" w:rsidRPr="00D66648" w:rsidRDefault="00626056" w:rsidP="00D66648">
            <w:pPr>
              <w:pStyle w:val="TableTextBase"/>
            </w:pPr>
            <w:r w:rsidRPr="00D66648">
              <w:t>9</w:t>
            </w:r>
          </w:p>
        </w:tc>
        <w:tc>
          <w:tcPr>
            <w:tcW w:w="567" w:type="dxa"/>
            <w:tcBorders>
              <w:top w:val="nil"/>
              <w:left w:val="nil"/>
              <w:bottom w:val="nil"/>
              <w:right w:val="nil"/>
            </w:tcBorders>
            <w:shd w:val="clear" w:color="000000" w:fill="FFFFFF"/>
            <w:noWrap/>
            <w:vAlign w:val="center"/>
            <w:hideMark/>
          </w:tcPr>
          <w:p w14:paraId="7384146C" w14:textId="77777777" w:rsidR="00626056" w:rsidRPr="00D66648" w:rsidRDefault="00626056" w:rsidP="00D66648">
            <w:pPr>
              <w:pStyle w:val="TableTextBase"/>
            </w:pPr>
            <w:r w:rsidRPr="00D66648">
              <w:t>0.3</w:t>
            </w:r>
          </w:p>
        </w:tc>
        <w:tc>
          <w:tcPr>
            <w:tcW w:w="567" w:type="dxa"/>
            <w:tcBorders>
              <w:top w:val="nil"/>
              <w:left w:val="nil"/>
              <w:bottom w:val="nil"/>
              <w:right w:val="nil"/>
            </w:tcBorders>
            <w:shd w:val="clear" w:color="000000" w:fill="FFFFFF"/>
            <w:noWrap/>
            <w:vAlign w:val="center"/>
            <w:hideMark/>
          </w:tcPr>
          <w:p w14:paraId="2D106E7E" w14:textId="77777777" w:rsidR="00626056" w:rsidRPr="00D66648" w:rsidRDefault="00626056" w:rsidP="00D66648">
            <w:pPr>
              <w:pStyle w:val="TableTextBase"/>
            </w:pPr>
            <w:r w:rsidRPr="00D66648">
              <w:t>13</w:t>
            </w:r>
          </w:p>
        </w:tc>
        <w:tc>
          <w:tcPr>
            <w:tcW w:w="622" w:type="dxa"/>
            <w:tcBorders>
              <w:top w:val="nil"/>
              <w:left w:val="nil"/>
              <w:bottom w:val="nil"/>
              <w:right w:val="nil"/>
            </w:tcBorders>
            <w:shd w:val="clear" w:color="000000" w:fill="FFFFFF"/>
            <w:noWrap/>
            <w:vAlign w:val="center"/>
            <w:hideMark/>
          </w:tcPr>
          <w:p w14:paraId="6A6BA9F8" w14:textId="77777777" w:rsidR="00626056" w:rsidRPr="00D66648" w:rsidRDefault="00626056" w:rsidP="00D66648">
            <w:pPr>
              <w:pStyle w:val="TableTextBase"/>
            </w:pPr>
            <w:r w:rsidRPr="00D66648">
              <w:t>0.0</w:t>
            </w:r>
          </w:p>
        </w:tc>
      </w:tr>
      <w:tr w:rsidR="005668A1" w:rsidRPr="00D66648" w14:paraId="15C62E66" w14:textId="77777777" w:rsidTr="008A4010">
        <w:tc>
          <w:tcPr>
            <w:tcW w:w="921" w:type="dxa"/>
            <w:tcBorders>
              <w:top w:val="nil"/>
              <w:left w:val="nil"/>
              <w:bottom w:val="nil"/>
              <w:right w:val="nil"/>
            </w:tcBorders>
            <w:shd w:val="clear" w:color="000000" w:fill="FFFFFF"/>
            <w:noWrap/>
            <w:vAlign w:val="center"/>
            <w:hideMark/>
          </w:tcPr>
          <w:p w14:paraId="0B98B94D" w14:textId="77777777" w:rsidR="00626056" w:rsidRPr="00D66648" w:rsidRDefault="00626056" w:rsidP="00D66648">
            <w:pPr>
              <w:pStyle w:val="TableTextBase"/>
            </w:pPr>
            <w:r w:rsidRPr="00D66648">
              <w:t>SA</w:t>
            </w:r>
          </w:p>
        </w:tc>
        <w:tc>
          <w:tcPr>
            <w:tcW w:w="639" w:type="dxa"/>
            <w:tcBorders>
              <w:top w:val="nil"/>
              <w:left w:val="nil"/>
              <w:bottom w:val="nil"/>
              <w:right w:val="nil"/>
            </w:tcBorders>
            <w:shd w:val="clear" w:color="000000" w:fill="FFFFFF"/>
            <w:noWrap/>
            <w:vAlign w:val="center"/>
            <w:hideMark/>
          </w:tcPr>
          <w:p w14:paraId="7D0966FB" w14:textId="77777777" w:rsidR="00626056" w:rsidRPr="00D66648" w:rsidRDefault="00626056" w:rsidP="00D66648">
            <w:pPr>
              <w:pStyle w:val="TableTextBase"/>
            </w:pPr>
            <w:r w:rsidRPr="00D66648">
              <w:t>304</w:t>
            </w:r>
          </w:p>
        </w:tc>
        <w:tc>
          <w:tcPr>
            <w:tcW w:w="425" w:type="dxa"/>
            <w:tcBorders>
              <w:top w:val="nil"/>
              <w:left w:val="nil"/>
              <w:bottom w:val="nil"/>
              <w:right w:val="nil"/>
            </w:tcBorders>
            <w:shd w:val="clear" w:color="000000" w:fill="FFFFFF"/>
            <w:noWrap/>
            <w:vAlign w:val="center"/>
            <w:hideMark/>
          </w:tcPr>
          <w:p w14:paraId="6CC0AB3C" w14:textId="77777777" w:rsidR="00626056" w:rsidRPr="00D66648" w:rsidRDefault="00626056" w:rsidP="00D66648">
            <w:pPr>
              <w:pStyle w:val="TableTextBase"/>
            </w:pPr>
            <w:r w:rsidRPr="00D66648">
              <w:t>0.2</w:t>
            </w:r>
          </w:p>
        </w:tc>
        <w:tc>
          <w:tcPr>
            <w:tcW w:w="689" w:type="dxa"/>
            <w:tcBorders>
              <w:top w:val="nil"/>
              <w:left w:val="nil"/>
              <w:bottom w:val="nil"/>
              <w:right w:val="nil"/>
            </w:tcBorders>
            <w:shd w:val="clear" w:color="000000" w:fill="FFFFFF"/>
            <w:noWrap/>
            <w:vAlign w:val="center"/>
            <w:hideMark/>
          </w:tcPr>
          <w:p w14:paraId="367606F9" w14:textId="77777777" w:rsidR="00626056" w:rsidRPr="00D66648" w:rsidRDefault="00626056" w:rsidP="00D66648">
            <w:pPr>
              <w:pStyle w:val="TableTextBase"/>
            </w:pPr>
            <w:r w:rsidRPr="00D66648">
              <w:t>92</w:t>
            </w:r>
          </w:p>
        </w:tc>
        <w:tc>
          <w:tcPr>
            <w:tcW w:w="445" w:type="dxa"/>
            <w:tcBorders>
              <w:top w:val="nil"/>
              <w:left w:val="nil"/>
              <w:bottom w:val="nil"/>
              <w:right w:val="nil"/>
            </w:tcBorders>
            <w:shd w:val="clear" w:color="000000" w:fill="FFFFFF"/>
            <w:noWrap/>
            <w:vAlign w:val="center"/>
            <w:hideMark/>
          </w:tcPr>
          <w:p w14:paraId="68F640C4" w14:textId="77777777" w:rsidR="00626056" w:rsidRPr="00D66648" w:rsidRDefault="00626056" w:rsidP="00D66648">
            <w:pPr>
              <w:pStyle w:val="TableTextBase"/>
            </w:pPr>
            <w:r w:rsidRPr="00D66648">
              <w:t>0.1</w:t>
            </w:r>
          </w:p>
        </w:tc>
        <w:tc>
          <w:tcPr>
            <w:tcW w:w="567" w:type="dxa"/>
            <w:tcBorders>
              <w:top w:val="nil"/>
              <w:left w:val="nil"/>
              <w:bottom w:val="nil"/>
              <w:right w:val="nil"/>
            </w:tcBorders>
            <w:shd w:val="clear" w:color="000000" w:fill="FFFFFF"/>
            <w:noWrap/>
            <w:vAlign w:val="center"/>
            <w:hideMark/>
          </w:tcPr>
          <w:p w14:paraId="4A1F95E4" w14:textId="77777777" w:rsidR="00626056" w:rsidRPr="00D66648" w:rsidRDefault="00626056" w:rsidP="00D66648">
            <w:pPr>
              <w:pStyle w:val="TableTextBase"/>
            </w:pPr>
            <w:r w:rsidRPr="00D66648">
              <w:t>9</w:t>
            </w:r>
          </w:p>
        </w:tc>
        <w:tc>
          <w:tcPr>
            <w:tcW w:w="567" w:type="dxa"/>
            <w:tcBorders>
              <w:top w:val="nil"/>
              <w:left w:val="nil"/>
              <w:bottom w:val="nil"/>
              <w:right w:val="nil"/>
            </w:tcBorders>
            <w:shd w:val="clear" w:color="000000" w:fill="FFFFFF"/>
            <w:noWrap/>
            <w:vAlign w:val="center"/>
            <w:hideMark/>
          </w:tcPr>
          <w:p w14:paraId="38C61AE1" w14:textId="77777777" w:rsidR="00626056" w:rsidRPr="00D66648" w:rsidRDefault="00626056" w:rsidP="00D66648">
            <w:pPr>
              <w:pStyle w:val="TableTextBase"/>
            </w:pPr>
            <w:r w:rsidRPr="00D66648">
              <w:t>0.0</w:t>
            </w:r>
          </w:p>
        </w:tc>
        <w:tc>
          <w:tcPr>
            <w:tcW w:w="709" w:type="dxa"/>
            <w:gridSpan w:val="2"/>
            <w:tcBorders>
              <w:top w:val="nil"/>
              <w:left w:val="nil"/>
              <w:bottom w:val="nil"/>
              <w:right w:val="nil"/>
            </w:tcBorders>
            <w:shd w:val="clear" w:color="000000" w:fill="FFFFFF"/>
            <w:noWrap/>
            <w:vAlign w:val="center"/>
            <w:hideMark/>
          </w:tcPr>
          <w:p w14:paraId="2301F56B" w14:textId="77777777" w:rsidR="00626056" w:rsidRPr="00D66648" w:rsidRDefault="00626056" w:rsidP="00D66648">
            <w:pPr>
              <w:pStyle w:val="TableTextBase"/>
            </w:pPr>
            <w:r w:rsidRPr="00D66648">
              <w:t>45</w:t>
            </w:r>
          </w:p>
        </w:tc>
        <w:tc>
          <w:tcPr>
            <w:tcW w:w="425" w:type="dxa"/>
            <w:tcBorders>
              <w:top w:val="nil"/>
              <w:left w:val="nil"/>
              <w:bottom w:val="nil"/>
              <w:right w:val="nil"/>
            </w:tcBorders>
            <w:shd w:val="clear" w:color="000000" w:fill="FFFFFF"/>
            <w:noWrap/>
            <w:vAlign w:val="center"/>
            <w:hideMark/>
          </w:tcPr>
          <w:p w14:paraId="1D30CEE2" w14:textId="77777777" w:rsidR="00626056" w:rsidRPr="00D66648" w:rsidRDefault="00626056" w:rsidP="00D66648">
            <w:pPr>
              <w:pStyle w:val="TableTextBase"/>
            </w:pPr>
            <w:r w:rsidRPr="00D66648">
              <w:t>0.0</w:t>
            </w:r>
          </w:p>
        </w:tc>
        <w:tc>
          <w:tcPr>
            <w:tcW w:w="567" w:type="dxa"/>
            <w:tcBorders>
              <w:top w:val="nil"/>
              <w:left w:val="nil"/>
              <w:bottom w:val="nil"/>
              <w:right w:val="nil"/>
            </w:tcBorders>
            <w:shd w:val="clear" w:color="000000" w:fill="FFFFFF"/>
            <w:noWrap/>
            <w:vAlign w:val="center"/>
            <w:hideMark/>
          </w:tcPr>
          <w:p w14:paraId="747D72BD" w14:textId="77777777" w:rsidR="00626056" w:rsidRPr="00D66648" w:rsidRDefault="00626056" w:rsidP="00D66648">
            <w:pPr>
              <w:pStyle w:val="TableTextBase"/>
            </w:pPr>
            <w:r w:rsidRPr="00D66648">
              <w:t>0</w:t>
            </w:r>
          </w:p>
        </w:tc>
        <w:tc>
          <w:tcPr>
            <w:tcW w:w="567" w:type="dxa"/>
            <w:tcBorders>
              <w:top w:val="nil"/>
              <w:left w:val="nil"/>
              <w:bottom w:val="nil"/>
              <w:right w:val="nil"/>
            </w:tcBorders>
            <w:shd w:val="clear" w:color="000000" w:fill="FFFFFF"/>
            <w:noWrap/>
            <w:vAlign w:val="center"/>
            <w:hideMark/>
          </w:tcPr>
          <w:p w14:paraId="0BA7B72C" w14:textId="77777777" w:rsidR="00626056" w:rsidRPr="00D66648" w:rsidRDefault="00626056" w:rsidP="00D66648">
            <w:pPr>
              <w:pStyle w:val="TableTextBase"/>
            </w:pPr>
            <w:r w:rsidRPr="00D66648">
              <w:t>0.0</w:t>
            </w:r>
          </w:p>
        </w:tc>
        <w:tc>
          <w:tcPr>
            <w:tcW w:w="567" w:type="dxa"/>
            <w:tcBorders>
              <w:top w:val="nil"/>
              <w:left w:val="nil"/>
              <w:bottom w:val="nil"/>
              <w:right w:val="nil"/>
            </w:tcBorders>
            <w:shd w:val="clear" w:color="000000" w:fill="FFFFFF"/>
            <w:noWrap/>
            <w:vAlign w:val="center"/>
            <w:hideMark/>
          </w:tcPr>
          <w:p w14:paraId="3C2AC5DC" w14:textId="77777777" w:rsidR="00626056" w:rsidRPr="00D66648" w:rsidRDefault="00626056" w:rsidP="00D66648">
            <w:pPr>
              <w:pStyle w:val="TableTextBase"/>
            </w:pPr>
            <w:r w:rsidRPr="00D66648">
              <w:t>12</w:t>
            </w:r>
          </w:p>
        </w:tc>
        <w:tc>
          <w:tcPr>
            <w:tcW w:w="622" w:type="dxa"/>
            <w:tcBorders>
              <w:top w:val="nil"/>
              <w:left w:val="nil"/>
              <w:bottom w:val="nil"/>
              <w:right w:val="nil"/>
            </w:tcBorders>
            <w:shd w:val="clear" w:color="000000" w:fill="FFFFFF"/>
            <w:noWrap/>
            <w:vAlign w:val="center"/>
            <w:hideMark/>
          </w:tcPr>
          <w:p w14:paraId="4FF56F93" w14:textId="77777777" w:rsidR="00626056" w:rsidRPr="00D66648" w:rsidRDefault="00626056" w:rsidP="00D66648">
            <w:pPr>
              <w:pStyle w:val="TableTextBase"/>
            </w:pPr>
            <w:r w:rsidRPr="00D66648">
              <w:t>0.0</w:t>
            </w:r>
          </w:p>
        </w:tc>
      </w:tr>
      <w:tr w:rsidR="005668A1" w:rsidRPr="00D66648" w14:paraId="423D17D3" w14:textId="77777777" w:rsidTr="008A4010">
        <w:tc>
          <w:tcPr>
            <w:tcW w:w="921" w:type="dxa"/>
            <w:tcBorders>
              <w:top w:val="nil"/>
              <w:left w:val="nil"/>
              <w:bottom w:val="nil"/>
              <w:right w:val="nil"/>
            </w:tcBorders>
            <w:shd w:val="clear" w:color="000000" w:fill="FFFFFF"/>
            <w:noWrap/>
            <w:vAlign w:val="center"/>
            <w:hideMark/>
          </w:tcPr>
          <w:p w14:paraId="6EEECA48" w14:textId="77777777" w:rsidR="00626056" w:rsidRPr="00D66648" w:rsidRDefault="00626056" w:rsidP="00D66648">
            <w:pPr>
              <w:pStyle w:val="TableTextBase"/>
            </w:pPr>
            <w:r w:rsidRPr="00D66648">
              <w:t>Tas.</w:t>
            </w:r>
          </w:p>
        </w:tc>
        <w:tc>
          <w:tcPr>
            <w:tcW w:w="639" w:type="dxa"/>
            <w:tcBorders>
              <w:top w:val="nil"/>
              <w:left w:val="nil"/>
              <w:bottom w:val="nil"/>
              <w:right w:val="nil"/>
            </w:tcBorders>
            <w:shd w:val="clear" w:color="000000" w:fill="FFFFFF"/>
            <w:noWrap/>
            <w:vAlign w:val="center"/>
            <w:hideMark/>
          </w:tcPr>
          <w:p w14:paraId="59D31415" w14:textId="77777777" w:rsidR="00626056" w:rsidRPr="00D66648" w:rsidRDefault="00626056" w:rsidP="00D66648">
            <w:pPr>
              <w:pStyle w:val="TableTextBase"/>
            </w:pPr>
            <w:r w:rsidRPr="00D66648">
              <w:t>17</w:t>
            </w:r>
          </w:p>
        </w:tc>
        <w:tc>
          <w:tcPr>
            <w:tcW w:w="425" w:type="dxa"/>
            <w:tcBorders>
              <w:top w:val="nil"/>
              <w:left w:val="nil"/>
              <w:bottom w:val="nil"/>
              <w:right w:val="nil"/>
            </w:tcBorders>
            <w:shd w:val="clear" w:color="000000" w:fill="FFFFFF"/>
            <w:noWrap/>
            <w:vAlign w:val="center"/>
            <w:hideMark/>
          </w:tcPr>
          <w:p w14:paraId="11B64113" w14:textId="77777777" w:rsidR="00626056" w:rsidRPr="00D66648" w:rsidRDefault="00626056" w:rsidP="00D66648">
            <w:pPr>
              <w:pStyle w:val="TableTextBase"/>
            </w:pPr>
            <w:r w:rsidRPr="00D66648">
              <w:t>0.0</w:t>
            </w:r>
          </w:p>
        </w:tc>
        <w:tc>
          <w:tcPr>
            <w:tcW w:w="689" w:type="dxa"/>
            <w:tcBorders>
              <w:top w:val="nil"/>
              <w:left w:val="nil"/>
              <w:bottom w:val="nil"/>
              <w:right w:val="nil"/>
            </w:tcBorders>
            <w:shd w:val="clear" w:color="000000" w:fill="FFFFFF"/>
            <w:noWrap/>
            <w:vAlign w:val="center"/>
            <w:hideMark/>
          </w:tcPr>
          <w:p w14:paraId="17EB2868" w14:textId="77777777" w:rsidR="00626056" w:rsidRPr="00D66648" w:rsidRDefault="00626056" w:rsidP="00D66648">
            <w:pPr>
              <w:pStyle w:val="TableTextBase"/>
            </w:pPr>
            <w:r w:rsidRPr="00D66648">
              <w:t>97</w:t>
            </w:r>
          </w:p>
        </w:tc>
        <w:tc>
          <w:tcPr>
            <w:tcW w:w="445" w:type="dxa"/>
            <w:tcBorders>
              <w:top w:val="nil"/>
              <w:left w:val="nil"/>
              <w:bottom w:val="nil"/>
              <w:right w:val="nil"/>
            </w:tcBorders>
            <w:shd w:val="clear" w:color="000000" w:fill="FFFFFF"/>
            <w:noWrap/>
            <w:vAlign w:val="center"/>
            <w:hideMark/>
          </w:tcPr>
          <w:p w14:paraId="3379E198" w14:textId="77777777" w:rsidR="00626056" w:rsidRPr="00D66648" w:rsidRDefault="00626056" w:rsidP="00D66648">
            <w:pPr>
              <w:pStyle w:val="TableTextBase"/>
            </w:pPr>
            <w:r w:rsidRPr="00D66648">
              <w:t>0.1</w:t>
            </w:r>
          </w:p>
        </w:tc>
        <w:tc>
          <w:tcPr>
            <w:tcW w:w="567" w:type="dxa"/>
            <w:tcBorders>
              <w:top w:val="nil"/>
              <w:left w:val="nil"/>
              <w:bottom w:val="nil"/>
              <w:right w:val="nil"/>
            </w:tcBorders>
            <w:shd w:val="clear" w:color="000000" w:fill="FFFFFF"/>
            <w:noWrap/>
            <w:vAlign w:val="center"/>
            <w:hideMark/>
          </w:tcPr>
          <w:p w14:paraId="65D04674" w14:textId="77777777" w:rsidR="00626056" w:rsidRPr="00D66648" w:rsidRDefault="00626056" w:rsidP="00D66648">
            <w:pPr>
              <w:pStyle w:val="TableTextBase"/>
            </w:pPr>
            <w:r w:rsidRPr="00D66648">
              <w:t>1</w:t>
            </w:r>
          </w:p>
        </w:tc>
        <w:tc>
          <w:tcPr>
            <w:tcW w:w="567" w:type="dxa"/>
            <w:tcBorders>
              <w:top w:val="nil"/>
              <w:left w:val="nil"/>
              <w:bottom w:val="nil"/>
              <w:right w:val="nil"/>
            </w:tcBorders>
            <w:shd w:val="clear" w:color="000000" w:fill="FFFFFF"/>
            <w:noWrap/>
            <w:vAlign w:val="center"/>
            <w:hideMark/>
          </w:tcPr>
          <w:p w14:paraId="022BBFDD" w14:textId="77777777" w:rsidR="00626056" w:rsidRPr="00D66648" w:rsidRDefault="00626056" w:rsidP="00D66648">
            <w:pPr>
              <w:pStyle w:val="TableTextBase"/>
            </w:pPr>
            <w:r w:rsidRPr="00D66648">
              <w:t>0.0</w:t>
            </w:r>
          </w:p>
        </w:tc>
        <w:tc>
          <w:tcPr>
            <w:tcW w:w="709" w:type="dxa"/>
            <w:gridSpan w:val="2"/>
            <w:tcBorders>
              <w:top w:val="nil"/>
              <w:left w:val="nil"/>
              <w:bottom w:val="nil"/>
              <w:right w:val="nil"/>
            </w:tcBorders>
            <w:shd w:val="clear" w:color="000000" w:fill="FFFFFF"/>
            <w:noWrap/>
            <w:vAlign w:val="center"/>
            <w:hideMark/>
          </w:tcPr>
          <w:p w14:paraId="636C2E17" w14:textId="77777777" w:rsidR="00626056" w:rsidRPr="00D66648" w:rsidRDefault="00626056" w:rsidP="00D66648">
            <w:pPr>
              <w:pStyle w:val="TableTextBase"/>
            </w:pPr>
            <w:r w:rsidRPr="00D66648">
              <w:t>33</w:t>
            </w:r>
          </w:p>
        </w:tc>
        <w:tc>
          <w:tcPr>
            <w:tcW w:w="425" w:type="dxa"/>
            <w:tcBorders>
              <w:top w:val="nil"/>
              <w:left w:val="nil"/>
              <w:bottom w:val="nil"/>
              <w:right w:val="nil"/>
            </w:tcBorders>
            <w:shd w:val="clear" w:color="000000" w:fill="FFFFFF"/>
            <w:noWrap/>
            <w:vAlign w:val="center"/>
            <w:hideMark/>
          </w:tcPr>
          <w:p w14:paraId="48311A06" w14:textId="77777777" w:rsidR="00626056" w:rsidRPr="00D66648" w:rsidRDefault="00626056" w:rsidP="00D66648">
            <w:pPr>
              <w:pStyle w:val="TableTextBase"/>
            </w:pPr>
            <w:r w:rsidRPr="00D66648">
              <w:t>0.0</w:t>
            </w:r>
          </w:p>
        </w:tc>
        <w:tc>
          <w:tcPr>
            <w:tcW w:w="567" w:type="dxa"/>
            <w:tcBorders>
              <w:top w:val="nil"/>
              <w:left w:val="nil"/>
              <w:bottom w:val="nil"/>
              <w:right w:val="nil"/>
            </w:tcBorders>
            <w:shd w:val="clear" w:color="000000" w:fill="FFFFFF"/>
            <w:noWrap/>
            <w:vAlign w:val="center"/>
            <w:hideMark/>
          </w:tcPr>
          <w:p w14:paraId="1EC037B7" w14:textId="77777777" w:rsidR="00626056" w:rsidRPr="00D66648" w:rsidRDefault="00626056" w:rsidP="00D66648">
            <w:pPr>
              <w:pStyle w:val="TableTextBase"/>
            </w:pPr>
            <w:r w:rsidRPr="00D66648">
              <w:t>0</w:t>
            </w:r>
          </w:p>
        </w:tc>
        <w:tc>
          <w:tcPr>
            <w:tcW w:w="567" w:type="dxa"/>
            <w:tcBorders>
              <w:top w:val="nil"/>
              <w:left w:val="nil"/>
              <w:bottom w:val="nil"/>
              <w:right w:val="nil"/>
            </w:tcBorders>
            <w:shd w:val="clear" w:color="000000" w:fill="FFFFFF"/>
            <w:noWrap/>
            <w:vAlign w:val="center"/>
            <w:hideMark/>
          </w:tcPr>
          <w:p w14:paraId="4F2631A9" w14:textId="77777777" w:rsidR="00626056" w:rsidRPr="00D66648" w:rsidRDefault="00626056" w:rsidP="00D66648">
            <w:pPr>
              <w:pStyle w:val="TableTextBase"/>
            </w:pPr>
            <w:r w:rsidRPr="00D66648">
              <w:t>0.0</w:t>
            </w:r>
          </w:p>
        </w:tc>
        <w:tc>
          <w:tcPr>
            <w:tcW w:w="567" w:type="dxa"/>
            <w:tcBorders>
              <w:top w:val="nil"/>
              <w:left w:val="nil"/>
              <w:bottom w:val="nil"/>
              <w:right w:val="nil"/>
            </w:tcBorders>
            <w:shd w:val="clear" w:color="000000" w:fill="FFFFFF"/>
            <w:noWrap/>
            <w:vAlign w:val="center"/>
            <w:hideMark/>
          </w:tcPr>
          <w:p w14:paraId="074BF37E" w14:textId="77777777" w:rsidR="00626056" w:rsidRPr="00D66648" w:rsidRDefault="00626056" w:rsidP="00D66648">
            <w:pPr>
              <w:pStyle w:val="TableTextBase"/>
            </w:pPr>
            <w:r w:rsidRPr="00D66648">
              <w:t>17</w:t>
            </w:r>
          </w:p>
        </w:tc>
        <w:tc>
          <w:tcPr>
            <w:tcW w:w="622" w:type="dxa"/>
            <w:tcBorders>
              <w:top w:val="nil"/>
              <w:left w:val="nil"/>
              <w:bottom w:val="nil"/>
              <w:right w:val="nil"/>
            </w:tcBorders>
            <w:shd w:val="clear" w:color="000000" w:fill="FFFFFF"/>
            <w:noWrap/>
            <w:vAlign w:val="center"/>
            <w:hideMark/>
          </w:tcPr>
          <w:p w14:paraId="07C8ED1D" w14:textId="77777777" w:rsidR="00626056" w:rsidRPr="00D66648" w:rsidRDefault="00626056" w:rsidP="00D66648">
            <w:pPr>
              <w:pStyle w:val="TableTextBase"/>
            </w:pPr>
            <w:r w:rsidRPr="00D66648">
              <w:t>0.0</w:t>
            </w:r>
          </w:p>
        </w:tc>
      </w:tr>
      <w:tr w:rsidR="005668A1" w:rsidRPr="00D66648" w14:paraId="09280359" w14:textId="77777777" w:rsidTr="008A4010">
        <w:tc>
          <w:tcPr>
            <w:tcW w:w="921" w:type="dxa"/>
            <w:tcBorders>
              <w:top w:val="nil"/>
              <w:left w:val="nil"/>
              <w:bottom w:val="nil"/>
              <w:right w:val="nil"/>
            </w:tcBorders>
            <w:shd w:val="clear" w:color="000000" w:fill="FFFFFF"/>
            <w:noWrap/>
            <w:vAlign w:val="center"/>
            <w:hideMark/>
          </w:tcPr>
          <w:p w14:paraId="3CC7CC86" w14:textId="77777777" w:rsidR="00626056" w:rsidRPr="00D66648" w:rsidRDefault="00626056" w:rsidP="00D66648">
            <w:pPr>
              <w:pStyle w:val="TableTextBase"/>
            </w:pPr>
            <w:r w:rsidRPr="00D66648">
              <w:t>Vic.</w:t>
            </w:r>
          </w:p>
        </w:tc>
        <w:tc>
          <w:tcPr>
            <w:tcW w:w="639" w:type="dxa"/>
            <w:tcBorders>
              <w:top w:val="nil"/>
              <w:left w:val="nil"/>
              <w:bottom w:val="nil"/>
              <w:right w:val="nil"/>
            </w:tcBorders>
            <w:shd w:val="clear" w:color="000000" w:fill="FFFFFF"/>
            <w:noWrap/>
            <w:vAlign w:val="center"/>
            <w:hideMark/>
          </w:tcPr>
          <w:p w14:paraId="57FE0679" w14:textId="77777777" w:rsidR="00626056" w:rsidRPr="00D66648" w:rsidRDefault="00626056" w:rsidP="00D66648">
            <w:pPr>
              <w:pStyle w:val="TableTextBase"/>
            </w:pPr>
            <w:r w:rsidRPr="00D66648">
              <w:t>1,423</w:t>
            </w:r>
          </w:p>
        </w:tc>
        <w:tc>
          <w:tcPr>
            <w:tcW w:w="425" w:type="dxa"/>
            <w:tcBorders>
              <w:top w:val="nil"/>
              <w:left w:val="nil"/>
              <w:bottom w:val="nil"/>
              <w:right w:val="nil"/>
            </w:tcBorders>
            <w:shd w:val="clear" w:color="000000" w:fill="FFFFFF"/>
            <w:noWrap/>
            <w:vAlign w:val="center"/>
            <w:hideMark/>
          </w:tcPr>
          <w:p w14:paraId="474B28F9" w14:textId="77777777" w:rsidR="00626056" w:rsidRPr="00D66648" w:rsidRDefault="00626056" w:rsidP="00D66648">
            <w:pPr>
              <w:pStyle w:val="TableTextBase"/>
            </w:pPr>
            <w:r w:rsidRPr="00D66648">
              <w:t>1.1</w:t>
            </w:r>
          </w:p>
        </w:tc>
        <w:tc>
          <w:tcPr>
            <w:tcW w:w="689" w:type="dxa"/>
            <w:tcBorders>
              <w:top w:val="nil"/>
              <w:left w:val="nil"/>
              <w:bottom w:val="nil"/>
              <w:right w:val="nil"/>
            </w:tcBorders>
            <w:shd w:val="clear" w:color="000000" w:fill="FFFFFF"/>
            <w:noWrap/>
            <w:vAlign w:val="center"/>
            <w:hideMark/>
          </w:tcPr>
          <w:p w14:paraId="296FAA35" w14:textId="77777777" w:rsidR="00626056" w:rsidRPr="00D66648" w:rsidRDefault="00626056" w:rsidP="00D66648">
            <w:pPr>
              <w:pStyle w:val="TableTextBase"/>
            </w:pPr>
            <w:r w:rsidRPr="00D66648">
              <w:t>533</w:t>
            </w:r>
          </w:p>
        </w:tc>
        <w:tc>
          <w:tcPr>
            <w:tcW w:w="445" w:type="dxa"/>
            <w:tcBorders>
              <w:top w:val="nil"/>
              <w:left w:val="nil"/>
              <w:bottom w:val="nil"/>
              <w:right w:val="nil"/>
            </w:tcBorders>
            <w:shd w:val="clear" w:color="000000" w:fill="FFFFFF"/>
            <w:noWrap/>
            <w:vAlign w:val="center"/>
            <w:hideMark/>
          </w:tcPr>
          <w:p w14:paraId="3BE16D40" w14:textId="77777777" w:rsidR="00626056" w:rsidRPr="00D66648" w:rsidRDefault="00626056" w:rsidP="00D66648">
            <w:pPr>
              <w:pStyle w:val="TableTextBase"/>
            </w:pPr>
            <w:r w:rsidRPr="00D66648">
              <w:t>0.9</w:t>
            </w:r>
          </w:p>
        </w:tc>
        <w:tc>
          <w:tcPr>
            <w:tcW w:w="567" w:type="dxa"/>
            <w:tcBorders>
              <w:top w:val="nil"/>
              <w:left w:val="nil"/>
              <w:bottom w:val="nil"/>
              <w:right w:val="nil"/>
            </w:tcBorders>
            <w:shd w:val="clear" w:color="000000" w:fill="FFFFFF"/>
            <w:noWrap/>
            <w:vAlign w:val="center"/>
            <w:hideMark/>
          </w:tcPr>
          <w:p w14:paraId="5228FA5A" w14:textId="77777777" w:rsidR="00626056" w:rsidRPr="00D66648" w:rsidRDefault="00626056" w:rsidP="00D66648">
            <w:pPr>
              <w:pStyle w:val="TableTextBase"/>
            </w:pPr>
            <w:r w:rsidRPr="00D66648">
              <w:t>72</w:t>
            </w:r>
          </w:p>
        </w:tc>
        <w:tc>
          <w:tcPr>
            <w:tcW w:w="567" w:type="dxa"/>
            <w:tcBorders>
              <w:top w:val="nil"/>
              <w:left w:val="nil"/>
              <w:bottom w:val="nil"/>
              <w:right w:val="nil"/>
            </w:tcBorders>
            <w:shd w:val="clear" w:color="000000" w:fill="FFFFFF"/>
            <w:noWrap/>
            <w:vAlign w:val="center"/>
            <w:hideMark/>
          </w:tcPr>
          <w:p w14:paraId="09194130" w14:textId="77777777" w:rsidR="00626056" w:rsidRPr="00D66648" w:rsidRDefault="00626056" w:rsidP="00D66648">
            <w:pPr>
              <w:pStyle w:val="TableTextBase"/>
            </w:pPr>
            <w:r w:rsidRPr="00D66648">
              <w:t>0.3</w:t>
            </w:r>
          </w:p>
        </w:tc>
        <w:tc>
          <w:tcPr>
            <w:tcW w:w="709" w:type="dxa"/>
            <w:gridSpan w:val="2"/>
            <w:tcBorders>
              <w:top w:val="nil"/>
              <w:left w:val="nil"/>
              <w:bottom w:val="nil"/>
              <w:right w:val="nil"/>
            </w:tcBorders>
            <w:shd w:val="clear" w:color="000000" w:fill="FFFFFF"/>
            <w:noWrap/>
            <w:vAlign w:val="center"/>
            <w:hideMark/>
          </w:tcPr>
          <w:p w14:paraId="28E696E5" w14:textId="77777777" w:rsidR="00626056" w:rsidRPr="00D66648" w:rsidRDefault="00626056" w:rsidP="00D66648">
            <w:pPr>
              <w:pStyle w:val="TableTextBase"/>
            </w:pPr>
            <w:r w:rsidRPr="00D66648">
              <w:t>1,059</w:t>
            </w:r>
          </w:p>
        </w:tc>
        <w:tc>
          <w:tcPr>
            <w:tcW w:w="425" w:type="dxa"/>
            <w:tcBorders>
              <w:top w:val="nil"/>
              <w:left w:val="nil"/>
              <w:bottom w:val="nil"/>
              <w:right w:val="nil"/>
            </w:tcBorders>
            <w:shd w:val="clear" w:color="000000" w:fill="FFFFFF"/>
            <w:noWrap/>
            <w:vAlign w:val="center"/>
            <w:hideMark/>
          </w:tcPr>
          <w:p w14:paraId="31379B78" w14:textId="77777777" w:rsidR="00626056" w:rsidRPr="00D66648" w:rsidRDefault="00626056" w:rsidP="00D66648">
            <w:pPr>
              <w:pStyle w:val="TableTextBase"/>
            </w:pPr>
            <w:r w:rsidRPr="00D66648">
              <w:t>0.5</w:t>
            </w:r>
          </w:p>
        </w:tc>
        <w:tc>
          <w:tcPr>
            <w:tcW w:w="567" w:type="dxa"/>
            <w:tcBorders>
              <w:top w:val="nil"/>
              <w:left w:val="nil"/>
              <w:bottom w:val="nil"/>
              <w:right w:val="nil"/>
            </w:tcBorders>
            <w:shd w:val="clear" w:color="000000" w:fill="FFFFFF"/>
            <w:noWrap/>
            <w:vAlign w:val="center"/>
            <w:hideMark/>
          </w:tcPr>
          <w:p w14:paraId="3D5420FD" w14:textId="77777777" w:rsidR="00626056" w:rsidRPr="00D66648" w:rsidRDefault="00626056" w:rsidP="00D66648">
            <w:pPr>
              <w:pStyle w:val="TableTextBase"/>
            </w:pPr>
            <w:r w:rsidRPr="00D66648">
              <w:t>19</w:t>
            </w:r>
          </w:p>
        </w:tc>
        <w:tc>
          <w:tcPr>
            <w:tcW w:w="567" w:type="dxa"/>
            <w:tcBorders>
              <w:top w:val="nil"/>
              <w:left w:val="nil"/>
              <w:bottom w:val="nil"/>
              <w:right w:val="nil"/>
            </w:tcBorders>
            <w:shd w:val="clear" w:color="000000" w:fill="FFFFFF"/>
            <w:noWrap/>
            <w:vAlign w:val="center"/>
            <w:hideMark/>
          </w:tcPr>
          <w:p w14:paraId="5F824DF2" w14:textId="77777777" w:rsidR="00626056" w:rsidRPr="00D66648" w:rsidRDefault="00626056" w:rsidP="00D66648">
            <w:pPr>
              <w:pStyle w:val="TableTextBase"/>
            </w:pPr>
            <w:r w:rsidRPr="00D66648">
              <w:t>0.9</w:t>
            </w:r>
          </w:p>
        </w:tc>
        <w:tc>
          <w:tcPr>
            <w:tcW w:w="567" w:type="dxa"/>
            <w:tcBorders>
              <w:top w:val="nil"/>
              <w:left w:val="nil"/>
              <w:bottom w:val="nil"/>
              <w:right w:val="nil"/>
            </w:tcBorders>
            <w:shd w:val="clear" w:color="000000" w:fill="FFFFFF"/>
            <w:noWrap/>
            <w:vAlign w:val="center"/>
            <w:hideMark/>
          </w:tcPr>
          <w:p w14:paraId="24F5140F" w14:textId="77777777" w:rsidR="00626056" w:rsidRPr="00D66648" w:rsidRDefault="00626056" w:rsidP="00D66648">
            <w:pPr>
              <w:pStyle w:val="TableTextBase"/>
            </w:pPr>
            <w:r w:rsidRPr="00D66648">
              <w:t>57</w:t>
            </w:r>
          </w:p>
        </w:tc>
        <w:tc>
          <w:tcPr>
            <w:tcW w:w="622" w:type="dxa"/>
            <w:tcBorders>
              <w:top w:val="nil"/>
              <w:left w:val="nil"/>
              <w:bottom w:val="nil"/>
              <w:right w:val="nil"/>
            </w:tcBorders>
            <w:shd w:val="clear" w:color="000000" w:fill="FFFFFF"/>
            <w:noWrap/>
            <w:vAlign w:val="center"/>
            <w:hideMark/>
          </w:tcPr>
          <w:p w14:paraId="690F4070" w14:textId="77777777" w:rsidR="00626056" w:rsidRPr="00D66648" w:rsidRDefault="00626056" w:rsidP="00D66648">
            <w:pPr>
              <w:pStyle w:val="TableTextBase"/>
            </w:pPr>
            <w:r w:rsidRPr="00D66648">
              <w:t>0.1</w:t>
            </w:r>
          </w:p>
        </w:tc>
      </w:tr>
      <w:tr w:rsidR="005668A1" w:rsidRPr="00D66648" w14:paraId="2FD8670A" w14:textId="77777777" w:rsidTr="008A4010">
        <w:tc>
          <w:tcPr>
            <w:tcW w:w="921" w:type="dxa"/>
            <w:tcBorders>
              <w:top w:val="nil"/>
              <w:left w:val="nil"/>
              <w:bottom w:val="nil"/>
              <w:right w:val="nil"/>
            </w:tcBorders>
            <w:shd w:val="clear" w:color="000000" w:fill="FFFFFF"/>
            <w:noWrap/>
            <w:vAlign w:val="center"/>
            <w:hideMark/>
          </w:tcPr>
          <w:p w14:paraId="5F152E12" w14:textId="77777777" w:rsidR="00626056" w:rsidRPr="00D66648" w:rsidRDefault="00626056" w:rsidP="00D66648">
            <w:pPr>
              <w:pStyle w:val="TableTextBase"/>
            </w:pPr>
            <w:r w:rsidRPr="00D66648">
              <w:t>WA</w:t>
            </w:r>
          </w:p>
        </w:tc>
        <w:tc>
          <w:tcPr>
            <w:tcW w:w="639" w:type="dxa"/>
            <w:tcBorders>
              <w:top w:val="nil"/>
              <w:left w:val="nil"/>
              <w:bottom w:val="nil"/>
              <w:right w:val="nil"/>
            </w:tcBorders>
            <w:shd w:val="clear" w:color="000000" w:fill="FFFFFF"/>
            <w:noWrap/>
            <w:vAlign w:val="center"/>
            <w:hideMark/>
          </w:tcPr>
          <w:p w14:paraId="4A953FFB" w14:textId="77777777" w:rsidR="00626056" w:rsidRPr="00D66648" w:rsidRDefault="00626056" w:rsidP="00D66648">
            <w:pPr>
              <w:pStyle w:val="TableTextBase"/>
            </w:pPr>
            <w:r w:rsidRPr="00D66648">
              <w:t>265</w:t>
            </w:r>
          </w:p>
        </w:tc>
        <w:tc>
          <w:tcPr>
            <w:tcW w:w="425" w:type="dxa"/>
            <w:tcBorders>
              <w:top w:val="nil"/>
              <w:left w:val="nil"/>
              <w:bottom w:val="nil"/>
              <w:right w:val="nil"/>
            </w:tcBorders>
            <w:shd w:val="clear" w:color="000000" w:fill="FFFFFF"/>
            <w:noWrap/>
            <w:vAlign w:val="center"/>
            <w:hideMark/>
          </w:tcPr>
          <w:p w14:paraId="5AC4590C" w14:textId="77777777" w:rsidR="00626056" w:rsidRPr="00D66648" w:rsidRDefault="00626056" w:rsidP="00D66648">
            <w:pPr>
              <w:pStyle w:val="TableTextBase"/>
            </w:pPr>
            <w:r w:rsidRPr="00D66648">
              <w:t>0.2</w:t>
            </w:r>
          </w:p>
        </w:tc>
        <w:tc>
          <w:tcPr>
            <w:tcW w:w="689" w:type="dxa"/>
            <w:tcBorders>
              <w:top w:val="nil"/>
              <w:left w:val="nil"/>
              <w:bottom w:val="nil"/>
              <w:right w:val="nil"/>
            </w:tcBorders>
            <w:shd w:val="clear" w:color="000000" w:fill="FFFFFF"/>
            <w:noWrap/>
            <w:vAlign w:val="center"/>
            <w:hideMark/>
          </w:tcPr>
          <w:p w14:paraId="39990B89" w14:textId="77777777" w:rsidR="00626056" w:rsidRPr="00D66648" w:rsidRDefault="00626056" w:rsidP="00D66648">
            <w:pPr>
              <w:pStyle w:val="TableTextBase"/>
            </w:pPr>
            <w:r w:rsidRPr="00D66648">
              <w:t>172</w:t>
            </w:r>
          </w:p>
        </w:tc>
        <w:tc>
          <w:tcPr>
            <w:tcW w:w="445" w:type="dxa"/>
            <w:tcBorders>
              <w:top w:val="nil"/>
              <w:left w:val="nil"/>
              <w:bottom w:val="nil"/>
              <w:right w:val="nil"/>
            </w:tcBorders>
            <w:shd w:val="clear" w:color="000000" w:fill="FFFFFF"/>
            <w:noWrap/>
            <w:vAlign w:val="center"/>
            <w:hideMark/>
          </w:tcPr>
          <w:p w14:paraId="3F5C4902" w14:textId="77777777" w:rsidR="00626056" w:rsidRPr="00D66648" w:rsidRDefault="00626056" w:rsidP="00D66648">
            <w:pPr>
              <w:pStyle w:val="TableTextBase"/>
            </w:pPr>
            <w:r w:rsidRPr="00D66648">
              <w:t>0.2</w:t>
            </w:r>
          </w:p>
        </w:tc>
        <w:tc>
          <w:tcPr>
            <w:tcW w:w="567" w:type="dxa"/>
            <w:tcBorders>
              <w:top w:val="nil"/>
              <w:left w:val="nil"/>
              <w:bottom w:val="nil"/>
              <w:right w:val="nil"/>
            </w:tcBorders>
            <w:shd w:val="clear" w:color="000000" w:fill="FFFFFF"/>
            <w:noWrap/>
            <w:vAlign w:val="center"/>
            <w:hideMark/>
          </w:tcPr>
          <w:p w14:paraId="52699B15" w14:textId="77777777" w:rsidR="00626056" w:rsidRPr="00D66648" w:rsidRDefault="00626056" w:rsidP="00D66648">
            <w:pPr>
              <w:pStyle w:val="TableTextBase"/>
            </w:pPr>
            <w:r w:rsidRPr="00D66648">
              <w:t>53</w:t>
            </w:r>
          </w:p>
        </w:tc>
        <w:tc>
          <w:tcPr>
            <w:tcW w:w="567" w:type="dxa"/>
            <w:tcBorders>
              <w:top w:val="nil"/>
              <w:left w:val="nil"/>
              <w:bottom w:val="nil"/>
              <w:right w:val="nil"/>
            </w:tcBorders>
            <w:shd w:val="clear" w:color="000000" w:fill="FFFFFF"/>
            <w:noWrap/>
            <w:vAlign w:val="center"/>
            <w:hideMark/>
          </w:tcPr>
          <w:p w14:paraId="386F47CD" w14:textId="77777777" w:rsidR="00626056" w:rsidRPr="00D66648" w:rsidRDefault="00626056" w:rsidP="00D66648">
            <w:pPr>
              <w:pStyle w:val="TableTextBase"/>
            </w:pPr>
            <w:r w:rsidRPr="00D66648">
              <w:t>0.1</w:t>
            </w:r>
          </w:p>
        </w:tc>
        <w:tc>
          <w:tcPr>
            <w:tcW w:w="709" w:type="dxa"/>
            <w:gridSpan w:val="2"/>
            <w:tcBorders>
              <w:top w:val="nil"/>
              <w:left w:val="nil"/>
              <w:bottom w:val="nil"/>
              <w:right w:val="nil"/>
            </w:tcBorders>
            <w:shd w:val="clear" w:color="000000" w:fill="FFFFFF"/>
            <w:noWrap/>
            <w:vAlign w:val="center"/>
            <w:hideMark/>
          </w:tcPr>
          <w:p w14:paraId="20224EC7" w14:textId="77777777" w:rsidR="00626056" w:rsidRPr="00D66648" w:rsidRDefault="00626056" w:rsidP="00D66648">
            <w:pPr>
              <w:pStyle w:val="TableTextBase"/>
            </w:pPr>
            <w:r w:rsidRPr="00D66648">
              <w:t>159</w:t>
            </w:r>
          </w:p>
        </w:tc>
        <w:tc>
          <w:tcPr>
            <w:tcW w:w="425" w:type="dxa"/>
            <w:tcBorders>
              <w:top w:val="nil"/>
              <w:left w:val="nil"/>
              <w:bottom w:val="nil"/>
              <w:right w:val="nil"/>
            </w:tcBorders>
            <w:shd w:val="clear" w:color="000000" w:fill="FFFFFF"/>
            <w:noWrap/>
            <w:vAlign w:val="center"/>
            <w:hideMark/>
          </w:tcPr>
          <w:p w14:paraId="5F34F0D2" w14:textId="77777777" w:rsidR="00626056" w:rsidRPr="00D66648" w:rsidRDefault="00626056" w:rsidP="00D66648">
            <w:pPr>
              <w:pStyle w:val="TableTextBase"/>
            </w:pPr>
            <w:r w:rsidRPr="00D66648">
              <w:t>0.1</w:t>
            </w:r>
          </w:p>
        </w:tc>
        <w:tc>
          <w:tcPr>
            <w:tcW w:w="567" w:type="dxa"/>
            <w:tcBorders>
              <w:top w:val="nil"/>
              <w:left w:val="nil"/>
              <w:bottom w:val="nil"/>
              <w:right w:val="nil"/>
            </w:tcBorders>
            <w:shd w:val="clear" w:color="000000" w:fill="FFFFFF"/>
            <w:noWrap/>
            <w:vAlign w:val="center"/>
            <w:hideMark/>
          </w:tcPr>
          <w:p w14:paraId="0D07A1E7" w14:textId="77777777" w:rsidR="00626056" w:rsidRPr="00D66648" w:rsidRDefault="00626056" w:rsidP="00D66648">
            <w:pPr>
              <w:pStyle w:val="TableTextBase"/>
            </w:pPr>
            <w:r w:rsidRPr="00D66648">
              <w:t>1</w:t>
            </w:r>
          </w:p>
        </w:tc>
        <w:tc>
          <w:tcPr>
            <w:tcW w:w="567" w:type="dxa"/>
            <w:tcBorders>
              <w:top w:val="nil"/>
              <w:left w:val="nil"/>
              <w:bottom w:val="nil"/>
              <w:right w:val="nil"/>
            </w:tcBorders>
            <w:shd w:val="clear" w:color="000000" w:fill="FFFFFF"/>
            <w:noWrap/>
            <w:vAlign w:val="center"/>
            <w:hideMark/>
          </w:tcPr>
          <w:p w14:paraId="78DAC6D3" w14:textId="77777777" w:rsidR="00626056" w:rsidRPr="00D66648" w:rsidRDefault="00626056" w:rsidP="00D66648">
            <w:pPr>
              <w:pStyle w:val="TableTextBase"/>
            </w:pPr>
            <w:r w:rsidRPr="00D66648">
              <w:t>0.1</w:t>
            </w:r>
          </w:p>
        </w:tc>
        <w:tc>
          <w:tcPr>
            <w:tcW w:w="567" w:type="dxa"/>
            <w:tcBorders>
              <w:top w:val="nil"/>
              <w:left w:val="nil"/>
              <w:bottom w:val="nil"/>
              <w:right w:val="nil"/>
            </w:tcBorders>
            <w:shd w:val="clear" w:color="000000" w:fill="FFFFFF"/>
            <w:noWrap/>
            <w:vAlign w:val="center"/>
            <w:hideMark/>
          </w:tcPr>
          <w:p w14:paraId="7C0A776C" w14:textId="77777777" w:rsidR="00626056" w:rsidRPr="00D66648" w:rsidRDefault="00626056" w:rsidP="00D66648">
            <w:pPr>
              <w:pStyle w:val="TableTextBase"/>
            </w:pPr>
            <w:r w:rsidRPr="00D66648">
              <w:t>7</w:t>
            </w:r>
          </w:p>
        </w:tc>
        <w:tc>
          <w:tcPr>
            <w:tcW w:w="622" w:type="dxa"/>
            <w:tcBorders>
              <w:top w:val="nil"/>
              <w:left w:val="nil"/>
              <w:bottom w:val="nil"/>
              <w:right w:val="nil"/>
            </w:tcBorders>
            <w:shd w:val="clear" w:color="000000" w:fill="FFFFFF"/>
            <w:noWrap/>
            <w:vAlign w:val="center"/>
            <w:hideMark/>
          </w:tcPr>
          <w:p w14:paraId="3894644B" w14:textId="77777777" w:rsidR="00626056" w:rsidRPr="00D66648" w:rsidRDefault="00626056" w:rsidP="00D66648">
            <w:pPr>
              <w:pStyle w:val="TableTextBase"/>
            </w:pPr>
            <w:r w:rsidRPr="00D66648">
              <w:t>0.0</w:t>
            </w:r>
          </w:p>
        </w:tc>
      </w:tr>
      <w:tr w:rsidR="005668A1" w:rsidRPr="00D66648" w14:paraId="1329BC3E" w14:textId="77777777" w:rsidTr="00FE48A4">
        <w:tc>
          <w:tcPr>
            <w:tcW w:w="921" w:type="dxa"/>
            <w:tcBorders>
              <w:top w:val="nil"/>
              <w:left w:val="nil"/>
              <w:right w:val="nil"/>
            </w:tcBorders>
            <w:shd w:val="clear" w:color="000000" w:fill="FFFFFF"/>
            <w:noWrap/>
            <w:vAlign w:val="center"/>
            <w:hideMark/>
          </w:tcPr>
          <w:p w14:paraId="1BF5C3A6" w14:textId="77777777" w:rsidR="00626056" w:rsidRPr="00D66648" w:rsidRDefault="00626056" w:rsidP="00D66648">
            <w:pPr>
              <w:pStyle w:val="TableTextBase"/>
            </w:pPr>
            <w:r w:rsidRPr="00D66648">
              <w:t>Various (a)</w:t>
            </w:r>
          </w:p>
        </w:tc>
        <w:tc>
          <w:tcPr>
            <w:tcW w:w="639" w:type="dxa"/>
            <w:tcBorders>
              <w:top w:val="nil"/>
              <w:left w:val="nil"/>
              <w:bottom w:val="single" w:sz="2" w:space="0" w:color="000000" w:themeColor="text1"/>
              <w:right w:val="nil"/>
            </w:tcBorders>
            <w:shd w:val="clear" w:color="000000" w:fill="FFFFFF"/>
            <w:noWrap/>
            <w:vAlign w:val="center"/>
            <w:hideMark/>
          </w:tcPr>
          <w:p w14:paraId="3E5F890D" w14:textId="77777777" w:rsidR="00626056" w:rsidRPr="00D66648" w:rsidRDefault="00626056" w:rsidP="00D66648">
            <w:pPr>
              <w:pStyle w:val="TableTextBase"/>
            </w:pPr>
            <w:r w:rsidRPr="00D66648">
              <w:t>3</w:t>
            </w:r>
          </w:p>
        </w:tc>
        <w:tc>
          <w:tcPr>
            <w:tcW w:w="425" w:type="dxa"/>
            <w:tcBorders>
              <w:top w:val="nil"/>
              <w:left w:val="nil"/>
              <w:bottom w:val="single" w:sz="2" w:space="0" w:color="000000" w:themeColor="text1"/>
              <w:right w:val="nil"/>
            </w:tcBorders>
            <w:shd w:val="clear" w:color="000000" w:fill="FFFFFF"/>
            <w:noWrap/>
            <w:vAlign w:val="center"/>
            <w:hideMark/>
          </w:tcPr>
          <w:p w14:paraId="72199814" w14:textId="77777777" w:rsidR="00626056" w:rsidRPr="00D66648" w:rsidRDefault="00626056" w:rsidP="00D66648">
            <w:pPr>
              <w:pStyle w:val="TableTextBase"/>
            </w:pPr>
            <w:r w:rsidRPr="00D66648">
              <w:t>1.2</w:t>
            </w:r>
          </w:p>
        </w:tc>
        <w:tc>
          <w:tcPr>
            <w:tcW w:w="689" w:type="dxa"/>
            <w:tcBorders>
              <w:top w:val="nil"/>
              <w:left w:val="nil"/>
              <w:bottom w:val="single" w:sz="2" w:space="0" w:color="000000" w:themeColor="text1"/>
              <w:right w:val="nil"/>
            </w:tcBorders>
            <w:shd w:val="clear" w:color="000000" w:fill="FFFFFF"/>
            <w:noWrap/>
            <w:vAlign w:val="center"/>
            <w:hideMark/>
          </w:tcPr>
          <w:p w14:paraId="5AEC27BB" w14:textId="77777777" w:rsidR="00626056" w:rsidRPr="00D66648" w:rsidRDefault="00626056" w:rsidP="00D66648">
            <w:pPr>
              <w:pStyle w:val="TableTextBase"/>
            </w:pPr>
            <w:r w:rsidRPr="00D66648">
              <w:t>1</w:t>
            </w:r>
          </w:p>
        </w:tc>
        <w:tc>
          <w:tcPr>
            <w:tcW w:w="445" w:type="dxa"/>
            <w:tcBorders>
              <w:top w:val="nil"/>
              <w:left w:val="nil"/>
              <w:bottom w:val="single" w:sz="2" w:space="0" w:color="000000" w:themeColor="text1"/>
              <w:right w:val="nil"/>
            </w:tcBorders>
            <w:shd w:val="clear" w:color="000000" w:fill="FFFFFF"/>
            <w:noWrap/>
            <w:vAlign w:val="center"/>
            <w:hideMark/>
          </w:tcPr>
          <w:p w14:paraId="30BD2380" w14:textId="77777777" w:rsidR="00626056" w:rsidRPr="00D66648" w:rsidRDefault="00626056" w:rsidP="00D66648">
            <w:pPr>
              <w:pStyle w:val="TableTextBase"/>
            </w:pPr>
            <w:r w:rsidRPr="00D66648">
              <w:t>0.1</w:t>
            </w:r>
          </w:p>
        </w:tc>
        <w:tc>
          <w:tcPr>
            <w:tcW w:w="567" w:type="dxa"/>
            <w:tcBorders>
              <w:top w:val="nil"/>
              <w:left w:val="nil"/>
              <w:bottom w:val="single" w:sz="2" w:space="0" w:color="000000" w:themeColor="text1"/>
              <w:right w:val="nil"/>
            </w:tcBorders>
            <w:shd w:val="clear" w:color="000000" w:fill="FFFFFF"/>
            <w:noWrap/>
            <w:vAlign w:val="center"/>
            <w:hideMark/>
          </w:tcPr>
          <w:p w14:paraId="6307B4EC" w14:textId="77777777" w:rsidR="00626056" w:rsidRPr="00D66648" w:rsidRDefault="00626056" w:rsidP="00D66648">
            <w:pPr>
              <w:pStyle w:val="TableTextBase"/>
            </w:pPr>
            <w:r w:rsidRPr="00D66648">
              <w:t>13</w:t>
            </w:r>
          </w:p>
        </w:tc>
        <w:tc>
          <w:tcPr>
            <w:tcW w:w="567" w:type="dxa"/>
            <w:tcBorders>
              <w:top w:val="nil"/>
              <w:left w:val="nil"/>
              <w:bottom w:val="single" w:sz="2" w:space="0" w:color="000000" w:themeColor="text1"/>
              <w:right w:val="nil"/>
            </w:tcBorders>
            <w:shd w:val="clear" w:color="000000" w:fill="FFFFFF"/>
            <w:noWrap/>
            <w:vAlign w:val="center"/>
            <w:hideMark/>
          </w:tcPr>
          <w:p w14:paraId="39B4B041" w14:textId="77777777" w:rsidR="00626056" w:rsidRPr="00D66648" w:rsidRDefault="00626056" w:rsidP="00D66648">
            <w:pPr>
              <w:pStyle w:val="TableTextBase"/>
            </w:pPr>
            <w:r w:rsidRPr="00D66648">
              <w:t>1.9</w:t>
            </w:r>
          </w:p>
        </w:tc>
        <w:tc>
          <w:tcPr>
            <w:tcW w:w="709" w:type="dxa"/>
            <w:gridSpan w:val="2"/>
            <w:tcBorders>
              <w:top w:val="nil"/>
              <w:left w:val="nil"/>
              <w:bottom w:val="single" w:sz="2" w:space="0" w:color="000000" w:themeColor="text1"/>
              <w:right w:val="nil"/>
            </w:tcBorders>
            <w:shd w:val="clear" w:color="000000" w:fill="FFFFFF"/>
            <w:noWrap/>
            <w:vAlign w:val="center"/>
            <w:hideMark/>
          </w:tcPr>
          <w:p w14:paraId="63DA8461" w14:textId="77777777" w:rsidR="00626056" w:rsidRPr="00D66648" w:rsidRDefault="00626056" w:rsidP="00D66648">
            <w:pPr>
              <w:pStyle w:val="TableTextBase"/>
            </w:pPr>
            <w:r w:rsidRPr="00D66648">
              <w:t>14</w:t>
            </w:r>
          </w:p>
        </w:tc>
        <w:tc>
          <w:tcPr>
            <w:tcW w:w="425" w:type="dxa"/>
            <w:tcBorders>
              <w:top w:val="nil"/>
              <w:left w:val="nil"/>
              <w:bottom w:val="single" w:sz="2" w:space="0" w:color="000000" w:themeColor="text1"/>
              <w:right w:val="nil"/>
            </w:tcBorders>
            <w:shd w:val="clear" w:color="000000" w:fill="FFFFFF"/>
            <w:noWrap/>
            <w:vAlign w:val="center"/>
            <w:hideMark/>
          </w:tcPr>
          <w:p w14:paraId="5115641D" w14:textId="77777777" w:rsidR="00626056" w:rsidRPr="00D66648" w:rsidRDefault="00626056" w:rsidP="00D66648">
            <w:pPr>
              <w:pStyle w:val="TableTextBase"/>
            </w:pPr>
            <w:r w:rsidRPr="00D66648">
              <w:t>2.3</w:t>
            </w:r>
          </w:p>
        </w:tc>
        <w:tc>
          <w:tcPr>
            <w:tcW w:w="567" w:type="dxa"/>
            <w:tcBorders>
              <w:top w:val="nil"/>
              <w:left w:val="nil"/>
              <w:bottom w:val="single" w:sz="2" w:space="0" w:color="000000" w:themeColor="text1"/>
              <w:right w:val="nil"/>
            </w:tcBorders>
            <w:shd w:val="clear" w:color="000000" w:fill="FFFFFF"/>
            <w:noWrap/>
            <w:vAlign w:val="center"/>
            <w:hideMark/>
          </w:tcPr>
          <w:p w14:paraId="3CAE956F" w14:textId="77777777" w:rsidR="00626056" w:rsidRPr="00D66648" w:rsidRDefault="00626056" w:rsidP="00D66648">
            <w:pPr>
              <w:pStyle w:val="TableTextBase"/>
            </w:pPr>
            <w:r w:rsidRPr="00D66648">
              <w:t>0</w:t>
            </w:r>
          </w:p>
        </w:tc>
        <w:tc>
          <w:tcPr>
            <w:tcW w:w="567" w:type="dxa"/>
            <w:tcBorders>
              <w:top w:val="nil"/>
              <w:left w:val="nil"/>
              <w:bottom w:val="single" w:sz="2" w:space="0" w:color="000000" w:themeColor="text1"/>
              <w:right w:val="nil"/>
            </w:tcBorders>
            <w:shd w:val="clear" w:color="000000" w:fill="FFFFFF"/>
            <w:noWrap/>
            <w:vAlign w:val="center"/>
            <w:hideMark/>
          </w:tcPr>
          <w:p w14:paraId="10A7A88E" w14:textId="77777777" w:rsidR="00626056" w:rsidRPr="00D66648" w:rsidRDefault="00626056" w:rsidP="00D66648">
            <w:pPr>
              <w:pStyle w:val="TableTextBase"/>
            </w:pPr>
            <w:r w:rsidRPr="00D66648">
              <w:t>0.0</w:t>
            </w:r>
          </w:p>
        </w:tc>
        <w:tc>
          <w:tcPr>
            <w:tcW w:w="567" w:type="dxa"/>
            <w:tcBorders>
              <w:top w:val="nil"/>
              <w:left w:val="nil"/>
              <w:bottom w:val="single" w:sz="2" w:space="0" w:color="000000" w:themeColor="text1"/>
              <w:right w:val="nil"/>
            </w:tcBorders>
            <w:shd w:val="clear" w:color="000000" w:fill="FFFFFF"/>
            <w:noWrap/>
            <w:vAlign w:val="center"/>
            <w:hideMark/>
          </w:tcPr>
          <w:p w14:paraId="0AFA1247" w14:textId="77777777" w:rsidR="00626056" w:rsidRPr="00D66648" w:rsidRDefault="00626056" w:rsidP="00D66648">
            <w:pPr>
              <w:pStyle w:val="TableTextBase"/>
            </w:pPr>
            <w:r w:rsidRPr="00D66648">
              <w:t>0</w:t>
            </w:r>
          </w:p>
        </w:tc>
        <w:tc>
          <w:tcPr>
            <w:tcW w:w="622" w:type="dxa"/>
            <w:tcBorders>
              <w:top w:val="nil"/>
              <w:left w:val="nil"/>
              <w:bottom w:val="single" w:sz="2" w:space="0" w:color="000000" w:themeColor="text1"/>
              <w:right w:val="nil"/>
            </w:tcBorders>
            <w:shd w:val="clear" w:color="000000" w:fill="FFFFFF"/>
            <w:noWrap/>
            <w:vAlign w:val="center"/>
            <w:hideMark/>
          </w:tcPr>
          <w:p w14:paraId="369BD43B" w14:textId="77777777" w:rsidR="00626056" w:rsidRPr="00D66648" w:rsidRDefault="00626056" w:rsidP="00D66648">
            <w:pPr>
              <w:pStyle w:val="TableTextBase"/>
            </w:pPr>
            <w:r w:rsidRPr="00D66648">
              <w:t>0.0</w:t>
            </w:r>
          </w:p>
        </w:tc>
      </w:tr>
      <w:tr w:rsidR="005668A1" w:rsidRPr="00D66648" w14:paraId="68C551D1" w14:textId="77777777" w:rsidTr="00FE48A4">
        <w:tc>
          <w:tcPr>
            <w:tcW w:w="921" w:type="dxa"/>
            <w:tcBorders>
              <w:left w:val="nil"/>
              <w:bottom w:val="single" w:sz="2" w:space="0" w:color="000000" w:themeColor="text1"/>
              <w:right w:val="nil"/>
            </w:tcBorders>
            <w:shd w:val="clear" w:color="000000" w:fill="FFFFFF"/>
            <w:noWrap/>
            <w:vAlign w:val="center"/>
            <w:hideMark/>
          </w:tcPr>
          <w:p w14:paraId="43276413" w14:textId="77777777" w:rsidR="00626056" w:rsidRPr="00D66648" w:rsidRDefault="00626056" w:rsidP="00D66648">
            <w:pPr>
              <w:pStyle w:val="TableTextBase"/>
              <w:rPr>
                <w:b/>
                <w:bCs/>
              </w:rPr>
            </w:pPr>
            <w:r w:rsidRPr="00D66648">
              <w:rPr>
                <w:b/>
                <w:bCs/>
              </w:rPr>
              <w:t>Total</w:t>
            </w:r>
          </w:p>
        </w:tc>
        <w:tc>
          <w:tcPr>
            <w:tcW w:w="639" w:type="dxa"/>
            <w:tcBorders>
              <w:top w:val="single" w:sz="2" w:space="0" w:color="000000" w:themeColor="text1"/>
              <w:left w:val="nil"/>
              <w:bottom w:val="single" w:sz="2" w:space="0" w:color="000000" w:themeColor="text1"/>
              <w:right w:val="nil"/>
            </w:tcBorders>
            <w:shd w:val="clear" w:color="000000" w:fill="FFFFFF"/>
            <w:noWrap/>
            <w:vAlign w:val="center"/>
            <w:hideMark/>
          </w:tcPr>
          <w:p w14:paraId="593706AA" w14:textId="77777777" w:rsidR="00626056" w:rsidRPr="00D66648" w:rsidRDefault="00626056" w:rsidP="00D66648">
            <w:pPr>
              <w:pStyle w:val="TableTextBase"/>
              <w:rPr>
                <w:b/>
                <w:bCs/>
              </w:rPr>
            </w:pPr>
            <w:r w:rsidRPr="00D66648">
              <w:rPr>
                <w:b/>
                <w:bCs/>
              </w:rPr>
              <w:t>3,951</w:t>
            </w:r>
          </w:p>
        </w:tc>
        <w:tc>
          <w:tcPr>
            <w:tcW w:w="425" w:type="dxa"/>
            <w:tcBorders>
              <w:top w:val="single" w:sz="2" w:space="0" w:color="000000" w:themeColor="text1"/>
              <w:left w:val="nil"/>
              <w:bottom w:val="single" w:sz="2" w:space="0" w:color="000000" w:themeColor="text1"/>
              <w:right w:val="nil"/>
            </w:tcBorders>
            <w:shd w:val="clear" w:color="000000" w:fill="FFFFFF"/>
            <w:noWrap/>
            <w:vAlign w:val="center"/>
            <w:hideMark/>
          </w:tcPr>
          <w:p w14:paraId="2F0798D3" w14:textId="77777777" w:rsidR="00626056" w:rsidRPr="00D66648" w:rsidRDefault="00626056" w:rsidP="00D66648">
            <w:pPr>
              <w:pStyle w:val="TableTextBase"/>
              <w:rPr>
                <w:b/>
                <w:bCs/>
              </w:rPr>
            </w:pPr>
            <w:r w:rsidRPr="00D66648">
              <w:rPr>
                <w:b/>
                <w:bCs/>
              </w:rPr>
              <w:t>4.4</w:t>
            </w:r>
          </w:p>
        </w:tc>
        <w:tc>
          <w:tcPr>
            <w:tcW w:w="689" w:type="dxa"/>
            <w:tcBorders>
              <w:top w:val="single" w:sz="2" w:space="0" w:color="000000" w:themeColor="text1"/>
              <w:left w:val="nil"/>
              <w:bottom w:val="single" w:sz="2" w:space="0" w:color="000000" w:themeColor="text1"/>
              <w:right w:val="nil"/>
            </w:tcBorders>
            <w:shd w:val="clear" w:color="000000" w:fill="FFFFFF"/>
            <w:noWrap/>
            <w:vAlign w:val="center"/>
            <w:hideMark/>
          </w:tcPr>
          <w:p w14:paraId="517EB42A" w14:textId="77777777" w:rsidR="00626056" w:rsidRPr="00D66648" w:rsidRDefault="00626056" w:rsidP="00D66648">
            <w:pPr>
              <w:pStyle w:val="TableTextBase"/>
              <w:rPr>
                <w:b/>
                <w:bCs/>
              </w:rPr>
            </w:pPr>
            <w:r w:rsidRPr="00D66648">
              <w:rPr>
                <w:b/>
                <w:bCs/>
              </w:rPr>
              <w:t>1,313</w:t>
            </w:r>
          </w:p>
        </w:tc>
        <w:tc>
          <w:tcPr>
            <w:tcW w:w="445" w:type="dxa"/>
            <w:tcBorders>
              <w:top w:val="single" w:sz="2" w:space="0" w:color="000000" w:themeColor="text1"/>
              <w:left w:val="nil"/>
              <w:bottom w:val="single" w:sz="2" w:space="0" w:color="000000" w:themeColor="text1"/>
              <w:right w:val="nil"/>
            </w:tcBorders>
            <w:shd w:val="clear" w:color="000000" w:fill="FFFFFF"/>
            <w:noWrap/>
            <w:vAlign w:val="center"/>
            <w:hideMark/>
          </w:tcPr>
          <w:p w14:paraId="04D27D1D" w14:textId="77777777" w:rsidR="00626056" w:rsidRPr="00D66648" w:rsidRDefault="00626056" w:rsidP="00D66648">
            <w:pPr>
              <w:pStyle w:val="TableTextBase"/>
              <w:rPr>
                <w:b/>
                <w:bCs/>
              </w:rPr>
            </w:pPr>
            <w:r w:rsidRPr="00D66648">
              <w:rPr>
                <w:b/>
                <w:bCs/>
              </w:rPr>
              <w:t>1.8</w:t>
            </w:r>
          </w:p>
        </w:tc>
        <w:tc>
          <w:tcPr>
            <w:tcW w:w="567" w:type="dxa"/>
            <w:tcBorders>
              <w:top w:val="single" w:sz="2" w:space="0" w:color="000000" w:themeColor="text1"/>
              <w:left w:val="nil"/>
              <w:bottom w:val="single" w:sz="2" w:space="0" w:color="000000" w:themeColor="text1"/>
              <w:right w:val="nil"/>
            </w:tcBorders>
            <w:shd w:val="clear" w:color="000000" w:fill="FFFFFF"/>
            <w:noWrap/>
            <w:vAlign w:val="center"/>
            <w:hideMark/>
          </w:tcPr>
          <w:p w14:paraId="1A166A73" w14:textId="77777777" w:rsidR="00626056" w:rsidRPr="00D66648" w:rsidRDefault="00626056" w:rsidP="00D66648">
            <w:pPr>
              <w:pStyle w:val="TableTextBase"/>
              <w:rPr>
                <w:b/>
                <w:bCs/>
              </w:rPr>
            </w:pPr>
            <w:r w:rsidRPr="00D66648">
              <w:rPr>
                <w:b/>
                <w:bCs/>
              </w:rPr>
              <w:t>279</w:t>
            </w:r>
          </w:p>
        </w:tc>
        <w:tc>
          <w:tcPr>
            <w:tcW w:w="567" w:type="dxa"/>
            <w:tcBorders>
              <w:top w:val="single" w:sz="2" w:space="0" w:color="000000" w:themeColor="text1"/>
              <w:left w:val="nil"/>
              <w:bottom w:val="single" w:sz="2" w:space="0" w:color="000000" w:themeColor="text1"/>
              <w:right w:val="nil"/>
            </w:tcBorders>
            <w:shd w:val="clear" w:color="000000" w:fill="FFFFFF"/>
            <w:noWrap/>
            <w:vAlign w:val="center"/>
            <w:hideMark/>
          </w:tcPr>
          <w:p w14:paraId="68FE77FF" w14:textId="77777777" w:rsidR="00626056" w:rsidRPr="00D66648" w:rsidRDefault="00626056" w:rsidP="00D66648">
            <w:pPr>
              <w:pStyle w:val="TableTextBase"/>
              <w:rPr>
                <w:b/>
                <w:bCs/>
              </w:rPr>
            </w:pPr>
            <w:r w:rsidRPr="00D66648">
              <w:rPr>
                <w:b/>
                <w:bCs/>
              </w:rPr>
              <w:t>2.7</w:t>
            </w:r>
          </w:p>
        </w:tc>
        <w:tc>
          <w:tcPr>
            <w:tcW w:w="709" w:type="dxa"/>
            <w:gridSpan w:val="2"/>
            <w:tcBorders>
              <w:top w:val="single" w:sz="2" w:space="0" w:color="000000" w:themeColor="text1"/>
              <w:left w:val="nil"/>
              <w:bottom w:val="single" w:sz="2" w:space="0" w:color="000000" w:themeColor="text1"/>
              <w:right w:val="nil"/>
            </w:tcBorders>
            <w:shd w:val="clear" w:color="000000" w:fill="FFFFFF"/>
            <w:noWrap/>
            <w:vAlign w:val="center"/>
            <w:hideMark/>
          </w:tcPr>
          <w:p w14:paraId="054E50A6" w14:textId="77777777" w:rsidR="00626056" w:rsidRPr="00D66648" w:rsidRDefault="00626056" w:rsidP="00D66648">
            <w:pPr>
              <w:pStyle w:val="TableTextBase"/>
              <w:rPr>
                <w:b/>
                <w:bCs/>
              </w:rPr>
            </w:pPr>
            <w:r w:rsidRPr="00D66648">
              <w:rPr>
                <w:b/>
                <w:bCs/>
              </w:rPr>
              <w:t>1,806</w:t>
            </w:r>
          </w:p>
        </w:tc>
        <w:tc>
          <w:tcPr>
            <w:tcW w:w="425" w:type="dxa"/>
            <w:tcBorders>
              <w:top w:val="single" w:sz="2" w:space="0" w:color="000000" w:themeColor="text1"/>
              <w:left w:val="nil"/>
              <w:bottom w:val="single" w:sz="2" w:space="0" w:color="000000" w:themeColor="text1"/>
              <w:right w:val="nil"/>
            </w:tcBorders>
            <w:shd w:val="clear" w:color="000000" w:fill="FFFFFF"/>
            <w:noWrap/>
            <w:vAlign w:val="center"/>
            <w:hideMark/>
          </w:tcPr>
          <w:p w14:paraId="2878B012" w14:textId="77777777" w:rsidR="00626056" w:rsidRPr="00D66648" w:rsidRDefault="00626056" w:rsidP="00D66648">
            <w:pPr>
              <w:pStyle w:val="TableTextBase"/>
              <w:rPr>
                <w:b/>
                <w:bCs/>
              </w:rPr>
            </w:pPr>
            <w:r w:rsidRPr="00D66648">
              <w:rPr>
                <w:b/>
                <w:bCs/>
              </w:rPr>
              <w:t>4.2</w:t>
            </w:r>
          </w:p>
        </w:tc>
        <w:tc>
          <w:tcPr>
            <w:tcW w:w="567" w:type="dxa"/>
            <w:tcBorders>
              <w:top w:val="single" w:sz="2" w:space="0" w:color="000000" w:themeColor="text1"/>
              <w:left w:val="nil"/>
              <w:bottom w:val="single" w:sz="2" w:space="0" w:color="000000" w:themeColor="text1"/>
              <w:right w:val="nil"/>
            </w:tcBorders>
            <w:shd w:val="clear" w:color="000000" w:fill="FFFFFF"/>
            <w:noWrap/>
            <w:vAlign w:val="center"/>
            <w:hideMark/>
          </w:tcPr>
          <w:p w14:paraId="39076C1F" w14:textId="77777777" w:rsidR="00626056" w:rsidRPr="00D66648" w:rsidRDefault="00626056" w:rsidP="00D66648">
            <w:pPr>
              <w:pStyle w:val="TableTextBase"/>
              <w:rPr>
                <w:b/>
                <w:bCs/>
              </w:rPr>
            </w:pPr>
            <w:r w:rsidRPr="00D66648">
              <w:rPr>
                <w:b/>
                <w:bCs/>
              </w:rPr>
              <w:t>38</w:t>
            </w:r>
          </w:p>
        </w:tc>
        <w:tc>
          <w:tcPr>
            <w:tcW w:w="567" w:type="dxa"/>
            <w:tcBorders>
              <w:top w:val="single" w:sz="2" w:space="0" w:color="000000" w:themeColor="text1"/>
              <w:left w:val="nil"/>
              <w:bottom w:val="single" w:sz="2" w:space="0" w:color="000000" w:themeColor="text1"/>
              <w:right w:val="nil"/>
            </w:tcBorders>
            <w:shd w:val="clear" w:color="000000" w:fill="FFFFFF"/>
            <w:noWrap/>
            <w:vAlign w:val="center"/>
            <w:hideMark/>
          </w:tcPr>
          <w:p w14:paraId="6CCBA2F9" w14:textId="77777777" w:rsidR="00626056" w:rsidRPr="00D66648" w:rsidRDefault="00626056" w:rsidP="00D66648">
            <w:pPr>
              <w:pStyle w:val="TableTextBase"/>
              <w:rPr>
                <w:b/>
                <w:bCs/>
              </w:rPr>
            </w:pPr>
            <w:r w:rsidRPr="00D66648">
              <w:rPr>
                <w:b/>
                <w:bCs/>
              </w:rPr>
              <w:t>1.7</w:t>
            </w:r>
          </w:p>
        </w:tc>
        <w:tc>
          <w:tcPr>
            <w:tcW w:w="567" w:type="dxa"/>
            <w:tcBorders>
              <w:top w:val="single" w:sz="2" w:space="0" w:color="000000" w:themeColor="text1"/>
              <w:left w:val="nil"/>
              <w:bottom w:val="single" w:sz="2" w:space="0" w:color="000000" w:themeColor="text1"/>
              <w:right w:val="nil"/>
            </w:tcBorders>
            <w:shd w:val="clear" w:color="000000" w:fill="FFFFFF"/>
            <w:noWrap/>
            <w:vAlign w:val="center"/>
            <w:hideMark/>
          </w:tcPr>
          <w:p w14:paraId="5B380FC2" w14:textId="77777777" w:rsidR="00626056" w:rsidRPr="00D66648" w:rsidRDefault="00626056" w:rsidP="00D66648">
            <w:pPr>
              <w:pStyle w:val="TableTextBase"/>
              <w:rPr>
                <w:b/>
                <w:bCs/>
              </w:rPr>
            </w:pPr>
            <w:r w:rsidRPr="00D66648">
              <w:rPr>
                <w:b/>
                <w:bCs/>
              </w:rPr>
              <w:t>126</w:t>
            </w:r>
          </w:p>
        </w:tc>
        <w:tc>
          <w:tcPr>
            <w:tcW w:w="622" w:type="dxa"/>
            <w:tcBorders>
              <w:top w:val="single" w:sz="2" w:space="0" w:color="000000" w:themeColor="text1"/>
              <w:left w:val="nil"/>
              <w:bottom w:val="single" w:sz="2" w:space="0" w:color="000000" w:themeColor="text1"/>
              <w:right w:val="nil"/>
            </w:tcBorders>
            <w:shd w:val="clear" w:color="000000" w:fill="FFFFFF"/>
            <w:noWrap/>
            <w:vAlign w:val="center"/>
            <w:hideMark/>
          </w:tcPr>
          <w:p w14:paraId="10C1757F" w14:textId="77777777" w:rsidR="00626056" w:rsidRPr="00D66648" w:rsidRDefault="00626056" w:rsidP="00D66648">
            <w:pPr>
              <w:pStyle w:val="TableTextBase"/>
              <w:rPr>
                <w:b/>
                <w:bCs/>
              </w:rPr>
            </w:pPr>
            <w:r w:rsidRPr="00D66648">
              <w:rPr>
                <w:b/>
                <w:bCs/>
              </w:rPr>
              <w:t>0.1</w:t>
            </w:r>
          </w:p>
        </w:tc>
      </w:tr>
    </w:tbl>
    <w:p w14:paraId="247C2C24" w14:textId="7831F330" w:rsidR="00A84283" w:rsidRPr="00CB4DB7" w:rsidRDefault="00A84283" w:rsidP="007149D6">
      <w:pPr>
        <w:pStyle w:val="ChartorTableFootnote"/>
        <w:numPr>
          <w:ilvl w:val="0"/>
          <w:numId w:val="14"/>
        </w:numPr>
      </w:pPr>
      <w:r w:rsidRPr="00CB4DB7">
        <w:t>Comprises approvals where the proposed investment is to be undertaken in more than one state or territory.</w:t>
      </w:r>
    </w:p>
    <w:p w14:paraId="4AB618C0" w14:textId="2F4B6130" w:rsidR="00A84283" w:rsidRPr="00CB4DB7" w:rsidRDefault="00A84283" w:rsidP="009A641E">
      <w:pPr>
        <w:pStyle w:val="ChartorTableFootnote"/>
      </w:pPr>
      <w:r w:rsidRPr="00CB4DB7">
        <w:t>‘Developer’ includes new dwelling exemption certificates provided to real estate developers (previously off the plan approvals), as well as near new dwelling exemption certificates.</w:t>
      </w:r>
    </w:p>
    <w:p w14:paraId="46E05604" w14:textId="77777777" w:rsidR="00A84283" w:rsidRPr="00880A8F" w:rsidRDefault="00A84283" w:rsidP="006D64A2">
      <w:pPr>
        <w:pStyle w:val="ChartorTableNote"/>
      </w:pPr>
      <w:r w:rsidRPr="00880A8F">
        <w:t>Notes:</w:t>
      </w:r>
      <w:r w:rsidRPr="00880A8F">
        <w:tab/>
        <w:t>Totals may not add due to rounding.</w:t>
      </w:r>
    </w:p>
    <w:p w14:paraId="2750B03F" w14:textId="3EC8DEDC" w:rsidR="00A84283" w:rsidRPr="00880A8F" w:rsidRDefault="00A84283" w:rsidP="006D64A2">
      <w:pPr>
        <w:pStyle w:val="ChartorTableNote"/>
      </w:pPr>
      <w:r w:rsidRPr="00880A8F">
        <w:t>This table excludes the developed, and for development exemption certificates for foreign persons shown in Table 3.10.</w:t>
      </w:r>
    </w:p>
    <w:p w14:paraId="5D861DBA" w14:textId="6484A25B" w:rsidR="00A84283" w:rsidRPr="00880A8F" w:rsidRDefault="00A84283" w:rsidP="00406C1F">
      <w:pPr>
        <w:pStyle w:val="ChartorTableNote"/>
      </w:pPr>
      <w:r w:rsidRPr="00880A8F">
        <w:t>‘0.0’ indicates a figure of zero or a figure less than $50 million.</w:t>
      </w:r>
    </w:p>
    <w:p w14:paraId="7D2F554A" w14:textId="35137EFB" w:rsidR="00A84283" w:rsidRPr="00880A8F" w:rsidRDefault="00A84283">
      <w:pPr>
        <w:pStyle w:val="ChartorTableNote"/>
      </w:pPr>
      <w:r w:rsidRPr="00880A8F">
        <w:t>The 2017</w:t>
      </w:r>
      <w:r w:rsidR="00460353" w:rsidRPr="00880A8F">
        <w:noBreakHyphen/>
      </w:r>
      <w:r w:rsidRPr="00880A8F">
        <w:t>18 figures were impacted by the reforms announced in the 2017</w:t>
      </w:r>
      <w:r w:rsidR="00460353" w:rsidRPr="00880A8F">
        <w:noBreakHyphen/>
      </w:r>
      <w:r w:rsidRPr="00880A8F">
        <w:t>18 Budget, which were given effect on 1 July 2017. The reforms may affect data comparability. </w:t>
      </w:r>
    </w:p>
    <w:p w14:paraId="6F83FD2C" w14:textId="2D244395" w:rsidR="00A84283" w:rsidRPr="00A84283" w:rsidRDefault="00A84283" w:rsidP="00A12D76">
      <w:pPr>
        <w:pStyle w:val="Heading2"/>
        <w:rPr>
          <w:b w:val="0"/>
        </w:rPr>
      </w:pPr>
      <w:bookmarkStart w:id="121" w:name="_Toc31296905"/>
      <w:bookmarkStart w:id="122" w:name="_Toc31636023"/>
      <w:bookmarkStart w:id="123" w:name="_Toc31642792"/>
      <w:bookmarkStart w:id="124" w:name="_Toc32247801"/>
      <w:bookmarkStart w:id="125" w:name="_Toc33625850"/>
      <w:r w:rsidRPr="00A84283">
        <w:lastRenderedPageBreak/>
        <w:t>New business approvals</w:t>
      </w:r>
      <w:bookmarkEnd w:id="121"/>
      <w:bookmarkEnd w:id="122"/>
      <w:bookmarkEnd w:id="123"/>
      <w:bookmarkEnd w:id="124"/>
      <w:bookmarkEnd w:id="125"/>
    </w:p>
    <w:p w14:paraId="35947FD7" w14:textId="0694FAC4" w:rsidR="00A84283" w:rsidRPr="00A84283" w:rsidRDefault="00A84283" w:rsidP="002E2EFE">
      <w:r w:rsidRPr="00A84283">
        <w:t>Foreign government investors require approval to start an Australian business.</w:t>
      </w:r>
      <w:r w:rsidR="00460353" w:rsidRPr="00497197">
        <w:rPr>
          <w:rStyle w:val="FootnoteReference"/>
          <w:color w:val="auto"/>
        </w:rPr>
        <w:footnoteReference w:id="7"/>
      </w:r>
      <w:r w:rsidRPr="00497197">
        <w:t xml:space="preserve"> </w:t>
      </w:r>
      <w:r w:rsidR="00460353">
        <w:t>New business</w:t>
      </w:r>
      <w:r w:rsidRPr="00A84283">
        <w:t xml:space="preserve"> approvals </w:t>
      </w:r>
      <w:r w:rsidR="00460353">
        <w:t xml:space="preserve">in the agriculture, forestry and fishing sector, </w:t>
      </w:r>
      <w:r w:rsidR="003F7929">
        <w:t xml:space="preserve">the </w:t>
      </w:r>
      <w:r w:rsidR="00460353">
        <w:t>finance and i</w:t>
      </w:r>
      <w:r w:rsidRPr="00A84283">
        <w:t xml:space="preserve">nsurance </w:t>
      </w:r>
      <w:r w:rsidR="009D3E90">
        <w:t>sector and the services sector increased on 2017</w:t>
      </w:r>
      <w:r w:rsidR="009D3E90">
        <w:noBreakHyphen/>
        <w:t>18 approvals, while the number of new business approvals in the manufacturing, electricity and gas sector and the mineral exploration and development sector declined</w:t>
      </w:r>
      <w:r w:rsidRPr="00A84283">
        <w:t>.</w:t>
      </w:r>
    </w:p>
    <w:p w14:paraId="1CF92284" w14:textId="2250CDEE" w:rsidR="00A84283" w:rsidRPr="009C36AC" w:rsidRDefault="00A84283" w:rsidP="009C36AC">
      <w:pPr>
        <w:pStyle w:val="TableMainHeading"/>
      </w:pPr>
      <w:bookmarkStart w:id="126" w:name="_Toc32247774"/>
      <w:bookmarkStart w:id="127" w:name="_Toc33521359"/>
      <w:r w:rsidRPr="009C36AC">
        <w:t>Table 3.13: New business approvals by industry sector: 201</w:t>
      </w:r>
      <w:r w:rsidR="009D3E90" w:rsidRPr="009C36AC">
        <w:t>5-16</w:t>
      </w:r>
      <w:r w:rsidRPr="009C36AC">
        <w:t xml:space="preserve"> to 201</w:t>
      </w:r>
      <w:r w:rsidR="009D3E90" w:rsidRPr="009C36AC">
        <w:t>8</w:t>
      </w:r>
      <w:r w:rsidRPr="009C36AC">
        <w:t>-</w:t>
      </w:r>
      <w:r w:rsidR="009D3E90" w:rsidRPr="009C36AC">
        <w:t>19</w:t>
      </w:r>
      <w:bookmarkEnd w:id="126"/>
      <w:bookmarkEnd w:id="127"/>
    </w:p>
    <w:tbl>
      <w:tblPr>
        <w:tblW w:w="5000" w:type="pct"/>
        <w:tblLook w:val="04A0" w:firstRow="1" w:lastRow="0" w:firstColumn="1" w:lastColumn="0" w:noHBand="0" w:noVBand="1"/>
      </w:tblPr>
      <w:tblGrid>
        <w:gridCol w:w="3766"/>
        <w:gridCol w:w="981"/>
        <w:gridCol w:w="981"/>
        <w:gridCol w:w="981"/>
        <w:gridCol w:w="1001"/>
      </w:tblGrid>
      <w:tr w:rsidR="00EC4749" w:rsidRPr="00EC4749" w14:paraId="2FE1981B" w14:textId="77777777" w:rsidTr="00FE48A4">
        <w:trPr>
          <w:trHeight w:val="225"/>
        </w:trPr>
        <w:tc>
          <w:tcPr>
            <w:tcW w:w="3596" w:type="dxa"/>
            <w:tcBorders>
              <w:top w:val="single" w:sz="2" w:space="0" w:color="000000" w:themeColor="text1"/>
              <w:left w:val="nil"/>
              <w:bottom w:val="nil"/>
              <w:right w:val="nil"/>
            </w:tcBorders>
            <w:shd w:val="clear" w:color="000000" w:fill="FFFFFF"/>
            <w:noWrap/>
            <w:vAlign w:val="center"/>
            <w:hideMark/>
          </w:tcPr>
          <w:p w14:paraId="23FD5212" w14:textId="5906D3BC" w:rsidR="00EC4749" w:rsidRPr="00EC4749" w:rsidRDefault="00EC4749" w:rsidP="00EC4749">
            <w:pPr>
              <w:spacing w:after="0" w:line="240" w:lineRule="auto"/>
              <w:jc w:val="left"/>
              <w:rPr>
                <w:rFonts w:ascii="Calibri" w:hAnsi="Calibri" w:cs="Calibri"/>
                <w:sz w:val="22"/>
                <w:szCs w:val="22"/>
              </w:rPr>
            </w:pPr>
          </w:p>
        </w:tc>
        <w:tc>
          <w:tcPr>
            <w:tcW w:w="936" w:type="dxa"/>
            <w:tcBorders>
              <w:top w:val="single" w:sz="2" w:space="0" w:color="000000" w:themeColor="text1"/>
              <w:left w:val="nil"/>
              <w:right w:val="nil"/>
            </w:tcBorders>
            <w:shd w:val="clear" w:color="000000" w:fill="FFFFFF"/>
            <w:noWrap/>
            <w:vAlign w:val="center"/>
            <w:hideMark/>
          </w:tcPr>
          <w:p w14:paraId="48423483"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2015-16</w:t>
            </w:r>
          </w:p>
        </w:tc>
        <w:tc>
          <w:tcPr>
            <w:tcW w:w="936" w:type="dxa"/>
            <w:tcBorders>
              <w:top w:val="single" w:sz="2" w:space="0" w:color="000000" w:themeColor="text1"/>
              <w:left w:val="nil"/>
              <w:right w:val="nil"/>
            </w:tcBorders>
            <w:shd w:val="clear" w:color="000000" w:fill="FFFFFF"/>
            <w:noWrap/>
            <w:vAlign w:val="center"/>
            <w:hideMark/>
          </w:tcPr>
          <w:p w14:paraId="2EE5535E"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2016-17</w:t>
            </w:r>
          </w:p>
        </w:tc>
        <w:tc>
          <w:tcPr>
            <w:tcW w:w="936" w:type="dxa"/>
            <w:tcBorders>
              <w:top w:val="single" w:sz="2" w:space="0" w:color="000000" w:themeColor="text1"/>
              <w:left w:val="nil"/>
              <w:right w:val="nil"/>
            </w:tcBorders>
            <w:shd w:val="clear" w:color="000000" w:fill="FFFFFF"/>
            <w:noWrap/>
            <w:vAlign w:val="center"/>
            <w:hideMark/>
          </w:tcPr>
          <w:p w14:paraId="2EBC0575"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2017-18</w:t>
            </w:r>
          </w:p>
        </w:tc>
        <w:tc>
          <w:tcPr>
            <w:tcW w:w="956" w:type="dxa"/>
            <w:tcBorders>
              <w:top w:val="single" w:sz="2" w:space="0" w:color="000000" w:themeColor="text1"/>
              <w:left w:val="nil"/>
              <w:right w:val="nil"/>
            </w:tcBorders>
            <w:shd w:val="clear" w:color="000000" w:fill="F2F2F2"/>
            <w:noWrap/>
            <w:vAlign w:val="center"/>
            <w:hideMark/>
          </w:tcPr>
          <w:p w14:paraId="7E2A17D7"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2018-19</w:t>
            </w:r>
          </w:p>
        </w:tc>
      </w:tr>
      <w:tr w:rsidR="00EC4749" w:rsidRPr="00EC4749" w14:paraId="1F0AF20D" w14:textId="77777777" w:rsidTr="00FE48A4">
        <w:trPr>
          <w:trHeight w:val="225"/>
        </w:trPr>
        <w:tc>
          <w:tcPr>
            <w:tcW w:w="3596" w:type="dxa"/>
            <w:tcBorders>
              <w:top w:val="nil"/>
              <w:left w:val="nil"/>
              <w:bottom w:val="single" w:sz="2" w:space="0" w:color="000000" w:themeColor="text1"/>
              <w:right w:val="nil"/>
            </w:tcBorders>
            <w:shd w:val="clear" w:color="000000" w:fill="FFFFFF"/>
            <w:vAlign w:val="center"/>
            <w:hideMark/>
          </w:tcPr>
          <w:p w14:paraId="7C95072A" w14:textId="77777777" w:rsidR="00EC4749" w:rsidRPr="00EC4749" w:rsidRDefault="00EC4749" w:rsidP="00EC4749">
            <w:pPr>
              <w:spacing w:after="0" w:line="240" w:lineRule="auto"/>
              <w:jc w:val="left"/>
              <w:rPr>
                <w:rFonts w:ascii="Arial" w:hAnsi="Arial" w:cs="Arial"/>
                <w:color w:val="auto"/>
                <w:sz w:val="16"/>
                <w:szCs w:val="16"/>
              </w:rPr>
            </w:pPr>
            <w:r w:rsidRPr="00EC4749">
              <w:rPr>
                <w:rFonts w:ascii="Arial" w:hAnsi="Arial" w:cs="Arial"/>
                <w:color w:val="auto"/>
                <w:sz w:val="16"/>
                <w:szCs w:val="16"/>
              </w:rPr>
              <w:t>Industry</w:t>
            </w:r>
          </w:p>
        </w:tc>
        <w:tc>
          <w:tcPr>
            <w:tcW w:w="936" w:type="dxa"/>
            <w:tcBorders>
              <w:left w:val="nil"/>
              <w:bottom w:val="single" w:sz="2" w:space="0" w:color="000000" w:themeColor="text1"/>
              <w:right w:val="nil"/>
            </w:tcBorders>
            <w:shd w:val="clear" w:color="000000" w:fill="FFFFFF"/>
            <w:vAlign w:val="center"/>
            <w:hideMark/>
          </w:tcPr>
          <w:p w14:paraId="7C40E1C5"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No.</w:t>
            </w:r>
          </w:p>
        </w:tc>
        <w:tc>
          <w:tcPr>
            <w:tcW w:w="936" w:type="dxa"/>
            <w:tcBorders>
              <w:left w:val="nil"/>
              <w:bottom w:val="single" w:sz="2" w:space="0" w:color="000000" w:themeColor="text1"/>
              <w:right w:val="nil"/>
            </w:tcBorders>
            <w:shd w:val="clear" w:color="000000" w:fill="FFFFFF"/>
            <w:vAlign w:val="center"/>
            <w:hideMark/>
          </w:tcPr>
          <w:p w14:paraId="60224B29"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No.</w:t>
            </w:r>
          </w:p>
        </w:tc>
        <w:tc>
          <w:tcPr>
            <w:tcW w:w="936" w:type="dxa"/>
            <w:tcBorders>
              <w:left w:val="nil"/>
              <w:bottom w:val="single" w:sz="2" w:space="0" w:color="000000" w:themeColor="text1"/>
              <w:right w:val="nil"/>
            </w:tcBorders>
            <w:shd w:val="clear" w:color="000000" w:fill="FFFFFF"/>
            <w:vAlign w:val="center"/>
            <w:hideMark/>
          </w:tcPr>
          <w:p w14:paraId="1EAA42D5"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No.</w:t>
            </w:r>
          </w:p>
        </w:tc>
        <w:tc>
          <w:tcPr>
            <w:tcW w:w="956" w:type="dxa"/>
            <w:tcBorders>
              <w:left w:val="nil"/>
              <w:bottom w:val="single" w:sz="2" w:space="0" w:color="000000" w:themeColor="text1"/>
              <w:right w:val="nil"/>
            </w:tcBorders>
            <w:shd w:val="clear" w:color="000000" w:fill="F2F2F2"/>
            <w:vAlign w:val="center"/>
            <w:hideMark/>
          </w:tcPr>
          <w:p w14:paraId="04D29E2E"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No.</w:t>
            </w:r>
          </w:p>
        </w:tc>
      </w:tr>
      <w:tr w:rsidR="00EC4749" w:rsidRPr="00EC4749" w14:paraId="4CAC3E58" w14:textId="77777777" w:rsidTr="00FE48A4">
        <w:trPr>
          <w:trHeight w:val="225"/>
        </w:trPr>
        <w:tc>
          <w:tcPr>
            <w:tcW w:w="3596" w:type="dxa"/>
            <w:tcBorders>
              <w:top w:val="single" w:sz="2" w:space="0" w:color="000000" w:themeColor="text1"/>
              <w:left w:val="nil"/>
              <w:bottom w:val="nil"/>
              <w:right w:val="nil"/>
            </w:tcBorders>
            <w:shd w:val="clear" w:color="000000" w:fill="FFFFFF"/>
            <w:vAlign w:val="center"/>
            <w:hideMark/>
          </w:tcPr>
          <w:p w14:paraId="01F49E10" w14:textId="77777777" w:rsidR="00EC4749" w:rsidRPr="00EC4749" w:rsidRDefault="00EC4749" w:rsidP="00EC4749">
            <w:pPr>
              <w:spacing w:after="0" w:line="240" w:lineRule="auto"/>
              <w:jc w:val="left"/>
              <w:rPr>
                <w:rFonts w:ascii="Arial" w:hAnsi="Arial" w:cs="Arial"/>
                <w:color w:val="auto"/>
                <w:sz w:val="16"/>
                <w:szCs w:val="16"/>
              </w:rPr>
            </w:pPr>
            <w:r w:rsidRPr="00EC4749">
              <w:rPr>
                <w:rFonts w:ascii="Arial" w:hAnsi="Arial" w:cs="Arial"/>
                <w:color w:val="auto"/>
                <w:sz w:val="16"/>
                <w:szCs w:val="16"/>
              </w:rPr>
              <w:t>Agriculture, forestry &amp; fishing</w:t>
            </w:r>
          </w:p>
        </w:tc>
        <w:tc>
          <w:tcPr>
            <w:tcW w:w="936" w:type="dxa"/>
            <w:tcBorders>
              <w:top w:val="single" w:sz="2" w:space="0" w:color="000000" w:themeColor="text1"/>
              <w:left w:val="nil"/>
              <w:bottom w:val="nil"/>
              <w:right w:val="nil"/>
            </w:tcBorders>
            <w:shd w:val="clear" w:color="000000" w:fill="FFFFFF"/>
            <w:vAlign w:val="center"/>
            <w:hideMark/>
          </w:tcPr>
          <w:p w14:paraId="20608E47"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0</w:t>
            </w:r>
          </w:p>
        </w:tc>
        <w:tc>
          <w:tcPr>
            <w:tcW w:w="936" w:type="dxa"/>
            <w:tcBorders>
              <w:top w:val="single" w:sz="2" w:space="0" w:color="000000" w:themeColor="text1"/>
              <w:left w:val="nil"/>
              <w:bottom w:val="nil"/>
              <w:right w:val="nil"/>
            </w:tcBorders>
            <w:shd w:val="clear" w:color="000000" w:fill="FFFFFF"/>
            <w:vAlign w:val="center"/>
            <w:hideMark/>
          </w:tcPr>
          <w:p w14:paraId="333EF1B1"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0</w:t>
            </w:r>
          </w:p>
        </w:tc>
        <w:tc>
          <w:tcPr>
            <w:tcW w:w="936" w:type="dxa"/>
            <w:tcBorders>
              <w:top w:val="single" w:sz="2" w:space="0" w:color="000000" w:themeColor="text1"/>
              <w:left w:val="nil"/>
              <w:bottom w:val="nil"/>
              <w:right w:val="nil"/>
            </w:tcBorders>
            <w:shd w:val="clear" w:color="000000" w:fill="FFFFFF"/>
            <w:vAlign w:val="center"/>
            <w:hideMark/>
          </w:tcPr>
          <w:p w14:paraId="10CAF11D"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0</w:t>
            </w:r>
          </w:p>
        </w:tc>
        <w:tc>
          <w:tcPr>
            <w:tcW w:w="956" w:type="dxa"/>
            <w:tcBorders>
              <w:top w:val="single" w:sz="2" w:space="0" w:color="000000" w:themeColor="text1"/>
              <w:left w:val="nil"/>
              <w:bottom w:val="nil"/>
              <w:right w:val="nil"/>
            </w:tcBorders>
            <w:shd w:val="clear" w:color="000000" w:fill="F2F2F2"/>
            <w:noWrap/>
            <w:vAlign w:val="center"/>
            <w:hideMark/>
          </w:tcPr>
          <w:p w14:paraId="5490A8E5"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1</w:t>
            </w:r>
          </w:p>
        </w:tc>
      </w:tr>
      <w:tr w:rsidR="00EC4749" w:rsidRPr="00EC4749" w14:paraId="7CC6453D" w14:textId="77777777" w:rsidTr="00826C87">
        <w:trPr>
          <w:trHeight w:val="225"/>
        </w:trPr>
        <w:tc>
          <w:tcPr>
            <w:tcW w:w="3596" w:type="dxa"/>
            <w:tcBorders>
              <w:top w:val="nil"/>
              <w:left w:val="nil"/>
              <w:bottom w:val="nil"/>
              <w:right w:val="nil"/>
            </w:tcBorders>
            <w:shd w:val="clear" w:color="000000" w:fill="FFFFFF"/>
            <w:noWrap/>
            <w:vAlign w:val="center"/>
            <w:hideMark/>
          </w:tcPr>
          <w:p w14:paraId="06E0980E" w14:textId="77777777" w:rsidR="00EC4749" w:rsidRPr="00EC4749" w:rsidRDefault="00EC4749" w:rsidP="00EC4749">
            <w:pPr>
              <w:spacing w:after="0" w:line="240" w:lineRule="auto"/>
              <w:jc w:val="left"/>
              <w:rPr>
                <w:rFonts w:ascii="Arial" w:hAnsi="Arial" w:cs="Arial"/>
                <w:color w:val="auto"/>
                <w:sz w:val="16"/>
                <w:szCs w:val="16"/>
              </w:rPr>
            </w:pPr>
            <w:r w:rsidRPr="00EC4749">
              <w:rPr>
                <w:rFonts w:ascii="Arial" w:hAnsi="Arial" w:cs="Arial"/>
                <w:color w:val="auto"/>
                <w:sz w:val="16"/>
                <w:szCs w:val="16"/>
              </w:rPr>
              <w:t>Finance &amp; insurance</w:t>
            </w:r>
          </w:p>
        </w:tc>
        <w:tc>
          <w:tcPr>
            <w:tcW w:w="936" w:type="dxa"/>
            <w:tcBorders>
              <w:top w:val="nil"/>
              <w:left w:val="nil"/>
              <w:bottom w:val="nil"/>
              <w:right w:val="nil"/>
            </w:tcBorders>
            <w:shd w:val="clear" w:color="000000" w:fill="FFFFFF"/>
            <w:noWrap/>
            <w:vAlign w:val="center"/>
            <w:hideMark/>
          </w:tcPr>
          <w:p w14:paraId="7135FBA4"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3</w:t>
            </w:r>
          </w:p>
        </w:tc>
        <w:tc>
          <w:tcPr>
            <w:tcW w:w="936" w:type="dxa"/>
            <w:tcBorders>
              <w:top w:val="nil"/>
              <w:left w:val="nil"/>
              <w:bottom w:val="nil"/>
              <w:right w:val="nil"/>
            </w:tcBorders>
            <w:shd w:val="clear" w:color="000000" w:fill="FFFFFF"/>
            <w:noWrap/>
            <w:vAlign w:val="center"/>
            <w:hideMark/>
          </w:tcPr>
          <w:p w14:paraId="3F03C960"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2</w:t>
            </w:r>
          </w:p>
        </w:tc>
        <w:tc>
          <w:tcPr>
            <w:tcW w:w="936" w:type="dxa"/>
            <w:tcBorders>
              <w:top w:val="nil"/>
              <w:left w:val="nil"/>
              <w:bottom w:val="nil"/>
              <w:right w:val="nil"/>
            </w:tcBorders>
            <w:shd w:val="clear" w:color="000000" w:fill="FFFFFF"/>
            <w:noWrap/>
            <w:vAlign w:val="center"/>
            <w:hideMark/>
          </w:tcPr>
          <w:p w14:paraId="0F513907"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5</w:t>
            </w:r>
          </w:p>
        </w:tc>
        <w:tc>
          <w:tcPr>
            <w:tcW w:w="956" w:type="dxa"/>
            <w:tcBorders>
              <w:top w:val="nil"/>
              <w:left w:val="nil"/>
              <w:bottom w:val="nil"/>
              <w:right w:val="nil"/>
            </w:tcBorders>
            <w:shd w:val="clear" w:color="000000" w:fill="F2F2F2"/>
            <w:noWrap/>
            <w:vAlign w:val="center"/>
            <w:hideMark/>
          </w:tcPr>
          <w:p w14:paraId="3A056A28"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7</w:t>
            </w:r>
          </w:p>
        </w:tc>
      </w:tr>
      <w:tr w:rsidR="00EC4749" w:rsidRPr="00EC4749" w14:paraId="171E5FF8" w14:textId="77777777" w:rsidTr="00826C87">
        <w:trPr>
          <w:trHeight w:val="225"/>
        </w:trPr>
        <w:tc>
          <w:tcPr>
            <w:tcW w:w="3596" w:type="dxa"/>
            <w:tcBorders>
              <w:top w:val="nil"/>
              <w:left w:val="nil"/>
              <w:bottom w:val="nil"/>
              <w:right w:val="nil"/>
            </w:tcBorders>
            <w:shd w:val="clear" w:color="000000" w:fill="FFFFFF"/>
            <w:vAlign w:val="center"/>
            <w:hideMark/>
          </w:tcPr>
          <w:p w14:paraId="5D5B24A7" w14:textId="77777777" w:rsidR="00EC4749" w:rsidRPr="00EC4749" w:rsidRDefault="00EC4749" w:rsidP="00EC4749">
            <w:pPr>
              <w:spacing w:after="0" w:line="240" w:lineRule="auto"/>
              <w:jc w:val="left"/>
              <w:rPr>
                <w:rFonts w:ascii="Arial" w:hAnsi="Arial" w:cs="Arial"/>
                <w:color w:val="auto"/>
                <w:sz w:val="16"/>
                <w:szCs w:val="16"/>
              </w:rPr>
            </w:pPr>
            <w:r w:rsidRPr="00EC4749">
              <w:rPr>
                <w:rFonts w:ascii="Arial" w:hAnsi="Arial" w:cs="Arial"/>
                <w:color w:val="auto"/>
                <w:sz w:val="16"/>
                <w:szCs w:val="16"/>
              </w:rPr>
              <w:t>Manufacturing, electricity &amp; gas</w:t>
            </w:r>
          </w:p>
        </w:tc>
        <w:tc>
          <w:tcPr>
            <w:tcW w:w="936" w:type="dxa"/>
            <w:tcBorders>
              <w:top w:val="nil"/>
              <w:left w:val="nil"/>
              <w:bottom w:val="nil"/>
              <w:right w:val="nil"/>
            </w:tcBorders>
            <w:shd w:val="clear" w:color="000000" w:fill="FFFFFF"/>
            <w:vAlign w:val="center"/>
            <w:hideMark/>
          </w:tcPr>
          <w:p w14:paraId="0C99FF4D"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0</w:t>
            </w:r>
          </w:p>
        </w:tc>
        <w:tc>
          <w:tcPr>
            <w:tcW w:w="936" w:type="dxa"/>
            <w:tcBorders>
              <w:top w:val="nil"/>
              <w:left w:val="nil"/>
              <w:bottom w:val="nil"/>
              <w:right w:val="nil"/>
            </w:tcBorders>
            <w:shd w:val="clear" w:color="000000" w:fill="FFFFFF"/>
            <w:vAlign w:val="center"/>
            <w:hideMark/>
          </w:tcPr>
          <w:p w14:paraId="0AE3DE47"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0</w:t>
            </w:r>
          </w:p>
        </w:tc>
        <w:tc>
          <w:tcPr>
            <w:tcW w:w="936" w:type="dxa"/>
            <w:tcBorders>
              <w:top w:val="nil"/>
              <w:left w:val="nil"/>
              <w:bottom w:val="nil"/>
              <w:right w:val="nil"/>
            </w:tcBorders>
            <w:shd w:val="clear" w:color="000000" w:fill="FFFFFF"/>
            <w:vAlign w:val="center"/>
            <w:hideMark/>
          </w:tcPr>
          <w:p w14:paraId="62D31133"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3</w:t>
            </w:r>
          </w:p>
        </w:tc>
        <w:tc>
          <w:tcPr>
            <w:tcW w:w="956" w:type="dxa"/>
            <w:tcBorders>
              <w:top w:val="nil"/>
              <w:left w:val="nil"/>
              <w:bottom w:val="nil"/>
              <w:right w:val="nil"/>
            </w:tcBorders>
            <w:shd w:val="clear" w:color="000000" w:fill="F2F2F2"/>
            <w:noWrap/>
            <w:vAlign w:val="center"/>
            <w:hideMark/>
          </w:tcPr>
          <w:p w14:paraId="5647AF56"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2</w:t>
            </w:r>
          </w:p>
        </w:tc>
      </w:tr>
      <w:tr w:rsidR="00EC4749" w:rsidRPr="00EC4749" w14:paraId="1163077A" w14:textId="77777777" w:rsidTr="00826C87">
        <w:trPr>
          <w:trHeight w:val="225"/>
        </w:trPr>
        <w:tc>
          <w:tcPr>
            <w:tcW w:w="3596" w:type="dxa"/>
            <w:tcBorders>
              <w:top w:val="nil"/>
              <w:left w:val="nil"/>
              <w:bottom w:val="nil"/>
              <w:right w:val="nil"/>
            </w:tcBorders>
            <w:shd w:val="clear" w:color="000000" w:fill="FFFFFF"/>
            <w:vAlign w:val="center"/>
            <w:hideMark/>
          </w:tcPr>
          <w:p w14:paraId="03546BE3" w14:textId="77777777" w:rsidR="00EC4749" w:rsidRPr="00EC4749" w:rsidRDefault="00EC4749" w:rsidP="00EC4749">
            <w:pPr>
              <w:spacing w:after="0" w:line="240" w:lineRule="auto"/>
              <w:jc w:val="left"/>
              <w:rPr>
                <w:rFonts w:ascii="Arial" w:hAnsi="Arial" w:cs="Arial"/>
                <w:color w:val="auto"/>
                <w:sz w:val="16"/>
                <w:szCs w:val="16"/>
              </w:rPr>
            </w:pPr>
            <w:r w:rsidRPr="00EC4749">
              <w:rPr>
                <w:rFonts w:ascii="Arial" w:hAnsi="Arial" w:cs="Arial"/>
                <w:color w:val="auto"/>
                <w:sz w:val="16"/>
                <w:szCs w:val="16"/>
              </w:rPr>
              <w:t>Mineral exploration &amp; development</w:t>
            </w:r>
          </w:p>
        </w:tc>
        <w:tc>
          <w:tcPr>
            <w:tcW w:w="936" w:type="dxa"/>
            <w:tcBorders>
              <w:top w:val="nil"/>
              <w:left w:val="nil"/>
              <w:bottom w:val="nil"/>
              <w:right w:val="nil"/>
            </w:tcBorders>
            <w:shd w:val="clear" w:color="000000" w:fill="FFFFFF"/>
            <w:vAlign w:val="center"/>
            <w:hideMark/>
          </w:tcPr>
          <w:p w14:paraId="58BB9F2E"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2</w:t>
            </w:r>
          </w:p>
        </w:tc>
        <w:tc>
          <w:tcPr>
            <w:tcW w:w="936" w:type="dxa"/>
            <w:tcBorders>
              <w:top w:val="nil"/>
              <w:left w:val="nil"/>
              <w:bottom w:val="nil"/>
              <w:right w:val="nil"/>
            </w:tcBorders>
            <w:shd w:val="clear" w:color="000000" w:fill="FFFFFF"/>
            <w:vAlign w:val="center"/>
            <w:hideMark/>
          </w:tcPr>
          <w:p w14:paraId="30D69F00"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1</w:t>
            </w:r>
          </w:p>
        </w:tc>
        <w:tc>
          <w:tcPr>
            <w:tcW w:w="936" w:type="dxa"/>
            <w:tcBorders>
              <w:top w:val="nil"/>
              <w:left w:val="nil"/>
              <w:bottom w:val="nil"/>
              <w:right w:val="nil"/>
            </w:tcBorders>
            <w:shd w:val="clear" w:color="000000" w:fill="FFFFFF"/>
            <w:vAlign w:val="center"/>
            <w:hideMark/>
          </w:tcPr>
          <w:p w14:paraId="349E9413"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1</w:t>
            </w:r>
          </w:p>
        </w:tc>
        <w:tc>
          <w:tcPr>
            <w:tcW w:w="956" w:type="dxa"/>
            <w:tcBorders>
              <w:top w:val="nil"/>
              <w:left w:val="nil"/>
              <w:bottom w:val="nil"/>
              <w:right w:val="nil"/>
            </w:tcBorders>
            <w:shd w:val="clear" w:color="000000" w:fill="F2F2F2"/>
            <w:noWrap/>
            <w:vAlign w:val="center"/>
            <w:hideMark/>
          </w:tcPr>
          <w:p w14:paraId="42A364E9"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0</w:t>
            </w:r>
          </w:p>
        </w:tc>
      </w:tr>
      <w:tr w:rsidR="00EC4749" w:rsidRPr="00EC4749" w14:paraId="476AC94B" w14:textId="77777777" w:rsidTr="00FE48A4">
        <w:trPr>
          <w:trHeight w:val="225"/>
        </w:trPr>
        <w:tc>
          <w:tcPr>
            <w:tcW w:w="3596" w:type="dxa"/>
            <w:tcBorders>
              <w:top w:val="nil"/>
              <w:left w:val="nil"/>
              <w:right w:val="nil"/>
            </w:tcBorders>
            <w:shd w:val="clear" w:color="000000" w:fill="FFFFFF"/>
            <w:noWrap/>
            <w:vAlign w:val="center"/>
            <w:hideMark/>
          </w:tcPr>
          <w:p w14:paraId="1F229C14" w14:textId="77777777" w:rsidR="00EC4749" w:rsidRPr="00EC4749" w:rsidRDefault="00EC4749" w:rsidP="00EC4749">
            <w:pPr>
              <w:spacing w:after="0" w:line="240" w:lineRule="auto"/>
              <w:jc w:val="left"/>
              <w:rPr>
                <w:rFonts w:ascii="Arial" w:hAnsi="Arial" w:cs="Arial"/>
                <w:color w:val="auto"/>
                <w:sz w:val="16"/>
                <w:szCs w:val="16"/>
              </w:rPr>
            </w:pPr>
            <w:r w:rsidRPr="00EC4749">
              <w:rPr>
                <w:rFonts w:ascii="Arial" w:hAnsi="Arial" w:cs="Arial"/>
                <w:color w:val="auto"/>
                <w:sz w:val="16"/>
                <w:szCs w:val="16"/>
              </w:rPr>
              <w:t>Services</w:t>
            </w:r>
          </w:p>
        </w:tc>
        <w:tc>
          <w:tcPr>
            <w:tcW w:w="936" w:type="dxa"/>
            <w:tcBorders>
              <w:top w:val="nil"/>
              <w:left w:val="nil"/>
              <w:bottom w:val="single" w:sz="2" w:space="0" w:color="000000" w:themeColor="text1"/>
              <w:right w:val="nil"/>
            </w:tcBorders>
            <w:shd w:val="clear" w:color="000000" w:fill="FFFFFF"/>
            <w:noWrap/>
            <w:vAlign w:val="center"/>
            <w:hideMark/>
          </w:tcPr>
          <w:p w14:paraId="0DCA6D0E"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12</w:t>
            </w:r>
          </w:p>
        </w:tc>
        <w:tc>
          <w:tcPr>
            <w:tcW w:w="936" w:type="dxa"/>
            <w:tcBorders>
              <w:top w:val="nil"/>
              <w:left w:val="nil"/>
              <w:bottom w:val="single" w:sz="2" w:space="0" w:color="000000" w:themeColor="text1"/>
              <w:right w:val="nil"/>
            </w:tcBorders>
            <w:shd w:val="clear" w:color="000000" w:fill="FFFFFF"/>
            <w:noWrap/>
            <w:vAlign w:val="center"/>
            <w:hideMark/>
          </w:tcPr>
          <w:p w14:paraId="29C677FF"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4</w:t>
            </w:r>
          </w:p>
        </w:tc>
        <w:tc>
          <w:tcPr>
            <w:tcW w:w="936" w:type="dxa"/>
            <w:tcBorders>
              <w:top w:val="nil"/>
              <w:left w:val="nil"/>
              <w:bottom w:val="single" w:sz="2" w:space="0" w:color="000000" w:themeColor="text1"/>
              <w:right w:val="nil"/>
            </w:tcBorders>
            <w:shd w:val="clear" w:color="000000" w:fill="FFFFFF"/>
            <w:noWrap/>
            <w:vAlign w:val="center"/>
            <w:hideMark/>
          </w:tcPr>
          <w:p w14:paraId="3DF6372C"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11</w:t>
            </w:r>
          </w:p>
        </w:tc>
        <w:tc>
          <w:tcPr>
            <w:tcW w:w="956" w:type="dxa"/>
            <w:tcBorders>
              <w:top w:val="nil"/>
              <w:left w:val="nil"/>
              <w:bottom w:val="single" w:sz="2" w:space="0" w:color="000000" w:themeColor="text1"/>
              <w:right w:val="nil"/>
            </w:tcBorders>
            <w:shd w:val="clear" w:color="000000" w:fill="F2F2F2"/>
            <w:noWrap/>
            <w:vAlign w:val="center"/>
            <w:hideMark/>
          </w:tcPr>
          <w:p w14:paraId="29AF5C0B" w14:textId="77777777" w:rsidR="00EC4749" w:rsidRPr="00EC4749" w:rsidRDefault="00EC4749" w:rsidP="00EC4749">
            <w:pPr>
              <w:spacing w:after="0" w:line="240" w:lineRule="auto"/>
              <w:jc w:val="right"/>
              <w:rPr>
                <w:rFonts w:ascii="Arial" w:hAnsi="Arial" w:cs="Arial"/>
                <w:color w:val="auto"/>
                <w:sz w:val="16"/>
                <w:szCs w:val="16"/>
              </w:rPr>
            </w:pPr>
            <w:r w:rsidRPr="00EC4749">
              <w:rPr>
                <w:rFonts w:ascii="Arial" w:hAnsi="Arial" w:cs="Arial"/>
                <w:color w:val="auto"/>
                <w:sz w:val="16"/>
                <w:szCs w:val="16"/>
              </w:rPr>
              <w:t>12</w:t>
            </w:r>
          </w:p>
        </w:tc>
      </w:tr>
      <w:tr w:rsidR="00EC4749" w:rsidRPr="00EC4749" w14:paraId="6EB1E903" w14:textId="77777777" w:rsidTr="00FE48A4">
        <w:trPr>
          <w:trHeight w:val="225"/>
        </w:trPr>
        <w:tc>
          <w:tcPr>
            <w:tcW w:w="3596" w:type="dxa"/>
            <w:tcBorders>
              <w:left w:val="nil"/>
              <w:bottom w:val="single" w:sz="2" w:space="0" w:color="000000" w:themeColor="text1"/>
              <w:right w:val="nil"/>
            </w:tcBorders>
            <w:shd w:val="clear" w:color="000000" w:fill="FFFFFF"/>
            <w:noWrap/>
            <w:vAlign w:val="center"/>
            <w:hideMark/>
          </w:tcPr>
          <w:p w14:paraId="66B91E08" w14:textId="77777777" w:rsidR="00EC4749" w:rsidRPr="00EC4749" w:rsidRDefault="00EC4749" w:rsidP="00EC4749">
            <w:pPr>
              <w:spacing w:after="0" w:line="240" w:lineRule="auto"/>
              <w:jc w:val="left"/>
              <w:rPr>
                <w:rFonts w:ascii="Arial" w:hAnsi="Arial" w:cs="Arial"/>
                <w:b/>
                <w:bCs/>
                <w:color w:val="auto"/>
                <w:sz w:val="16"/>
                <w:szCs w:val="16"/>
              </w:rPr>
            </w:pPr>
            <w:r w:rsidRPr="00EC4749">
              <w:rPr>
                <w:rFonts w:ascii="Arial" w:hAnsi="Arial" w:cs="Arial"/>
                <w:b/>
                <w:bCs/>
                <w:color w:val="auto"/>
                <w:sz w:val="16"/>
                <w:szCs w:val="16"/>
              </w:rPr>
              <w:t>Total</w:t>
            </w:r>
          </w:p>
        </w:tc>
        <w:tc>
          <w:tcPr>
            <w:tcW w:w="936" w:type="dxa"/>
            <w:tcBorders>
              <w:top w:val="single" w:sz="2" w:space="0" w:color="000000" w:themeColor="text1"/>
              <w:left w:val="nil"/>
              <w:bottom w:val="single" w:sz="2" w:space="0" w:color="000000" w:themeColor="text1"/>
              <w:right w:val="nil"/>
            </w:tcBorders>
            <w:shd w:val="clear" w:color="000000" w:fill="FFFFFF"/>
            <w:noWrap/>
            <w:vAlign w:val="center"/>
            <w:hideMark/>
          </w:tcPr>
          <w:p w14:paraId="66C2064D" w14:textId="77777777" w:rsidR="00EC4749" w:rsidRPr="00EC4749" w:rsidRDefault="00EC4749" w:rsidP="00EC4749">
            <w:pPr>
              <w:spacing w:after="0" w:line="240" w:lineRule="auto"/>
              <w:jc w:val="right"/>
              <w:rPr>
                <w:rFonts w:ascii="Arial" w:hAnsi="Arial" w:cs="Arial"/>
                <w:b/>
                <w:bCs/>
                <w:color w:val="auto"/>
                <w:sz w:val="16"/>
                <w:szCs w:val="16"/>
              </w:rPr>
            </w:pPr>
            <w:r w:rsidRPr="00EC4749">
              <w:rPr>
                <w:rFonts w:ascii="Arial" w:hAnsi="Arial" w:cs="Arial"/>
                <w:b/>
                <w:bCs/>
                <w:color w:val="auto"/>
                <w:sz w:val="16"/>
                <w:szCs w:val="16"/>
              </w:rPr>
              <w:t>17</w:t>
            </w:r>
          </w:p>
        </w:tc>
        <w:tc>
          <w:tcPr>
            <w:tcW w:w="936" w:type="dxa"/>
            <w:tcBorders>
              <w:top w:val="single" w:sz="2" w:space="0" w:color="000000" w:themeColor="text1"/>
              <w:left w:val="nil"/>
              <w:bottom w:val="single" w:sz="2" w:space="0" w:color="000000" w:themeColor="text1"/>
              <w:right w:val="nil"/>
            </w:tcBorders>
            <w:shd w:val="clear" w:color="000000" w:fill="FFFFFF"/>
            <w:noWrap/>
            <w:vAlign w:val="center"/>
            <w:hideMark/>
          </w:tcPr>
          <w:p w14:paraId="3C78994E" w14:textId="77777777" w:rsidR="00EC4749" w:rsidRPr="00EC4749" w:rsidRDefault="00EC4749" w:rsidP="00EC4749">
            <w:pPr>
              <w:spacing w:after="0" w:line="240" w:lineRule="auto"/>
              <w:jc w:val="right"/>
              <w:rPr>
                <w:rFonts w:ascii="Arial" w:hAnsi="Arial" w:cs="Arial"/>
                <w:b/>
                <w:bCs/>
                <w:color w:val="auto"/>
                <w:sz w:val="16"/>
                <w:szCs w:val="16"/>
              </w:rPr>
            </w:pPr>
            <w:r w:rsidRPr="00EC4749">
              <w:rPr>
                <w:rFonts w:ascii="Arial" w:hAnsi="Arial" w:cs="Arial"/>
                <w:b/>
                <w:bCs/>
                <w:color w:val="auto"/>
                <w:sz w:val="16"/>
                <w:szCs w:val="16"/>
              </w:rPr>
              <w:t>7</w:t>
            </w:r>
          </w:p>
        </w:tc>
        <w:tc>
          <w:tcPr>
            <w:tcW w:w="936" w:type="dxa"/>
            <w:tcBorders>
              <w:top w:val="single" w:sz="2" w:space="0" w:color="000000" w:themeColor="text1"/>
              <w:left w:val="nil"/>
              <w:bottom w:val="single" w:sz="2" w:space="0" w:color="000000" w:themeColor="text1"/>
              <w:right w:val="nil"/>
            </w:tcBorders>
            <w:shd w:val="clear" w:color="000000" w:fill="FFFFFF"/>
            <w:noWrap/>
            <w:vAlign w:val="center"/>
            <w:hideMark/>
          </w:tcPr>
          <w:p w14:paraId="799E1D4C" w14:textId="77777777" w:rsidR="00EC4749" w:rsidRPr="00EC4749" w:rsidRDefault="00EC4749" w:rsidP="00EC4749">
            <w:pPr>
              <w:spacing w:after="0" w:line="240" w:lineRule="auto"/>
              <w:jc w:val="right"/>
              <w:rPr>
                <w:rFonts w:ascii="Arial" w:hAnsi="Arial" w:cs="Arial"/>
                <w:b/>
                <w:bCs/>
                <w:color w:val="auto"/>
                <w:sz w:val="16"/>
                <w:szCs w:val="16"/>
              </w:rPr>
            </w:pPr>
            <w:r w:rsidRPr="00EC4749">
              <w:rPr>
                <w:rFonts w:ascii="Arial" w:hAnsi="Arial" w:cs="Arial"/>
                <w:b/>
                <w:bCs/>
                <w:color w:val="auto"/>
                <w:sz w:val="16"/>
                <w:szCs w:val="16"/>
              </w:rPr>
              <w:t>20</w:t>
            </w:r>
          </w:p>
        </w:tc>
        <w:tc>
          <w:tcPr>
            <w:tcW w:w="956" w:type="dxa"/>
            <w:tcBorders>
              <w:top w:val="single" w:sz="2" w:space="0" w:color="000000" w:themeColor="text1"/>
              <w:left w:val="nil"/>
              <w:bottom w:val="single" w:sz="2" w:space="0" w:color="000000" w:themeColor="text1"/>
              <w:right w:val="nil"/>
            </w:tcBorders>
            <w:shd w:val="clear" w:color="000000" w:fill="F2F2F2"/>
            <w:noWrap/>
            <w:vAlign w:val="center"/>
            <w:hideMark/>
          </w:tcPr>
          <w:p w14:paraId="41D6F641" w14:textId="77777777" w:rsidR="00EC4749" w:rsidRPr="00EC4749" w:rsidRDefault="00EC4749" w:rsidP="00EC4749">
            <w:pPr>
              <w:spacing w:after="0" w:line="240" w:lineRule="auto"/>
              <w:jc w:val="right"/>
              <w:rPr>
                <w:rFonts w:ascii="Arial" w:hAnsi="Arial" w:cs="Arial"/>
                <w:b/>
                <w:bCs/>
                <w:color w:val="auto"/>
                <w:sz w:val="16"/>
                <w:szCs w:val="16"/>
              </w:rPr>
            </w:pPr>
            <w:r w:rsidRPr="00EC4749">
              <w:rPr>
                <w:rFonts w:ascii="Arial" w:hAnsi="Arial" w:cs="Arial"/>
                <w:b/>
                <w:bCs/>
                <w:color w:val="auto"/>
                <w:sz w:val="16"/>
                <w:szCs w:val="16"/>
              </w:rPr>
              <w:t>22</w:t>
            </w:r>
          </w:p>
        </w:tc>
      </w:tr>
    </w:tbl>
    <w:p w14:paraId="547A07C7" w14:textId="77777777" w:rsidR="00A84283" w:rsidRPr="00B17065" w:rsidRDefault="00A84283" w:rsidP="006D64A2">
      <w:pPr>
        <w:pStyle w:val="ChartorTableNote"/>
      </w:pPr>
      <w:r w:rsidRPr="00B17065">
        <w:t>Notes:</w:t>
      </w:r>
      <w:r w:rsidRPr="00B17065">
        <w:tab/>
        <w:t xml:space="preserve">A proposed investment value is not attributed to new business approvals. </w:t>
      </w:r>
    </w:p>
    <w:p w14:paraId="68894272" w14:textId="3D5BF73E" w:rsidR="00A84283" w:rsidRPr="00B17065" w:rsidRDefault="00A84283" w:rsidP="006D64A2">
      <w:pPr>
        <w:pStyle w:val="ChartorTableNote"/>
      </w:pPr>
      <w:r w:rsidRPr="00B17065">
        <w:t>Prior to the inclusion of this table from 2017</w:t>
      </w:r>
      <w:r w:rsidR="009D3E90" w:rsidRPr="00B17065">
        <w:noBreakHyphen/>
      </w:r>
      <w:r w:rsidRPr="00B17065">
        <w:t>18, new business approvals were reported in approvals by industry sector.</w:t>
      </w:r>
    </w:p>
    <w:p w14:paraId="74C6F17E" w14:textId="6CD997D3" w:rsidR="00A84283" w:rsidRPr="00B17065" w:rsidRDefault="00A84283" w:rsidP="00406C1F">
      <w:pPr>
        <w:pStyle w:val="ChartorTableNote"/>
      </w:pPr>
      <w:r w:rsidRPr="00B17065">
        <w:t>As commercial and residential real estate relate to acquisitions of land, these industry sectors are not included in this table. </w:t>
      </w:r>
    </w:p>
    <w:p w14:paraId="0F2B6610" w14:textId="4743A5F3" w:rsidR="00A84283" w:rsidRPr="00A84283" w:rsidRDefault="00A84283" w:rsidP="00A12D76">
      <w:pPr>
        <w:pStyle w:val="Heading2"/>
        <w:rPr>
          <w:b w:val="0"/>
        </w:rPr>
      </w:pPr>
      <w:bookmarkStart w:id="128" w:name="_Toc31296906"/>
      <w:bookmarkStart w:id="129" w:name="_Toc31636024"/>
      <w:bookmarkStart w:id="130" w:name="_Toc31642793"/>
      <w:bookmarkStart w:id="131" w:name="_Toc32247802"/>
      <w:bookmarkStart w:id="132" w:name="_Toc33625851"/>
      <w:r w:rsidRPr="00A84283">
        <w:t>Investor countries</w:t>
      </w:r>
      <w:bookmarkEnd w:id="128"/>
      <w:bookmarkEnd w:id="129"/>
      <w:bookmarkEnd w:id="130"/>
      <w:bookmarkEnd w:id="131"/>
      <w:bookmarkEnd w:id="132"/>
    </w:p>
    <w:p w14:paraId="384E6E5B" w14:textId="77777777" w:rsidR="00A84283" w:rsidRPr="00A84283" w:rsidRDefault="00A84283" w:rsidP="00A12D76">
      <w:pPr>
        <w:pStyle w:val="Heading3"/>
        <w:rPr>
          <w:b w:val="0"/>
        </w:rPr>
      </w:pPr>
      <w:r w:rsidRPr="00A84283">
        <w:t>Leading sources of proposed investment</w:t>
      </w:r>
    </w:p>
    <w:p w14:paraId="0CB150D3" w14:textId="75B03A9C" w:rsidR="006518B5" w:rsidRPr="00B17065" w:rsidRDefault="00A84283" w:rsidP="002E2EFE">
      <w:r w:rsidRPr="00B17065">
        <w:t>Table</w:t>
      </w:r>
      <w:r w:rsidR="009C36AC">
        <w:t> </w:t>
      </w:r>
      <w:r w:rsidRPr="00B17065">
        <w:t>3.14 shows proposed investment approvals in 201</w:t>
      </w:r>
      <w:r w:rsidR="009D3E90" w:rsidRPr="00B17065">
        <w:t>8</w:t>
      </w:r>
      <w:r w:rsidR="009C36AC">
        <w:noBreakHyphen/>
      </w:r>
      <w:r w:rsidRPr="00B17065">
        <w:t>1</w:t>
      </w:r>
      <w:r w:rsidR="009D3E90" w:rsidRPr="00B17065">
        <w:t>9</w:t>
      </w:r>
      <w:r w:rsidRPr="00B17065">
        <w:t xml:space="preserve">, disaggregated by industry sector, for the top 18 countries by approvals value. The United States and </w:t>
      </w:r>
      <w:r w:rsidR="009D3E90" w:rsidRPr="00B17065">
        <w:t xml:space="preserve">Canada were </w:t>
      </w:r>
      <w:r w:rsidRPr="00B17065">
        <w:t xml:space="preserve">the top </w:t>
      </w:r>
      <w:r w:rsidR="005B750C">
        <w:t xml:space="preserve">two </w:t>
      </w:r>
      <w:r w:rsidRPr="00B17065">
        <w:t>sources of proposed investment by value in 201</w:t>
      </w:r>
      <w:r w:rsidR="009D3E90" w:rsidRPr="00B17065">
        <w:t>8</w:t>
      </w:r>
      <w:r w:rsidR="009C36AC">
        <w:noBreakHyphen/>
      </w:r>
      <w:r w:rsidRPr="00B17065">
        <w:t>1</w:t>
      </w:r>
      <w:r w:rsidR="009D3E90" w:rsidRPr="00B17065">
        <w:t>9</w:t>
      </w:r>
      <w:r w:rsidRPr="00B17065">
        <w:t>.</w:t>
      </w:r>
      <w:r w:rsidR="006518B5" w:rsidRPr="00B17065">
        <w:t xml:space="preserve"> Singapore, Japan, China </w:t>
      </w:r>
      <w:r w:rsidR="005B750C">
        <w:t xml:space="preserve">were </w:t>
      </w:r>
      <w:r w:rsidR="004E318D">
        <w:t xml:space="preserve">the third to </w:t>
      </w:r>
      <w:r w:rsidR="005B750C">
        <w:t xml:space="preserve">fifth </w:t>
      </w:r>
      <w:r w:rsidR="004E318D">
        <w:t>top investors by value</w:t>
      </w:r>
      <w:r w:rsidR="006518B5" w:rsidRPr="00B17065">
        <w:t>.</w:t>
      </w:r>
    </w:p>
    <w:p w14:paraId="0E743096" w14:textId="3566793F" w:rsidR="00A84283" w:rsidRPr="00B17065" w:rsidRDefault="00A84283" w:rsidP="002E2EFE">
      <w:r w:rsidRPr="00B17065">
        <w:t xml:space="preserve">The value of approvals from United States investors </w:t>
      </w:r>
      <w:r w:rsidR="00B93A56" w:rsidRPr="00B17065">
        <w:t>increased significantly</w:t>
      </w:r>
      <w:r w:rsidR="00EC6D75" w:rsidRPr="00B17065">
        <w:t>,</w:t>
      </w:r>
      <w:r w:rsidRPr="00B17065">
        <w:t xml:space="preserve"> from $</w:t>
      </w:r>
      <w:r w:rsidR="00B93A56" w:rsidRPr="00B17065">
        <w:t>3</w:t>
      </w:r>
      <w:r w:rsidRPr="00B17065">
        <w:t>6.5</w:t>
      </w:r>
      <w:r w:rsidR="009C36AC">
        <w:t> </w:t>
      </w:r>
      <w:r w:rsidRPr="00B17065">
        <w:t xml:space="preserve">billion in </w:t>
      </w:r>
      <w:r w:rsidR="00EC6D75" w:rsidRPr="00B17065">
        <w:t>2017</w:t>
      </w:r>
      <w:r w:rsidR="00EC6D75" w:rsidRPr="00B17065">
        <w:noBreakHyphen/>
        <w:t>18</w:t>
      </w:r>
      <w:r w:rsidRPr="00B17065">
        <w:t xml:space="preserve"> to $</w:t>
      </w:r>
      <w:r w:rsidR="00EC6D75" w:rsidRPr="00B17065">
        <w:t>58.2</w:t>
      </w:r>
      <w:r w:rsidR="009C36AC">
        <w:t> </w:t>
      </w:r>
      <w:r w:rsidRPr="00B17065">
        <w:t>billion in 201</w:t>
      </w:r>
      <w:r w:rsidR="00EC6D75" w:rsidRPr="00B17065">
        <w:t>8</w:t>
      </w:r>
      <w:r w:rsidR="009C36AC">
        <w:noBreakHyphen/>
      </w:r>
      <w:r w:rsidRPr="00B17065">
        <w:t>1</w:t>
      </w:r>
      <w:r w:rsidR="00EC6D75" w:rsidRPr="00B17065">
        <w:t>9</w:t>
      </w:r>
      <w:r w:rsidRPr="00B17065">
        <w:t xml:space="preserve">. </w:t>
      </w:r>
      <w:r w:rsidR="00A21C77" w:rsidRPr="00B17065">
        <w:t>While investment in finance and insurance</w:t>
      </w:r>
      <w:r w:rsidR="00ED2F16">
        <w:t>;</w:t>
      </w:r>
      <w:r w:rsidR="00A21C77" w:rsidRPr="00B17065">
        <w:t xml:space="preserve"> manufacturing, electricity and gas</w:t>
      </w:r>
      <w:r w:rsidR="00ED2F16">
        <w:t>;</w:t>
      </w:r>
      <w:r w:rsidR="00A21C77" w:rsidRPr="00B17065">
        <w:t xml:space="preserve"> and mineral exploration and development fell, these declines were offset by strong growth in the services and real estate </w:t>
      </w:r>
      <w:r w:rsidR="007214A4">
        <w:t xml:space="preserve">(commercial and residential) </w:t>
      </w:r>
      <w:r w:rsidR="00A21C77" w:rsidRPr="00B17065">
        <w:t>sectors, and to a lesser degree in the agriculture, fishing and forestry sector. T</w:t>
      </w:r>
      <w:r w:rsidRPr="00B17065">
        <w:t xml:space="preserve">he </w:t>
      </w:r>
      <w:r w:rsidR="004E318D">
        <w:t xml:space="preserve">value of proposed investment in the </w:t>
      </w:r>
      <w:r w:rsidRPr="00B17065">
        <w:t xml:space="preserve">services sector </w:t>
      </w:r>
      <w:r w:rsidR="00A21C77" w:rsidRPr="00B17065">
        <w:t>i</w:t>
      </w:r>
      <w:r w:rsidRPr="00B17065">
        <w:t>ncreased from $19.7</w:t>
      </w:r>
      <w:r w:rsidR="009C36AC">
        <w:t> </w:t>
      </w:r>
      <w:r w:rsidRPr="00B17065">
        <w:t>billion</w:t>
      </w:r>
      <w:r w:rsidR="00EC6D75" w:rsidRPr="00B17065">
        <w:t xml:space="preserve"> in 2017</w:t>
      </w:r>
      <w:r w:rsidR="00EC6D75" w:rsidRPr="00B17065">
        <w:noBreakHyphen/>
        <w:t>18 to $31.2</w:t>
      </w:r>
      <w:r w:rsidR="009C36AC">
        <w:t> </w:t>
      </w:r>
      <w:r w:rsidR="00EC6D75" w:rsidRPr="00B17065">
        <w:t>billion in 2018</w:t>
      </w:r>
      <w:r w:rsidR="00EC6D75" w:rsidRPr="00B17065">
        <w:noBreakHyphen/>
        <w:t>19</w:t>
      </w:r>
      <w:r w:rsidR="00C5042E" w:rsidRPr="00B17065">
        <w:t>, and real estate saw an increase in approvals value from $5.8</w:t>
      </w:r>
      <w:r w:rsidR="009C36AC">
        <w:t> </w:t>
      </w:r>
      <w:r w:rsidR="00C5042E" w:rsidRPr="00B17065">
        <w:t>billion in 2017</w:t>
      </w:r>
      <w:r w:rsidR="00C5042E" w:rsidRPr="00B17065">
        <w:noBreakHyphen/>
        <w:t>18 to $19.6</w:t>
      </w:r>
      <w:r w:rsidR="009C36AC">
        <w:t> </w:t>
      </w:r>
      <w:r w:rsidR="00C5042E" w:rsidRPr="00B17065">
        <w:t xml:space="preserve">billion in </w:t>
      </w:r>
      <w:r w:rsidR="00C5042E" w:rsidRPr="00B17065">
        <w:lastRenderedPageBreak/>
        <w:t>2018</w:t>
      </w:r>
      <w:r w:rsidR="00C5042E" w:rsidRPr="00B17065">
        <w:noBreakHyphen/>
        <w:t>19.</w:t>
      </w:r>
      <w:r w:rsidR="00A21C77" w:rsidRPr="00B17065">
        <w:t xml:space="preserve"> Much of the growth in the services sector </w:t>
      </w:r>
      <w:r w:rsidR="008931D2">
        <w:t>was</w:t>
      </w:r>
      <w:r w:rsidR="007214A4">
        <w:t xml:space="preserve"> the result of Walt Disney Company’s</w:t>
      </w:r>
      <w:r w:rsidR="005B750C">
        <w:t xml:space="preserve"> acquisition of Twenty-First C</w:t>
      </w:r>
      <w:r w:rsidR="00A21C77" w:rsidRPr="00B17065">
        <w:t>entury Fox Inc.</w:t>
      </w:r>
    </w:p>
    <w:p w14:paraId="1397FF94" w14:textId="78A5C89A" w:rsidR="0051672A" w:rsidRPr="00B17065" w:rsidRDefault="009E21AF" w:rsidP="002E2EFE">
      <w:pPr>
        <w:rPr>
          <w:color w:val="auto"/>
        </w:rPr>
      </w:pPr>
      <w:r>
        <w:t>Proposed approved investment from Canada</w:t>
      </w:r>
      <w:r w:rsidR="00A21C77" w:rsidRPr="00B17065">
        <w:t xml:space="preserve"> increased by nearly $15</w:t>
      </w:r>
      <w:r w:rsidR="005A005D">
        <w:t> </w:t>
      </w:r>
      <w:r w:rsidR="00A21C77" w:rsidRPr="00B17065">
        <w:t xml:space="preserve">billion, </w:t>
      </w:r>
      <w:r>
        <w:t>with a number of large proposed transactions from pension and private equity funds</w:t>
      </w:r>
      <w:r w:rsidR="00A21C77" w:rsidRPr="00B17065">
        <w:rPr>
          <w:color w:val="auto"/>
        </w:rPr>
        <w:t xml:space="preserve">, </w:t>
      </w:r>
      <w:r>
        <w:rPr>
          <w:color w:val="auto"/>
        </w:rPr>
        <w:t xml:space="preserve">moving Canada to the </w:t>
      </w:r>
      <w:r w:rsidR="00A21C77" w:rsidRPr="00B17065">
        <w:rPr>
          <w:color w:val="auto"/>
        </w:rPr>
        <w:t>second largest source investor country.</w:t>
      </w:r>
    </w:p>
    <w:p w14:paraId="1A78AC48" w14:textId="22B716C8" w:rsidR="00A84283" w:rsidRPr="00B17065" w:rsidRDefault="00E576A0" w:rsidP="002E2EFE">
      <w:r>
        <w:t>In</w:t>
      </w:r>
      <w:r w:rsidR="00C5042E" w:rsidRPr="00B17065">
        <w:t xml:space="preserve"> 2018</w:t>
      </w:r>
      <w:r w:rsidR="00C5042E" w:rsidRPr="00B17065">
        <w:noBreakHyphen/>
        <w:t xml:space="preserve">19, the </w:t>
      </w:r>
      <w:r w:rsidR="00A84283" w:rsidRPr="00B17065">
        <w:t xml:space="preserve">number of </w:t>
      </w:r>
      <w:r w:rsidR="00C03750" w:rsidRPr="00B17065">
        <w:t>approvals</w:t>
      </w:r>
      <w:r w:rsidR="00A84283" w:rsidRPr="00B17065">
        <w:t xml:space="preserve"> and the value of proposed investment from China</w:t>
      </w:r>
      <w:r w:rsidR="00C03750" w:rsidRPr="00B17065">
        <w:t xml:space="preserve"> decline</w:t>
      </w:r>
      <w:r w:rsidR="003F7929" w:rsidRPr="00B17065">
        <w:t>d</w:t>
      </w:r>
      <w:r w:rsidR="0051672A" w:rsidRPr="00B17065">
        <w:t xml:space="preserve">, shifting China to </w:t>
      </w:r>
      <w:r w:rsidR="00BF2553">
        <w:t>the</w:t>
      </w:r>
      <w:r w:rsidR="0051672A" w:rsidRPr="00B17065">
        <w:t xml:space="preserve"> fifth largest source country</w:t>
      </w:r>
      <w:r w:rsidR="005B750C">
        <w:t xml:space="preserve"> by value</w:t>
      </w:r>
      <w:r w:rsidR="0051672A" w:rsidRPr="00B17065">
        <w:t xml:space="preserve">. </w:t>
      </w:r>
      <w:r w:rsidR="005B750C">
        <w:t>T</w:t>
      </w:r>
      <w:r w:rsidR="00A84283" w:rsidRPr="00B17065">
        <w:t xml:space="preserve">he value of </w:t>
      </w:r>
      <w:r w:rsidR="00C03750" w:rsidRPr="00B17065">
        <w:t xml:space="preserve">approvals fell from </w:t>
      </w:r>
      <w:r w:rsidR="00A84283" w:rsidRPr="00B17065">
        <w:t>$23.7</w:t>
      </w:r>
      <w:r w:rsidR="005A005D">
        <w:t> </w:t>
      </w:r>
      <w:r w:rsidR="00A84283" w:rsidRPr="00B17065">
        <w:t>billion</w:t>
      </w:r>
      <w:r w:rsidR="00BF2553">
        <w:t xml:space="preserve"> in 2017</w:t>
      </w:r>
      <w:r w:rsidR="005A005D">
        <w:noBreakHyphen/>
      </w:r>
      <w:r w:rsidR="00BF2553">
        <w:t>18</w:t>
      </w:r>
      <w:r w:rsidR="00C03750" w:rsidRPr="00B17065">
        <w:t xml:space="preserve"> to $13.1</w:t>
      </w:r>
      <w:r w:rsidR="005A005D">
        <w:t> </w:t>
      </w:r>
      <w:r w:rsidR="00C03750" w:rsidRPr="00B17065">
        <w:t>billion</w:t>
      </w:r>
      <w:r w:rsidR="005B750C">
        <w:t xml:space="preserve"> in 2018</w:t>
      </w:r>
      <w:r w:rsidR="005A005D">
        <w:noBreakHyphen/>
      </w:r>
      <w:r w:rsidR="005B750C">
        <w:t>19</w:t>
      </w:r>
      <w:r w:rsidR="003F7929" w:rsidRPr="00B17065">
        <w:t xml:space="preserve">. The </w:t>
      </w:r>
      <w:r w:rsidR="00C03750" w:rsidRPr="00B17065">
        <w:t xml:space="preserve">number of approvals </w:t>
      </w:r>
      <w:r w:rsidR="003F7929" w:rsidRPr="00B17065">
        <w:t xml:space="preserve">fell </w:t>
      </w:r>
      <w:r w:rsidR="00C03750" w:rsidRPr="00B17065">
        <w:t>by 1,915 (from 6,816 to 4,901).</w:t>
      </w:r>
      <w:r w:rsidR="00A84283" w:rsidRPr="00B17065">
        <w:t xml:space="preserve"> </w:t>
      </w:r>
      <w:r w:rsidR="00215AD1" w:rsidRPr="00B17065">
        <w:t xml:space="preserve">The </w:t>
      </w:r>
      <w:r w:rsidR="00A84283" w:rsidRPr="00B17065">
        <w:t xml:space="preserve">value of approvals from China </w:t>
      </w:r>
      <w:r w:rsidR="001C0DDD">
        <w:t>fell across all sectors</w:t>
      </w:r>
      <w:r w:rsidR="0051672A" w:rsidRPr="00B17065">
        <w:t xml:space="preserve">. This </w:t>
      </w:r>
      <w:r w:rsidR="00BF2553">
        <w:t xml:space="preserve">has </w:t>
      </w:r>
      <w:r w:rsidR="0051672A" w:rsidRPr="00B17065">
        <w:t xml:space="preserve">continued a downward trend in </w:t>
      </w:r>
      <w:r w:rsidR="00BF2553">
        <w:t xml:space="preserve">the </w:t>
      </w:r>
      <w:r w:rsidR="00CD2600">
        <w:t xml:space="preserve">number and </w:t>
      </w:r>
      <w:r w:rsidR="00BF2553">
        <w:t xml:space="preserve">value of </w:t>
      </w:r>
      <w:r w:rsidR="00CD2600">
        <w:t xml:space="preserve">proposed investment by </w:t>
      </w:r>
      <w:r w:rsidR="0051672A" w:rsidRPr="00B17065">
        <w:t xml:space="preserve">Chinese </w:t>
      </w:r>
      <w:r w:rsidR="00CD2600">
        <w:t xml:space="preserve">investors since </w:t>
      </w:r>
      <w:r w:rsidR="0051672A" w:rsidRPr="00B17065">
        <w:t>2015</w:t>
      </w:r>
      <w:r w:rsidR="005A005D">
        <w:noBreakHyphen/>
      </w:r>
      <w:r w:rsidR="0051672A" w:rsidRPr="00B17065">
        <w:noBreakHyphen/>
        <w:t xml:space="preserve">16. </w:t>
      </w:r>
      <w:r w:rsidR="00CD2600">
        <w:t>This could be</w:t>
      </w:r>
      <w:r w:rsidR="00CD2600" w:rsidRPr="00CD2600">
        <w:t xml:space="preserve"> due to </w:t>
      </w:r>
      <w:r>
        <w:t xml:space="preserve">a range of factors including China’s </w:t>
      </w:r>
      <w:r w:rsidR="00CD2600" w:rsidRPr="00CD2600">
        <w:t xml:space="preserve">domestic policy settings </w:t>
      </w:r>
      <w:r>
        <w:t xml:space="preserve">which have </w:t>
      </w:r>
      <w:r w:rsidR="00CD2600" w:rsidRPr="00CD2600">
        <w:t xml:space="preserve">increased scrutiny over outbound </w:t>
      </w:r>
      <w:r w:rsidR="00AE001D">
        <w:t>FDI</w:t>
      </w:r>
      <w:r w:rsidR="00CD2600" w:rsidRPr="00CD2600">
        <w:t xml:space="preserve"> and stricter capital controls. The effect of </w:t>
      </w:r>
      <w:r w:rsidR="00CD2600">
        <w:t xml:space="preserve">these policy settings at a broader level </w:t>
      </w:r>
      <w:r w:rsidR="00CD2600" w:rsidRPr="00CD2600">
        <w:t>is also reflected in OECD data, which show a 30</w:t>
      </w:r>
      <w:r w:rsidR="005A005D">
        <w:t> per </w:t>
      </w:r>
      <w:r w:rsidR="00CD2600" w:rsidRPr="00CD2600">
        <w:t>cent year</w:t>
      </w:r>
      <w:r w:rsidR="005A005D">
        <w:noBreakHyphen/>
        <w:t>on</w:t>
      </w:r>
      <w:r w:rsidR="005A005D">
        <w:noBreakHyphen/>
      </w:r>
      <w:r w:rsidR="00CD2600" w:rsidRPr="00CD2600">
        <w:t>year decline in outbound Chinese FDI over 2017</w:t>
      </w:r>
      <w:r w:rsidR="005A005D">
        <w:noBreakHyphen/>
      </w:r>
      <w:r w:rsidR="00CD2600" w:rsidRPr="00CD2600">
        <w:t>18.</w:t>
      </w:r>
    </w:p>
    <w:p w14:paraId="58C763C3" w14:textId="66969ECC" w:rsidR="00DA0B42" w:rsidRDefault="00BF2553">
      <w:pPr>
        <w:pStyle w:val="Circletext"/>
        <w:sectPr w:rsidR="00DA0B42" w:rsidSect="00D34622">
          <w:type w:val="oddPage"/>
          <w:pgSz w:w="11906" w:h="16838" w:code="9"/>
          <w:pgMar w:top="2466" w:right="2098" w:bottom="2466" w:left="2098" w:header="1899" w:footer="1899" w:gutter="0"/>
          <w:cols w:space="708"/>
          <w:titlePg/>
          <w:docGrid w:linePitch="360"/>
        </w:sectPr>
      </w:pPr>
      <w:r>
        <w:t xml:space="preserve"> </w:t>
      </w:r>
    </w:p>
    <w:p w14:paraId="289B6C4B" w14:textId="5414E373" w:rsidR="00E43E52" w:rsidRDefault="005A005D">
      <w:pPr>
        <w:pStyle w:val="TableMainHeading"/>
      </w:pPr>
      <w:bookmarkStart w:id="133" w:name="_Toc32247775"/>
      <w:bookmarkStart w:id="134" w:name="_Toc33521360"/>
      <w:r w:rsidRPr="005A005D">
        <w:lastRenderedPageBreak/>
        <w:t>Table 3.14 Approvals by country of investor, by industry sector</w:t>
      </w:r>
      <w:bookmarkEnd w:id="133"/>
      <w:r w:rsidR="00212F0D">
        <w:t xml:space="preserve"> in 2018-19</w:t>
      </w:r>
      <w:bookmarkEnd w:id="134"/>
    </w:p>
    <w:tbl>
      <w:tblPr>
        <w:tblW w:w="5000" w:type="pct"/>
        <w:tblLook w:val="04A0" w:firstRow="1" w:lastRow="0" w:firstColumn="1" w:lastColumn="0" w:noHBand="0" w:noVBand="1"/>
      </w:tblPr>
      <w:tblGrid>
        <w:gridCol w:w="2737"/>
        <w:gridCol w:w="281"/>
        <w:gridCol w:w="1102"/>
        <w:gridCol w:w="1102"/>
        <w:gridCol w:w="1038"/>
        <w:gridCol w:w="1331"/>
        <w:gridCol w:w="1183"/>
        <w:gridCol w:w="936"/>
        <w:gridCol w:w="998"/>
        <w:gridCol w:w="1198"/>
      </w:tblGrid>
      <w:tr w:rsidR="00485CC9" w:rsidRPr="00485CC9" w14:paraId="36B3BE75" w14:textId="77777777" w:rsidTr="00FE48A4">
        <w:trPr>
          <w:trHeight w:val="675"/>
        </w:trPr>
        <w:tc>
          <w:tcPr>
            <w:tcW w:w="1149" w:type="pct"/>
            <w:tcBorders>
              <w:top w:val="single" w:sz="2" w:space="0" w:color="000000" w:themeColor="text1"/>
              <w:left w:val="nil"/>
              <w:bottom w:val="nil"/>
              <w:right w:val="nil"/>
            </w:tcBorders>
            <w:shd w:val="clear" w:color="000000" w:fill="FFFFFF"/>
            <w:vAlign w:val="bottom"/>
            <w:hideMark/>
          </w:tcPr>
          <w:p w14:paraId="012C26CC"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Country (a)</w:t>
            </w:r>
          </w:p>
        </w:tc>
        <w:tc>
          <w:tcPr>
            <w:tcW w:w="118" w:type="pct"/>
            <w:tcBorders>
              <w:top w:val="single" w:sz="2" w:space="0" w:color="000000" w:themeColor="text1"/>
              <w:left w:val="nil"/>
              <w:bottom w:val="nil"/>
              <w:right w:val="nil"/>
            </w:tcBorders>
            <w:shd w:val="clear" w:color="000000" w:fill="FFFFFF"/>
            <w:vAlign w:val="bottom"/>
            <w:hideMark/>
          </w:tcPr>
          <w:p w14:paraId="15D9092C" w14:textId="1BFDC33E" w:rsidR="00485CC9" w:rsidRPr="00485CC9" w:rsidRDefault="00485CC9" w:rsidP="00ED2BDA">
            <w:pPr>
              <w:spacing w:after="0" w:line="240" w:lineRule="auto"/>
              <w:jc w:val="right"/>
              <w:rPr>
                <w:rFonts w:ascii="Arial" w:hAnsi="Arial" w:cs="Arial"/>
                <w:color w:val="auto"/>
                <w:sz w:val="16"/>
                <w:szCs w:val="16"/>
              </w:rPr>
            </w:pPr>
          </w:p>
        </w:tc>
        <w:tc>
          <w:tcPr>
            <w:tcW w:w="463" w:type="pct"/>
            <w:tcBorders>
              <w:top w:val="single" w:sz="2" w:space="0" w:color="000000" w:themeColor="text1"/>
              <w:left w:val="nil"/>
              <w:bottom w:val="nil"/>
              <w:right w:val="nil"/>
            </w:tcBorders>
            <w:shd w:val="clear" w:color="000000" w:fill="FFFFFF"/>
            <w:vAlign w:val="bottom"/>
            <w:hideMark/>
          </w:tcPr>
          <w:p w14:paraId="4241A524"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Number of</w:t>
            </w:r>
            <w:r w:rsidRPr="00485CC9">
              <w:rPr>
                <w:rFonts w:ascii="Arial" w:hAnsi="Arial" w:cs="Arial"/>
                <w:color w:val="auto"/>
                <w:sz w:val="16"/>
                <w:szCs w:val="16"/>
              </w:rPr>
              <w:br/>
              <w:t>approvals (f)</w:t>
            </w:r>
          </w:p>
        </w:tc>
        <w:tc>
          <w:tcPr>
            <w:tcW w:w="463" w:type="pct"/>
            <w:tcBorders>
              <w:top w:val="single" w:sz="2" w:space="0" w:color="000000" w:themeColor="text1"/>
              <w:left w:val="nil"/>
              <w:bottom w:val="nil"/>
              <w:right w:val="nil"/>
            </w:tcBorders>
            <w:shd w:val="clear" w:color="000000" w:fill="FFFFFF"/>
            <w:vAlign w:val="bottom"/>
            <w:hideMark/>
          </w:tcPr>
          <w:p w14:paraId="6B693858"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Agriculture,</w:t>
            </w:r>
            <w:r w:rsidRPr="00485CC9">
              <w:rPr>
                <w:rFonts w:ascii="Arial" w:hAnsi="Arial" w:cs="Arial"/>
                <w:color w:val="auto"/>
                <w:sz w:val="16"/>
                <w:szCs w:val="16"/>
              </w:rPr>
              <w:br/>
              <w:t>forestry</w:t>
            </w:r>
            <w:r w:rsidRPr="00485CC9">
              <w:rPr>
                <w:rFonts w:ascii="Arial" w:hAnsi="Arial" w:cs="Arial"/>
                <w:color w:val="auto"/>
                <w:sz w:val="16"/>
                <w:szCs w:val="16"/>
              </w:rPr>
              <w:br/>
              <w:t>&amp; fishing</w:t>
            </w:r>
          </w:p>
        </w:tc>
        <w:tc>
          <w:tcPr>
            <w:tcW w:w="436" w:type="pct"/>
            <w:tcBorders>
              <w:top w:val="single" w:sz="2" w:space="0" w:color="000000" w:themeColor="text1"/>
              <w:left w:val="nil"/>
              <w:bottom w:val="nil"/>
              <w:right w:val="nil"/>
            </w:tcBorders>
            <w:shd w:val="clear" w:color="000000" w:fill="FFFFFF"/>
            <w:vAlign w:val="bottom"/>
            <w:hideMark/>
          </w:tcPr>
          <w:p w14:paraId="3EA37D75"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Finance &amp;</w:t>
            </w:r>
            <w:r w:rsidRPr="00485CC9">
              <w:rPr>
                <w:rFonts w:ascii="Arial" w:hAnsi="Arial" w:cs="Arial"/>
                <w:color w:val="auto"/>
                <w:sz w:val="16"/>
                <w:szCs w:val="16"/>
              </w:rPr>
              <w:br/>
              <w:t>insurance</w:t>
            </w:r>
          </w:p>
        </w:tc>
        <w:tc>
          <w:tcPr>
            <w:tcW w:w="559" w:type="pct"/>
            <w:tcBorders>
              <w:top w:val="single" w:sz="2" w:space="0" w:color="000000" w:themeColor="text1"/>
              <w:left w:val="nil"/>
              <w:bottom w:val="nil"/>
              <w:right w:val="nil"/>
            </w:tcBorders>
            <w:shd w:val="clear" w:color="000000" w:fill="FFFFFF"/>
            <w:vAlign w:val="bottom"/>
            <w:hideMark/>
          </w:tcPr>
          <w:p w14:paraId="2110C427"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Manufacturing,</w:t>
            </w:r>
            <w:r w:rsidRPr="00485CC9">
              <w:rPr>
                <w:rFonts w:ascii="Arial" w:hAnsi="Arial" w:cs="Arial"/>
                <w:color w:val="auto"/>
                <w:sz w:val="16"/>
                <w:szCs w:val="16"/>
              </w:rPr>
              <w:br/>
              <w:t>electricity &amp;</w:t>
            </w:r>
            <w:r w:rsidRPr="00485CC9">
              <w:rPr>
                <w:rFonts w:ascii="Arial" w:hAnsi="Arial" w:cs="Arial"/>
                <w:color w:val="auto"/>
                <w:sz w:val="16"/>
                <w:szCs w:val="16"/>
              </w:rPr>
              <w:br/>
              <w:t>gas</w:t>
            </w:r>
          </w:p>
        </w:tc>
        <w:tc>
          <w:tcPr>
            <w:tcW w:w="497" w:type="pct"/>
            <w:tcBorders>
              <w:top w:val="single" w:sz="2" w:space="0" w:color="000000" w:themeColor="text1"/>
              <w:left w:val="nil"/>
              <w:bottom w:val="nil"/>
              <w:right w:val="nil"/>
            </w:tcBorders>
            <w:shd w:val="clear" w:color="000000" w:fill="FFFFFF"/>
            <w:vAlign w:val="bottom"/>
            <w:hideMark/>
          </w:tcPr>
          <w:p w14:paraId="1B41CD0F"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Mineral</w:t>
            </w:r>
            <w:r w:rsidRPr="00485CC9">
              <w:rPr>
                <w:rFonts w:ascii="Arial" w:hAnsi="Arial" w:cs="Arial"/>
                <w:color w:val="auto"/>
                <w:sz w:val="16"/>
                <w:szCs w:val="16"/>
              </w:rPr>
              <w:br/>
              <w:t>exploration &amp;</w:t>
            </w:r>
            <w:r w:rsidRPr="00485CC9">
              <w:rPr>
                <w:rFonts w:ascii="Arial" w:hAnsi="Arial" w:cs="Arial"/>
                <w:color w:val="auto"/>
                <w:sz w:val="16"/>
                <w:szCs w:val="16"/>
              </w:rPr>
              <w:br/>
              <w:t>development</w:t>
            </w:r>
          </w:p>
        </w:tc>
        <w:tc>
          <w:tcPr>
            <w:tcW w:w="393" w:type="pct"/>
            <w:tcBorders>
              <w:top w:val="single" w:sz="2" w:space="0" w:color="000000" w:themeColor="text1"/>
              <w:left w:val="nil"/>
              <w:bottom w:val="nil"/>
              <w:right w:val="nil"/>
            </w:tcBorders>
            <w:shd w:val="clear" w:color="000000" w:fill="FFFFFF"/>
            <w:vAlign w:val="bottom"/>
            <w:hideMark/>
          </w:tcPr>
          <w:p w14:paraId="46647777"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Real</w:t>
            </w:r>
            <w:r w:rsidRPr="00485CC9">
              <w:rPr>
                <w:rFonts w:ascii="Arial" w:hAnsi="Arial" w:cs="Arial"/>
                <w:color w:val="auto"/>
                <w:sz w:val="16"/>
                <w:szCs w:val="16"/>
              </w:rPr>
              <w:br/>
              <w:t>estate</w:t>
            </w:r>
          </w:p>
        </w:tc>
        <w:tc>
          <w:tcPr>
            <w:tcW w:w="419" w:type="pct"/>
            <w:tcBorders>
              <w:top w:val="single" w:sz="2" w:space="0" w:color="000000" w:themeColor="text1"/>
              <w:left w:val="nil"/>
              <w:bottom w:val="nil"/>
              <w:right w:val="nil"/>
            </w:tcBorders>
            <w:shd w:val="clear" w:color="000000" w:fill="FFFFFF"/>
            <w:vAlign w:val="bottom"/>
            <w:hideMark/>
          </w:tcPr>
          <w:p w14:paraId="1747E0DB"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Services</w:t>
            </w:r>
          </w:p>
        </w:tc>
        <w:tc>
          <w:tcPr>
            <w:tcW w:w="503" w:type="pct"/>
            <w:tcBorders>
              <w:top w:val="single" w:sz="2" w:space="0" w:color="000000" w:themeColor="text1"/>
              <w:left w:val="nil"/>
              <w:bottom w:val="nil"/>
              <w:right w:val="nil"/>
            </w:tcBorders>
            <w:shd w:val="clear" w:color="000000" w:fill="FFFFFF"/>
            <w:vAlign w:val="bottom"/>
            <w:hideMark/>
          </w:tcPr>
          <w:p w14:paraId="3B89F61E" w14:textId="77777777" w:rsidR="00485CC9" w:rsidRPr="00485CC9" w:rsidRDefault="00485CC9" w:rsidP="00ED2BDA">
            <w:pPr>
              <w:spacing w:after="0" w:line="240" w:lineRule="auto"/>
              <w:jc w:val="right"/>
              <w:rPr>
                <w:rFonts w:ascii="Arial" w:hAnsi="Arial" w:cs="Arial"/>
                <w:color w:val="auto"/>
                <w:sz w:val="16"/>
                <w:szCs w:val="16"/>
              </w:rPr>
            </w:pPr>
            <w:r w:rsidRPr="00485CC9">
              <w:rPr>
                <w:rFonts w:ascii="Arial" w:hAnsi="Arial" w:cs="Arial"/>
                <w:color w:val="auto"/>
                <w:sz w:val="16"/>
                <w:szCs w:val="16"/>
              </w:rPr>
              <w:t xml:space="preserve">Total </w:t>
            </w:r>
          </w:p>
        </w:tc>
      </w:tr>
      <w:tr w:rsidR="00485CC9" w:rsidRPr="00485CC9" w14:paraId="3D27EB59" w14:textId="77777777" w:rsidTr="00FE48A4">
        <w:trPr>
          <w:trHeight w:val="229"/>
        </w:trPr>
        <w:tc>
          <w:tcPr>
            <w:tcW w:w="1149" w:type="pct"/>
            <w:tcBorders>
              <w:top w:val="nil"/>
              <w:left w:val="nil"/>
              <w:bottom w:val="single" w:sz="2" w:space="0" w:color="000000" w:themeColor="text1"/>
              <w:right w:val="nil"/>
            </w:tcBorders>
            <w:shd w:val="clear" w:color="000000" w:fill="FFFFFF"/>
            <w:vAlign w:val="center"/>
            <w:hideMark/>
          </w:tcPr>
          <w:p w14:paraId="289E5503" w14:textId="6A982AFE" w:rsidR="00485CC9" w:rsidRPr="00485CC9" w:rsidRDefault="00485CC9" w:rsidP="00485CC9">
            <w:pPr>
              <w:spacing w:after="0" w:line="240" w:lineRule="auto"/>
              <w:jc w:val="left"/>
              <w:rPr>
                <w:rFonts w:ascii="Arial" w:hAnsi="Arial" w:cs="Arial"/>
                <w:color w:val="auto"/>
                <w:sz w:val="16"/>
                <w:szCs w:val="16"/>
              </w:rPr>
            </w:pPr>
          </w:p>
        </w:tc>
        <w:tc>
          <w:tcPr>
            <w:tcW w:w="118" w:type="pct"/>
            <w:tcBorders>
              <w:top w:val="nil"/>
              <w:left w:val="nil"/>
              <w:bottom w:val="single" w:sz="2" w:space="0" w:color="000000" w:themeColor="text1"/>
              <w:right w:val="nil"/>
            </w:tcBorders>
            <w:shd w:val="clear" w:color="000000" w:fill="FFFFFF"/>
            <w:vAlign w:val="center"/>
            <w:hideMark/>
          </w:tcPr>
          <w:p w14:paraId="5D302B01" w14:textId="463D2D44" w:rsidR="00485CC9" w:rsidRPr="00485CC9" w:rsidRDefault="00485CC9" w:rsidP="00485CC9">
            <w:pPr>
              <w:spacing w:after="0" w:line="240" w:lineRule="auto"/>
              <w:jc w:val="left"/>
              <w:rPr>
                <w:rFonts w:ascii="Arial" w:hAnsi="Arial" w:cs="Arial"/>
                <w:color w:val="auto"/>
                <w:sz w:val="16"/>
                <w:szCs w:val="16"/>
              </w:rPr>
            </w:pPr>
          </w:p>
        </w:tc>
        <w:tc>
          <w:tcPr>
            <w:tcW w:w="463" w:type="pct"/>
            <w:tcBorders>
              <w:top w:val="nil"/>
              <w:left w:val="nil"/>
              <w:bottom w:val="single" w:sz="2" w:space="0" w:color="000000" w:themeColor="text1"/>
              <w:right w:val="nil"/>
            </w:tcBorders>
            <w:shd w:val="clear" w:color="000000" w:fill="FFFFFF"/>
            <w:vAlign w:val="center"/>
            <w:hideMark/>
          </w:tcPr>
          <w:p w14:paraId="1BEEBA2E" w14:textId="77777777" w:rsidR="00485CC9" w:rsidRPr="00485CC9" w:rsidRDefault="00485CC9" w:rsidP="00485CC9">
            <w:pPr>
              <w:spacing w:after="0" w:line="240" w:lineRule="auto"/>
              <w:jc w:val="right"/>
              <w:rPr>
                <w:rFonts w:ascii="Arial" w:hAnsi="Arial" w:cs="Arial"/>
                <w:color w:val="auto"/>
                <w:sz w:val="16"/>
                <w:szCs w:val="16"/>
              </w:rPr>
            </w:pPr>
            <w:r w:rsidRPr="00485CC9">
              <w:rPr>
                <w:rFonts w:ascii="Arial" w:hAnsi="Arial" w:cs="Arial"/>
                <w:color w:val="auto"/>
                <w:sz w:val="16"/>
                <w:szCs w:val="16"/>
              </w:rPr>
              <w:t> </w:t>
            </w:r>
          </w:p>
        </w:tc>
        <w:tc>
          <w:tcPr>
            <w:tcW w:w="463" w:type="pct"/>
            <w:tcBorders>
              <w:top w:val="nil"/>
              <w:left w:val="nil"/>
              <w:bottom w:val="single" w:sz="2" w:space="0" w:color="000000" w:themeColor="text1"/>
              <w:right w:val="nil"/>
            </w:tcBorders>
            <w:shd w:val="clear" w:color="000000" w:fill="FFFFFF"/>
            <w:vAlign w:val="center"/>
            <w:hideMark/>
          </w:tcPr>
          <w:p w14:paraId="30693102" w14:textId="77777777" w:rsidR="00485CC9" w:rsidRPr="00485CC9" w:rsidRDefault="00485CC9" w:rsidP="00485CC9">
            <w:pPr>
              <w:spacing w:after="0" w:line="240" w:lineRule="auto"/>
              <w:jc w:val="right"/>
              <w:rPr>
                <w:rFonts w:ascii="Arial" w:hAnsi="Arial" w:cs="Arial"/>
                <w:color w:val="auto"/>
                <w:sz w:val="16"/>
                <w:szCs w:val="16"/>
              </w:rPr>
            </w:pPr>
            <w:r w:rsidRPr="00485CC9">
              <w:rPr>
                <w:rFonts w:ascii="Arial" w:hAnsi="Arial" w:cs="Arial"/>
                <w:color w:val="auto"/>
                <w:sz w:val="16"/>
                <w:szCs w:val="16"/>
              </w:rPr>
              <w:t>$m</w:t>
            </w:r>
          </w:p>
        </w:tc>
        <w:tc>
          <w:tcPr>
            <w:tcW w:w="436" w:type="pct"/>
            <w:tcBorders>
              <w:top w:val="nil"/>
              <w:left w:val="nil"/>
              <w:bottom w:val="single" w:sz="2" w:space="0" w:color="000000" w:themeColor="text1"/>
              <w:right w:val="nil"/>
            </w:tcBorders>
            <w:shd w:val="clear" w:color="000000" w:fill="FFFFFF"/>
            <w:vAlign w:val="center"/>
            <w:hideMark/>
          </w:tcPr>
          <w:p w14:paraId="4E89D957" w14:textId="77777777" w:rsidR="00485CC9" w:rsidRPr="00485CC9" w:rsidRDefault="00485CC9" w:rsidP="00485CC9">
            <w:pPr>
              <w:spacing w:after="0" w:line="240" w:lineRule="auto"/>
              <w:jc w:val="right"/>
              <w:rPr>
                <w:rFonts w:ascii="Arial" w:hAnsi="Arial" w:cs="Arial"/>
                <w:color w:val="auto"/>
                <w:sz w:val="16"/>
                <w:szCs w:val="16"/>
              </w:rPr>
            </w:pPr>
            <w:r w:rsidRPr="00485CC9">
              <w:rPr>
                <w:rFonts w:ascii="Arial" w:hAnsi="Arial" w:cs="Arial"/>
                <w:color w:val="auto"/>
                <w:sz w:val="16"/>
                <w:szCs w:val="16"/>
              </w:rPr>
              <w:t>$m</w:t>
            </w:r>
          </w:p>
        </w:tc>
        <w:tc>
          <w:tcPr>
            <w:tcW w:w="559" w:type="pct"/>
            <w:tcBorders>
              <w:top w:val="nil"/>
              <w:left w:val="nil"/>
              <w:bottom w:val="single" w:sz="2" w:space="0" w:color="000000" w:themeColor="text1"/>
              <w:right w:val="nil"/>
            </w:tcBorders>
            <w:shd w:val="clear" w:color="000000" w:fill="FFFFFF"/>
            <w:vAlign w:val="center"/>
            <w:hideMark/>
          </w:tcPr>
          <w:p w14:paraId="1963C09D" w14:textId="77777777" w:rsidR="00485CC9" w:rsidRPr="00485CC9" w:rsidRDefault="00485CC9" w:rsidP="00485CC9">
            <w:pPr>
              <w:spacing w:after="0" w:line="240" w:lineRule="auto"/>
              <w:jc w:val="right"/>
              <w:rPr>
                <w:rFonts w:ascii="Arial" w:hAnsi="Arial" w:cs="Arial"/>
                <w:color w:val="auto"/>
                <w:sz w:val="16"/>
                <w:szCs w:val="16"/>
              </w:rPr>
            </w:pPr>
            <w:r w:rsidRPr="00485CC9">
              <w:rPr>
                <w:rFonts w:ascii="Arial" w:hAnsi="Arial" w:cs="Arial"/>
                <w:color w:val="auto"/>
                <w:sz w:val="16"/>
                <w:szCs w:val="16"/>
              </w:rPr>
              <w:t>$m</w:t>
            </w:r>
          </w:p>
        </w:tc>
        <w:tc>
          <w:tcPr>
            <w:tcW w:w="497" w:type="pct"/>
            <w:tcBorders>
              <w:top w:val="nil"/>
              <w:left w:val="nil"/>
              <w:bottom w:val="single" w:sz="2" w:space="0" w:color="000000" w:themeColor="text1"/>
              <w:right w:val="nil"/>
            </w:tcBorders>
            <w:shd w:val="clear" w:color="000000" w:fill="FFFFFF"/>
            <w:vAlign w:val="center"/>
            <w:hideMark/>
          </w:tcPr>
          <w:p w14:paraId="22E110FE" w14:textId="77777777" w:rsidR="00485CC9" w:rsidRPr="00485CC9" w:rsidRDefault="00485CC9" w:rsidP="00485CC9">
            <w:pPr>
              <w:spacing w:after="0" w:line="240" w:lineRule="auto"/>
              <w:jc w:val="right"/>
              <w:rPr>
                <w:rFonts w:ascii="Arial" w:hAnsi="Arial" w:cs="Arial"/>
                <w:color w:val="auto"/>
                <w:sz w:val="16"/>
                <w:szCs w:val="16"/>
              </w:rPr>
            </w:pPr>
            <w:r w:rsidRPr="00485CC9">
              <w:rPr>
                <w:rFonts w:ascii="Arial" w:hAnsi="Arial" w:cs="Arial"/>
                <w:color w:val="auto"/>
                <w:sz w:val="16"/>
                <w:szCs w:val="16"/>
              </w:rPr>
              <w:t>$m</w:t>
            </w:r>
          </w:p>
        </w:tc>
        <w:tc>
          <w:tcPr>
            <w:tcW w:w="393" w:type="pct"/>
            <w:tcBorders>
              <w:top w:val="nil"/>
              <w:left w:val="nil"/>
              <w:bottom w:val="single" w:sz="2" w:space="0" w:color="000000" w:themeColor="text1"/>
              <w:right w:val="nil"/>
            </w:tcBorders>
            <w:shd w:val="clear" w:color="000000" w:fill="FFFFFF"/>
            <w:vAlign w:val="center"/>
            <w:hideMark/>
          </w:tcPr>
          <w:p w14:paraId="2F559E77" w14:textId="77777777" w:rsidR="00485CC9" w:rsidRPr="00485CC9" w:rsidRDefault="00485CC9" w:rsidP="00485CC9">
            <w:pPr>
              <w:spacing w:after="0" w:line="240" w:lineRule="auto"/>
              <w:jc w:val="right"/>
              <w:rPr>
                <w:rFonts w:ascii="Arial" w:hAnsi="Arial" w:cs="Arial"/>
                <w:color w:val="auto"/>
                <w:sz w:val="16"/>
                <w:szCs w:val="16"/>
              </w:rPr>
            </w:pPr>
            <w:r w:rsidRPr="00485CC9">
              <w:rPr>
                <w:rFonts w:ascii="Arial" w:hAnsi="Arial" w:cs="Arial"/>
                <w:color w:val="auto"/>
                <w:sz w:val="16"/>
                <w:szCs w:val="16"/>
              </w:rPr>
              <w:t>$m</w:t>
            </w:r>
          </w:p>
        </w:tc>
        <w:tc>
          <w:tcPr>
            <w:tcW w:w="419" w:type="pct"/>
            <w:tcBorders>
              <w:top w:val="nil"/>
              <w:left w:val="nil"/>
              <w:bottom w:val="single" w:sz="2" w:space="0" w:color="000000" w:themeColor="text1"/>
              <w:right w:val="nil"/>
            </w:tcBorders>
            <w:shd w:val="clear" w:color="000000" w:fill="FFFFFF"/>
            <w:vAlign w:val="center"/>
            <w:hideMark/>
          </w:tcPr>
          <w:p w14:paraId="02AD0BEF" w14:textId="77777777" w:rsidR="00485CC9" w:rsidRPr="00485CC9" w:rsidRDefault="00485CC9" w:rsidP="00485CC9">
            <w:pPr>
              <w:spacing w:after="0" w:line="240" w:lineRule="auto"/>
              <w:jc w:val="right"/>
              <w:rPr>
                <w:rFonts w:ascii="Arial" w:hAnsi="Arial" w:cs="Arial"/>
                <w:color w:val="auto"/>
                <w:sz w:val="16"/>
                <w:szCs w:val="16"/>
              </w:rPr>
            </w:pPr>
            <w:r w:rsidRPr="00485CC9">
              <w:rPr>
                <w:rFonts w:ascii="Arial" w:hAnsi="Arial" w:cs="Arial"/>
                <w:color w:val="auto"/>
                <w:sz w:val="16"/>
                <w:szCs w:val="16"/>
              </w:rPr>
              <w:t>$m</w:t>
            </w:r>
          </w:p>
        </w:tc>
        <w:tc>
          <w:tcPr>
            <w:tcW w:w="503" w:type="pct"/>
            <w:tcBorders>
              <w:top w:val="nil"/>
              <w:left w:val="nil"/>
              <w:bottom w:val="single" w:sz="2" w:space="0" w:color="000000" w:themeColor="text1"/>
              <w:right w:val="nil"/>
            </w:tcBorders>
            <w:shd w:val="clear" w:color="000000" w:fill="FFFFFF"/>
            <w:vAlign w:val="center"/>
            <w:hideMark/>
          </w:tcPr>
          <w:p w14:paraId="43AF74FD" w14:textId="77777777" w:rsidR="00485CC9" w:rsidRPr="00485CC9" w:rsidRDefault="00485CC9" w:rsidP="00485CC9">
            <w:pPr>
              <w:spacing w:after="0" w:line="240" w:lineRule="auto"/>
              <w:jc w:val="right"/>
              <w:rPr>
                <w:rFonts w:ascii="Arial" w:hAnsi="Arial" w:cs="Arial"/>
                <w:color w:val="auto"/>
                <w:sz w:val="16"/>
                <w:szCs w:val="16"/>
              </w:rPr>
            </w:pPr>
            <w:r w:rsidRPr="00485CC9">
              <w:rPr>
                <w:rFonts w:ascii="Arial" w:hAnsi="Arial" w:cs="Arial"/>
                <w:color w:val="auto"/>
                <w:sz w:val="16"/>
                <w:szCs w:val="16"/>
              </w:rPr>
              <w:t>$m</w:t>
            </w:r>
          </w:p>
        </w:tc>
      </w:tr>
      <w:tr w:rsidR="00485CC9" w:rsidRPr="00485CC9" w14:paraId="3A2541DE" w14:textId="77777777" w:rsidTr="00FE48A4">
        <w:trPr>
          <w:trHeight w:val="229"/>
        </w:trPr>
        <w:tc>
          <w:tcPr>
            <w:tcW w:w="1149" w:type="pct"/>
            <w:tcBorders>
              <w:top w:val="single" w:sz="2" w:space="0" w:color="000000" w:themeColor="text1"/>
              <w:left w:val="nil"/>
              <w:bottom w:val="nil"/>
              <w:right w:val="nil"/>
            </w:tcBorders>
            <w:shd w:val="clear" w:color="000000" w:fill="FFFFFF"/>
            <w:noWrap/>
            <w:vAlign w:val="center"/>
            <w:hideMark/>
          </w:tcPr>
          <w:p w14:paraId="3F7C9338" w14:textId="047669A3"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UNITED STATES</w:t>
            </w:r>
          </w:p>
        </w:tc>
        <w:tc>
          <w:tcPr>
            <w:tcW w:w="118" w:type="pct"/>
            <w:tcBorders>
              <w:top w:val="single" w:sz="2" w:space="0" w:color="000000" w:themeColor="text1"/>
              <w:left w:val="nil"/>
              <w:bottom w:val="nil"/>
              <w:right w:val="nil"/>
            </w:tcBorders>
            <w:shd w:val="clear" w:color="000000" w:fill="FFFFFF"/>
            <w:noWrap/>
            <w:vAlign w:val="bottom"/>
          </w:tcPr>
          <w:p w14:paraId="292895AD" w14:textId="6C1EB46B" w:rsidR="00485CC9" w:rsidRPr="00485CC9" w:rsidRDefault="00485CC9" w:rsidP="00134265">
            <w:pPr>
              <w:spacing w:after="0" w:line="240" w:lineRule="auto"/>
              <w:jc w:val="left"/>
              <w:rPr>
                <w:rFonts w:ascii="Arial" w:hAnsi="Arial" w:cs="Arial"/>
                <w:sz w:val="16"/>
                <w:szCs w:val="16"/>
              </w:rPr>
            </w:pPr>
          </w:p>
        </w:tc>
        <w:tc>
          <w:tcPr>
            <w:tcW w:w="463" w:type="pct"/>
            <w:tcBorders>
              <w:top w:val="single" w:sz="2" w:space="0" w:color="000000" w:themeColor="text1"/>
              <w:left w:val="nil"/>
              <w:bottom w:val="nil"/>
              <w:right w:val="nil"/>
            </w:tcBorders>
            <w:shd w:val="clear" w:color="000000" w:fill="FFFFFF"/>
            <w:noWrap/>
            <w:vAlign w:val="center"/>
            <w:hideMark/>
          </w:tcPr>
          <w:p w14:paraId="1502C885" w14:textId="1DC9387A"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401</w:t>
            </w:r>
          </w:p>
        </w:tc>
        <w:tc>
          <w:tcPr>
            <w:tcW w:w="463" w:type="pct"/>
            <w:tcBorders>
              <w:top w:val="single" w:sz="2" w:space="0" w:color="000000" w:themeColor="text1"/>
              <w:left w:val="nil"/>
              <w:bottom w:val="nil"/>
              <w:right w:val="nil"/>
            </w:tcBorders>
            <w:shd w:val="clear" w:color="000000" w:fill="FFFFFF"/>
            <w:noWrap/>
            <w:vAlign w:val="center"/>
            <w:hideMark/>
          </w:tcPr>
          <w:p w14:paraId="26D35269" w14:textId="44C8E3CB"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1,169.3</w:t>
            </w:r>
          </w:p>
        </w:tc>
        <w:tc>
          <w:tcPr>
            <w:tcW w:w="436" w:type="pct"/>
            <w:tcBorders>
              <w:top w:val="single" w:sz="2" w:space="0" w:color="000000" w:themeColor="text1"/>
              <w:left w:val="nil"/>
              <w:bottom w:val="nil"/>
              <w:right w:val="nil"/>
            </w:tcBorders>
            <w:shd w:val="clear" w:color="000000" w:fill="FFFFFF"/>
            <w:noWrap/>
            <w:vAlign w:val="center"/>
            <w:hideMark/>
          </w:tcPr>
          <w:p w14:paraId="140D538C" w14:textId="5F3AC122"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791.8</w:t>
            </w:r>
          </w:p>
        </w:tc>
        <w:tc>
          <w:tcPr>
            <w:tcW w:w="559" w:type="pct"/>
            <w:tcBorders>
              <w:top w:val="single" w:sz="2" w:space="0" w:color="000000" w:themeColor="text1"/>
              <w:left w:val="nil"/>
              <w:bottom w:val="nil"/>
              <w:right w:val="nil"/>
            </w:tcBorders>
            <w:shd w:val="clear" w:color="000000" w:fill="FFFFFF"/>
            <w:noWrap/>
            <w:vAlign w:val="center"/>
            <w:hideMark/>
          </w:tcPr>
          <w:p w14:paraId="5E4AEDAF" w14:textId="11F502A5"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2,571.3</w:t>
            </w:r>
          </w:p>
        </w:tc>
        <w:tc>
          <w:tcPr>
            <w:tcW w:w="497" w:type="pct"/>
            <w:tcBorders>
              <w:top w:val="single" w:sz="2" w:space="0" w:color="000000" w:themeColor="text1"/>
              <w:left w:val="nil"/>
              <w:bottom w:val="nil"/>
              <w:right w:val="nil"/>
            </w:tcBorders>
            <w:shd w:val="clear" w:color="000000" w:fill="FFFFFF"/>
            <w:noWrap/>
            <w:vAlign w:val="center"/>
            <w:hideMark/>
          </w:tcPr>
          <w:p w14:paraId="7B8D4BE1" w14:textId="0CAECD86"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2,934.3</w:t>
            </w:r>
          </w:p>
        </w:tc>
        <w:tc>
          <w:tcPr>
            <w:tcW w:w="393" w:type="pct"/>
            <w:tcBorders>
              <w:top w:val="single" w:sz="2" w:space="0" w:color="000000" w:themeColor="text1"/>
              <w:left w:val="nil"/>
              <w:bottom w:val="nil"/>
              <w:right w:val="nil"/>
            </w:tcBorders>
            <w:shd w:val="clear" w:color="000000" w:fill="FFFFFF"/>
            <w:noWrap/>
            <w:vAlign w:val="center"/>
            <w:hideMark/>
          </w:tcPr>
          <w:p w14:paraId="76A4F9DC" w14:textId="4EC3FAE7"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19,559.1</w:t>
            </w:r>
          </w:p>
        </w:tc>
        <w:tc>
          <w:tcPr>
            <w:tcW w:w="419" w:type="pct"/>
            <w:tcBorders>
              <w:top w:val="single" w:sz="2" w:space="0" w:color="000000" w:themeColor="text1"/>
              <w:left w:val="nil"/>
              <w:bottom w:val="nil"/>
              <w:right w:val="nil"/>
            </w:tcBorders>
            <w:shd w:val="clear" w:color="000000" w:fill="FFFFFF"/>
            <w:noWrap/>
            <w:vAlign w:val="center"/>
            <w:hideMark/>
          </w:tcPr>
          <w:p w14:paraId="32126854" w14:textId="6E10FD43"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31,152.0</w:t>
            </w:r>
          </w:p>
        </w:tc>
        <w:tc>
          <w:tcPr>
            <w:tcW w:w="503" w:type="pct"/>
            <w:tcBorders>
              <w:top w:val="single" w:sz="2" w:space="0" w:color="000000" w:themeColor="text1"/>
              <w:left w:val="nil"/>
              <w:bottom w:val="nil"/>
              <w:right w:val="nil"/>
            </w:tcBorders>
            <w:shd w:val="clear" w:color="000000" w:fill="FFFFFF"/>
            <w:noWrap/>
            <w:vAlign w:val="center"/>
            <w:hideMark/>
          </w:tcPr>
          <w:p w14:paraId="07393EA7"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58,177.8</w:t>
            </w:r>
          </w:p>
        </w:tc>
      </w:tr>
      <w:tr w:rsidR="00485CC9" w:rsidRPr="00485CC9" w14:paraId="4C66E2F1" w14:textId="77777777" w:rsidTr="00ED2BDA">
        <w:trPr>
          <w:trHeight w:val="229"/>
        </w:trPr>
        <w:tc>
          <w:tcPr>
            <w:tcW w:w="1149" w:type="pct"/>
            <w:tcBorders>
              <w:top w:val="nil"/>
              <w:left w:val="nil"/>
              <w:bottom w:val="nil"/>
              <w:right w:val="nil"/>
            </w:tcBorders>
            <w:shd w:val="clear" w:color="000000" w:fill="FFFFFF"/>
            <w:noWrap/>
            <w:vAlign w:val="center"/>
            <w:hideMark/>
          </w:tcPr>
          <w:p w14:paraId="425CBA24" w14:textId="59535820"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CANADA</w:t>
            </w:r>
          </w:p>
        </w:tc>
        <w:tc>
          <w:tcPr>
            <w:tcW w:w="118" w:type="pct"/>
            <w:tcBorders>
              <w:top w:val="nil"/>
              <w:left w:val="nil"/>
              <w:bottom w:val="nil"/>
              <w:right w:val="nil"/>
            </w:tcBorders>
            <w:shd w:val="clear" w:color="000000" w:fill="FFFFFF"/>
            <w:noWrap/>
            <w:vAlign w:val="bottom"/>
          </w:tcPr>
          <w:p w14:paraId="7A5DBE68" w14:textId="36426864"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795E98FC" w14:textId="5D5DBDCE"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238</w:t>
            </w:r>
          </w:p>
        </w:tc>
        <w:tc>
          <w:tcPr>
            <w:tcW w:w="463" w:type="pct"/>
            <w:tcBorders>
              <w:top w:val="nil"/>
              <w:left w:val="nil"/>
              <w:bottom w:val="nil"/>
              <w:right w:val="nil"/>
            </w:tcBorders>
            <w:shd w:val="clear" w:color="000000" w:fill="FFFFFF"/>
            <w:noWrap/>
            <w:vAlign w:val="center"/>
            <w:hideMark/>
          </w:tcPr>
          <w:p w14:paraId="3D1FE978" w14:textId="09C0236F"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1,581.6</w:t>
            </w:r>
          </w:p>
        </w:tc>
        <w:tc>
          <w:tcPr>
            <w:tcW w:w="436" w:type="pct"/>
            <w:tcBorders>
              <w:top w:val="nil"/>
              <w:left w:val="nil"/>
              <w:bottom w:val="nil"/>
              <w:right w:val="nil"/>
            </w:tcBorders>
            <w:shd w:val="clear" w:color="000000" w:fill="FFFFFF"/>
            <w:noWrap/>
            <w:vAlign w:val="center"/>
            <w:hideMark/>
          </w:tcPr>
          <w:p w14:paraId="0C4C660E" w14:textId="6BABFA76"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190.2</w:t>
            </w:r>
          </w:p>
        </w:tc>
        <w:tc>
          <w:tcPr>
            <w:tcW w:w="559" w:type="pct"/>
            <w:tcBorders>
              <w:top w:val="nil"/>
              <w:left w:val="nil"/>
              <w:bottom w:val="nil"/>
              <w:right w:val="nil"/>
            </w:tcBorders>
            <w:shd w:val="clear" w:color="000000" w:fill="FFFFFF"/>
            <w:noWrap/>
            <w:vAlign w:val="center"/>
            <w:hideMark/>
          </w:tcPr>
          <w:p w14:paraId="69F3E92C" w14:textId="379A5A4C"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643.1</w:t>
            </w:r>
          </w:p>
        </w:tc>
        <w:tc>
          <w:tcPr>
            <w:tcW w:w="497" w:type="pct"/>
            <w:tcBorders>
              <w:top w:val="nil"/>
              <w:left w:val="nil"/>
              <w:bottom w:val="nil"/>
              <w:right w:val="nil"/>
            </w:tcBorders>
            <w:shd w:val="clear" w:color="000000" w:fill="FFFFFF"/>
            <w:noWrap/>
            <w:vAlign w:val="center"/>
            <w:hideMark/>
          </w:tcPr>
          <w:p w14:paraId="4D451EC4" w14:textId="0BD352DA"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1,077.6</w:t>
            </w:r>
          </w:p>
        </w:tc>
        <w:tc>
          <w:tcPr>
            <w:tcW w:w="393" w:type="pct"/>
            <w:tcBorders>
              <w:top w:val="nil"/>
              <w:left w:val="nil"/>
              <w:bottom w:val="nil"/>
              <w:right w:val="nil"/>
            </w:tcBorders>
            <w:shd w:val="clear" w:color="000000" w:fill="FFFFFF"/>
            <w:noWrap/>
            <w:vAlign w:val="center"/>
            <w:hideMark/>
          </w:tcPr>
          <w:p w14:paraId="6FBA209D" w14:textId="5794F72A"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13,299.7</w:t>
            </w:r>
          </w:p>
        </w:tc>
        <w:tc>
          <w:tcPr>
            <w:tcW w:w="419" w:type="pct"/>
            <w:tcBorders>
              <w:top w:val="nil"/>
              <w:left w:val="nil"/>
              <w:bottom w:val="nil"/>
              <w:right w:val="nil"/>
            </w:tcBorders>
            <w:shd w:val="clear" w:color="000000" w:fill="FFFFFF"/>
            <w:noWrap/>
            <w:vAlign w:val="center"/>
            <w:hideMark/>
          </w:tcPr>
          <w:p w14:paraId="528217F4" w14:textId="4FAA8011"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9,222.7</w:t>
            </w:r>
          </w:p>
        </w:tc>
        <w:tc>
          <w:tcPr>
            <w:tcW w:w="503" w:type="pct"/>
            <w:tcBorders>
              <w:top w:val="nil"/>
              <w:left w:val="nil"/>
              <w:bottom w:val="nil"/>
              <w:right w:val="nil"/>
            </w:tcBorders>
            <w:shd w:val="clear" w:color="000000" w:fill="FFFFFF"/>
            <w:noWrap/>
            <w:vAlign w:val="center"/>
            <w:hideMark/>
          </w:tcPr>
          <w:p w14:paraId="63DDBB4A"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26,014.9</w:t>
            </w:r>
          </w:p>
        </w:tc>
      </w:tr>
      <w:tr w:rsidR="00485CC9" w:rsidRPr="00485CC9" w14:paraId="795E9082" w14:textId="77777777" w:rsidTr="00ED2BDA">
        <w:trPr>
          <w:trHeight w:val="229"/>
        </w:trPr>
        <w:tc>
          <w:tcPr>
            <w:tcW w:w="1149" w:type="pct"/>
            <w:tcBorders>
              <w:top w:val="nil"/>
              <w:left w:val="nil"/>
              <w:bottom w:val="nil"/>
              <w:right w:val="nil"/>
            </w:tcBorders>
            <w:shd w:val="clear" w:color="000000" w:fill="FFFFFF"/>
            <w:noWrap/>
            <w:vAlign w:val="center"/>
            <w:hideMark/>
          </w:tcPr>
          <w:p w14:paraId="221D2852" w14:textId="5965C8E4"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SINGAPORE</w:t>
            </w:r>
          </w:p>
        </w:tc>
        <w:tc>
          <w:tcPr>
            <w:tcW w:w="118" w:type="pct"/>
            <w:tcBorders>
              <w:top w:val="nil"/>
              <w:left w:val="nil"/>
              <w:bottom w:val="nil"/>
              <w:right w:val="nil"/>
            </w:tcBorders>
            <w:shd w:val="clear" w:color="000000" w:fill="FFFFFF"/>
            <w:noWrap/>
            <w:vAlign w:val="bottom"/>
          </w:tcPr>
          <w:p w14:paraId="53A0936D" w14:textId="2CABA549"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52449AEE" w14:textId="2BB5B733"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501</w:t>
            </w:r>
          </w:p>
        </w:tc>
        <w:tc>
          <w:tcPr>
            <w:tcW w:w="463" w:type="pct"/>
            <w:tcBorders>
              <w:top w:val="nil"/>
              <w:left w:val="nil"/>
              <w:bottom w:val="nil"/>
              <w:right w:val="nil"/>
            </w:tcBorders>
            <w:shd w:val="clear" w:color="000000" w:fill="FFFFFF"/>
            <w:noWrap/>
            <w:vAlign w:val="center"/>
            <w:hideMark/>
          </w:tcPr>
          <w:p w14:paraId="2CF8909A" w14:textId="6BD17B7E"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257.5</w:t>
            </w:r>
          </w:p>
        </w:tc>
        <w:tc>
          <w:tcPr>
            <w:tcW w:w="436" w:type="pct"/>
            <w:tcBorders>
              <w:top w:val="nil"/>
              <w:left w:val="nil"/>
              <w:bottom w:val="nil"/>
              <w:right w:val="nil"/>
            </w:tcBorders>
            <w:shd w:val="clear" w:color="000000" w:fill="FFFFFF"/>
            <w:noWrap/>
            <w:vAlign w:val="center"/>
            <w:hideMark/>
          </w:tcPr>
          <w:p w14:paraId="56D02C40" w14:textId="614099D6"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176.7</w:t>
            </w:r>
          </w:p>
        </w:tc>
        <w:tc>
          <w:tcPr>
            <w:tcW w:w="559" w:type="pct"/>
            <w:tcBorders>
              <w:top w:val="nil"/>
              <w:left w:val="nil"/>
              <w:bottom w:val="nil"/>
              <w:right w:val="nil"/>
            </w:tcBorders>
            <w:shd w:val="clear" w:color="000000" w:fill="FFFFFF"/>
            <w:noWrap/>
            <w:vAlign w:val="center"/>
            <w:hideMark/>
          </w:tcPr>
          <w:p w14:paraId="0B3E77F5" w14:textId="0BEEAE0A"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3,136.5</w:t>
            </w:r>
          </w:p>
        </w:tc>
        <w:tc>
          <w:tcPr>
            <w:tcW w:w="497" w:type="pct"/>
            <w:tcBorders>
              <w:top w:val="nil"/>
              <w:left w:val="nil"/>
              <w:bottom w:val="nil"/>
              <w:right w:val="nil"/>
            </w:tcBorders>
            <w:shd w:val="clear" w:color="000000" w:fill="FFFFFF"/>
            <w:noWrap/>
            <w:vAlign w:val="center"/>
            <w:hideMark/>
          </w:tcPr>
          <w:p w14:paraId="768CAA46" w14:textId="593342EC"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24.1</w:t>
            </w:r>
          </w:p>
        </w:tc>
        <w:tc>
          <w:tcPr>
            <w:tcW w:w="393" w:type="pct"/>
            <w:tcBorders>
              <w:top w:val="nil"/>
              <w:left w:val="nil"/>
              <w:bottom w:val="nil"/>
              <w:right w:val="nil"/>
            </w:tcBorders>
            <w:shd w:val="clear" w:color="000000" w:fill="FFFFFF"/>
            <w:noWrap/>
            <w:vAlign w:val="center"/>
            <w:hideMark/>
          </w:tcPr>
          <w:p w14:paraId="0D6D2915" w14:textId="6454F439"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9,797.8</w:t>
            </w:r>
          </w:p>
        </w:tc>
        <w:tc>
          <w:tcPr>
            <w:tcW w:w="419" w:type="pct"/>
            <w:tcBorders>
              <w:top w:val="nil"/>
              <w:left w:val="nil"/>
              <w:bottom w:val="nil"/>
              <w:right w:val="nil"/>
            </w:tcBorders>
            <w:shd w:val="clear" w:color="000000" w:fill="FFFFFF"/>
            <w:noWrap/>
            <w:vAlign w:val="center"/>
            <w:hideMark/>
          </w:tcPr>
          <w:p w14:paraId="2FCDC29A" w14:textId="536815FB"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2,604.8</w:t>
            </w:r>
          </w:p>
        </w:tc>
        <w:tc>
          <w:tcPr>
            <w:tcW w:w="503" w:type="pct"/>
            <w:tcBorders>
              <w:top w:val="nil"/>
              <w:left w:val="nil"/>
              <w:bottom w:val="nil"/>
              <w:right w:val="nil"/>
            </w:tcBorders>
            <w:shd w:val="clear" w:color="000000" w:fill="FFFFFF"/>
            <w:noWrap/>
            <w:vAlign w:val="center"/>
            <w:hideMark/>
          </w:tcPr>
          <w:p w14:paraId="03AF5BBA"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15,997.4</w:t>
            </w:r>
          </w:p>
        </w:tc>
      </w:tr>
      <w:tr w:rsidR="00485CC9" w:rsidRPr="00485CC9" w14:paraId="37DF8ED8" w14:textId="77777777" w:rsidTr="00ED2BDA">
        <w:trPr>
          <w:trHeight w:val="229"/>
        </w:trPr>
        <w:tc>
          <w:tcPr>
            <w:tcW w:w="1149" w:type="pct"/>
            <w:tcBorders>
              <w:top w:val="nil"/>
              <w:left w:val="nil"/>
              <w:bottom w:val="nil"/>
              <w:right w:val="nil"/>
            </w:tcBorders>
            <w:shd w:val="clear" w:color="000000" w:fill="FFFFFF"/>
            <w:noWrap/>
            <w:vAlign w:val="center"/>
            <w:hideMark/>
          </w:tcPr>
          <w:p w14:paraId="3BDAD64B" w14:textId="6D38B70A" w:rsidR="00485CC9" w:rsidRPr="00485CC9" w:rsidRDefault="00485CC9" w:rsidP="00134265">
            <w:pPr>
              <w:spacing w:after="0" w:line="240" w:lineRule="auto"/>
              <w:jc w:val="left"/>
              <w:rPr>
                <w:rFonts w:ascii="Arial" w:hAnsi="Arial" w:cs="Arial"/>
                <w:sz w:val="16"/>
                <w:szCs w:val="16"/>
              </w:rPr>
            </w:pPr>
            <w:r w:rsidRPr="00485CC9">
              <w:rPr>
                <w:rFonts w:ascii="Arial" w:hAnsi="Arial" w:cs="Arial"/>
                <w:sz w:val="16"/>
                <w:szCs w:val="16"/>
              </w:rPr>
              <w:t>JAPAN</w:t>
            </w:r>
          </w:p>
        </w:tc>
        <w:tc>
          <w:tcPr>
            <w:tcW w:w="118" w:type="pct"/>
            <w:tcBorders>
              <w:top w:val="nil"/>
              <w:left w:val="nil"/>
              <w:bottom w:val="nil"/>
              <w:right w:val="nil"/>
            </w:tcBorders>
            <w:shd w:val="clear" w:color="000000" w:fill="FFFFFF"/>
            <w:noWrap/>
            <w:vAlign w:val="bottom"/>
          </w:tcPr>
          <w:p w14:paraId="555BD9E1" w14:textId="4FF0BD02"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3FC27663" w14:textId="60D06A6B"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125</w:t>
            </w:r>
          </w:p>
        </w:tc>
        <w:tc>
          <w:tcPr>
            <w:tcW w:w="463" w:type="pct"/>
            <w:tcBorders>
              <w:top w:val="nil"/>
              <w:left w:val="nil"/>
              <w:bottom w:val="nil"/>
              <w:right w:val="nil"/>
            </w:tcBorders>
            <w:shd w:val="clear" w:color="000000" w:fill="FFFFFF"/>
            <w:noWrap/>
            <w:vAlign w:val="center"/>
            <w:hideMark/>
          </w:tcPr>
          <w:p w14:paraId="22449227" w14:textId="0FE9A62A"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57.8</w:t>
            </w:r>
          </w:p>
        </w:tc>
        <w:tc>
          <w:tcPr>
            <w:tcW w:w="436" w:type="pct"/>
            <w:tcBorders>
              <w:top w:val="nil"/>
              <w:left w:val="nil"/>
              <w:bottom w:val="nil"/>
              <w:right w:val="nil"/>
            </w:tcBorders>
            <w:shd w:val="clear" w:color="000000" w:fill="FFFFFF"/>
            <w:noWrap/>
            <w:vAlign w:val="center"/>
            <w:hideMark/>
          </w:tcPr>
          <w:p w14:paraId="3BA7A202" w14:textId="74BF6411"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4,117.0</w:t>
            </w:r>
          </w:p>
        </w:tc>
        <w:tc>
          <w:tcPr>
            <w:tcW w:w="559" w:type="pct"/>
            <w:tcBorders>
              <w:top w:val="nil"/>
              <w:left w:val="nil"/>
              <w:bottom w:val="nil"/>
              <w:right w:val="nil"/>
            </w:tcBorders>
            <w:shd w:val="clear" w:color="000000" w:fill="FFFFFF"/>
            <w:noWrap/>
            <w:vAlign w:val="center"/>
            <w:hideMark/>
          </w:tcPr>
          <w:p w14:paraId="28FEF747" w14:textId="6CAC7221" w:rsidR="00485CC9" w:rsidRPr="00485CC9" w:rsidRDefault="00345B7F" w:rsidP="00B14FC9">
            <w:pPr>
              <w:spacing w:after="0" w:line="240" w:lineRule="auto"/>
              <w:jc w:val="right"/>
              <w:rPr>
                <w:rFonts w:ascii="Arial" w:hAnsi="Arial" w:cs="Arial"/>
                <w:sz w:val="16"/>
                <w:szCs w:val="16"/>
              </w:rPr>
            </w:pPr>
            <w:r>
              <w:rPr>
                <w:rFonts w:ascii="Arial" w:hAnsi="Arial" w:cs="Arial"/>
                <w:sz w:val="16"/>
                <w:szCs w:val="16"/>
              </w:rPr>
              <w:t>2,509.4</w:t>
            </w:r>
          </w:p>
        </w:tc>
        <w:tc>
          <w:tcPr>
            <w:tcW w:w="497" w:type="pct"/>
            <w:tcBorders>
              <w:top w:val="nil"/>
              <w:left w:val="nil"/>
              <w:bottom w:val="nil"/>
              <w:right w:val="nil"/>
            </w:tcBorders>
            <w:shd w:val="clear" w:color="000000" w:fill="FFFFFF"/>
            <w:noWrap/>
            <w:vAlign w:val="center"/>
            <w:hideMark/>
          </w:tcPr>
          <w:p w14:paraId="58611C62" w14:textId="2F4DC744" w:rsidR="00485CC9" w:rsidRPr="00485CC9" w:rsidRDefault="00345B7F" w:rsidP="00345B7F">
            <w:pPr>
              <w:spacing w:after="0" w:line="240" w:lineRule="auto"/>
              <w:jc w:val="right"/>
              <w:rPr>
                <w:rFonts w:ascii="Arial" w:hAnsi="Arial" w:cs="Arial"/>
                <w:sz w:val="16"/>
                <w:szCs w:val="16"/>
              </w:rPr>
            </w:pPr>
            <w:r>
              <w:rPr>
                <w:rFonts w:ascii="Arial" w:hAnsi="Arial" w:cs="Arial"/>
                <w:sz w:val="16"/>
                <w:szCs w:val="16"/>
              </w:rPr>
              <w:t>3,057.7</w:t>
            </w:r>
          </w:p>
        </w:tc>
        <w:tc>
          <w:tcPr>
            <w:tcW w:w="393" w:type="pct"/>
            <w:tcBorders>
              <w:top w:val="nil"/>
              <w:left w:val="nil"/>
              <w:bottom w:val="nil"/>
              <w:right w:val="nil"/>
            </w:tcBorders>
            <w:shd w:val="clear" w:color="000000" w:fill="FFFFFF"/>
            <w:noWrap/>
            <w:vAlign w:val="center"/>
            <w:hideMark/>
          </w:tcPr>
          <w:p w14:paraId="208AC148" w14:textId="717E1E3D"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3,809.7</w:t>
            </w:r>
          </w:p>
        </w:tc>
        <w:tc>
          <w:tcPr>
            <w:tcW w:w="419" w:type="pct"/>
            <w:tcBorders>
              <w:top w:val="nil"/>
              <w:left w:val="nil"/>
              <w:bottom w:val="nil"/>
              <w:right w:val="nil"/>
            </w:tcBorders>
            <w:shd w:val="clear" w:color="000000" w:fill="FFFFFF"/>
            <w:noWrap/>
            <w:vAlign w:val="center"/>
            <w:hideMark/>
          </w:tcPr>
          <w:p w14:paraId="0625AD4B" w14:textId="3088564C"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1,515.0</w:t>
            </w:r>
          </w:p>
        </w:tc>
        <w:tc>
          <w:tcPr>
            <w:tcW w:w="503" w:type="pct"/>
            <w:tcBorders>
              <w:top w:val="nil"/>
              <w:left w:val="nil"/>
              <w:bottom w:val="nil"/>
              <w:right w:val="nil"/>
            </w:tcBorders>
            <w:shd w:val="clear" w:color="000000" w:fill="FFFFFF"/>
            <w:noWrap/>
            <w:vAlign w:val="center"/>
            <w:hideMark/>
          </w:tcPr>
          <w:p w14:paraId="6E75CA52"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15,066.7</w:t>
            </w:r>
          </w:p>
        </w:tc>
      </w:tr>
      <w:tr w:rsidR="00485CC9" w:rsidRPr="00485CC9" w14:paraId="768DCDA3" w14:textId="77777777" w:rsidTr="00ED2BDA">
        <w:trPr>
          <w:trHeight w:val="229"/>
        </w:trPr>
        <w:tc>
          <w:tcPr>
            <w:tcW w:w="1149" w:type="pct"/>
            <w:tcBorders>
              <w:top w:val="nil"/>
              <w:left w:val="nil"/>
              <w:bottom w:val="nil"/>
              <w:right w:val="nil"/>
            </w:tcBorders>
            <w:shd w:val="clear" w:color="000000" w:fill="FFFFFF"/>
            <w:noWrap/>
            <w:vAlign w:val="center"/>
            <w:hideMark/>
          </w:tcPr>
          <w:p w14:paraId="1677D368" w14:textId="3190D0B4"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CHINA</w:t>
            </w:r>
            <w:r w:rsidR="00FF5C5E">
              <w:rPr>
                <w:rFonts w:ascii="Arial" w:hAnsi="Arial" w:cs="Arial"/>
                <w:sz w:val="16"/>
                <w:szCs w:val="16"/>
              </w:rPr>
              <w:t xml:space="preserve"> (b)</w:t>
            </w:r>
          </w:p>
        </w:tc>
        <w:tc>
          <w:tcPr>
            <w:tcW w:w="118" w:type="pct"/>
            <w:tcBorders>
              <w:top w:val="nil"/>
              <w:left w:val="nil"/>
              <w:bottom w:val="nil"/>
              <w:right w:val="nil"/>
            </w:tcBorders>
            <w:shd w:val="clear" w:color="000000" w:fill="FFFFFF"/>
            <w:noWrap/>
            <w:vAlign w:val="bottom"/>
          </w:tcPr>
          <w:p w14:paraId="0DF5F595" w14:textId="618FC73F"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2FDAFC78" w14:textId="7A5EF6CC"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4,901</w:t>
            </w:r>
          </w:p>
        </w:tc>
        <w:tc>
          <w:tcPr>
            <w:tcW w:w="463" w:type="pct"/>
            <w:tcBorders>
              <w:top w:val="nil"/>
              <w:left w:val="nil"/>
              <w:bottom w:val="nil"/>
              <w:right w:val="nil"/>
            </w:tcBorders>
            <w:shd w:val="clear" w:color="000000" w:fill="FFFFFF"/>
            <w:noWrap/>
            <w:vAlign w:val="center"/>
            <w:hideMark/>
          </w:tcPr>
          <w:p w14:paraId="7F1448ED" w14:textId="5AAC9DCF"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251.9</w:t>
            </w:r>
          </w:p>
        </w:tc>
        <w:tc>
          <w:tcPr>
            <w:tcW w:w="436" w:type="pct"/>
            <w:tcBorders>
              <w:top w:val="nil"/>
              <w:left w:val="nil"/>
              <w:bottom w:val="nil"/>
              <w:right w:val="nil"/>
            </w:tcBorders>
            <w:shd w:val="clear" w:color="000000" w:fill="FFFFFF"/>
            <w:noWrap/>
            <w:vAlign w:val="center"/>
            <w:hideMark/>
          </w:tcPr>
          <w:p w14:paraId="483EBB49" w14:textId="69321115"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84.8</w:t>
            </w:r>
          </w:p>
        </w:tc>
        <w:tc>
          <w:tcPr>
            <w:tcW w:w="559" w:type="pct"/>
            <w:tcBorders>
              <w:top w:val="nil"/>
              <w:left w:val="nil"/>
              <w:bottom w:val="nil"/>
              <w:right w:val="nil"/>
            </w:tcBorders>
            <w:shd w:val="clear" w:color="000000" w:fill="FFFFFF"/>
            <w:noWrap/>
            <w:vAlign w:val="center"/>
            <w:hideMark/>
          </w:tcPr>
          <w:p w14:paraId="29A3BDDB" w14:textId="698E4677"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502.4</w:t>
            </w:r>
          </w:p>
        </w:tc>
        <w:tc>
          <w:tcPr>
            <w:tcW w:w="497" w:type="pct"/>
            <w:tcBorders>
              <w:top w:val="nil"/>
              <w:left w:val="nil"/>
              <w:bottom w:val="nil"/>
              <w:right w:val="nil"/>
            </w:tcBorders>
            <w:shd w:val="clear" w:color="000000" w:fill="FFFFFF"/>
            <w:noWrap/>
            <w:vAlign w:val="center"/>
            <w:hideMark/>
          </w:tcPr>
          <w:p w14:paraId="09B74856" w14:textId="3FAEA84F"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2,679.7</w:t>
            </w:r>
          </w:p>
        </w:tc>
        <w:tc>
          <w:tcPr>
            <w:tcW w:w="393" w:type="pct"/>
            <w:tcBorders>
              <w:top w:val="nil"/>
              <w:left w:val="nil"/>
              <w:bottom w:val="nil"/>
              <w:right w:val="nil"/>
            </w:tcBorders>
            <w:shd w:val="clear" w:color="000000" w:fill="FFFFFF"/>
            <w:noWrap/>
            <w:vAlign w:val="center"/>
            <w:hideMark/>
          </w:tcPr>
          <w:p w14:paraId="575ED38C" w14:textId="70246F2B"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6,071.0</w:t>
            </w:r>
          </w:p>
        </w:tc>
        <w:tc>
          <w:tcPr>
            <w:tcW w:w="419" w:type="pct"/>
            <w:tcBorders>
              <w:top w:val="nil"/>
              <w:left w:val="nil"/>
              <w:bottom w:val="nil"/>
              <w:right w:val="nil"/>
            </w:tcBorders>
            <w:shd w:val="clear" w:color="000000" w:fill="FFFFFF"/>
            <w:noWrap/>
            <w:vAlign w:val="center"/>
            <w:hideMark/>
          </w:tcPr>
          <w:p w14:paraId="6BE68690" w14:textId="6AAD645D"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3,549.0</w:t>
            </w:r>
          </w:p>
        </w:tc>
        <w:tc>
          <w:tcPr>
            <w:tcW w:w="503" w:type="pct"/>
            <w:tcBorders>
              <w:top w:val="nil"/>
              <w:left w:val="nil"/>
              <w:bottom w:val="nil"/>
              <w:right w:val="nil"/>
            </w:tcBorders>
            <w:shd w:val="clear" w:color="000000" w:fill="FFFFFF"/>
            <w:noWrap/>
            <w:vAlign w:val="center"/>
            <w:hideMark/>
          </w:tcPr>
          <w:p w14:paraId="05C520F3"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13,138.7</w:t>
            </w:r>
          </w:p>
        </w:tc>
      </w:tr>
      <w:tr w:rsidR="00485CC9" w:rsidRPr="00485CC9" w14:paraId="50967388" w14:textId="77777777" w:rsidTr="00ED2BDA">
        <w:trPr>
          <w:trHeight w:val="229"/>
        </w:trPr>
        <w:tc>
          <w:tcPr>
            <w:tcW w:w="1149" w:type="pct"/>
            <w:tcBorders>
              <w:top w:val="nil"/>
              <w:left w:val="nil"/>
              <w:bottom w:val="nil"/>
              <w:right w:val="nil"/>
            </w:tcBorders>
            <w:shd w:val="clear" w:color="000000" w:fill="FFFFFF"/>
            <w:noWrap/>
            <w:vAlign w:val="center"/>
            <w:hideMark/>
          </w:tcPr>
          <w:p w14:paraId="3916CB5E" w14:textId="31B6273E"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HONG KONG</w:t>
            </w:r>
          </w:p>
        </w:tc>
        <w:tc>
          <w:tcPr>
            <w:tcW w:w="118" w:type="pct"/>
            <w:tcBorders>
              <w:top w:val="nil"/>
              <w:left w:val="nil"/>
              <w:bottom w:val="nil"/>
              <w:right w:val="nil"/>
            </w:tcBorders>
            <w:shd w:val="clear" w:color="000000" w:fill="FFFFFF"/>
            <w:noWrap/>
            <w:vAlign w:val="bottom"/>
          </w:tcPr>
          <w:p w14:paraId="3A84B761" w14:textId="63DBADB3"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107BE31A" w14:textId="28B4E727"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531</w:t>
            </w:r>
          </w:p>
        </w:tc>
        <w:tc>
          <w:tcPr>
            <w:tcW w:w="463" w:type="pct"/>
            <w:tcBorders>
              <w:top w:val="nil"/>
              <w:left w:val="nil"/>
              <w:bottom w:val="nil"/>
              <w:right w:val="nil"/>
            </w:tcBorders>
            <w:shd w:val="clear" w:color="000000" w:fill="FFFFFF"/>
            <w:noWrap/>
            <w:vAlign w:val="center"/>
            <w:hideMark/>
          </w:tcPr>
          <w:p w14:paraId="7BC40E45" w14:textId="00C24445"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684.1</w:t>
            </w:r>
          </w:p>
        </w:tc>
        <w:tc>
          <w:tcPr>
            <w:tcW w:w="436" w:type="pct"/>
            <w:tcBorders>
              <w:top w:val="nil"/>
              <w:left w:val="nil"/>
              <w:bottom w:val="nil"/>
              <w:right w:val="nil"/>
            </w:tcBorders>
            <w:shd w:val="clear" w:color="000000" w:fill="FFFFFF"/>
            <w:noWrap/>
            <w:vAlign w:val="center"/>
            <w:hideMark/>
          </w:tcPr>
          <w:p w14:paraId="2B646541" w14:textId="7DA50FA0"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34.0</w:t>
            </w:r>
          </w:p>
        </w:tc>
        <w:tc>
          <w:tcPr>
            <w:tcW w:w="559" w:type="pct"/>
            <w:tcBorders>
              <w:top w:val="nil"/>
              <w:left w:val="nil"/>
              <w:bottom w:val="nil"/>
              <w:right w:val="nil"/>
            </w:tcBorders>
            <w:shd w:val="clear" w:color="000000" w:fill="FFFFFF"/>
            <w:noWrap/>
            <w:vAlign w:val="center"/>
            <w:hideMark/>
          </w:tcPr>
          <w:p w14:paraId="458D2F93" w14:textId="7020E24A"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108.9</w:t>
            </w:r>
          </w:p>
        </w:tc>
        <w:tc>
          <w:tcPr>
            <w:tcW w:w="497" w:type="pct"/>
            <w:tcBorders>
              <w:top w:val="nil"/>
              <w:left w:val="nil"/>
              <w:bottom w:val="nil"/>
              <w:right w:val="nil"/>
            </w:tcBorders>
            <w:shd w:val="clear" w:color="000000" w:fill="FFFFFF"/>
            <w:noWrap/>
            <w:vAlign w:val="center"/>
            <w:hideMark/>
          </w:tcPr>
          <w:p w14:paraId="546706BF" w14:textId="32768851"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757.1</w:t>
            </w:r>
          </w:p>
        </w:tc>
        <w:tc>
          <w:tcPr>
            <w:tcW w:w="393" w:type="pct"/>
            <w:tcBorders>
              <w:top w:val="nil"/>
              <w:left w:val="nil"/>
              <w:bottom w:val="nil"/>
              <w:right w:val="nil"/>
            </w:tcBorders>
            <w:shd w:val="clear" w:color="000000" w:fill="FFFFFF"/>
            <w:noWrap/>
            <w:vAlign w:val="center"/>
            <w:hideMark/>
          </w:tcPr>
          <w:p w14:paraId="0F7AC041" w14:textId="0812CDF2"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9,328.0</w:t>
            </w:r>
          </w:p>
        </w:tc>
        <w:tc>
          <w:tcPr>
            <w:tcW w:w="419" w:type="pct"/>
            <w:tcBorders>
              <w:top w:val="nil"/>
              <w:left w:val="nil"/>
              <w:bottom w:val="nil"/>
              <w:right w:val="nil"/>
            </w:tcBorders>
            <w:shd w:val="clear" w:color="000000" w:fill="FFFFFF"/>
            <w:noWrap/>
            <w:vAlign w:val="center"/>
            <w:hideMark/>
          </w:tcPr>
          <w:p w14:paraId="732E428B" w14:textId="7CF66EC2"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119.5</w:t>
            </w:r>
          </w:p>
        </w:tc>
        <w:tc>
          <w:tcPr>
            <w:tcW w:w="503" w:type="pct"/>
            <w:tcBorders>
              <w:top w:val="nil"/>
              <w:left w:val="nil"/>
              <w:bottom w:val="nil"/>
              <w:right w:val="nil"/>
            </w:tcBorders>
            <w:shd w:val="clear" w:color="000000" w:fill="FFFFFF"/>
            <w:noWrap/>
            <w:vAlign w:val="center"/>
            <w:hideMark/>
          </w:tcPr>
          <w:p w14:paraId="50BBD2E5"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11,031.4</w:t>
            </w:r>
          </w:p>
        </w:tc>
      </w:tr>
      <w:tr w:rsidR="00485CC9" w:rsidRPr="00485CC9" w14:paraId="36D97B2A" w14:textId="77777777" w:rsidTr="00ED2BDA">
        <w:trPr>
          <w:trHeight w:val="229"/>
        </w:trPr>
        <w:tc>
          <w:tcPr>
            <w:tcW w:w="1149" w:type="pct"/>
            <w:tcBorders>
              <w:top w:val="nil"/>
              <w:left w:val="nil"/>
              <w:bottom w:val="nil"/>
              <w:right w:val="nil"/>
            </w:tcBorders>
            <w:shd w:val="clear" w:color="000000" w:fill="FFFFFF"/>
            <w:noWrap/>
            <w:vAlign w:val="center"/>
            <w:hideMark/>
          </w:tcPr>
          <w:p w14:paraId="36DB082A" w14:textId="5A940F75"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UNITED KINGDOM</w:t>
            </w:r>
          </w:p>
        </w:tc>
        <w:tc>
          <w:tcPr>
            <w:tcW w:w="118" w:type="pct"/>
            <w:tcBorders>
              <w:top w:val="nil"/>
              <w:left w:val="nil"/>
              <w:bottom w:val="nil"/>
              <w:right w:val="nil"/>
            </w:tcBorders>
            <w:shd w:val="clear" w:color="000000" w:fill="FFFFFF"/>
            <w:noWrap/>
            <w:vAlign w:val="bottom"/>
          </w:tcPr>
          <w:p w14:paraId="0BD51258" w14:textId="7DA3A8DB"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082D80B4" w14:textId="79A4DEAD"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377</w:t>
            </w:r>
          </w:p>
        </w:tc>
        <w:tc>
          <w:tcPr>
            <w:tcW w:w="463" w:type="pct"/>
            <w:tcBorders>
              <w:top w:val="nil"/>
              <w:left w:val="nil"/>
              <w:bottom w:val="nil"/>
              <w:right w:val="nil"/>
            </w:tcBorders>
            <w:shd w:val="clear" w:color="000000" w:fill="FFFFFF"/>
            <w:noWrap/>
            <w:vAlign w:val="center"/>
            <w:hideMark/>
          </w:tcPr>
          <w:p w14:paraId="54AF3ED9" w14:textId="2D3D0135"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143.2</w:t>
            </w:r>
          </w:p>
        </w:tc>
        <w:tc>
          <w:tcPr>
            <w:tcW w:w="436" w:type="pct"/>
            <w:tcBorders>
              <w:top w:val="nil"/>
              <w:left w:val="nil"/>
              <w:bottom w:val="nil"/>
              <w:right w:val="nil"/>
            </w:tcBorders>
            <w:shd w:val="clear" w:color="000000" w:fill="FFFFFF"/>
            <w:noWrap/>
            <w:vAlign w:val="center"/>
            <w:hideMark/>
          </w:tcPr>
          <w:p w14:paraId="620AF348" w14:textId="15CB6AF4"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94.7</w:t>
            </w:r>
          </w:p>
        </w:tc>
        <w:tc>
          <w:tcPr>
            <w:tcW w:w="559" w:type="pct"/>
            <w:tcBorders>
              <w:top w:val="nil"/>
              <w:left w:val="nil"/>
              <w:bottom w:val="nil"/>
              <w:right w:val="nil"/>
            </w:tcBorders>
            <w:shd w:val="clear" w:color="000000" w:fill="FFFFFF"/>
            <w:noWrap/>
            <w:vAlign w:val="center"/>
            <w:hideMark/>
          </w:tcPr>
          <w:p w14:paraId="5923F2F0" w14:textId="2D0CC2B9"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1,503.1</w:t>
            </w:r>
          </w:p>
        </w:tc>
        <w:tc>
          <w:tcPr>
            <w:tcW w:w="497" w:type="pct"/>
            <w:tcBorders>
              <w:top w:val="nil"/>
              <w:left w:val="nil"/>
              <w:bottom w:val="nil"/>
              <w:right w:val="nil"/>
            </w:tcBorders>
            <w:shd w:val="clear" w:color="000000" w:fill="FFFFFF"/>
            <w:noWrap/>
            <w:vAlign w:val="center"/>
            <w:hideMark/>
          </w:tcPr>
          <w:p w14:paraId="532BBC99" w14:textId="42FDA2F8"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916.9</w:t>
            </w:r>
          </w:p>
        </w:tc>
        <w:tc>
          <w:tcPr>
            <w:tcW w:w="393" w:type="pct"/>
            <w:tcBorders>
              <w:top w:val="nil"/>
              <w:left w:val="nil"/>
              <w:bottom w:val="nil"/>
              <w:right w:val="nil"/>
            </w:tcBorders>
            <w:shd w:val="clear" w:color="000000" w:fill="FFFFFF"/>
            <w:noWrap/>
            <w:vAlign w:val="center"/>
            <w:hideMark/>
          </w:tcPr>
          <w:p w14:paraId="4FEF2A80" w14:textId="2195B540"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1,579.5</w:t>
            </w:r>
          </w:p>
        </w:tc>
        <w:tc>
          <w:tcPr>
            <w:tcW w:w="419" w:type="pct"/>
            <w:tcBorders>
              <w:top w:val="nil"/>
              <w:left w:val="nil"/>
              <w:bottom w:val="nil"/>
              <w:right w:val="nil"/>
            </w:tcBorders>
            <w:shd w:val="clear" w:color="000000" w:fill="FFFFFF"/>
            <w:noWrap/>
            <w:vAlign w:val="center"/>
            <w:hideMark/>
          </w:tcPr>
          <w:p w14:paraId="253E4013" w14:textId="6482D038"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1,884.7</w:t>
            </w:r>
          </w:p>
        </w:tc>
        <w:tc>
          <w:tcPr>
            <w:tcW w:w="503" w:type="pct"/>
            <w:tcBorders>
              <w:top w:val="nil"/>
              <w:left w:val="nil"/>
              <w:bottom w:val="nil"/>
              <w:right w:val="nil"/>
            </w:tcBorders>
            <w:shd w:val="clear" w:color="000000" w:fill="FFFFFF"/>
            <w:noWrap/>
            <w:vAlign w:val="center"/>
            <w:hideMark/>
          </w:tcPr>
          <w:p w14:paraId="602CEEFE"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6,122.0</w:t>
            </w:r>
          </w:p>
        </w:tc>
      </w:tr>
      <w:tr w:rsidR="00485CC9" w:rsidRPr="00485CC9" w14:paraId="15B4C906" w14:textId="77777777" w:rsidTr="00ED2BDA">
        <w:trPr>
          <w:trHeight w:val="229"/>
        </w:trPr>
        <w:tc>
          <w:tcPr>
            <w:tcW w:w="1149" w:type="pct"/>
            <w:tcBorders>
              <w:top w:val="nil"/>
              <w:left w:val="nil"/>
              <w:bottom w:val="nil"/>
              <w:right w:val="nil"/>
            </w:tcBorders>
            <w:shd w:val="clear" w:color="000000" w:fill="FFFFFF"/>
            <w:noWrap/>
            <w:vAlign w:val="center"/>
            <w:hideMark/>
          </w:tcPr>
          <w:p w14:paraId="5056BB85" w14:textId="3E7F65F7"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NEW ZEALAND</w:t>
            </w:r>
          </w:p>
        </w:tc>
        <w:tc>
          <w:tcPr>
            <w:tcW w:w="118" w:type="pct"/>
            <w:tcBorders>
              <w:top w:val="nil"/>
              <w:left w:val="nil"/>
              <w:bottom w:val="nil"/>
              <w:right w:val="nil"/>
            </w:tcBorders>
            <w:shd w:val="clear" w:color="000000" w:fill="FFFFFF"/>
            <w:noWrap/>
            <w:vAlign w:val="bottom"/>
          </w:tcPr>
          <w:p w14:paraId="2A64BF2D" w14:textId="0A91CAEE"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7606DD5D" w14:textId="555134A6"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50</w:t>
            </w:r>
          </w:p>
        </w:tc>
        <w:tc>
          <w:tcPr>
            <w:tcW w:w="463" w:type="pct"/>
            <w:tcBorders>
              <w:top w:val="nil"/>
              <w:left w:val="nil"/>
              <w:bottom w:val="nil"/>
              <w:right w:val="nil"/>
            </w:tcBorders>
            <w:shd w:val="clear" w:color="000000" w:fill="FFFFFF"/>
            <w:noWrap/>
            <w:vAlign w:val="center"/>
            <w:hideMark/>
          </w:tcPr>
          <w:p w14:paraId="00672596" w14:textId="0B5F4541"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243.6</w:t>
            </w:r>
          </w:p>
        </w:tc>
        <w:tc>
          <w:tcPr>
            <w:tcW w:w="436" w:type="pct"/>
            <w:tcBorders>
              <w:top w:val="nil"/>
              <w:left w:val="nil"/>
              <w:bottom w:val="nil"/>
              <w:right w:val="nil"/>
            </w:tcBorders>
            <w:shd w:val="clear" w:color="000000" w:fill="FFFFFF"/>
            <w:noWrap/>
            <w:vAlign w:val="center"/>
            <w:hideMark/>
          </w:tcPr>
          <w:p w14:paraId="10199515" w14:textId="17D52588"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w:t>
            </w:r>
          </w:p>
        </w:tc>
        <w:tc>
          <w:tcPr>
            <w:tcW w:w="559" w:type="pct"/>
            <w:tcBorders>
              <w:top w:val="nil"/>
              <w:left w:val="nil"/>
              <w:bottom w:val="nil"/>
              <w:right w:val="nil"/>
            </w:tcBorders>
            <w:shd w:val="clear" w:color="000000" w:fill="FFFFFF"/>
            <w:noWrap/>
            <w:vAlign w:val="center"/>
            <w:hideMark/>
          </w:tcPr>
          <w:p w14:paraId="4078F2D7" w14:textId="2AD2CECF"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593.1</w:t>
            </w:r>
          </w:p>
        </w:tc>
        <w:tc>
          <w:tcPr>
            <w:tcW w:w="497" w:type="pct"/>
            <w:tcBorders>
              <w:top w:val="nil"/>
              <w:left w:val="nil"/>
              <w:bottom w:val="nil"/>
              <w:right w:val="nil"/>
            </w:tcBorders>
            <w:shd w:val="clear" w:color="000000" w:fill="FFFFFF"/>
            <w:noWrap/>
            <w:vAlign w:val="center"/>
            <w:hideMark/>
          </w:tcPr>
          <w:p w14:paraId="7B08EA64" w14:textId="62D1188A"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w:t>
            </w:r>
          </w:p>
        </w:tc>
        <w:tc>
          <w:tcPr>
            <w:tcW w:w="393" w:type="pct"/>
            <w:tcBorders>
              <w:top w:val="nil"/>
              <w:left w:val="nil"/>
              <w:bottom w:val="nil"/>
              <w:right w:val="nil"/>
            </w:tcBorders>
            <w:shd w:val="clear" w:color="000000" w:fill="FFFFFF"/>
            <w:noWrap/>
            <w:vAlign w:val="center"/>
            <w:hideMark/>
          </w:tcPr>
          <w:p w14:paraId="2014EAE7" w14:textId="7609CBAA"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4,710.1</w:t>
            </w:r>
          </w:p>
        </w:tc>
        <w:tc>
          <w:tcPr>
            <w:tcW w:w="419" w:type="pct"/>
            <w:tcBorders>
              <w:top w:val="nil"/>
              <w:left w:val="nil"/>
              <w:bottom w:val="nil"/>
              <w:right w:val="nil"/>
            </w:tcBorders>
            <w:shd w:val="clear" w:color="000000" w:fill="FFFFFF"/>
            <w:noWrap/>
            <w:vAlign w:val="center"/>
            <w:hideMark/>
          </w:tcPr>
          <w:p w14:paraId="5D845B09" w14:textId="59F9612D"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525.3</w:t>
            </w:r>
          </w:p>
        </w:tc>
        <w:tc>
          <w:tcPr>
            <w:tcW w:w="503" w:type="pct"/>
            <w:tcBorders>
              <w:top w:val="nil"/>
              <w:left w:val="nil"/>
              <w:bottom w:val="nil"/>
              <w:right w:val="nil"/>
            </w:tcBorders>
            <w:shd w:val="clear" w:color="000000" w:fill="FFFFFF"/>
            <w:noWrap/>
            <w:vAlign w:val="center"/>
            <w:hideMark/>
          </w:tcPr>
          <w:p w14:paraId="39A54E2C"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6,072.2</w:t>
            </w:r>
          </w:p>
        </w:tc>
      </w:tr>
      <w:tr w:rsidR="00485CC9" w:rsidRPr="00485CC9" w14:paraId="118242ED" w14:textId="77777777" w:rsidTr="00ED2BDA">
        <w:trPr>
          <w:trHeight w:val="229"/>
        </w:trPr>
        <w:tc>
          <w:tcPr>
            <w:tcW w:w="1149" w:type="pct"/>
            <w:tcBorders>
              <w:top w:val="nil"/>
              <w:left w:val="nil"/>
              <w:bottom w:val="nil"/>
              <w:right w:val="nil"/>
            </w:tcBorders>
            <w:shd w:val="clear" w:color="000000" w:fill="FFFFFF"/>
            <w:noWrap/>
            <w:vAlign w:val="center"/>
            <w:hideMark/>
          </w:tcPr>
          <w:p w14:paraId="5390B941" w14:textId="13C2A386" w:rsidR="00485CC9" w:rsidRPr="00485CC9" w:rsidRDefault="00485CC9" w:rsidP="00134265">
            <w:pPr>
              <w:spacing w:after="0" w:line="240" w:lineRule="auto"/>
              <w:jc w:val="left"/>
              <w:rPr>
                <w:rFonts w:ascii="Arial" w:hAnsi="Arial" w:cs="Arial"/>
                <w:sz w:val="16"/>
                <w:szCs w:val="16"/>
              </w:rPr>
            </w:pPr>
            <w:r w:rsidRPr="00485CC9">
              <w:rPr>
                <w:rFonts w:ascii="Arial" w:hAnsi="Arial" w:cs="Arial"/>
                <w:sz w:val="16"/>
                <w:szCs w:val="16"/>
              </w:rPr>
              <w:t>SWITZERLAND</w:t>
            </w:r>
          </w:p>
        </w:tc>
        <w:tc>
          <w:tcPr>
            <w:tcW w:w="118" w:type="pct"/>
            <w:tcBorders>
              <w:top w:val="nil"/>
              <w:left w:val="nil"/>
              <w:bottom w:val="nil"/>
              <w:right w:val="nil"/>
            </w:tcBorders>
            <w:shd w:val="clear" w:color="000000" w:fill="FFFFFF"/>
            <w:noWrap/>
            <w:vAlign w:val="bottom"/>
          </w:tcPr>
          <w:p w14:paraId="721FD6CA" w14:textId="1622B932"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4A7FFDF7" w14:textId="01B555A3"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51</w:t>
            </w:r>
          </w:p>
        </w:tc>
        <w:tc>
          <w:tcPr>
            <w:tcW w:w="463" w:type="pct"/>
            <w:tcBorders>
              <w:top w:val="nil"/>
              <w:left w:val="nil"/>
              <w:bottom w:val="nil"/>
              <w:right w:val="nil"/>
            </w:tcBorders>
            <w:shd w:val="clear" w:color="000000" w:fill="FFFFFF"/>
            <w:noWrap/>
            <w:vAlign w:val="center"/>
            <w:hideMark/>
          </w:tcPr>
          <w:p w14:paraId="2B3ECCDD" w14:textId="13A933A8"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69.9</w:t>
            </w:r>
          </w:p>
        </w:tc>
        <w:tc>
          <w:tcPr>
            <w:tcW w:w="436" w:type="pct"/>
            <w:tcBorders>
              <w:top w:val="nil"/>
              <w:left w:val="nil"/>
              <w:bottom w:val="nil"/>
              <w:right w:val="nil"/>
            </w:tcBorders>
            <w:shd w:val="clear" w:color="000000" w:fill="FFFFFF"/>
            <w:noWrap/>
            <w:vAlign w:val="center"/>
            <w:hideMark/>
          </w:tcPr>
          <w:p w14:paraId="234615D9" w14:textId="44BE2D7C"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337.0</w:t>
            </w:r>
          </w:p>
        </w:tc>
        <w:tc>
          <w:tcPr>
            <w:tcW w:w="559" w:type="pct"/>
            <w:tcBorders>
              <w:top w:val="nil"/>
              <w:left w:val="nil"/>
              <w:bottom w:val="nil"/>
              <w:right w:val="nil"/>
            </w:tcBorders>
            <w:shd w:val="clear" w:color="000000" w:fill="FFFFFF"/>
            <w:noWrap/>
            <w:vAlign w:val="center"/>
            <w:hideMark/>
          </w:tcPr>
          <w:p w14:paraId="52C0FE52" w14:textId="1D315F42"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2,164.2</w:t>
            </w:r>
          </w:p>
        </w:tc>
        <w:tc>
          <w:tcPr>
            <w:tcW w:w="497" w:type="pct"/>
            <w:tcBorders>
              <w:top w:val="nil"/>
              <w:left w:val="nil"/>
              <w:bottom w:val="nil"/>
              <w:right w:val="nil"/>
            </w:tcBorders>
            <w:shd w:val="clear" w:color="000000" w:fill="FFFFFF"/>
            <w:noWrap/>
            <w:vAlign w:val="center"/>
            <w:hideMark/>
          </w:tcPr>
          <w:p w14:paraId="50E97D7C" w14:textId="1C309119"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847.4</w:t>
            </w:r>
          </w:p>
        </w:tc>
        <w:tc>
          <w:tcPr>
            <w:tcW w:w="393" w:type="pct"/>
            <w:tcBorders>
              <w:top w:val="nil"/>
              <w:left w:val="nil"/>
              <w:bottom w:val="nil"/>
              <w:right w:val="nil"/>
            </w:tcBorders>
            <w:shd w:val="clear" w:color="000000" w:fill="FFFFFF"/>
            <w:noWrap/>
            <w:vAlign w:val="center"/>
            <w:hideMark/>
          </w:tcPr>
          <w:p w14:paraId="287FD4E4" w14:textId="1D8F00D4"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678.7</w:t>
            </w:r>
          </w:p>
        </w:tc>
        <w:tc>
          <w:tcPr>
            <w:tcW w:w="419" w:type="pct"/>
            <w:tcBorders>
              <w:top w:val="nil"/>
              <w:left w:val="nil"/>
              <w:bottom w:val="nil"/>
              <w:right w:val="nil"/>
            </w:tcBorders>
            <w:shd w:val="clear" w:color="000000" w:fill="FFFFFF"/>
            <w:noWrap/>
            <w:vAlign w:val="center"/>
            <w:hideMark/>
          </w:tcPr>
          <w:p w14:paraId="4B16F64F" w14:textId="5F2F50AD"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1,053.7</w:t>
            </w:r>
          </w:p>
        </w:tc>
        <w:tc>
          <w:tcPr>
            <w:tcW w:w="503" w:type="pct"/>
            <w:tcBorders>
              <w:top w:val="nil"/>
              <w:left w:val="nil"/>
              <w:bottom w:val="nil"/>
              <w:right w:val="nil"/>
            </w:tcBorders>
            <w:shd w:val="clear" w:color="000000" w:fill="FFFFFF"/>
            <w:noWrap/>
            <w:vAlign w:val="center"/>
            <w:hideMark/>
          </w:tcPr>
          <w:p w14:paraId="4AF4197A"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5,150.9</w:t>
            </w:r>
          </w:p>
        </w:tc>
      </w:tr>
      <w:tr w:rsidR="00485CC9" w:rsidRPr="00485CC9" w14:paraId="318AF585" w14:textId="77777777" w:rsidTr="00ED2BDA">
        <w:trPr>
          <w:trHeight w:val="229"/>
        </w:trPr>
        <w:tc>
          <w:tcPr>
            <w:tcW w:w="1149" w:type="pct"/>
            <w:tcBorders>
              <w:top w:val="nil"/>
              <w:left w:val="nil"/>
              <w:bottom w:val="nil"/>
              <w:right w:val="nil"/>
            </w:tcBorders>
            <w:shd w:val="clear" w:color="000000" w:fill="FFFFFF"/>
            <w:noWrap/>
            <w:vAlign w:val="center"/>
            <w:hideMark/>
          </w:tcPr>
          <w:p w14:paraId="4D4E3D43" w14:textId="1FBB213E"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FRANCE</w:t>
            </w:r>
          </w:p>
        </w:tc>
        <w:tc>
          <w:tcPr>
            <w:tcW w:w="118" w:type="pct"/>
            <w:tcBorders>
              <w:top w:val="nil"/>
              <w:left w:val="nil"/>
              <w:bottom w:val="nil"/>
              <w:right w:val="nil"/>
            </w:tcBorders>
            <w:shd w:val="clear" w:color="000000" w:fill="FFFFFF"/>
            <w:noWrap/>
            <w:vAlign w:val="bottom"/>
          </w:tcPr>
          <w:p w14:paraId="4D9111E6" w14:textId="4D277780"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5168873C" w14:textId="169706ED"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101</w:t>
            </w:r>
          </w:p>
        </w:tc>
        <w:tc>
          <w:tcPr>
            <w:tcW w:w="463" w:type="pct"/>
            <w:tcBorders>
              <w:top w:val="nil"/>
              <w:left w:val="nil"/>
              <w:bottom w:val="nil"/>
              <w:right w:val="nil"/>
            </w:tcBorders>
            <w:shd w:val="clear" w:color="000000" w:fill="FFFFFF"/>
            <w:noWrap/>
            <w:vAlign w:val="center"/>
            <w:hideMark/>
          </w:tcPr>
          <w:p w14:paraId="3218EB1B" w14:textId="40355529"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28.8</w:t>
            </w:r>
          </w:p>
        </w:tc>
        <w:tc>
          <w:tcPr>
            <w:tcW w:w="436" w:type="pct"/>
            <w:tcBorders>
              <w:top w:val="nil"/>
              <w:left w:val="nil"/>
              <w:bottom w:val="nil"/>
              <w:right w:val="nil"/>
            </w:tcBorders>
            <w:shd w:val="clear" w:color="000000" w:fill="FFFFFF"/>
            <w:noWrap/>
            <w:vAlign w:val="center"/>
            <w:hideMark/>
          </w:tcPr>
          <w:p w14:paraId="01002A47" w14:textId="222B93B1"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0.4</w:t>
            </w:r>
          </w:p>
        </w:tc>
        <w:tc>
          <w:tcPr>
            <w:tcW w:w="559" w:type="pct"/>
            <w:tcBorders>
              <w:top w:val="nil"/>
              <w:left w:val="nil"/>
              <w:bottom w:val="nil"/>
              <w:right w:val="nil"/>
            </w:tcBorders>
            <w:shd w:val="clear" w:color="000000" w:fill="FFFFFF"/>
            <w:noWrap/>
            <w:vAlign w:val="center"/>
            <w:hideMark/>
          </w:tcPr>
          <w:p w14:paraId="7E62937F" w14:textId="2200ABD0" w:rsidR="00485CC9" w:rsidRPr="00485CC9" w:rsidRDefault="00485CC9" w:rsidP="00B14FC9">
            <w:pPr>
              <w:spacing w:after="0" w:line="240" w:lineRule="auto"/>
              <w:jc w:val="right"/>
              <w:rPr>
                <w:rFonts w:ascii="Arial" w:hAnsi="Arial" w:cs="Arial"/>
                <w:sz w:val="16"/>
                <w:szCs w:val="16"/>
              </w:rPr>
            </w:pPr>
            <w:r w:rsidRPr="00485CC9">
              <w:rPr>
                <w:rFonts w:ascii="Arial" w:hAnsi="Arial" w:cs="Arial"/>
                <w:sz w:val="16"/>
                <w:szCs w:val="16"/>
              </w:rPr>
              <w:t>730.1</w:t>
            </w:r>
          </w:p>
        </w:tc>
        <w:tc>
          <w:tcPr>
            <w:tcW w:w="497" w:type="pct"/>
            <w:tcBorders>
              <w:top w:val="nil"/>
              <w:left w:val="nil"/>
              <w:bottom w:val="nil"/>
              <w:right w:val="nil"/>
            </w:tcBorders>
            <w:shd w:val="clear" w:color="000000" w:fill="FFFFFF"/>
            <w:noWrap/>
            <w:vAlign w:val="center"/>
            <w:hideMark/>
          </w:tcPr>
          <w:p w14:paraId="26C167B3" w14:textId="251F9DD0"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35.2</w:t>
            </w:r>
          </w:p>
        </w:tc>
        <w:tc>
          <w:tcPr>
            <w:tcW w:w="393" w:type="pct"/>
            <w:tcBorders>
              <w:top w:val="nil"/>
              <w:left w:val="nil"/>
              <w:bottom w:val="nil"/>
              <w:right w:val="nil"/>
            </w:tcBorders>
            <w:shd w:val="clear" w:color="000000" w:fill="FFFFFF"/>
            <w:noWrap/>
            <w:vAlign w:val="center"/>
            <w:hideMark/>
          </w:tcPr>
          <w:p w14:paraId="64B40715" w14:textId="648514F3"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740.1</w:t>
            </w:r>
          </w:p>
        </w:tc>
        <w:tc>
          <w:tcPr>
            <w:tcW w:w="419" w:type="pct"/>
            <w:tcBorders>
              <w:top w:val="nil"/>
              <w:left w:val="nil"/>
              <w:bottom w:val="nil"/>
              <w:right w:val="nil"/>
            </w:tcBorders>
            <w:shd w:val="clear" w:color="000000" w:fill="FFFFFF"/>
            <w:noWrap/>
            <w:vAlign w:val="center"/>
            <w:hideMark/>
          </w:tcPr>
          <w:p w14:paraId="69808E49" w14:textId="6C758DDB"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2,194.9</w:t>
            </w:r>
          </w:p>
        </w:tc>
        <w:tc>
          <w:tcPr>
            <w:tcW w:w="503" w:type="pct"/>
            <w:tcBorders>
              <w:top w:val="nil"/>
              <w:left w:val="nil"/>
              <w:bottom w:val="nil"/>
              <w:right w:val="nil"/>
            </w:tcBorders>
            <w:shd w:val="clear" w:color="000000" w:fill="FFFFFF"/>
            <w:noWrap/>
            <w:vAlign w:val="center"/>
            <w:hideMark/>
          </w:tcPr>
          <w:p w14:paraId="03DF88AD"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3,729.5</w:t>
            </w:r>
          </w:p>
        </w:tc>
      </w:tr>
      <w:tr w:rsidR="00485CC9" w:rsidRPr="00485CC9" w14:paraId="608AC89E" w14:textId="77777777" w:rsidTr="00ED2BDA">
        <w:trPr>
          <w:trHeight w:val="229"/>
        </w:trPr>
        <w:tc>
          <w:tcPr>
            <w:tcW w:w="1149" w:type="pct"/>
            <w:tcBorders>
              <w:top w:val="nil"/>
              <w:left w:val="nil"/>
              <w:bottom w:val="nil"/>
              <w:right w:val="nil"/>
            </w:tcBorders>
            <w:shd w:val="clear" w:color="000000" w:fill="FFFFFF"/>
            <w:noWrap/>
            <w:vAlign w:val="center"/>
            <w:hideMark/>
          </w:tcPr>
          <w:p w14:paraId="3AF9AA49" w14:textId="74209FD1" w:rsidR="00134265" w:rsidRPr="00485CC9" w:rsidRDefault="00134265" w:rsidP="00485CC9">
            <w:pPr>
              <w:spacing w:after="0" w:line="240" w:lineRule="auto"/>
              <w:jc w:val="left"/>
              <w:rPr>
                <w:rFonts w:ascii="Arial" w:hAnsi="Arial" w:cs="Arial"/>
                <w:sz w:val="16"/>
                <w:szCs w:val="16"/>
              </w:rPr>
            </w:pPr>
            <w:r>
              <w:rPr>
                <w:rFonts w:ascii="Arial" w:hAnsi="Arial" w:cs="Arial"/>
                <w:sz w:val="16"/>
                <w:szCs w:val="16"/>
              </w:rPr>
              <w:t>UNITED ARAB EMIRATES</w:t>
            </w:r>
          </w:p>
        </w:tc>
        <w:tc>
          <w:tcPr>
            <w:tcW w:w="118" w:type="pct"/>
            <w:tcBorders>
              <w:top w:val="nil"/>
              <w:left w:val="nil"/>
              <w:bottom w:val="nil"/>
              <w:right w:val="nil"/>
            </w:tcBorders>
            <w:shd w:val="clear" w:color="000000" w:fill="FFFFFF"/>
            <w:noWrap/>
            <w:vAlign w:val="bottom"/>
          </w:tcPr>
          <w:p w14:paraId="17068A7D" w14:textId="7E203626"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70FB9A53" w14:textId="57CBFF46"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93</w:t>
            </w:r>
          </w:p>
        </w:tc>
        <w:tc>
          <w:tcPr>
            <w:tcW w:w="463" w:type="pct"/>
            <w:tcBorders>
              <w:top w:val="nil"/>
              <w:left w:val="nil"/>
              <w:bottom w:val="nil"/>
              <w:right w:val="nil"/>
            </w:tcBorders>
            <w:shd w:val="clear" w:color="000000" w:fill="FFFFFF"/>
            <w:noWrap/>
            <w:vAlign w:val="center"/>
            <w:hideMark/>
          </w:tcPr>
          <w:p w14:paraId="7F5C55D7" w14:textId="70C78E84"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126.2</w:t>
            </w:r>
          </w:p>
        </w:tc>
        <w:tc>
          <w:tcPr>
            <w:tcW w:w="436" w:type="pct"/>
            <w:tcBorders>
              <w:top w:val="nil"/>
              <w:left w:val="nil"/>
              <w:bottom w:val="nil"/>
              <w:right w:val="nil"/>
            </w:tcBorders>
            <w:shd w:val="clear" w:color="000000" w:fill="FFFFFF"/>
            <w:noWrap/>
            <w:vAlign w:val="center"/>
            <w:hideMark/>
          </w:tcPr>
          <w:p w14:paraId="14560455" w14:textId="58137901"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39.8</w:t>
            </w:r>
          </w:p>
        </w:tc>
        <w:tc>
          <w:tcPr>
            <w:tcW w:w="559" w:type="pct"/>
            <w:tcBorders>
              <w:top w:val="nil"/>
              <w:left w:val="nil"/>
              <w:bottom w:val="nil"/>
              <w:right w:val="nil"/>
            </w:tcBorders>
            <w:shd w:val="clear" w:color="000000" w:fill="FFFFFF"/>
            <w:noWrap/>
            <w:vAlign w:val="center"/>
            <w:hideMark/>
          </w:tcPr>
          <w:p w14:paraId="42F0E1A8" w14:textId="6084AFDC"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83.2</w:t>
            </w:r>
          </w:p>
        </w:tc>
        <w:tc>
          <w:tcPr>
            <w:tcW w:w="497" w:type="pct"/>
            <w:tcBorders>
              <w:top w:val="nil"/>
              <w:left w:val="nil"/>
              <w:bottom w:val="nil"/>
              <w:right w:val="nil"/>
            </w:tcBorders>
            <w:shd w:val="clear" w:color="000000" w:fill="FFFFFF"/>
            <w:noWrap/>
            <w:vAlign w:val="center"/>
            <w:hideMark/>
          </w:tcPr>
          <w:p w14:paraId="2E0DCD63" w14:textId="4B26AA5A"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1.1</w:t>
            </w:r>
          </w:p>
        </w:tc>
        <w:tc>
          <w:tcPr>
            <w:tcW w:w="393" w:type="pct"/>
            <w:tcBorders>
              <w:top w:val="nil"/>
              <w:left w:val="nil"/>
              <w:bottom w:val="nil"/>
              <w:right w:val="nil"/>
            </w:tcBorders>
            <w:shd w:val="clear" w:color="000000" w:fill="FFFFFF"/>
            <w:noWrap/>
            <w:vAlign w:val="center"/>
            <w:hideMark/>
          </w:tcPr>
          <w:p w14:paraId="628D2342" w14:textId="49B84165"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1,219.6</w:t>
            </w:r>
          </w:p>
        </w:tc>
        <w:tc>
          <w:tcPr>
            <w:tcW w:w="419" w:type="pct"/>
            <w:tcBorders>
              <w:top w:val="nil"/>
              <w:left w:val="nil"/>
              <w:bottom w:val="nil"/>
              <w:right w:val="nil"/>
            </w:tcBorders>
            <w:shd w:val="clear" w:color="000000" w:fill="FFFFFF"/>
            <w:noWrap/>
            <w:vAlign w:val="center"/>
            <w:hideMark/>
          </w:tcPr>
          <w:p w14:paraId="5B8E8214" w14:textId="1FBAB4C2"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1,373.2</w:t>
            </w:r>
          </w:p>
        </w:tc>
        <w:tc>
          <w:tcPr>
            <w:tcW w:w="503" w:type="pct"/>
            <w:tcBorders>
              <w:top w:val="nil"/>
              <w:left w:val="nil"/>
              <w:bottom w:val="nil"/>
              <w:right w:val="nil"/>
            </w:tcBorders>
            <w:shd w:val="clear" w:color="000000" w:fill="FFFFFF"/>
            <w:noWrap/>
            <w:vAlign w:val="center"/>
            <w:hideMark/>
          </w:tcPr>
          <w:p w14:paraId="052110B6"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2,843.0</w:t>
            </w:r>
          </w:p>
        </w:tc>
      </w:tr>
      <w:tr w:rsidR="00485CC9" w:rsidRPr="00485CC9" w14:paraId="09E922CB" w14:textId="77777777" w:rsidTr="00ED2BDA">
        <w:trPr>
          <w:trHeight w:val="229"/>
        </w:trPr>
        <w:tc>
          <w:tcPr>
            <w:tcW w:w="1149" w:type="pct"/>
            <w:tcBorders>
              <w:top w:val="nil"/>
              <w:left w:val="nil"/>
              <w:bottom w:val="nil"/>
              <w:right w:val="nil"/>
            </w:tcBorders>
            <w:shd w:val="clear" w:color="000000" w:fill="FFFFFF"/>
            <w:noWrap/>
            <w:vAlign w:val="center"/>
            <w:hideMark/>
          </w:tcPr>
          <w:p w14:paraId="473F3F92" w14:textId="7E9080CA" w:rsidR="00485CC9" w:rsidRPr="00485CC9" w:rsidRDefault="00485CC9" w:rsidP="00134265">
            <w:pPr>
              <w:spacing w:after="0" w:line="240" w:lineRule="auto"/>
              <w:jc w:val="left"/>
              <w:rPr>
                <w:rFonts w:ascii="Arial" w:hAnsi="Arial" w:cs="Arial"/>
                <w:sz w:val="16"/>
                <w:szCs w:val="16"/>
              </w:rPr>
            </w:pPr>
            <w:r w:rsidRPr="00485CC9">
              <w:rPr>
                <w:rFonts w:ascii="Arial" w:hAnsi="Arial" w:cs="Arial"/>
                <w:sz w:val="16"/>
                <w:szCs w:val="16"/>
              </w:rPr>
              <w:t>NETHERLANDS</w:t>
            </w:r>
          </w:p>
        </w:tc>
        <w:tc>
          <w:tcPr>
            <w:tcW w:w="118" w:type="pct"/>
            <w:tcBorders>
              <w:top w:val="nil"/>
              <w:left w:val="nil"/>
              <w:bottom w:val="nil"/>
              <w:right w:val="nil"/>
            </w:tcBorders>
            <w:shd w:val="clear" w:color="000000" w:fill="FFFFFF"/>
            <w:noWrap/>
            <w:vAlign w:val="bottom"/>
          </w:tcPr>
          <w:p w14:paraId="6076ACA3" w14:textId="34CA490A"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43C9D8EF" w14:textId="31613920"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66</w:t>
            </w:r>
          </w:p>
        </w:tc>
        <w:tc>
          <w:tcPr>
            <w:tcW w:w="463" w:type="pct"/>
            <w:tcBorders>
              <w:top w:val="nil"/>
              <w:left w:val="nil"/>
              <w:bottom w:val="nil"/>
              <w:right w:val="nil"/>
            </w:tcBorders>
            <w:shd w:val="clear" w:color="000000" w:fill="FFFFFF"/>
            <w:noWrap/>
            <w:vAlign w:val="center"/>
            <w:hideMark/>
          </w:tcPr>
          <w:p w14:paraId="31941BFF" w14:textId="2C242B6F"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170.1</w:t>
            </w:r>
          </w:p>
        </w:tc>
        <w:tc>
          <w:tcPr>
            <w:tcW w:w="436" w:type="pct"/>
            <w:tcBorders>
              <w:top w:val="nil"/>
              <w:left w:val="nil"/>
              <w:bottom w:val="nil"/>
              <w:right w:val="nil"/>
            </w:tcBorders>
            <w:shd w:val="clear" w:color="000000" w:fill="FFFFFF"/>
            <w:noWrap/>
            <w:vAlign w:val="center"/>
            <w:hideMark/>
          </w:tcPr>
          <w:p w14:paraId="1A02D0F1" w14:textId="18BA1F85"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w:t>
            </w:r>
          </w:p>
        </w:tc>
        <w:tc>
          <w:tcPr>
            <w:tcW w:w="559" w:type="pct"/>
            <w:tcBorders>
              <w:top w:val="nil"/>
              <w:left w:val="nil"/>
              <w:bottom w:val="nil"/>
              <w:right w:val="nil"/>
            </w:tcBorders>
            <w:shd w:val="clear" w:color="000000" w:fill="FFFFFF"/>
            <w:noWrap/>
            <w:vAlign w:val="center"/>
            <w:hideMark/>
          </w:tcPr>
          <w:p w14:paraId="79167614" w14:textId="3A4476B4"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445.0</w:t>
            </w:r>
          </w:p>
        </w:tc>
        <w:tc>
          <w:tcPr>
            <w:tcW w:w="497" w:type="pct"/>
            <w:tcBorders>
              <w:top w:val="nil"/>
              <w:left w:val="nil"/>
              <w:bottom w:val="nil"/>
              <w:right w:val="nil"/>
            </w:tcBorders>
            <w:shd w:val="clear" w:color="000000" w:fill="FFFFFF"/>
            <w:noWrap/>
            <w:vAlign w:val="center"/>
            <w:hideMark/>
          </w:tcPr>
          <w:p w14:paraId="6DBCD6DF" w14:textId="470C0976"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w:t>
            </w:r>
          </w:p>
        </w:tc>
        <w:tc>
          <w:tcPr>
            <w:tcW w:w="393" w:type="pct"/>
            <w:tcBorders>
              <w:top w:val="nil"/>
              <w:left w:val="nil"/>
              <w:bottom w:val="nil"/>
              <w:right w:val="nil"/>
            </w:tcBorders>
            <w:shd w:val="clear" w:color="000000" w:fill="FFFFFF"/>
            <w:noWrap/>
            <w:vAlign w:val="center"/>
            <w:hideMark/>
          </w:tcPr>
          <w:p w14:paraId="008C21BA" w14:textId="112BE392"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1,027.5</w:t>
            </w:r>
          </w:p>
        </w:tc>
        <w:tc>
          <w:tcPr>
            <w:tcW w:w="419" w:type="pct"/>
            <w:tcBorders>
              <w:top w:val="nil"/>
              <w:left w:val="nil"/>
              <w:bottom w:val="nil"/>
              <w:right w:val="nil"/>
            </w:tcBorders>
            <w:shd w:val="clear" w:color="000000" w:fill="FFFFFF"/>
            <w:noWrap/>
            <w:vAlign w:val="center"/>
            <w:hideMark/>
          </w:tcPr>
          <w:p w14:paraId="1AF681AA" w14:textId="353E7D54"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1,136.0</w:t>
            </w:r>
          </w:p>
        </w:tc>
        <w:tc>
          <w:tcPr>
            <w:tcW w:w="503" w:type="pct"/>
            <w:tcBorders>
              <w:top w:val="nil"/>
              <w:left w:val="nil"/>
              <w:bottom w:val="nil"/>
              <w:right w:val="nil"/>
            </w:tcBorders>
            <w:shd w:val="clear" w:color="000000" w:fill="FFFFFF"/>
            <w:noWrap/>
            <w:vAlign w:val="center"/>
            <w:hideMark/>
          </w:tcPr>
          <w:p w14:paraId="7DD906DC"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2,778.6</w:t>
            </w:r>
          </w:p>
        </w:tc>
      </w:tr>
      <w:tr w:rsidR="00485CC9" w:rsidRPr="00485CC9" w14:paraId="00B8BC16" w14:textId="77777777" w:rsidTr="00ED2BDA">
        <w:trPr>
          <w:trHeight w:val="229"/>
        </w:trPr>
        <w:tc>
          <w:tcPr>
            <w:tcW w:w="1149" w:type="pct"/>
            <w:tcBorders>
              <w:top w:val="nil"/>
              <w:left w:val="nil"/>
              <w:bottom w:val="nil"/>
              <w:right w:val="nil"/>
            </w:tcBorders>
            <w:shd w:val="clear" w:color="000000" w:fill="FFFFFF"/>
            <w:noWrap/>
            <w:vAlign w:val="center"/>
            <w:hideMark/>
          </w:tcPr>
          <w:p w14:paraId="4FE8812A" w14:textId="567C8561"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GERMANY</w:t>
            </w:r>
          </w:p>
        </w:tc>
        <w:tc>
          <w:tcPr>
            <w:tcW w:w="118" w:type="pct"/>
            <w:tcBorders>
              <w:top w:val="nil"/>
              <w:left w:val="nil"/>
              <w:bottom w:val="nil"/>
              <w:right w:val="nil"/>
            </w:tcBorders>
            <w:shd w:val="clear" w:color="000000" w:fill="FFFFFF"/>
            <w:noWrap/>
            <w:vAlign w:val="bottom"/>
          </w:tcPr>
          <w:p w14:paraId="25B003AC" w14:textId="4F60DA93"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6C89A809" w14:textId="4D82C92F"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88</w:t>
            </w:r>
          </w:p>
        </w:tc>
        <w:tc>
          <w:tcPr>
            <w:tcW w:w="463" w:type="pct"/>
            <w:tcBorders>
              <w:top w:val="nil"/>
              <w:left w:val="nil"/>
              <w:bottom w:val="nil"/>
              <w:right w:val="nil"/>
            </w:tcBorders>
            <w:shd w:val="clear" w:color="000000" w:fill="FFFFFF"/>
            <w:noWrap/>
            <w:vAlign w:val="center"/>
            <w:hideMark/>
          </w:tcPr>
          <w:p w14:paraId="78005734" w14:textId="3D05F9C5"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228.7</w:t>
            </w:r>
          </w:p>
        </w:tc>
        <w:tc>
          <w:tcPr>
            <w:tcW w:w="436" w:type="pct"/>
            <w:tcBorders>
              <w:top w:val="nil"/>
              <w:left w:val="nil"/>
              <w:bottom w:val="nil"/>
              <w:right w:val="nil"/>
            </w:tcBorders>
            <w:shd w:val="clear" w:color="000000" w:fill="FFFFFF"/>
            <w:noWrap/>
            <w:vAlign w:val="center"/>
            <w:hideMark/>
          </w:tcPr>
          <w:p w14:paraId="401E627F" w14:textId="0DCB5AE7"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4.1</w:t>
            </w:r>
          </w:p>
        </w:tc>
        <w:tc>
          <w:tcPr>
            <w:tcW w:w="559" w:type="pct"/>
            <w:tcBorders>
              <w:top w:val="nil"/>
              <w:left w:val="nil"/>
              <w:bottom w:val="nil"/>
              <w:right w:val="nil"/>
            </w:tcBorders>
            <w:shd w:val="clear" w:color="000000" w:fill="FFFFFF"/>
            <w:noWrap/>
            <w:vAlign w:val="center"/>
            <w:hideMark/>
          </w:tcPr>
          <w:p w14:paraId="68B57EAC" w14:textId="02AEFC25"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114.6</w:t>
            </w:r>
          </w:p>
        </w:tc>
        <w:tc>
          <w:tcPr>
            <w:tcW w:w="497" w:type="pct"/>
            <w:tcBorders>
              <w:top w:val="nil"/>
              <w:left w:val="nil"/>
              <w:bottom w:val="nil"/>
              <w:right w:val="nil"/>
            </w:tcBorders>
            <w:shd w:val="clear" w:color="000000" w:fill="FFFFFF"/>
            <w:noWrap/>
            <w:vAlign w:val="center"/>
            <w:hideMark/>
          </w:tcPr>
          <w:p w14:paraId="15C972D7" w14:textId="6D3D5450"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8.0</w:t>
            </w:r>
          </w:p>
        </w:tc>
        <w:tc>
          <w:tcPr>
            <w:tcW w:w="393" w:type="pct"/>
            <w:tcBorders>
              <w:top w:val="nil"/>
              <w:left w:val="nil"/>
              <w:bottom w:val="nil"/>
              <w:right w:val="nil"/>
            </w:tcBorders>
            <w:shd w:val="clear" w:color="000000" w:fill="FFFFFF"/>
            <w:noWrap/>
            <w:vAlign w:val="center"/>
            <w:hideMark/>
          </w:tcPr>
          <w:p w14:paraId="6C475A39" w14:textId="57598F2C"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1,065.9</w:t>
            </w:r>
          </w:p>
        </w:tc>
        <w:tc>
          <w:tcPr>
            <w:tcW w:w="419" w:type="pct"/>
            <w:tcBorders>
              <w:top w:val="nil"/>
              <w:left w:val="nil"/>
              <w:bottom w:val="nil"/>
              <w:right w:val="nil"/>
            </w:tcBorders>
            <w:shd w:val="clear" w:color="000000" w:fill="FFFFFF"/>
            <w:noWrap/>
            <w:vAlign w:val="center"/>
            <w:hideMark/>
          </w:tcPr>
          <w:p w14:paraId="085D3EC9" w14:textId="45E41D64"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1,101.4</w:t>
            </w:r>
          </w:p>
        </w:tc>
        <w:tc>
          <w:tcPr>
            <w:tcW w:w="503" w:type="pct"/>
            <w:tcBorders>
              <w:top w:val="nil"/>
              <w:left w:val="nil"/>
              <w:bottom w:val="nil"/>
              <w:right w:val="nil"/>
            </w:tcBorders>
            <w:shd w:val="clear" w:color="000000" w:fill="FFFFFF"/>
            <w:noWrap/>
            <w:vAlign w:val="center"/>
            <w:hideMark/>
          </w:tcPr>
          <w:p w14:paraId="7C3E6514"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2,522.7</w:t>
            </w:r>
          </w:p>
        </w:tc>
      </w:tr>
      <w:tr w:rsidR="00485CC9" w:rsidRPr="00485CC9" w14:paraId="5FC0C1F3" w14:textId="77777777" w:rsidTr="00ED2BDA">
        <w:trPr>
          <w:trHeight w:val="229"/>
        </w:trPr>
        <w:tc>
          <w:tcPr>
            <w:tcW w:w="1149" w:type="pct"/>
            <w:tcBorders>
              <w:top w:val="nil"/>
              <w:left w:val="nil"/>
              <w:bottom w:val="nil"/>
              <w:right w:val="nil"/>
            </w:tcBorders>
            <w:shd w:val="clear" w:color="000000" w:fill="FFFFFF"/>
            <w:noWrap/>
            <w:vAlign w:val="center"/>
            <w:hideMark/>
          </w:tcPr>
          <w:p w14:paraId="4A14495F" w14:textId="413A18BB"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SOUTH AFRICA</w:t>
            </w:r>
          </w:p>
        </w:tc>
        <w:tc>
          <w:tcPr>
            <w:tcW w:w="118" w:type="pct"/>
            <w:tcBorders>
              <w:top w:val="nil"/>
              <w:left w:val="nil"/>
              <w:bottom w:val="nil"/>
              <w:right w:val="nil"/>
            </w:tcBorders>
            <w:shd w:val="clear" w:color="000000" w:fill="FFFFFF"/>
            <w:noWrap/>
            <w:vAlign w:val="bottom"/>
          </w:tcPr>
          <w:p w14:paraId="074F8FE4" w14:textId="51AE205A"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124FDC9F" w14:textId="6F6BB897"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81</w:t>
            </w:r>
          </w:p>
        </w:tc>
        <w:tc>
          <w:tcPr>
            <w:tcW w:w="463" w:type="pct"/>
            <w:tcBorders>
              <w:top w:val="nil"/>
              <w:left w:val="nil"/>
              <w:bottom w:val="nil"/>
              <w:right w:val="nil"/>
            </w:tcBorders>
            <w:shd w:val="clear" w:color="000000" w:fill="FFFFFF"/>
            <w:noWrap/>
            <w:vAlign w:val="center"/>
            <w:hideMark/>
          </w:tcPr>
          <w:p w14:paraId="1CCF7B7B" w14:textId="58407B51"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20.9</w:t>
            </w:r>
          </w:p>
        </w:tc>
        <w:tc>
          <w:tcPr>
            <w:tcW w:w="436" w:type="pct"/>
            <w:tcBorders>
              <w:top w:val="nil"/>
              <w:left w:val="nil"/>
              <w:bottom w:val="nil"/>
              <w:right w:val="nil"/>
            </w:tcBorders>
            <w:shd w:val="clear" w:color="000000" w:fill="FFFFFF"/>
            <w:noWrap/>
            <w:vAlign w:val="center"/>
            <w:hideMark/>
          </w:tcPr>
          <w:p w14:paraId="5EC0EE9B" w14:textId="323A87BA"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94.3</w:t>
            </w:r>
          </w:p>
        </w:tc>
        <w:tc>
          <w:tcPr>
            <w:tcW w:w="559" w:type="pct"/>
            <w:tcBorders>
              <w:top w:val="nil"/>
              <w:left w:val="nil"/>
              <w:bottom w:val="nil"/>
              <w:right w:val="nil"/>
            </w:tcBorders>
            <w:shd w:val="clear" w:color="000000" w:fill="FFFFFF"/>
            <w:noWrap/>
            <w:vAlign w:val="center"/>
            <w:hideMark/>
          </w:tcPr>
          <w:p w14:paraId="2A8E90BE" w14:textId="35A5498C"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1,010.8</w:t>
            </w:r>
          </w:p>
        </w:tc>
        <w:tc>
          <w:tcPr>
            <w:tcW w:w="497" w:type="pct"/>
            <w:tcBorders>
              <w:top w:val="nil"/>
              <w:left w:val="nil"/>
              <w:bottom w:val="nil"/>
              <w:right w:val="nil"/>
            </w:tcBorders>
            <w:shd w:val="clear" w:color="000000" w:fill="FFFFFF"/>
            <w:noWrap/>
            <w:vAlign w:val="center"/>
            <w:hideMark/>
          </w:tcPr>
          <w:p w14:paraId="3A539A19" w14:textId="2F91D969"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1,035.</w:t>
            </w:r>
          </w:p>
        </w:tc>
        <w:tc>
          <w:tcPr>
            <w:tcW w:w="393" w:type="pct"/>
            <w:tcBorders>
              <w:top w:val="nil"/>
              <w:left w:val="nil"/>
              <w:bottom w:val="nil"/>
              <w:right w:val="nil"/>
            </w:tcBorders>
            <w:shd w:val="clear" w:color="000000" w:fill="FFFFFF"/>
            <w:noWrap/>
            <w:vAlign w:val="center"/>
            <w:hideMark/>
          </w:tcPr>
          <w:p w14:paraId="344B7917" w14:textId="61FD183F"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112.2</w:t>
            </w:r>
          </w:p>
        </w:tc>
        <w:tc>
          <w:tcPr>
            <w:tcW w:w="419" w:type="pct"/>
            <w:tcBorders>
              <w:top w:val="nil"/>
              <w:left w:val="nil"/>
              <w:bottom w:val="nil"/>
              <w:right w:val="nil"/>
            </w:tcBorders>
            <w:shd w:val="clear" w:color="000000" w:fill="FFFFFF"/>
            <w:noWrap/>
            <w:vAlign w:val="center"/>
            <w:hideMark/>
          </w:tcPr>
          <w:p w14:paraId="4E71302F" w14:textId="320ECDE8"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238.2</w:t>
            </w:r>
          </w:p>
        </w:tc>
        <w:tc>
          <w:tcPr>
            <w:tcW w:w="503" w:type="pct"/>
            <w:tcBorders>
              <w:top w:val="nil"/>
              <w:left w:val="nil"/>
              <w:bottom w:val="nil"/>
              <w:right w:val="nil"/>
            </w:tcBorders>
            <w:shd w:val="clear" w:color="000000" w:fill="FFFFFF"/>
            <w:noWrap/>
            <w:vAlign w:val="center"/>
            <w:hideMark/>
          </w:tcPr>
          <w:p w14:paraId="67526A31"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2,511.8</w:t>
            </w:r>
          </w:p>
        </w:tc>
      </w:tr>
      <w:tr w:rsidR="00485CC9" w:rsidRPr="00485CC9" w14:paraId="41A07DF3" w14:textId="77777777" w:rsidTr="00ED2BDA">
        <w:trPr>
          <w:trHeight w:val="229"/>
        </w:trPr>
        <w:tc>
          <w:tcPr>
            <w:tcW w:w="1149" w:type="pct"/>
            <w:tcBorders>
              <w:top w:val="nil"/>
              <w:left w:val="nil"/>
              <w:bottom w:val="nil"/>
              <w:right w:val="nil"/>
            </w:tcBorders>
            <w:shd w:val="clear" w:color="000000" w:fill="FFFFFF"/>
            <w:noWrap/>
            <w:vAlign w:val="center"/>
            <w:hideMark/>
          </w:tcPr>
          <w:p w14:paraId="00DD738E" w14:textId="5049F8D3"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THAILAND</w:t>
            </w:r>
          </w:p>
        </w:tc>
        <w:tc>
          <w:tcPr>
            <w:tcW w:w="118" w:type="pct"/>
            <w:tcBorders>
              <w:top w:val="nil"/>
              <w:left w:val="nil"/>
              <w:bottom w:val="nil"/>
              <w:right w:val="nil"/>
            </w:tcBorders>
            <w:shd w:val="clear" w:color="000000" w:fill="FFFFFF"/>
            <w:noWrap/>
            <w:vAlign w:val="bottom"/>
          </w:tcPr>
          <w:p w14:paraId="4AA6ADC1" w14:textId="201C0C91"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7764B488" w14:textId="6EE78B5A"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32</w:t>
            </w:r>
          </w:p>
        </w:tc>
        <w:tc>
          <w:tcPr>
            <w:tcW w:w="463" w:type="pct"/>
            <w:tcBorders>
              <w:top w:val="nil"/>
              <w:left w:val="nil"/>
              <w:bottom w:val="nil"/>
              <w:right w:val="nil"/>
            </w:tcBorders>
            <w:shd w:val="clear" w:color="000000" w:fill="FFFFFF"/>
            <w:noWrap/>
            <w:vAlign w:val="center"/>
            <w:hideMark/>
          </w:tcPr>
          <w:p w14:paraId="6D6EAE87" w14:textId="2E7183DA"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140.0</w:t>
            </w:r>
          </w:p>
        </w:tc>
        <w:tc>
          <w:tcPr>
            <w:tcW w:w="436" w:type="pct"/>
            <w:tcBorders>
              <w:top w:val="nil"/>
              <w:left w:val="nil"/>
              <w:bottom w:val="nil"/>
              <w:right w:val="nil"/>
            </w:tcBorders>
            <w:shd w:val="clear" w:color="000000" w:fill="FFFFFF"/>
            <w:noWrap/>
            <w:vAlign w:val="center"/>
            <w:hideMark/>
          </w:tcPr>
          <w:p w14:paraId="4A2A6B40" w14:textId="6E5C00CC"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w:t>
            </w:r>
          </w:p>
        </w:tc>
        <w:tc>
          <w:tcPr>
            <w:tcW w:w="559" w:type="pct"/>
            <w:tcBorders>
              <w:top w:val="nil"/>
              <w:left w:val="nil"/>
              <w:bottom w:val="nil"/>
              <w:right w:val="nil"/>
            </w:tcBorders>
            <w:shd w:val="clear" w:color="000000" w:fill="FFFFFF"/>
            <w:noWrap/>
            <w:vAlign w:val="center"/>
            <w:hideMark/>
          </w:tcPr>
          <w:p w14:paraId="586159FA" w14:textId="0E8F8662"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50.0</w:t>
            </w:r>
          </w:p>
        </w:tc>
        <w:tc>
          <w:tcPr>
            <w:tcW w:w="497" w:type="pct"/>
            <w:tcBorders>
              <w:top w:val="nil"/>
              <w:left w:val="nil"/>
              <w:bottom w:val="nil"/>
              <w:right w:val="nil"/>
            </w:tcBorders>
            <w:shd w:val="clear" w:color="000000" w:fill="FFFFFF"/>
            <w:noWrap/>
            <w:vAlign w:val="center"/>
            <w:hideMark/>
          </w:tcPr>
          <w:p w14:paraId="29C5C2F5" w14:textId="147C10A1"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w:t>
            </w:r>
          </w:p>
        </w:tc>
        <w:tc>
          <w:tcPr>
            <w:tcW w:w="393" w:type="pct"/>
            <w:tcBorders>
              <w:top w:val="nil"/>
              <w:left w:val="nil"/>
              <w:bottom w:val="nil"/>
              <w:right w:val="nil"/>
            </w:tcBorders>
            <w:shd w:val="clear" w:color="000000" w:fill="FFFFFF"/>
            <w:noWrap/>
            <w:vAlign w:val="center"/>
            <w:hideMark/>
          </w:tcPr>
          <w:p w14:paraId="22D50381" w14:textId="1D9E35AA"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816.8</w:t>
            </w:r>
          </w:p>
        </w:tc>
        <w:tc>
          <w:tcPr>
            <w:tcW w:w="419" w:type="pct"/>
            <w:tcBorders>
              <w:top w:val="nil"/>
              <w:left w:val="nil"/>
              <w:bottom w:val="nil"/>
              <w:right w:val="nil"/>
            </w:tcBorders>
            <w:shd w:val="clear" w:color="000000" w:fill="FFFFFF"/>
            <w:noWrap/>
            <w:vAlign w:val="center"/>
            <w:hideMark/>
          </w:tcPr>
          <w:p w14:paraId="60F41ED0" w14:textId="466B1E21"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w:t>
            </w:r>
          </w:p>
        </w:tc>
        <w:tc>
          <w:tcPr>
            <w:tcW w:w="503" w:type="pct"/>
            <w:tcBorders>
              <w:top w:val="nil"/>
              <w:left w:val="nil"/>
              <w:bottom w:val="nil"/>
              <w:right w:val="nil"/>
            </w:tcBorders>
            <w:shd w:val="clear" w:color="000000" w:fill="FFFFFF"/>
            <w:noWrap/>
            <w:vAlign w:val="center"/>
            <w:hideMark/>
          </w:tcPr>
          <w:p w14:paraId="104EFF30"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2,006.8</w:t>
            </w:r>
          </w:p>
        </w:tc>
      </w:tr>
      <w:tr w:rsidR="00485CC9" w:rsidRPr="00485CC9" w14:paraId="5ADDB6F9" w14:textId="77777777" w:rsidTr="00ED2BDA">
        <w:trPr>
          <w:trHeight w:val="229"/>
        </w:trPr>
        <w:tc>
          <w:tcPr>
            <w:tcW w:w="1149" w:type="pct"/>
            <w:tcBorders>
              <w:top w:val="nil"/>
              <w:left w:val="nil"/>
              <w:bottom w:val="nil"/>
              <w:right w:val="nil"/>
            </w:tcBorders>
            <w:shd w:val="clear" w:color="000000" w:fill="FFFFFF"/>
            <w:noWrap/>
            <w:vAlign w:val="center"/>
            <w:hideMark/>
          </w:tcPr>
          <w:p w14:paraId="450C9EE1" w14:textId="6316CFD9"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INDIA</w:t>
            </w:r>
          </w:p>
        </w:tc>
        <w:tc>
          <w:tcPr>
            <w:tcW w:w="118" w:type="pct"/>
            <w:tcBorders>
              <w:top w:val="nil"/>
              <w:left w:val="nil"/>
              <w:bottom w:val="nil"/>
              <w:right w:val="nil"/>
            </w:tcBorders>
            <w:shd w:val="clear" w:color="000000" w:fill="FFFFFF"/>
            <w:noWrap/>
            <w:vAlign w:val="bottom"/>
          </w:tcPr>
          <w:p w14:paraId="10380225" w14:textId="6F1AD16B"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4FB70834" w14:textId="08F1C6BB"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96</w:t>
            </w:r>
          </w:p>
        </w:tc>
        <w:tc>
          <w:tcPr>
            <w:tcW w:w="463" w:type="pct"/>
            <w:tcBorders>
              <w:top w:val="nil"/>
              <w:left w:val="nil"/>
              <w:bottom w:val="nil"/>
              <w:right w:val="nil"/>
            </w:tcBorders>
            <w:shd w:val="clear" w:color="000000" w:fill="FFFFFF"/>
            <w:noWrap/>
            <w:vAlign w:val="center"/>
            <w:hideMark/>
          </w:tcPr>
          <w:p w14:paraId="3BC286A9" w14:textId="5C550186"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191.0</w:t>
            </w:r>
          </w:p>
        </w:tc>
        <w:tc>
          <w:tcPr>
            <w:tcW w:w="436" w:type="pct"/>
            <w:tcBorders>
              <w:top w:val="nil"/>
              <w:left w:val="nil"/>
              <w:bottom w:val="nil"/>
              <w:right w:val="nil"/>
            </w:tcBorders>
            <w:shd w:val="clear" w:color="000000" w:fill="FFFFFF"/>
            <w:noWrap/>
            <w:vAlign w:val="center"/>
            <w:hideMark/>
          </w:tcPr>
          <w:p w14:paraId="30B4DE15" w14:textId="3494564D"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w:t>
            </w:r>
          </w:p>
        </w:tc>
        <w:tc>
          <w:tcPr>
            <w:tcW w:w="559" w:type="pct"/>
            <w:tcBorders>
              <w:top w:val="nil"/>
              <w:left w:val="nil"/>
              <w:bottom w:val="nil"/>
              <w:right w:val="nil"/>
            </w:tcBorders>
            <w:shd w:val="clear" w:color="000000" w:fill="FFFFFF"/>
            <w:noWrap/>
            <w:vAlign w:val="center"/>
            <w:hideMark/>
          </w:tcPr>
          <w:p w14:paraId="25B8998E" w14:textId="7D99C40F"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0.0</w:t>
            </w:r>
          </w:p>
        </w:tc>
        <w:tc>
          <w:tcPr>
            <w:tcW w:w="497" w:type="pct"/>
            <w:tcBorders>
              <w:top w:val="nil"/>
              <w:left w:val="nil"/>
              <w:bottom w:val="nil"/>
              <w:right w:val="nil"/>
            </w:tcBorders>
            <w:shd w:val="clear" w:color="000000" w:fill="FFFFFF"/>
            <w:noWrap/>
            <w:vAlign w:val="center"/>
            <w:hideMark/>
          </w:tcPr>
          <w:p w14:paraId="35E7B2D4" w14:textId="46F09194"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0.3</w:t>
            </w:r>
          </w:p>
        </w:tc>
        <w:tc>
          <w:tcPr>
            <w:tcW w:w="393" w:type="pct"/>
            <w:tcBorders>
              <w:top w:val="nil"/>
              <w:left w:val="nil"/>
              <w:bottom w:val="nil"/>
              <w:right w:val="nil"/>
            </w:tcBorders>
            <w:shd w:val="clear" w:color="000000" w:fill="FFFFFF"/>
            <w:noWrap/>
            <w:vAlign w:val="center"/>
            <w:hideMark/>
          </w:tcPr>
          <w:p w14:paraId="14C44B7B" w14:textId="6484AF06"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138.0</w:t>
            </w:r>
          </w:p>
        </w:tc>
        <w:tc>
          <w:tcPr>
            <w:tcW w:w="419" w:type="pct"/>
            <w:tcBorders>
              <w:top w:val="nil"/>
              <w:left w:val="nil"/>
              <w:bottom w:val="nil"/>
              <w:right w:val="nil"/>
            </w:tcBorders>
            <w:shd w:val="clear" w:color="000000" w:fill="FFFFFF"/>
            <w:noWrap/>
            <w:vAlign w:val="center"/>
            <w:hideMark/>
          </w:tcPr>
          <w:p w14:paraId="499066B4" w14:textId="444D226A"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1,384.9</w:t>
            </w:r>
          </w:p>
        </w:tc>
        <w:tc>
          <w:tcPr>
            <w:tcW w:w="503" w:type="pct"/>
            <w:tcBorders>
              <w:top w:val="nil"/>
              <w:left w:val="nil"/>
              <w:bottom w:val="nil"/>
              <w:right w:val="nil"/>
            </w:tcBorders>
            <w:shd w:val="clear" w:color="000000" w:fill="FFFFFF"/>
            <w:noWrap/>
            <w:vAlign w:val="center"/>
            <w:hideMark/>
          </w:tcPr>
          <w:p w14:paraId="43C0E9FF"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1,714.1</w:t>
            </w:r>
          </w:p>
        </w:tc>
      </w:tr>
      <w:tr w:rsidR="00485CC9" w:rsidRPr="00485CC9" w14:paraId="46C9D654" w14:textId="77777777" w:rsidTr="00ED2BDA">
        <w:trPr>
          <w:trHeight w:val="229"/>
        </w:trPr>
        <w:tc>
          <w:tcPr>
            <w:tcW w:w="1149" w:type="pct"/>
            <w:tcBorders>
              <w:top w:val="nil"/>
              <w:left w:val="nil"/>
              <w:bottom w:val="nil"/>
              <w:right w:val="nil"/>
            </w:tcBorders>
            <w:shd w:val="clear" w:color="000000" w:fill="FFFFFF"/>
            <w:noWrap/>
            <w:vAlign w:val="center"/>
            <w:hideMark/>
          </w:tcPr>
          <w:p w14:paraId="06C15869" w14:textId="10DBD660"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NORWAY</w:t>
            </w:r>
          </w:p>
        </w:tc>
        <w:tc>
          <w:tcPr>
            <w:tcW w:w="118" w:type="pct"/>
            <w:tcBorders>
              <w:top w:val="nil"/>
              <w:left w:val="nil"/>
              <w:bottom w:val="nil"/>
              <w:right w:val="nil"/>
            </w:tcBorders>
            <w:shd w:val="clear" w:color="000000" w:fill="FFFFFF"/>
            <w:noWrap/>
            <w:vAlign w:val="bottom"/>
          </w:tcPr>
          <w:p w14:paraId="4269617A" w14:textId="72E0DF4B"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5FCD5B09" w14:textId="2BF533BF"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10</w:t>
            </w:r>
          </w:p>
        </w:tc>
        <w:tc>
          <w:tcPr>
            <w:tcW w:w="463" w:type="pct"/>
            <w:tcBorders>
              <w:top w:val="nil"/>
              <w:left w:val="nil"/>
              <w:bottom w:val="nil"/>
              <w:right w:val="nil"/>
            </w:tcBorders>
            <w:shd w:val="clear" w:color="000000" w:fill="FFFFFF"/>
            <w:noWrap/>
            <w:vAlign w:val="center"/>
            <w:hideMark/>
          </w:tcPr>
          <w:p w14:paraId="642A60AD" w14:textId="2E15C4DF"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400.1</w:t>
            </w:r>
          </w:p>
        </w:tc>
        <w:tc>
          <w:tcPr>
            <w:tcW w:w="436" w:type="pct"/>
            <w:tcBorders>
              <w:top w:val="nil"/>
              <w:left w:val="nil"/>
              <w:bottom w:val="nil"/>
              <w:right w:val="nil"/>
            </w:tcBorders>
            <w:shd w:val="clear" w:color="000000" w:fill="FFFFFF"/>
            <w:noWrap/>
            <w:vAlign w:val="center"/>
            <w:hideMark/>
          </w:tcPr>
          <w:p w14:paraId="48CBC914" w14:textId="2BD3826D"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w:t>
            </w:r>
          </w:p>
        </w:tc>
        <w:tc>
          <w:tcPr>
            <w:tcW w:w="559" w:type="pct"/>
            <w:tcBorders>
              <w:top w:val="nil"/>
              <w:left w:val="nil"/>
              <w:bottom w:val="nil"/>
              <w:right w:val="nil"/>
            </w:tcBorders>
            <w:shd w:val="clear" w:color="000000" w:fill="FFFFFF"/>
            <w:noWrap/>
            <w:vAlign w:val="center"/>
            <w:hideMark/>
          </w:tcPr>
          <w:p w14:paraId="4CEDE440" w14:textId="7B7A5F06"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348.6</w:t>
            </w:r>
          </w:p>
        </w:tc>
        <w:tc>
          <w:tcPr>
            <w:tcW w:w="497" w:type="pct"/>
            <w:tcBorders>
              <w:top w:val="nil"/>
              <w:left w:val="nil"/>
              <w:bottom w:val="nil"/>
              <w:right w:val="nil"/>
            </w:tcBorders>
            <w:shd w:val="clear" w:color="000000" w:fill="FFFFFF"/>
            <w:noWrap/>
            <w:vAlign w:val="center"/>
            <w:hideMark/>
          </w:tcPr>
          <w:p w14:paraId="5D5A38E0" w14:textId="6D379752"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w:t>
            </w:r>
          </w:p>
        </w:tc>
        <w:tc>
          <w:tcPr>
            <w:tcW w:w="393" w:type="pct"/>
            <w:tcBorders>
              <w:top w:val="nil"/>
              <w:left w:val="nil"/>
              <w:bottom w:val="nil"/>
              <w:right w:val="nil"/>
            </w:tcBorders>
            <w:shd w:val="clear" w:color="000000" w:fill="FFFFFF"/>
            <w:noWrap/>
            <w:vAlign w:val="center"/>
            <w:hideMark/>
          </w:tcPr>
          <w:p w14:paraId="6944CA1B" w14:textId="15669BB4"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864.0</w:t>
            </w:r>
          </w:p>
        </w:tc>
        <w:tc>
          <w:tcPr>
            <w:tcW w:w="419" w:type="pct"/>
            <w:tcBorders>
              <w:top w:val="nil"/>
              <w:left w:val="nil"/>
              <w:bottom w:val="nil"/>
              <w:right w:val="nil"/>
            </w:tcBorders>
            <w:shd w:val="clear" w:color="000000" w:fill="FFFFFF"/>
            <w:noWrap/>
            <w:vAlign w:val="center"/>
            <w:hideMark/>
          </w:tcPr>
          <w:p w14:paraId="0F0A5AC2" w14:textId="70E11988"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101.3</w:t>
            </w:r>
          </w:p>
        </w:tc>
        <w:tc>
          <w:tcPr>
            <w:tcW w:w="503" w:type="pct"/>
            <w:tcBorders>
              <w:top w:val="nil"/>
              <w:left w:val="nil"/>
              <w:bottom w:val="nil"/>
              <w:right w:val="nil"/>
            </w:tcBorders>
            <w:shd w:val="clear" w:color="000000" w:fill="FFFFFF"/>
            <w:noWrap/>
            <w:vAlign w:val="center"/>
            <w:hideMark/>
          </w:tcPr>
          <w:p w14:paraId="1B487C00"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1,714.0</w:t>
            </w:r>
          </w:p>
        </w:tc>
      </w:tr>
      <w:tr w:rsidR="00485CC9" w:rsidRPr="00485CC9" w14:paraId="4C60940B" w14:textId="77777777" w:rsidTr="00ED2BDA">
        <w:trPr>
          <w:trHeight w:val="450"/>
        </w:trPr>
        <w:tc>
          <w:tcPr>
            <w:tcW w:w="1149" w:type="pct"/>
            <w:tcBorders>
              <w:top w:val="nil"/>
              <w:left w:val="nil"/>
              <w:bottom w:val="nil"/>
              <w:right w:val="nil"/>
            </w:tcBorders>
            <w:shd w:val="clear" w:color="000000" w:fill="FFFFFF"/>
            <w:hideMark/>
          </w:tcPr>
          <w:p w14:paraId="4830358C" w14:textId="1EF777D8" w:rsidR="00485CC9" w:rsidRPr="00485CC9" w:rsidRDefault="00485CC9" w:rsidP="00485CC9">
            <w:pPr>
              <w:spacing w:after="0" w:line="240" w:lineRule="auto"/>
              <w:jc w:val="left"/>
              <w:rPr>
                <w:rFonts w:ascii="Arial" w:hAnsi="Arial" w:cs="Arial"/>
                <w:sz w:val="16"/>
                <w:szCs w:val="16"/>
              </w:rPr>
            </w:pPr>
            <w:r w:rsidRPr="00485CC9">
              <w:rPr>
                <w:rFonts w:ascii="Arial" w:hAnsi="Arial" w:cs="Arial"/>
                <w:sz w:val="16"/>
                <w:szCs w:val="16"/>
              </w:rPr>
              <w:t>K</w:t>
            </w:r>
            <w:r w:rsidR="00134265">
              <w:rPr>
                <w:rFonts w:ascii="Arial" w:hAnsi="Arial" w:cs="Arial"/>
                <w:sz w:val="16"/>
                <w:szCs w:val="16"/>
              </w:rPr>
              <w:t>OREA, REPUBLIC OF (SOUTH KOREA)</w:t>
            </w:r>
          </w:p>
        </w:tc>
        <w:tc>
          <w:tcPr>
            <w:tcW w:w="118" w:type="pct"/>
            <w:tcBorders>
              <w:top w:val="nil"/>
              <w:left w:val="nil"/>
              <w:bottom w:val="nil"/>
              <w:right w:val="nil"/>
            </w:tcBorders>
            <w:shd w:val="clear" w:color="000000" w:fill="FFFFFF"/>
            <w:noWrap/>
          </w:tcPr>
          <w:p w14:paraId="7C831E50" w14:textId="37E32FF7"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hideMark/>
          </w:tcPr>
          <w:p w14:paraId="4D2ED6D4" w14:textId="3D9946B5"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87</w:t>
            </w:r>
          </w:p>
        </w:tc>
        <w:tc>
          <w:tcPr>
            <w:tcW w:w="463" w:type="pct"/>
            <w:tcBorders>
              <w:top w:val="nil"/>
              <w:left w:val="nil"/>
              <w:bottom w:val="nil"/>
              <w:right w:val="nil"/>
            </w:tcBorders>
            <w:shd w:val="clear" w:color="000000" w:fill="FFFFFF"/>
            <w:noWrap/>
            <w:hideMark/>
          </w:tcPr>
          <w:p w14:paraId="18F44EEC" w14:textId="3F1DB8F2"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267.9</w:t>
            </w:r>
          </w:p>
        </w:tc>
        <w:tc>
          <w:tcPr>
            <w:tcW w:w="436" w:type="pct"/>
            <w:tcBorders>
              <w:top w:val="nil"/>
              <w:left w:val="nil"/>
              <w:bottom w:val="nil"/>
              <w:right w:val="nil"/>
            </w:tcBorders>
            <w:shd w:val="clear" w:color="000000" w:fill="FFFFFF"/>
            <w:noWrap/>
            <w:hideMark/>
          </w:tcPr>
          <w:p w14:paraId="6F846748" w14:textId="1FFC8D84"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6.8</w:t>
            </w:r>
          </w:p>
        </w:tc>
        <w:tc>
          <w:tcPr>
            <w:tcW w:w="559" w:type="pct"/>
            <w:tcBorders>
              <w:top w:val="nil"/>
              <w:left w:val="nil"/>
              <w:bottom w:val="nil"/>
              <w:right w:val="nil"/>
            </w:tcBorders>
            <w:shd w:val="clear" w:color="000000" w:fill="FFFFFF"/>
            <w:noWrap/>
            <w:hideMark/>
          </w:tcPr>
          <w:p w14:paraId="457B3429" w14:textId="5D3B9AAC"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97.1</w:t>
            </w:r>
          </w:p>
        </w:tc>
        <w:tc>
          <w:tcPr>
            <w:tcW w:w="497" w:type="pct"/>
            <w:tcBorders>
              <w:top w:val="nil"/>
              <w:left w:val="nil"/>
              <w:bottom w:val="nil"/>
              <w:right w:val="nil"/>
            </w:tcBorders>
            <w:shd w:val="clear" w:color="000000" w:fill="FFFFFF"/>
            <w:noWrap/>
            <w:hideMark/>
          </w:tcPr>
          <w:p w14:paraId="228CDE3D" w14:textId="70D6E492"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00.1</w:t>
            </w:r>
          </w:p>
        </w:tc>
        <w:tc>
          <w:tcPr>
            <w:tcW w:w="393" w:type="pct"/>
            <w:tcBorders>
              <w:top w:val="nil"/>
              <w:left w:val="nil"/>
              <w:bottom w:val="nil"/>
              <w:right w:val="nil"/>
            </w:tcBorders>
            <w:shd w:val="clear" w:color="000000" w:fill="FFFFFF"/>
            <w:noWrap/>
            <w:hideMark/>
          </w:tcPr>
          <w:p w14:paraId="11369FBB" w14:textId="36888926"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425.2</w:t>
            </w:r>
          </w:p>
        </w:tc>
        <w:tc>
          <w:tcPr>
            <w:tcW w:w="419" w:type="pct"/>
            <w:tcBorders>
              <w:top w:val="nil"/>
              <w:left w:val="nil"/>
              <w:bottom w:val="nil"/>
              <w:right w:val="nil"/>
            </w:tcBorders>
            <w:shd w:val="clear" w:color="000000" w:fill="FFFFFF"/>
            <w:noWrap/>
            <w:hideMark/>
          </w:tcPr>
          <w:p w14:paraId="779A8D0A" w14:textId="2F914F61"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729.5</w:t>
            </w:r>
          </w:p>
        </w:tc>
        <w:tc>
          <w:tcPr>
            <w:tcW w:w="503" w:type="pct"/>
            <w:tcBorders>
              <w:top w:val="nil"/>
              <w:left w:val="nil"/>
              <w:bottom w:val="nil"/>
              <w:right w:val="nil"/>
            </w:tcBorders>
            <w:shd w:val="clear" w:color="000000" w:fill="FFFFFF"/>
            <w:noWrap/>
            <w:hideMark/>
          </w:tcPr>
          <w:p w14:paraId="7F21BD1A"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1,626.5</w:t>
            </w:r>
          </w:p>
        </w:tc>
      </w:tr>
      <w:tr w:rsidR="00134265" w:rsidRPr="00485CC9" w14:paraId="1312B579" w14:textId="77777777" w:rsidTr="00ED2BDA">
        <w:trPr>
          <w:trHeight w:val="64"/>
        </w:trPr>
        <w:tc>
          <w:tcPr>
            <w:tcW w:w="1149" w:type="pct"/>
            <w:tcBorders>
              <w:top w:val="nil"/>
              <w:left w:val="nil"/>
              <w:bottom w:val="nil"/>
              <w:right w:val="nil"/>
            </w:tcBorders>
            <w:shd w:val="clear" w:color="auto" w:fill="auto"/>
            <w:noWrap/>
            <w:vAlign w:val="bottom"/>
            <w:hideMark/>
          </w:tcPr>
          <w:p w14:paraId="301C3EBE" w14:textId="77777777" w:rsidR="00485CC9" w:rsidRPr="00485CC9" w:rsidRDefault="00485CC9" w:rsidP="00485CC9">
            <w:pPr>
              <w:spacing w:after="0" w:line="240" w:lineRule="auto"/>
              <w:jc w:val="right"/>
              <w:rPr>
                <w:rFonts w:ascii="Arial" w:hAnsi="Arial" w:cs="Arial"/>
                <w:sz w:val="16"/>
                <w:szCs w:val="16"/>
              </w:rPr>
            </w:pPr>
          </w:p>
        </w:tc>
        <w:tc>
          <w:tcPr>
            <w:tcW w:w="118" w:type="pct"/>
            <w:tcBorders>
              <w:top w:val="nil"/>
              <w:left w:val="nil"/>
              <w:bottom w:val="nil"/>
              <w:right w:val="nil"/>
            </w:tcBorders>
            <w:shd w:val="clear" w:color="auto" w:fill="auto"/>
            <w:noWrap/>
            <w:vAlign w:val="bottom"/>
          </w:tcPr>
          <w:p w14:paraId="469FC335" w14:textId="77777777" w:rsidR="00485CC9" w:rsidRPr="00485CC9" w:rsidRDefault="00485CC9" w:rsidP="00485CC9">
            <w:pPr>
              <w:spacing w:after="0" w:line="240" w:lineRule="auto"/>
              <w:jc w:val="left"/>
              <w:rPr>
                <w:rFonts w:ascii="Times New Roman" w:hAnsi="Times New Roman"/>
                <w:color w:val="auto"/>
              </w:rPr>
            </w:pPr>
          </w:p>
        </w:tc>
        <w:tc>
          <w:tcPr>
            <w:tcW w:w="463" w:type="pct"/>
            <w:tcBorders>
              <w:top w:val="nil"/>
              <w:left w:val="nil"/>
              <w:bottom w:val="nil"/>
              <w:right w:val="nil"/>
            </w:tcBorders>
            <w:shd w:val="clear" w:color="auto" w:fill="auto"/>
            <w:noWrap/>
            <w:vAlign w:val="bottom"/>
            <w:hideMark/>
          </w:tcPr>
          <w:p w14:paraId="7A10AD54" w14:textId="77777777" w:rsidR="00485CC9" w:rsidRPr="00485CC9" w:rsidRDefault="00485CC9" w:rsidP="00134265">
            <w:pPr>
              <w:spacing w:after="0" w:line="240" w:lineRule="auto"/>
              <w:jc w:val="right"/>
              <w:rPr>
                <w:rFonts w:ascii="Times New Roman" w:hAnsi="Times New Roman"/>
                <w:color w:val="auto"/>
              </w:rPr>
            </w:pPr>
          </w:p>
        </w:tc>
        <w:tc>
          <w:tcPr>
            <w:tcW w:w="463" w:type="pct"/>
            <w:tcBorders>
              <w:top w:val="nil"/>
              <w:left w:val="nil"/>
              <w:bottom w:val="nil"/>
              <w:right w:val="nil"/>
            </w:tcBorders>
            <w:shd w:val="clear" w:color="auto" w:fill="auto"/>
            <w:noWrap/>
            <w:vAlign w:val="bottom"/>
            <w:hideMark/>
          </w:tcPr>
          <w:p w14:paraId="6CD670FD" w14:textId="77777777" w:rsidR="00485CC9" w:rsidRPr="00485CC9" w:rsidRDefault="00485CC9" w:rsidP="00134265">
            <w:pPr>
              <w:spacing w:after="0" w:line="240" w:lineRule="auto"/>
              <w:jc w:val="right"/>
              <w:rPr>
                <w:rFonts w:ascii="Times New Roman" w:hAnsi="Times New Roman"/>
                <w:color w:val="auto"/>
              </w:rPr>
            </w:pPr>
          </w:p>
        </w:tc>
        <w:tc>
          <w:tcPr>
            <w:tcW w:w="436" w:type="pct"/>
            <w:tcBorders>
              <w:top w:val="nil"/>
              <w:left w:val="nil"/>
              <w:bottom w:val="nil"/>
              <w:right w:val="nil"/>
            </w:tcBorders>
            <w:shd w:val="clear" w:color="auto" w:fill="auto"/>
            <w:noWrap/>
            <w:vAlign w:val="bottom"/>
            <w:hideMark/>
          </w:tcPr>
          <w:p w14:paraId="79B99550" w14:textId="77777777" w:rsidR="00485CC9" w:rsidRPr="00485CC9" w:rsidRDefault="00485CC9" w:rsidP="00134265">
            <w:pPr>
              <w:spacing w:after="0" w:line="240" w:lineRule="auto"/>
              <w:jc w:val="right"/>
              <w:rPr>
                <w:rFonts w:ascii="Times New Roman" w:hAnsi="Times New Roman"/>
                <w:color w:val="auto"/>
              </w:rPr>
            </w:pPr>
          </w:p>
        </w:tc>
        <w:tc>
          <w:tcPr>
            <w:tcW w:w="559" w:type="pct"/>
            <w:tcBorders>
              <w:top w:val="nil"/>
              <w:left w:val="nil"/>
              <w:bottom w:val="nil"/>
              <w:right w:val="nil"/>
            </w:tcBorders>
            <w:shd w:val="clear" w:color="auto" w:fill="auto"/>
            <w:noWrap/>
            <w:vAlign w:val="bottom"/>
            <w:hideMark/>
          </w:tcPr>
          <w:p w14:paraId="5FA2248F" w14:textId="77777777" w:rsidR="00485CC9" w:rsidRPr="00485CC9" w:rsidRDefault="00485CC9" w:rsidP="00134265">
            <w:pPr>
              <w:spacing w:after="0" w:line="240" w:lineRule="auto"/>
              <w:jc w:val="right"/>
              <w:rPr>
                <w:rFonts w:ascii="Times New Roman" w:hAnsi="Times New Roman"/>
                <w:color w:val="auto"/>
              </w:rPr>
            </w:pPr>
          </w:p>
        </w:tc>
        <w:tc>
          <w:tcPr>
            <w:tcW w:w="497" w:type="pct"/>
            <w:tcBorders>
              <w:top w:val="nil"/>
              <w:left w:val="nil"/>
              <w:bottom w:val="nil"/>
              <w:right w:val="nil"/>
            </w:tcBorders>
            <w:shd w:val="clear" w:color="auto" w:fill="auto"/>
            <w:noWrap/>
            <w:vAlign w:val="bottom"/>
            <w:hideMark/>
          </w:tcPr>
          <w:p w14:paraId="6A615D96" w14:textId="77777777" w:rsidR="00485CC9" w:rsidRPr="00485CC9" w:rsidRDefault="00485CC9" w:rsidP="00134265">
            <w:pPr>
              <w:spacing w:after="0" w:line="240" w:lineRule="auto"/>
              <w:jc w:val="right"/>
              <w:rPr>
                <w:rFonts w:ascii="Times New Roman" w:hAnsi="Times New Roman"/>
                <w:color w:val="auto"/>
              </w:rPr>
            </w:pPr>
          </w:p>
        </w:tc>
        <w:tc>
          <w:tcPr>
            <w:tcW w:w="393" w:type="pct"/>
            <w:tcBorders>
              <w:top w:val="nil"/>
              <w:left w:val="nil"/>
              <w:bottom w:val="nil"/>
              <w:right w:val="nil"/>
            </w:tcBorders>
            <w:shd w:val="clear" w:color="auto" w:fill="auto"/>
            <w:noWrap/>
            <w:vAlign w:val="bottom"/>
            <w:hideMark/>
          </w:tcPr>
          <w:p w14:paraId="345022F4" w14:textId="77777777" w:rsidR="00485CC9" w:rsidRPr="00485CC9" w:rsidRDefault="00485CC9" w:rsidP="00134265">
            <w:pPr>
              <w:spacing w:after="0" w:line="240" w:lineRule="auto"/>
              <w:jc w:val="right"/>
              <w:rPr>
                <w:rFonts w:ascii="Times New Roman" w:hAnsi="Times New Roman"/>
                <w:color w:val="auto"/>
              </w:rPr>
            </w:pPr>
          </w:p>
        </w:tc>
        <w:tc>
          <w:tcPr>
            <w:tcW w:w="419" w:type="pct"/>
            <w:tcBorders>
              <w:top w:val="nil"/>
              <w:left w:val="nil"/>
              <w:bottom w:val="nil"/>
              <w:right w:val="nil"/>
            </w:tcBorders>
            <w:shd w:val="clear" w:color="auto" w:fill="auto"/>
            <w:noWrap/>
            <w:vAlign w:val="bottom"/>
            <w:hideMark/>
          </w:tcPr>
          <w:p w14:paraId="0159ADDB" w14:textId="77777777" w:rsidR="00485CC9" w:rsidRPr="00485CC9" w:rsidRDefault="00485CC9" w:rsidP="00134265">
            <w:pPr>
              <w:spacing w:after="0" w:line="240" w:lineRule="auto"/>
              <w:jc w:val="right"/>
              <w:rPr>
                <w:rFonts w:ascii="Times New Roman" w:hAnsi="Times New Roman"/>
                <w:color w:val="auto"/>
              </w:rPr>
            </w:pPr>
          </w:p>
        </w:tc>
        <w:tc>
          <w:tcPr>
            <w:tcW w:w="503" w:type="pct"/>
            <w:tcBorders>
              <w:top w:val="nil"/>
              <w:left w:val="nil"/>
              <w:bottom w:val="nil"/>
              <w:right w:val="nil"/>
            </w:tcBorders>
            <w:shd w:val="clear" w:color="auto" w:fill="auto"/>
            <w:noWrap/>
            <w:vAlign w:val="bottom"/>
            <w:hideMark/>
          </w:tcPr>
          <w:p w14:paraId="686F5B69" w14:textId="77777777" w:rsidR="00485CC9" w:rsidRPr="00485CC9" w:rsidRDefault="00485CC9" w:rsidP="00134265">
            <w:pPr>
              <w:spacing w:after="0" w:line="240" w:lineRule="auto"/>
              <w:jc w:val="right"/>
              <w:rPr>
                <w:rFonts w:ascii="Times New Roman" w:hAnsi="Times New Roman"/>
                <w:color w:val="auto"/>
              </w:rPr>
            </w:pPr>
          </w:p>
        </w:tc>
      </w:tr>
      <w:tr w:rsidR="00485CC9" w:rsidRPr="00485CC9" w14:paraId="546CB383" w14:textId="77777777" w:rsidTr="00ED2BDA">
        <w:trPr>
          <w:trHeight w:val="229"/>
        </w:trPr>
        <w:tc>
          <w:tcPr>
            <w:tcW w:w="1149" w:type="pct"/>
            <w:tcBorders>
              <w:top w:val="nil"/>
              <w:left w:val="nil"/>
              <w:bottom w:val="nil"/>
              <w:right w:val="nil"/>
            </w:tcBorders>
            <w:shd w:val="clear" w:color="000000" w:fill="FFFFFF"/>
            <w:noWrap/>
            <w:vAlign w:val="center"/>
            <w:hideMark/>
          </w:tcPr>
          <w:p w14:paraId="4FC8983B" w14:textId="33FF502B"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Other Countries (c)</w:t>
            </w:r>
          </w:p>
        </w:tc>
        <w:tc>
          <w:tcPr>
            <w:tcW w:w="118" w:type="pct"/>
            <w:tcBorders>
              <w:top w:val="nil"/>
              <w:left w:val="nil"/>
              <w:bottom w:val="nil"/>
              <w:right w:val="nil"/>
            </w:tcBorders>
            <w:shd w:val="clear" w:color="000000" w:fill="FFFFFF"/>
            <w:noWrap/>
            <w:vAlign w:val="bottom"/>
          </w:tcPr>
          <w:p w14:paraId="5D84EEE4" w14:textId="21B3E9FA"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nil"/>
              <w:right w:val="nil"/>
            </w:tcBorders>
            <w:shd w:val="clear" w:color="000000" w:fill="FFFFFF"/>
            <w:noWrap/>
            <w:vAlign w:val="center"/>
            <w:hideMark/>
          </w:tcPr>
          <w:p w14:paraId="4FCD8A67" w14:textId="50F05C10"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1,736</w:t>
            </w:r>
          </w:p>
        </w:tc>
        <w:tc>
          <w:tcPr>
            <w:tcW w:w="463" w:type="pct"/>
            <w:tcBorders>
              <w:top w:val="nil"/>
              <w:left w:val="nil"/>
              <w:bottom w:val="nil"/>
              <w:right w:val="nil"/>
            </w:tcBorders>
            <w:shd w:val="clear" w:color="000000" w:fill="FFFFFF"/>
            <w:noWrap/>
            <w:vAlign w:val="center"/>
            <w:hideMark/>
          </w:tcPr>
          <w:p w14:paraId="1B4368A3" w14:textId="760D2FC0"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655.2</w:t>
            </w:r>
          </w:p>
        </w:tc>
        <w:tc>
          <w:tcPr>
            <w:tcW w:w="436" w:type="pct"/>
            <w:tcBorders>
              <w:top w:val="nil"/>
              <w:left w:val="nil"/>
              <w:bottom w:val="nil"/>
              <w:right w:val="nil"/>
            </w:tcBorders>
            <w:shd w:val="clear" w:color="000000" w:fill="FFFFFF"/>
            <w:noWrap/>
            <w:vAlign w:val="center"/>
            <w:hideMark/>
          </w:tcPr>
          <w:p w14:paraId="0411F92E" w14:textId="583F7BE5"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225.1</w:t>
            </w:r>
          </w:p>
        </w:tc>
        <w:tc>
          <w:tcPr>
            <w:tcW w:w="559" w:type="pct"/>
            <w:tcBorders>
              <w:top w:val="nil"/>
              <w:left w:val="nil"/>
              <w:bottom w:val="nil"/>
              <w:right w:val="nil"/>
            </w:tcBorders>
            <w:shd w:val="clear" w:color="000000" w:fill="FFFFFF"/>
            <w:noWrap/>
            <w:vAlign w:val="center"/>
            <w:hideMark/>
          </w:tcPr>
          <w:p w14:paraId="40910385" w14:textId="34D29901"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2,873.3</w:t>
            </w:r>
          </w:p>
        </w:tc>
        <w:tc>
          <w:tcPr>
            <w:tcW w:w="497" w:type="pct"/>
            <w:tcBorders>
              <w:top w:val="nil"/>
              <w:left w:val="nil"/>
              <w:bottom w:val="nil"/>
              <w:right w:val="nil"/>
            </w:tcBorders>
            <w:shd w:val="clear" w:color="000000" w:fill="FFFFFF"/>
            <w:noWrap/>
            <w:vAlign w:val="center"/>
            <w:hideMark/>
          </w:tcPr>
          <w:p w14:paraId="1640ECCC" w14:textId="33C13D58"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1,601.6</w:t>
            </w:r>
          </w:p>
        </w:tc>
        <w:tc>
          <w:tcPr>
            <w:tcW w:w="393" w:type="pct"/>
            <w:tcBorders>
              <w:top w:val="nil"/>
              <w:left w:val="nil"/>
              <w:bottom w:val="nil"/>
              <w:right w:val="nil"/>
            </w:tcBorders>
            <w:shd w:val="clear" w:color="000000" w:fill="FFFFFF"/>
            <w:noWrap/>
            <w:vAlign w:val="center"/>
            <w:hideMark/>
          </w:tcPr>
          <w:p w14:paraId="53C8FBAA" w14:textId="3E52607C"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5,462.7</w:t>
            </w:r>
          </w:p>
        </w:tc>
        <w:tc>
          <w:tcPr>
            <w:tcW w:w="419" w:type="pct"/>
            <w:tcBorders>
              <w:top w:val="nil"/>
              <w:left w:val="nil"/>
              <w:bottom w:val="nil"/>
              <w:right w:val="nil"/>
            </w:tcBorders>
            <w:shd w:val="clear" w:color="000000" w:fill="FFFFFF"/>
            <w:noWrap/>
            <w:vAlign w:val="center"/>
            <w:hideMark/>
          </w:tcPr>
          <w:p w14:paraId="606B9361" w14:textId="312695EB"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2,238.8</w:t>
            </w:r>
          </w:p>
        </w:tc>
        <w:tc>
          <w:tcPr>
            <w:tcW w:w="503" w:type="pct"/>
            <w:tcBorders>
              <w:top w:val="nil"/>
              <w:left w:val="nil"/>
              <w:bottom w:val="nil"/>
              <w:right w:val="nil"/>
            </w:tcBorders>
            <w:shd w:val="clear" w:color="000000" w:fill="FFFFFF"/>
            <w:noWrap/>
            <w:vAlign w:val="center"/>
            <w:hideMark/>
          </w:tcPr>
          <w:p w14:paraId="1A01DC4A"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13,056.6</w:t>
            </w:r>
          </w:p>
        </w:tc>
      </w:tr>
      <w:tr w:rsidR="00485CC9" w:rsidRPr="00485CC9" w14:paraId="2B0987F6" w14:textId="77777777" w:rsidTr="00FE48A4">
        <w:trPr>
          <w:trHeight w:val="229"/>
        </w:trPr>
        <w:tc>
          <w:tcPr>
            <w:tcW w:w="1149" w:type="pct"/>
            <w:tcBorders>
              <w:top w:val="nil"/>
              <w:left w:val="nil"/>
              <w:bottom w:val="single" w:sz="2" w:space="0" w:color="000000" w:themeColor="text1"/>
              <w:right w:val="nil"/>
            </w:tcBorders>
            <w:shd w:val="clear" w:color="000000" w:fill="FFFFFF"/>
            <w:noWrap/>
            <w:vAlign w:val="center"/>
            <w:hideMark/>
          </w:tcPr>
          <w:p w14:paraId="692F7E02" w14:textId="51B3B9E4"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New Dwelling EC (d)</w:t>
            </w:r>
          </w:p>
        </w:tc>
        <w:tc>
          <w:tcPr>
            <w:tcW w:w="118" w:type="pct"/>
            <w:tcBorders>
              <w:top w:val="nil"/>
              <w:left w:val="nil"/>
              <w:bottom w:val="single" w:sz="2" w:space="0" w:color="000000" w:themeColor="text1"/>
              <w:right w:val="nil"/>
            </w:tcBorders>
            <w:shd w:val="clear" w:color="000000" w:fill="FFFFFF"/>
            <w:noWrap/>
            <w:vAlign w:val="bottom"/>
          </w:tcPr>
          <w:p w14:paraId="5E01EF43" w14:textId="0E23EE18"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single" w:sz="2" w:space="0" w:color="000000" w:themeColor="text1"/>
              <w:right w:val="nil"/>
            </w:tcBorders>
            <w:shd w:val="clear" w:color="000000" w:fill="FFFFFF"/>
            <w:noWrap/>
            <w:vAlign w:val="center"/>
            <w:hideMark/>
          </w:tcPr>
          <w:p w14:paraId="0B44C3B2" w14:textId="3C479859"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38</w:t>
            </w:r>
          </w:p>
        </w:tc>
        <w:tc>
          <w:tcPr>
            <w:tcW w:w="463" w:type="pct"/>
            <w:tcBorders>
              <w:top w:val="nil"/>
              <w:left w:val="nil"/>
              <w:bottom w:val="single" w:sz="2" w:space="0" w:color="000000" w:themeColor="text1"/>
              <w:right w:val="nil"/>
            </w:tcBorders>
            <w:shd w:val="clear" w:color="000000" w:fill="FFFFFF"/>
            <w:noWrap/>
            <w:vAlign w:val="center"/>
            <w:hideMark/>
          </w:tcPr>
          <w:p w14:paraId="68143BC9" w14:textId="4E77C852" w:rsidR="00485CC9" w:rsidRPr="00485CC9" w:rsidRDefault="00485CC9" w:rsidP="00134265">
            <w:pPr>
              <w:spacing w:after="0" w:line="240" w:lineRule="auto"/>
              <w:jc w:val="right"/>
              <w:rPr>
                <w:rFonts w:ascii="Arial" w:hAnsi="Arial" w:cs="Arial"/>
                <w:sz w:val="16"/>
                <w:szCs w:val="16"/>
              </w:rPr>
            </w:pPr>
          </w:p>
        </w:tc>
        <w:tc>
          <w:tcPr>
            <w:tcW w:w="436" w:type="pct"/>
            <w:tcBorders>
              <w:top w:val="nil"/>
              <w:left w:val="nil"/>
              <w:bottom w:val="single" w:sz="2" w:space="0" w:color="000000" w:themeColor="text1"/>
              <w:right w:val="nil"/>
            </w:tcBorders>
            <w:shd w:val="clear" w:color="000000" w:fill="FFFFFF"/>
            <w:noWrap/>
            <w:vAlign w:val="center"/>
            <w:hideMark/>
          </w:tcPr>
          <w:p w14:paraId="6B4669BB" w14:textId="2E4B6644" w:rsidR="00485CC9" w:rsidRPr="00485CC9" w:rsidRDefault="00485CC9" w:rsidP="00134265">
            <w:pPr>
              <w:spacing w:after="0" w:line="240" w:lineRule="auto"/>
              <w:jc w:val="right"/>
              <w:rPr>
                <w:rFonts w:ascii="Arial" w:hAnsi="Arial" w:cs="Arial"/>
                <w:sz w:val="16"/>
                <w:szCs w:val="16"/>
              </w:rPr>
            </w:pPr>
          </w:p>
        </w:tc>
        <w:tc>
          <w:tcPr>
            <w:tcW w:w="559" w:type="pct"/>
            <w:tcBorders>
              <w:top w:val="nil"/>
              <w:left w:val="nil"/>
              <w:bottom w:val="single" w:sz="2" w:space="0" w:color="000000" w:themeColor="text1"/>
              <w:right w:val="nil"/>
            </w:tcBorders>
            <w:shd w:val="clear" w:color="000000" w:fill="FFFFFF"/>
            <w:noWrap/>
            <w:vAlign w:val="center"/>
            <w:hideMark/>
          </w:tcPr>
          <w:p w14:paraId="0753115D" w14:textId="08C5A212" w:rsidR="00485CC9" w:rsidRPr="00485CC9" w:rsidRDefault="00485CC9" w:rsidP="00134265">
            <w:pPr>
              <w:spacing w:after="0" w:line="240" w:lineRule="auto"/>
              <w:jc w:val="right"/>
              <w:rPr>
                <w:rFonts w:ascii="Arial" w:hAnsi="Arial" w:cs="Arial"/>
                <w:sz w:val="16"/>
                <w:szCs w:val="16"/>
              </w:rPr>
            </w:pPr>
          </w:p>
        </w:tc>
        <w:tc>
          <w:tcPr>
            <w:tcW w:w="497" w:type="pct"/>
            <w:tcBorders>
              <w:top w:val="nil"/>
              <w:left w:val="nil"/>
              <w:bottom w:val="single" w:sz="2" w:space="0" w:color="000000" w:themeColor="text1"/>
              <w:right w:val="nil"/>
            </w:tcBorders>
            <w:shd w:val="clear" w:color="000000" w:fill="FFFFFF"/>
            <w:noWrap/>
            <w:vAlign w:val="center"/>
            <w:hideMark/>
          </w:tcPr>
          <w:p w14:paraId="18CDDBF4" w14:textId="4151571C" w:rsidR="00485CC9" w:rsidRPr="00485CC9" w:rsidRDefault="00485CC9" w:rsidP="00134265">
            <w:pPr>
              <w:spacing w:after="0" w:line="240" w:lineRule="auto"/>
              <w:jc w:val="right"/>
              <w:rPr>
                <w:rFonts w:ascii="Arial" w:hAnsi="Arial" w:cs="Arial"/>
                <w:sz w:val="16"/>
                <w:szCs w:val="16"/>
              </w:rPr>
            </w:pPr>
          </w:p>
        </w:tc>
        <w:tc>
          <w:tcPr>
            <w:tcW w:w="393" w:type="pct"/>
            <w:tcBorders>
              <w:top w:val="nil"/>
              <w:left w:val="nil"/>
              <w:bottom w:val="single" w:sz="2" w:space="0" w:color="000000" w:themeColor="text1"/>
              <w:right w:val="nil"/>
            </w:tcBorders>
            <w:shd w:val="clear" w:color="000000" w:fill="FFFFFF"/>
            <w:noWrap/>
            <w:vAlign w:val="center"/>
            <w:hideMark/>
          </w:tcPr>
          <w:p w14:paraId="2C7BD7D7" w14:textId="6E15084E"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1,664</w:t>
            </w:r>
          </w:p>
        </w:tc>
        <w:tc>
          <w:tcPr>
            <w:tcW w:w="419" w:type="pct"/>
            <w:tcBorders>
              <w:top w:val="nil"/>
              <w:left w:val="nil"/>
              <w:bottom w:val="single" w:sz="2" w:space="0" w:color="000000" w:themeColor="text1"/>
              <w:right w:val="nil"/>
            </w:tcBorders>
            <w:shd w:val="clear" w:color="000000" w:fill="FFFFFF"/>
            <w:noWrap/>
            <w:vAlign w:val="center"/>
            <w:hideMark/>
          </w:tcPr>
          <w:p w14:paraId="26140F6D" w14:textId="3C3E8C36" w:rsidR="00485CC9" w:rsidRPr="00485CC9" w:rsidRDefault="00485CC9" w:rsidP="00134265">
            <w:pPr>
              <w:spacing w:after="0" w:line="240" w:lineRule="auto"/>
              <w:jc w:val="right"/>
              <w:rPr>
                <w:rFonts w:ascii="Arial" w:hAnsi="Arial" w:cs="Arial"/>
                <w:sz w:val="16"/>
                <w:szCs w:val="16"/>
              </w:rPr>
            </w:pPr>
          </w:p>
        </w:tc>
        <w:tc>
          <w:tcPr>
            <w:tcW w:w="503" w:type="pct"/>
            <w:tcBorders>
              <w:top w:val="nil"/>
              <w:left w:val="nil"/>
              <w:bottom w:val="single" w:sz="2" w:space="0" w:color="000000" w:themeColor="text1"/>
              <w:right w:val="nil"/>
            </w:tcBorders>
            <w:shd w:val="clear" w:color="000000" w:fill="FFFFFF"/>
            <w:noWrap/>
            <w:vAlign w:val="center"/>
            <w:hideMark/>
          </w:tcPr>
          <w:p w14:paraId="6AA0848A"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1,664.2</w:t>
            </w:r>
          </w:p>
        </w:tc>
      </w:tr>
      <w:tr w:rsidR="00485CC9" w:rsidRPr="00485CC9" w14:paraId="49139116" w14:textId="77777777" w:rsidTr="00FE48A4">
        <w:trPr>
          <w:trHeight w:val="229"/>
        </w:trPr>
        <w:tc>
          <w:tcPr>
            <w:tcW w:w="1149" w:type="pct"/>
            <w:tcBorders>
              <w:top w:val="single" w:sz="2" w:space="0" w:color="000000" w:themeColor="text1"/>
              <w:left w:val="nil"/>
              <w:bottom w:val="nil"/>
              <w:right w:val="nil"/>
            </w:tcBorders>
            <w:shd w:val="clear" w:color="000000" w:fill="FFFFFF"/>
            <w:noWrap/>
            <w:vAlign w:val="center"/>
            <w:hideMark/>
          </w:tcPr>
          <w:p w14:paraId="27B1BC70" w14:textId="21713100" w:rsidR="00485CC9" w:rsidRPr="00485CC9" w:rsidRDefault="00485CC9" w:rsidP="00134265">
            <w:pPr>
              <w:spacing w:after="0" w:line="240" w:lineRule="auto"/>
              <w:jc w:val="right"/>
              <w:rPr>
                <w:rFonts w:ascii="Arial" w:hAnsi="Arial" w:cs="Arial"/>
                <w:i/>
                <w:iCs/>
                <w:sz w:val="16"/>
                <w:szCs w:val="16"/>
              </w:rPr>
            </w:pPr>
            <w:r w:rsidRPr="00485CC9">
              <w:rPr>
                <w:rFonts w:ascii="Arial" w:hAnsi="Arial" w:cs="Arial"/>
                <w:i/>
                <w:iCs/>
                <w:sz w:val="16"/>
                <w:szCs w:val="16"/>
              </w:rPr>
              <w:t>Sub-total</w:t>
            </w:r>
          </w:p>
        </w:tc>
        <w:tc>
          <w:tcPr>
            <w:tcW w:w="118" w:type="pct"/>
            <w:tcBorders>
              <w:top w:val="single" w:sz="2" w:space="0" w:color="000000" w:themeColor="text1"/>
              <w:left w:val="nil"/>
              <w:bottom w:val="nil"/>
              <w:right w:val="nil"/>
            </w:tcBorders>
            <w:shd w:val="clear" w:color="000000" w:fill="FFFFFF"/>
            <w:noWrap/>
            <w:vAlign w:val="bottom"/>
          </w:tcPr>
          <w:p w14:paraId="6896E6E2" w14:textId="1371D322" w:rsidR="00485CC9" w:rsidRPr="00485CC9" w:rsidRDefault="00485CC9" w:rsidP="00485CC9">
            <w:pPr>
              <w:spacing w:after="0" w:line="240" w:lineRule="auto"/>
              <w:jc w:val="left"/>
              <w:rPr>
                <w:rFonts w:ascii="Arial" w:hAnsi="Arial" w:cs="Arial"/>
                <w:sz w:val="16"/>
                <w:szCs w:val="16"/>
              </w:rPr>
            </w:pPr>
          </w:p>
        </w:tc>
        <w:tc>
          <w:tcPr>
            <w:tcW w:w="463" w:type="pct"/>
            <w:tcBorders>
              <w:top w:val="single" w:sz="2" w:space="0" w:color="000000" w:themeColor="text1"/>
              <w:left w:val="nil"/>
              <w:bottom w:val="nil"/>
              <w:right w:val="nil"/>
            </w:tcBorders>
            <w:shd w:val="clear" w:color="000000" w:fill="FFFFFF"/>
            <w:noWrap/>
            <w:vAlign w:val="center"/>
            <w:hideMark/>
          </w:tcPr>
          <w:p w14:paraId="00244FE9" w14:textId="4A6AA813" w:rsidR="00485CC9" w:rsidRPr="00485CC9" w:rsidRDefault="00485CC9" w:rsidP="00A053BC">
            <w:pPr>
              <w:spacing w:after="0" w:line="240" w:lineRule="auto"/>
              <w:jc w:val="right"/>
              <w:rPr>
                <w:rFonts w:ascii="Arial" w:hAnsi="Arial" w:cs="Arial"/>
                <w:i/>
                <w:iCs/>
                <w:sz w:val="16"/>
                <w:szCs w:val="16"/>
              </w:rPr>
            </w:pPr>
            <w:r w:rsidRPr="00485CC9">
              <w:rPr>
                <w:rFonts w:ascii="Arial" w:hAnsi="Arial" w:cs="Arial"/>
                <w:i/>
                <w:iCs/>
                <w:sz w:val="16"/>
                <w:szCs w:val="16"/>
              </w:rPr>
              <w:t>9,603</w:t>
            </w:r>
          </w:p>
        </w:tc>
        <w:tc>
          <w:tcPr>
            <w:tcW w:w="463" w:type="pct"/>
            <w:tcBorders>
              <w:top w:val="single" w:sz="2" w:space="0" w:color="000000" w:themeColor="text1"/>
              <w:left w:val="nil"/>
              <w:bottom w:val="nil"/>
              <w:right w:val="nil"/>
            </w:tcBorders>
            <w:shd w:val="clear" w:color="000000" w:fill="FFFFFF"/>
            <w:noWrap/>
            <w:vAlign w:val="center"/>
            <w:hideMark/>
          </w:tcPr>
          <w:p w14:paraId="0C1A4F07" w14:textId="3607CD35" w:rsidR="00485CC9" w:rsidRPr="00485CC9" w:rsidRDefault="00485CC9" w:rsidP="00995D85">
            <w:pPr>
              <w:spacing w:after="0" w:line="240" w:lineRule="auto"/>
              <w:jc w:val="right"/>
              <w:rPr>
                <w:rFonts w:ascii="Arial" w:hAnsi="Arial" w:cs="Arial"/>
                <w:i/>
                <w:iCs/>
                <w:sz w:val="16"/>
                <w:szCs w:val="16"/>
              </w:rPr>
            </w:pPr>
            <w:r w:rsidRPr="00485CC9">
              <w:rPr>
                <w:rFonts w:ascii="Arial" w:hAnsi="Arial" w:cs="Arial"/>
                <w:i/>
                <w:iCs/>
                <w:sz w:val="16"/>
                <w:szCs w:val="16"/>
              </w:rPr>
              <w:t>6,687.7</w:t>
            </w:r>
          </w:p>
        </w:tc>
        <w:tc>
          <w:tcPr>
            <w:tcW w:w="436" w:type="pct"/>
            <w:tcBorders>
              <w:top w:val="single" w:sz="2" w:space="0" w:color="000000" w:themeColor="text1"/>
              <w:left w:val="nil"/>
              <w:bottom w:val="nil"/>
              <w:right w:val="nil"/>
            </w:tcBorders>
            <w:shd w:val="clear" w:color="000000" w:fill="FFFFFF"/>
            <w:noWrap/>
            <w:vAlign w:val="center"/>
            <w:hideMark/>
          </w:tcPr>
          <w:p w14:paraId="6856678E" w14:textId="2F2E2762" w:rsidR="00485CC9" w:rsidRPr="00485CC9" w:rsidRDefault="00485CC9" w:rsidP="000773DB">
            <w:pPr>
              <w:spacing w:after="0" w:line="240" w:lineRule="auto"/>
              <w:jc w:val="right"/>
              <w:rPr>
                <w:rFonts w:ascii="Arial" w:hAnsi="Arial" w:cs="Arial"/>
                <w:i/>
                <w:iCs/>
                <w:sz w:val="16"/>
                <w:szCs w:val="16"/>
              </w:rPr>
            </w:pPr>
            <w:r w:rsidRPr="00485CC9">
              <w:rPr>
                <w:rFonts w:ascii="Arial" w:hAnsi="Arial" w:cs="Arial"/>
                <w:i/>
                <w:iCs/>
                <w:sz w:val="16"/>
                <w:szCs w:val="16"/>
              </w:rPr>
              <w:t>6,196.7</w:t>
            </w:r>
          </w:p>
        </w:tc>
        <w:tc>
          <w:tcPr>
            <w:tcW w:w="559" w:type="pct"/>
            <w:tcBorders>
              <w:top w:val="single" w:sz="2" w:space="0" w:color="000000" w:themeColor="text1"/>
              <w:left w:val="nil"/>
              <w:bottom w:val="nil"/>
              <w:right w:val="nil"/>
            </w:tcBorders>
            <w:shd w:val="clear" w:color="000000" w:fill="FFFFFF"/>
            <w:noWrap/>
            <w:vAlign w:val="center"/>
            <w:hideMark/>
          </w:tcPr>
          <w:p w14:paraId="55CF9AA7" w14:textId="13933605" w:rsidR="00485CC9" w:rsidRPr="00485CC9" w:rsidRDefault="00485CC9" w:rsidP="000773DB">
            <w:pPr>
              <w:spacing w:after="0" w:line="240" w:lineRule="auto"/>
              <w:jc w:val="right"/>
              <w:rPr>
                <w:rFonts w:ascii="Arial" w:hAnsi="Arial" w:cs="Arial"/>
                <w:i/>
                <w:iCs/>
                <w:sz w:val="16"/>
                <w:szCs w:val="16"/>
              </w:rPr>
            </w:pPr>
            <w:r w:rsidRPr="00485CC9">
              <w:rPr>
                <w:rFonts w:ascii="Arial" w:hAnsi="Arial" w:cs="Arial"/>
                <w:i/>
                <w:iCs/>
                <w:sz w:val="16"/>
                <w:szCs w:val="16"/>
              </w:rPr>
              <w:t>21,692.5</w:t>
            </w:r>
          </w:p>
        </w:tc>
        <w:tc>
          <w:tcPr>
            <w:tcW w:w="497" w:type="pct"/>
            <w:tcBorders>
              <w:top w:val="single" w:sz="2" w:space="0" w:color="000000" w:themeColor="text1"/>
              <w:left w:val="nil"/>
              <w:bottom w:val="nil"/>
              <w:right w:val="nil"/>
            </w:tcBorders>
            <w:shd w:val="clear" w:color="000000" w:fill="FFFFFF"/>
            <w:noWrap/>
            <w:vAlign w:val="center"/>
            <w:hideMark/>
          </w:tcPr>
          <w:p w14:paraId="186CCEB0" w14:textId="7D0BE0D1" w:rsidR="00485CC9" w:rsidRPr="00485CC9" w:rsidRDefault="00485CC9" w:rsidP="00AD660B">
            <w:pPr>
              <w:spacing w:after="0" w:line="240" w:lineRule="auto"/>
              <w:jc w:val="right"/>
              <w:rPr>
                <w:rFonts w:ascii="Arial" w:hAnsi="Arial" w:cs="Arial"/>
                <w:i/>
                <w:iCs/>
                <w:sz w:val="16"/>
                <w:szCs w:val="16"/>
              </w:rPr>
            </w:pPr>
            <w:r w:rsidRPr="00485CC9">
              <w:rPr>
                <w:rFonts w:ascii="Arial" w:hAnsi="Arial" w:cs="Arial"/>
                <w:i/>
                <w:iCs/>
                <w:sz w:val="16"/>
                <w:szCs w:val="16"/>
              </w:rPr>
              <w:t>12,868.4</w:t>
            </w:r>
          </w:p>
        </w:tc>
        <w:tc>
          <w:tcPr>
            <w:tcW w:w="393" w:type="pct"/>
            <w:tcBorders>
              <w:top w:val="single" w:sz="2" w:space="0" w:color="000000" w:themeColor="text1"/>
              <w:left w:val="nil"/>
              <w:bottom w:val="nil"/>
              <w:right w:val="nil"/>
            </w:tcBorders>
            <w:shd w:val="clear" w:color="000000" w:fill="FFFFFF"/>
            <w:noWrap/>
            <w:vAlign w:val="center"/>
            <w:hideMark/>
          </w:tcPr>
          <w:p w14:paraId="2141FD7F" w14:textId="432323DB" w:rsidR="00485CC9" w:rsidRPr="00485CC9" w:rsidRDefault="00485CC9" w:rsidP="00E04979">
            <w:pPr>
              <w:spacing w:after="0" w:line="240" w:lineRule="auto"/>
              <w:jc w:val="right"/>
              <w:rPr>
                <w:rFonts w:ascii="Arial" w:hAnsi="Arial" w:cs="Arial"/>
                <w:i/>
                <w:iCs/>
                <w:sz w:val="16"/>
                <w:szCs w:val="16"/>
              </w:rPr>
            </w:pPr>
            <w:r w:rsidRPr="00485CC9">
              <w:rPr>
                <w:rFonts w:ascii="Arial" w:hAnsi="Arial" w:cs="Arial"/>
                <w:i/>
                <w:iCs/>
                <w:sz w:val="16"/>
                <w:szCs w:val="16"/>
              </w:rPr>
              <w:t>83,369.8</w:t>
            </w:r>
          </w:p>
        </w:tc>
        <w:tc>
          <w:tcPr>
            <w:tcW w:w="419" w:type="pct"/>
            <w:tcBorders>
              <w:top w:val="single" w:sz="2" w:space="0" w:color="000000" w:themeColor="text1"/>
              <w:left w:val="nil"/>
              <w:bottom w:val="nil"/>
              <w:right w:val="nil"/>
            </w:tcBorders>
            <w:shd w:val="clear" w:color="000000" w:fill="FFFFFF"/>
            <w:noWrap/>
            <w:vAlign w:val="center"/>
            <w:hideMark/>
          </w:tcPr>
          <w:p w14:paraId="7BA6B684" w14:textId="50A980D0" w:rsidR="00485CC9" w:rsidRPr="00485CC9" w:rsidRDefault="00485CC9" w:rsidP="00566F59">
            <w:pPr>
              <w:spacing w:after="0" w:line="240" w:lineRule="auto"/>
              <w:jc w:val="right"/>
              <w:rPr>
                <w:rFonts w:ascii="Arial" w:hAnsi="Arial" w:cs="Arial"/>
                <w:i/>
                <w:iCs/>
                <w:sz w:val="16"/>
                <w:szCs w:val="16"/>
              </w:rPr>
            </w:pPr>
            <w:r w:rsidRPr="00485CC9">
              <w:rPr>
                <w:rFonts w:ascii="Arial" w:hAnsi="Arial" w:cs="Arial"/>
                <w:i/>
                <w:iCs/>
                <w:sz w:val="16"/>
                <w:szCs w:val="16"/>
              </w:rPr>
              <w:t>62,124.9</w:t>
            </w:r>
          </w:p>
        </w:tc>
        <w:tc>
          <w:tcPr>
            <w:tcW w:w="503" w:type="pct"/>
            <w:tcBorders>
              <w:top w:val="single" w:sz="2" w:space="0" w:color="000000" w:themeColor="text1"/>
              <w:left w:val="nil"/>
              <w:bottom w:val="nil"/>
              <w:right w:val="nil"/>
            </w:tcBorders>
            <w:shd w:val="clear" w:color="000000" w:fill="FFFFFF"/>
            <w:noWrap/>
            <w:vAlign w:val="center"/>
            <w:hideMark/>
          </w:tcPr>
          <w:p w14:paraId="45B4EDCC" w14:textId="77777777" w:rsidR="00485CC9" w:rsidRPr="00485CC9" w:rsidRDefault="00485CC9" w:rsidP="00134265">
            <w:pPr>
              <w:spacing w:after="0" w:line="240" w:lineRule="auto"/>
              <w:jc w:val="right"/>
              <w:rPr>
                <w:rFonts w:ascii="Arial" w:hAnsi="Arial" w:cs="Arial"/>
                <w:i/>
                <w:iCs/>
                <w:sz w:val="16"/>
                <w:szCs w:val="16"/>
              </w:rPr>
            </w:pPr>
            <w:r w:rsidRPr="00485CC9">
              <w:rPr>
                <w:rFonts w:ascii="Arial" w:hAnsi="Arial" w:cs="Arial"/>
                <w:i/>
                <w:iCs/>
                <w:sz w:val="16"/>
                <w:szCs w:val="16"/>
              </w:rPr>
              <w:t>192,940.0</w:t>
            </w:r>
          </w:p>
        </w:tc>
      </w:tr>
      <w:tr w:rsidR="00485CC9" w:rsidRPr="00485CC9" w14:paraId="5107D8DE" w14:textId="77777777" w:rsidTr="00ED2BDA">
        <w:trPr>
          <w:trHeight w:val="229"/>
        </w:trPr>
        <w:tc>
          <w:tcPr>
            <w:tcW w:w="1149" w:type="pct"/>
            <w:tcBorders>
              <w:top w:val="nil"/>
              <w:left w:val="nil"/>
              <w:bottom w:val="nil"/>
              <w:right w:val="nil"/>
            </w:tcBorders>
            <w:shd w:val="clear" w:color="000000" w:fill="FFFFFF"/>
            <w:noWrap/>
            <w:vAlign w:val="center"/>
            <w:hideMark/>
          </w:tcPr>
          <w:p w14:paraId="0EB1DB00" w14:textId="49E05174" w:rsidR="00485CC9" w:rsidRPr="00485CC9" w:rsidRDefault="00134265" w:rsidP="00485CC9">
            <w:pPr>
              <w:spacing w:after="0" w:line="240" w:lineRule="auto"/>
              <w:jc w:val="left"/>
              <w:rPr>
                <w:rFonts w:ascii="Arial" w:hAnsi="Arial" w:cs="Arial"/>
                <w:sz w:val="16"/>
                <w:szCs w:val="16"/>
              </w:rPr>
            </w:pPr>
            <w:r>
              <w:rPr>
                <w:rFonts w:ascii="Arial" w:hAnsi="Arial" w:cs="Arial"/>
                <w:sz w:val="16"/>
                <w:szCs w:val="16"/>
              </w:rPr>
              <w:t>Australia (e)</w:t>
            </w:r>
          </w:p>
        </w:tc>
        <w:tc>
          <w:tcPr>
            <w:tcW w:w="118" w:type="pct"/>
            <w:tcBorders>
              <w:top w:val="nil"/>
              <w:left w:val="nil"/>
              <w:bottom w:val="nil"/>
              <w:right w:val="nil"/>
            </w:tcBorders>
            <w:shd w:val="clear" w:color="000000" w:fill="FFFFFF"/>
            <w:noWrap/>
            <w:vAlign w:val="bottom"/>
          </w:tcPr>
          <w:p w14:paraId="582B58F4" w14:textId="10BD6C9D" w:rsidR="00485CC9" w:rsidRPr="00485CC9" w:rsidRDefault="00485CC9" w:rsidP="00971417">
            <w:pPr>
              <w:spacing w:after="0" w:line="240" w:lineRule="auto"/>
              <w:rPr>
                <w:rFonts w:ascii="Arial" w:hAnsi="Arial" w:cs="Arial"/>
                <w:i/>
                <w:iCs/>
                <w:sz w:val="16"/>
                <w:szCs w:val="16"/>
              </w:rPr>
            </w:pPr>
          </w:p>
        </w:tc>
        <w:tc>
          <w:tcPr>
            <w:tcW w:w="463" w:type="pct"/>
            <w:tcBorders>
              <w:top w:val="nil"/>
              <w:left w:val="nil"/>
              <w:bottom w:val="nil"/>
              <w:right w:val="nil"/>
            </w:tcBorders>
            <w:shd w:val="clear" w:color="000000" w:fill="FFFFFF"/>
            <w:noWrap/>
            <w:vAlign w:val="center"/>
            <w:hideMark/>
          </w:tcPr>
          <w:p w14:paraId="12006D33" w14:textId="76318E1C" w:rsidR="00485CC9" w:rsidRPr="00485CC9" w:rsidRDefault="00485CC9" w:rsidP="00A053BC">
            <w:pPr>
              <w:spacing w:after="0" w:line="240" w:lineRule="auto"/>
              <w:jc w:val="right"/>
              <w:rPr>
                <w:rFonts w:ascii="Arial" w:hAnsi="Arial" w:cs="Arial"/>
                <w:sz w:val="16"/>
                <w:szCs w:val="16"/>
              </w:rPr>
            </w:pPr>
            <w:r w:rsidRPr="00485CC9">
              <w:rPr>
                <w:rFonts w:ascii="Arial" w:hAnsi="Arial" w:cs="Arial"/>
                <w:sz w:val="16"/>
                <w:szCs w:val="16"/>
              </w:rPr>
              <w:t>246</w:t>
            </w:r>
          </w:p>
        </w:tc>
        <w:tc>
          <w:tcPr>
            <w:tcW w:w="463" w:type="pct"/>
            <w:tcBorders>
              <w:top w:val="nil"/>
              <w:left w:val="nil"/>
              <w:bottom w:val="nil"/>
              <w:right w:val="nil"/>
            </w:tcBorders>
            <w:shd w:val="clear" w:color="000000" w:fill="FFFFFF"/>
            <w:noWrap/>
            <w:vAlign w:val="center"/>
            <w:hideMark/>
          </w:tcPr>
          <w:p w14:paraId="3569E7DD" w14:textId="069FE72A"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637.6</w:t>
            </w:r>
          </w:p>
        </w:tc>
        <w:tc>
          <w:tcPr>
            <w:tcW w:w="436" w:type="pct"/>
            <w:tcBorders>
              <w:top w:val="nil"/>
              <w:left w:val="nil"/>
              <w:bottom w:val="nil"/>
              <w:right w:val="nil"/>
            </w:tcBorders>
            <w:shd w:val="clear" w:color="000000" w:fill="FFFFFF"/>
            <w:noWrap/>
            <w:vAlign w:val="center"/>
            <w:hideMark/>
          </w:tcPr>
          <w:p w14:paraId="3AF0D4D0" w14:textId="29228C53"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103.1</w:t>
            </w:r>
          </w:p>
        </w:tc>
        <w:tc>
          <w:tcPr>
            <w:tcW w:w="559" w:type="pct"/>
            <w:tcBorders>
              <w:top w:val="nil"/>
              <w:left w:val="nil"/>
              <w:bottom w:val="nil"/>
              <w:right w:val="nil"/>
            </w:tcBorders>
            <w:shd w:val="clear" w:color="000000" w:fill="FFFFFF"/>
            <w:noWrap/>
            <w:vAlign w:val="center"/>
            <w:hideMark/>
          </w:tcPr>
          <w:p w14:paraId="44210D00" w14:textId="31499537"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17,223.2</w:t>
            </w:r>
          </w:p>
        </w:tc>
        <w:tc>
          <w:tcPr>
            <w:tcW w:w="497" w:type="pct"/>
            <w:tcBorders>
              <w:top w:val="nil"/>
              <w:left w:val="nil"/>
              <w:bottom w:val="nil"/>
              <w:right w:val="nil"/>
            </w:tcBorders>
            <w:shd w:val="clear" w:color="000000" w:fill="FFFFFF"/>
            <w:noWrap/>
            <w:vAlign w:val="center"/>
            <w:hideMark/>
          </w:tcPr>
          <w:p w14:paraId="42FC7FE2" w14:textId="04B2FDC5"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1,087.0</w:t>
            </w:r>
          </w:p>
        </w:tc>
        <w:tc>
          <w:tcPr>
            <w:tcW w:w="393" w:type="pct"/>
            <w:tcBorders>
              <w:top w:val="nil"/>
              <w:left w:val="nil"/>
              <w:bottom w:val="nil"/>
              <w:right w:val="nil"/>
            </w:tcBorders>
            <w:shd w:val="clear" w:color="000000" w:fill="FFFFFF"/>
            <w:noWrap/>
            <w:vAlign w:val="center"/>
            <w:hideMark/>
          </w:tcPr>
          <w:p w14:paraId="6BC2D47F" w14:textId="06C4D417"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5,111.9</w:t>
            </w:r>
          </w:p>
        </w:tc>
        <w:tc>
          <w:tcPr>
            <w:tcW w:w="419" w:type="pct"/>
            <w:tcBorders>
              <w:top w:val="nil"/>
              <w:left w:val="nil"/>
              <w:bottom w:val="nil"/>
              <w:right w:val="nil"/>
            </w:tcBorders>
            <w:shd w:val="clear" w:color="000000" w:fill="FFFFFF"/>
            <w:noWrap/>
            <w:vAlign w:val="center"/>
            <w:hideMark/>
          </w:tcPr>
          <w:p w14:paraId="2C5EEC59" w14:textId="3D40BCFF"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13,871.6</w:t>
            </w:r>
          </w:p>
        </w:tc>
        <w:tc>
          <w:tcPr>
            <w:tcW w:w="503" w:type="pct"/>
            <w:tcBorders>
              <w:top w:val="nil"/>
              <w:left w:val="nil"/>
              <w:bottom w:val="nil"/>
              <w:right w:val="nil"/>
            </w:tcBorders>
            <w:shd w:val="clear" w:color="000000" w:fill="FFFFFF"/>
            <w:noWrap/>
            <w:vAlign w:val="center"/>
            <w:hideMark/>
          </w:tcPr>
          <w:p w14:paraId="509DCE80"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38,034.3</w:t>
            </w:r>
          </w:p>
        </w:tc>
      </w:tr>
      <w:tr w:rsidR="00485CC9" w:rsidRPr="00485CC9" w14:paraId="0AB4EB06" w14:textId="77777777" w:rsidTr="00FE48A4">
        <w:trPr>
          <w:trHeight w:val="229"/>
        </w:trPr>
        <w:tc>
          <w:tcPr>
            <w:tcW w:w="1149" w:type="pct"/>
            <w:tcBorders>
              <w:top w:val="nil"/>
              <w:left w:val="nil"/>
              <w:bottom w:val="single" w:sz="2" w:space="0" w:color="000000" w:themeColor="text1"/>
              <w:right w:val="nil"/>
            </w:tcBorders>
            <w:shd w:val="clear" w:color="000000" w:fill="FFFFFF"/>
            <w:noWrap/>
            <w:vAlign w:val="center"/>
            <w:hideMark/>
          </w:tcPr>
          <w:p w14:paraId="3517AAB8" w14:textId="51FACDE5" w:rsidR="00485CC9" w:rsidRPr="00485CC9" w:rsidRDefault="00A053BC" w:rsidP="00134265">
            <w:pPr>
              <w:spacing w:after="0" w:line="240" w:lineRule="auto"/>
              <w:jc w:val="right"/>
              <w:rPr>
                <w:rFonts w:ascii="Arial" w:hAnsi="Arial" w:cs="Arial"/>
                <w:b/>
                <w:bCs/>
                <w:sz w:val="16"/>
                <w:szCs w:val="16"/>
              </w:rPr>
            </w:pPr>
            <w:r>
              <w:rPr>
                <w:rFonts w:ascii="Arial" w:hAnsi="Arial" w:cs="Arial"/>
                <w:b/>
                <w:bCs/>
                <w:sz w:val="16"/>
                <w:szCs w:val="16"/>
              </w:rPr>
              <w:t>T</w:t>
            </w:r>
            <w:r w:rsidR="00485CC9" w:rsidRPr="00485CC9">
              <w:rPr>
                <w:rFonts w:ascii="Arial" w:hAnsi="Arial" w:cs="Arial"/>
                <w:b/>
                <w:bCs/>
                <w:sz w:val="16"/>
                <w:szCs w:val="16"/>
              </w:rPr>
              <w:t>otal</w:t>
            </w:r>
          </w:p>
        </w:tc>
        <w:tc>
          <w:tcPr>
            <w:tcW w:w="118" w:type="pct"/>
            <w:tcBorders>
              <w:top w:val="nil"/>
              <w:left w:val="nil"/>
              <w:bottom w:val="single" w:sz="2" w:space="0" w:color="000000" w:themeColor="text1"/>
              <w:right w:val="nil"/>
            </w:tcBorders>
            <w:shd w:val="clear" w:color="000000" w:fill="FFFFFF"/>
            <w:noWrap/>
            <w:vAlign w:val="bottom"/>
          </w:tcPr>
          <w:p w14:paraId="67FD2829" w14:textId="4DFC6B6C" w:rsidR="00485CC9" w:rsidRPr="00485CC9" w:rsidRDefault="00485CC9" w:rsidP="00485CC9">
            <w:pPr>
              <w:spacing w:after="0" w:line="240" w:lineRule="auto"/>
              <w:jc w:val="left"/>
              <w:rPr>
                <w:rFonts w:ascii="Arial" w:hAnsi="Arial" w:cs="Arial"/>
                <w:sz w:val="16"/>
                <w:szCs w:val="16"/>
              </w:rPr>
            </w:pPr>
          </w:p>
        </w:tc>
        <w:tc>
          <w:tcPr>
            <w:tcW w:w="463" w:type="pct"/>
            <w:tcBorders>
              <w:top w:val="nil"/>
              <w:left w:val="nil"/>
              <w:bottom w:val="single" w:sz="2" w:space="0" w:color="000000" w:themeColor="text1"/>
              <w:right w:val="nil"/>
            </w:tcBorders>
            <w:shd w:val="clear" w:color="000000" w:fill="FFFFFF"/>
            <w:noWrap/>
            <w:vAlign w:val="center"/>
            <w:hideMark/>
          </w:tcPr>
          <w:p w14:paraId="75FAAC7F" w14:textId="4BB6341B" w:rsidR="00485CC9" w:rsidRPr="00485CC9" w:rsidRDefault="00A053BC" w:rsidP="00134265">
            <w:pPr>
              <w:spacing w:after="0" w:line="240" w:lineRule="auto"/>
              <w:jc w:val="right"/>
              <w:rPr>
                <w:rFonts w:ascii="Arial" w:hAnsi="Arial" w:cs="Arial"/>
                <w:sz w:val="16"/>
                <w:szCs w:val="16"/>
              </w:rPr>
            </w:pPr>
            <w:r>
              <w:rPr>
                <w:rFonts w:ascii="Arial" w:hAnsi="Arial" w:cs="Arial"/>
                <w:sz w:val="16"/>
                <w:szCs w:val="16"/>
              </w:rPr>
              <w:t>9,849</w:t>
            </w:r>
          </w:p>
        </w:tc>
        <w:tc>
          <w:tcPr>
            <w:tcW w:w="463" w:type="pct"/>
            <w:tcBorders>
              <w:top w:val="nil"/>
              <w:left w:val="nil"/>
              <w:bottom w:val="single" w:sz="2" w:space="0" w:color="000000" w:themeColor="text1"/>
              <w:right w:val="nil"/>
            </w:tcBorders>
            <w:shd w:val="clear" w:color="000000" w:fill="FFFFFF"/>
            <w:noWrap/>
            <w:vAlign w:val="center"/>
            <w:hideMark/>
          </w:tcPr>
          <w:p w14:paraId="2CB86ACA" w14:textId="4C2D7160" w:rsidR="00485CC9" w:rsidRPr="00485CC9" w:rsidRDefault="00485CC9" w:rsidP="00995D85">
            <w:pPr>
              <w:spacing w:after="0" w:line="240" w:lineRule="auto"/>
              <w:jc w:val="right"/>
              <w:rPr>
                <w:rFonts w:ascii="Arial" w:hAnsi="Arial" w:cs="Arial"/>
                <w:sz w:val="16"/>
                <w:szCs w:val="16"/>
              </w:rPr>
            </w:pPr>
            <w:r w:rsidRPr="00485CC9">
              <w:rPr>
                <w:rFonts w:ascii="Arial" w:hAnsi="Arial" w:cs="Arial"/>
                <w:sz w:val="16"/>
                <w:szCs w:val="16"/>
              </w:rPr>
              <w:t>7,325.2</w:t>
            </w:r>
          </w:p>
        </w:tc>
        <w:tc>
          <w:tcPr>
            <w:tcW w:w="436" w:type="pct"/>
            <w:tcBorders>
              <w:top w:val="nil"/>
              <w:left w:val="nil"/>
              <w:bottom w:val="single" w:sz="2" w:space="0" w:color="000000" w:themeColor="text1"/>
              <w:right w:val="nil"/>
            </w:tcBorders>
            <w:shd w:val="clear" w:color="000000" w:fill="FFFFFF"/>
            <w:noWrap/>
            <w:vAlign w:val="center"/>
            <w:hideMark/>
          </w:tcPr>
          <w:p w14:paraId="39E59B87" w14:textId="7048DB2C"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6,299.8</w:t>
            </w:r>
          </w:p>
        </w:tc>
        <w:tc>
          <w:tcPr>
            <w:tcW w:w="559" w:type="pct"/>
            <w:tcBorders>
              <w:top w:val="nil"/>
              <w:left w:val="nil"/>
              <w:bottom w:val="single" w:sz="2" w:space="0" w:color="000000" w:themeColor="text1"/>
              <w:right w:val="nil"/>
            </w:tcBorders>
            <w:shd w:val="clear" w:color="000000" w:fill="FFFFFF"/>
            <w:noWrap/>
            <w:vAlign w:val="center"/>
            <w:hideMark/>
          </w:tcPr>
          <w:p w14:paraId="388C6335" w14:textId="281C1C8A" w:rsidR="00485CC9" w:rsidRPr="00485CC9" w:rsidRDefault="00485CC9" w:rsidP="000773DB">
            <w:pPr>
              <w:spacing w:after="0" w:line="240" w:lineRule="auto"/>
              <w:jc w:val="right"/>
              <w:rPr>
                <w:rFonts w:ascii="Arial" w:hAnsi="Arial" w:cs="Arial"/>
                <w:sz w:val="16"/>
                <w:szCs w:val="16"/>
              </w:rPr>
            </w:pPr>
            <w:r w:rsidRPr="00485CC9">
              <w:rPr>
                <w:rFonts w:ascii="Arial" w:hAnsi="Arial" w:cs="Arial"/>
                <w:sz w:val="16"/>
                <w:szCs w:val="16"/>
              </w:rPr>
              <w:t>38,915.7</w:t>
            </w:r>
          </w:p>
        </w:tc>
        <w:tc>
          <w:tcPr>
            <w:tcW w:w="497" w:type="pct"/>
            <w:tcBorders>
              <w:top w:val="nil"/>
              <w:left w:val="nil"/>
              <w:bottom w:val="single" w:sz="2" w:space="0" w:color="000000" w:themeColor="text1"/>
              <w:right w:val="nil"/>
            </w:tcBorders>
            <w:shd w:val="clear" w:color="000000" w:fill="FFFFFF"/>
            <w:noWrap/>
            <w:vAlign w:val="center"/>
            <w:hideMark/>
          </w:tcPr>
          <w:p w14:paraId="7CC6C7EF" w14:textId="6780C840" w:rsidR="00485CC9" w:rsidRPr="00485CC9" w:rsidRDefault="00485CC9" w:rsidP="00AD660B">
            <w:pPr>
              <w:spacing w:after="0" w:line="240" w:lineRule="auto"/>
              <w:jc w:val="right"/>
              <w:rPr>
                <w:rFonts w:ascii="Arial" w:hAnsi="Arial" w:cs="Arial"/>
                <w:sz w:val="16"/>
                <w:szCs w:val="16"/>
              </w:rPr>
            </w:pPr>
            <w:r w:rsidRPr="00485CC9">
              <w:rPr>
                <w:rFonts w:ascii="Arial" w:hAnsi="Arial" w:cs="Arial"/>
                <w:sz w:val="16"/>
                <w:szCs w:val="16"/>
              </w:rPr>
              <w:t>13,955.3</w:t>
            </w:r>
          </w:p>
        </w:tc>
        <w:tc>
          <w:tcPr>
            <w:tcW w:w="393" w:type="pct"/>
            <w:tcBorders>
              <w:top w:val="nil"/>
              <w:left w:val="nil"/>
              <w:bottom w:val="single" w:sz="2" w:space="0" w:color="000000" w:themeColor="text1"/>
              <w:right w:val="nil"/>
            </w:tcBorders>
            <w:shd w:val="clear" w:color="000000" w:fill="FFFFFF"/>
            <w:noWrap/>
            <w:vAlign w:val="center"/>
            <w:hideMark/>
          </w:tcPr>
          <w:p w14:paraId="70F11A4D" w14:textId="0A68221C" w:rsidR="00485CC9" w:rsidRPr="00485CC9" w:rsidRDefault="00485CC9" w:rsidP="00E04979">
            <w:pPr>
              <w:spacing w:after="0" w:line="240" w:lineRule="auto"/>
              <w:jc w:val="right"/>
              <w:rPr>
                <w:rFonts w:ascii="Arial" w:hAnsi="Arial" w:cs="Arial"/>
                <w:sz w:val="16"/>
                <w:szCs w:val="16"/>
              </w:rPr>
            </w:pPr>
            <w:r w:rsidRPr="00485CC9">
              <w:rPr>
                <w:rFonts w:ascii="Arial" w:hAnsi="Arial" w:cs="Arial"/>
                <w:sz w:val="16"/>
                <w:szCs w:val="16"/>
              </w:rPr>
              <w:t>88,481.7</w:t>
            </w:r>
          </w:p>
        </w:tc>
        <w:tc>
          <w:tcPr>
            <w:tcW w:w="419" w:type="pct"/>
            <w:tcBorders>
              <w:top w:val="nil"/>
              <w:left w:val="nil"/>
              <w:bottom w:val="single" w:sz="2" w:space="0" w:color="000000" w:themeColor="text1"/>
              <w:right w:val="nil"/>
            </w:tcBorders>
            <w:shd w:val="clear" w:color="000000" w:fill="FFFFFF"/>
            <w:noWrap/>
            <w:vAlign w:val="center"/>
            <w:hideMark/>
          </w:tcPr>
          <w:p w14:paraId="6C8AED30" w14:textId="3BBBB885" w:rsidR="00485CC9" w:rsidRPr="00485CC9" w:rsidRDefault="00485CC9" w:rsidP="00566F59">
            <w:pPr>
              <w:spacing w:after="0" w:line="240" w:lineRule="auto"/>
              <w:jc w:val="right"/>
              <w:rPr>
                <w:rFonts w:ascii="Arial" w:hAnsi="Arial" w:cs="Arial"/>
                <w:sz w:val="16"/>
                <w:szCs w:val="16"/>
              </w:rPr>
            </w:pPr>
            <w:r w:rsidRPr="00485CC9">
              <w:rPr>
                <w:rFonts w:ascii="Arial" w:hAnsi="Arial" w:cs="Arial"/>
                <w:sz w:val="16"/>
                <w:szCs w:val="16"/>
              </w:rPr>
              <w:t>75,996.5</w:t>
            </w:r>
          </w:p>
        </w:tc>
        <w:tc>
          <w:tcPr>
            <w:tcW w:w="503" w:type="pct"/>
            <w:tcBorders>
              <w:top w:val="nil"/>
              <w:left w:val="nil"/>
              <w:bottom w:val="single" w:sz="2" w:space="0" w:color="000000" w:themeColor="text1"/>
              <w:right w:val="nil"/>
            </w:tcBorders>
            <w:shd w:val="clear" w:color="000000" w:fill="FFFFFF"/>
            <w:noWrap/>
            <w:vAlign w:val="center"/>
            <w:hideMark/>
          </w:tcPr>
          <w:p w14:paraId="28BA35F6" w14:textId="77777777" w:rsidR="00485CC9" w:rsidRPr="00485CC9" w:rsidRDefault="00485CC9" w:rsidP="00134265">
            <w:pPr>
              <w:spacing w:after="0" w:line="240" w:lineRule="auto"/>
              <w:jc w:val="right"/>
              <w:rPr>
                <w:rFonts w:ascii="Arial" w:hAnsi="Arial" w:cs="Arial"/>
                <w:sz w:val="16"/>
                <w:szCs w:val="16"/>
              </w:rPr>
            </w:pPr>
            <w:r w:rsidRPr="00485CC9">
              <w:rPr>
                <w:rFonts w:ascii="Arial" w:hAnsi="Arial" w:cs="Arial"/>
                <w:sz w:val="16"/>
                <w:szCs w:val="16"/>
              </w:rPr>
              <w:t>230,974.3</w:t>
            </w:r>
          </w:p>
        </w:tc>
      </w:tr>
    </w:tbl>
    <w:p w14:paraId="63B1184D" w14:textId="1146250A" w:rsidR="00E43E52" w:rsidRDefault="00E43E52">
      <w:pPr>
        <w:spacing w:after="0" w:line="240" w:lineRule="auto"/>
        <w:jc w:val="left"/>
        <w:sectPr w:rsidR="00E43E52" w:rsidSect="00077532">
          <w:headerReference w:type="even" r:id="rId71"/>
          <w:footerReference w:type="even" r:id="rId72"/>
          <w:pgSz w:w="16838" w:h="11906" w:orient="landscape" w:code="9"/>
          <w:pgMar w:top="2098" w:right="2466" w:bottom="2098" w:left="2466" w:header="1899" w:footer="1899" w:gutter="0"/>
          <w:cols w:space="708"/>
          <w:docGrid w:linePitch="360"/>
        </w:sectPr>
      </w:pPr>
    </w:p>
    <w:p w14:paraId="08A3A58C" w14:textId="2352D319" w:rsidR="00A84283" w:rsidRPr="006D64A2" w:rsidRDefault="00A84283" w:rsidP="00406C1F">
      <w:pPr>
        <w:pStyle w:val="TableMainHeadingContd"/>
        <w:rPr>
          <w:color w:val="auto"/>
          <w:sz w:val="24"/>
          <w:szCs w:val="24"/>
        </w:rPr>
      </w:pPr>
      <w:r w:rsidRPr="006D64A2">
        <w:lastRenderedPageBreak/>
        <w:t>Notes applying to Table 3.14</w:t>
      </w:r>
    </w:p>
    <w:p w14:paraId="0912AF86" w14:textId="06022C19" w:rsidR="00A84283" w:rsidRPr="00CB4DB7" w:rsidRDefault="00A84283" w:rsidP="007149D6">
      <w:pPr>
        <w:pStyle w:val="ChartorTableFootnote"/>
        <w:numPr>
          <w:ilvl w:val="0"/>
          <w:numId w:val="16"/>
        </w:numPr>
      </w:pPr>
      <w:r w:rsidRPr="00CB4DB7">
        <w:t>Includes overseas territories.</w:t>
      </w:r>
    </w:p>
    <w:p w14:paraId="2CE45BFB" w14:textId="1C627C59" w:rsidR="00A84283" w:rsidRPr="00CB4DB7" w:rsidRDefault="00A84283" w:rsidP="009A641E">
      <w:pPr>
        <w:pStyle w:val="ChartorTableFootnote"/>
      </w:pPr>
      <w:r w:rsidRPr="00CB4DB7">
        <w:t>China excludes Special Administrative Regions and Taiwan.</w:t>
      </w:r>
    </w:p>
    <w:p w14:paraId="4FA97DC8" w14:textId="6B0656A3" w:rsidR="00A84283" w:rsidRPr="00CB4DB7" w:rsidRDefault="00A84283" w:rsidP="00406C1F">
      <w:pPr>
        <w:pStyle w:val="ChartorTableFootnote"/>
      </w:pPr>
      <w:r w:rsidRPr="00CB4DB7">
        <w:t>‘Other’ comprises all other countries not specifically listed in the top countries by value, from which there is proposed investment approved.</w:t>
      </w:r>
    </w:p>
    <w:p w14:paraId="344B3414" w14:textId="2F56C582" w:rsidR="00A84283" w:rsidRPr="00CB4DB7" w:rsidRDefault="00A84283">
      <w:pPr>
        <w:pStyle w:val="ChartorTableFootnote"/>
      </w:pPr>
      <w:r w:rsidRPr="00CB4DB7">
        <w:t>One new dwelling exemption cer</w:t>
      </w:r>
      <w:r w:rsidR="00CB2391" w:rsidRPr="00CB4DB7">
        <w:t>tificate (previously advanced ‘</w:t>
      </w:r>
      <w:r w:rsidRPr="00CB4DB7">
        <w:t>off</w:t>
      </w:r>
      <w:r w:rsidR="00CB2391" w:rsidRPr="00CB4DB7">
        <w:noBreakHyphen/>
      </w:r>
      <w:r w:rsidRPr="00CB4DB7">
        <w:t>the</w:t>
      </w:r>
      <w:r w:rsidR="00CB2391" w:rsidRPr="00CB4DB7">
        <w:noBreakHyphen/>
      </w:r>
      <w:r w:rsidRPr="00CB4DB7">
        <w:t>plan’ certificate) equates to one approval in terms of the number of approvals but the value reflects the maximum amount that foreign persons may acquire under the certificate in the proposed development. As of the 2017</w:t>
      </w:r>
      <w:r w:rsidR="00A46508">
        <w:noBreakHyphen/>
      </w:r>
      <w:r w:rsidR="00CB2391" w:rsidRPr="00CB4DB7">
        <w:t>1</w:t>
      </w:r>
      <w:r w:rsidRPr="00CB4DB7">
        <w:t>8 Budget, the maximum number of dwellings that could be sold to foreign persons under new certificates was reduced from 100</w:t>
      </w:r>
      <w:r w:rsidR="00A46508">
        <w:t> per cent to 50 per </w:t>
      </w:r>
      <w:r w:rsidRPr="00CB4DB7">
        <w:t xml:space="preserve">cent of the dwellings </w:t>
      </w:r>
      <w:r w:rsidR="00440DAE">
        <w:t xml:space="preserve">in </w:t>
      </w:r>
      <w:r w:rsidRPr="00CB4DB7">
        <w:t xml:space="preserve">a development. </w:t>
      </w:r>
    </w:p>
    <w:p w14:paraId="4419B59D" w14:textId="7D2FC1B3" w:rsidR="00A84283" w:rsidRPr="00CB4DB7" w:rsidRDefault="00A84283">
      <w:pPr>
        <w:pStyle w:val="ChartorTableFootnote"/>
      </w:pPr>
      <w:r w:rsidRPr="00CB4DB7">
        <w:t>Comprises approvals where Australians hold disclosed beneficial interests in the investor, or where widely held interests have been allocated to Australia based on other factors such as location or control of the investor. Also includes when an Australian investor(s) jointly intends to make a proposed investment with a foreign person through a new entity, or jointly establish a new business with a foreign government investor.</w:t>
      </w:r>
    </w:p>
    <w:p w14:paraId="2959136A" w14:textId="2C26E657" w:rsidR="00A84283" w:rsidRPr="00CB4DB7" w:rsidRDefault="00A84283">
      <w:pPr>
        <w:pStyle w:val="ChartorTableFootnote"/>
      </w:pPr>
      <w:r w:rsidRPr="00CB4DB7">
        <w:t>These figures indicate the total number of approvals in which investors from the particular country have a disclosed beneficial interest in or where widely held interests have been allocated to a country based on factors such as the largest interest holder or country of control of the investor. Approvals involving investment originating from more than one country are generally counted as one approval for each of the countries concerned where they include investment from foreign persons greater than five per cent or where there is shared control.</w:t>
      </w:r>
    </w:p>
    <w:p w14:paraId="594A9901" w14:textId="77777777" w:rsidR="00A84283" w:rsidRPr="00F56F40" w:rsidRDefault="00A84283" w:rsidP="006D64A2">
      <w:pPr>
        <w:pStyle w:val="ChartorTableNote"/>
      </w:pPr>
      <w:r w:rsidRPr="00F56F40">
        <w:t>Notes:</w:t>
      </w:r>
      <w:r w:rsidRPr="00F56F40">
        <w:tab/>
        <w:t>Totals may not add due to rounding.</w:t>
      </w:r>
    </w:p>
    <w:p w14:paraId="1DDCB0DA" w14:textId="6F07FBBB" w:rsidR="00A84283" w:rsidRPr="00F56F40" w:rsidRDefault="00A84283" w:rsidP="006D64A2">
      <w:pPr>
        <w:pStyle w:val="ChartorTableNote"/>
      </w:pPr>
      <w:r w:rsidRPr="00F56F40">
        <w:t>Includes corporate reorganisations, exemption certificates and new businesses.</w:t>
      </w:r>
    </w:p>
    <w:p w14:paraId="6B77B85B" w14:textId="77777777" w:rsidR="00A84283" w:rsidRPr="00F56F40" w:rsidRDefault="00A84283">
      <w:pPr>
        <w:pStyle w:val="ChartorTableNote"/>
      </w:pPr>
      <w:r w:rsidRPr="00F56F40">
        <w:t>Total number of approvals in this table may be greater than or equal to the total number of approvals in Tables 3.1, 3.3, and 3.4 as the data is recorded by target, for both industry sectors and investor countries. For instance, one application from two investor countries to acquire two targets that operate in separate sectors will appear as one approval per sector, per country (that is, it will be reflected as four approvals).</w:t>
      </w:r>
    </w:p>
    <w:p w14:paraId="6AE8606F" w14:textId="3B04F667" w:rsidR="00A84283" w:rsidRPr="00F56F40" w:rsidRDefault="00A84283">
      <w:pPr>
        <w:pStyle w:val="ChartorTableNote"/>
      </w:pPr>
      <w:r w:rsidRPr="00F56F40">
        <w:t>The 201</w:t>
      </w:r>
      <w:r w:rsidR="00CB2391" w:rsidRPr="00F56F40">
        <w:t>7</w:t>
      </w:r>
      <w:r w:rsidR="00CB2391" w:rsidRPr="00F56F40">
        <w:noBreakHyphen/>
      </w:r>
      <w:r w:rsidRPr="00F56F40">
        <w:t>18 figures were impacted by the reforms announced in the 2017</w:t>
      </w:r>
      <w:r w:rsidR="00CB2391" w:rsidRPr="00F56F40">
        <w:noBreakHyphen/>
      </w:r>
      <w:r w:rsidRPr="00F56F40">
        <w:t>18 Budge</w:t>
      </w:r>
      <w:r w:rsidR="00A46508">
        <w:t>t, which were given effect on 1 July </w:t>
      </w:r>
      <w:r w:rsidRPr="00F56F40">
        <w:t>2017. The reforms may affect data comparability.</w:t>
      </w:r>
    </w:p>
    <w:p w14:paraId="1ECDE8B7" w14:textId="77777777" w:rsidR="00CB4DB7" w:rsidRDefault="00CB4DB7" w:rsidP="002E2EFE">
      <w:pPr>
        <w:rPr>
          <w:sz w:val="24"/>
        </w:rPr>
      </w:pPr>
      <w:r>
        <w:br w:type="page"/>
      </w:r>
    </w:p>
    <w:p w14:paraId="78E59690" w14:textId="005977BE" w:rsidR="00A84283" w:rsidRPr="00A84283" w:rsidRDefault="00A84283" w:rsidP="002C667B">
      <w:pPr>
        <w:pStyle w:val="Heading2"/>
        <w:rPr>
          <w:b w:val="0"/>
        </w:rPr>
      </w:pPr>
      <w:bookmarkStart w:id="135" w:name="_Toc31296907"/>
      <w:bookmarkStart w:id="136" w:name="_Toc31636025"/>
      <w:bookmarkStart w:id="137" w:name="_Toc31642794"/>
      <w:bookmarkStart w:id="138" w:name="_Toc32247803"/>
      <w:bookmarkStart w:id="139" w:name="_Toc33625852"/>
      <w:r w:rsidRPr="00A84283">
        <w:lastRenderedPageBreak/>
        <w:t>Variations</w:t>
      </w:r>
      <w:bookmarkEnd w:id="135"/>
      <w:bookmarkEnd w:id="136"/>
      <w:bookmarkEnd w:id="137"/>
      <w:bookmarkEnd w:id="138"/>
      <w:bookmarkEnd w:id="139"/>
    </w:p>
    <w:p w14:paraId="1ACE1D28" w14:textId="3F19E575" w:rsidR="00A84283" w:rsidRPr="00A84283" w:rsidRDefault="00A84283" w:rsidP="002E2EFE">
      <w:pPr>
        <w:rPr>
          <w:b/>
          <w:color w:val="auto"/>
        </w:rPr>
      </w:pPr>
      <w:r w:rsidRPr="00777C4F">
        <w:t>The Act</w:t>
      </w:r>
      <w:r w:rsidRPr="00A84283">
        <w:t xml:space="preserve"> allows foreign persons to apply for variations relating to approvals, conditions that are imposed </w:t>
      </w:r>
      <w:r w:rsidR="00C072C9">
        <w:t xml:space="preserve">as part of </w:t>
      </w:r>
      <w:r w:rsidRPr="00A84283">
        <w:t xml:space="preserve">an approval, exemption certificates, and </w:t>
      </w:r>
      <w:r w:rsidR="00C072C9">
        <w:t xml:space="preserve">to </w:t>
      </w:r>
      <w:r w:rsidRPr="00A84283">
        <w:t>orders. Variations may also be made at the Treasurer’s own initiative if the person consents to the variation or the variation meets a no disadvantage to the foreign person test. Irrespective of whether an application is received or the variation is at the Treasurer’s initiative, the variation may only be made if the Treasurer is satisfied that it is not contrary to the national interest. Variation applications are considered on a case-by-case basis, and are usually limited to more technical changes and extensions of deadlines in conditions.</w:t>
      </w:r>
    </w:p>
    <w:p w14:paraId="70415155" w14:textId="7E64D6D2" w:rsidR="00A84283" w:rsidRPr="00A84283" w:rsidRDefault="00A84283" w:rsidP="002E2EFE">
      <w:pPr>
        <w:rPr>
          <w:b/>
          <w:color w:val="auto"/>
        </w:rPr>
      </w:pPr>
      <w:r w:rsidRPr="00A84283">
        <w:t>For example, a commercial real estate development condition has a deadline of five years for the commencement of construction from the date of approval. Where, due to circumstances beyond the developer’s control, the developer is unlikely to meet the deadline, the developer may apply for the deadline for the condition to be varied to provide further time.</w:t>
      </w:r>
    </w:p>
    <w:p w14:paraId="14DA26DD" w14:textId="77777777" w:rsidR="00A84283" w:rsidRPr="003102E2" w:rsidRDefault="00A84283" w:rsidP="002E2EFE">
      <w:pPr>
        <w:rPr>
          <w:color w:val="auto"/>
        </w:rPr>
      </w:pPr>
      <w:r w:rsidRPr="003102E2">
        <w:t>A significant departure from the original application or approval will generally require a further application. This could include the addition of another foreign person to the application or increasing the equity interest in the proposed investment.</w:t>
      </w:r>
    </w:p>
    <w:p w14:paraId="10119EDD" w14:textId="00C4B8AC" w:rsidR="00A84283" w:rsidRPr="003102E2" w:rsidRDefault="00A84283" w:rsidP="002E2EFE">
      <w:r w:rsidRPr="003102E2">
        <w:t>In 201</w:t>
      </w:r>
      <w:r w:rsidR="004C49E1" w:rsidRPr="003102E2">
        <w:t>8</w:t>
      </w:r>
      <w:r w:rsidR="00A46508">
        <w:noBreakHyphen/>
      </w:r>
      <w:r w:rsidRPr="003102E2">
        <w:t>1</w:t>
      </w:r>
      <w:r w:rsidR="004C49E1" w:rsidRPr="003102E2">
        <w:t>9, there were 376</w:t>
      </w:r>
      <w:r w:rsidRPr="003102E2">
        <w:t xml:space="preserve"> variations considered, compared to </w:t>
      </w:r>
      <w:r w:rsidR="004C49E1" w:rsidRPr="003102E2">
        <w:t>504</w:t>
      </w:r>
      <w:r w:rsidRPr="003102E2">
        <w:t xml:space="preserve"> in 201</w:t>
      </w:r>
      <w:r w:rsidR="004C49E1" w:rsidRPr="003102E2">
        <w:t>7</w:t>
      </w:r>
      <w:r w:rsidR="00A46508">
        <w:noBreakHyphen/>
      </w:r>
      <w:r w:rsidRPr="003102E2">
        <w:t>1</w:t>
      </w:r>
      <w:r w:rsidR="004C49E1" w:rsidRPr="003102E2">
        <w:t>8. Of these, 357</w:t>
      </w:r>
      <w:r w:rsidR="00C5500D">
        <w:t> </w:t>
      </w:r>
      <w:r w:rsidRPr="003102E2">
        <w:t>were approved in 201</w:t>
      </w:r>
      <w:r w:rsidR="004C49E1" w:rsidRPr="003102E2">
        <w:t>8</w:t>
      </w:r>
      <w:r w:rsidR="00A46508">
        <w:noBreakHyphen/>
      </w:r>
      <w:r w:rsidRPr="003102E2">
        <w:t>1</w:t>
      </w:r>
      <w:r w:rsidR="004C49E1" w:rsidRPr="003102E2">
        <w:t>9</w:t>
      </w:r>
      <w:r w:rsidR="00E7304F">
        <w:t xml:space="preserve"> compared to 453 in </w:t>
      </w:r>
      <w:r w:rsidRPr="003102E2">
        <w:t>201</w:t>
      </w:r>
      <w:r w:rsidR="004C49E1" w:rsidRPr="003102E2">
        <w:t>7</w:t>
      </w:r>
      <w:r w:rsidR="00A46508">
        <w:noBreakHyphen/>
      </w:r>
      <w:r w:rsidRPr="003102E2">
        <w:t>1</w:t>
      </w:r>
      <w:r w:rsidR="004C49E1" w:rsidRPr="003102E2">
        <w:t>8</w:t>
      </w:r>
      <w:r w:rsidRPr="003102E2">
        <w:t xml:space="preserve">. </w:t>
      </w:r>
      <w:r w:rsidR="00CB0AC0" w:rsidRPr="003102E2">
        <w:t>No variations were</w:t>
      </w:r>
      <w:r w:rsidRPr="003102E2">
        <w:t xml:space="preserve"> declined</w:t>
      </w:r>
      <w:r w:rsidR="00CB0AC0" w:rsidRPr="003102E2">
        <w:t xml:space="preserve"> in 2018</w:t>
      </w:r>
      <w:r w:rsidR="00A46508">
        <w:noBreakHyphen/>
      </w:r>
      <w:r w:rsidR="00CB0AC0" w:rsidRPr="003102E2">
        <w:t>19.</w:t>
      </w:r>
    </w:p>
    <w:p w14:paraId="7A8A69F5" w14:textId="3D1D9E7B" w:rsidR="00D34622" w:rsidRPr="00D34622" w:rsidRDefault="00D34622">
      <w:pPr>
        <w:pStyle w:val="Circletext"/>
      </w:pPr>
    </w:p>
    <w:p w14:paraId="195D5C24" w14:textId="26280933" w:rsidR="00D34622" w:rsidRDefault="00D34622">
      <w:pPr>
        <w:spacing w:after="0" w:line="240" w:lineRule="auto"/>
        <w:jc w:val="left"/>
        <w:rPr>
          <w:b/>
          <w:color w:val="FFFFFF" w:themeColor="background1"/>
          <w:sz w:val="24"/>
        </w:rPr>
      </w:pPr>
    </w:p>
    <w:p w14:paraId="676B0EDA" w14:textId="77777777" w:rsidR="00075AB9" w:rsidRDefault="00075AB9" w:rsidP="00D34622">
      <w:pPr>
        <w:pStyle w:val="TableMainHeading"/>
        <w:keepLines/>
        <w:sectPr w:rsidR="00075AB9" w:rsidSect="00D34622">
          <w:headerReference w:type="even" r:id="rId73"/>
          <w:footerReference w:type="even" r:id="rId74"/>
          <w:pgSz w:w="11906" w:h="16838" w:code="9"/>
          <w:pgMar w:top="2466" w:right="2098" w:bottom="2466" w:left="2098" w:header="1899" w:footer="1899" w:gutter="0"/>
          <w:cols w:space="708"/>
          <w:docGrid w:linePitch="360"/>
        </w:sectPr>
      </w:pPr>
    </w:p>
    <w:p w14:paraId="058C0C1A" w14:textId="31280596" w:rsidR="00383589" w:rsidRPr="00D34622" w:rsidRDefault="00383589" w:rsidP="00D34622">
      <w:pPr>
        <w:pStyle w:val="TableMainHeading"/>
        <w:keepLines/>
      </w:pPr>
      <w:bookmarkStart w:id="140" w:name="_Toc32247776"/>
      <w:bookmarkStart w:id="141" w:name="_Toc33521361"/>
      <w:r w:rsidRPr="00D34622">
        <w:lastRenderedPageBreak/>
        <w:t>Table 3.15: Variations considered: 2017-18 to 2018-19 (number of variations by variation type)</w:t>
      </w:r>
      <w:bookmarkEnd w:id="140"/>
      <w:bookmarkEnd w:id="141"/>
    </w:p>
    <w:tbl>
      <w:tblPr>
        <w:tblW w:w="5000" w:type="pct"/>
        <w:tblLook w:val="04A0" w:firstRow="1" w:lastRow="0" w:firstColumn="1" w:lastColumn="0" w:noHBand="0" w:noVBand="1"/>
      </w:tblPr>
      <w:tblGrid>
        <w:gridCol w:w="2258"/>
        <w:gridCol w:w="804"/>
        <w:gridCol w:w="804"/>
        <w:gridCol w:w="804"/>
        <w:gridCol w:w="804"/>
        <w:gridCol w:w="804"/>
        <w:gridCol w:w="804"/>
        <w:gridCol w:w="804"/>
        <w:gridCol w:w="804"/>
        <w:gridCol w:w="804"/>
        <w:gridCol w:w="804"/>
        <w:gridCol w:w="804"/>
        <w:gridCol w:w="804"/>
      </w:tblGrid>
      <w:tr w:rsidR="001578EB" w:rsidRPr="001578EB" w14:paraId="227B26C9" w14:textId="77777777" w:rsidTr="00FE48A4">
        <w:trPr>
          <w:trHeight w:val="450"/>
        </w:trPr>
        <w:tc>
          <w:tcPr>
            <w:tcW w:w="1053" w:type="pct"/>
            <w:tcBorders>
              <w:top w:val="single" w:sz="2" w:space="0" w:color="000000"/>
              <w:left w:val="nil"/>
              <w:right w:val="nil"/>
            </w:tcBorders>
            <w:shd w:val="clear" w:color="000000" w:fill="FFFFFF"/>
            <w:noWrap/>
            <w:vAlign w:val="center"/>
            <w:hideMark/>
          </w:tcPr>
          <w:p w14:paraId="4AA2F609" w14:textId="75449041" w:rsidR="001578EB" w:rsidRPr="001578EB" w:rsidRDefault="001578EB">
            <w:pPr>
              <w:spacing w:after="0" w:line="240" w:lineRule="auto"/>
              <w:jc w:val="left"/>
              <w:rPr>
                <w:rFonts w:ascii="Arial" w:hAnsi="Arial" w:cs="Arial"/>
                <w:color w:val="auto"/>
                <w:sz w:val="16"/>
                <w:szCs w:val="16"/>
              </w:rPr>
            </w:pPr>
          </w:p>
        </w:tc>
        <w:tc>
          <w:tcPr>
            <w:tcW w:w="1315" w:type="pct"/>
            <w:gridSpan w:val="4"/>
            <w:tcBorders>
              <w:top w:val="single" w:sz="2" w:space="0" w:color="000000"/>
              <w:left w:val="nil"/>
              <w:bottom w:val="single" w:sz="2" w:space="0" w:color="000000"/>
              <w:right w:val="nil"/>
            </w:tcBorders>
            <w:shd w:val="clear" w:color="auto" w:fill="auto"/>
            <w:vAlign w:val="bottom"/>
            <w:hideMark/>
          </w:tcPr>
          <w:p w14:paraId="68C5A749" w14:textId="4BB8A7A1" w:rsidR="001578EB" w:rsidRPr="001578EB" w:rsidRDefault="001578EB" w:rsidP="001578EB">
            <w:pPr>
              <w:spacing w:after="0" w:line="240" w:lineRule="auto"/>
              <w:jc w:val="center"/>
              <w:rPr>
                <w:rFonts w:ascii="Arial" w:hAnsi="Arial" w:cs="Arial"/>
                <w:color w:val="auto"/>
                <w:sz w:val="16"/>
                <w:szCs w:val="16"/>
              </w:rPr>
            </w:pPr>
            <w:r w:rsidRPr="001578EB">
              <w:rPr>
                <w:rFonts w:ascii="Arial" w:hAnsi="Arial" w:cs="Arial"/>
                <w:color w:val="auto"/>
                <w:sz w:val="16"/>
                <w:szCs w:val="16"/>
              </w:rPr>
              <w:t>Variation to exemption certificate (a)</w:t>
            </w:r>
          </w:p>
        </w:tc>
        <w:tc>
          <w:tcPr>
            <w:tcW w:w="1315" w:type="pct"/>
            <w:gridSpan w:val="4"/>
            <w:tcBorders>
              <w:top w:val="single" w:sz="2" w:space="0" w:color="000000"/>
              <w:left w:val="nil"/>
              <w:bottom w:val="single" w:sz="2" w:space="0" w:color="000000"/>
              <w:right w:val="nil"/>
            </w:tcBorders>
            <w:shd w:val="clear" w:color="auto" w:fill="auto"/>
            <w:vAlign w:val="bottom"/>
            <w:hideMark/>
          </w:tcPr>
          <w:p w14:paraId="01AF8A91" w14:textId="64A0B8F4" w:rsidR="001578EB" w:rsidRPr="001578EB" w:rsidRDefault="001578EB" w:rsidP="001578EB">
            <w:pPr>
              <w:spacing w:after="0" w:line="240" w:lineRule="auto"/>
              <w:jc w:val="center"/>
              <w:rPr>
                <w:rFonts w:ascii="Arial" w:hAnsi="Arial" w:cs="Arial"/>
                <w:color w:val="auto"/>
                <w:sz w:val="16"/>
                <w:szCs w:val="16"/>
              </w:rPr>
            </w:pPr>
            <w:r>
              <w:rPr>
                <w:rFonts w:ascii="Arial" w:hAnsi="Arial" w:cs="Arial"/>
                <w:color w:val="auto"/>
                <w:sz w:val="16"/>
                <w:szCs w:val="16"/>
              </w:rPr>
              <w:t>Variation to Land approval (b)</w:t>
            </w:r>
          </w:p>
        </w:tc>
        <w:tc>
          <w:tcPr>
            <w:tcW w:w="659" w:type="pct"/>
            <w:gridSpan w:val="2"/>
            <w:tcBorders>
              <w:top w:val="single" w:sz="2" w:space="0" w:color="000000"/>
              <w:left w:val="nil"/>
              <w:bottom w:val="single" w:sz="2" w:space="0" w:color="000000"/>
              <w:right w:val="nil"/>
            </w:tcBorders>
            <w:shd w:val="clear" w:color="auto" w:fill="auto"/>
            <w:vAlign w:val="center"/>
            <w:hideMark/>
          </w:tcPr>
          <w:p w14:paraId="4663977F" w14:textId="1F7E258D" w:rsidR="001578EB" w:rsidRPr="001578EB" w:rsidRDefault="001578EB" w:rsidP="001578EB">
            <w:pPr>
              <w:spacing w:after="0" w:line="240" w:lineRule="auto"/>
              <w:jc w:val="center"/>
              <w:rPr>
                <w:rFonts w:ascii="Arial" w:hAnsi="Arial" w:cs="Arial"/>
                <w:color w:val="auto"/>
                <w:sz w:val="16"/>
                <w:szCs w:val="16"/>
              </w:rPr>
            </w:pPr>
            <w:r w:rsidRPr="001578EB">
              <w:rPr>
                <w:rFonts w:ascii="Arial" w:hAnsi="Arial" w:cs="Arial"/>
                <w:color w:val="auto"/>
                <w:sz w:val="16"/>
                <w:szCs w:val="16"/>
              </w:rPr>
              <w:t>Variation to Other approval (c)</w:t>
            </w:r>
          </w:p>
        </w:tc>
        <w:tc>
          <w:tcPr>
            <w:tcW w:w="659" w:type="pct"/>
            <w:gridSpan w:val="2"/>
            <w:tcBorders>
              <w:top w:val="single" w:sz="2" w:space="0" w:color="000000"/>
              <w:left w:val="nil"/>
              <w:bottom w:val="single" w:sz="2" w:space="0" w:color="000000"/>
              <w:right w:val="nil"/>
            </w:tcBorders>
            <w:shd w:val="clear" w:color="auto" w:fill="auto"/>
            <w:vAlign w:val="bottom"/>
            <w:hideMark/>
          </w:tcPr>
          <w:p w14:paraId="75B7AD2A" w14:textId="542AF70B" w:rsidR="001578EB" w:rsidRPr="001578EB" w:rsidRDefault="001578EB" w:rsidP="001578EB">
            <w:pPr>
              <w:spacing w:after="0" w:line="240" w:lineRule="auto"/>
              <w:jc w:val="center"/>
              <w:rPr>
                <w:rFonts w:ascii="Arial" w:hAnsi="Arial" w:cs="Arial"/>
                <w:color w:val="auto"/>
                <w:sz w:val="16"/>
                <w:szCs w:val="16"/>
              </w:rPr>
            </w:pPr>
            <w:r w:rsidRPr="001578EB">
              <w:rPr>
                <w:rFonts w:ascii="Arial" w:hAnsi="Arial" w:cs="Arial"/>
                <w:color w:val="auto"/>
                <w:sz w:val="16"/>
                <w:szCs w:val="16"/>
              </w:rPr>
              <w:t>Total All variations</w:t>
            </w:r>
          </w:p>
        </w:tc>
      </w:tr>
      <w:tr w:rsidR="001578EB" w:rsidRPr="001578EB" w14:paraId="64FCC84E" w14:textId="77777777" w:rsidTr="00FE48A4">
        <w:trPr>
          <w:trHeight w:val="450"/>
        </w:trPr>
        <w:tc>
          <w:tcPr>
            <w:tcW w:w="1053" w:type="pct"/>
            <w:tcBorders>
              <w:left w:val="nil"/>
              <w:right w:val="nil"/>
            </w:tcBorders>
            <w:shd w:val="clear" w:color="000000" w:fill="FFFFFF"/>
            <w:noWrap/>
            <w:vAlign w:val="center"/>
            <w:hideMark/>
          </w:tcPr>
          <w:p w14:paraId="698BB0AD" w14:textId="23D1F90A" w:rsidR="001578EB" w:rsidRPr="001578EB" w:rsidRDefault="001578EB" w:rsidP="001578EB">
            <w:pPr>
              <w:spacing w:after="0" w:line="240" w:lineRule="auto"/>
              <w:jc w:val="left"/>
              <w:rPr>
                <w:rFonts w:ascii="Arial" w:hAnsi="Arial" w:cs="Arial"/>
                <w:color w:val="auto"/>
                <w:sz w:val="16"/>
                <w:szCs w:val="16"/>
              </w:rPr>
            </w:pPr>
          </w:p>
        </w:tc>
        <w:tc>
          <w:tcPr>
            <w:tcW w:w="657" w:type="pct"/>
            <w:gridSpan w:val="2"/>
            <w:tcBorders>
              <w:top w:val="single" w:sz="2" w:space="0" w:color="000000"/>
              <w:left w:val="nil"/>
              <w:bottom w:val="single" w:sz="2" w:space="0" w:color="000000"/>
              <w:right w:val="nil"/>
            </w:tcBorders>
            <w:shd w:val="clear" w:color="auto" w:fill="auto"/>
            <w:vAlign w:val="bottom"/>
            <w:hideMark/>
          </w:tcPr>
          <w:p w14:paraId="2F05DDE0" w14:textId="41F7F67C" w:rsidR="001578EB" w:rsidRPr="001578EB" w:rsidRDefault="001578EB" w:rsidP="001578EB">
            <w:pPr>
              <w:spacing w:after="0" w:line="240" w:lineRule="auto"/>
              <w:jc w:val="center"/>
              <w:rPr>
                <w:rFonts w:ascii="Arial" w:hAnsi="Arial" w:cs="Arial"/>
                <w:color w:val="auto"/>
                <w:sz w:val="16"/>
                <w:szCs w:val="16"/>
              </w:rPr>
            </w:pPr>
            <w:r w:rsidRPr="001578EB">
              <w:rPr>
                <w:rFonts w:ascii="Arial" w:hAnsi="Arial" w:cs="Arial"/>
                <w:color w:val="auto"/>
                <w:sz w:val="16"/>
                <w:szCs w:val="16"/>
              </w:rPr>
              <w:t>Acquisition program certificate (d)</w:t>
            </w:r>
          </w:p>
        </w:tc>
        <w:tc>
          <w:tcPr>
            <w:tcW w:w="657" w:type="pct"/>
            <w:gridSpan w:val="2"/>
            <w:tcBorders>
              <w:top w:val="single" w:sz="2" w:space="0" w:color="000000"/>
              <w:left w:val="nil"/>
              <w:bottom w:val="single" w:sz="2" w:space="0" w:color="000000"/>
              <w:right w:val="nil"/>
            </w:tcBorders>
            <w:shd w:val="clear" w:color="auto" w:fill="auto"/>
            <w:vAlign w:val="bottom"/>
            <w:hideMark/>
          </w:tcPr>
          <w:p w14:paraId="0F1DABFA" w14:textId="3374AEFB" w:rsidR="001578EB" w:rsidRPr="001578EB" w:rsidRDefault="001578EB" w:rsidP="001578EB">
            <w:pPr>
              <w:spacing w:after="0" w:line="240" w:lineRule="auto"/>
              <w:jc w:val="center"/>
              <w:rPr>
                <w:rFonts w:ascii="Arial" w:hAnsi="Arial" w:cs="Arial"/>
                <w:color w:val="auto"/>
                <w:sz w:val="16"/>
                <w:szCs w:val="16"/>
              </w:rPr>
            </w:pPr>
            <w:r>
              <w:rPr>
                <w:rFonts w:ascii="Arial" w:hAnsi="Arial" w:cs="Arial"/>
                <w:color w:val="auto"/>
                <w:sz w:val="16"/>
                <w:szCs w:val="16"/>
              </w:rPr>
              <w:t>New dwelling certificate (e)</w:t>
            </w:r>
          </w:p>
        </w:tc>
        <w:tc>
          <w:tcPr>
            <w:tcW w:w="657" w:type="pct"/>
            <w:gridSpan w:val="2"/>
            <w:tcBorders>
              <w:top w:val="single" w:sz="2" w:space="0" w:color="000000"/>
              <w:left w:val="nil"/>
              <w:bottom w:val="single" w:sz="2" w:space="0" w:color="000000"/>
              <w:right w:val="nil"/>
            </w:tcBorders>
            <w:shd w:val="clear" w:color="auto" w:fill="auto"/>
            <w:vAlign w:val="bottom"/>
            <w:hideMark/>
          </w:tcPr>
          <w:p w14:paraId="005B41E2" w14:textId="7BA42EE1" w:rsidR="001578EB" w:rsidRPr="001578EB" w:rsidRDefault="001578EB" w:rsidP="001578EB">
            <w:pPr>
              <w:spacing w:after="0" w:line="240" w:lineRule="auto"/>
              <w:jc w:val="center"/>
              <w:rPr>
                <w:rFonts w:ascii="Arial" w:hAnsi="Arial" w:cs="Arial"/>
                <w:color w:val="auto"/>
                <w:sz w:val="16"/>
                <w:szCs w:val="16"/>
              </w:rPr>
            </w:pPr>
            <w:r w:rsidRPr="001578EB">
              <w:rPr>
                <w:rFonts w:ascii="Arial" w:hAnsi="Arial" w:cs="Arial"/>
                <w:color w:val="auto"/>
                <w:sz w:val="16"/>
                <w:szCs w:val="16"/>
              </w:rPr>
              <w:t>Residential (f)</w:t>
            </w:r>
          </w:p>
        </w:tc>
        <w:tc>
          <w:tcPr>
            <w:tcW w:w="657" w:type="pct"/>
            <w:gridSpan w:val="2"/>
            <w:tcBorders>
              <w:top w:val="single" w:sz="2" w:space="0" w:color="000000"/>
              <w:left w:val="nil"/>
              <w:bottom w:val="single" w:sz="2" w:space="0" w:color="000000"/>
              <w:right w:val="nil"/>
            </w:tcBorders>
            <w:shd w:val="clear" w:color="auto" w:fill="auto"/>
            <w:vAlign w:val="bottom"/>
            <w:hideMark/>
          </w:tcPr>
          <w:p w14:paraId="47FB2716" w14:textId="15D73ED8" w:rsidR="001578EB" w:rsidRPr="001578EB" w:rsidRDefault="001578EB" w:rsidP="001578EB">
            <w:pPr>
              <w:spacing w:after="0" w:line="240" w:lineRule="auto"/>
              <w:jc w:val="center"/>
              <w:rPr>
                <w:rFonts w:ascii="Arial" w:hAnsi="Arial" w:cs="Arial"/>
                <w:color w:val="auto"/>
                <w:sz w:val="16"/>
                <w:szCs w:val="16"/>
              </w:rPr>
            </w:pPr>
            <w:r w:rsidRPr="001578EB">
              <w:rPr>
                <w:rFonts w:ascii="Arial" w:hAnsi="Arial" w:cs="Arial"/>
                <w:color w:val="auto"/>
                <w:sz w:val="16"/>
                <w:szCs w:val="16"/>
              </w:rPr>
              <w:t>Other (g)</w:t>
            </w:r>
          </w:p>
        </w:tc>
        <w:tc>
          <w:tcPr>
            <w:tcW w:w="330" w:type="pct"/>
            <w:tcBorders>
              <w:top w:val="single" w:sz="2" w:space="0" w:color="000000"/>
              <w:left w:val="nil"/>
              <w:bottom w:val="single" w:sz="2" w:space="0" w:color="000000"/>
              <w:right w:val="nil"/>
            </w:tcBorders>
            <w:shd w:val="clear" w:color="auto" w:fill="auto"/>
            <w:vAlign w:val="bottom"/>
            <w:hideMark/>
          </w:tcPr>
          <w:p w14:paraId="09174260" w14:textId="23F28040" w:rsidR="001578EB" w:rsidRPr="001578EB" w:rsidRDefault="001578EB" w:rsidP="001578EB">
            <w:pPr>
              <w:spacing w:after="0" w:line="240" w:lineRule="auto"/>
              <w:jc w:val="center"/>
              <w:rPr>
                <w:rFonts w:ascii="Arial" w:hAnsi="Arial" w:cs="Arial"/>
                <w:color w:val="auto"/>
                <w:sz w:val="16"/>
                <w:szCs w:val="16"/>
              </w:rPr>
            </w:pPr>
          </w:p>
        </w:tc>
        <w:tc>
          <w:tcPr>
            <w:tcW w:w="330" w:type="pct"/>
            <w:tcBorders>
              <w:top w:val="single" w:sz="2" w:space="0" w:color="000000"/>
              <w:left w:val="nil"/>
              <w:bottom w:val="single" w:sz="2" w:space="0" w:color="000000"/>
              <w:right w:val="nil"/>
            </w:tcBorders>
            <w:shd w:val="clear" w:color="auto" w:fill="auto"/>
            <w:vAlign w:val="bottom"/>
            <w:hideMark/>
          </w:tcPr>
          <w:p w14:paraId="5C5A1465" w14:textId="539F2E50" w:rsidR="001578EB" w:rsidRPr="001578EB" w:rsidRDefault="001578EB" w:rsidP="001578EB">
            <w:pPr>
              <w:spacing w:after="0" w:line="240" w:lineRule="auto"/>
              <w:jc w:val="center"/>
              <w:rPr>
                <w:rFonts w:ascii="Calibri" w:hAnsi="Calibri" w:cs="Calibri"/>
                <w:color w:val="auto"/>
                <w:sz w:val="22"/>
                <w:szCs w:val="22"/>
              </w:rPr>
            </w:pPr>
          </w:p>
        </w:tc>
        <w:tc>
          <w:tcPr>
            <w:tcW w:w="330" w:type="pct"/>
            <w:tcBorders>
              <w:top w:val="single" w:sz="2" w:space="0" w:color="000000"/>
              <w:left w:val="nil"/>
              <w:bottom w:val="single" w:sz="2" w:space="0" w:color="000000"/>
              <w:right w:val="nil"/>
            </w:tcBorders>
            <w:shd w:val="clear" w:color="auto" w:fill="auto"/>
            <w:vAlign w:val="bottom"/>
            <w:hideMark/>
          </w:tcPr>
          <w:p w14:paraId="06CD5763" w14:textId="0D2CEBB5" w:rsidR="001578EB" w:rsidRPr="001578EB" w:rsidRDefault="001578EB" w:rsidP="001578EB">
            <w:pPr>
              <w:spacing w:after="0" w:line="240" w:lineRule="auto"/>
              <w:jc w:val="center"/>
              <w:rPr>
                <w:rFonts w:ascii="Arial" w:hAnsi="Arial" w:cs="Arial"/>
                <w:color w:val="auto"/>
                <w:sz w:val="16"/>
                <w:szCs w:val="16"/>
              </w:rPr>
            </w:pPr>
          </w:p>
        </w:tc>
        <w:tc>
          <w:tcPr>
            <w:tcW w:w="330" w:type="pct"/>
            <w:tcBorders>
              <w:top w:val="single" w:sz="2" w:space="0" w:color="000000"/>
              <w:left w:val="nil"/>
              <w:bottom w:val="single" w:sz="2" w:space="0" w:color="000000"/>
              <w:right w:val="nil"/>
            </w:tcBorders>
            <w:shd w:val="clear" w:color="auto" w:fill="auto"/>
            <w:vAlign w:val="bottom"/>
            <w:hideMark/>
          </w:tcPr>
          <w:p w14:paraId="0E9E2BA3" w14:textId="2C359C49" w:rsidR="001578EB" w:rsidRPr="001578EB" w:rsidRDefault="001578EB" w:rsidP="001578EB">
            <w:pPr>
              <w:spacing w:after="0" w:line="240" w:lineRule="auto"/>
              <w:jc w:val="center"/>
              <w:rPr>
                <w:rFonts w:ascii="Calibri" w:hAnsi="Calibri" w:cs="Calibri"/>
                <w:color w:val="auto"/>
                <w:sz w:val="22"/>
                <w:szCs w:val="22"/>
              </w:rPr>
            </w:pPr>
          </w:p>
        </w:tc>
      </w:tr>
      <w:tr w:rsidR="001578EB" w:rsidRPr="001578EB" w14:paraId="25430323" w14:textId="77777777" w:rsidTr="00FE48A4">
        <w:trPr>
          <w:trHeight w:val="225"/>
        </w:trPr>
        <w:tc>
          <w:tcPr>
            <w:tcW w:w="1053" w:type="pct"/>
            <w:tcBorders>
              <w:left w:val="nil"/>
              <w:bottom w:val="nil"/>
              <w:right w:val="nil"/>
            </w:tcBorders>
            <w:shd w:val="clear" w:color="000000" w:fill="FFFFFF"/>
            <w:noWrap/>
            <w:vAlign w:val="center"/>
            <w:hideMark/>
          </w:tcPr>
          <w:p w14:paraId="509D4C19" w14:textId="5091175E" w:rsidR="001578EB" w:rsidRPr="001578EB" w:rsidRDefault="001578EB" w:rsidP="001578EB">
            <w:pPr>
              <w:spacing w:after="0" w:line="240" w:lineRule="auto"/>
              <w:jc w:val="lef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center"/>
            <w:hideMark/>
          </w:tcPr>
          <w:p w14:paraId="3D7D4D46" w14:textId="27FE52BA"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2017-18</w:t>
            </w:r>
          </w:p>
        </w:tc>
        <w:tc>
          <w:tcPr>
            <w:tcW w:w="329" w:type="pct"/>
            <w:tcBorders>
              <w:top w:val="single" w:sz="2" w:space="0" w:color="000000"/>
              <w:left w:val="nil"/>
              <w:bottom w:val="nil"/>
              <w:right w:val="nil"/>
            </w:tcBorders>
            <w:shd w:val="clear" w:color="000000" w:fill="E6E6E6"/>
            <w:noWrap/>
            <w:vAlign w:val="center"/>
            <w:hideMark/>
          </w:tcPr>
          <w:p w14:paraId="0B0A4961" w14:textId="2F63680E"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2018-19</w:t>
            </w:r>
          </w:p>
        </w:tc>
        <w:tc>
          <w:tcPr>
            <w:tcW w:w="329" w:type="pct"/>
            <w:tcBorders>
              <w:top w:val="single" w:sz="2" w:space="0" w:color="000000"/>
              <w:left w:val="nil"/>
              <w:bottom w:val="nil"/>
              <w:right w:val="nil"/>
            </w:tcBorders>
            <w:shd w:val="clear" w:color="auto" w:fill="auto"/>
            <w:noWrap/>
            <w:vAlign w:val="center"/>
            <w:hideMark/>
          </w:tcPr>
          <w:p w14:paraId="24ADC4A3" w14:textId="50AA1A40"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2017-18</w:t>
            </w:r>
          </w:p>
        </w:tc>
        <w:tc>
          <w:tcPr>
            <w:tcW w:w="329" w:type="pct"/>
            <w:tcBorders>
              <w:top w:val="single" w:sz="2" w:space="0" w:color="000000"/>
              <w:left w:val="nil"/>
              <w:bottom w:val="nil"/>
              <w:right w:val="nil"/>
            </w:tcBorders>
            <w:shd w:val="clear" w:color="000000" w:fill="E6E6E6"/>
            <w:noWrap/>
            <w:vAlign w:val="center"/>
            <w:hideMark/>
          </w:tcPr>
          <w:p w14:paraId="395D761C" w14:textId="39836F61"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2018-19</w:t>
            </w:r>
          </w:p>
        </w:tc>
        <w:tc>
          <w:tcPr>
            <w:tcW w:w="329" w:type="pct"/>
            <w:tcBorders>
              <w:top w:val="single" w:sz="2" w:space="0" w:color="000000"/>
              <w:left w:val="nil"/>
              <w:bottom w:val="nil"/>
              <w:right w:val="nil"/>
            </w:tcBorders>
            <w:shd w:val="clear" w:color="auto" w:fill="auto"/>
            <w:noWrap/>
            <w:vAlign w:val="center"/>
            <w:hideMark/>
          </w:tcPr>
          <w:p w14:paraId="5188E24B" w14:textId="71BA9E83"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2017-18</w:t>
            </w:r>
          </w:p>
        </w:tc>
        <w:tc>
          <w:tcPr>
            <w:tcW w:w="329" w:type="pct"/>
            <w:tcBorders>
              <w:top w:val="single" w:sz="2" w:space="0" w:color="000000"/>
              <w:left w:val="nil"/>
              <w:bottom w:val="nil"/>
              <w:right w:val="nil"/>
            </w:tcBorders>
            <w:shd w:val="clear" w:color="000000" w:fill="E6E6E6"/>
            <w:noWrap/>
            <w:vAlign w:val="center"/>
            <w:hideMark/>
          </w:tcPr>
          <w:p w14:paraId="0B5E3416" w14:textId="1622C479"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2018-19</w:t>
            </w:r>
          </w:p>
        </w:tc>
        <w:tc>
          <w:tcPr>
            <w:tcW w:w="329" w:type="pct"/>
            <w:tcBorders>
              <w:top w:val="single" w:sz="2" w:space="0" w:color="000000"/>
              <w:left w:val="nil"/>
              <w:bottom w:val="nil"/>
              <w:right w:val="nil"/>
            </w:tcBorders>
            <w:shd w:val="clear" w:color="auto" w:fill="auto"/>
            <w:noWrap/>
            <w:vAlign w:val="center"/>
            <w:hideMark/>
          </w:tcPr>
          <w:p w14:paraId="3800E57E" w14:textId="17156EB0"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2017-18</w:t>
            </w:r>
          </w:p>
        </w:tc>
        <w:tc>
          <w:tcPr>
            <w:tcW w:w="329" w:type="pct"/>
            <w:tcBorders>
              <w:top w:val="single" w:sz="2" w:space="0" w:color="000000"/>
              <w:left w:val="nil"/>
              <w:bottom w:val="nil"/>
              <w:right w:val="nil"/>
            </w:tcBorders>
            <w:shd w:val="clear" w:color="000000" w:fill="E6E6E6"/>
            <w:noWrap/>
            <w:vAlign w:val="center"/>
            <w:hideMark/>
          </w:tcPr>
          <w:p w14:paraId="1570E0C7" w14:textId="77CF854E" w:rsidR="001578EB" w:rsidRPr="001578EB" w:rsidRDefault="003D250F" w:rsidP="001578EB">
            <w:pPr>
              <w:spacing w:after="0" w:line="240" w:lineRule="auto"/>
              <w:jc w:val="right"/>
              <w:rPr>
                <w:rFonts w:ascii="Arial" w:hAnsi="Arial" w:cs="Arial"/>
                <w:color w:val="auto"/>
                <w:sz w:val="16"/>
                <w:szCs w:val="16"/>
              </w:rPr>
            </w:pPr>
            <w:r>
              <w:rPr>
                <w:rFonts w:ascii="Arial" w:hAnsi="Arial" w:cs="Arial"/>
                <w:color w:val="auto"/>
                <w:sz w:val="16"/>
                <w:szCs w:val="16"/>
              </w:rPr>
              <w:t>2018-19</w:t>
            </w:r>
          </w:p>
        </w:tc>
        <w:tc>
          <w:tcPr>
            <w:tcW w:w="330" w:type="pct"/>
            <w:tcBorders>
              <w:top w:val="single" w:sz="2" w:space="0" w:color="000000"/>
              <w:left w:val="nil"/>
              <w:bottom w:val="nil"/>
              <w:right w:val="nil"/>
            </w:tcBorders>
            <w:shd w:val="clear" w:color="auto" w:fill="auto"/>
            <w:noWrap/>
            <w:vAlign w:val="center"/>
            <w:hideMark/>
          </w:tcPr>
          <w:p w14:paraId="266BE924" w14:textId="00D1AC5E" w:rsidR="001578EB" w:rsidRPr="001578EB" w:rsidRDefault="001578EB" w:rsidP="003D250F">
            <w:pPr>
              <w:spacing w:after="0" w:line="240" w:lineRule="auto"/>
              <w:jc w:val="right"/>
              <w:rPr>
                <w:rFonts w:ascii="Arial" w:hAnsi="Arial" w:cs="Arial"/>
                <w:color w:val="auto"/>
                <w:sz w:val="16"/>
                <w:szCs w:val="16"/>
              </w:rPr>
            </w:pPr>
            <w:r w:rsidRPr="001578EB">
              <w:rPr>
                <w:rFonts w:ascii="Arial" w:hAnsi="Arial" w:cs="Arial"/>
                <w:color w:val="auto"/>
                <w:sz w:val="16"/>
                <w:szCs w:val="16"/>
              </w:rPr>
              <w:t>2017-18</w:t>
            </w:r>
          </w:p>
        </w:tc>
        <w:tc>
          <w:tcPr>
            <w:tcW w:w="330" w:type="pct"/>
            <w:tcBorders>
              <w:top w:val="single" w:sz="2" w:space="0" w:color="000000"/>
              <w:left w:val="nil"/>
              <w:bottom w:val="nil"/>
              <w:right w:val="nil"/>
            </w:tcBorders>
            <w:shd w:val="clear" w:color="000000" w:fill="E6E6E6"/>
            <w:noWrap/>
            <w:vAlign w:val="center"/>
            <w:hideMark/>
          </w:tcPr>
          <w:p w14:paraId="14DBE26C" w14:textId="64BFAB07" w:rsidR="001578EB" w:rsidRPr="001578EB" w:rsidRDefault="001578EB" w:rsidP="003D250F">
            <w:pPr>
              <w:spacing w:after="0" w:line="240" w:lineRule="auto"/>
              <w:jc w:val="right"/>
              <w:rPr>
                <w:rFonts w:ascii="Arial" w:hAnsi="Arial" w:cs="Arial"/>
                <w:color w:val="auto"/>
                <w:sz w:val="16"/>
                <w:szCs w:val="16"/>
              </w:rPr>
            </w:pPr>
            <w:r w:rsidRPr="001578EB">
              <w:rPr>
                <w:rFonts w:ascii="Arial" w:hAnsi="Arial" w:cs="Arial"/>
                <w:color w:val="auto"/>
                <w:sz w:val="16"/>
                <w:szCs w:val="16"/>
              </w:rPr>
              <w:t>2018-19</w:t>
            </w:r>
          </w:p>
        </w:tc>
        <w:tc>
          <w:tcPr>
            <w:tcW w:w="330" w:type="pct"/>
            <w:tcBorders>
              <w:top w:val="single" w:sz="2" w:space="0" w:color="000000"/>
              <w:left w:val="nil"/>
              <w:bottom w:val="nil"/>
              <w:right w:val="nil"/>
            </w:tcBorders>
            <w:shd w:val="clear" w:color="auto" w:fill="auto"/>
            <w:noWrap/>
            <w:vAlign w:val="center"/>
            <w:hideMark/>
          </w:tcPr>
          <w:p w14:paraId="528A02A1" w14:textId="3CD8CE85" w:rsidR="001578EB" w:rsidRPr="001578EB" w:rsidRDefault="001578EB" w:rsidP="003D250F">
            <w:pPr>
              <w:spacing w:after="0" w:line="240" w:lineRule="auto"/>
              <w:jc w:val="right"/>
              <w:rPr>
                <w:rFonts w:ascii="Arial" w:hAnsi="Arial" w:cs="Arial"/>
                <w:color w:val="auto"/>
                <w:sz w:val="16"/>
                <w:szCs w:val="16"/>
              </w:rPr>
            </w:pPr>
            <w:r w:rsidRPr="001578EB">
              <w:rPr>
                <w:rFonts w:ascii="Arial" w:hAnsi="Arial" w:cs="Arial"/>
                <w:color w:val="auto"/>
                <w:sz w:val="16"/>
                <w:szCs w:val="16"/>
              </w:rPr>
              <w:t>2017-18</w:t>
            </w:r>
          </w:p>
        </w:tc>
        <w:tc>
          <w:tcPr>
            <w:tcW w:w="330" w:type="pct"/>
            <w:tcBorders>
              <w:top w:val="single" w:sz="2" w:space="0" w:color="000000"/>
              <w:left w:val="nil"/>
              <w:bottom w:val="nil"/>
              <w:right w:val="nil"/>
            </w:tcBorders>
            <w:shd w:val="clear" w:color="000000" w:fill="E6E6E6"/>
            <w:noWrap/>
            <w:vAlign w:val="center"/>
            <w:hideMark/>
          </w:tcPr>
          <w:p w14:paraId="1393B993" w14:textId="0939EC82" w:rsidR="001578EB" w:rsidRPr="001578EB" w:rsidRDefault="003D250F" w:rsidP="001578EB">
            <w:pPr>
              <w:spacing w:after="0" w:line="240" w:lineRule="auto"/>
              <w:jc w:val="right"/>
              <w:rPr>
                <w:rFonts w:ascii="Arial" w:hAnsi="Arial" w:cs="Arial"/>
                <w:color w:val="auto"/>
                <w:sz w:val="16"/>
                <w:szCs w:val="16"/>
              </w:rPr>
            </w:pPr>
            <w:r>
              <w:rPr>
                <w:rFonts w:ascii="Arial" w:hAnsi="Arial" w:cs="Arial"/>
                <w:color w:val="auto"/>
                <w:sz w:val="16"/>
                <w:szCs w:val="16"/>
              </w:rPr>
              <w:t>2018-19</w:t>
            </w:r>
          </w:p>
        </w:tc>
      </w:tr>
      <w:tr w:rsidR="001578EB" w:rsidRPr="001578EB" w14:paraId="420D75A0" w14:textId="77777777" w:rsidTr="00FE48A4">
        <w:trPr>
          <w:trHeight w:val="225"/>
        </w:trPr>
        <w:tc>
          <w:tcPr>
            <w:tcW w:w="1053" w:type="pct"/>
            <w:tcBorders>
              <w:top w:val="nil"/>
              <w:left w:val="nil"/>
              <w:bottom w:val="single" w:sz="2" w:space="0" w:color="000000"/>
              <w:right w:val="nil"/>
            </w:tcBorders>
            <w:shd w:val="clear" w:color="000000" w:fill="FFFFFF"/>
            <w:noWrap/>
            <w:vAlign w:val="bottom"/>
            <w:hideMark/>
          </w:tcPr>
          <w:p w14:paraId="16DC1B2D" w14:textId="40108A39" w:rsidR="001578EB" w:rsidRPr="001578EB" w:rsidRDefault="001578EB" w:rsidP="001578EB">
            <w:pPr>
              <w:spacing w:after="0" w:line="240" w:lineRule="auto"/>
              <w:jc w:val="left"/>
              <w:rPr>
                <w:rFonts w:ascii="Arial" w:hAnsi="Arial" w:cs="Arial"/>
                <w:color w:val="auto"/>
                <w:sz w:val="16"/>
                <w:szCs w:val="16"/>
              </w:rPr>
            </w:pPr>
            <w:r>
              <w:rPr>
                <w:rFonts w:ascii="Arial" w:hAnsi="Arial" w:cs="Arial"/>
                <w:color w:val="auto"/>
                <w:sz w:val="16"/>
                <w:szCs w:val="16"/>
              </w:rPr>
              <w:t>Outcome</w:t>
            </w:r>
          </w:p>
        </w:tc>
        <w:tc>
          <w:tcPr>
            <w:tcW w:w="329" w:type="pct"/>
            <w:tcBorders>
              <w:top w:val="nil"/>
              <w:left w:val="nil"/>
              <w:bottom w:val="single" w:sz="2" w:space="0" w:color="000000"/>
              <w:right w:val="nil"/>
            </w:tcBorders>
            <w:shd w:val="clear" w:color="auto" w:fill="auto"/>
            <w:noWrap/>
            <w:vAlign w:val="bottom"/>
            <w:hideMark/>
          </w:tcPr>
          <w:p w14:paraId="150B4F70" w14:textId="480BD689"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29" w:type="pct"/>
            <w:tcBorders>
              <w:top w:val="nil"/>
              <w:left w:val="nil"/>
              <w:bottom w:val="single" w:sz="2" w:space="0" w:color="000000"/>
              <w:right w:val="nil"/>
            </w:tcBorders>
            <w:shd w:val="clear" w:color="000000" w:fill="E6E6E6"/>
            <w:noWrap/>
            <w:vAlign w:val="bottom"/>
            <w:hideMark/>
          </w:tcPr>
          <w:p w14:paraId="6DF3371A" w14:textId="49C04312"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29" w:type="pct"/>
            <w:tcBorders>
              <w:top w:val="nil"/>
              <w:left w:val="nil"/>
              <w:bottom w:val="single" w:sz="2" w:space="0" w:color="000000"/>
              <w:right w:val="nil"/>
            </w:tcBorders>
            <w:shd w:val="clear" w:color="auto" w:fill="auto"/>
            <w:noWrap/>
            <w:vAlign w:val="bottom"/>
            <w:hideMark/>
          </w:tcPr>
          <w:p w14:paraId="2695E239" w14:textId="3B8E5945"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29" w:type="pct"/>
            <w:tcBorders>
              <w:top w:val="nil"/>
              <w:left w:val="nil"/>
              <w:bottom w:val="single" w:sz="2" w:space="0" w:color="000000"/>
              <w:right w:val="nil"/>
            </w:tcBorders>
            <w:shd w:val="clear" w:color="000000" w:fill="E6E6E6"/>
            <w:noWrap/>
            <w:vAlign w:val="bottom"/>
            <w:hideMark/>
          </w:tcPr>
          <w:p w14:paraId="5F146F42" w14:textId="161762DC"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29" w:type="pct"/>
            <w:tcBorders>
              <w:top w:val="nil"/>
              <w:left w:val="nil"/>
              <w:bottom w:val="single" w:sz="2" w:space="0" w:color="000000"/>
              <w:right w:val="nil"/>
            </w:tcBorders>
            <w:shd w:val="clear" w:color="auto" w:fill="auto"/>
            <w:noWrap/>
            <w:vAlign w:val="bottom"/>
            <w:hideMark/>
          </w:tcPr>
          <w:p w14:paraId="2DFD2CEA" w14:textId="2284CDC3"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29" w:type="pct"/>
            <w:tcBorders>
              <w:top w:val="nil"/>
              <w:left w:val="nil"/>
              <w:bottom w:val="single" w:sz="2" w:space="0" w:color="000000"/>
              <w:right w:val="nil"/>
            </w:tcBorders>
            <w:shd w:val="clear" w:color="000000" w:fill="E6E6E6"/>
            <w:noWrap/>
            <w:vAlign w:val="bottom"/>
            <w:hideMark/>
          </w:tcPr>
          <w:p w14:paraId="64B0E319" w14:textId="1F01425F"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29" w:type="pct"/>
            <w:tcBorders>
              <w:top w:val="nil"/>
              <w:left w:val="nil"/>
              <w:bottom w:val="single" w:sz="2" w:space="0" w:color="000000"/>
              <w:right w:val="nil"/>
            </w:tcBorders>
            <w:shd w:val="clear" w:color="auto" w:fill="auto"/>
            <w:noWrap/>
            <w:vAlign w:val="bottom"/>
            <w:hideMark/>
          </w:tcPr>
          <w:p w14:paraId="71052AF8" w14:textId="561EB940" w:rsidR="001578EB" w:rsidRPr="001578EB" w:rsidRDefault="001578EB" w:rsidP="001578EB">
            <w:pPr>
              <w:spacing w:after="0" w:line="240" w:lineRule="auto"/>
              <w:jc w:val="right"/>
              <w:rPr>
                <w:rFonts w:ascii="Arial" w:hAnsi="Arial" w:cs="Arial"/>
                <w:color w:val="auto"/>
                <w:sz w:val="16"/>
                <w:szCs w:val="16"/>
              </w:rPr>
            </w:pPr>
            <w:r>
              <w:rPr>
                <w:rFonts w:ascii="Arial" w:hAnsi="Arial" w:cs="Arial"/>
                <w:color w:val="auto"/>
                <w:sz w:val="16"/>
                <w:szCs w:val="16"/>
              </w:rPr>
              <w:t>No.</w:t>
            </w:r>
          </w:p>
        </w:tc>
        <w:tc>
          <w:tcPr>
            <w:tcW w:w="329" w:type="pct"/>
            <w:tcBorders>
              <w:top w:val="nil"/>
              <w:left w:val="nil"/>
              <w:bottom w:val="single" w:sz="2" w:space="0" w:color="000000"/>
              <w:right w:val="nil"/>
            </w:tcBorders>
            <w:shd w:val="clear" w:color="000000" w:fill="E6E6E6"/>
            <w:noWrap/>
            <w:vAlign w:val="bottom"/>
            <w:hideMark/>
          </w:tcPr>
          <w:p w14:paraId="6E4E53B8" w14:textId="7B3B204D" w:rsidR="001578EB" w:rsidRPr="001578EB" w:rsidRDefault="001578EB" w:rsidP="003D250F">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30" w:type="pct"/>
            <w:tcBorders>
              <w:top w:val="nil"/>
              <w:left w:val="nil"/>
              <w:bottom w:val="single" w:sz="2" w:space="0" w:color="000000"/>
              <w:right w:val="nil"/>
            </w:tcBorders>
            <w:shd w:val="clear" w:color="auto" w:fill="auto"/>
            <w:noWrap/>
            <w:vAlign w:val="bottom"/>
            <w:hideMark/>
          </w:tcPr>
          <w:p w14:paraId="4DEE9BC6" w14:textId="17C1A64C" w:rsidR="001578EB" w:rsidRPr="001578EB" w:rsidRDefault="001578EB" w:rsidP="003D250F">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30" w:type="pct"/>
            <w:tcBorders>
              <w:top w:val="nil"/>
              <w:left w:val="nil"/>
              <w:bottom w:val="single" w:sz="2" w:space="0" w:color="000000"/>
              <w:right w:val="nil"/>
            </w:tcBorders>
            <w:shd w:val="clear" w:color="000000" w:fill="E6E6E6"/>
            <w:noWrap/>
            <w:vAlign w:val="bottom"/>
            <w:hideMark/>
          </w:tcPr>
          <w:p w14:paraId="55DAE45A" w14:textId="65BBDD96" w:rsidR="001578EB" w:rsidRPr="001578EB" w:rsidRDefault="001578EB" w:rsidP="003D250F">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30" w:type="pct"/>
            <w:tcBorders>
              <w:top w:val="nil"/>
              <w:left w:val="nil"/>
              <w:bottom w:val="single" w:sz="2" w:space="0" w:color="000000"/>
              <w:right w:val="nil"/>
            </w:tcBorders>
            <w:shd w:val="clear" w:color="auto" w:fill="auto"/>
            <w:noWrap/>
            <w:vAlign w:val="bottom"/>
            <w:hideMark/>
          </w:tcPr>
          <w:p w14:paraId="49774057" w14:textId="54B76C1E" w:rsidR="001578EB" w:rsidRPr="001578EB" w:rsidRDefault="001578EB" w:rsidP="003D250F">
            <w:pPr>
              <w:spacing w:after="0" w:line="240" w:lineRule="auto"/>
              <w:jc w:val="right"/>
              <w:rPr>
                <w:rFonts w:ascii="Arial" w:hAnsi="Arial" w:cs="Arial"/>
                <w:color w:val="auto"/>
                <w:sz w:val="16"/>
                <w:szCs w:val="16"/>
              </w:rPr>
            </w:pPr>
            <w:r w:rsidRPr="001578EB">
              <w:rPr>
                <w:rFonts w:ascii="Arial" w:hAnsi="Arial" w:cs="Arial"/>
                <w:color w:val="auto"/>
                <w:sz w:val="16"/>
                <w:szCs w:val="16"/>
              </w:rPr>
              <w:t>No.</w:t>
            </w:r>
          </w:p>
        </w:tc>
        <w:tc>
          <w:tcPr>
            <w:tcW w:w="330" w:type="pct"/>
            <w:tcBorders>
              <w:top w:val="nil"/>
              <w:left w:val="nil"/>
              <w:bottom w:val="single" w:sz="2" w:space="0" w:color="000000"/>
              <w:right w:val="nil"/>
            </w:tcBorders>
            <w:shd w:val="clear" w:color="000000" w:fill="E6E6E6"/>
            <w:noWrap/>
            <w:vAlign w:val="bottom"/>
            <w:hideMark/>
          </w:tcPr>
          <w:p w14:paraId="7EEC15CE" w14:textId="790ABAA9" w:rsidR="001578EB" w:rsidRPr="001578EB" w:rsidRDefault="003D250F" w:rsidP="001578EB">
            <w:pPr>
              <w:spacing w:after="0" w:line="240" w:lineRule="auto"/>
              <w:jc w:val="right"/>
              <w:rPr>
                <w:rFonts w:ascii="Arial" w:hAnsi="Arial" w:cs="Arial"/>
                <w:color w:val="auto"/>
                <w:sz w:val="16"/>
                <w:szCs w:val="16"/>
              </w:rPr>
            </w:pPr>
            <w:r>
              <w:rPr>
                <w:rFonts w:ascii="Arial" w:hAnsi="Arial" w:cs="Arial"/>
                <w:color w:val="auto"/>
                <w:sz w:val="16"/>
                <w:szCs w:val="16"/>
              </w:rPr>
              <w:t>No.</w:t>
            </w:r>
          </w:p>
        </w:tc>
      </w:tr>
      <w:tr w:rsidR="001578EB" w:rsidRPr="001578EB" w14:paraId="63F896C0" w14:textId="77777777" w:rsidTr="00FE48A4">
        <w:trPr>
          <w:trHeight w:val="60"/>
        </w:trPr>
        <w:tc>
          <w:tcPr>
            <w:tcW w:w="1053" w:type="pct"/>
            <w:tcBorders>
              <w:top w:val="single" w:sz="2" w:space="0" w:color="000000"/>
              <w:left w:val="nil"/>
              <w:bottom w:val="nil"/>
              <w:right w:val="nil"/>
            </w:tcBorders>
            <w:shd w:val="clear" w:color="000000" w:fill="FFFFFF"/>
            <w:noWrap/>
            <w:vAlign w:val="bottom"/>
            <w:hideMark/>
          </w:tcPr>
          <w:p w14:paraId="19664349" w14:textId="79F9A822" w:rsidR="001578EB" w:rsidRPr="001578EB" w:rsidRDefault="001578EB" w:rsidP="001578EB">
            <w:pPr>
              <w:spacing w:after="0" w:line="240" w:lineRule="auto"/>
              <w:jc w:val="lef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bottom"/>
            <w:hideMark/>
          </w:tcPr>
          <w:p w14:paraId="032FF7ED" w14:textId="77777777"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000000" w:fill="E6E6E6"/>
            <w:noWrap/>
            <w:vAlign w:val="bottom"/>
            <w:hideMark/>
          </w:tcPr>
          <w:p w14:paraId="6246FF9C" w14:textId="28F92686"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bottom"/>
            <w:hideMark/>
          </w:tcPr>
          <w:p w14:paraId="58C8EC93" w14:textId="77777777"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000000" w:fill="E6E6E6"/>
            <w:noWrap/>
            <w:vAlign w:val="bottom"/>
            <w:hideMark/>
          </w:tcPr>
          <w:p w14:paraId="2F289946" w14:textId="6DDF12B4"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bottom"/>
            <w:hideMark/>
          </w:tcPr>
          <w:p w14:paraId="438CCC0D" w14:textId="77777777"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000000" w:fill="E6E6E6"/>
            <w:noWrap/>
            <w:vAlign w:val="bottom"/>
            <w:hideMark/>
          </w:tcPr>
          <w:p w14:paraId="0B7CDC5A" w14:textId="22C23954"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bottom"/>
            <w:hideMark/>
          </w:tcPr>
          <w:p w14:paraId="501E2310" w14:textId="77777777"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000000" w:fill="E6E6E6"/>
            <w:noWrap/>
            <w:vAlign w:val="bottom"/>
            <w:hideMark/>
          </w:tcPr>
          <w:p w14:paraId="2F3409C2" w14:textId="008FD73C" w:rsidR="001578EB" w:rsidRPr="001578EB" w:rsidRDefault="001578EB" w:rsidP="001578EB">
            <w:pPr>
              <w:spacing w:after="0" w:line="240" w:lineRule="auto"/>
              <w:jc w:val="right"/>
              <w:rPr>
                <w:rFonts w:ascii="Arial" w:hAnsi="Arial" w:cs="Arial"/>
                <w:color w:val="auto"/>
                <w:sz w:val="16"/>
                <w:szCs w:val="16"/>
              </w:rPr>
            </w:pPr>
          </w:p>
        </w:tc>
        <w:tc>
          <w:tcPr>
            <w:tcW w:w="330" w:type="pct"/>
            <w:tcBorders>
              <w:top w:val="single" w:sz="2" w:space="0" w:color="000000"/>
              <w:left w:val="nil"/>
              <w:bottom w:val="nil"/>
              <w:right w:val="nil"/>
            </w:tcBorders>
            <w:shd w:val="clear" w:color="auto" w:fill="auto"/>
            <w:noWrap/>
            <w:vAlign w:val="bottom"/>
            <w:hideMark/>
          </w:tcPr>
          <w:p w14:paraId="7A67355C" w14:textId="77777777" w:rsidR="001578EB" w:rsidRPr="001578EB" w:rsidRDefault="001578EB" w:rsidP="001578EB">
            <w:pPr>
              <w:spacing w:after="0" w:line="240" w:lineRule="auto"/>
              <w:jc w:val="right"/>
              <w:rPr>
                <w:rFonts w:ascii="Arial" w:hAnsi="Arial" w:cs="Arial"/>
                <w:color w:val="auto"/>
                <w:sz w:val="16"/>
                <w:szCs w:val="16"/>
              </w:rPr>
            </w:pPr>
          </w:p>
        </w:tc>
        <w:tc>
          <w:tcPr>
            <w:tcW w:w="330" w:type="pct"/>
            <w:tcBorders>
              <w:top w:val="single" w:sz="2" w:space="0" w:color="000000"/>
              <w:left w:val="nil"/>
              <w:bottom w:val="nil"/>
              <w:right w:val="nil"/>
            </w:tcBorders>
            <w:shd w:val="clear" w:color="000000" w:fill="E6E6E6"/>
            <w:noWrap/>
            <w:vAlign w:val="bottom"/>
            <w:hideMark/>
          </w:tcPr>
          <w:p w14:paraId="6476FB1D" w14:textId="40CE4747" w:rsidR="001578EB" w:rsidRPr="001578EB" w:rsidRDefault="001578EB" w:rsidP="001578EB">
            <w:pPr>
              <w:spacing w:after="0" w:line="240" w:lineRule="auto"/>
              <w:jc w:val="right"/>
              <w:rPr>
                <w:rFonts w:ascii="Arial" w:hAnsi="Arial" w:cs="Arial"/>
                <w:color w:val="auto"/>
                <w:sz w:val="16"/>
                <w:szCs w:val="16"/>
              </w:rPr>
            </w:pPr>
          </w:p>
        </w:tc>
        <w:tc>
          <w:tcPr>
            <w:tcW w:w="330" w:type="pct"/>
            <w:tcBorders>
              <w:top w:val="single" w:sz="2" w:space="0" w:color="000000"/>
              <w:left w:val="nil"/>
              <w:bottom w:val="nil"/>
              <w:right w:val="nil"/>
            </w:tcBorders>
            <w:shd w:val="clear" w:color="auto" w:fill="auto"/>
            <w:noWrap/>
            <w:vAlign w:val="bottom"/>
            <w:hideMark/>
          </w:tcPr>
          <w:p w14:paraId="438C6891" w14:textId="77777777" w:rsidR="001578EB" w:rsidRPr="001578EB" w:rsidRDefault="001578EB" w:rsidP="001578EB">
            <w:pPr>
              <w:spacing w:after="0" w:line="240" w:lineRule="auto"/>
              <w:jc w:val="right"/>
              <w:rPr>
                <w:rFonts w:ascii="Arial" w:hAnsi="Arial" w:cs="Arial"/>
                <w:color w:val="auto"/>
                <w:sz w:val="16"/>
                <w:szCs w:val="16"/>
              </w:rPr>
            </w:pPr>
          </w:p>
        </w:tc>
        <w:tc>
          <w:tcPr>
            <w:tcW w:w="330" w:type="pct"/>
            <w:tcBorders>
              <w:top w:val="single" w:sz="2" w:space="0" w:color="000000"/>
              <w:left w:val="nil"/>
              <w:bottom w:val="nil"/>
              <w:right w:val="nil"/>
            </w:tcBorders>
            <w:shd w:val="clear" w:color="000000" w:fill="E6E6E6"/>
            <w:noWrap/>
            <w:vAlign w:val="bottom"/>
            <w:hideMark/>
          </w:tcPr>
          <w:p w14:paraId="7C946521" w14:textId="07AC4CB9" w:rsidR="001578EB" w:rsidRPr="001578EB" w:rsidRDefault="001578EB" w:rsidP="001578EB">
            <w:pPr>
              <w:spacing w:after="0" w:line="240" w:lineRule="auto"/>
              <w:jc w:val="right"/>
              <w:rPr>
                <w:rFonts w:ascii="Arial" w:hAnsi="Arial" w:cs="Arial"/>
                <w:color w:val="auto"/>
                <w:sz w:val="16"/>
                <w:szCs w:val="16"/>
              </w:rPr>
            </w:pPr>
          </w:p>
        </w:tc>
      </w:tr>
      <w:tr w:rsidR="001578EB" w:rsidRPr="001578EB" w14:paraId="22EAE5D8" w14:textId="77777777" w:rsidTr="00FE48A4">
        <w:trPr>
          <w:trHeight w:val="225"/>
        </w:trPr>
        <w:tc>
          <w:tcPr>
            <w:tcW w:w="1053" w:type="pct"/>
            <w:tcBorders>
              <w:top w:val="nil"/>
              <w:left w:val="nil"/>
              <w:bottom w:val="nil"/>
              <w:right w:val="nil"/>
            </w:tcBorders>
            <w:shd w:val="clear" w:color="000000" w:fill="FFFFFF"/>
            <w:noWrap/>
            <w:vAlign w:val="center"/>
            <w:hideMark/>
          </w:tcPr>
          <w:p w14:paraId="52BC3604" w14:textId="203C6CA1" w:rsidR="001578EB" w:rsidRPr="001578EB" w:rsidRDefault="001578EB" w:rsidP="001578EB">
            <w:pPr>
              <w:spacing w:after="0" w:line="240" w:lineRule="auto"/>
              <w:jc w:val="left"/>
              <w:rPr>
                <w:rFonts w:ascii="Arial" w:hAnsi="Arial" w:cs="Arial"/>
                <w:color w:val="auto"/>
                <w:sz w:val="16"/>
                <w:szCs w:val="16"/>
              </w:rPr>
            </w:pPr>
            <w:r>
              <w:rPr>
                <w:rFonts w:ascii="Arial" w:hAnsi="Arial" w:cs="Arial"/>
                <w:color w:val="auto"/>
                <w:sz w:val="16"/>
                <w:szCs w:val="16"/>
              </w:rPr>
              <w:t>Approved</w:t>
            </w:r>
          </w:p>
        </w:tc>
        <w:tc>
          <w:tcPr>
            <w:tcW w:w="329" w:type="pct"/>
            <w:tcBorders>
              <w:top w:val="nil"/>
              <w:left w:val="nil"/>
              <w:right w:val="nil"/>
            </w:tcBorders>
            <w:shd w:val="clear" w:color="auto" w:fill="auto"/>
            <w:noWrap/>
            <w:vAlign w:val="center"/>
            <w:hideMark/>
          </w:tcPr>
          <w:p w14:paraId="1971115F"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7</w:t>
            </w:r>
          </w:p>
        </w:tc>
        <w:tc>
          <w:tcPr>
            <w:tcW w:w="329" w:type="pct"/>
            <w:tcBorders>
              <w:top w:val="nil"/>
              <w:left w:val="nil"/>
              <w:right w:val="nil"/>
            </w:tcBorders>
            <w:shd w:val="clear" w:color="000000" w:fill="E6E6E6"/>
            <w:noWrap/>
            <w:vAlign w:val="center"/>
            <w:hideMark/>
          </w:tcPr>
          <w:p w14:paraId="21B41BCA"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12</w:t>
            </w:r>
          </w:p>
        </w:tc>
        <w:tc>
          <w:tcPr>
            <w:tcW w:w="329" w:type="pct"/>
            <w:tcBorders>
              <w:top w:val="nil"/>
              <w:left w:val="nil"/>
              <w:right w:val="nil"/>
            </w:tcBorders>
            <w:shd w:val="clear" w:color="auto" w:fill="auto"/>
            <w:noWrap/>
            <w:vAlign w:val="center"/>
            <w:hideMark/>
          </w:tcPr>
          <w:p w14:paraId="159AE9A7"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w:t>
            </w:r>
          </w:p>
        </w:tc>
        <w:tc>
          <w:tcPr>
            <w:tcW w:w="329" w:type="pct"/>
            <w:tcBorders>
              <w:top w:val="nil"/>
              <w:left w:val="nil"/>
              <w:right w:val="nil"/>
            </w:tcBorders>
            <w:shd w:val="clear" w:color="000000" w:fill="E6E6E6"/>
            <w:noWrap/>
            <w:vAlign w:val="center"/>
            <w:hideMark/>
          </w:tcPr>
          <w:p w14:paraId="73027A44"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right w:val="nil"/>
            </w:tcBorders>
            <w:shd w:val="clear" w:color="auto" w:fill="auto"/>
            <w:noWrap/>
            <w:vAlign w:val="center"/>
            <w:hideMark/>
          </w:tcPr>
          <w:p w14:paraId="4119714C"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413</w:t>
            </w:r>
          </w:p>
        </w:tc>
        <w:tc>
          <w:tcPr>
            <w:tcW w:w="329" w:type="pct"/>
            <w:tcBorders>
              <w:top w:val="nil"/>
              <w:left w:val="nil"/>
              <w:right w:val="nil"/>
            </w:tcBorders>
            <w:shd w:val="clear" w:color="000000" w:fill="E6E6E6"/>
            <w:noWrap/>
            <w:vAlign w:val="center"/>
            <w:hideMark/>
          </w:tcPr>
          <w:p w14:paraId="081C4E59"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302</w:t>
            </w:r>
          </w:p>
        </w:tc>
        <w:tc>
          <w:tcPr>
            <w:tcW w:w="329" w:type="pct"/>
            <w:tcBorders>
              <w:top w:val="nil"/>
              <w:left w:val="nil"/>
              <w:right w:val="nil"/>
            </w:tcBorders>
            <w:shd w:val="clear" w:color="auto" w:fill="auto"/>
            <w:noWrap/>
            <w:vAlign w:val="center"/>
            <w:hideMark/>
          </w:tcPr>
          <w:p w14:paraId="40F668B9"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9</w:t>
            </w:r>
          </w:p>
        </w:tc>
        <w:tc>
          <w:tcPr>
            <w:tcW w:w="329" w:type="pct"/>
            <w:tcBorders>
              <w:top w:val="nil"/>
              <w:left w:val="nil"/>
              <w:right w:val="nil"/>
            </w:tcBorders>
            <w:shd w:val="clear" w:color="000000" w:fill="E6E6E6"/>
            <w:noWrap/>
            <w:vAlign w:val="center"/>
            <w:hideMark/>
          </w:tcPr>
          <w:p w14:paraId="481C6A7B"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14</w:t>
            </w:r>
          </w:p>
        </w:tc>
        <w:tc>
          <w:tcPr>
            <w:tcW w:w="330" w:type="pct"/>
            <w:tcBorders>
              <w:top w:val="nil"/>
              <w:left w:val="nil"/>
              <w:right w:val="nil"/>
            </w:tcBorders>
            <w:shd w:val="clear" w:color="auto" w:fill="auto"/>
            <w:noWrap/>
            <w:vAlign w:val="center"/>
            <w:hideMark/>
          </w:tcPr>
          <w:p w14:paraId="052DD265"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23</w:t>
            </w:r>
          </w:p>
        </w:tc>
        <w:tc>
          <w:tcPr>
            <w:tcW w:w="330" w:type="pct"/>
            <w:tcBorders>
              <w:top w:val="nil"/>
              <w:left w:val="nil"/>
              <w:right w:val="nil"/>
            </w:tcBorders>
            <w:shd w:val="clear" w:color="000000" w:fill="E6E6E6"/>
            <w:noWrap/>
            <w:vAlign w:val="center"/>
            <w:hideMark/>
          </w:tcPr>
          <w:p w14:paraId="49ED1AC6"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29</w:t>
            </w:r>
          </w:p>
        </w:tc>
        <w:tc>
          <w:tcPr>
            <w:tcW w:w="330" w:type="pct"/>
            <w:tcBorders>
              <w:top w:val="nil"/>
              <w:left w:val="nil"/>
              <w:right w:val="nil"/>
            </w:tcBorders>
            <w:shd w:val="clear" w:color="auto" w:fill="auto"/>
            <w:noWrap/>
            <w:vAlign w:val="center"/>
            <w:hideMark/>
          </w:tcPr>
          <w:p w14:paraId="2828EC9B"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453</w:t>
            </w:r>
          </w:p>
        </w:tc>
        <w:tc>
          <w:tcPr>
            <w:tcW w:w="330" w:type="pct"/>
            <w:tcBorders>
              <w:top w:val="nil"/>
              <w:left w:val="nil"/>
              <w:right w:val="nil"/>
            </w:tcBorders>
            <w:shd w:val="clear" w:color="000000" w:fill="E6E6E6"/>
            <w:noWrap/>
            <w:vAlign w:val="center"/>
            <w:hideMark/>
          </w:tcPr>
          <w:p w14:paraId="4509C582"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357</w:t>
            </w:r>
          </w:p>
        </w:tc>
      </w:tr>
      <w:tr w:rsidR="001578EB" w:rsidRPr="001578EB" w14:paraId="56BB954E" w14:textId="77777777" w:rsidTr="00FE48A4">
        <w:trPr>
          <w:trHeight w:val="225"/>
        </w:trPr>
        <w:tc>
          <w:tcPr>
            <w:tcW w:w="1053" w:type="pct"/>
            <w:tcBorders>
              <w:top w:val="nil"/>
              <w:left w:val="nil"/>
              <w:bottom w:val="nil"/>
              <w:right w:val="nil"/>
            </w:tcBorders>
            <w:shd w:val="clear" w:color="000000" w:fill="FFFFFF"/>
            <w:noWrap/>
            <w:vAlign w:val="center"/>
            <w:hideMark/>
          </w:tcPr>
          <w:p w14:paraId="28804C3D" w14:textId="3DE3A10C" w:rsidR="001578EB" w:rsidRPr="001578EB" w:rsidRDefault="001578EB" w:rsidP="001578EB">
            <w:pPr>
              <w:spacing w:after="0" w:line="240" w:lineRule="auto"/>
              <w:jc w:val="left"/>
              <w:rPr>
                <w:rFonts w:ascii="Arial" w:hAnsi="Arial" w:cs="Arial"/>
                <w:color w:val="auto"/>
                <w:sz w:val="16"/>
                <w:szCs w:val="16"/>
              </w:rPr>
            </w:pPr>
            <w:r>
              <w:rPr>
                <w:rFonts w:ascii="Arial" w:hAnsi="Arial" w:cs="Arial"/>
                <w:color w:val="auto"/>
                <w:sz w:val="16"/>
                <w:szCs w:val="16"/>
              </w:rPr>
              <w:t>Declined (h)</w:t>
            </w:r>
          </w:p>
        </w:tc>
        <w:tc>
          <w:tcPr>
            <w:tcW w:w="329" w:type="pct"/>
            <w:tcBorders>
              <w:top w:val="nil"/>
              <w:left w:val="nil"/>
              <w:bottom w:val="single" w:sz="2" w:space="0" w:color="000000" w:themeColor="text1"/>
              <w:right w:val="nil"/>
            </w:tcBorders>
            <w:shd w:val="clear" w:color="auto" w:fill="auto"/>
            <w:noWrap/>
            <w:vAlign w:val="center"/>
            <w:hideMark/>
          </w:tcPr>
          <w:p w14:paraId="5CF97F8C"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w:t>
            </w:r>
          </w:p>
        </w:tc>
        <w:tc>
          <w:tcPr>
            <w:tcW w:w="329" w:type="pct"/>
            <w:tcBorders>
              <w:top w:val="nil"/>
              <w:left w:val="nil"/>
              <w:bottom w:val="single" w:sz="2" w:space="0" w:color="000000" w:themeColor="text1"/>
              <w:right w:val="nil"/>
            </w:tcBorders>
            <w:shd w:val="clear" w:color="000000" w:fill="E6E6E6"/>
            <w:noWrap/>
            <w:vAlign w:val="center"/>
            <w:hideMark/>
          </w:tcPr>
          <w:p w14:paraId="6A9F1152"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single" w:sz="2" w:space="0" w:color="000000" w:themeColor="text1"/>
              <w:right w:val="nil"/>
            </w:tcBorders>
            <w:shd w:val="clear" w:color="auto" w:fill="auto"/>
            <w:noWrap/>
            <w:vAlign w:val="center"/>
            <w:hideMark/>
          </w:tcPr>
          <w:p w14:paraId="73687378"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single" w:sz="2" w:space="0" w:color="000000" w:themeColor="text1"/>
              <w:right w:val="nil"/>
            </w:tcBorders>
            <w:shd w:val="clear" w:color="000000" w:fill="E6E6E6"/>
            <w:noWrap/>
            <w:vAlign w:val="center"/>
            <w:hideMark/>
          </w:tcPr>
          <w:p w14:paraId="0922A607"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single" w:sz="2" w:space="0" w:color="000000" w:themeColor="text1"/>
              <w:right w:val="nil"/>
            </w:tcBorders>
            <w:shd w:val="clear" w:color="auto" w:fill="auto"/>
            <w:noWrap/>
            <w:vAlign w:val="center"/>
            <w:hideMark/>
          </w:tcPr>
          <w:p w14:paraId="11480F85"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3</w:t>
            </w:r>
          </w:p>
        </w:tc>
        <w:tc>
          <w:tcPr>
            <w:tcW w:w="329" w:type="pct"/>
            <w:tcBorders>
              <w:top w:val="nil"/>
              <w:left w:val="nil"/>
              <w:bottom w:val="single" w:sz="2" w:space="0" w:color="000000" w:themeColor="text1"/>
              <w:right w:val="nil"/>
            </w:tcBorders>
            <w:shd w:val="clear" w:color="000000" w:fill="E6E6E6"/>
            <w:noWrap/>
            <w:vAlign w:val="center"/>
            <w:hideMark/>
          </w:tcPr>
          <w:p w14:paraId="148824E8"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single" w:sz="2" w:space="0" w:color="000000" w:themeColor="text1"/>
              <w:right w:val="nil"/>
            </w:tcBorders>
            <w:shd w:val="clear" w:color="auto" w:fill="auto"/>
            <w:noWrap/>
            <w:vAlign w:val="center"/>
            <w:hideMark/>
          </w:tcPr>
          <w:p w14:paraId="45FC859D"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single" w:sz="2" w:space="0" w:color="000000" w:themeColor="text1"/>
              <w:right w:val="nil"/>
            </w:tcBorders>
            <w:shd w:val="clear" w:color="000000" w:fill="E6E6E6"/>
            <w:noWrap/>
            <w:vAlign w:val="center"/>
            <w:hideMark/>
          </w:tcPr>
          <w:p w14:paraId="039EADC2"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30" w:type="pct"/>
            <w:tcBorders>
              <w:top w:val="nil"/>
              <w:left w:val="nil"/>
              <w:bottom w:val="single" w:sz="2" w:space="0" w:color="000000" w:themeColor="text1"/>
              <w:right w:val="nil"/>
            </w:tcBorders>
            <w:shd w:val="clear" w:color="auto" w:fill="auto"/>
            <w:noWrap/>
            <w:vAlign w:val="center"/>
            <w:hideMark/>
          </w:tcPr>
          <w:p w14:paraId="797C9728"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30" w:type="pct"/>
            <w:tcBorders>
              <w:top w:val="nil"/>
              <w:left w:val="nil"/>
              <w:bottom w:val="single" w:sz="2" w:space="0" w:color="000000" w:themeColor="text1"/>
              <w:right w:val="nil"/>
            </w:tcBorders>
            <w:shd w:val="clear" w:color="000000" w:fill="E6E6E6"/>
            <w:noWrap/>
            <w:vAlign w:val="center"/>
            <w:hideMark/>
          </w:tcPr>
          <w:p w14:paraId="3BBFD5C3"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30" w:type="pct"/>
            <w:tcBorders>
              <w:top w:val="nil"/>
              <w:left w:val="nil"/>
              <w:bottom w:val="single" w:sz="2" w:space="0" w:color="000000" w:themeColor="text1"/>
              <w:right w:val="nil"/>
            </w:tcBorders>
            <w:shd w:val="clear" w:color="auto" w:fill="auto"/>
            <w:noWrap/>
            <w:vAlign w:val="center"/>
            <w:hideMark/>
          </w:tcPr>
          <w:p w14:paraId="497879F9"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4</w:t>
            </w:r>
          </w:p>
        </w:tc>
        <w:tc>
          <w:tcPr>
            <w:tcW w:w="330" w:type="pct"/>
            <w:tcBorders>
              <w:top w:val="nil"/>
              <w:left w:val="nil"/>
              <w:bottom w:val="single" w:sz="2" w:space="0" w:color="000000" w:themeColor="text1"/>
              <w:right w:val="nil"/>
            </w:tcBorders>
            <w:shd w:val="clear" w:color="000000" w:fill="E6E6E6"/>
            <w:noWrap/>
            <w:vAlign w:val="center"/>
            <w:hideMark/>
          </w:tcPr>
          <w:p w14:paraId="2DEC2105"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r>
      <w:tr w:rsidR="001578EB" w:rsidRPr="001578EB" w14:paraId="19B69381" w14:textId="77777777" w:rsidTr="00FE48A4">
        <w:trPr>
          <w:trHeight w:val="225"/>
        </w:trPr>
        <w:tc>
          <w:tcPr>
            <w:tcW w:w="1053" w:type="pct"/>
            <w:tcBorders>
              <w:top w:val="nil"/>
              <w:left w:val="nil"/>
              <w:bottom w:val="nil"/>
              <w:right w:val="nil"/>
            </w:tcBorders>
            <w:shd w:val="clear" w:color="000000" w:fill="FFFFFF"/>
            <w:noWrap/>
            <w:vAlign w:val="center"/>
            <w:hideMark/>
          </w:tcPr>
          <w:p w14:paraId="755BBF07" w14:textId="0160D2BA" w:rsidR="001578EB" w:rsidRPr="001578EB" w:rsidRDefault="001578EB" w:rsidP="001578EB">
            <w:pPr>
              <w:spacing w:after="0" w:line="240" w:lineRule="auto"/>
              <w:jc w:val="left"/>
              <w:rPr>
                <w:rFonts w:ascii="Arial" w:hAnsi="Arial" w:cs="Arial"/>
                <w:b/>
                <w:bCs/>
                <w:color w:val="auto"/>
                <w:sz w:val="16"/>
                <w:szCs w:val="16"/>
              </w:rPr>
            </w:pPr>
            <w:r>
              <w:rPr>
                <w:rFonts w:ascii="Arial" w:hAnsi="Arial" w:cs="Arial"/>
                <w:b/>
                <w:bCs/>
                <w:color w:val="auto"/>
                <w:sz w:val="16"/>
                <w:szCs w:val="16"/>
              </w:rPr>
              <w:t xml:space="preserve">  Total decided</w:t>
            </w:r>
          </w:p>
        </w:tc>
        <w:tc>
          <w:tcPr>
            <w:tcW w:w="329" w:type="pct"/>
            <w:tcBorders>
              <w:top w:val="single" w:sz="2" w:space="0" w:color="000000" w:themeColor="text1"/>
              <w:left w:val="nil"/>
              <w:bottom w:val="nil"/>
              <w:right w:val="nil"/>
            </w:tcBorders>
            <w:shd w:val="clear" w:color="auto" w:fill="auto"/>
            <w:noWrap/>
            <w:vAlign w:val="center"/>
            <w:hideMark/>
          </w:tcPr>
          <w:p w14:paraId="5BBC6CBF"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8</w:t>
            </w:r>
          </w:p>
        </w:tc>
        <w:tc>
          <w:tcPr>
            <w:tcW w:w="329" w:type="pct"/>
            <w:tcBorders>
              <w:top w:val="single" w:sz="2" w:space="0" w:color="000000" w:themeColor="text1"/>
              <w:left w:val="nil"/>
              <w:bottom w:val="nil"/>
              <w:right w:val="nil"/>
            </w:tcBorders>
            <w:shd w:val="clear" w:color="000000" w:fill="E6E6E6"/>
            <w:noWrap/>
            <w:vAlign w:val="center"/>
            <w:hideMark/>
          </w:tcPr>
          <w:p w14:paraId="66A4C94E"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12</w:t>
            </w:r>
          </w:p>
        </w:tc>
        <w:tc>
          <w:tcPr>
            <w:tcW w:w="329" w:type="pct"/>
            <w:tcBorders>
              <w:top w:val="single" w:sz="2" w:space="0" w:color="000000" w:themeColor="text1"/>
              <w:left w:val="nil"/>
              <w:bottom w:val="nil"/>
              <w:right w:val="nil"/>
            </w:tcBorders>
            <w:shd w:val="clear" w:color="auto" w:fill="auto"/>
            <w:noWrap/>
            <w:vAlign w:val="center"/>
            <w:hideMark/>
          </w:tcPr>
          <w:p w14:paraId="5ACBA115"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1</w:t>
            </w:r>
          </w:p>
        </w:tc>
        <w:tc>
          <w:tcPr>
            <w:tcW w:w="329" w:type="pct"/>
            <w:tcBorders>
              <w:top w:val="single" w:sz="2" w:space="0" w:color="000000" w:themeColor="text1"/>
              <w:left w:val="nil"/>
              <w:bottom w:val="nil"/>
              <w:right w:val="nil"/>
            </w:tcBorders>
            <w:shd w:val="clear" w:color="000000" w:fill="E6E6E6"/>
            <w:noWrap/>
            <w:vAlign w:val="center"/>
            <w:hideMark/>
          </w:tcPr>
          <w:p w14:paraId="50EF841C"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0</w:t>
            </w:r>
          </w:p>
        </w:tc>
        <w:tc>
          <w:tcPr>
            <w:tcW w:w="329" w:type="pct"/>
            <w:tcBorders>
              <w:top w:val="single" w:sz="2" w:space="0" w:color="000000" w:themeColor="text1"/>
              <w:left w:val="nil"/>
              <w:bottom w:val="nil"/>
              <w:right w:val="nil"/>
            </w:tcBorders>
            <w:shd w:val="clear" w:color="auto" w:fill="auto"/>
            <w:noWrap/>
            <w:vAlign w:val="center"/>
            <w:hideMark/>
          </w:tcPr>
          <w:p w14:paraId="0FAC0C14"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416</w:t>
            </w:r>
          </w:p>
        </w:tc>
        <w:tc>
          <w:tcPr>
            <w:tcW w:w="329" w:type="pct"/>
            <w:tcBorders>
              <w:top w:val="single" w:sz="2" w:space="0" w:color="000000" w:themeColor="text1"/>
              <w:left w:val="nil"/>
              <w:bottom w:val="nil"/>
              <w:right w:val="nil"/>
            </w:tcBorders>
            <w:shd w:val="clear" w:color="000000" w:fill="E6E6E6"/>
            <w:noWrap/>
            <w:vAlign w:val="center"/>
            <w:hideMark/>
          </w:tcPr>
          <w:p w14:paraId="56580FF0"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302</w:t>
            </w:r>
          </w:p>
        </w:tc>
        <w:tc>
          <w:tcPr>
            <w:tcW w:w="329" w:type="pct"/>
            <w:tcBorders>
              <w:top w:val="single" w:sz="2" w:space="0" w:color="000000" w:themeColor="text1"/>
              <w:left w:val="nil"/>
              <w:bottom w:val="nil"/>
              <w:right w:val="nil"/>
            </w:tcBorders>
            <w:shd w:val="clear" w:color="auto" w:fill="auto"/>
            <w:noWrap/>
            <w:vAlign w:val="center"/>
            <w:hideMark/>
          </w:tcPr>
          <w:p w14:paraId="0B685EA1"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9</w:t>
            </w:r>
          </w:p>
        </w:tc>
        <w:tc>
          <w:tcPr>
            <w:tcW w:w="329" w:type="pct"/>
            <w:tcBorders>
              <w:top w:val="single" w:sz="2" w:space="0" w:color="000000" w:themeColor="text1"/>
              <w:left w:val="nil"/>
              <w:bottom w:val="nil"/>
              <w:right w:val="nil"/>
            </w:tcBorders>
            <w:shd w:val="clear" w:color="000000" w:fill="E6E6E6"/>
            <w:noWrap/>
            <w:vAlign w:val="center"/>
            <w:hideMark/>
          </w:tcPr>
          <w:p w14:paraId="3E03044E"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14</w:t>
            </w:r>
          </w:p>
        </w:tc>
        <w:tc>
          <w:tcPr>
            <w:tcW w:w="330" w:type="pct"/>
            <w:tcBorders>
              <w:top w:val="single" w:sz="2" w:space="0" w:color="000000" w:themeColor="text1"/>
              <w:left w:val="nil"/>
              <w:bottom w:val="nil"/>
              <w:right w:val="nil"/>
            </w:tcBorders>
            <w:shd w:val="clear" w:color="auto" w:fill="auto"/>
            <w:noWrap/>
            <w:vAlign w:val="center"/>
            <w:hideMark/>
          </w:tcPr>
          <w:p w14:paraId="14C8F88F"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23</w:t>
            </w:r>
          </w:p>
        </w:tc>
        <w:tc>
          <w:tcPr>
            <w:tcW w:w="330" w:type="pct"/>
            <w:tcBorders>
              <w:top w:val="single" w:sz="2" w:space="0" w:color="000000" w:themeColor="text1"/>
              <w:left w:val="nil"/>
              <w:bottom w:val="nil"/>
              <w:right w:val="nil"/>
            </w:tcBorders>
            <w:shd w:val="clear" w:color="000000" w:fill="E6E6E6"/>
            <w:noWrap/>
            <w:vAlign w:val="center"/>
            <w:hideMark/>
          </w:tcPr>
          <w:p w14:paraId="7CF43FB7"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29</w:t>
            </w:r>
          </w:p>
        </w:tc>
        <w:tc>
          <w:tcPr>
            <w:tcW w:w="330" w:type="pct"/>
            <w:tcBorders>
              <w:top w:val="single" w:sz="2" w:space="0" w:color="000000" w:themeColor="text1"/>
              <w:left w:val="nil"/>
              <w:bottom w:val="nil"/>
              <w:right w:val="nil"/>
            </w:tcBorders>
            <w:shd w:val="clear" w:color="auto" w:fill="auto"/>
            <w:noWrap/>
            <w:vAlign w:val="center"/>
            <w:hideMark/>
          </w:tcPr>
          <w:p w14:paraId="413D5168"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457</w:t>
            </w:r>
          </w:p>
        </w:tc>
        <w:tc>
          <w:tcPr>
            <w:tcW w:w="330" w:type="pct"/>
            <w:tcBorders>
              <w:top w:val="single" w:sz="2" w:space="0" w:color="000000" w:themeColor="text1"/>
              <w:left w:val="nil"/>
              <w:bottom w:val="nil"/>
              <w:right w:val="nil"/>
            </w:tcBorders>
            <w:shd w:val="clear" w:color="000000" w:fill="E6E6E6"/>
            <w:noWrap/>
            <w:vAlign w:val="center"/>
            <w:hideMark/>
          </w:tcPr>
          <w:p w14:paraId="6868DB6B"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357</w:t>
            </w:r>
          </w:p>
        </w:tc>
      </w:tr>
      <w:tr w:rsidR="001578EB" w:rsidRPr="001578EB" w14:paraId="726F811B" w14:textId="77777777" w:rsidTr="003D250F">
        <w:trPr>
          <w:trHeight w:val="225"/>
        </w:trPr>
        <w:tc>
          <w:tcPr>
            <w:tcW w:w="1053" w:type="pct"/>
            <w:tcBorders>
              <w:top w:val="nil"/>
              <w:left w:val="nil"/>
              <w:bottom w:val="nil"/>
              <w:right w:val="nil"/>
            </w:tcBorders>
            <w:shd w:val="clear" w:color="000000" w:fill="FFFFFF"/>
            <w:noWrap/>
            <w:vAlign w:val="center"/>
            <w:hideMark/>
          </w:tcPr>
          <w:p w14:paraId="0C458A77" w14:textId="4617EB3F" w:rsidR="001578EB" w:rsidRPr="001578EB" w:rsidRDefault="001578EB" w:rsidP="001578EB">
            <w:pPr>
              <w:spacing w:after="0" w:line="240" w:lineRule="auto"/>
              <w:jc w:val="left"/>
              <w:rPr>
                <w:rFonts w:ascii="Arial" w:hAnsi="Arial" w:cs="Arial"/>
                <w:color w:val="auto"/>
                <w:sz w:val="16"/>
                <w:szCs w:val="16"/>
              </w:rPr>
            </w:pPr>
            <w:r>
              <w:rPr>
                <w:rFonts w:ascii="Arial" w:hAnsi="Arial" w:cs="Arial"/>
                <w:color w:val="auto"/>
                <w:sz w:val="16"/>
                <w:szCs w:val="16"/>
              </w:rPr>
              <w:t>Not a variation (i)</w:t>
            </w:r>
          </w:p>
        </w:tc>
        <w:tc>
          <w:tcPr>
            <w:tcW w:w="329" w:type="pct"/>
            <w:tcBorders>
              <w:top w:val="nil"/>
              <w:left w:val="nil"/>
              <w:bottom w:val="nil"/>
              <w:right w:val="nil"/>
            </w:tcBorders>
            <w:shd w:val="clear" w:color="auto" w:fill="auto"/>
            <w:noWrap/>
            <w:vAlign w:val="center"/>
            <w:hideMark/>
          </w:tcPr>
          <w:p w14:paraId="62DDBF76"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w:t>
            </w:r>
          </w:p>
        </w:tc>
        <w:tc>
          <w:tcPr>
            <w:tcW w:w="329" w:type="pct"/>
            <w:tcBorders>
              <w:top w:val="nil"/>
              <w:left w:val="nil"/>
              <w:bottom w:val="nil"/>
              <w:right w:val="nil"/>
            </w:tcBorders>
            <w:shd w:val="clear" w:color="000000" w:fill="E6E6E6"/>
            <w:noWrap/>
            <w:vAlign w:val="center"/>
            <w:hideMark/>
          </w:tcPr>
          <w:p w14:paraId="7006EF9A"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w:t>
            </w:r>
          </w:p>
        </w:tc>
        <w:tc>
          <w:tcPr>
            <w:tcW w:w="329" w:type="pct"/>
            <w:tcBorders>
              <w:top w:val="nil"/>
              <w:left w:val="nil"/>
              <w:bottom w:val="nil"/>
              <w:right w:val="nil"/>
            </w:tcBorders>
            <w:shd w:val="clear" w:color="auto" w:fill="auto"/>
            <w:noWrap/>
            <w:vAlign w:val="center"/>
            <w:hideMark/>
          </w:tcPr>
          <w:p w14:paraId="5522C9B3"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nil"/>
              <w:right w:val="nil"/>
            </w:tcBorders>
            <w:shd w:val="clear" w:color="000000" w:fill="E6E6E6"/>
            <w:noWrap/>
            <w:vAlign w:val="center"/>
            <w:hideMark/>
          </w:tcPr>
          <w:p w14:paraId="32A0C174"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nil"/>
              <w:right w:val="nil"/>
            </w:tcBorders>
            <w:shd w:val="clear" w:color="auto" w:fill="auto"/>
            <w:noWrap/>
            <w:vAlign w:val="center"/>
            <w:hideMark/>
          </w:tcPr>
          <w:p w14:paraId="5C2A486B"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nil"/>
              <w:right w:val="nil"/>
            </w:tcBorders>
            <w:shd w:val="clear" w:color="000000" w:fill="E6E6E6"/>
            <w:noWrap/>
            <w:vAlign w:val="center"/>
            <w:hideMark/>
          </w:tcPr>
          <w:p w14:paraId="5D29236F"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nil"/>
              <w:right w:val="nil"/>
            </w:tcBorders>
            <w:shd w:val="clear" w:color="auto" w:fill="auto"/>
            <w:noWrap/>
            <w:vAlign w:val="center"/>
            <w:hideMark/>
          </w:tcPr>
          <w:p w14:paraId="0E414F1D"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w:t>
            </w:r>
          </w:p>
        </w:tc>
        <w:tc>
          <w:tcPr>
            <w:tcW w:w="329" w:type="pct"/>
            <w:tcBorders>
              <w:top w:val="nil"/>
              <w:left w:val="nil"/>
              <w:bottom w:val="nil"/>
              <w:right w:val="nil"/>
            </w:tcBorders>
            <w:shd w:val="clear" w:color="000000" w:fill="E6E6E6"/>
            <w:noWrap/>
            <w:vAlign w:val="center"/>
            <w:hideMark/>
          </w:tcPr>
          <w:p w14:paraId="7A84D3B0"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w:t>
            </w:r>
          </w:p>
        </w:tc>
        <w:tc>
          <w:tcPr>
            <w:tcW w:w="330" w:type="pct"/>
            <w:tcBorders>
              <w:top w:val="nil"/>
              <w:left w:val="nil"/>
              <w:bottom w:val="nil"/>
              <w:right w:val="nil"/>
            </w:tcBorders>
            <w:shd w:val="clear" w:color="auto" w:fill="auto"/>
            <w:noWrap/>
            <w:vAlign w:val="center"/>
            <w:hideMark/>
          </w:tcPr>
          <w:p w14:paraId="54BA0411"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w:t>
            </w:r>
          </w:p>
        </w:tc>
        <w:tc>
          <w:tcPr>
            <w:tcW w:w="330" w:type="pct"/>
            <w:tcBorders>
              <w:top w:val="nil"/>
              <w:left w:val="nil"/>
              <w:bottom w:val="nil"/>
              <w:right w:val="nil"/>
            </w:tcBorders>
            <w:shd w:val="clear" w:color="000000" w:fill="E6E6E6"/>
            <w:noWrap/>
            <w:vAlign w:val="center"/>
            <w:hideMark/>
          </w:tcPr>
          <w:p w14:paraId="7F3AE733"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w:t>
            </w:r>
          </w:p>
        </w:tc>
        <w:tc>
          <w:tcPr>
            <w:tcW w:w="330" w:type="pct"/>
            <w:tcBorders>
              <w:top w:val="nil"/>
              <w:left w:val="nil"/>
              <w:bottom w:val="nil"/>
              <w:right w:val="nil"/>
            </w:tcBorders>
            <w:shd w:val="clear" w:color="auto" w:fill="auto"/>
            <w:noWrap/>
            <w:vAlign w:val="center"/>
            <w:hideMark/>
          </w:tcPr>
          <w:p w14:paraId="11C4865E"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3</w:t>
            </w:r>
          </w:p>
        </w:tc>
        <w:tc>
          <w:tcPr>
            <w:tcW w:w="330" w:type="pct"/>
            <w:tcBorders>
              <w:top w:val="nil"/>
              <w:left w:val="nil"/>
              <w:bottom w:val="nil"/>
              <w:right w:val="nil"/>
            </w:tcBorders>
            <w:shd w:val="clear" w:color="000000" w:fill="E6E6E6"/>
            <w:noWrap/>
            <w:vAlign w:val="center"/>
            <w:hideMark/>
          </w:tcPr>
          <w:p w14:paraId="3B637AEC"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4</w:t>
            </w:r>
          </w:p>
        </w:tc>
      </w:tr>
      <w:tr w:rsidR="001578EB" w:rsidRPr="001578EB" w14:paraId="61FDAA99" w14:textId="77777777" w:rsidTr="003D250F">
        <w:trPr>
          <w:trHeight w:val="225"/>
        </w:trPr>
        <w:tc>
          <w:tcPr>
            <w:tcW w:w="1053" w:type="pct"/>
            <w:tcBorders>
              <w:top w:val="nil"/>
              <w:left w:val="nil"/>
              <w:bottom w:val="nil"/>
              <w:right w:val="nil"/>
            </w:tcBorders>
            <w:shd w:val="clear" w:color="000000" w:fill="FFFFFF"/>
            <w:noWrap/>
            <w:vAlign w:val="center"/>
            <w:hideMark/>
          </w:tcPr>
          <w:p w14:paraId="3AB8CCB0" w14:textId="30B2C83A" w:rsidR="001578EB" w:rsidRPr="001578EB" w:rsidRDefault="001578EB" w:rsidP="001578EB">
            <w:pPr>
              <w:spacing w:after="0" w:line="240" w:lineRule="auto"/>
              <w:jc w:val="left"/>
              <w:rPr>
                <w:rFonts w:ascii="Arial" w:hAnsi="Arial" w:cs="Arial"/>
                <w:color w:val="auto"/>
                <w:sz w:val="16"/>
                <w:szCs w:val="16"/>
              </w:rPr>
            </w:pPr>
            <w:r>
              <w:rPr>
                <w:rFonts w:ascii="Arial" w:hAnsi="Arial" w:cs="Arial"/>
                <w:color w:val="auto"/>
                <w:sz w:val="16"/>
                <w:szCs w:val="16"/>
              </w:rPr>
              <w:t>Withdrawn (j)</w:t>
            </w:r>
          </w:p>
        </w:tc>
        <w:tc>
          <w:tcPr>
            <w:tcW w:w="329" w:type="pct"/>
            <w:tcBorders>
              <w:top w:val="nil"/>
              <w:left w:val="nil"/>
              <w:bottom w:val="nil"/>
              <w:right w:val="nil"/>
            </w:tcBorders>
            <w:shd w:val="clear" w:color="auto" w:fill="auto"/>
            <w:noWrap/>
            <w:vAlign w:val="center"/>
            <w:hideMark/>
          </w:tcPr>
          <w:p w14:paraId="5E915AB8"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nil"/>
              <w:right w:val="nil"/>
            </w:tcBorders>
            <w:shd w:val="clear" w:color="000000" w:fill="E6E6E6"/>
            <w:noWrap/>
            <w:vAlign w:val="center"/>
            <w:hideMark/>
          </w:tcPr>
          <w:p w14:paraId="09523C6F"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3</w:t>
            </w:r>
          </w:p>
        </w:tc>
        <w:tc>
          <w:tcPr>
            <w:tcW w:w="329" w:type="pct"/>
            <w:tcBorders>
              <w:top w:val="nil"/>
              <w:left w:val="nil"/>
              <w:bottom w:val="nil"/>
              <w:right w:val="nil"/>
            </w:tcBorders>
            <w:shd w:val="clear" w:color="auto" w:fill="auto"/>
            <w:noWrap/>
            <w:vAlign w:val="center"/>
            <w:hideMark/>
          </w:tcPr>
          <w:p w14:paraId="32E51DE8"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nil"/>
              <w:right w:val="nil"/>
            </w:tcBorders>
            <w:shd w:val="clear" w:color="000000" w:fill="E6E6E6"/>
            <w:noWrap/>
            <w:vAlign w:val="center"/>
            <w:hideMark/>
          </w:tcPr>
          <w:p w14:paraId="1AB90DDF"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nil"/>
              <w:right w:val="nil"/>
            </w:tcBorders>
            <w:shd w:val="clear" w:color="auto" w:fill="auto"/>
            <w:noWrap/>
            <w:vAlign w:val="center"/>
            <w:hideMark/>
          </w:tcPr>
          <w:p w14:paraId="4855ED84"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42</w:t>
            </w:r>
          </w:p>
        </w:tc>
        <w:tc>
          <w:tcPr>
            <w:tcW w:w="329" w:type="pct"/>
            <w:tcBorders>
              <w:top w:val="nil"/>
              <w:left w:val="nil"/>
              <w:bottom w:val="nil"/>
              <w:right w:val="nil"/>
            </w:tcBorders>
            <w:shd w:val="clear" w:color="000000" w:fill="E6E6E6"/>
            <w:noWrap/>
            <w:vAlign w:val="center"/>
            <w:hideMark/>
          </w:tcPr>
          <w:p w14:paraId="2385C210"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7</w:t>
            </w:r>
          </w:p>
        </w:tc>
        <w:tc>
          <w:tcPr>
            <w:tcW w:w="329" w:type="pct"/>
            <w:tcBorders>
              <w:top w:val="nil"/>
              <w:left w:val="nil"/>
              <w:bottom w:val="nil"/>
              <w:right w:val="nil"/>
            </w:tcBorders>
            <w:shd w:val="clear" w:color="auto" w:fill="auto"/>
            <w:noWrap/>
            <w:vAlign w:val="center"/>
            <w:hideMark/>
          </w:tcPr>
          <w:p w14:paraId="5D72A2DF"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0</w:t>
            </w:r>
          </w:p>
        </w:tc>
        <w:tc>
          <w:tcPr>
            <w:tcW w:w="329" w:type="pct"/>
            <w:tcBorders>
              <w:top w:val="nil"/>
              <w:left w:val="nil"/>
              <w:bottom w:val="nil"/>
              <w:right w:val="nil"/>
            </w:tcBorders>
            <w:shd w:val="clear" w:color="000000" w:fill="E6E6E6"/>
            <w:noWrap/>
            <w:vAlign w:val="center"/>
            <w:hideMark/>
          </w:tcPr>
          <w:p w14:paraId="11DF34A8"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w:t>
            </w:r>
          </w:p>
        </w:tc>
        <w:tc>
          <w:tcPr>
            <w:tcW w:w="330" w:type="pct"/>
            <w:tcBorders>
              <w:top w:val="nil"/>
              <w:left w:val="nil"/>
              <w:bottom w:val="nil"/>
              <w:right w:val="nil"/>
            </w:tcBorders>
            <w:shd w:val="clear" w:color="auto" w:fill="auto"/>
            <w:noWrap/>
            <w:vAlign w:val="center"/>
            <w:hideMark/>
          </w:tcPr>
          <w:p w14:paraId="3AF3DD3C"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2</w:t>
            </w:r>
          </w:p>
        </w:tc>
        <w:tc>
          <w:tcPr>
            <w:tcW w:w="330" w:type="pct"/>
            <w:tcBorders>
              <w:top w:val="nil"/>
              <w:left w:val="nil"/>
              <w:bottom w:val="nil"/>
              <w:right w:val="nil"/>
            </w:tcBorders>
            <w:shd w:val="clear" w:color="000000" w:fill="E6E6E6"/>
            <w:noWrap/>
            <w:vAlign w:val="center"/>
            <w:hideMark/>
          </w:tcPr>
          <w:p w14:paraId="387B1639"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3</w:t>
            </w:r>
          </w:p>
        </w:tc>
        <w:tc>
          <w:tcPr>
            <w:tcW w:w="330" w:type="pct"/>
            <w:tcBorders>
              <w:top w:val="nil"/>
              <w:left w:val="nil"/>
              <w:bottom w:val="nil"/>
              <w:right w:val="nil"/>
            </w:tcBorders>
            <w:shd w:val="clear" w:color="auto" w:fill="auto"/>
            <w:noWrap/>
            <w:vAlign w:val="center"/>
            <w:hideMark/>
          </w:tcPr>
          <w:p w14:paraId="651050DC"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44</w:t>
            </w:r>
          </w:p>
        </w:tc>
        <w:tc>
          <w:tcPr>
            <w:tcW w:w="330" w:type="pct"/>
            <w:tcBorders>
              <w:top w:val="nil"/>
              <w:left w:val="nil"/>
              <w:bottom w:val="nil"/>
              <w:right w:val="nil"/>
            </w:tcBorders>
            <w:shd w:val="clear" w:color="000000" w:fill="E6E6E6"/>
            <w:noWrap/>
            <w:vAlign w:val="center"/>
            <w:hideMark/>
          </w:tcPr>
          <w:p w14:paraId="3DFB050D" w14:textId="77777777" w:rsidR="001578EB" w:rsidRPr="001578EB" w:rsidRDefault="001578EB" w:rsidP="001578EB">
            <w:pPr>
              <w:spacing w:after="0" w:line="240" w:lineRule="auto"/>
              <w:jc w:val="right"/>
              <w:rPr>
                <w:rFonts w:ascii="Arial" w:hAnsi="Arial" w:cs="Arial"/>
                <w:color w:val="auto"/>
                <w:sz w:val="16"/>
                <w:szCs w:val="16"/>
              </w:rPr>
            </w:pPr>
            <w:r w:rsidRPr="001578EB">
              <w:rPr>
                <w:rFonts w:ascii="Arial" w:hAnsi="Arial" w:cs="Arial"/>
                <w:color w:val="auto"/>
                <w:sz w:val="16"/>
                <w:szCs w:val="16"/>
              </w:rPr>
              <w:t>15</w:t>
            </w:r>
          </w:p>
        </w:tc>
      </w:tr>
      <w:tr w:rsidR="001578EB" w:rsidRPr="001578EB" w14:paraId="54B3FDC5" w14:textId="77777777" w:rsidTr="00FE48A4">
        <w:trPr>
          <w:trHeight w:val="60"/>
        </w:trPr>
        <w:tc>
          <w:tcPr>
            <w:tcW w:w="1053" w:type="pct"/>
            <w:tcBorders>
              <w:top w:val="nil"/>
              <w:left w:val="nil"/>
              <w:right w:val="nil"/>
            </w:tcBorders>
            <w:shd w:val="clear" w:color="000000" w:fill="FFFFFF"/>
            <w:noWrap/>
            <w:vAlign w:val="center"/>
            <w:hideMark/>
          </w:tcPr>
          <w:p w14:paraId="5B86987B" w14:textId="28F92FBD" w:rsidR="001578EB" w:rsidRPr="001578EB" w:rsidRDefault="001578EB" w:rsidP="001578EB">
            <w:pPr>
              <w:spacing w:after="0" w:line="240" w:lineRule="auto"/>
              <w:jc w:val="left"/>
              <w:rPr>
                <w:rFonts w:ascii="Arial" w:hAnsi="Arial" w:cs="Arial"/>
                <w:color w:val="auto"/>
                <w:sz w:val="16"/>
                <w:szCs w:val="16"/>
              </w:rPr>
            </w:pPr>
          </w:p>
        </w:tc>
        <w:tc>
          <w:tcPr>
            <w:tcW w:w="329" w:type="pct"/>
            <w:tcBorders>
              <w:top w:val="nil"/>
              <w:left w:val="nil"/>
              <w:right w:val="nil"/>
            </w:tcBorders>
            <w:shd w:val="clear" w:color="auto" w:fill="auto"/>
            <w:noWrap/>
            <w:vAlign w:val="center"/>
            <w:hideMark/>
          </w:tcPr>
          <w:p w14:paraId="55948BE9" w14:textId="77777777"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nil"/>
              <w:left w:val="nil"/>
              <w:right w:val="nil"/>
            </w:tcBorders>
            <w:shd w:val="clear" w:color="000000" w:fill="E6E6E6"/>
            <w:noWrap/>
            <w:vAlign w:val="center"/>
            <w:hideMark/>
          </w:tcPr>
          <w:p w14:paraId="3EC852B2" w14:textId="357B46EF"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nil"/>
              <w:left w:val="nil"/>
              <w:right w:val="nil"/>
            </w:tcBorders>
            <w:shd w:val="clear" w:color="auto" w:fill="auto"/>
            <w:noWrap/>
            <w:vAlign w:val="center"/>
            <w:hideMark/>
          </w:tcPr>
          <w:p w14:paraId="26194378" w14:textId="77777777"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nil"/>
              <w:left w:val="nil"/>
              <w:right w:val="nil"/>
            </w:tcBorders>
            <w:shd w:val="clear" w:color="000000" w:fill="E6E6E6"/>
            <w:noWrap/>
            <w:vAlign w:val="center"/>
            <w:hideMark/>
          </w:tcPr>
          <w:p w14:paraId="323E0D0A" w14:textId="6C91D359"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nil"/>
              <w:left w:val="nil"/>
              <w:right w:val="nil"/>
            </w:tcBorders>
            <w:shd w:val="clear" w:color="auto" w:fill="auto"/>
            <w:noWrap/>
            <w:vAlign w:val="center"/>
            <w:hideMark/>
          </w:tcPr>
          <w:p w14:paraId="11870630" w14:textId="77777777"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nil"/>
              <w:left w:val="nil"/>
              <w:right w:val="nil"/>
            </w:tcBorders>
            <w:shd w:val="clear" w:color="000000" w:fill="E6E6E6"/>
            <w:noWrap/>
            <w:vAlign w:val="center"/>
            <w:hideMark/>
          </w:tcPr>
          <w:p w14:paraId="040512D8" w14:textId="79C0FA08"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nil"/>
              <w:left w:val="nil"/>
              <w:right w:val="nil"/>
            </w:tcBorders>
            <w:shd w:val="clear" w:color="auto" w:fill="auto"/>
            <w:noWrap/>
            <w:vAlign w:val="center"/>
            <w:hideMark/>
          </w:tcPr>
          <w:p w14:paraId="51B08CCF" w14:textId="77777777" w:rsidR="001578EB" w:rsidRPr="001578EB" w:rsidRDefault="001578EB" w:rsidP="001578EB">
            <w:pPr>
              <w:spacing w:after="0" w:line="240" w:lineRule="auto"/>
              <w:jc w:val="right"/>
              <w:rPr>
                <w:rFonts w:ascii="Arial" w:hAnsi="Arial" w:cs="Arial"/>
                <w:color w:val="auto"/>
                <w:sz w:val="16"/>
                <w:szCs w:val="16"/>
              </w:rPr>
            </w:pPr>
          </w:p>
        </w:tc>
        <w:tc>
          <w:tcPr>
            <w:tcW w:w="329" w:type="pct"/>
            <w:tcBorders>
              <w:top w:val="nil"/>
              <w:left w:val="nil"/>
              <w:right w:val="nil"/>
            </w:tcBorders>
            <w:shd w:val="clear" w:color="000000" w:fill="E6E6E6"/>
            <w:noWrap/>
            <w:vAlign w:val="center"/>
            <w:hideMark/>
          </w:tcPr>
          <w:p w14:paraId="7D16BEB5" w14:textId="6D2D6383" w:rsidR="001578EB" w:rsidRPr="001578EB" w:rsidRDefault="001578EB" w:rsidP="001578EB">
            <w:pPr>
              <w:spacing w:after="0" w:line="240" w:lineRule="auto"/>
              <w:jc w:val="right"/>
              <w:rPr>
                <w:rFonts w:ascii="Arial" w:hAnsi="Arial" w:cs="Arial"/>
                <w:color w:val="auto"/>
                <w:sz w:val="16"/>
                <w:szCs w:val="16"/>
              </w:rPr>
            </w:pPr>
          </w:p>
        </w:tc>
        <w:tc>
          <w:tcPr>
            <w:tcW w:w="330" w:type="pct"/>
            <w:tcBorders>
              <w:top w:val="nil"/>
              <w:left w:val="nil"/>
              <w:right w:val="nil"/>
            </w:tcBorders>
            <w:shd w:val="clear" w:color="auto" w:fill="auto"/>
            <w:noWrap/>
            <w:vAlign w:val="center"/>
            <w:hideMark/>
          </w:tcPr>
          <w:p w14:paraId="6C9F19F7" w14:textId="77777777" w:rsidR="001578EB" w:rsidRPr="001578EB" w:rsidRDefault="001578EB" w:rsidP="001578EB">
            <w:pPr>
              <w:spacing w:after="0" w:line="240" w:lineRule="auto"/>
              <w:jc w:val="right"/>
              <w:rPr>
                <w:rFonts w:ascii="Arial" w:hAnsi="Arial" w:cs="Arial"/>
                <w:color w:val="auto"/>
                <w:sz w:val="16"/>
                <w:szCs w:val="16"/>
              </w:rPr>
            </w:pPr>
          </w:p>
        </w:tc>
        <w:tc>
          <w:tcPr>
            <w:tcW w:w="330" w:type="pct"/>
            <w:tcBorders>
              <w:top w:val="nil"/>
              <w:left w:val="nil"/>
              <w:right w:val="nil"/>
            </w:tcBorders>
            <w:shd w:val="clear" w:color="000000" w:fill="E6E6E6"/>
            <w:noWrap/>
            <w:vAlign w:val="center"/>
            <w:hideMark/>
          </w:tcPr>
          <w:p w14:paraId="2EB40E72" w14:textId="5724E9E2" w:rsidR="001578EB" w:rsidRPr="001578EB" w:rsidRDefault="001578EB" w:rsidP="001578EB">
            <w:pPr>
              <w:spacing w:after="0" w:line="240" w:lineRule="auto"/>
              <w:jc w:val="right"/>
              <w:rPr>
                <w:rFonts w:ascii="Arial" w:hAnsi="Arial" w:cs="Arial"/>
                <w:color w:val="auto"/>
                <w:sz w:val="16"/>
                <w:szCs w:val="16"/>
              </w:rPr>
            </w:pPr>
          </w:p>
        </w:tc>
        <w:tc>
          <w:tcPr>
            <w:tcW w:w="330" w:type="pct"/>
            <w:tcBorders>
              <w:top w:val="nil"/>
              <w:left w:val="nil"/>
              <w:right w:val="nil"/>
            </w:tcBorders>
            <w:shd w:val="clear" w:color="auto" w:fill="auto"/>
            <w:noWrap/>
            <w:vAlign w:val="center"/>
            <w:hideMark/>
          </w:tcPr>
          <w:p w14:paraId="4C9AECAD" w14:textId="77777777" w:rsidR="001578EB" w:rsidRPr="001578EB" w:rsidRDefault="001578EB" w:rsidP="001578EB">
            <w:pPr>
              <w:spacing w:after="0" w:line="240" w:lineRule="auto"/>
              <w:jc w:val="right"/>
              <w:rPr>
                <w:rFonts w:ascii="Arial" w:hAnsi="Arial" w:cs="Arial"/>
                <w:color w:val="auto"/>
                <w:sz w:val="16"/>
                <w:szCs w:val="16"/>
              </w:rPr>
            </w:pPr>
          </w:p>
        </w:tc>
        <w:tc>
          <w:tcPr>
            <w:tcW w:w="330" w:type="pct"/>
            <w:tcBorders>
              <w:top w:val="nil"/>
              <w:left w:val="nil"/>
              <w:right w:val="nil"/>
            </w:tcBorders>
            <w:shd w:val="clear" w:color="000000" w:fill="E6E6E6"/>
            <w:noWrap/>
            <w:vAlign w:val="center"/>
            <w:hideMark/>
          </w:tcPr>
          <w:p w14:paraId="6E768AB4" w14:textId="2DBD388F" w:rsidR="001578EB" w:rsidRPr="001578EB" w:rsidRDefault="001578EB" w:rsidP="001578EB">
            <w:pPr>
              <w:spacing w:after="0" w:line="240" w:lineRule="auto"/>
              <w:jc w:val="right"/>
              <w:rPr>
                <w:rFonts w:ascii="Arial" w:hAnsi="Arial" w:cs="Arial"/>
                <w:color w:val="auto"/>
                <w:sz w:val="16"/>
                <w:szCs w:val="16"/>
              </w:rPr>
            </w:pPr>
          </w:p>
        </w:tc>
      </w:tr>
      <w:tr w:rsidR="001578EB" w:rsidRPr="001578EB" w14:paraId="2640D939" w14:textId="77777777" w:rsidTr="00FE48A4">
        <w:trPr>
          <w:trHeight w:val="225"/>
        </w:trPr>
        <w:tc>
          <w:tcPr>
            <w:tcW w:w="1053" w:type="pct"/>
            <w:tcBorders>
              <w:top w:val="nil"/>
              <w:left w:val="nil"/>
              <w:bottom w:val="single" w:sz="2" w:space="0" w:color="000000" w:themeColor="text1"/>
              <w:right w:val="nil"/>
            </w:tcBorders>
            <w:shd w:val="clear" w:color="000000" w:fill="FFFFFF"/>
            <w:noWrap/>
            <w:vAlign w:val="center"/>
            <w:hideMark/>
          </w:tcPr>
          <w:p w14:paraId="181B5B71" w14:textId="1A0AACFF" w:rsidR="001578EB" w:rsidRPr="001578EB" w:rsidRDefault="001578EB" w:rsidP="001578EB">
            <w:pPr>
              <w:spacing w:after="0" w:line="240" w:lineRule="auto"/>
              <w:jc w:val="left"/>
              <w:rPr>
                <w:rFonts w:ascii="Arial" w:hAnsi="Arial" w:cs="Arial"/>
                <w:b/>
                <w:bCs/>
                <w:color w:val="auto"/>
                <w:sz w:val="16"/>
                <w:szCs w:val="16"/>
              </w:rPr>
            </w:pPr>
            <w:r w:rsidRPr="001578EB">
              <w:rPr>
                <w:rFonts w:ascii="Arial" w:hAnsi="Arial" w:cs="Arial"/>
                <w:b/>
                <w:bCs/>
                <w:color w:val="auto"/>
                <w:sz w:val="16"/>
                <w:szCs w:val="16"/>
              </w:rPr>
              <w:t>Total considered</w:t>
            </w:r>
          </w:p>
        </w:tc>
        <w:tc>
          <w:tcPr>
            <w:tcW w:w="329" w:type="pct"/>
            <w:tcBorders>
              <w:top w:val="nil"/>
              <w:left w:val="nil"/>
              <w:bottom w:val="single" w:sz="2" w:space="0" w:color="000000" w:themeColor="text1"/>
              <w:right w:val="nil"/>
            </w:tcBorders>
            <w:shd w:val="clear" w:color="auto" w:fill="auto"/>
            <w:noWrap/>
            <w:vAlign w:val="center"/>
            <w:hideMark/>
          </w:tcPr>
          <w:p w14:paraId="6C8FAE9A"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9</w:t>
            </w:r>
          </w:p>
        </w:tc>
        <w:tc>
          <w:tcPr>
            <w:tcW w:w="329" w:type="pct"/>
            <w:tcBorders>
              <w:top w:val="nil"/>
              <w:left w:val="nil"/>
              <w:bottom w:val="single" w:sz="2" w:space="0" w:color="000000" w:themeColor="text1"/>
              <w:right w:val="nil"/>
            </w:tcBorders>
            <w:shd w:val="clear" w:color="000000" w:fill="E6E6E6"/>
            <w:noWrap/>
            <w:vAlign w:val="center"/>
            <w:hideMark/>
          </w:tcPr>
          <w:p w14:paraId="5F2A3EC2"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16</w:t>
            </w:r>
          </w:p>
        </w:tc>
        <w:tc>
          <w:tcPr>
            <w:tcW w:w="329" w:type="pct"/>
            <w:tcBorders>
              <w:top w:val="nil"/>
              <w:left w:val="nil"/>
              <w:bottom w:val="single" w:sz="2" w:space="0" w:color="000000" w:themeColor="text1"/>
              <w:right w:val="nil"/>
            </w:tcBorders>
            <w:shd w:val="clear" w:color="auto" w:fill="auto"/>
            <w:noWrap/>
            <w:vAlign w:val="center"/>
            <w:hideMark/>
          </w:tcPr>
          <w:p w14:paraId="72B67935"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1</w:t>
            </w:r>
          </w:p>
        </w:tc>
        <w:tc>
          <w:tcPr>
            <w:tcW w:w="329" w:type="pct"/>
            <w:tcBorders>
              <w:top w:val="nil"/>
              <w:left w:val="nil"/>
              <w:bottom w:val="single" w:sz="2" w:space="0" w:color="000000" w:themeColor="text1"/>
              <w:right w:val="nil"/>
            </w:tcBorders>
            <w:shd w:val="clear" w:color="000000" w:fill="E6E6E6"/>
            <w:noWrap/>
            <w:vAlign w:val="center"/>
            <w:hideMark/>
          </w:tcPr>
          <w:p w14:paraId="5D54D333"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0</w:t>
            </w:r>
          </w:p>
        </w:tc>
        <w:tc>
          <w:tcPr>
            <w:tcW w:w="329" w:type="pct"/>
            <w:tcBorders>
              <w:top w:val="nil"/>
              <w:left w:val="nil"/>
              <w:bottom w:val="single" w:sz="2" w:space="0" w:color="000000" w:themeColor="text1"/>
              <w:right w:val="nil"/>
            </w:tcBorders>
            <w:shd w:val="clear" w:color="auto" w:fill="auto"/>
            <w:noWrap/>
            <w:vAlign w:val="center"/>
            <w:hideMark/>
          </w:tcPr>
          <w:p w14:paraId="1A372991"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458</w:t>
            </w:r>
          </w:p>
        </w:tc>
        <w:tc>
          <w:tcPr>
            <w:tcW w:w="329" w:type="pct"/>
            <w:tcBorders>
              <w:top w:val="nil"/>
              <w:left w:val="nil"/>
              <w:bottom w:val="single" w:sz="2" w:space="0" w:color="000000" w:themeColor="text1"/>
              <w:right w:val="nil"/>
            </w:tcBorders>
            <w:shd w:val="clear" w:color="000000" w:fill="E6E6E6"/>
            <w:noWrap/>
            <w:vAlign w:val="center"/>
            <w:hideMark/>
          </w:tcPr>
          <w:p w14:paraId="51425194"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309</w:t>
            </w:r>
          </w:p>
        </w:tc>
        <w:tc>
          <w:tcPr>
            <w:tcW w:w="329" w:type="pct"/>
            <w:tcBorders>
              <w:top w:val="nil"/>
              <w:left w:val="nil"/>
              <w:bottom w:val="single" w:sz="2" w:space="0" w:color="000000" w:themeColor="text1"/>
              <w:right w:val="nil"/>
            </w:tcBorders>
            <w:shd w:val="clear" w:color="auto" w:fill="auto"/>
            <w:noWrap/>
            <w:vAlign w:val="center"/>
            <w:hideMark/>
          </w:tcPr>
          <w:p w14:paraId="7840738D"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10</w:t>
            </w:r>
          </w:p>
        </w:tc>
        <w:tc>
          <w:tcPr>
            <w:tcW w:w="329" w:type="pct"/>
            <w:tcBorders>
              <w:top w:val="nil"/>
              <w:left w:val="nil"/>
              <w:bottom w:val="single" w:sz="2" w:space="0" w:color="000000" w:themeColor="text1"/>
              <w:right w:val="nil"/>
            </w:tcBorders>
            <w:shd w:val="clear" w:color="000000" w:fill="E6E6E6"/>
            <w:noWrap/>
            <w:vAlign w:val="center"/>
            <w:hideMark/>
          </w:tcPr>
          <w:p w14:paraId="5B9DF1CA"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18</w:t>
            </w:r>
          </w:p>
        </w:tc>
        <w:tc>
          <w:tcPr>
            <w:tcW w:w="330" w:type="pct"/>
            <w:tcBorders>
              <w:top w:val="nil"/>
              <w:left w:val="nil"/>
              <w:bottom w:val="single" w:sz="2" w:space="0" w:color="000000" w:themeColor="text1"/>
              <w:right w:val="nil"/>
            </w:tcBorders>
            <w:shd w:val="clear" w:color="auto" w:fill="auto"/>
            <w:noWrap/>
            <w:vAlign w:val="center"/>
            <w:hideMark/>
          </w:tcPr>
          <w:p w14:paraId="5551BF1A"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26</w:t>
            </w:r>
          </w:p>
        </w:tc>
        <w:tc>
          <w:tcPr>
            <w:tcW w:w="330" w:type="pct"/>
            <w:tcBorders>
              <w:top w:val="nil"/>
              <w:left w:val="nil"/>
              <w:bottom w:val="single" w:sz="2" w:space="0" w:color="000000" w:themeColor="text1"/>
              <w:right w:val="nil"/>
            </w:tcBorders>
            <w:shd w:val="clear" w:color="000000" w:fill="E6E6E6"/>
            <w:noWrap/>
            <w:vAlign w:val="center"/>
            <w:hideMark/>
          </w:tcPr>
          <w:p w14:paraId="3C1D37CA"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33</w:t>
            </w:r>
          </w:p>
        </w:tc>
        <w:tc>
          <w:tcPr>
            <w:tcW w:w="330" w:type="pct"/>
            <w:tcBorders>
              <w:top w:val="nil"/>
              <w:left w:val="nil"/>
              <w:bottom w:val="single" w:sz="2" w:space="0" w:color="000000" w:themeColor="text1"/>
              <w:right w:val="nil"/>
            </w:tcBorders>
            <w:shd w:val="clear" w:color="auto" w:fill="auto"/>
            <w:noWrap/>
            <w:vAlign w:val="center"/>
            <w:hideMark/>
          </w:tcPr>
          <w:p w14:paraId="47F21713"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504</w:t>
            </w:r>
          </w:p>
        </w:tc>
        <w:tc>
          <w:tcPr>
            <w:tcW w:w="330" w:type="pct"/>
            <w:tcBorders>
              <w:top w:val="nil"/>
              <w:left w:val="nil"/>
              <w:bottom w:val="single" w:sz="2" w:space="0" w:color="000000" w:themeColor="text1"/>
              <w:right w:val="nil"/>
            </w:tcBorders>
            <w:shd w:val="clear" w:color="000000" w:fill="E6E6E6"/>
            <w:noWrap/>
            <w:vAlign w:val="center"/>
            <w:hideMark/>
          </w:tcPr>
          <w:p w14:paraId="2D6C13D0" w14:textId="77777777" w:rsidR="001578EB" w:rsidRPr="001578EB" w:rsidRDefault="001578EB" w:rsidP="001578EB">
            <w:pPr>
              <w:spacing w:after="0" w:line="240" w:lineRule="auto"/>
              <w:jc w:val="right"/>
              <w:rPr>
                <w:rFonts w:ascii="Arial" w:hAnsi="Arial" w:cs="Arial"/>
                <w:b/>
                <w:bCs/>
                <w:color w:val="auto"/>
                <w:sz w:val="16"/>
                <w:szCs w:val="16"/>
              </w:rPr>
            </w:pPr>
            <w:r w:rsidRPr="001578EB">
              <w:rPr>
                <w:rFonts w:ascii="Arial" w:hAnsi="Arial" w:cs="Arial"/>
                <w:b/>
                <w:bCs/>
                <w:color w:val="auto"/>
                <w:sz w:val="16"/>
                <w:szCs w:val="16"/>
              </w:rPr>
              <w:t>376</w:t>
            </w:r>
          </w:p>
        </w:tc>
      </w:tr>
    </w:tbl>
    <w:p w14:paraId="0C158C00" w14:textId="77777777" w:rsidR="002C667B" w:rsidRDefault="002C667B">
      <w:pPr>
        <w:pStyle w:val="Circletext"/>
      </w:pPr>
    </w:p>
    <w:p w14:paraId="1D8E9A89" w14:textId="0B969F3C" w:rsidR="00366BD6" w:rsidRPr="00406C1F" w:rsidRDefault="00366BD6" w:rsidP="00A345DB">
      <w:pPr>
        <w:pStyle w:val="TableMainHeading"/>
        <w:spacing w:before="0"/>
      </w:pPr>
      <w:bookmarkStart w:id="142" w:name="_Toc32247777"/>
      <w:bookmarkStart w:id="143" w:name="_Toc33521362"/>
      <w:r w:rsidRPr="00406C1F">
        <w:t>Table 3.16: Variations approved: 2017-18 to 2018-19 (number of variations by variation reason)</w:t>
      </w:r>
      <w:bookmarkEnd w:id="142"/>
      <w:bookmarkEnd w:id="143"/>
    </w:p>
    <w:tbl>
      <w:tblPr>
        <w:tblW w:w="5000" w:type="pct"/>
        <w:tblLook w:val="04A0" w:firstRow="1" w:lastRow="0" w:firstColumn="1" w:lastColumn="0" w:noHBand="0" w:noVBand="1"/>
      </w:tblPr>
      <w:tblGrid>
        <w:gridCol w:w="2258"/>
        <w:gridCol w:w="804"/>
        <w:gridCol w:w="804"/>
        <w:gridCol w:w="804"/>
        <w:gridCol w:w="804"/>
        <w:gridCol w:w="804"/>
        <w:gridCol w:w="804"/>
        <w:gridCol w:w="804"/>
        <w:gridCol w:w="804"/>
        <w:gridCol w:w="804"/>
        <w:gridCol w:w="804"/>
        <w:gridCol w:w="804"/>
        <w:gridCol w:w="804"/>
      </w:tblGrid>
      <w:tr w:rsidR="003D250F" w:rsidRPr="003D250F" w14:paraId="2EE814AE" w14:textId="77777777" w:rsidTr="00FE48A4">
        <w:trPr>
          <w:trHeight w:val="450"/>
        </w:trPr>
        <w:tc>
          <w:tcPr>
            <w:tcW w:w="1053" w:type="pct"/>
            <w:tcBorders>
              <w:top w:val="single" w:sz="2" w:space="0" w:color="000000"/>
              <w:left w:val="nil"/>
              <w:right w:val="nil"/>
            </w:tcBorders>
            <w:shd w:val="clear" w:color="000000" w:fill="FFFFFF"/>
            <w:noWrap/>
            <w:vAlign w:val="center"/>
            <w:hideMark/>
          </w:tcPr>
          <w:p w14:paraId="7749CE60" w14:textId="357E2112" w:rsidR="003D250F" w:rsidRPr="003D250F" w:rsidRDefault="003D250F">
            <w:pPr>
              <w:spacing w:after="0" w:line="240" w:lineRule="auto"/>
              <w:jc w:val="left"/>
              <w:rPr>
                <w:rFonts w:ascii="Arial" w:hAnsi="Arial" w:cs="Arial"/>
                <w:color w:val="auto"/>
                <w:sz w:val="16"/>
                <w:szCs w:val="16"/>
              </w:rPr>
            </w:pPr>
          </w:p>
        </w:tc>
        <w:tc>
          <w:tcPr>
            <w:tcW w:w="1315" w:type="pct"/>
            <w:gridSpan w:val="4"/>
            <w:tcBorders>
              <w:top w:val="single" w:sz="2" w:space="0" w:color="000000"/>
              <w:left w:val="nil"/>
              <w:bottom w:val="single" w:sz="2" w:space="0" w:color="000000" w:themeColor="text1"/>
              <w:right w:val="nil"/>
            </w:tcBorders>
            <w:shd w:val="clear" w:color="auto" w:fill="auto"/>
            <w:vAlign w:val="bottom"/>
            <w:hideMark/>
          </w:tcPr>
          <w:p w14:paraId="657F3BD9" w14:textId="692B145A" w:rsidR="003D250F" w:rsidRPr="003D250F" w:rsidRDefault="003D250F" w:rsidP="003D250F">
            <w:pPr>
              <w:spacing w:after="0" w:line="240" w:lineRule="auto"/>
              <w:jc w:val="center"/>
              <w:rPr>
                <w:rFonts w:ascii="Arial" w:hAnsi="Arial" w:cs="Arial"/>
                <w:color w:val="auto"/>
                <w:sz w:val="16"/>
                <w:szCs w:val="16"/>
              </w:rPr>
            </w:pPr>
            <w:r w:rsidRPr="003D250F">
              <w:rPr>
                <w:rFonts w:ascii="Arial" w:hAnsi="Arial" w:cs="Arial"/>
                <w:color w:val="auto"/>
                <w:sz w:val="16"/>
                <w:szCs w:val="16"/>
              </w:rPr>
              <w:t>Variati</w:t>
            </w:r>
            <w:r w:rsidR="006A069B">
              <w:rPr>
                <w:rFonts w:ascii="Arial" w:hAnsi="Arial" w:cs="Arial"/>
                <w:color w:val="auto"/>
                <w:sz w:val="16"/>
                <w:szCs w:val="16"/>
              </w:rPr>
              <w:t>on to exemption certificate (a)</w:t>
            </w:r>
          </w:p>
        </w:tc>
        <w:tc>
          <w:tcPr>
            <w:tcW w:w="1315" w:type="pct"/>
            <w:gridSpan w:val="4"/>
            <w:tcBorders>
              <w:top w:val="single" w:sz="2" w:space="0" w:color="000000"/>
              <w:left w:val="nil"/>
              <w:bottom w:val="single" w:sz="2" w:space="0" w:color="000000" w:themeColor="text1"/>
              <w:right w:val="nil"/>
            </w:tcBorders>
            <w:shd w:val="clear" w:color="auto" w:fill="auto"/>
            <w:vAlign w:val="bottom"/>
            <w:hideMark/>
          </w:tcPr>
          <w:p w14:paraId="5D27E127" w14:textId="020E7ACF" w:rsidR="003D250F" w:rsidRPr="003D250F" w:rsidRDefault="006A069B" w:rsidP="003D250F">
            <w:pPr>
              <w:spacing w:after="0" w:line="240" w:lineRule="auto"/>
              <w:jc w:val="center"/>
              <w:rPr>
                <w:rFonts w:ascii="Arial" w:hAnsi="Arial" w:cs="Arial"/>
                <w:color w:val="auto"/>
                <w:sz w:val="16"/>
                <w:szCs w:val="16"/>
              </w:rPr>
            </w:pPr>
            <w:r>
              <w:rPr>
                <w:rFonts w:ascii="Arial" w:hAnsi="Arial" w:cs="Arial"/>
                <w:color w:val="auto"/>
                <w:sz w:val="16"/>
                <w:szCs w:val="16"/>
              </w:rPr>
              <w:t>Variation to Land approval (b)</w:t>
            </w:r>
          </w:p>
        </w:tc>
        <w:tc>
          <w:tcPr>
            <w:tcW w:w="659" w:type="pct"/>
            <w:gridSpan w:val="2"/>
            <w:tcBorders>
              <w:top w:val="single" w:sz="2" w:space="0" w:color="000000"/>
              <w:left w:val="nil"/>
              <w:bottom w:val="single" w:sz="2" w:space="0" w:color="000000" w:themeColor="text1"/>
              <w:right w:val="nil"/>
            </w:tcBorders>
            <w:shd w:val="clear" w:color="auto" w:fill="auto"/>
            <w:vAlign w:val="bottom"/>
            <w:hideMark/>
          </w:tcPr>
          <w:p w14:paraId="5DF56F88" w14:textId="37119B17" w:rsidR="003D250F" w:rsidRPr="003D250F" w:rsidRDefault="006A069B" w:rsidP="003D250F">
            <w:pPr>
              <w:spacing w:after="0" w:line="240" w:lineRule="auto"/>
              <w:jc w:val="center"/>
              <w:rPr>
                <w:rFonts w:ascii="Arial" w:hAnsi="Arial" w:cs="Arial"/>
                <w:color w:val="auto"/>
                <w:sz w:val="16"/>
                <w:szCs w:val="16"/>
              </w:rPr>
            </w:pPr>
            <w:r>
              <w:rPr>
                <w:rFonts w:ascii="Arial" w:hAnsi="Arial" w:cs="Arial"/>
                <w:color w:val="auto"/>
                <w:sz w:val="16"/>
                <w:szCs w:val="16"/>
              </w:rPr>
              <w:t>Variation to Other approval (c)</w:t>
            </w:r>
          </w:p>
        </w:tc>
        <w:tc>
          <w:tcPr>
            <w:tcW w:w="659" w:type="pct"/>
            <w:gridSpan w:val="2"/>
            <w:tcBorders>
              <w:top w:val="single" w:sz="2" w:space="0" w:color="000000"/>
              <w:left w:val="nil"/>
              <w:bottom w:val="single" w:sz="2" w:space="0" w:color="000000" w:themeColor="text1"/>
              <w:right w:val="nil"/>
            </w:tcBorders>
            <w:shd w:val="clear" w:color="auto" w:fill="auto"/>
            <w:vAlign w:val="bottom"/>
            <w:hideMark/>
          </w:tcPr>
          <w:p w14:paraId="2BC4907F" w14:textId="42AFF2BF" w:rsidR="003D250F" w:rsidRPr="003D250F" w:rsidRDefault="006A069B" w:rsidP="003D250F">
            <w:pPr>
              <w:spacing w:after="0" w:line="240" w:lineRule="auto"/>
              <w:jc w:val="center"/>
              <w:rPr>
                <w:rFonts w:ascii="Arial" w:hAnsi="Arial" w:cs="Arial"/>
                <w:color w:val="auto"/>
                <w:sz w:val="16"/>
                <w:szCs w:val="16"/>
              </w:rPr>
            </w:pPr>
            <w:r>
              <w:rPr>
                <w:rFonts w:ascii="Arial" w:hAnsi="Arial" w:cs="Arial"/>
                <w:color w:val="auto"/>
                <w:sz w:val="16"/>
                <w:szCs w:val="16"/>
              </w:rPr>
              <w:t>Total All variations</w:t>
            </w:r>
          </w:p>
        </w:tc>
      </w:tr>
      <w:tr w:rsidR="003D250F" w:rsidRPr="003D250F" w14:paraId="045326FA" w14:textId="77777777" w:rsidTr="00FE48A4">
        <w:trPr>
          <w:trHeight w:val="450"/>
        </w:trPr>
        <w:tc>
          <w:tcPr>
            <w:tcW w:w="1053" w:type="pct"/>
            <w:tcBorders>
              <w:left w:val="nil"/>
              <w:right w:val="nil"/>
            </w:tcBorders>
            <w:shd w:val="clear" w:color="000000" w:fill="FFFFFF"/>
            <w:noWrap/>
            <w:vAlign w:val="center"/>
            <w:hideMark/>
          </w:tcPr>
          <w:p w14:paraId="186E2810" w14:textId="2C761457" w:rsidR="003D250F" w:rsidRPr="003D250F" w:rsidRDefault="003D250F" w:rsidP="003D250F">
            <w:pPr>
              <w:spacing w:after="0" w:line="240" w:lineRule="auto"/>
              <w:jc w:val="left"/>
              <w:rPr>
                <w:rFonts w:ascii="Arial" w:hAnsi="Arial" w:cs="Arial"/>
                <w:color w:val="auto"/>
                <w:sz w:val="16"/>
                <w:szCs w:val="16"/>
              </w:rPr>
            </w:pPr>
          </w:p>
        </w:tc>
        <w:tc>
          <w:tcPr>
            <w:tcW w:w="657" w:type="pct"/>
            <w:gridSpan w:val="2"/>
            <w:tcBorders>
              <w:top w:val="single" w:sz="2" w:space="0" w:color="000000" w:themeColor="text1"/>
              <w:left w:val="nil"/>
              <w:bottom w:val="single" w:sz="2" w:space="0" w:color="000000" w:themeColor="text1"/>
              <w:right w:val="nil"/>
            </w:tcBorders>
            <w:shd w:val="clear" w:color="auto" w:fill="auto"/>
            <w:vAlign w:val="bottom"/>
            <w:hideMark/>
          </w:tcPr>
          <w:p w14:paraId="5503A0EA" w14:textId="613B55F8" w:rsidR="003D250F" w:rsidRPr="003D250F" w:rsidRDefault="003D250F" w:rsidP="006A069B">
            <w:pPr>
              <w:spacing w:after="0" w:line="240" w:lineRule="auto"/>
              <w:jc w:val="center"/>
              <w:rPr>
                <w:rFonts w:ascii="Arial" w:hAnsi="Arial" w:cs="Arial"/>
                <w:color w:val="auto"/>
                <w:sz w:val="16"/>
                <w:szCs w:val="16"/>
              </w:rPr>
            </w:pPr>
            <w:r w:rsidRPr="003D250F">
              <w:rPr>
                <w:rFonts w:ascii="Arial" w:hAnsi="Arial" w:cs="Arial"/>
                <w:color w:val="auto"/>
                <w:sz w:val="16"/>
                <w:szCs w:val="16"/>
              </w:rPr>
              <w:t>Acquisition program certificate (d)</w:t>
            </w:r>
          </w:p>
        </w:tc>
        <w:tc>
          <w:tcPr>
            <w:tcW w:w="657" w:type="pct"/>
            <w:gridSpan w:val="2"/>
            <w:tcBorders>
              <w:top w:val="single" w:sz="2" w:space="0" w:color="000000" w:themeColor="text1"/>
              <w:left w:val="nil"/>
              <w:bottom w:val="single" w:sz="2" w:space="0" w:color="000000" w:themeColor="text1"/>
              <w:right w:val="nil"/>
            </w:tcBorders>
            <w:shd w:val="clear" w:color="auto" w:fill="auto"/>
            <w:vAlign w:val="bottom"/>
            <w:hideMark/>
          </w:tcPr>
          <w:p w14:paraId="07410634" w14:textId="4B570C3F" w:rsidR="003D250F" w:rsidRPr="003D250F" w:rsidRDefault="003D250F" w:rsidP="006A069B">
            <w:pPr>
              <w:spacing w:after="0" w:line="240" w:lineRule="auto"/>
              <w:jc w:val="center"/>
              <w:rPr>
                <w:rFonts w:ascii="Arial" w:hAnsi="Arial" w:cs="Arial"/>
                <w:color w:val="auto"/>
                <w:sz w:val="16"/>
                <w:szCs w:val="16"/>
              </w:rPr>
            </w:pPr>
            <w:r w:rsidRPr="003D250F">
              <w:rPr>
                <w:rFonts w:ascii="Arial" w:hAnsi="Arial" w:cs="Arial"/>
                <w:color w:val="auto"/>
                <w:sz w:val="16"/>
                <w:szCs w:val="16"/>
              </w:rPr>
              <w:t>New dwelling certificate (e)</w:t>
            </w:r>
          </w:p>
        </w:tc>
        <w:tc>
          <w:tcPr>
            <w:tcW w:w="657" w:type="pct"/>
            <w:gridSpan w:val="2"/>
            <w:tcBorders>
              <w:top w:val="single" w:sz="2" w:space="0" w:color="000000" w:themeColor="text1"/>
              <w:left w:val="nil"/>
              <w:bottom w:val="single" w:sz="2" w:space="0" w:color="000000" w:themeColor="text1"/>
              <w:right w:val="nil"/>
            </w:tcBorders>
            <w:shd w:val="clear" w:color="auto" w:fill="auto"/>
            <w:vAlign w:val="bottom"/>
            <w:hideMark/>
          </w:tcPr>
          <w:p w14:paraId="6497C085" w14:textId="60DA8553" w:rsidR="003D250F" w:rsidRPr="003D250F" w:rsidRDefault="006A069B" w:rsidP="003D250F">
            <w:pPr>
              <w:spacing w:after="0" w:line="240" w:lineRule="auto"/>
              <w:jc w:val="center"/>
              <w:rPr>
                <w:rFonts w:ascii="Arial" w:hAnsi="Arial" w:cs="Arial"/>
                <w:color w:val="auto"/>
                <w:sz w:val="16"/>
                <w:szCs w:val="16"/>
              </w:rPr>
            </w:pPr>
            <w:r>
              <w:rPr>
                <w:rFonts w:ascii="Arial" w:hAnsi="Arial" w:cs="Arial"/>
                <w:color w:val="auto"/>
                <w:sz w:val="16"/>
                <w:szCs w:val="16"/>
              </w:rPr>
              <w:t>Residential (f)</w:t>
            </w:r>
          </w:p>
        </w:tc>
        <w:tc>
          <w:tcPr>
            <w:tcW w:w="657" w:type="pct"/>
            <w:gridSpan w:val="2"/>
            <w:tcBorders>
              <w:top w:val="single" w:sz="2" w:space="0" w:color="000000" w:themeColor="text1"/>
              <w:left w:val="nil"/>
              <w:bottom w:val="single" w:sz="2" w:space="0" w:color="000000" w:themeColor="text1"/>
              <w:right w:val="nil"/>
            </w:tcBorders>
            <w:shd w:val="clear" w:color="auto" w:fill="auto"/>
            <w:vAlign w:val="bottom"/>
            <w:hideMark/>
          </w:tcPr>
          <w:p w14:paraId="2CC1A108" w14:textId="75928DE5" w:rsidR="003D250F" w:rsidRPr="003D250F" w:rsidRDefault="006A069B" w:rsidP="003D250F">
            <w:pPr>
              <w:spacing w:after="0" w:line="240" w:lineRule="auto"/>
              <w:jc w:val="center"/>
              <w:rPr>
                <w:rFonts w:ascii="Arial" w:hAnsi="Arial" w:cs="Arial"/>
                <w:color w:val="auto"/>
                <w:sz w:val="16"/>
                <w:szCs w:val="16"/>
              </w:rPr>
            </w:pPr>
            <w:r>
              <w:rPr>
                <w:rFonts w:ascii="Arial" w:hAnsi="Arial" w:cs="Arial"/>
                <w:color w:val="auto"/>
                <w:sz w:val="16"/>
                <w:szCs w:val="16"/>
              </w:rPr>
              <w:t>Other (g)</w:t>
            </w:r>
          </w:p>
        </w:tc>
        <w:tc>
          <w:tcPr>
            <w:tcW w:w="330" w:type="pct"/>
            <w:tcBorders>
              <w:top w:val="single" w:sz="2" w:space="0" w:color="000000" w:themeColor="text1"/>
              <w:left w:val="nil"/>
              <w:bottom w:val="single" w:sz="2" w:space="0" w:color="000000" w:themeColor="text1"/>
              <w:right w:val="nil"/>
            </w:tcBorders>
            <w:shd w:val="clear" w:color="auto" w:fill="auto"/>
            <w:vAlign w:val="bottom"/>
            <w:hideMark/>
          </w:tcPr>
          <w:p w14:paraId="1B4B8D45" w14:textId="01222C88" w:rsidR="003D250F" w:rsidRPr="003D250F" w:rsidRDefault="003D250F" w:rsidP="003D250F">
            <w:pPr>
              <w:spacing w:after="0" w:line="240" w:lineRule="auto"/>
              <w:jc w:val="center"/>
              <w:rPr>
                <w:rFonts w:ascii="Arial" w:hAnsi="Arial" w:cs="Arial"/>
                <w:color w:val="auto"/>
                <w:sz w:val="16"/>
                <w:szCs w:val="16"/>
              </w:rPr>
            </w:pPr>
          </w:p>
        </w:tc>
        <w:tc>
          <w:tcPr>
            <w:tcW w:w="330" w:type="pct"/>
            <w:tcBorders>
              <w:top w:val="single" w:sz="2" w:space="0" w:color="000000" w:themeColor="text1"/>
              <w:left w:val="nil"/>
              <w:bottom w:val="single" w:sz="2" w:space="0" w:color="000000" w:themeColor="text1"/>
              <w:right w:val="nil"/>
            </w:tcBorders>
            <w:shd w:val="clear" w:color="auto" w:fill="auto"/>
            <w:vAlign w:val="bottom"/>
            <w:hideMark/>
          </w:tcPr>
          <w:p w14:paraId="3C774FFB" w14:textId="312B412E" w:rsidR="003D250F" w:rsidRPr="003D250F" w:rsidRDefault="003D250F" w:rsidP="003D250F">
            <w:pPr>
              <w:spacing w:after="0" w:line="240" w:lineRule="auto"/>
              <w:jc w:val="center"/>
              <w:rPr>
                <w:rFonts w:ascii="Calibri" w:hAnsi="Calibri" w:cs="Calibri"/>
                <w:color w:val="auto"/>
                <w:sz w:val="22"/>
                <w:szCs w:val="22"/>
              </w:rPr>
            </w:pPr>
          </w:p>
        </w:tc>
        <w:tc>
          <w:tcPr>
            <w:tcW w:w="330" w:type="pct"/>
            <w:tcBorders>
              <w:top w:val="single" w:sz="2" w:space="0" w:color="000000" w:themeColor="text1"/>
              <w:left w:val="nil"/>
              <w:bottom w:val="single" w:sz="2" w:space="0" w:color="000000" w:themeColor="text1"/>
              <w:right w:val="nil"/>
            </w:tcBorders>
            <w:shd w:val="clear" w:color="auto" w:fill="auto"/>
            <w:vAlign w:val="bottom"/>
            <w:hideMark/>
          </w:tcPr>
          <w:p w14:paraId="484427B3" w14:textId="5389FF87" w:rsidR="003D250F" w:rsidRPr="003D250F" w:rsidRDefault="003D250F" w:rsidP="003D250F">
            <w:pPr>
              <w:spacing w:after="0" w:line="240" w:lineRule="auto"/>
              <w:jc w:val="center"/>
              <w:rPr>
                <w:rFonts w:ascii="Arial" w:hAnsi="Arial" w:cs="Arial"/>
                <w:color w:val="auto"/>
                <w:sz w:val="16"/>
                <w:szCs w:val="16"/>
              </w:rPr>
            </w:pPr>
          </w:p>
        </w:tc>
        <w:tc>
          <w:tcPr>
            <w:tcW w:w="330" w:type="pct"/>
            <w:tcBorders>
              <w:top w:val="single" w:sz="2" w:space="0" w:color="000000" w:themeColor="text1"/>
              <w:left w:val="nil"/>
              <w:bottom w:val="single" w:sz="2" w:space="0" w:color="000000" w:themeColor="text1"/>
              <w:right w:val="nil"/>
            </w:tcBorders>
            <w:shd w:val="clear" w:color="auto" w:fill="auto"/>
            <w:vAlign w:val="bottom"/>
            <w:hideMark/>
          </w:tcPr>
          <w:p w14:paraId="79B3DDDC" w14:textId="2A7EF5BF" w:rsidR="003D250F" w:rsidRPr="003D250F" w:rsidRDefault="003D250F" w:rsidP="003D250F">
            <w:pPr>
              <w:spacing w:after="0" w:line="240" w:lineRule="auto"/>
              <w:jc w:val="center"/>
              <w:rPr>
                <w:rFonts w:ascii="Calibri" w:hAnsi="Calibri" w:cs="Calibri"/>
                <w:color w:val="auto"/>
                <w:sz w:val="22"/>
                <w:szCs w:val="22"/>
              </w:rPr>
            </w:pPr>
          </w:p>
        </w:tc>
      </w:tr>
      <w:tr w:rsidR="003D250F" w:rsidRPr="003D250F" w14:paraId="53E27D2F" w14:textId="77777777" w:rsidTr="00FE48A4">
        <w:trPr>
          <w:trHeight w:val="225"/>
        </w:trPr>
        <w:tc>
          <w:tcPr>
            <w:tcW w:w="1053" w:type="pct"/>
            <w:tcBorders>
              <w:left w:val="nil"/>
              <w:bottom w:val="nil"/>
              <w:right w:val="nil"/>
            </w:tcBorders>
            <w:shd w:val="clear" w:color="000000" w:fill="FFFFFF"/>
            <w:noWrap/>
            <w:vAlign w:val="center"/>
            <w:hideMark/>
          </w:tcPr>
          <w:p w14:paraId="050B0796" w14:textId="16E18D33" w:rsidR="003D250F" w:rsidRPr="003D250F" w:rsidRDefault="003D250F" w:rsidP="003D250F">
            <w:pPr>
              <w:spacing w:after="0" w:line="240" w:lineRule="auto"/>
              <w:jc w:val="left"/>
              <w:rPr>
                <w:rFonts w:ascii="Arial" w:hAnsi="Arial" w:cs="Arial"/>
                <w:color w:val="auto"/>
                <w:sz w:val="16"/>
                <w:szCs w:val="16"/>
              </w:rPr>
            </w:pPr>
          </w:p>
        </w:tc>
        <w:tc>
          <w:tcPr>
            <w:tcW w:w="329" w:type="pct"/>
            <w:tcBorders>
              <w:top w:val="single" w:sz="2" w:space="0" w:color="000000" w:themeColor="text1"/>
              <w:left w:val="nil"/>
              <w:bottom w:val="nil"/>
              <w:right w:val="nil"/>
            </w:tcBorders>
            <w:shd w:val="clear" w:color="auto" w:fill="auto"/>
            <w:noWrap/>
            <w:vAlign w:val="center"/>
            <w:hideMark/>
          </w:tcPr>
          <w:p w14:paraId="132EB2E7" w14:textId="70D30C03"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2017-18</w:t>
            </w:r>
          </w:p>
        </w:tc>
        <w:tc>
          <w:tcPr>
            <w:tcW w:w="329" w:type="pct"/>
            <w:tcBorders>
              <w:top w:val="single" w:sz="2" w:space="0" w:color="000000" w:themeColor="text1"/>
              <w:left w:val="nil"/>
              <w:bottom w:val="nil"/>
              <w:right w:val="nil"/>
            </w:tcBorders>
            <w:shd w:val="clear" w:color="000000" w:fill="E6E6E6"/>
            <w:noWrap/>
            <w:vAlign w:val="center"/>
            <w:hideMark/>
          </w:tcPr>
          <w:p w14:paraId="0191FE3F" w14:textId="0BE173DA" w:rsidR="003D250F" w:rsidRPr="003D250F" w:rsidRDefault="006A069B" w:rsidP="003D250F">
            <w:pPr>
              <w:spacing w:after="0" w:line="240" w:lineRule="auto"/>
              <w:jc w:val="right"/>
              <w:rPr>
                <w:rFonts w:ascii="Arial" w:hAnsi="Arial" w:cs="Arial"/>
                <w:color w:val="auto"/>
                <w:sz w:val="16"/>
                <w:szCs w:val="16"/>
              </w:rPr>
            </w:pPr>
            <w:r>
              <w:rPr>
                <w:rFonts w:ascii="Arial" w:hAnsi="Arial" w:cs="Arial"/>
                <w:color w:val="auto"/>
                <w:sz w:val="16"/>
                <w:szCs w:val="16"/>
              </w:rPr>
              <w:t>2018-19</w:t>
            </w:r>
          </w:p>
        </w:tc>
        <w:tc>
          <w:tcPr>
            <w:tcW w:w="329" w:type="pct"/>
            <w:tcBorders>
              <w:top w:val="single" w:sz="2" w:space="0" w:color="000000" w:themeColor="text1"/>
              <w:left w:val="nil"/>
              <w:bottom w:val="nil"/>
              <w:right w:val="nil"/>
            </w:tcBorders>
            <w:shd w:val="clear" w:color="auto" w:fill="auto"/>
            <w:noWrap/>
            <w:vAlign w:val="center"/>
            <w:hideMark/>
          </w:tcPr>
          <w:p w14:paraId="58D35E73" w14:textId="6F60CE9F" w:rsidR="003D250F" w:rsidRPr="003D250F" w:rsidRDefault="006A069B" w:rsidP="003D250F">
            <w:pPr>
              <w:spacing w:after="0" w:line="240" w:lineRule="auto"/>
              <w:jc w:val="right"/>
              <w:rPr>
                <w:rFonts w:ascii="Arial" w:hAnsi="Arial" w:cs="Arial"/>
                <w:color w:val="auto"/>
                <w:sz w:val="16"/>
                <w:szCs w:val="16"/>
              </w:rPr>
            </w:pPr>
            <w:r>
              <w:rPr>
                <w:rFonts w:ascii="Arial" w:hAnsi="Arial" w:cs="Arial"/>
                <w:color w:val="auto"/>
                <w:sz w:val="16"/>
                <w:szCs w:val="16"/>
              </w:rPr>
              <w:t>2017-18</w:t>
            </w:r>
          </w:p>
        </w:tc>
        <w:tc>
          <w:tcPr>
            <w:tcW w:w="329" w:type="pct"/>
            <w:tcBorders>
              <w:top w:val="single" w:sz="2" w:space="0" w:color="000000" w:themeColor="text1"/>
              <w:left w:val="nil"/>
              <w:bottom w:val="nil"/>
              <w:right w:val="nil"/>
            </w:tcBorders>
            <w:shd w:val="clear" w:color="000000" w:fill="E6E6E6"/>
            <w:noWrap/>
            <w:vAlign w:val="center"/>
            <w:hideMark/>
          </w:tcPr>
          <w:p w14:paraId="3FDB3805" w14:textId="1F43EF71"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2018-19</w:t>
            </w:r>
          </w:p>
        </w:tc>
        <w:tc>
          <w:tcPr>
            <w:tcW w:w="329" w:type="pct"/>
            <w:tcBorders>
              <w:top w:val="single" w:sz="2" w:space="0" w:color="000000" w:themeColor="text1"/>
              <w:left w:val="nil"/>
              <w:bottom w:val="nil"/>
              <w:right w:val="nil"/>
            </w:tcBorders>
            <w:shd w:val="clear" w:color="auto" w:fill="auto"/>
            <w:noWrap/>
            <w:vAlign w:val="center"/>
            <w:hideMark/>
          </w:tcPr>
          <w:p w14:paraId="5800FFBE" w14:textId="3A2719E3"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2017-18</w:t>
            </w:r>
          </w:p>
        </w:tc>
        <w:tc>
          <w:tcPr>
            <w:tcW w:w="329" w:type="pct"/>
            <w:tcBorders>
              <w:top w:val="single" w:sz="2" w:space="0" w:color="000000" w:themeColor="text1"/>
              <w:left w:val="nil"/>
              <w:bottom w:val="nil"/>
              <w:right w:val="nil"/>
            </w:tcBorders>
            <w:shd w:val="clear" w:color="000000" w:fill="E6E6E6"/>
            <w:noWrap/>
            <w:vAlign w:val="center"/>
            <w:hideMark/>
          </w:tcPr>
          <w:p w14:paraId="395FF364" w14:textId="26678560"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2018-19</w:t>
            </w:r>
          </w:p>
        </w:tc>
        <w:tc>
          <w:tcPr>
            <w:tcW w:w="329" w:type="pct"/>
            <w:tcBorders>
              <w:top w:val="single" w:sz="2" w:space="0" w:color="000000" w:themeColor="text1"/>
              <w:left w:val="nil"/>
              <w:bottom w:val="nil"/>
              <w:right w:val="nil"/>
            </w:tcBorders>
            <w:shd w:val="clear" w:color="auto" w:fill="auto"/>
            <w:noWrap/>
            <w:vAlign w:val="center"/>
            <w:hideMark/>
          </w:tcPr>
          <w:p w14:paraId="3109153A" w14:textId="6BC93550"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2017-18</w:t>
            </w:r>
          </w:p>
        </w:tc>
        <w:tc>
          <w:tcPr>
            <w:tcW w:w="329" w:type="pct"/>
            <w:tcBorders>
              <w:top w:val="single" w:sz="2" w:space="0" w:color="000000" w:themeColor="text1"/>
              <w:left w:val="nil"/>
              <w:bottom w:val="nil"/>
              <w:right w:val="nil"/>
            </w:tcBorders>
            <w:shd w:val="clear" w:color="000000" w:fill="E6E6E6"/>
            <w:noWrap/>
            <w:vAlign w:val="center"/>
            <w:hideMark/>
          </w:tcPr>
          <w:p w14:paraId="44801A00" w14:textId="73DB4177"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2018-19</w:t>
            </w:r>
          </w:p>
        </w:tc>
        <w:tc>
          <w:tcPr>
            <w:tcW w:w="330" w:type="pct"/>
            <w:tcBorders>
              <w:top w:val="single" w:sz="2" w:space="0" w:color="000000" w:themeColor="text1"/>
              <w:left w:val="nil"/>
              <w:bottom w:val="nil"/>
              <w:right w:val="nil"/>
            </w:tcBorders>
            <w:shd w:val="clear" w:color="auto" w:fill="auto"/>
            <w:noWrap/>
            <w:vAlign w:val="center"/>
            <w:hideMark/>
          </w:tcPr>
          <w:p w14:paraId="01725A3B" w14:textId="371769C7" w:rsidR="003D250F" w:rsidRPr="003D250F" w:rsidRDefault="006A069B" w:rsidP="003D250F">
            <w:pPr>
              <w:spacing w:after="0" w:line="240" w:lineRule="auto"/>
              <w:jc w:val="right"/>
              <w:rPr>
                <w:rFonts w:ascii="Arial" w:hAnsi="Arial" w:cs="Arial"/>
                <w:color w:val="auto"/>
                <w:sz w:val="16"/>
                <w:szCs w:val="16"/>
              </w:rPr>
            </w:pPr>
            <w:r>
              <w:rPr>
                <w:rFonts w:ascii="Arial" w:hAnsi="Arial" w:cs="Arial"/>
                <w:color w:val="auto"/>
                <w:sz w:val="16"/>
                <w:szCs w:val="16"/>
              </w:rPr>
              <w:t>2017-18</w:t>
            </w:r>
          </w:p>
        </w:tc>
        <w:tc>
          <w:tcPr>
            <w:tcW w:w="330" w:type="pct"/>
            <w:tcBorders>
              <w:top w:val="single" w:sz="2" w:space="0" w:color="000000" w:themeColor="text1"/>
              <w:left w:val="nil"/>
              <w:bottom w:val="nil"/>
              <w:right w:val="nil"/>
            </w:tcBorders>
            <w:shd w:val="clear" w:color="000000" w:fill="E6E6E6"/>
            <w:noWrap/>
            <w:vAlign w:val="center"/>
            <w:hideMark/>
          </w:tcPr>
          <w:p w14:paraId="1AFC2FF3" w14:textId="1D583C02"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2018-19</w:t>
            </w:r>
          </w:p>
        </w:tc>
        <w:tc>
          <w:tcPr>
            <w:tcW w:w="330" w:type="pct"/>
            <w:tcBorders>
              <w:top w:val="single" w:sz="2" w:space="0" w:color="000000" w:themeColor="text1"/>
              <w:left w:val="nil"/>
              <w:bottom w:val="nil"/>
              <w:right w:val="nil"/>
            </w:tcBorders>
            <w:shd w:val="clear" w:color="auto" w:fill="auto"/>
            <w:noWrap/>
            <w:vAlign w:val="center"/>
            <w:hideMark/>
          </w:tcPr>
          <w:p w14:paraId="57C83EB1" w14:textId="08B5B41F"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2017-18</w:t>
            </w:r>
          </w:p>
        </w:tc>
        <w:tc>
          <w:tcPr>
            <w:tcW w:w="330" w:type="pct"/>
            <w:tcBorders>
              <w:top w:val="single" w:sz="2" w:space="0" w:color="000000" w:themeColor="text1"/>
              <w:left w:val="nil"/>
              <w:bottom w:val="nil"/>
              <w:right w:val="nil"/>
            </w:tcBorders>
            <w:shd w:val="clear" w:color="000000" w:fill="E6E6E6"/>
            <w:noWrap/>
            <w:vAlign w:val="center"/>
            <w:hideMark/>
          </w:tcPr>
          <w:p w14:paraId="3819E13C" w14:textId="2080EE29"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2018-19</w:t>
            </w:r>
          </w:p>
        </w:tc>
      </w:tr>
      <w:tr w:rsidR="003D250F" w:rsidRPr="003D250F" w14:paraId="11BE5A73" w14:textId="77777777" w:rsidTr="00FE48A4">
        <w:trPr>
          <w:trHeight w:val="225"/>
        </w:trPr>
        <w:tc>
          <w:tcPr>
            <w:tcW w:w="1053" w:type="pct"/>
            <w:tcBorders>
              <w:top w:val="nil"/>
              <w:left w:val="nil"/>
              <w:bottom w:val="single" w:sz="2" w:space="0" w:color="000000"/>
              <w:right w:val="nil"/>
            </w:tcBorders>
            <w:shd w:val="clear" w:color="000000" w:fill="FFFFFF"/>
            <w:noWrap/>
            <w:vAlign w:val="bottom"/>
            <w:hideMark/>
          </w:tcPr>
          <w:p w14:paraId="32E94B5E" w14:textId="4325B06A" w:rsidR="003D250F" w:rsidRPr="003D250F" w:rsidRDefault="006A069B" w:rsidP="003D250F">
            <w:pPr>
              <w:spacing w:after="0" w:line="240" w:lineRule="auto"/>
              <w:jc w:val="left"/>
              <w:rPr>
                <w:rFonts w:ascii="Arial" w:hAnsi="Arial" w:cs="Arial"/>
                <w:color w:val="auto"/>
                <w:sz w:val="16"/>
                <w:szCs w:val="16"/>
              </w:rPr>
            </w:pPr>
            <w:r>
              <w:rPr>
                <w:rFonts w:ascii="Arial" w:hAnsi="Arial" w:cs="Arial"/>
                <w:color w:val="auto"/>
                <w:sz w:val="16"/>
                <w:szCs w:val="16"/>
              </w:rPr>
              <w:t>Reason</w:t>
            </w:r>
          </w:p>
        </w:tc>
        <w:tc>
          <w:tcPr>
            <w:tcW w:w="329" w:type="pct"/>
            <w:tcBorders>
              <w:top w:val="nil"/>
              <w:left w:val="nil"/>
              <w:bottom w:val="single" w:sz="2" w:space="0" w:color="000000"/>
              <w:right w:val="nil"/>
            </w:tcBorders>
            <w:shd w:val="clear" w:color="auto" w:fill="auto"/>
            <w:noWrap/>
            <w:vAlign w:val="bottom"/>
            <w:hideMark/>
          </w:tcPr>
          <w:p w14:paraId="3AFD2014" w14:textId="77708BF4"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No.</w:t>
            </w:r>
          </w:p>
        </w:tc>
        <w:tc>
          <w:tcPr>
            <w:tcW w:w="329" w:type="pct"/>
            <w:tcBorders>
              <w:top w:val="nil"/>
              <w:left w:val="nil"/>
              <w:bottom w:val="single" w:sz="2" w:space="0" w:color="000000"/>
              <w:right w:val="nil"/>
            </w:tcBorders>
            <w:shd w:val="clear" w:color="000000" w:fill="E6E6E6"/>
            <w:noWrap/>
            <w:vAlign w:val="bottom"/>
            <w:hideMark/>
          </w:tcPr>
          <w:p w14:paraId="1BC46B52" w14:textId="3FA3305B" w:rsidR="003D250F" w:rsidRPr="003D250F" w:rsidRDefault="006A069B" w:rsidP="003D250F">
            <w:pPr>
              <w:spacing w:after="0" w:line="240" w:lineRule="auto"/>
              <w:jc w:val="right"/>
              <w:rPr>
                <w:rFonts w:ascii="Arial" w:hAnsi="Arial" w:cs="Arial"/>
                <w:color w:val="auto"/>
                <w:sz w:val="16"/>
                <w:szCs w:val="16"/>
              </w:rPr>
            </w:pPr>
            <w:r>
              <w:rPr>
                <w:rFonts w:ascii="Arial" w:hAnsi="Arial" w:cs="Arial"/>
                <w:color w:val="auto"/>
                <w:sz w:val="16"/>
                <w:szCs w:val="16"/>
              </w:rPr>
              <w:t>No.</w:t>
            </w:r>
          </w:p>
        </w:tc>
        <w:tc>
          <w:tcPr>
            <w:tcW w:w="329" w:type="pct"/>
            <w:tcBorders>
              <w:top w:val="nil"/>
              <w:left w:val="nil"/>
              <w:bottom w:val="single" w:sz="2" w:space="0" w:color="000000"/>
              <w:right w:val="nil"/>
            </w:tcBorders>
            <w:shd w:val="clear" w:color="auto" w:fill="auto"/>
            <w:noWrap/>
            <w:vAlign w:val="bottom"/>
            <w:hideMark/>
          </w:tcPr>
          <w:p w14:paraId="5955EA46" w14:textId="028A6581"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No.</w:t>
            </w:r>
          </w:p>
        </w:tc>
        <w:tc>
          <w:tcPr>
            <w:tcW w:w="329" w:type="pct"/>
            <w:tcBorders>
              <w:top w:val="nil"/>
              <w:left w:val="nil"/>
              <w:bottom w:val="single" w:sz="2" w:space="0" w:color="000000"/>
              <w:right w:val="nil"/>
            </w:tcBorders>
            <w:shd w:val="clear" w:color="000000" w:fill="E6E6E6"/>
            <w:noWrap/>
            <w:vAlign w:val="bottom"/>
            <w:hideMark/>
          </w:tcPr>
          <w:p w14:paraId="50097631" w14:textId="30D80CBA"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No.</w:t>
            </w:r>
          </w:p>
        </w:tc>
        <w:tc>
          <w:tcPr>
            <w:tcW w:w="329" w:type="pct"/>
            <w:tcBorders>
              <w:top w:val="nil"/>
              <w:left w:val="nil"/>
              <w:bottom w:val="single" w:sz="2" w:space="0" w:color="000000"/>
              <w:right w:val="nil"/>
            </w:tcBorders>
            <w:shd w:val="clear" w:color="auto" w:fill="auto"/>
            <w:noWrap/>
            <w:vAlign w:val="bottom"/>
            <w:hideMark/>
          </w:tcPr>
          <w:p w14:paraId="16080BD2" w14:textId="51980C21"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No.</w:t>
            </w:r>
          </w:p>
        </w:tc>
        <w:tc>
          <w:tcPr>
            <w:tcW w:w="329" w:type="pct"/>
            <w:tcBorders>
              <w:top w:val="nil"/>
              <w:left w:val="nil"/>
              <w:bottom w:val="single" w:sz="2" w:space="0" w:color="000000"/>
              <w:right w:val="nil"/>
            </w:tcBorders>
            <w:shd w:val="clear" w:color="000000" w:fill="E6E6E6"/>
            <w:noWrap/>
            <w:vAlign w:val="bottom"/>
            <w:hideMark/>
          </w:tcPr>
          <w:p w14:paraId="4DBA3ED8" w14:textId="52BC116F"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No.</w:t>
            </w:r>
          </w:p>
        </w:tc>
        <w:tc>
          <w:tcPr>
            <w:tcW w:w="329" w:type="pct"/>
            <w:tcBorders>
              <w:top w:val="nil"/>
              <w:left w:val="nil"/>
              <w:bottom w:val="single" w:sz="2" w:space="0" w:color="000000"/>
              <w:right w:val="nil"/>
            </w:tcBorders>
            <w:shd w:val="clear" w:color="auto" w:fill="auto"/>
            <w:noWrap/>
            <w:vAlign w:val="bottom"/>
            <w:hideMark/>
          </w:tcPr>
          <w:p w14:paraId="7D09D036" w14:textId="211EFB7A" w:rsidR="003D250F" w:rsidRPr="003D250F" w:rsidRDefault="006A069B" w:rsidP="003D250F">
            <w:pPr>
              <w:spacing w:after="0" w:line="240" w:lineRule="auto"/>
              <w:jc w:val="right"/>
              <w:rPr>
                <w:rFonts w:ascii="Arial" w:hAnsi="Arial" w:cs="Arial"/>
                <w:color w:val="auto"/>
                <w:sz w:val="16"/>
                <w:szCs w:val="16"/>
              </w:rPr>
            </w:pPr>
            <w:r>
              <w:rPr>
                <w:rFonts w:ascii="Arial" w:hAnsi="Arial" w:cs="Arial"/>
                <w:color w:val="auto"/>
                <w:sz w:val="16"/>
                <w:szCs w:val="16"/>
              </w:rPr>
              <w:t>No.</w:t>
            </w:r>
          </w:p>
        </w:tc>
        <w:tc>
          <w:tcPr>
            <w:tcW w:w="329" w:type="pct"/>
            <w:tcBorders>
              <w:top w:val="nil"/>
              <w:left w:val="nil"/>
              <w:bottom w:val="single" w:sz="2" w:space="0" w:color="000000"/>
              <w:right w:val="nil"/>
            </w:tcBorders>
            <w:shd w:val="clear" w:color="000000" w:fill="E6E6E6"/>
            <w:noWrap/>
            <w:vAlign w:val="bottom"/>
            <w:hideMark/>
          </w:tcPr>
          <w:p w14:paraId="7C85AF75" w14:textId="3F476A46" w:rsidR="003D250F" w:rsidRPr="003D250F" w:rsidRDefault="006A069B" w:rsidP="006A069B">
            <w:pPr>
              <w:spacing w:after="0" w:line="240" w:lineRule="auto"/>
              <w:jc w:val="right"/>
              <w:rPr>
                <w:rFonts w:ascii="Arial" w:hAnsi="Arial" w:cs="Arial"/>
                <w:color w:val="auto"/>
                <w:sz w:val="16"/>
                <w:szCs w:val="16"/>
              </w:rPr>
            </w:pPr>
            <w:r>
              <w:rPr>
                <w:rFonts w:ascii="Arial" w:hAnsi="Arial" w:cs="Arial"/>
                <w:color w:val="auto"/>
                <w:sz w:val="16"/>
                <w:szCs w:val="16"/>
              </w:rPr>
              <w:t>No.</w:t>
            </w:r>
          </w:p>
        </w:tc>
        <w:tc>
          <w:tcPr>
            <w:tcW w:w="330" w:type="pct"/>
            <w:tcBorders>
              <w:top w:val="nil"/>
              <w:left w:val="nil"/>
              <w:bottom w:val="single" w:sz="2" w:space="0" w:color="000000"/>
              <w:right w:val="nil"/>
            </w:tcBorders>
            <w:shd w:val="clear" w:color="auto" w:fill="auto"/>
            <w:noWrap/>
            <w:vAlign w:val="bottom"/>
            <w:hideMark/>
          </w:tcPr>
          <w:p w14:paraId="2FA927D9" w14:textId="3F0A1C0A" w:rsidR="003D250F" w:rsidRPr="003D250F" w:rsidRDefault="006A069B" w:rsidP="003D250F">
            <w:pPr>
              <w:spacing w:after="0" w:line="240" w:lineRule="auto"/>
              <w:jc w:val="right"/>
              <w:rPr>
                <w:rFonts w:ascii="Arial" w:hAnsi="Arial" w:cs="Arial"/>
                <w:color w:val="auto"/>
                <w:sz w:val="16"/>
                <w:szCs w:val="16"/>
              </w:rPr>
            </w:pPr>
            <w:r>
              <w:rPr>
                <w:rFonts w:ascii="Arial" w:hAnsi="Arial" w:cs="Arial"/>
                <w:color w:val="auto"/>
                <w:sz w:val="16"/>
                <w:szCs w:val="16"/>
              </w:rPr>
              <w:t>No.</w:t>
            </w:r>
          </w:p>
        </w:tc>
        <w:tc>
          <w:tcPr>
            <w:tcW w:w="330" w:type="pct"/>
            <w:tcBorders>
              <w:top w:val="nil"/>
              <w:left w:val="nil"/>
              <w:bottom w:val="single" w:sz="2" w:space="0" w:color="000000"/>
              <w:right w:val="nil"/>
            </w:tcBorders>
            <w:shd w:val="clear" w:color="000000" w:fill="E6E6E6"/>
            <w:noWrap/>
            <w:vAlign w:val="bottom"/>
            <w:hideMark/>
          </w:tcPr>
          <w:p w14:paraId="076A6B8E" w14:textId="4F1A4CD3" w:rsidR="003D250F" w:rsidRPr="003D250F" w:rsidRDefault="006A069B" w:rsidP="003D250F">
            <w:pPr>
              <w:spacing w:after="0" w:line="240" w:lineRule="auto"/>
              <w:jc w:val="right"/>
              <w:rPr>
                <w:rFonts w:ascii="Arial" w:hAnsi="Arial" w:cs="Arial"/>
                <w:color w:val="auto"/>
                <w:sz w:val="16"/>
                <w:szCs w:val="16"/>
              </w:rPr>
            </w:pPr>
            <w:r>
              <w:rPr>
                <w:rFonts w:ascii="Arial" w:hAnsi="Arial" w:cs="Arial"/>
                <w:color w:val="auto"/>
                <w:sz w:val="16"/>
                <w:szCs w:val="16"/>
              </w:rPr>
              <w:t>No.</w:t>
            </w:r>
          </w:p>
        </w:tc>
        <w:tc>
          <w:tcPr>
            <w:tcW w:w="330" w:type="pct"/>
            <w:tcBorders>
              <w:top w:val="nil"/>
              <w:left w:val="nil"/>
              <w:bottom w:val="single" w:sz="2" w:space="0" w:color="000000"/>
              <w:right w:val="nil"/>
            </w:tcBorders>
            <w:shd w:val="clear" w:color="auto" w:fill="auto"/>
            <w:noWrap/>
            <w:vAlign w:val="bottom"/>
            <w:hideMark/>
          </w:tcPr>
          <w:p w14:paraId="18ACD126" w14:textId="3C2530BB" w:rsidR="003D250F" w:rsidRPr="003D250F" w:rsidRDefault="003D250F" w:rsidP="006A069B">
            <w:pPr>
              <w:spacing w:after="0" w:line="240" w:lineRule="auto"/>
              <w:jc w:val="right"/>
              <w:rPr>
                <w:rFonts w:ascii="Arial" w:hAnsi="Arial" w:cs="Arial"/>
                <w:color w:val="auto"/>
                <w:sz w:val="16"/>
                <w:szCs w:val="16"/>
              </w:rPr>
            </w:pPr>
            <w:r w:rsidRPr="003D250F">
              <w:rPr>
                <w:rFonts w:ascii="Arial" w:hAnsi="Arial" w:cs="Arial"/>
                <w:color w:val="auto"/>
                <w:sz w:val="16"/>
                <w:szCs w:val="16"/>
              </w:rPr>
              <w:t>No.</w:t>
            </w:r>
          </w:p>
        </w:tc>
        <w:tc>
          <w:tcPr>
            <w:tcW w:w="330" w:type="pct"/>
            <w:tcBorders>
              <w:top w:val="nil"/>
              <w:left w:val="nil"/>
              <w:bottom w:val="single" w:sz="2" w:space="0" w:color="000000"/>
              <w:right w:val="nil"/>
            </w:tcBorders>
            <w:shd w:val="clear" w:color="000000" w:fill="E6E6E6"/>
            <w:noWrap/>
            <w:vAlign w:val="bottom"/>
            <w:hideMark/>
          </w:tcPr>
          <w:p w14:paraId="38E058E0" w14:textId="24645F61" w:rsidR="003D250F" w:rsidRPr="003D250F" w:rsidRDefault="006A069B" w:rsidP="003D250F">
            <w:pPr>
              <w:spacing w:after="0" w:line="240" w:lineRule="auto"/>
              <w:jc w:val="right"/>
              <w:rPr>
                <w:rFonts w:ascii="Arial" w:hAnsi="Arial" w:cs="Arial"/>
                <w:color w:val="auto"/>
                <w:sz w:val="16"/>
                <w:szCs w:val="16"/>
              </w:rPr>
            </w:pPr>
            <w:r>
              <w:rPr>
                <w:rFonts w:ascii="Arial" w:hAnsi="Arial" w:cs="Arial"/>
                <w:color w:val="auto"/>
                <w:sz w:val="16"/>
                <w:szCs w:val="16"/>
              </w:rPr>
              <w:t>No.</w:t>
            </w:r>
          </w:p>
        </w:tc>
      </w:tr>
      <w:tr w:rsidR="003D250F" w:rsidRPr="003D250F" w14:paraId="79EEE450" w14:textId="77777777" w:rsidTr="00FE48A4">
        <w:trPr>
          <w:trHeight w:val="60"/>
        </w:trPr>
        <w:tc>
          <w:tcPr>
            <w:tcW w:w="1053" w:type="pct"/>
            <w:tcBorders>
              <w:top w:val="single" w:sz="2" w:space="0" w:color="000000"/>
              <w:left w:val="nil"/>
              <w:bottom w:val="nil"/>
              <w:right w:val="nil"/>
            </w:tcBorders>
            <w:shd w:val="clear" w:color="000000" w:fill="FFFFFF"/>
            <w:noWrap/>
            <w:vAlign w:val="bottom"/>
            <w:hideMark/>
          </w:tcPr>
          <w:p w14:paraId="4EA0B5C8" w14:textId="1C6B4575" w:rsidR="003D250F" w:rsidRPr="003D250F" w:rsidRDefault="003D250F" w:rsidP="003D250F">
            <w:pPr>
              <w:spacing w:after="0" w:line="240" w:lineRule="auto"/>
              <w:jc w:val="lef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bottom"/>
            <w:hideMark/>
          </w:tcPr>
          <w:p w14:paraId="066AA8DB" w14:textId="77777777" w:rsidR="003D250F" w:rsidRPr="003D250F" w:rsidRDefault="003D250F" w:rsidP="006A069B">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000000" w:fill="E6E6E6"/>
            <w:noWrap/>
            <w:vAlign w:val="bottom"/>
            <w:hideMark/>
          </w:tcPr>
          <w:p w14:paraId="44DC7BF3" w14:textId="414D3957"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bottom"/>
            <w:hideMark/>
          </w:tcPr>
          <w:p w14:paraId="598C016D" w14:textId="77777777"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000000" w:fill="E6E6E6"/>
            <w:noWrap/>
            <w:vAlign w:val="bottom"/>
            <w:hideMark/>
          </w:tcPr>
          <w:p w14:paraId="6B1F9EDE" w14:textId="25374526"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bottom"/>
            <w:hideMark/>
          </w:tcPr>
          <w:p w14:paraId="371E968C" w14:textId="77777777"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000000" w:fill="E6E6E6"/>
            <w:noWrap/>
            <w:vAlign w:val="bottom"/>
            <w:hideMark/>
          </w:tcPr>
          <w:p w14:paraId="2B8241EB" w14:textId="447448EB"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auto" w:fill="auto"/>
            <w:noWrap/>
            <w:vAlign w:val="bottom"/>
            <w:hideMark/>
          </w:tcPr>
          <w:p w14:paraId="3F278BAB" w14:textId="77777777"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single" w:sz="2" w:space="0" w:color="000000"/>
              <w:left w:val="nil"/>
              <w:bottom w:val="nil"/>
              <w:right w:val="nil"/>
            </w:tcBorders>
            <w:shd w:val="clear" w:color="000000" w:fill="E6E6E6"/>
            <w:noWrap/>
            <w:vAlign w:val="bottom"/>
            <w:hideMark/>
          </w:tcPr>
          <w:p w14:paraId="6B25FAE8" w14:textId="566C2457" w:rsidR="003D250F" w:rsidRPr="003D250F" w:rsidRDefault="003D250F" w:rsidP="003D250F">
            <w:pPr>
              <w:spacing w:after="0" w:line="240" w:lineRule="auto"/>
              <w:jc w:val="right"/>
              <w:rPr>
                <w:rFonts w:ascii="Arial" w:hAnsi="Arial" w:cs="Arial"/>
                <w:color w:val="auto"/>
                <w:sz w:val="16"/>
                <w:szCs w:val="16"/>
              </w:rPr>
            </w:pPr>
          </w:p>
        </w:tc>
        <w:tc>
          <w:tcPr>
            <w:tcW w:w="330" w:type="pct"/>
            <w:tcBorders>
              <w:top w:val="single" w:sz="2" w:space="0" w:color="000000"/>
              <w:left w:val="nil"/>
              <w:bottom w:val="nil"/>
              <w:right w:val="nil"/>
            </w:tcBorders>
            <w:shd w:val="clear" w:color="auto" w:fill="auto"/>
            <w:noWrap/>
            <w:vAlign w:val="bottom"/>
            <w:hideMark/>
          </w:tcPr>
          <w:p w14:paraId="2B1783AE" w14:textId="77777777" w:rsidR="003D250F" w:rsidRPr="003D250F" w:rsidRDefault="003D250F" w:rsidP="003D250F">
            <w:pPr>
              <w:spacing w:after="0" w:line="240" w:lineRule="auto"/>
              <w:jc w:val="right"/>
              <w:rPr>
                <w:rFonts w:ascii="Arial" w:hAnsi="Arial" w:cs="Arial"/>
                <w:color w:val="auto"/>
                <w:sz w:val="16"/>
                <w:szCs w:val="16"/>
              </w:rPr>
            </w:pPr>
          </w:p>
        </w:tc>
        <w:tc>
          <w:tcPr>
            <w:tcW w:w="330" w:type="pct"/>
            <w:tcBorders>
              <w:top w:val="single" w:sz="2" w:space="0" w:color="000000"/>
              <w:left w:val="nil"/>
              <w:bottom w:val="nil"/>
              <w:right w:val="nil"/>
            </w:tcBorders>
            <w:shd w:val="clear" w:color="000000" w:fill="E6E6E6"/>
            <w:noWrap/>
            <w:vAlign w:val="bottom"/>
            <w:hideMark/>
          </w:tcPr>
          <w:p w14:paraId="4023652E" w14:textId="03BDF37E" w:rsidR="003D250F" w:rsidRPr="003D250F" w:rsidRDefault="003D250F" w:rsidP="003D250F">
            <w:pPr>
              <w:spacing w:after="0" w:line="240" w:lineRule="auto"/>
              <w:jc w:val="right"/>
              <w:rPr>
                <w:rFonts w:ascii="Arial" w:hAnsi="Arial" w:cs="Arial"/>
                <w:color w:val="auto"/>
                <w:sz w:val="16"/>
                <w:szCs w:val="16"/>
              </w:rPr>
            </w:pPr>
          </w:p>
        </w:tc>
        <w:tc>
          <w:tcPr>
            <w:tcW w:w="330" w:type="pct"/>
            <w:tcBorders>
              <w:top w:val="single" w:sz="2" w:space="0" w:color="000000"/>
              <w:left w:val="nil"/>
              <w:bottom w:val="nil"/>
              <w:right w:val="nil"/>
            </w:tcBorders>
            <w:shd w:val="clear" w:color="auto" w:fill="auto"/>
            <w:noWrap/>
            <w:vAlign w:val="bottom"/>
            <w:hideMark/>
          </w:tcPr>
          <w:p w14:paraId="28ED6DAE" w14:textId="77777777" w:rsidR="003D250F" w:rsidRPr="003D250F" w:rsidRDefault="003D250F" w:rsidP="003D250F">
            <w:pPr>
              <w:spacing w:after="0" w:line="240" w:lineRule="auto"/>
              <w:jc w:val="right"/>
              <w:rPr>
                <w:rFonts w:ascii="Arial" w:hAnsi="Arial" w:cs="Arial"/>
                <w:color w:val="auto"/>
                <w:sz w:val="16"/>
                <w:szCs w:val="16"/>
              </w:rPr>
            </w:pPr>
          </w:p>
        </w:tc>
        <w:tc>
          <w:tcPr>
            <w:tcW w:w="330" w:type="pct"/>
            <w:tcBorders>
              <w:top w:val="single" w:sz="2" w:space="0" w:color="000000"/>
              <w:left w:val="nil"/>
              <w:bottom w:val="nil"/>
              <w:right w:val="nil"/>
            </w:tcBorders>
            <w:shd w:val="clear" w:color="000000" w:fill="E6E6E6"/>
            <w:noWrap/>
            <w:vAlign w:val="bottom"/>
            <w:hideMark/>
          </w:tcPr>
          <w:p w14:paraId="37956921" w14:textId="218450AB" w:rsidR="003D250F" w:rsidRPr="003D250F" w:rsidRDefault="003D250F" w:rsidP="003D250F">
            <w:pPr>
              <w:spacing w:after="0" w:line="240" w:lineRule="auto"/>
              <w:jc w:val="right"/>
              <w:rPr>
                <w:rFonts w:ascii="Arial" w:hAnsi="Arial" w:cs="Arial"/>
                <w:color w:val="auto"/>
                <w:sz w:val="16"/>
                <w:szCs w:val="16"/>
              </w:rPr>
            </w:pPr>
          </w:p>
        </w:tc>
      </w:tr>
      <w:tr w:rsidR="003D250F" w:rsidRPr="003D250F" w14:paraId="1443C799" w14:textId="77777777" w:rsidTr="006A069B">
        <w:trPr>
          <w:trHeight w:val="450"/>
        </w:trPr>
        <w:tc>
          <w:tcPr>
            <w:tcW w:w="1053" w:type="pct"/>
            <w:tcBorders>
              <w:top w:val="nil"/>
              <w:left w:val="nil"/>
              <w:bottom w:val="nil"/>
              <w:right w:val="nil"/>
            </w:tcBorders>
            <w:shd w:val="clear" w:color="000000" w:fill="FFFFFF"/>
            <w:vAlign w:val="center"/>
            <w:hideMark/>
          </w:tcPr>
          <w:p w14:paraId="5CB9BC49" w14:textId="3B8E1A2D" w:rsidR="003D250F" w:rsidRPr="003D250F" w:rsidRDefault="003D250F" w:rsidP="003D250F">
            <w:pPr>
              <w:spacing w:after="0" w:line="240" w:lineRule="auto"/>
              <w:jc w:val="left"/>
              <w:rPr>
                <w:rFonts w:ascii="Arial" w:hAnsi="Arial" w:cs="Arial"/>
                <w:color w:val="auto"/>
                <w:sz w:val="16"/>
                <w:szCs w:val="16"/>
              </w:rPr>
            </w:pPr>
            <w:r w:rsidRPr="003D250F">
              <w:rPr>
                <w:rFonts w:ascii="Arial" w:hAnsi="Arial" w:cs="Arial"/>
                <w:color w:val="auto"/>
                <w:sz w:val="16"/>
                <w:szCs w:val="16"/>
              </w:rPr>
              <w:t>Longer time</w:t>
            </w:r>
            <w:r w:rsidR="006A069B">
              <w:rPr>
                <w:rFonts w:ascii="Arial" w:hAnsi="Arial" w:cs="Arial"/>
                <w:color w:val="auto"/>
                <w:sz w:val="16"/>
                <w:szCs w:val="16"/>
              </w:rPr>
              <w:t xml:space="preserve"> to undertake</w:t>
            </w:r>
            <w:r w:rsidR="006A069B">
              <w:rPr>
                <w:rFonts w:ascii="Arial" w:hAnsi="Arial" w:cs="Arial"/>
                <w:color w:val="auto"/>
                <w:sz w:val="16"/>
                <w:szCs w:val="16"/>
              </w:rPr>
              <w:br/>
              <w:t xml:space="preserve">  action only (k)</w:t>
            </w:r>
          </w:p>
        </w:tc>
        <w:tc>
          <w:tcPr>
            <w:tcW w:w="329" w:type="pct"/>
            <w:tcBorders>
              <w:top w:val="nil"/>
              <w:left w:val="nil"/>
              <w:bottom w:val="nil"/>
              <w:right w:val="nil"/>
            </w:tcBorders>
            <w:shd w:val="clear" w:color="auto" w:fill="auto"/>
            <w:noWrap/>
            <w:vAlign w:val="center"/>
            <w:hideMark/>
          </w:tcPr>
          <w:p w14:paraId="5C7913A9"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3</w:t>
            </w:r>
          </w:p>
        </w:tc>
        <w:tc>
          <w:tcPr>
            <w:tcW w:w="329" w:type="pct"/>
            <w:tcBorders>
              <w:top w:val="nil"/>
              <w:left w:val="nil"/>
              <w:bottom w:val="nil"/>
              <w:right w:val="nil"/>
            </w:tcBorders>
            <w:shd w:val="clear" w:color="000000" w:fill="E6E6E6"/>
            <w:noWrap/>
            <w:vAlign w:val="center"/>
            <w:hideMark/>
          </w:tcPr>
          <w:p w14:paraId="2BF41DC0"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0</w:t>
            </w:r>
          </w:p>
        </w:tc>
        <w:tc>
          <w:tcPr>
            <w:tcW w:w="329" w:type="pct"/>
            <w:tcBorders>
              <w:top w:val="nil"/>
              <w:left w:val="nil"/>
              <w:bottom w:val="nil"/>
              <w:right w:val="nil"/>
            </w:tcBorders>
            <w:shd w:val="clear" w:color="auto" w:fill="auto"/>
            <w:noWrap/>
            <w:vAlign w:val="center"/>
            <w:hideMark/>
          </w:tcPr>
          <w:p w14:paraId="4F26230B"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0</w:t>
            </w:r>
          </w:p>
        </w:tc>
        <w:tc>
          <w:tcPr>
            <w:tcW w:w="329" w:type="pct"/>
            <w:tcBorders>
              <w:top w:val="nil"/>
              <w:left w:val="nil"/>
              <w:bottom w:val="nil"/>
              <w:right w:val="nil"/>
            </w:tcBorders>
            <w:shd w:val="clear" w:color="000000" w:fill="E6E6E6"/>
            <w:noWrap/>
            <w:vAlign w:val="center"/>
            <w:hideMark/>
          </w:tcPr>
          <w:p w14:paraId="051B441A"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0</w:t>
            </w:r>
          </w:p>
        </w:tc>
        <w:tc>
          <w:tcPr>
            <w:tcW w:w="329" w:type="pct"/>
            <w:tcBorders>
              <w:top w:val="nil"/>
              <w:left w:val="nil"/>
              <w:bottom w:val="nil"/>
              <w:right w:val="nil"/>
            </w:tcBorders>
            <w:shd w:val="clear" w:color="auto" w:fill="auto"/>
            <w:noWrap/>
            <w:vAlign w:val="center"/>
            <w:hideMark/>
          </w:tcPr>
          <w:p w14:paraId="02104A87"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2</w:t>
            </w:r>
          </w:p>
        </w:tc>
        <w:tc>
          <w:tcPr>
            <w:tcW w:w="329" w:type="pct"/>
            <w:tcBorders>
              <w:top w:val="nil"/>
              <w:left w:val="nil"/>
              <w:bottom w:val="nil"/>
              <w:right w:val="nil"/>
            </w:tcBorders>
            <w:shd w:val="clear" w:color="000000" w:fill="E6E6E6"/>
            <w:noWrap/>
            <w:vAlign w:val="center"/>
            <w:hideMark/>
          </w:tcPr>
          <w:p w14:paraId="4607CF8B"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w:t>
            </w:r>
          </w:p>
        </w:tc>
        <w:tc>
          <w:tcPr>
            <w:tcW w:w="329" w:type="pct"/>
            <w:tcBorders>
              <w:top w:val="nil"/>
              <w:left w:val="nil"/>
              <w:bottom w:val="nil"/>
              <w:right w:val="nil"/>
            </w:tcBorders>
            <w:shd w:val="clear" w:color="auto" w:fill="auto"/>
            <w:noWrap/>
            <w:vAlign w:val="center"/>
            <w:hideMark/>
          </w:tcPr>
          <w:p w14:paraId="34B1F1AC"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2</w:t>
            </w:r>
          </w:p>
        </w:tc>
        <w:tc>
          <w:tcPr>
            <w:tcW w:w="329" w:type="pct"/>
            <w:tcBorders>
              <w:top w:val="nil"/>
              <w:left w:val="nil"/>
              <w:bottom w:val="nil"/>
              <w:right w:val="nil"/>
            </w:tcBorders>
            <w:shd w:val="clear" w:color="000000" w:fill="E6E6E6"/>
            <w:noWrap/>
            <w:vAlign w:val="center"/>
            <w:hideMark/>
          </w:tcPr>
          <w:p w14:paraId="29912CBA"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3</w:t>
            </w:r>
          </w:p>
        </w:tc>
        <w:tc>
          <w:tcPr>
            <w:tcW w:w="330" w:type="pct"/>
            <w:tcBorders>
              <w:top w:val="nil"/>
              <w:left w:val="nil"/>
              <w:bottom w:val="nil"/>
              <w:right w:val="nil"/>
            </w:tcBorders>
            <w:shd w:val="clear" w:color="auto" w:fill="auto"/>
            <w:noWrap/>
            <w:vAlign w:val="center"/>
            <w:hideMark/>
          </w:tcPr>
          <w:p w14:paraId="416D9BDC"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4</w:t>
            </w:r>
          </w:p>
        </w:tc>
        <w:tc>
          <w:tcPr>
            <w:tcW w:w="330" w:type="pct"/>
            <w:tcBorders>
              <w:top w:val="nil"/>
              <w:left w:val="nil"/>
              <w:bottom w:val="nil"/>
              <w:right w:val="nil"/>
            </w:tcBorders>
            <w:shd w:val="clear" w:color="000000" w:fill="E6E6E6"/>
            <w:noWrap/>
            <w:vAlign w:val="center"/>
            <w:hideMark/>
          </w:tcPr>
          <w:p w14:paraId="25011AEB"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13</w:t>
            </w:r>
          </w:p>
        </w:tc>
        <w:tc>
          <w:tcPr>
            <w:tcW w:w="330" w:type="pct"/>
            <w:tcBorders>
              <w:top w:val="nil"/>
              <w:left w:val="nil"/>
              <w:bottom w:val="nil"/>
              <w:right w:val="nil"/>
            </w:tcBorders>
            <w:shd w:val="clear" w:color="auto" w:fill="auto"/>
            <w:noWrap/>
            <w:vAlign w:val="center"/>
            <w:hideMark/>
          </w:tcPr>
          <w:p w14:paraId="3672749A"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11</w:t>
            </w:r>
          </w:p>
        </w:tc>
        <w:tc>
          <w:tcPr>
            <w:tcW w:w="330" w:type="pct"/>
            <w:tcBorders>
              <w:top w:val="nil"/>
              <w:left w:val="nil"/>
              <w:bottom w:val="nil"/>
              <w:right w:val="nil"/>
            </w:tcBorders>
            <w:shd w:val="clear" w:color="000000" w:fill="E6E6E6"/>
            <w:noWrap/>
            <w:vAlign w:val="center"/>
            <w:hideMark/>
          </w:tcPr>
          <w:p w14:paraId="5FEFF982"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17</w:t>
            </w:r>
          </w:p>
        </w:tc>
      </w:tr>
      <w:tr w:rsidR="003D250F" w:rsidRPr="003D250F" w14:paraId="03B36575" w14:textId="77777777" w:rsidTr="006A069B">
        <w:trPr>
          <w:trHeight w:val="225"/>
        </w:trPr>
        <w:tc>
          <w:tcPr>
            <w:tcW w:w="1053" w:type="pct"/>
            <w:tcBorders>
              <w:top w:val="nil"/>
              <w:left w:val="nil"/>
              <w:bottom w:val="nil"/>
              <w:right w:val="nil"/>
            </w:tcBorders>
            <w:shd w:val="clear" w:color="000000" w:fill="FFFFFF"/>
            <w:noWrap/>
            <w:vAlign w:val="center"/>
            <w:hideMark/>
          </w:tcPr>
          <w:p w14:paraId="074CE41F" w14:textId="7F96FC97" w:rsidR="003D250F" w:rsidRPr="003D250F" w:rsidRDefault="006A069B" w:rsidP="006A069B">
            <w:pPr>
              <w:spacing w:after="0" w:line="240" w:lineRule="auto"/>
              <w:jc w:val="left"/>
              <w:rPr>
                <w:rFonts w:ascii="Arial" w:hAnsi="Arial" w:cs="Arial"/>
                <w:color w:val="auto"/>
                <w:sz w:val="16"/>
                <w:szCs w:val="16"/>
              </w:rPr>
            </w:pPr>
            <w:r>
              <w:rPr>
                <w:rFonts w:ascii="Arial" w:hAnsi="Arial" w:cs="Arial"/>
                <w:color w:val="auto"/>
                <w:sz w:val="16"/>
                <w:szCs w:val="16"/>
              </w:rPr>
              <w:t>Change to conditions only (l)</w:t>
            </w:r>
          </w:p>
        </w:tc>
        <w:tc>
          <w:tcPr>
            <w:tcW w:w="329" w:type="pct"/>
            <w:tcBorders>
              <w:top w:val="nil"/>
              <w:left w:val="nil"/>
              <w:bottom w:val="nil"/>
              <w:right w:val="nil"/>
            </w:tcBorders>
            <w:shd w:val="clear" w:color="auto" w:fill="auto"/>
            <w:noWrap/>
            <w:vAlign w:val="center"/>
            <w:hideMark/>
          </w:tcPr>
          <w:p w14:paraId="2BD81AD5"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3</w:t>
            </w:r>
          </w:p>
        </w:tc>
        <w:tc>
          <w:tcPr>
            <w:tcW w:w="329" w:type="pct"/>
            <w:tcBorders>
              <w:top w:val="nil"/>
              <w:left w:val="nil"/>
              <w:bottom w:val="nil"/>
              <w:right w:val="nil"/>
            </w:tcBorders>
            <w:shd w:val="clear" w:color="000000" w:fill="E6E6E6"/>
            <w:noWrap/>
            <w:vAlign w:val="center"/>
            <w:hideMark/>
          </w:tcPr>
          <w:p w14:paraId="1C8A1F3E"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8</w:t>
            </w:r>
          </w:p>
        </w:tc>
        <w:tc>
          <w:tcPr>
            <w:tcW w:w="329" w:type="pct"/>
            <w:tcBorders>
              <w:top w:val="nil"/>
              <w:left w:val="nil"/>
              <w:bottom w:val="nil"/>
              <w:right w:val="nil"/>
            </w:tcBorders>
            <w:shd w:val="clear" w:color="auto" w:fill="auto"/>
            <w:noWrap/>
            <w:vAlign w:val="center"/>
            <w:hideMark/>
          </w:tcPr>
          <w:p w14:paraId="79DD5A66"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w:t>
            </w:r>
          </w:p>
        </w:tc>
        <w:tc>
          <w:tcPr>
            <w:tcW w:w="329" w:type="pct"/>
            <w:tcBorders>
              <w:top w:val="nil"/>
              <w:left w:val="nil"/>
              <w:bottom w:val="nil"/>
              <w:right w:val="nil"/>
            </w:tcBorders>
            <w:shd w:val="clear" w:color="000000" w:fill="E6E6E6"/>
            <w:noWrap/>
            <w:vAlign w:val="center"/>
            <w:hideMark/>
          </w:tcPr>
          <w:p w14:paraId="3BE1E2D5"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0</w:t>
            </w:r>
          </w:p>
        </w:tc>
        <w:tc>
          <w:tcPr>
            <w:tcW w:w="329" w:type="pct"/>
            <w:tcBorders>
              <w:top w:val="nil"/>
              <w:left w:val="nil"/>
              <w:bottom w:val="nil"/>
              <w:right w:val="nil"/>
            </w:tcBorders>
            <w:shd w:val="clear" w:color="auto" w:fill="auto"/>
            <w:noWrap/>
            <w:vAlign w:val="center"/>
            <w:hideMark/>
          </w:tcPr>
          <w:p w14:paraId="63C7CEE2"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224</w:t>
            </w:r>
          </w:p>
        </w:tc>
        <w:tc>
          <w:tcPr>
            <w:tcW w:w="329" w:type="pct"/>
            <w:tcBorders>
              <w:top w:val="nil"/>
              <w:left w:val="nil"/>
              <w:bottom w:val="nil"/>
              <w:right w:val="nil"/>
            </w:tcBorders>
            <w:shd w:val="clear" w:color="000000" w:fill="E6E6E6"/>
            <w:noWrap/>
            <w:vAlign w:val="center"/>
            <w:hideMark/>
          </w:tcPr>
          <w:p w14:paraId="03589536"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163</w:t>
            </w:r>
          </w:p>
        </w:tc>
        <w:tc>
          <w:tcPr>
            <w:tcW w:w="329" w:type="pct"/>
            <w:tcBorders>
              <w:top w:val="nil"/>
              <w:left w:val="nil"/>
              <w:bottom w:val="nil"/>
              <w:right w:val="nil"/>
            </w:tcBorders>
            <w:shd w:val="clear" w:color="auto" w:fill="auto"/>
            <w:noWrap/>
            <w:vAlign w:val="center"/>
            <w:hideMark/>
          </w:tcPr>
          <w:p w14:paraId="7860FBAD"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5</w:t>
            </w:r>
          </w:p>
        </w:tc>
        <w:tc>
          <w:tcPr>
            <w:tcW w:w="329" w:type="pct"/>
            <w:tcBorders>
              <w:top w:val="nil"/>
              <w:left w:val="nil"/>
              <w:bottom w:val="nil"/>
              <w:right w:val="nil"/>
            </w:tcBorders>
            <w:shd w:val="clear" w:color="000000" w:fill="E6E6E6"/>
            <w:noWrap/>
            <w:vAlign w:val="center"/>
            <w:hideMark/>
          </w:tcPr>
          <w:p w14:paraId="3BA40B7E"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8</w:t>
            </w:r>
          </w:p>
        </w:tc>
        <w:tc>
          <w:tcPr>
            <w:tcW w:w="330" w:type="pct"/>
            <w:tcBorders>
              <w:top w:val="nil"/>
              <w:left w:val="nil"/>
              <w:bottom w:val="nil"/>
              <w:right w:val="nil"/>
            </w:tcBorders>
            <w:shd w:val="clear" w:color="auto" w:fill="auto"/>
            <w:noWrap/>
            <w:vAlign w:val="center"/>
            <w:hideMark/>
          </w:tcPr>
          <w:p w14:paraId="1F59AD21"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6</w:t>
            </w:r>
          </w:p>
        </w:tc>
        <w:tc>
          <w:tcPr>
            <w:tcW w:w="330" w:type="pct"/>
            <w:tcBorders>
              <w:top w:val="nil"/>
              <w:left w:val="nil"/>
              <w:bottom w:val="nil"/>
              <w:right w:val="nil"/>
            </w:tcBorders>
            <w:shd w:val="clear" w:color="000000" w:fill="E6E6E6"/>
            <w:noWrap/>
            <w:vAlign w:val="center"/>
            <w:hideMark/>
          </w:tcPr>
          <w:p w14:paraId="4E5381FC"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6</w:t>
            </w:r>
          </w:p>
        </w:tc>
        <w:tc>
          <w:tcPr>
            <w:tcW w:w="330" w:type="pct"/>
            <w:tcBorders>
              <w:top w:val="nil"/>
              <w:left w:val="nil"/>
              <w:bottom w:val="nil"/>
              <w:right w:val="nil"/>
            </w:tcBorders>
            <w:shd w:val="clear" w:color="auto" w:fill="auto"/>
            <w:noWrap/>
            <w:vAlign w:val="center"/>
            <w:hideMark/>
          </w:tcPr>
          <w:p w14:paraId="74AE86D2"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239</w:t>
            </w:r>
          </w:p>
        </w:tc>
        <w:tc>
          <w:tcPr>
            <w:tcW w:w="330" w:type="pct"/>
            <w:tcBorders>
              <w:top w:val="nil"/>
              <w:left w:val="nil"/>
              <w:bottom w:val="nil"/>
              <w:right w:val="nil"/>
            </w:tcBorders>
            <w:shd w:val="clear" w:color="000000" w:fill="E6E6E6"/>
            <w:noWrap/>
            <w:vAlign w:val="center"/>
            <w:hideMark/>
          </w:tcPr>
          <w:p w14:paraId="6677242B"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185</w:t>
            </w:r>
          </w:p>
        </w:tc>
      </w:tr>
      <w:tr w:rsidR="003D250F" w:rsidRPr="003D250F" w14:paraId="7E26865D" w14:textId="77777777" w:rsidTr="006A069B">
        <w:trPr>
          <w:trHeight w:val="450"/>
        </w:trPr>
        <w:tc>
          <w:tcPr>
            <w:tcW w:w="1053" w:type="pct"/>
            <w:tcBorders>
              <w:top w:val="nil"/>
              <w:left w:val="nil"/>
              <w:bottom w:val="nil"/>
              <w:right w:val="nil"/>
            </w:tcBorders>
            <w:shd w:val="clear" w:color="000000" w:fill="FFFFFF"/>
            <w:vAlign w:val="center"/>
            <w:hideMark/>
          </w:tcPr>
          <w:p w14:paraId="1447F932" w14:textId="6D1995C1" w:rsidR="003D250F" w:rsidRPr="003D250F" w:rsidRDefault="003D250F" w:rsidP="003D250F">
            <w:pPr>
              <w:spacing w:after="0" w:line="240" w:lineRule="auto"/>
              <w:jc w:val="left"/>
              <w:rPr>
                <w:rFonts w:ascii="Arial" w:hAnsi="Arial" w:cs="Arial"/>
                <w:color w:val="auto"/>
                <w:sz w:val="16"/>
                <w:szCs w:val="16"/>
              </w:rPr>
            </w:pPr>
            <w:r w:rsidRPr="003D250F">
              <w:rPr>
                <w:rFonts w:ascii="Arial" w:hAnsi="Arial" w:cs="Arial"/>
                <w:color w:val="auto"/>
                <w:sz w:val="16"/>
                <w:szCs w:val="16"/>
              </w:rPr>
              <w:t>Other</w:t>
            </w:r>
            <w:r w:rsidR="006A069B">
              <w:rPr>
                <w:rFonts w:ascii="Arial" w:hAnsi="Arial" w:cs="Arial"/>
                <w:color w:val="auto"/>
                <w:sz w:val="16"/>
                <w:szCs w:val="16"/>
              </w:rPr>
              <w:t>, or more than</w:t>
            </w:r>
            <w:r w:rsidR="006A069B">
              <w:rPr>
                <w:rFonts w:ascii="Arial" w:hAnsi="Arial" w:cs="Arial"/>
                <w:color w:val="auto"/>
                <w:sz w:val="16"/>
                <w:szCs w:val="16"/>
              </w:rPr>
              <w:br/>
              <w:t xml:space="preserve">  one reason (m)</w:t>
            </w:r>
          </w:p>
        </w:tc>
        <w:tc>
          <w:tcPr>
            <w:tcW w:w="329" w:type="pct"/>
            <w:tcBorders>
              <w:top w:val="nil"/>
              <w:left w:val="nil"/>
              <w:bottom w:val="nil"/>
              <w:right w:val="nil"/>
            </w:tcBorders>
            <w:shd w:val="clear" w:color="auto" w:fill="auto"/>
            <w:noWrap/>
            <w:vAlign w:val="center"/>
            <w:hideMark/>
          </w:tcPr>
          <w:p w14:paraId="282FB5C7"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w:t>
            </w:r>
          </w:p>
        </w:tc>
        <w:tc>
          <w:tcPr>
            <w:tcW w:w="329" w:type="pct"/>
            <w:tcBorders>
              <w:top w:val="nil"/>
              <w:left w:val="nil"/>
              <w:bottom w:val="nil"/>
              <w:right w:val="nil"/>
            </w:tcBorders>
            <w:shd w:val="clear" w:color="000000" w:fill="E6E6E6"/>
            <w:noWrap/>
            <w:vAlign w:val="center"/>
            <w:hideMark/>
          </w:tcPr>
          <w:p w14:paraId="495D5920"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4</w:t>
            </w:r>
          </w:p>
        </w:tc>
        <w:tc>
          <w:tcPr>
            <w:tcW w:w="329" w:type="pct"/>
            <w:tcBorders>
              <w:top w:val="nil"/>
              <w:left w:val="nil"/>
              <w:bottom w:val="nil"/>
              <w:right w:val="nil"/>
            </w:tcBorders>
            <w:shd w:val="clear" w:color="auto" w:fill="auto"/>
            <w:noWrap/>
            <w:vAlign w:val="center"/>
            <w:hideMark/>
          </w:tcPr>
          <w:p w14:paraId="1D31058E"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0</w:t>
            </w:r>
          </w:p>
        </w:tc>
        <w:tc>
          <w:tcPr>
            <w:tcW w:w="329" w:type="pct"/>
            <w:tcBorders>
              <w:top w:val="nil"/>
              <w:left w:val="nil"/>
              <w:bottom w:val="nil"/>
              <w:right w:val="nil"/>
            </w:tcBorders>
            <w:shd w:val="clear" w:color="000000" w:fill="E6E6E6"/>
            <w:noWrap/>
            <w:vAlign w:val="center"/>
            <w:hideMark/>
          </w:tcPr>
          <w:p w14:paraId="7CAEE5C2"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0</w:t>
            </w:r>
          </w:p>
        </w:tc>
        <w:tc>
          <w:tcPr>
            <w:tcW w:w="329" w:type="pct"/>
            <w:tcBorders>
              <w:top w:val="nil"/>
              <w:left w:val="nil"/>
              <w:bottom w:val="nil"/>
              <w:right w:val="nil"/>
            </w:tcBorders>
            <w:shd w:val="clear" w:color="auto" w:fill="auto"/>
            <w:noWrap/>
            <w:vAlign w:val="center"/>
            <w:hideMark/>
          </w:tcPr>
          <w:p w14:paraId="5CB14720"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187</w:t>
            </w:r>
          </w:p>
        </w:tc>
        <w:tc>
          <w:tcPr>
            <w:tcW w:w="329" w:type="pct"/>
            <w:tcBorders>
              <w:top w:val="nil"/>
              <w:left w:val="nil"/>
              <w:bottom w:val="nil"/>
              <w:right w:val="nil"/>
            </w:tcBorders>
            <w:shd w:val="clear" w:color="000000" w:fill="E6E6E6"/>
            <w:noWrap/>
            <w:vAlign w:val="center"/>
            <w:hideMark/>
          </w:tcPr>
          <w:p w14:paraId="18027603"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138</w:t>
            </w:r>
          </w:p>
        </w:tc>
        <w:tc>
          <w:tcPr>
            <w:tcW w:w="329" w:type="pct"/>
            <w:tcBorders>
              <w:top w:val="nil"/>
              <w:left w:val="nil"/>
              <w:bottom w:val="nil"/>
              <w:right w:val="nil"/>
            </w:tcBorders>
            <w:shd w:val="clear" w:color="auto" w:fill="auto"/>
            <w:noWrap/>
            <w:vAlign w:val="center"/>
            <w:hideMark/>
          </w:tcPr>
          <w:p w14:paraId="31760D55"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2</w:t>
            </w:r>
          </w:p>
        </w:tc>
        <w:tc>
          <w:tcPr>
            <w:tcW w:w="329" w:type="pct"/>
            <w:tcBorders>
              <w:top w:val="nil"/>
              <w:left w:val="nil"/>
              <w:bottom w:val="nil"/>
              <w:right w:val="nil"/>
            </w:tcBorders>
            <w:shd w:val="clear" w:color="000000" w:fill="E6E6E6"/>
            <w:noWrap/>
            <w:vAlign w:val="center"/>
            <w:hideMark/>
          </w:tcPr>
          <w:p w14:paraId="18EA5138"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3</w:t>
            </w:r>
          </w:p>
        </w:tc>
        <w:tc>
          <w:tcPr>
            <w:tcW w:w="330" w:type="pct"/>
            <w:tcBorders>
              <w:top w:val="nil"/>
              <w:left w:val="nil"/>
              <w:bottom w:val="nil"/>
              <w:right w:val="nil"/>
            </w:tcBorders>
            <w:shd w:val="clear" w:color="auto" w:fill="auto"/>
            <w:noWrap/>
            <w:vAlign w:val="center"/>
            <w:hideMark/>
          </w:tcPr>
          <w:p w14:paraId="703A94ED"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13</w:t>
            </w:r>
          </w:p>
        </w:tc>
        <w:tc>
          <w:tcPr>
            <w:tcW w:w="330" w:type="pct"/>
            <w:tcBorders>
              <w:top w:val="nil"/>
              <w:left w:val="nil"/>
              <w:bottom w:val="nil"/>
              <w:right w:val="nil"/>
            </w:tcBorders>
            <w:shd w:val="clear" w:color="000000" w:fill="E6E6E6"/>
            <w:noWrap/>
            <w:vAlign w:val="center"/>
            <w:hideMark/>
          </w:tcPr>
          <w:p w14:paraId="12704229"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10</w:t>
            </w:r>
          </w:p>
        </w:tc>
        <w:tc>
          <w:tcPr>
            <w:tcW w:w="330" w:type="pct"/>
            <w:tcBorders>
              <w:top w:val="nil"/>
              <w:left w:val="nil"/>
              <w:bottom w:val="nil"/>
              <w:right w:val="nil"/>
            </w:tcBorders>
            <w:shd w:val="clear" w:color="auto" w:fill="auto"/>
            <w:noWrap/>
            <w:vAlign w:val="center"/>
            <w:hideMark/>
          </w:tcPr>
          <w:p w14:paraId="77A6CE52"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203</w:t>
            </w:r>
          </w:p>
        </w:tc>
        <w:tc>
          <w:tcPr>
            <w:tcW w:w="330" w:type="pct"/>
            <w:tcBorders>
              <w:top w:val="nil"/>
              <w:left w:val="nil"/>
              <w:bottom w:val="nil"/>
              <w:right w:val="nil"/>
            </w:tcBorders>
            <w:shd w:val="clear" w:color="000000" w:fill="E6E6E6"/>
            <w:noWrap/>
            <w:vAlign w:val="center"/>
            <w:hideMark/>
          </w:tcPr>
          <w:p w14:paraId="55461F2B" w14:textId="77777777" w:rsidR="003D250F" w:rsidRPr="003D250F" w:rsidRDefault="003D250F" w:rsidP="003D250F">
            <w:pPr>
              <w:spacing w:after="0" w:line="240" w:lineRule="auto"/>
              <w:jc w:val="right"/>
              <w:rPr>
                <w:rFonts w:ascii="Arial" w:hAnsi="Arial" w:cs="Arial"/>
                <w:color w:val="auto"/>
                <w:sz w:val="16"/>
                <w:szCs w:val="16"/>
              </w:rPr>
            </w:pPr>
            <w:r w:rsidRPr="003D250F">
              <w:rPr>
                <w:rFonts w:ascii="Arial" w:hAnsi="Arial" w:cs="Arial"/>
                <w:color w:val="auto"/>
                <w:sz w:val="16"/>
                <w:szCs w:val="16"/>
              </w:rPr>
              <w:t>155</w:t>
            </w:r>
          </w:p>
        </w:tc>
      </w:tr>
      <w:tr w:rsidR="003D250F" w:rsidRPr="003D250F" w14:paraId="3D0D3C4E" w14:textId="77777777" w:rsidTr="006A069B">
        <w:trPr>
          <w:trHeight w:val="60"/>
        </w:trPr>
        <w:tc>
          <w:tcPr>
            <w:tcW w:w="1053" w:type="pct"/>
            <w:tcBorders>
              <w:top w:val="nil"/>
              <w:left w:val="nil"/>
              <w:bottom w:val="nil"/>
              <w:right w:val="nil"/>
            </w:tcBorders>
            <w:shd w:val="clear" w:color="000000" w:fill="FFFFFF"/>
            <w:noWrap/>
            <w:vAlign w:val="center"/>
            <w:hideMark/>
          </w:tcPr>
          <w:p w14:paraId="26FDA482" w14:textId="3DF1EEF0" w:rsidR="003D250F" w:rsidRPr="003D250F" w:rsidRDefault="003D250F" w:rsidP="003D250F">
            <w:pPr>
              <w:spacing w:after="0" w:line="240" w:lineRule="auto"/>
              <w:jc w:val="left"/>
              <w:rPr>
                <w:rFonts w:ascii="Arial" w:hAnsi="Arial" w:cs="Arial"/>
                <w:color w:val="auto"/>
                <w:sz w:val="16"/>
                <w:szCs w:val="16"/>
              </w:rPr>
            </w:pPr>
          </w:p>
        </w:tc>
        <w:tc>
          <w:tcPr>
            <w:tcW w:w="329" w:type="pct"/>
            <w:tcBorders>
              <w:top w:val="nil"/>
              <w:left w:val="nil"/>
              <w:bottom w:val="nil"/>
              <w:right w:val="nil"/>
            </w:tcBorders>
            <w:shd w:val="clear" w:color="auto" w:fill="auto"/>
            <w:noWrap/>
            <w:vAlign w:val="center"/>
            <w:hideMark/>
          </w:tcPr>
          <w:p w14:paraId="6B9CD97A" w14:textId="77777777" w:rsidR="003D250F" w:rsidRPr="003D250F" w:rsidRDefault="003D250F" w:rsidP="006A069B">
            <w:pPr>
              <w:spacing w:after="0" w:line="240" w:lineRule="auto"/>
              <w:jc w:val="right"/>
              <w:rPr>
                <w:rFonts w:ascii="Arial" w:hAnsi="Arial" w:cs="Arial"/>
                <w:color w:val="auto"/>
                <w:sz w:val="16"/>
                <w:szCs w:val="16"/>
              </w:rPr>
            </w:pPr>
          </w:p>
        </w:tc>
        <w:tc>
          <w:tcPr>
            <w:tcW w:w="329" w:type="pct"/>
            <w:tcBorders>
              <w:top w:val="nil"/>
              <w:left w:val="nil"/>
              <w:bottom w:val="nil"/>
              <w:right w:val="nil"/>
            </w:tcBorders>
            <w:shd w:val="clear" w:color="000000" w:fill="E6E6E6"/>
            <w:noWrap/>
            <w:vAlign w:val="center"/>
            <w:hideMark/>
          </w:tcPr>
          <w:p w14:paraId="7B501DBE" w14:textId="63687E72"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nil"/>
              <w:left w:val="nil"/>
              <w:bottom w:val="nil"/>
              <w:right w:val="nil"/>
            </w:tcBorders>
            <w:shd w:val="clear" w:color="auto" w:fill="auto"/>
            <w:noWrap/>
            <w:vAlign w:val="center"/>
            <w:hideMark/>
          </w:tcPr>
          <w:p w14:paraId="4B920F1D" w14:textId="77777777"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nil"/>
              <w:left w:val="nil"/>
              <w:bottom w:val="nil"/>
              <w:right w:val="nil"/>
            </w:tcBorders>
            <w:shd w:val="clear" w:color="000000" w:fill="E6E6E6"/>
            <w:noWrap/>
            <w:vAlign w:val="center"/>
            <w:hideMark/>
          </w:tcPr>
          <w:p w14:paraId="3D5AA693" w14:textId="320B9512"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nil"/>
              <w:left w:val="nil"/>
              <w:bottom w:val="nil"/>
              <w:right w:val="nil"/>
            </w:tcBorders>
            <w:shd w:val="clear" w:color="auto" w:fill="auto"/>
            <w:noWrap/>
            <w:vAlign w:val="center"/>
            <w:hideMark/>
          </w:tcPr>
          <w:p w14:paraId="59B5237A" w14:textId="77777777"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nil"/>
              <w:left w:val="nil"/>
              <w:bottom w:val="nil"/>
              <w:right w:val="nil"/>
            </w:tcBorders>
            <w:shd w:val="clear" w:color="000000" w:fill="E6E6E6"/>
            <w:noWrap/>
            <w:vAlign w:val="center"/>
            <w:hideMark/>
          </w:tcPr>
          <w:p w14:paraId="151EE381" w14:textId="71D7F357"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nil"/>
              <w:left w:val="nil"/>
              <w:bottom w:val="nil"/>
              <w:right w:val="nil"/>
            </w:tcBorders>
            <w:shd w:val="clear" w:color="auto" w:fill="auto"/>
            <w:noWrap/>
            <w:vAlign w:val="center"/>
            <w:hideMark/>
          </w:tcPr>
          <w:p w14:paraId="5D0A79B8" w14:textId="77777777" w:rsidR="003D250F" w:rsidRPr="003D250F" w:rsidRDefault="003D250F" w:rsidP="003D250F">
            <w:pPr>
              <w:spacing w:after="0" w:line="240" w:lineRule="auto"/>
              <w:jc w:val="right"/>
              <w:rPr>
                <w:rFonts w:ascii="Arial" w:hAnsi="Arial" w:cs="Arial"/>
                <w:color w:val="auto"/>
                <w:sz w:val="16"/>
                <w:szCs w:val="16"/>
              </w:rPr>
            </w:pPr>
          </w:p>
        </w:tc>
        <w:tc>
          <w:tcPr>
            <w:tcW w:w="329" w:type="pct"/>
            <w:tcBorders>
              <w:top w:val="nil"/>
              <w:left w:val="nil"/>
              <w:bottom w:val="nil"/>
              <w:right w:val="nil"/>
            </w:tcBorders>
            <w:shd w:val="clear" w:color="000000" w:fill="E6E6E6"/>
            <w:noWrap/>
            <w:vAlign w:val="center"/>
            <w:hideMark/>
          </w:tcPr>
          <w:p w14:paraId="75EC67F9" w14:textId="0F48CEC5" w:rsidR="003D250F" w:rsidRPr="003D250F" w:rsidRDefault="003D250F" w:rsidP="003D250F">
            <w:pPr>
              <w:spacing w:after="0" w:line="240" w:lineRule="auto"/>
              <w:jc w:val="right"/>
              <w:rPr>
                <w:rFonts w:ascii="Arial" w:hAnsi="Arial" w:cs="Arial"/>
                <w:color w:val="auto"/>
                <w:sz w:val="16"/>
                <w:szCs w:val="16"/>
              </w:rPr>
            </w:pPr>
          </w:p>
        </w:tc>
        <w:tc>
          <w:tcPr>
            <w:tcW w:w="330" w:type="pct"/>
            <w:tcBorders>
              <w:top w:val="nil"/>
              <w:left w:val="nil"/>
              <w:bottom w:val="nil"/>
              <w:right w:val="nil"/>
            </w:tcBorders>
            <w:shd w:val="clear" w:color="auto" w:fill="auto"/>
            <w:noWrap/>
            <w:vAlign w:val="center"/>
            <w:hideMark/>
          </w:tcPr>
          <w:p w14:paraId="095DBD63" w14:textId="77777777" w:rsidR="003D250F" w:rsidRPr="003D250F" w:rsidRDefault="003D250F" w:rsidP="003D250F">
            <w:pPr>
              <w:spacing w:after="0" w:line="240" w:lineRule="auto"/>
              <w:jc w:val="right"/>
              <w:rPr>
                <w:rFonts w:ascii="Arial" w:hAnsi="Arial" w:cs="Arial"/>
                <w:color w:val="auto"/>
                <w:sz w:val="16"/>
                <w:szCs w:val="16"/>
              </w:rPr>
            </w:pPr>
          </w:p>
        </w:tc>
        <w:tc>
          <w:tcPr>
            <w:tcW w:w="330" w:type="pct"/>
            <w:tcBorders>
              <w:top w:val="nil"/>
              <w:left w:val="nil"/>
              <w:bottom w:val="nil"/>
              <w:right w:val="nil"/>
            </w:tcBorders>
            <w:shd w:val="clear" w:color="000000" w:fill="E6E6E6"/>
            <w:noWrap/>
            <w:vAlign w:val="center"/>
            <w:hideMark/>
          </w:tcPr>
          <w:p w14:paraId="6C37313D" w14:textId="216690A4" w:rsidR="003D250F" w:rsidRPr="003D250F" w:rsidRDefault="003D250F" w:rsidP="003D250F">
            <w:pPr>
              <w:spacing w:after="0" w:line="240" w:lineRule="auto"/>
              <w:jc w:val="right"/>
              <w:rPr>
                <w:rFonts w:ascii="Arial" w:hAnsi="Arial" w:cs="Arial"/>
                <w:color w:val="auto"/>
                <w:sz w:val="16"/>
                <w:szCs w:val="16"/>
              </w:rPr>
            </w:pPr>
          </w:p>
        </w:tc>
        <w:tc>
          <w:tcPr>
            <w:tcW w:w="330" w:type="pct"/>
            <w:tcBorders>
              <w:top w:val="nil"/>
              <w:left w:val="nil"/>
              <w:bottom w:val="nil"/>
              <w:right w:val="nil"/>
            </w:tcBorders>
            <w:shd w:val="clear" w:color="auto" w:fill="auto"/>
            <w:noWrap/>
            <w:vAlign w:val="center"/>
            <w:hideMark/>
          </w:tcPr>
          <w:p w14:paraId="1C68ECCB" w14:textId="77777777" w:rsidR="003D250F" w:rsidRPr="003D250F" w:rsidRDefault="003D250F" w:rsidP="003D250F">
            <w:pPr>
              <w:spacing w:after="0" w:line="240" w:lineRule="auto"/>
              <w:jc w:val="right"/>
              <w:rPr>
                <w:rFonts w:ascii="Arial" w:hAnsi="Arial" w:cs="Arial"/>
                <w:color w:val="auto"/>
                <w:sz w:val="16"/>
                <w:szCs w:val="16"/>
              </w:rPr>
            </w:pPr>
          </w:p>
        </w:tc>
        <w:tc>
          <w:tcPr>
            <w:tcW w:w="330" w:type="pct"/>
            <w:tcBorders>
              <w:top w:val="nil"/>
              <w:left w:val="nil"/>
              <w:bottom w:val="nil"/>
              <w:right w:val="nil"/>
            </w:tcBorders>
            <w:shd w:val="clear" w:color="000000" w:fill="E6E6E6"/>
            <w:noWrap/>
            <w:vAlign w:val="center"/>
            <w:hideMark/>
          </w:tcPr>
          <w:p w14:paraId="0050F680" w14:textId="2321F989" w:rsidR="003D250F" w:rsidRPr="003D250F" w:rsidRDefault="003D250F" w:rsidP="003D250F">
            <w:pPr>
              <w:spacing w:after="0" w:line="240" w:lineRule="auto"/>
              <w:jc w:val="right"/>
              <w:rPr>
                <w:rFonts w:ascii="Arial" w:hAnsi="Arial" w:cs="Arial"/>
                <w:color w:val="auto"/>
                <w:sz w:val="16"/>
                <w:szCs w:val="16"/>
              </w:rPr>
            </w:pPr>
          </w:p>
        </w:tc>
      </w:tr>
      <w:tr w:rsidR="003D250F" w:rsidRPr="003D250F" w14:paraId="1A9F26F4" w14:textId="77777777" w:rsidTr="006A069B">
        <w:trPr>
          <w:trHeight w:val="225"/>
        </w:trPr>
        <w:tc>
          <w:tcPr>
            <w:tcW w:w="1053" w:type="pct"/>
            <w:tcBorders>
              <w:top w:val="nil"/>
              <w:left w:val="nil"/>
              <w:bottom w:val="single" w:sz="4" w:space="0" w:color="000000"/>
              <w:right w:val="nil"/>
            </w:tcBorders>
            <w:shd w:val="clear" w:color="000000" w:fill="FFFFFF"/>
            <w:noWrap/>
            <w:vAlign w:val="center"/>
            <w:hideMark/>
          </w:tcPr>
          <w:p w14:paraId="3FCF51D5" w14:textId="3E1C9FB5" w:rsidR="003D250F" w:rsidRPr="003D250F" w:rsidRDefault="003D250F" w:rsidP="005A0F36">
            <w:pPr>
              <w:spacing w:after="0" w:line="240" w:lineRule="auto"/>
              <w:jc w:val="left"/>
              <w:rPr>
                <w:rFonts w:ascii="Arial" w:hAnsi="Arial" w:cs="Arial"/>
                <w:b/>
                <w:bCs/>
                <w:color w:val="auto"/>
                <w:sz w:val="16"/>
                <w:szCs w:val="16"/>
              </w:rPr>
            </w:pPr>
            <w:r w:rsidRPr="003D250F">
              <w:rPr>
                <w:rFonts w:ascii="Arial" w:hAnsi="Arial" w:cs="Arial"/>
                <w:b/>
                <w:bCs/>
                <w:color w:val="auto"/>
                <w:sz w:val="16"/>
                <w:szCs w:val="16"/>
              </w:rPr>
              <w:t xml:space="preserve">Total approved </w:t>
            </w:r>
          </w:p>
        </w:tc>
        <w:tc>
          <w:tcPr>
            <w:tcW w:w="329" w:type="pct"/>
            <w:tcBorders>
              <w:top w:val="nil"/>
              <w:left w:val="nil"/>
              <w:bottom w:val="single" w:sz="4" w:space="0" w:color="000000"/>
              <w:right w:val="nil"/>
            </w:tcBorders>
            <w:shd w:val="clear" w:color="auto" w:fill="auto"/>
            <w:noWrap/>
            <w:vAlign w:val="center"/>
            <w:hideMark/>
          </w:tcPr>
          <w:p w14:paraId="0F8323E9"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7</w:t>
            </w:r>
          </w:p>
        </w:tc>
        <w:tc>
          <w:tcPr>
            <w:tcW w:w="329" w:type="pct"/>
            <w:tcBorders>
              <w:top w:val="nil"/>
              <w:left w:val="nil"/>
              <w:bottom w:val="single" w:sz="4" w:space="0" w:color="000000"/>
              <w:right w:val="nil"/>
            </w:tcBorders>
            <w:shd w:val="clear" w:color="000000" w:fill="E6E6E6"/>
            <w:noWrap/>
            <w:vAlign w:val="center"/>
            <w:hideMark/>
          </w:tcPr>
          <w:p w14:paraId="350558B8"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12</w:t>
            </w:r>
          </w:p>
        </w:tc>
        <w:tc>
          <w:tcPr>
            <w:tcW w:w="329" w:type="pct"/>
            <w:tcBorders>
              <w:top w:val="nil"/>
              <w:left w:val="nil"/>
              <w:bottom w:val="single" w:sz="4" w:space="0" w:color="000000"/>
              <w:right w:val="nil"/>
            </w:tcBorders>
            <w:shd w:val="clear" w:color="auto" w:fill="auto"/>
            <w:noWrap/>
            <w:vAlign w:val="center"/>
            <w:hideMark/>
          </w:tcPr>
          <w:p w14:paraId="292951BA"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1</w:t>
            </w:r>
          </w:p>
        </w:tc>
        <w:tc>
          <w:tcPr>
            <w:tcW w:w="329" w:type="pct"/>
            <w:tcBorders>
              <w:top w:val="nil"/>
              <w:left w:val="nil"/>
              <w:bottom w:val="single" w:sz="4" w:space="0" w:color="000000"/>
              <w:right w:val="nil"/>
            </w:tcBorders>
            <w:shd w:val="clear" w:color="000000" w:fill="E6E6E6"/>
            <w:noWrap/>
            <w:vAlign w:val="center"/>
            <w:hideMark/>
          </w:tcPr>
          <w:p w14:paraId="31311FF7"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0</w:t>
            </w:r>
          </w:p>
        </w:tc>
        <w:tc>
          <w:tcPr>
            <w:tcW w:w="329" w:type="pct"/>
            <w:tcBorders>
              <w:top w:val="nil"/>
              <w:left w:val="nil"/>
              <w:bottom w:val="single" w:sz="4" w:space="0" w:color="000000"/>
              <w:right w:val="nil"/>
            </w:tcBorders>
            <w:shd w:val="clear" w:color="auto" w:fill="auto"/>
            <w:noWrap/>
            <w:vAlign w:val="center"/>
            <w:hideMark/>
          </w:tcPr>
          <w:p w14:paraId="44A426F0"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413</w:t>
            </w:r>
          </w:p>
        </w:tc>
        <w:tc>
          <w:tcPr>
            <w:tcW w:w="329" w:type="pct"/>
            <w:tcBorders>
              <w:top w:val="nil"/>
              <w:left w:val="nil"/>
              <w:bottom w:val="single" w:sz="4" w:space="0" w:color="000000"/>
              <w:right w:val="nil"/>
            </w:tcBorders>
            <w:shd w:val="clear" w:color="000000" w:fill="E6E6E6"/>
            <w:noWrap/>
            <w:vAlign w:val="center"/>
            <w:hideMark/>
          </w:tcPr>
          <w:p w14:paraId="6876A7B7"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302</w:t>
            </w:r>
          </w:p>
        </w:tc>
        <w:tc>
          <w:tcPr>
            <w:tcW w:w="329" w:type="pct"/>
            <w:tcBorders>
              <w:top w:val="nil"/>
              <w:left w:val="nil"/>
              <w:bottom w:val="single" w:sz="4" w:space="0" w:color="000000"/>
              <w:right w:val="nil"/>
            </w:tcBorders>
            <w:shd w:val="clear" w:color="auto" w:fill="auto"/>
            <w:noWrap/>
            <w:vAlign w:val="center"/>
            <w:hideMark/>
          </w:tcPr>
          <w:p w14:paraId="2B0D1237"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9</w:t>
            </w:r>
          </w:p>
        </w:tc>
        <w:tc>
          <w:tcPr>
            <w:tcW w:w="329" w:type="pct"/>
            <w:tcBorders>
              <w:top w:val="nil"/>
              <w:left w:val="nil"/>
              <w:bottom w:val="single" w:sz="4" w:space="0" w:color="000000"/>
              <w:right w:val="nil"/>
            </w:tcBorders>
            <w:shd w:val="clear" w:color="000000" w:fill="E6E6E6"/>
            <w:noWrap/>
            <w:vAlign w:val="center"/>
            <w:hideMark/>
          </w:tcPr>
          <w:p w14:paraId="2F808FB0"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14</w:t>
            </w:r>
          </w:p>
        </w:tc>
        <w:tc>
          <w:tcPr>
            <w:tcW w:w="330" w:type="pct"/>
            <w:tcBorders>
              <w:top w:val="nil"/>
              <w:left w:val="nil"/>
              <w:bottom w:val="single" w:sz="4" w:space="0" w:color="000000"/>
              <w:right w:val="nil"/>
            </w:tcBorders>
            <w:shd w:val="clear" w:color="auto" w:fill="auto"/>
            <w:noWrap/>
            <w:vAlign w:val="center"/>
            <w:hideMark/>
          </w:tcPr>
          <w:p w14:paraId="72152641"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23</w:t>
            </w:r>
          </w:p>
        </w:tc>
        <w:tc>
          <w:tcPr>
            <w:tcW w:w="330" w:type="pct"/>
            <w:tcBorders>
              <w:top w:val="nil"/>
              <w:left w:val="nil"/>
              <w:bottom w:val="single" w:sz="4" w:space="0" w:color="000000"/>
              <w:right w:val="nil"/>
            </w:tcBorders>
            <w:shd w:val="clear" w:color="000000" w:fill="E6E6E6"/>
            <w:noWrap/>
            <w:vAlign w:val="center"/>
            <w:hideMark/>
          </w:tcPr>
          <w:p w14:paraId="30698B38"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29</w:t>
            </w:r>
          </w:p>
        </w:tc>
        <w:tc>
          <w:tcPr>
            <w:tcW w:w="330" w:type="pct"/>
            <w:tcBorders>
              <w:top w:val="nil"/>
              <w:left w:val="nil"/>
              <w:bottom w:val="single" w:sz="4" w:space="0" w:color="auto"/>
              <w:right w:val="nil"/>
            </w:tcBorders>
            <w:shd w:val="clear" w:color="auto" w:fill="auto"/>
            <w:noWrap/>
            <w:vAlign w:val="center"/>
            <w:hideMark/>
          </w:tcPr>
          <w:p w14:paraId="5C0EA3B5"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453</w:t>
            </w:r>
          </w:p>
        </w:tc>
        <w:tc>
          <w:tcPr>
            <w:tcW w:w="330" w:type="pct"/>
            <w:tcBorders>
              <w:top w:val="nil"/>
              <w:left w:val="nil"/>
              <w:bottom w:val="single" w:sz="4" w:space="0" w:color="auto"/>
              <w:right w:val="nil"/>
            </w:tcBorders>
            <w:shd w:val="clear" w:color="000000" w:fill="E6E6E6"/>
            <w:noWrap/>
            <w:vAlign w:val="center"/>
            <w:hideMark/>
          </w:tcPr>
          <w:p w14:paraId="38AB31B8" w14:textId="77777777" w:rsidR="003D250F" w:rsidRPr="003D250F" w:rsidRDefault="003D250F" w:rsidP="003D250F">
            <w:pPr>
              <w:spacing w:after="0" w:line="240" w:lineRule="auto"/>
              <w:jc w:val="right"/>
              <w:rPr>
                <w:rFonts w:ascii="Arial" w:hAnsi="Arial" w:cs="Arial"/>
                <w:b/>
                <w:bCs/>
                <w:color w:val="auto"/>
                <w:sz w:val="16"/>
                <w:szCs w:val="16"/>
              </w:rPr>
            </w:pPr>
            <w:r w:rsidRPr="003D250F">
              <w:rPr>
                <w:rFonts w:ascii="Arial" w:hAnsi="Arial" w:cs="Arial"/>
                <w:b/>
                <w:bCs/>
                <w:color w:val="auto"/>
                <w:sz w:val="16"/>
                <w:szCs w:val="16"/>
              </w:rPr>
              <w:t>357</w:t>
            </w:r>
          </w:p>
        </w:tc>
      </w:tr>
    </w:tbl>
    <w:p w14:paraId="3AB8A71D" w14:textId="77777777" w:rsidR="00DA0B42" w:rsidRDefault="00DA0B42">
      <w:pPr>
        <w:pStyle w:val="Circletext"/>
        <w:sectPr w:rsidR="00DA0B42" w:rsidSect="00A6095F">
          <w:headerReference w:type="default" r:id="rId75"/>
          <w:footerReference w:type="default" r:id="rId76"/>
          <w:pgSz w:w="16838" w:h="11906" w:orient="landscape" w:code="9"/>
          <w:pgMar w:top="2098" w:right="2466" w:bottom="2098" w:left="2466" w:header="1899" w:footer="1899" w:gutter="0"/>
          <w:cols w:space="708"/>
          <w:docGrid w:linePitch="360"/>
        </w:sectPr>
      </w:pPr>
    </w:p>
    <w:p w14:paraId="18E3BEE5" w14:textId="1CBBE523" w:rsidR="00A84283" w:rsidRPr="006D64A2" w:rsidRDefault="00A84283" w:rsidP="00406C1F">
      <w:pPr>
        <w:pStyle w:val="TableMainHeadingContd"/>
        <w:rPr>
          <w:color w:val="auto"/>
          <w:sz w:val="24"/>
          <w:szCs w:val="24"/>
        </w:rPr>
      </w:pPr>
      <w:r w:rsidRPr="006D64A2">
        <w:lastRenderedPageBreak/>
        <w:t>Notes apply</w:t>
      </w:r>
      <w:r w:rsidR="007F6719">
        <w:t>ing</w:t>
      </w:r>
      <w:r w:rsidRPr="006D64A2">
        <w:t xml:space="preserve"> to Tables 3.15 and 3.16</w:t>
      </w:r>
    </w:p>
    <w:p w14:paraId="741F2377" w14:textId="0DCAA25A" w:rsidR="00A84283" w:rsidRPr="00CB4DB7" w:rsidRDefault="00A84283" w:rsidP="007149D6">
      <w:pPr>
        <w:pStyle w:val="ChartorTableFootnote"/>
        <w:numPr>
          <w:ilvl w:val="0"/>
          <w:numId w:val="15"/>
        </w:numPr>
      </w:pPr>
      <w:r w:rsidRPr="00CB4DB7">
        <w:t>Exemption certificate refers to exemption certificates that allow for a program of acquisitions by a foreign person or exempts foreign persons from purchasing a new dwelling or near new dwelling from developers to whom a certificate is given (see (d) and (e) below). It does not include residential land certificates given to foreign persons to make a single purchase. These are included in</w:t>
      </w:r>
      <w:r w:rsidR="00CB0AC0" w:rsidRPr="00CB4DB7">
        <w:t xml:space="preserve"> variation to land approval – </w:t>
      </w:r>
      <w:r w:rsidRPr="00CB4DB7">
        <w:t>residential.</w:t>
      </w:r>
    </w:p>
    <w:p w14:paraId="69A088FC" w14:textId="31C30FF1" w:rsidR="00A84283" w:rsidRPr="00CB4DB7" w:rsidRDefault="00A84283" w:rsidP="009A641E">
      <w:pPr>
        <w:pStyle w:val="ChartorTableFootnote"/>
      </w:pPr>
      <w:r w:rsidRPr="00CB4DB7">
        <w:t>Land approval refers to no objection notifications covering interests in Australian land (that is, agricultural land, commercial land, residential land and mining and production tenements) and tenement interests, including interests in land entities. It also includes residential land exemption certificates given to foreign persons to make a single property purchase. It excludes variations relating to corporate reorganisations.</w:t>
      </w:r>
    </w:p>
    <w:p w14:paraId="4EB41605" w14:textId="234761B3" w:rsidR="00A84283" w:rsidRPr="00CB4DB7" w:rsidRDefault="00A84283" w:rsidP="00406C1F">
      <w:pPr>
        <w:pStyle w:val="ChartorTableFootnote"/>
      </w:pPr>
      <w:r w:rsidRPr="00CB4DB7">
        <w:t>Other approval includes variations to all other approvals. For example, variations to approvals for the acquisition of securities in an entity or for the acquisition of assets of an Australian business. It includes any variations relating to corporate reorganisations. It does not include any exemption certificates.</w:t>
      </w:r>
    </w:p>
    <w:p w14:paraId="6DBD9BED" w14:textId="047BDF01" w:rsidR="00A84283" w:rsidRPr="00CB4DB7" w:rsidRDefault="00A84283">
      <w:pPr>
        <w:pStyle w:val="ChartorTableFootnote"/>
      </w:pPr>
      <w:r w:rsidRPr="00CB4DB7">
        <w:t>Acquisition program certificate refers to land exemption certificates for foreign persons (formerly annual programs), business exemption certificates, and tenements and mining, production or exploration entity certificates.</w:t>
      </w:r>
    </w:p>
    <w:p w14:paraId="1E13B255" w14:textId="1F26EE13" w:rsidR="00A84283" w:rsidRPr="00CB4DB7" w:rsidRDefault="00A84283">
      <w:pPr>
        <w:pStyle w:val="ChartorTableFootnote"/>
      </w:pPr>
      <w:r w:rsidRPr="00CB4DB7">
        <w:t>New dwelling certificate refers to new dwelling exempti</w:t>
      </w:r>
      <w:r w:rsidR="00CB0AC0" w:rsidRPr="00CB4DB7">
        <w:t>on certificates (previously off</w:t>
      </w:r>
      <w:r w:rsidR="00CB0AC0" w:rsidRPr="00CB4DB7">
        <w:noBreakHyphen/>
      </w:r>
      <w:r w:rsidRPr="00CB4DB7">
        <w:t>the</w:t>
      </w:r>
      <w:r w:rsidR="00CB0AC0" w:rsidRPr="00CB4DB7">
        <w:noBreakHyphen/>
      </w:r>
      <w:r w:rsidRPr="00CB4DB7">
        <w:t>plan approvals) and residential land (near-new dwelling interests) exemption certificates. These allow developers to obtain pre-approval for foreign purchases.</w:t>
      </w:r>
    </w:p>
    <w:p w14:paraId="74AD3B9F" w14:textId="33881809" w:rsidR="00A84283" w:rsidRPr="00CB4DB7" w:rsidRDefault="00A84283">
      <w:pPr>
        <w:pStyle w:val="ChartorTableFootnote"/>
      </w:pPr>
      <w:r w:rsidRPr="00CB4DB7">
        <w:t>Includes variations that have been made so that a</w:t>
      </w:r>
      <w:r w:rsidR="00CB0AC0" w:rsidRPr="00CB4DB7">
        <w:t>n approval reflects a property’</w:t>
      </w:r>
      <w:r w:rsidRPr="00CB4DB7">
        <w:t>s street address when the property street address has become available after the approval has been granted. Fees are generally waived in this situation.</w:t>
      </w:r>
    </w:p>
    <w:p w14:paraId="34D52D50" w14:textId="070ECF8A" w:rsidR="00A84283" w:rsidRPr="00CB4DB7" w:rsidRDefault="00A84283">
      <w:pPr>
        <w:pStyle w:val="ChartorTableFootnote"/>
      </w:pPr>
      <w:r w:rsidRPr="00CB4DB7">
        <w:t>Other includes interests in Australian land (that is, agricultural land, commercial land, and mining and production tenements) and tenement interests, including interests in land entities, except interests in residential land, or where residential land is the dominant land type of a land entity.</w:t>
      </w:r>
    </w:p>
    <w:p w14:paraId="713814ED" w14:textId="5E3C926F" w:rsidR="00A84283" w:rsidRPr="00CB4DB7" w:rsidRDefault="00A84283">
      <w:pPr>
        <w:pStyle w:val="ChartorTableFootnote"/>
      </w:pPr>
      <w:r w:rsidRPr="00CB4DB7">
        <w:t>The application received is for a variation, but the variation is determined to be contrary to the national interest.</w:t>
      </w:r>
    </w:p>
    <w:p w14:paraId="0F87B127" w14:textId="54CA9A18" w:rsidR="00A84283" w:rsidRPr="00CB4DB7" w:rsidRDefault="00A84283">
      <w:pPr>
        <w:pStyle w:val="ChartorTableFootnote"/>
      </w:pPr>
      <w:r w:rsidRPr="00CB4DB7">
        <w:t>The ou</w:t>
      </w:r>
      <w:r w:rsidR="00CB0AC0" w:rsidRPr="00CB4DB7">
        <w:t>tcome of ‘</w:t>
      </w:r>
      <w:r w:rsidRPr="00CB4DB7">
        <w:t>not a variation’ was introduced as of 2017</w:t>
      </w:r>
      <w:r w:rsidR="00CB0AC0" w:rsidRPr="00CB4DB7">
        <w:noBreakHyphen/>
      </w:r>
      <w:r w:rsidRPr="00CB4DB7">
        <w:t>18 for variation applications lodged via the FIRB Application Portal. This data is not available for residential variation applications lodged with the Australian Taxation Office. This refers to a variation application that does not meet the requirements to be treated as a variation. In such situations, the application may have been subsequently lodged as a normal application reported on in Table 3.1.</w:t>
      </w:r>
    </w:p>
    <w:p w14:paraId="63A3CBC1" w14:textId="7B866887" w:rsidR="00A84283" w:rsidRPr="00CB4DB7" w:rsidRDefault="00A84283">
      <w:pPr>
        <w:pStyle w:val="ChartorTableFootnote"/>
      </w:pPr>
      <w:r w:rsidRPr="00CB4DB7">
        <w:t>Includes variation applications where the application was withdrawn prior to a decision being made.</w:t>
      </w:r>
    </w:p>
    <w:p w14:paraId="1DCC99DC" w14:textId="6E64ECC4" w:rsidR="00A84283" w:rsidRPr="00CB4DB7" w:rsidRDefault="00A84283">
      <w:pPr>
        <w:pStyle w:val="ChartorTableFootnote"/>
      </w:pPr>
      <w:r w:rsidRPr="00CB4DB7">
        <w:t>An extension is given to the time to enter into an agreement to make the covered acquisition(s).</w:t>
      </w:r>
    </w:p>
    <w:p w14:paraId="4D37523B" w14:textId="30DC006F" w:rsidR="00A84283" w:rsidRPr="00CB4DB7" w:rsidRDefault="00A84283">
      <w:pPr>
        <w:pStyle w:val="ChartorTableFootnote"/>
      </w:pPr>
      <w:r w:rsidRPr="00CB4DB7">
        <w:t>A substantive change to a condition, including an amendment to (for example, an extension of time to take an action required by a condition), or the removal or addition of a condition.</w:t>
      </w:r>
    </w:p>
    <w:p w14:paraId="5E5A7BF2" w14:textId="03096517" w:rsidR="00A84283" w:rsidRPr="00CB4DB7" w:rsidRDefault="00CB0AC0">
      <w:pPr>
        <w:pStyle w:val="ChartorTableFootnote"/>
      </w:pPr>
      <w:r w:rsidRPr="00CB4DB7">
        <w:t>Examples of ‘</w:t>
      </w:r>
      <w:r w:rsidR="00A84283" w:rsidRPr="00CB4DB7">
        <w:t xml:space="preserve">other’ include </w:t>
      </w:r>
      <w:r w:rsidRPr="00CB4DB7">
        <w:t>typographical corrections, non-</w:t>
      </w:r>
      <w:r w:rsidR="00A84283" w:rsidRPr="00CB4DB7">
        <w:t>substantive updating of identifiers such as name or address (for example, address is issued for lot) or</w:t>
      </w:r>
      <w:r w:rsidRPr="00CB4DB7">
        <w:t xml:space="preserve"> adding a wholly-</w:t>
      </w:r>
      <w:r w:rsidR="00A84283" w:rsidRPr="00CB4DB7">
        <w:t xml:space="preserve">owned subsidiary of the approval holder as an additional acquirer. </w:t>
      </w:r>
    </w:p>
    <w:p w14:paraId="5051DCF0" w14:textId="6DF95542" w:rsidR="00A84283" w:rsidRPr="00CB0AC0" w:rsidRDefault="00A84283" w:rsidP="006D64A2">
      <w:pPr>
        <w:pStyle w:val="ChartorTableNote"/>
        <w:rPr>
          <w:color w:val="auto"/>
          <w:sz w:val="18"/>
          <w:szCs w:val="18"/>
        </w:rPr>
      </w:pPr>
      <w:r w:rsidRPr="003102E2">
        <w:t xml:space="preserve">Notes: </w:t>
      </w:r>
      <w:r w:rsidRPr="003102E2">
        <w:tab/>
        <w:t xml:space="preserve">Variations have been reported on </w:t>
      </w:r>
      <w:r w:rsidR="00CB0AC0" w:rsidRPr="003102E2">
        <w:t xml:space="preserve">since 1 December 2015. </w:t>
      </w:r>
    </w:p>
    <w:p w14:paraId="6F95BDD9" w14:textId="1C00B27C" w:rsidR="00A84283" w:rsidRPr="00CB0AC0" w:rsidRDefault="00A84283" w:rsidP="006D64A2">
      <w:pPr>
        <w:pStyle w:val="ChartorTableNote"/>
        <w:rPr>
          <w:color w:val="auto"/>
          <w:sz w:val="18"/>
          <w:szCs w:val="18"/>
        </w:rPr>
      </w:pPr>
      <w:r w:rsidRPr="003102E2">
        <w:t>These tables only include variations relating to exemption certificates and no objection notifications, irrespective of if resulting from an application by a foreign person, the Treasurer’s initiative, or a compliance action. In 2017</w:t>
      </w:r>
      <w:r w:rsidR="00CB0AC0" w:rsidRPr="003102E2">
        <w:noBreakHyphen/>
      </w:r>
      <w:r w:rsidRPr="003102E2">
        <w:t>18, they do not include variations relating to orders.</w:t>
      </w:r>
    </w:p>
    <w:p w14:paraId="5EA125CA" w14:textId="7C3E71E9" w:rsidR="00A84283" w:rsidRPr="00CB0AC0" w:rsidRDefault="00A84283" w:rsidP="00406C1F">
      <w:pPr>
        <w:pStyle w:val="ChartorTableNote"/>
        <w:rPr>
          <w:color w:val="auto"/>
          <w:sz w:val="18"/>
          <w:szCs w:val="18"/>
        </w:rPr>
      </w:pPr>
      <w:r w:rsidRPr="003102E2">
        <w:t xml:space="preserve">Excluding the outcome </w:t>
      </w:r>
      <w:r w:rsidR="00CB0AC0" w:rsidRPr="003102E2">
        <w:t>of ‘</w:t>
      </w:r>
      <w:r w:rsidRPr="003102E2">
        <w:t>not a variation’, to be counted as a variation considered, any required foreign investment application fee must have been paid or waived.</w:t>
      </w:r>
    </w:p>
    <w:p w14:paraId="6733AF3D" w14:textId="77777777" w:rsidR="00A84283" w:rsidRPr="00CB0AC0" w:rsidRDefault="00A84283">
      <w:pPr>
        <w:pStyle w:val="ChartorTableNote"/>
        <w:rPr>
          <w:color w:val="auto"/>
          <w:sz w:val="18"/>
          <w:szCs w:val="18"/>
        </w:rPr>
      </w:pPr>
      <w:r w:rsidRPr="003102E2">
        <w:t>Variations are not attributed a value as applicable values have been attributed to the exemption certificate or no objection notification that is subject to the variation.</w:t>
      </w:r>
    </w:p>
    <w:p w14:paraId="44D6B6D7" w14:textId="77777777" w:rsidR="00A84283" w:rsidRPr="00CB0AC0" w:rsidRDefault="00A84283">
      <w:pPr>
        <w:pStyle w:val="ChartorTableNote"/>
        <w:rPr>
          <w:color w:val="auto"/>
          <w:sz w:val="18"/>
          <w:szCs w:val="18"/>
        </w:rPr>
      </w:pPr>
      <w:r w:rsidRPr="003102E2">
        <w:t xml:space="preserve">Variations are reported in the financial year in which the variation is considered irrespective of when the original approval was given. </w:t>
      </w:r>
    </w:p>
    <w:p w14:paraId="7C311D5C" w14:textId="77777777" w:rsidR="00A84283" w:rsidRPr="00CB0AC0" w:rsidRDefault="00A84283">
      <w:pPr>
        <w:pStyle w:val="ChartorTableNote"/>
        <w:rPr>
          <w:color w:val="auto"/>
          <w:sz w:val="18"/>
          <w:szCs w:val="18"/>
        </w:rPr>
      </w:pPr>
      <w:r w:rsidRPr="003102E2">
        <w:t xml:space="preserve">Over time multiple variations could be made to a single approval. </w:t>
      </w:r>
    </w:p>
    <w:p w14:paraId="034048AA" w14:textId="78D92AC3" w:rsidR="00A84283" w:rsidRPr="00CB0AC0" w:rsidRDefault="00A84283">
      <w:pPr>
        <w:pStyle w:val="ChartorTableNote"/>
        <w:rPr>
          <w:color w:val="auto"/>
          <w:sz w:val="18"/>
          <w:szCs w:val="18"/>
        </w:rPr>
      </w:pPr>
      <w:r w:rsidRPr="003102E2">
        <w:t>Changes of conditions resulting from residential real estate investigat</w:t>
      </w:r>
      <w:r w:rsidR="007F6719">
        <w:t>ions are also included in Table </w:t>
      </w:r>
      <w:r w:rsidRPr="003102E2">
        <w:t>4.2, Chapter</w:t>
      </w:r>
      <w:r w:rsidR="007F6719">
        <w:t> </w:t>
      </w:r>
      <w:r w:rsidR="00D251F9">
        <w:t>4</w:t>
      </w:r>
      <w:r w:rsidR="007F6719">
        <w:t>: Compliance.</w:t>
      </w:r>
    </w:p>
    <w:p w14:paraId="13EACF1C" w14:textId="77777777" w:rsidR="007C4301" w:rsidRDefault="007C4301" w:rsidP="002E2EFE">
      <w:pPr>
        <w:rPr>
          <w:sz w:val="24"/>
        </w:rPr>
      </w:pPr>
      <w:r>
        <w:br w:type="page"/>
      </w:r>
    </w:p>
    <w:p w14:paraId="7D0E8301" w14:textId="64F1CB19" w:rsidR="00F969F9" w:rsidRPr="00A23FDD" w:rsidRDefault="00F969F9" w:rsidP="00666DBB">
      <w:pPr>
        <w:pStyle w:val="Heading2"/>
      </w:pPr>
      <w:bookmarkStart w:id="144" w:name="_Toc32247804"/>
      <w:bookmarkStart w:id="145" w:name="_Toc33625853"/>
      <w:bookmarkStart w:id="146" w:name="_Toc31296908"/>
      <w:bookmarkStart w:id="147" w:name="_Toc31636026"/>
      <w:bookmarkStart w:id="148" w:name="_Toc31642795"/>
      <w:r w:rsidRPr="00A23FDD">
        <w:lastRenderedPageBreak/>
        <w:t xml:space="preserve">Vacancy </w:t>
      </w:r>
      <w:r w:rsidR="00DF682E">
        <w:t>f</w:t>
      </w:r>
      <w:r w:rsidRPr="00A23FDD">
        <w:t>ee</w:t>
      </w:r>
      <w:r>
        <w:t>s</w:t>
      </w:r>
      <w:bookmarkEnd w:id="144"/>
      <w:bookmarkEnd w:id="145"/>
    </w:p>
    <w:p w14:paraId="0273067E" w14:textId="77777777" w:rsidR="00DB5E46" w:rsidRDefault="00F969F9" w:rsidP="00F969F9">
      <w:r>
        <w:t xml:space="preserve">In </w:t>
      </w:r>
      <w:r w:rsidRPr="00284B15">
        <w:t>the 2017</w:t>
      </w:r>
      <w:r w:rsidRPr="00284B15">
        <w:noBreakHyphen/>
        <w:t>18 Budget,</w:t>
      </w:r>
      <w:r w:rsidR="00DB5E46">
        <w:t xml:space="preserve"> </w:t>
      </w:r>
      <w:r w:rsidRPr="00284B15">
        <w:t>the Government introduced a vacancy fee for houses left vacant by foreign investors for more than six months</w:t>
      </w:r>
      <w:r>
        <w:t xml:space="preserve"> in a 12 month period</w:t>
      </w:r>
      <w:r w:rsidRPr="00284B15">
        <w:t>.</w:t>
      </w:r>
      <w:r w:rsidR="00DB5E46">
        <w:t xml:space="preserve"> The fee was intended to encourage foreign investors to make their properties available for rent where they are not occupied as a residence and so increase the number of properties available for Australians to live in.</w:t>
      </w:r>
      <w:r w:rsidRPr="00284B15">
        <w:t xml:space="preserve"> </w:t>
      </w:r>
    </w:p>
    <w:p w14:paraId="05927048" w14:textId="41AE0605" w:rsidR="00F969F9" w:rsidRDefault="00F969F9" w:rsidP="00F969F9">
      <w:r w:rsidRPr="00284B15">
        <w:t xml:space="preserve">Foreign </w:t>
      </w:r>
      <w:r w:rsidR="00726727">
        <w:t>investors</w:t>
      </w:r>
      <w:r w:rsidRPr="00284B15">
        <w:t xml:space="preserve"> who </w:t>
      </w:r>
      <w:r>
        <w:t xml:space="preserve">applied for investment approval or </w:t>
      </w:r>
      <w:r w:rsidR="008931D2">
        <w:t xml:space="preserve">propose to purchase </w:t>
      </w:r>
      <w:r>
        <w:t xml:space="preserve">in a development </w:t>
      </w:r>
      <w:r w:rsidR="00BA0E15">
        <w:t xml:space="preserve">using </w:t>
      </w:r>
      <w:r>
        <w:t xml:space="preserve">a New Dwelling Exemption Certificate </w:t>
      </w:r>
      <w:r w:rsidRPr="00284B15">
        <w:t>after 9</w:t>
      </w:r>
      <w:r w:rsidR="003B4BAF">
        <w:t> May </w:t>
      </w:r>
      <w:r w:rsidRPr="00284B15">
        <w:t xml:space="preserve">2017 are required to lodge </w:t>
      </w:r>
      <w:r>
        <w:t xml:space="preserve">an annual </w:t>
      </w:r>
      <w:r w:rsidR="005A7596">
        <w:t>v</w:t>
      </w:r>
      <w:r>
        <w:t xml:space="preserve">acancy </w:t>
      </w:r>
      <w:r w:rsidR="005A7596">
        <w:t>f</w:t>
      </w:r>
      <w:r>
        <w:t xml:space="preserve">ee return </w:t>
      </w:r>
      <w:r w:rsidRPr="00DD398C">
        <w:t>at the end of each 12</w:t>
      </w:r>
      <w:r w:rsidR="003B4BAF">
        <w:t> </w:t>
      </w:r>
      <w:r w:rsidRPr="00DD398C">
        <w:t>month period of ownership (ref</w:t>
      </w:r>
      <w:r>
        <w:t>erred to as the vacancy year).</w:t>
      </w:r>
      <w:r w:rsidR="00DB5E46">
        <w:t xml:space="preserve"> </w:t>
      </w:r>
      <w:r w:rsidRPr="00DD398C">
        <w:t>Foreign owners of dwellings that are not</w:t>
      </w:r>
      <w:r w:rsidR="00BA0E15">
        <w:t xml:space="preserve"> residentially occupied</w:t>
      </w:r>
      <w:r w:rsidRPr="00DD398C">
        <w:t xml:space="preserve"> or made available on the rental market for more than 183</w:t>
      </w:r>
      <w:r>
        <w:t> </w:t>
      </w:r>
      <w:r w:rsidRPr="00DD398C">
        <w:t>days each year may b</w:t>
      </w:r>
      <w:r>
        <w:t>e liable to pay a vacancy fee.</w:t>
      </w:r>
    </w:p>
    <w:p w14:paraId="5DEA387F" w14:textId="6EADA389" w:rsidR="00F969F9" w:rsidRDefault="00F969F9" w:rsidP="00F969F9">
      <w:r w:rsidRPr="00DD398C">
        <w:t xml:space="preserve">If a foreign owner does not lodge a </w:t>
      </w:r>
      <w:r w:rsidR="005A7596">
        <w:t>v</w:t>
      </w:r>
      <w:r w:rsidRPr="00DD398C">
        <w:t xml:space="preserve">acancy fee return by the due date, the property may be deemed to be vacant and a vacancy </w:t>
      </w:r>
      <w:r w:rsidR="005A7596">
        <w:t>f</w:t>
      </w:r>
      <w:r w:rsidRPr="00DD398C">
        <w:t>ee liability may be raised regardless of the number of days the dwelling was residentially occupied during the vacancy year.</w:t>
      </w:r>
    </w:p>
    <w:p w14:paraId="4D3FE532" w14:textId="7DD3A0FC" w:rsidR="00F969F9" w:rsidRPr="00302374" w:rsidRDefault="00DF62D4" w:rsidP="00F969F9">
      <w:pPr>
        <w:rPr>
          <w:iCs/>
        </w:rPr>
      </w:pPr>
      <w:r>
        <w:rPr>
          <w:iCs/>
        </w:rPr>
        <w:t xml:space="preserve">In 2018-19, </w:t>
      </w:r>
      <w:r w:rsidR="00F969F9" w:rsidRPr="00302374">
        <w:rPr>
          <w:iCs/>
        </w:rPr>
        <w:t xml:space="preserve">2,218 </w:t>
      </w:r>
      <w:r w:rsidR="00DF682E">
        <w:rPr>
          <w:iCs/>
        </w:rPr>
        <w:t>v</w:t>
      </w:r>
      <w:r w:rsidR="00F969F9" w:rsidRPr="00302374">
        <w:rPr>
          <w:iCs/>
        </w:rPr>
        <w:t xml:space="preserve">acancy </w:t>
      </w:r>
      <w:r w:rsidR="00DF682E">
        <w:rPr>
          <w:iCs/>
        </w:rPr>
        <w:t>f</w:t>
      </w:r>
      <w:r w:rsidR="00F969F9" w:rsidRPr="00302374">
        <w:rPr>
          <w:iCs/>
        </w:rPr>
        <w:t xml:space="preserve">ee returns </w:t>
      </w:r>
      <w:r w:rsidR="00726727">
        <w:rPr>
          <w:iCs/>
        </w:rPr>
        <w:t xml:space="preserve">were </w:t>
      </w:r>
      <w:r w:rsidR="00F969F9" w:rsidRPr="00302374">
        <w:rPr>
          <w:iCs/>
        </w:rPr>
        <w:t>received</w:t>
      </w:r>
      <w:r>
        <w:rPr>
          <w:iCs/>
        </w:rPr>
        <w:t xml:space="preserve"> and a </w:t>
      </w:r>
      <w:r w:rsidR="00C1260E">
        <w:rPr>
          <w:iCs/>
        </w:rPr>
        <w:t xml:space="preserve">further 44 </w:t>
      </w:r>
      <w:r w:rsidR="00726727">
        <w:rPr>
          <w:iCs/>
        </w:rPr>
        <w:t>foreign owners</w:t>
      </w:r>
      <w:r w:rsidR="00C1260E">
        <w:rPr>
          <w:iCs/>
        </w:rPr>
        <w:t xml:space="preserve"> who failed to lodge a return</w:t>
      </w:r>
      <w:r w:rsidR="00DB5E46">
        <w:rPr>
          <w:iCs/>
        </w:rPr>
        <w:t xml:space="preserve"> </w:t>
      </w:r>
      <w:r w:rsidR="00726727">
        <w:rPr>
          <w:iCs/>
        </w:rPr>
        <w:t xml:space="preserve">were </w:t>
      </w:r>
      <w:r w:rsidR="00F969F9" w:rsidRPr="00302374">
        <w:rPr>
          <w:iCs/>
        </w:rPr>
        <w:t xml:space="preserve">required to </w:t>
      </w:r>
      <w:r w:rsidR="00C1260E">
        <w:rPr>
          <w:iCs/>
        </w:rPr>
        <w:t>pay a vacancy fee</w:t>
      </w:r>
      <w:r w:rsidR="003B4BAF">
        <w:rPr>
          <w:iCs/>
        </w:rPr>
        <w:t xml:space="preserve">. </w:t>
      </w:r>
      <w:r w:rsidR="00F969F9" w:rsidRPr="00302374">
        <w:rPr>
          <w:iCs/>
        </w:rPr>
        <w:t xml:space="preserve">The returns indicate a </w:t>
      </w:r>
      <w:r w:rsidR="003B4BAF">
        <w:rPr>
          <w:iCs/>
        </w:rPr>
        <w:t xml:space="preserve">low </w:t>
      </w:r>
      <w:r w:rsidR="00F969F9" w:rsidRPr="00302374">
        <w:rPr>
          <w:iCs/>
        </w:rPr>
        <w:t>vacancy rate of approximately 5.3</w:t>
      </w:r>
      <w:r w:rsidR="003B4BAF">
        <w:rPr>
          <w:iCs/>
        </w:rPr>
        <w:t> per cent am</w:t>
      </w:r>
      <w:r w:rsidR="00F969F9" w:rsidRPr="00302374">
        <w:rPr>
          <w:iCs/>
        </w:rPr>
        <w:t xml:space="preserve">ong properties subject to the </w:t>
      </w:r>
      <w:r w:rsidR="001B3CF4">
        <w:rPr>
          <w:iCs/>
        </w:rPr>
        <w:t>v</w:t>
      </w:r>
      <w:r w:rsidR="00F969F9" w:rsidRPr="00302374">
        <w:rPr>
          <w:iCs/>
        </w:rPr>
        <w:t xml:space="preserve">acancy </w:t>
      </w:r>
      <w:r w:rsidR="001B3CF4">
        <w:rPr>
          <w:iCs/>
        </w:rPr>
        <w:t>f</w:t>
      </w:r>
      <w:r w:rsidR="00F969F9" w:rsidRPr="00302374">
        <w:rPr>
          <w:iCs/>
        </w:rPr>
        <w:t xml:space="preserve">ee measure. </w:t>
      </w:r>
    </w:p>
    <w:p w14:paraId="26606A28" w14:textId="45616B08" w:rsidR="00F969F9" w:rsidRPr="00B1276E" w:rsidRDefault="00F969F9" w:rsidP="00666DBB">
      <w:pPr>
        <w:pStyle w:val="TableMainHeading"/>
        <w:rPr>
          <w:rStyle w:val="StyleBold"/>
        </w:rPr>
      </w:pPr>
      <w:bookmarkStart w:id="149" w:name="_Toc32247778"/>
      <w:bookmarkStart w:id="150" w:name="_Toc33521363"/>
      <w:r w:rsidRPr="008138D5">
        <w:rPr>
          <w:rStyle w:val="StyleBold"/>
          <w:b/>
        </w:rPr>
        <w:t xml:space="preserve">Table </w:t>
      </w:r>
      <w:r w:rsidR="00DB5E46" w:rsidRPr="008138D5">
        <w:rPr>
          <w:rStyle w:val="StyleBold"/>
          <w:b/>
        </w:rPr>
        <w:t>3.17</w:t>
      </w:r>
      <w:r w:rsidR="000112A5">
        <w:rPr>
          <w:rStyle w:val="StyleBold"/>
          <w:b/>
        </w:rPr>
        <w:t xml:space="preserve">: </w:t>
      </w:r>
      <w:r w:rsidRPr="008138D5">
        <w:rPr>
          <w:rStyle w:val="StyleBold"/>
          <w:b/>
        </w:rPr>
        <w:t xml:space="preserve">Vacancy fee statistics – 1 July 2018 to </w:t>
      </w:r>
      <w:r w:rsidRPr="00422444">
        <w:rPr>
          <w:rStyle w:val="StyleBold"/>
          <w:b/>
        </w:rPr>
        <w:t>30 June</w:t>
      </w:r>
      <w:r w:rsidRPr="00B1276E">
        <w:rPr>
          <w:rStyle w:val="StyleBold"/>
          <w:b/>
        </w:rPr>
        <w:t xml:space="preserve"> 2019</w:t>
      </w:r>
      <w:bookmarkEnd w:id="149"/>
      <w:bookmarkEnd w:id="150"/>
    </w:p>
    <w:tbl>
      <w:tblPr>
        <w:tblStyle w:val="Tablewithbord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17: Vacancy fee statistics – 1 July 2018 to 30 June 2019"/>
        <w:tblDescription w:val="A table showing the number of properties potentially subject to the vacancy fee. Of the 2,262 properties suject ot the vacancy fee requirements, 2,037 perperties were occupied for 183 days or more in 2018-19, 118 were occupies ofr less that 183 days, 63 were exempt from the provisions and 44 did not report, but were deemed to be subject to the vacancy fee provisions and required to pay the fee."/>
      </w:tblPr>
      <w:tblGrid>
        <w:gridCol w:w="4584"/>
        <w:gridCol w:w="3126"/>
      </w:tblGrid>
      <w:tr w:rsidR="00F969F9" w:rsidRPr="003B4BAF" w14:paraId="62066363" w14:textId="77777777" w:rsidTr="00952E9A">
        <w:trPr>
          <w:trHeight w:val="301"/>
          <w:tblHeader/>
        </w:trPr>
        <w:tc>
          <w:tcPr>
            <w:tcW w:w="2973" w:type="pct"/>
            <w:tcBorders>
              <w:top w:val="single" w:sz="2" w:space="0" w:color="000000" w:themeColor="text1"/>
            </w:tcBorders>
            <w:vAlign w:val="center"/>
          </w:tcPr>
          <w:p w14:paraId="5BD53FB2" w14:textId="7D28D60F" w:rsidR="00F969F9" w:rsidRPr="00666DBB" w:rsidRDefault="00F969F9" w:rsidP="00666DBB">
            <w:pPr>
              <w:spacing w:after="0" w:line="240" w:lineRule="auto"/>
              <w:jc w:val="left"/>
              <w:rPr>
                <w:rFonts w:cs="Arial"/>
                <w:sz w:val="16"/>
                <w:szCs w:val="16"/>
                <w:lang w:eastAsia="en-AU"/>
              </w:rPr>
            </w:pPr>
          </w:p>
        </w:tc>
        <w:tc>
          <w:tcPr>
            <w:tcW w:w="2027" w:type="pct"/>
            <w:tcBorders>
              <w:top w:val="single" w:sz="2" w:space="0" w:color="000000" w:themeColor="text1"/>
              <w:bottom w:val="single" w:sz="2" w:space="0" w:color="000000" w:themeColor="text1"/>
            </w:tcBorders>
            <w:vAlign w:val="center"/>
          </w:tcPr>
          <w:p w14:paraId="1EF96E3A" w14:textId="66948946" w:rsidR="00F969F9" w:rsidRPr="00666DBB" w:rsidRDefault="003B4BAF" w:rsidP="00666DBB">
            <w:pPr>
              <w:spacing w:after="0" w:line="240" w:lineRule="auto"/>
              <w:jc w:val="right"/>
              <w:rPr>
                <w:rFonts w:cs="Arial"/>
                <w:sz w:val="16"/>
                <w:szCs w:val="16"/>
                <w:lang w:eastAsia="en-AU"/>
              </w:rPr>
            </w:pPr>
            <w:r w:rsidRPr="00666DBB">
              <w:rPr>
                <w:rFonts w:ascii="Arial" w:hAnsi="Arial" w:cs="Arial"/>
                <w:color w:val="auto"/>
                <w:sz w:val="16"/>
                <w:szCs w:val="16"/>
              </w:rPr>
              <w:t>2018-19</w:t>
            </w:r>
          </w:p>
        </w:tc>
      </w:tr>
      <w:tr w:rsidR="00F969F9" w:rsidRPr="003B4BAF" w14:paraId="6D9B5842" w14:textId="77777777" w:rsidTr="00952E9A">
        <w:trPr>
          <w:trHeight w:val="301"/>
        </w:trPr>
        <w:tc>
          <w:tcPr>
            <w:tcW w:w="2973" w:type="pct"/>
            <w:vAlign w:val="center"/>
          </w:tcPr>
          <w:p w14:paraId="2A1FAF46" w14:textId="77777777" w:rsidR="00F969F9" w:rsidRPr="00666DBB" w:rsidRDefault="00F969F9" w:rsidP="00666DBB">
            <w:pPr>
              <w:spacing w:after="0" w:line="240" w:lineRule="auto"/>
              <w:jc w:val="left"/>
              <w:rPr>
                <w:rFonts w:ascii="Arial" w:hAnsi="Arial" w:cs="Arial"/>
                <w:color w:val="auto"/>
                <w:sz w:val="16"/>
                <w:szCs w:val="16"/>
              </w:rPr>
            </w:pPr>
            <w:r w:rsidRPr="00666DBB">
              <w:rPr>
                <w:rFonts w:ascii="Arial" w:hAnsi="Arial" w:cs="Arial"/>
                <w:color w:val="auto"/>
                <w:sz w:val="16"/>
                <w:szCs w:val="16"/>
              </w:rPr>
              <w:t>Occupied 183 days or more</w:t>
            </w:r>
          </w:p>
        </w:tc>
        <w:tc>
          <w:tcPr>
            <w:tcW w:w="2027" w:type="pct"/>
            <w:tcBorders>
              <w:top w:val="single" w:sz="2" w:space="0" w:color="000000" w:themeColor="text1"/>
            </w:tcBorders>
            <w:vAlign w:val="center"/>
          </w:tcPr>
          <w:p w14:paraId="1C93CFE5" w14:textId="77777777" w:rsidR="00F969F9" w:rsidRPr="00666DBB" w:rsidRDefault="00F969F9" w:rsidP="00666DBB">
            <w:pPr>
              <w:spacing w:after="0" w:line="240" w:lineRule="auto"/>
              <w:jc w:val="right"/>
              <w:rPr>
                <w:rFonts w:ascii="Arial" w:hAnsi="Arial" w:cs="Arial"/>
                <w:color w:val="auto"/>
                <w:sz w:val="16"/>
                <w:szCs w:val="16"/>
              </w:rPr>
            </w:pPr>
            <w:r w:rsidRPr="00666DBB">
              <w:rPr>
                <w:rFonts w:ascii="Arial" w:hAnsi="Arial" w:cs="Arial"/>
                <w:color w:val="auto"/>
                <w:sz w:val="16"/>
                <w:szCs w:val="16"/>
              </w:rPr>
              <w:t>2,037</w:t>
            </w:r>
          </w:p>
        </w:tc>
      </w:tr>
      <w:tr w:rsidR="00F969F9" w:rsidRPr="003B4BAF" w14:paraId="3E531217" w14:textId="77777777" w:rsidTr="00952E9A">
        <w:trPr>
          <w:trHeight w:val="301"/>
        </w:trPr>
        <w:tc>
          <w:tcPr>
            <w:tcW w:w="2973" w:type="pct"/>
            <w:vAlign w:val="center"/>
          </w:tcPr>
          <w:p w14:paraId="7B95D488" w14:textId="77777777" w:rsidR="00F969F9" w:rsidRPr="00666DBB" w:rsidRDefault="00F969F9" w:rsidP="00666DBB">
            <w:pPr>
              <w:spacing w:after="0" w:line="240" w:lineRule="auto"/>
              <w:jc w:val="left"/>
              <w:rPr>
                <w:rFonts w:ascii="Arial" w:hAnsi="Arial" w:cs="Arial"/>
                <w:color w:val="auto"/>
                <w:sz w:val="16"/>
                <w:szCs w:val="16"/>
              </w:rPr>
            </w:pPr>
            <w:r w:rsidRPr="00666DBB">
              <w:rPr>
                <w:rFonts w:ascii="Arial" w:hAnsi="Arial" w:cs="Arial"/>
                <w:color w:val="auto"/>
                <w:sz w:val="16"/>
                <w:szCs w:val="16"/>
              </w:rPr>
              <w:t>Occupied fewer than 183 days</w:t>
            </w:r>
          </w:p>
        </w:tc>
        <w:tc>
          <w:tcPr>
            <w:tcW w:w="2027" w:type="pct"/>
            <w:vAlign w:val="center"/>
          </w:tcPr>
          <w:p w14:paraId="3E076FA6" w14:textId="77777777" w:rsidR="00F969F9" w:rsidRPr="00666DBB" w:rsidRDefault="00F969F9" w:rsidP="00666DBB">
            <w:pPr>
              <w:spacing w:after="0" w:line="240" w:lineRule="auto"/>
              <w:jc w:val="right"/>
              <w:rPr>
                <w:rFonts w:ascii="Arial" w:hAnsi="Arial" w:cs="Arial"/>
                <w:color w:val="auto"/>
                <w:sz w:val="16"/>
                <w:szCs w:val="16"/>
              </w:rPr>
            </w:pPr>
            <w:r w:rsidRPr="00666DBB">
              <w:rPr>
                <w:rFonts w:ascii="Arial" w:hAnsi="Arial" w:cs="Arial"/>
                <w:color w:val="auto"/>
                <w:sz w:val="16"/>
                <w:szCs w:val="16"/>
              </w:rPr>
              <w:t>118</w:t>
            </w:r>
          </w:p>
        </w:tc>
      </w:tr>
      <w:tr w:rsidR="00F969F9" w:rsidRPr="003B4BAF" w14:paraId="5B3D12B4" w14:textId="77777777" w:rsidTr="00952E9A">
        <w:trPr>
          <w:trHeight w:val="301"/>
        </w:trPr>
        <w:tc>
          <w:tcPr>
            <w:tcW w:w="2973" w:type="pct"/>
            <w:tcBorders>
              <w:bottom w:val="single" w:sz="2" w:space="0" w:color="000000" w:themeColor="text1"/>
            </w:tcBorders>
            <w:vAlign w:val="center"/>
          </w:tcPr>
          <w:p w14:paraId="13E9CD95" w14:textId="77777777" w:rsidR="00F969F9" w:rsidRPr="00666DBB" w:rsidRDefault="00F969F9" w:rsidP="00666DBB">
            <w:pPr>
              <w:spacing w:after="0" w:line="240" w:lineRule="auto"/>
              <w:jc w:val="left"/>
              <w:rPr>
                <w:rFonts w:ascii="Arial" w:hAnsi="Arial" w:cs="Arial"/>
                <w:color w:val="auto"/>
                <w:sz w:val="16"/>
                <w:szCs w:val="16"/>
              </w:rPr>
            </w:pPr>
            <w:r w:rsidRPr="00666DBB">
              <w:rPr>
                <w:rFonts w:ascii="Arial" w:hAnsi="Arial" w:cs="Arial"/>
                <w:color w:val="auto"/>
                <w:sz w:val="16"/>
                <w:szCs w:val="16"/>
              </w:rPr>
              <w:t>Dwelling exempt</w:t>
            </w:r>
          </w:p>
        </w:tc>
        <w:tc>
          <w:tcPr>
            <w:tcW w:w="2027" w:type="pct"/>
            <w:tcBorders>
              <w:bottom w:val="single" w:sz="2" w:space="0" w:color="000000" w:themeColor="text1"/>
            </w:tcBorders>
            <w:vAlign w:val="center"/>
          </w:tcPr>
          <w:p w14:paraId="0B807CB6" w14:textId="77777777" w:rsidR="00F969F9" w:rsidRPr="00666DBB" w:rsidRDefault="00F969F9" w:rsidP="00666DBB">
            <w:pPr>
              <w:spacing w:after="0" w:line="240" w:lineRule="auto"/>
              <w:jc w:val="right"/>
              <w:rPr>
                <w:rFonts w:ascii="Arial" w:hAnsi="Arial" w:cs="Arial"/>
                <w:color w:val="auto"/>
                <w:sz w:val="16"/>
                <w:szCs w:val="16"/>
              </w:rPr>
            </w:pPr>
            <w:r w:rsidRPr="00666DBB">
              <w:rPr>
                <w:rFonts w:ascii="Arial" w:hAnsi="Arial" w:cs="Arial"/>
                <w:color w:val="auto"/>
                <w:sz w:val="16"/>
                <w:szCs w:val="16"/>
              </w:rPr>
              <w:t>63</w:t>
            </w:r>
          </w:p>
        </w:tc>
      </w:tr>
      <w:tr w:rsidR="00F969F9" w:rsidRPr="003B4BAF" w14:paraId="482FEB0E" w14:textId="77777777" w:rsidTr="00952E9A">
        <w:trPr>
          <w:trHeight w:val="301"/>
        </w:trPr>
        <w:tc>
          <w:tcPr>
            <w:tcW w:w="2973" w:type="pct"/>
            <w:tcBorders>
              <w:top w:val="single" w:sz="2" w:space="0" w:color="000000" w:themeColor="text1"/>
            </w:tcBorders>
          </w:tcPr>
          <w:p w14:paraId="51037342" w14:textId="77777777" w:rsidR="00F969F9" w:rsidRPr="00666DBB" w:rsidRDefault="00F969F9" w:rsidP="00666DBB">
            <w:pPr>
              <w:spacing w:after="0" w:line="240" w:lineRule="auto"/>
              <w:jc w:val="left"/>
              <w:rPr>
                <w:rFonts w:ascii="Arial" w:hAnsi="Arial" w:cs="Arial"/>
                <w:color w:val="auto"/>
                <w:sz w:val="16"/>
                <w:szCs w:val="16"/>
              </w:rPr>
            </w:pPr>
            <w:r w:rsidRPr="00666DBB">
              <w:rPr>
                <w:rFonts w:ascii="Arial" w:hAnsi="Arial" w:cs="Arial"/>
                <w:color w:val="auto"/>
                <w:sz w:val="16"/>
                <w:szCs w:val="16"/>
              </w:rPr>
              <w:t>Subtotal declarations</w:t>
            </w:r>
          </w:p>
        </w:tc>
        <w:tc>
          <w:tcPr>
            <w:tcW w:w="2027" w:type="pct"/>
            <w:tcBorders>
              <w:top w:val="single" w:sz="2" w:space="0" w:color="000000" w:themeColor="text1"/>
            </w:tcBorders>
            <w:vAlign w:val="center"/>
          </w:tcPr>
          <w:p w14:paraId="0C698C16" w14:textId="77777777" w:rsidR="00F969F9" w:rsidRPr="00666DBB" w:rsidRDefault="00F969F9" w:rsidP="00666DBB">
            <w:pPr>
              <w:spacing w:after="0" w:line="240" w:lineRule="auto"/>
              <w:jc w:val="right"/>
              <w:rPr>
                <w:rFonts w:ascii="Arial" w:hAnsi="Arial" w:cs="Arial"/>
                <w:color w:val="auto"/>
                <w:sz w:val="16"/>
                <w:szCs w:val="16"/>
              </w:rPr>
            </w:pPr>
            <w:r w:rsidRPr="00666DBB">
              <w:rPr>
                <w:rFonts w:ascii="Arial" w:hAnsi="Arial" w:cs="Arial"/>
                <w:color w:val="auto"/>
                <w:sz w:val="16"/>
                <w:szCs w:val="16"/>
              </w:rPr>
              <w:t>2,218</w:t>
            </w:r>
          </w:p>
        </w:tc>
      </w:tr>
      <w:tr w:rsidR="00F969F9" w:rsidRPr="003B4BAF" w14:paraId="547B6F31" w14:textId="77777777" w:rsidTr="00952E9A">
        <w:trPr>
          <w:trHeight w:val="301"/>
        </w:trPr>
        <w:tc>
          <w:tcPr>
            <w:tcW w:w="2973" w:type="pct"/>
            <w:tcBorders>
              <w:bottom w:val="single" w:sz="2" w:space="0" w:color="000000" w:themeColor="text1"/>
            </w:tcBorders>
            <w:vAlign w:val="center"/>
          </w:tcPr>
          <w:p w14:paraId="7159415D" w14:textId="77777777" w:rsidR="00F969F9" w:rsidRPr="00666DBB" w:rsidRDefault="00F969F9" w:rsidP="00666DBB">
            <w:pPr>
              <w:spacing w:after="0" w:line="240" w:lineRule="auto"/>
              <w:jc w:val="left"/>
              <w:rPr>
                <w:rFonts w:ascii="Arial" w:hAnsi="Arial" w:cs="Arial"/>
                <w:color w:val="auto"/>
                <w:sz w:val="16"/>
                <w:szCs w:val="16"/>
              </w:rPr>
            </w:pPr>
            <w:r w:rsidRPr="00666DBB">
              <w:rPr>
                <w:rFonts w:ascii="Arial" w:hAnsi="Arial" w:cs="Arial"/>
                <w:color w:val="auto"/>
                <w:sz w:val="16"/>
                <w:szCs w:val="16"/>
              </w:rPr>
              <w:t>Deemed unoccupied</w:t>
            </w:r>
          </w:p>
        </w:tc>
        <w:tc>
          <w:tcPr>
            <w:tcW w:w="2027" w:type="pct"/>
            <w:tcBorders>
              <w:bottom w:val="single" w:sz="2" w:space="0" w:color="000000" w:themeColor="text1"/>
            </w:tcBorders>
            <w:vAlign w:val="center"/>
          </w:tcPr>
          <w:p w14:paraId="082D7F5B" w14:textId="77777777" w:rsidR="00F969F9" w:rsidRPr="00666DBB" w:rsidRDefault="00F969F9" w:rsidP="00666DBB">
            <w:pPr>
              <w:spacing w:after="0" w:line="240" w:lineRule="auto"/>
              <w:jc w:val="right"/>
              <w:rPr>
                <w:rFonts w:ascii="Arial" w:hAnsi="Arial" w:cs="Arial"/>
                <w:color w:val="auto"/>
                <w:sz w:val="16"/>
                <w:szCs w:val="16"/>
              </w:rPr>
            </w:pPr>
            <w:r w:rsidRPr="00666DBB">
              <w:rPr>
                <w:rFonts w:ascii="Arial" w:hAnsi="Arial" w:cs="Arial"/>
                <w:color w:val="auto"/>
                <w:sz w:val="16"/>
                <w:szCs w:val="16"/>
              </w:rPr>
              <w:t>44</w:t>
            </w:r>
          </w:p>
        </w:tc>
      </w:tr>
      <w:tr w:rsidR="00F969F9" w:rsidRPr="00494820" w14:paraId="4451674B" w14:textId="77777777" w:rsidTr="00952E9A">
        <w:trPr>
          <w:trHeight w:val="301"/>
        </w:trPr>
        <w:tc>
          <w:tcPr>
            <w:tcW w:w="2973" w:type="pct"/>
            <w:tcBorders>
              <w:top w:val="single" w:sz="2" w:space="0" w:color="000000" w:themeColor="text1"/>
              <w:bottom w:val="single" w:sz="2" w:space="0" w:color="000000" w:themeColor="text1"/>
            </w:tcBorders>
            <w:vAlign w:val="center"/>
          </w:tcPr>
          <w:p w14:paraId="1E65A04A" w14:textId="77777777" w:rsidR="00F969F9" w:rsidRPr="00DD15F0" w:rsidRDefault="00F969F9" w:rsidP="00666DBB">
            <w:pPr>
              <w:spacing w:after="0" w:line="240" w:lineRule="auto"/>
              <w:jc w:val="left"/>
              <w:rPr>
                <w:rFonts w:ascii="Arial" w:hAnsi="Arial" w:cs="Arial"/>
                <w:b/>
                <w:color w:val="auto"/>
                <w:sz w:val="16"/>
                <w:szCs w:val="16"/>
              </w:rPr>
            </w:pPr>
            <w:r w:rsidRPr="00DD15F0">
              <w:rPr>
                <w:rFonts w:ascii="Arial" w:hAnsi="Arial" w:cs="Arial"/>
                <w:b/>
                <w:color w:val="auto"/>
                <w:sz w:val="16"/>
                <w:szCs w:val="16"/>
              </w:rPr>
              <w:t>Total</w:t>
            </w:r>
          </w:p>
        </w:tc>
        <w:tc>
          <w:tcPr>
            <w:tcW w:w="2027" w:type="pct"/>
            <w:tcBorders>
              <w:top w:val="single" w:sz="2" w:space="0" w:color="000000" w:themeColor="text1"/>
              <w:bottom w:val="single" w:sz="2" w:space="0" w:color="000000" w:themeColor="text1"/>
            </w:tcBorders>
            <w:vAlign w:val="center"/>
          </w:tcPr>
          <w:p w14:paraId="3BC30988" w14:textId="77777777" w:rsidR="00F969F9" w:rsidRPr="00666DBB" w:rsidRDefault="00F969F9" w:rsidP="00666DBB">
            <w:pPr>
              <w:spacing w:after="0" w:line="240" w:lineRule="auto"/>
              <w:jc w:val="right"/>
              <w:rPr>
                <w:rFonts w:ascii="Arial" w:hAnsi="Arial" w:cs="Arial"/>
                <w:color w:val="auto"/>
                <w:sz w:val="16"/>
                <w:szCs w:val="16"/>
              </w:rPr>
            </w:pPr>
            <w:r w:rsidRPr="00666DBB">
              <w:rPr>
                <w:rFonts w:ascii="Arial" w:hAnsi="Arial" w:cs="Arial"/>
                <w:b/>
                <w:color w:val="auto"/>
                <w:sz w:val="16"/>
                <w:szCs w:val="16"/>
              </w:rPr>
              <w:t>2,262</w:t>
            </w:r>
          </w:p>
        </w:tc>
      </w:tr>
    </w:tbl>
    <w:p w14:paraId="01F48DA1" w14:textId="12CB6529" w:rsidR="00F969F9" w:rsidRDefault="00F969F9" w:rsidP="00497197">
      <w:pPr>
        <w:pStyle w:val="SingleParagraph"/>
      </w:pPr>
    </w:p>
    <w:p w14:paraId="54304725" w14:textId="7B1D9C3D" w:rsidR="00A84283" w:rsidRPr="00A84283" w:rsidRDefault="00A84283" w:rsidP="002C667B">
      <w:pPr>
        <w:pStyle w:val="Heading2"/>
        <w:rPr>
          <w:b w:val="0"/>
        </w:rPr>
      </w:pPr>
      <w:bookmarkStart w:id="151" w:name="_Toc32247805"/>
      <w:bookmarkStart w:id="152" w:name="_Toc33625854"/>
      <w:r w:rsidRPr="00A84283">
        <w:t>Foreign investment fee collections</w:t>
      </w:r>
      <w:bookmarkEnd w:id="146"/>
      <w:bookmarkEnd w:id="147"/>
      <w:bookmarkEnd w:id="148"/>
      <w:bookmarkEnd w:id="151"/>
      <w:bookmarkEnd w:id="152"/>
    </w:p>
    <w:p w14:paraId="65637305" w14:textId="5AE48275" w:rsidR="00D23232" w:rsidRPr="00D23232" w:rsidRDefault="00D23232" w:rsidP="002E2EFE">
      <w:r w:rsidRPr="00D23232">
        <w:t>The A</w:t>
      </w:r>
      <w:r>
        <w:t xml:space="preserve">TO administers the vacancy fee, and is also responsible for </w:t>
      </w:r>
      <w:r w:rsidRPr="00A84283">
        <w:t>collecting foreign investment application fees</w:t>
      </w:r>
      <w:r w:rsidR="001776D8">
        <w:t xml:space="preserve">. In 2019, the ATO </w:t>
      </w:r>
      <w:r w:rsidRPr="00A84283">
        <w:t>report</w:t>
      </w:r>
      <w:r w:rsidR="001776D8">
        <w:t>ed</w:t>
      </w:r>
      <w:r>
        <w:t xml:space="preserve"> in its Annual Report</w:t>
      </w:r>
      <w:r w:rsidR="001776D8">
        <w:t xml:space="preserve"> that $94 million in foreign investment fees were collected</w:t>
      </w:r>
      <w:r>
        <w:t xml:space="preserve">. </w:t>
      </w:r>
      <w:r w:rsidR="001776D8">
        <w:t>As detailed in Ta</w:t>
      </w:r>
      <w:r>
        <w:t>ble</w:t>
      </w:r>
      <w:r w:rsidR="007F6719">
        <w:t> </w:t>
      </w:r>
      <w:r>
        <w:t>3.1</w:t>
      </w:r>
      <w:r w:rsidR="00494820">
        <w:t>8</w:t>
      </w:r>
      <w:r w:rsidR="001776D8">
        <w:t>, this figure includes $92.2 million in application fees and $1.8 million in vacancy fees</w:t>
      </w:r>
      <w:r>
        <w:t xml:space="preserve">. </w:t>
      </w:r>
    </w:p>
    <w:p w14:paraId="5B2648C8" w14:textId="1A9B6A3C" w:rsidR="00A84283" w:rsidRPr="00A84283" w:rsidRDefault="00CB0AC0" w:rsidP="002E2EFE">
      <w:r>
        <w:t>In 20</w:t>
      </w:r>
      <w:r w:rsidR="00D23232">
        <w:t>18</w:t>
      </w:r>
      <w:r w:rsidR="00D23232">
        <w:noBreakHyphen/>
        <w:t>19</w:t>
      </w:r>
      <w:r w:rsidR="00A84283" w:rsidRPr="00A84283">
        <w:t>,</w:t>
      </w:r>
      <w:r w:rsidR="00DB7870">
        <w:t xml:space="preserve"> application</w:t>
      </w:r>
      <w:r w:rsidR="00A84283" w:rsidRPr="00A84283">
        <w:t xml:space="preserve"> fee collections were down on 201</w:t>
      </w:r>
      <w:r w:rsidR="00DB7870">
        <w:t>7</w:t>
      </w:r>
      <w:r w:rsidR="00DB7870">
        <w:noBreakHyphen/>
        <w:t>18</w:t>
      </w:r>
      <w:r w:rsidR="00A84283" w:rsidRPr="00A84283">
        <w:t xml:space="preserve"> reflecting a decline in applications considered and the introduction of a new fee structure, which came into effect on 1</w:t>
      </w:r>
      <w:r w:rsidR="007F6719">
        <w:t> July </w:t>
      </w:r>
      <w:r w:rsidR="00A84283" w:rsidRPr="00A84283">
        <w:t>2017.</w:t>
      </w:r>
    </w:p>
    <w:p w14:paraId="66C3188A" w14:textId="0ECD1DA2" w:rsidR="00A84283" w:rsidRPr="00406C1F" w:rsidRDefault="00A84283" w:rsidP="001B3CF4">
      <w:pPr>
        <w:pStyle w:val="TableMainHeading"/>
      </w:pPr>
      <w:bookmarkStart w:id="153" w:name="_Toc32247779"/>
      <w:bookmarkStart w:id="154" w:name="_Toc33521364"/>
      <w:r w:rsidRPr="00406C1F">
        <w:lastRenderedPageBreak/>
        <w:t>Table 3.1</w:t>
      </w:r>
      <w:r w:rsidR="00494820">
        <w:t>8</w:t>
      </w:r>
      <w:r w:rsidRPr="00406C1F">
        <w:t>: Foreign investment fee collections: 201</w:t>
      </w:r>
      <w:r w:rsidR="00AB51EE" w:rsidRPr="00406C1F">
        <w:t>6-17</w:t>
      </w:r>
      <w:r w:rsidRPr="00406C1F">
        <w:t xml:space="preserve"> to 201</w:t>
      </w:r>
      <w:r w:rsidR="00AB51EE" w:rsidRPr="00406C1F">
        <w:t>8-</w:t>
      </w:r>
      <w:r w:rsidRPr="00406C1F">
        <w:t>1</w:t>
      </w:r>
      <w:r w:rsidR="00AB51EE" w:rsidRPr="00406C1F">
        <w:t>9</w:t>
      </w:r>
      <w:bookmarkEnd w:id="153"/>
      <w:bookmarkEnd w:id="154"/>
    </w:p>
    <w:tbl>
      <w:tblPr>
        <w:tblW w:w="5000" w:type="pct"/>
        <w:tblLook w:val="04A0" w:firstRow="1" w:lastRow="0" w:firstColumn="1" w:lastColumn="0" w:noHBand="0" w:noVBand="1"/>
      </w:tblPr>
      <w:tblGrid>
        <w:gridCol w:w="1998"/>
        <w:gridCol w:w="1904"/>
        <w:gridCol w:w="1904"/>
        <w:gridCol w:w="1904"/>
      </w:tblGrid>
      <w:tr w:rsidR="005A0F36" w:rsidRPr="005A0F36" w14:paraId="365F0B29" w14:textId="77777777" w:rsidTr="00952E9A">
        <w:trPr>
          <w:trHeight w:val="300"/>
        </w:trPr>
        <w:tc>
          <w:tcPr>
            <w:tcW w:w="1295" w:type="pct"/>
            <w:tcBorders>
              <w:top w:val="single" w:sz="2" w:space="0" w:color="000000" w:themeColor="text1"/>
              <w:left w:val="nil"/>
              <w:bottom w:val="nil"/>
              <w:right w:val="nil"/>
            </w:tcBorders>
            <w:shd w:val="clear" w:color="000000" w:fill="FFFFFF"/>
            <w:noWrap/>
            <w:vAlign w:val="center"/>
            <w:hideMark/>
          </w:tcPr>
          <w:p w14:paraId="27531C95" w14:textId="1C6F34AB" w:rsidR="005A0F36" w:rsidRPr="005A0F36" w:rsidRDefault="005A0F36" w:rsidP="001B3CF4">
            <w:pPr>
              <w:keepNext/>
              <w:spacing w:after="0" w:line="240" w:lineRule="auto"/>
              <w:jc w:val="left"/>
              <w:rPr>
                <w:rFonts w:ascii="Calibri" w:hAnsi="Calibri" w:cs="Calibri"/>
                <w:sz w:val="22"/>
                <w:szCs w:val="22"/>
              </w:rPr>
            </w:pPr>
          </w:p>
        </w:tc>
        <w:tc>
          <w:tcPr>
            <w:tcW w:w="1235" w:type="pct"/>
            <w:tcBorders>
              <w:top w:val="single" w:sz="2" w:space="0" w:color="000000" w:themeColor="text1"/>
              <w:left w:val="nil"/>
              <w:right w:val="nil"/>
            </w:tcBorders>
            <w:shd w:val="clear" w:color="000000" w:fill="FFFFFF"/>
            <w:noWrap/>
            <w:vAlign w:val="center"/>
            <w:hideMark/>
          </w:tcPr>
          <w:p w14:paraId="3A7C4763"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2016-17</w:t>
            </w:r>
          </w:p>
        </w:tc>
        <w:tc>
          <w:tcPr>
            <w:tcW w:w="1235" w:type="pct"/>
            <w:tcBorders>
              <w:top w:val="single" w:sz="2" w:space="0" w:color="000000" w:themeColor="text1"/>
              <w:left w:val="nil"/>
              <w:right w:val="nil"/>
            </w:tcBorders>
            <w:shd w:val="clear" w:color="000000" w:fill="FFFFFF"/>
            <w:noWrap/>
            <w:vAlign w:val="center"/>
            <w:hideMark/>
          </w:tcPr>
          <w:p w14:paraId="4CCB70D7"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2017-18</w:t>
            </w:r>
          </w:p>
        </w:tc>
        <w:tc>
          <w:tcPr>
            <w:tcW w:w="1235" w:type="pct"/>
            <w:tcBorders>
              <w:top w:val="single" w:sz="2" w:space="0" w:color="000000" w:themeColor="text1"/>
              <w:left w:val="nil"/>
              <w:right w:val="nil"/>
            </w:tcBorders>
            <w:shd w:val="clear" w:color="000000" w:fill="F2F2F2"/>
            <w:noWrap/>
            <w:vAlign w:val="center"/>
            <w:hideMark/>
          </w:tcPr>
          <w:p w14:paraId="33B4B3B6"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2018-19</w:t>
            </w:r>
          </w:p>
        </w:tc>
      </w:tr>
      <w:tr w:rsidR="005A0F36" w:rsidRPr="005A0F36" w14:paraId="33EECF50" w14:textId="77777777" w:rsidTr="00952E9A">
        <w:trPr>
          <w:trHeight w:val="300"/>
        </w:trPr>
        <w:tc>
          <w:tcPr>
            <w:tcW w:w="1295" w:type="pct"/>
            <w:tcBorders>
              <w:top w:val="nil"/>
              <w:left w:val="nil"/>
              <w:bottom w:val="single" w:sz="2" w:space="0" w:color="000000" w:themeColor="text1"/>
              <w:right w:val="nil"/>
            </w:tcBorders>
            <w:shd w:val="clear" w:color="000000" w:fill="FFFFFF"/>
            <w:vAlign w:val="center"/>
            <w:hideMark/>
          </w:tcPr>
          <w:p w14:paraId="773BE6A7" w14:textId="77777777" w:rsidR="005A0F36" w:rsidRPr="005A0F36" w:rsidRDefault="005A0F36" w:rsidP="001B3CF4">
            <w:pPr>
              <w:keepNext/>
              <w:spacing w:after="0" w:line="240" w:lineRule="auto"/>
              <w:jc w:val="left"/>
              <w:rPr>
                <w:rFonts w:ascii="Arial" w:hAnsi="Arial" w:cs="Arial"/>
                <w:color w:val="auto"/>
                <w:sz w:val="16"/>
                <w:szCs w:val="16"/>
              </w:rPr>
            </w:pPr>
            <w:r w:rsidRPr="005A0F36">
              <w:rPr>
                <w:rFonts w:ascii="Arial" w:hAnsi="Arial" w:cs="Arial"/>
                <w:color w:val="auto"/>
                <w:sz w:val="16"/>
                <w:szCs w:val="16"/>
              </w:rPr>
              <w:t>Fee Collections</w:t>
            </w:r>
          </w:p>
        </w:tc>
        <w:tc>
          <w:tcPr>
            <w:tcW w:w="1235" w:type="pct"/>
            <w:tcBorders>
              <w:left w:val="nil"/>
              <w:bottom w:val="single" w:sz="2" w:space="0" w:color="000000" w:themeColor="text1"/>
              <w:right w:val="nil"/>
            </w:tcBorders>
            <w:shd w:val="clear" w:color="000000" w:fill="FFFFFF"/>
            <w:vAlign w:val="center"/>
            <w:hideMark/>
          </w:tcPr>
          <w:p w14:paraId="500C8ECD"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$m</w:t>
            </w:r>
          </w:p>
        </w:tc>
        <w:tc>
          <w:tcPr>
            <w:tcW w:w="1235" w:type="pct"/>
            <w:tcBorders>
              <w:left w:val="nil"/>
              <w:bottom w:val="single" w:sz="2" w:space="0" w:color="000000" w:themeColor="text1"/>
              <w:right w:val="nil"/>
            </w:tcBorders>
            <w:shd w:val="clear" w:color="000000" w:fill="FFFFFF"/>
            <w:vAlign w:val="center"/>
            <w:hideMark/>
          </w:tcPr>
          <w:p w14:paraId="0CCF2B50"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$m</w:t>
            </w:r>
          </w:p>
        </w:tc>
        <w:tc>
          <w:tcPr>
            <w:tcW w:w="1235" w:type="pct"/>
            <w:tcBorders>
              <w:left w:val="nil"/>
              <w:bottom w:val="single" w:sz="2" w:space="0" w:color="000000" w:themeColor="text1"/>
              <w:right w:val="nil"/>
            </w:tcBorders>
            <w:shd w:val="clear" w:color="000000" w:fill="F2F2F2"/>
            <w:vAlign w:val="center"/>
            <w:hideMark/>
          </w:tcPr>
          <w:p w14:paraId="02BD5191"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$m</w:t>
            </w:r>
          </w:p>
        </w:tc>
      </w:tr>
      <w:tr w:rsidR="005A0F36" w:rsidRPr="005A0F36" w14:paraId="57E332EC" w14:textId="77777777" w:rsidTr="00952E9A">
        <w:trPr>
          <w:trHeight w:val="300"/>
        </w:trPr>
        <w:tc>
          <w:tcPr>
            <w:tcW w:w="1295" w:type="pct"/>
            <w:tcBorders>
              <w:top w:val="single" w:sz="2" w:space="0" w:color="000000" w:themeColor="text1"/>
              <w:left w:val="nil"/>
              <w:bottom w:val="nil"/>
              <w:right w:val="nil"/>
            </w:tcBorders>
            <w:shd w:val="clear" w:color="000000" w:fill="FFFFFF"/>
            <w:noWrap/>
            <w:vAlign w:val="center"/>
            <w:hideMark/>
          </w:tcPr>
          <w:p w14:paraId="6B940D46" w14:textId="77777777" w:rsidR="005A0F36" w:rsidRPr="005A0F36" w:rsidRDefault="005A0F36" w:rsidP="001B3CF4">
            <w:pPr>
              <w:keepNext/>
              <w:spacing w:after="0" w:line="240" w:lineRule="auto"/>
              <w:jc w:val="left"/>
              <w:rPr>
                <w:rFonts w:ascii="Arial" w:hAnsi="Arial" w:cs="Arial"/>
                <w:color w:val="auto"/>
                <w:sz w:val="16"/>
                <w:szCs w:val="16"/>
              </w:rPr>
            </w:pPr>
            <w:r w:rsidRPr="005A0F36">
              <w:rPr>
                <w:rFonts w:ascii="Arial" w:hAnsi="Arial" w:cs="Arial"/>
                <w:color w:val="auto"/>
                <w:sz w:val="16"/>
                <w:szCs w:val="16"/>
              </w:rPr>
              <w:t>Application Fees</w:t>
            </w:r>
          </w:p>
        </w:tc>
        <w:tc>
          <w:tcPr>
            <w:tcW w:w="1235" w:type="pct"/>
            <w:tcBorders>
              <w:top w:val="single" w:sz="2" w:space="0" w:color="000000" w:themeColor="text1"/>
              <w:left w:val="nil"/>
              <w:bottom w:val="nil"/>
              <w:right w:val="nil"/>
            </w:tcBorders>
            <w:shd w:val="clear" w:color="000000" w:fill="FFFFFF"/>
            <w:vAlign w:val="center"/>
            <w:hideMark/>
          </w:tcPr>
          <w:p w14:paraId="29CE25C6"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134.0</w:t>
            </w:r>
          </w:p>
        </w:tc>
        <w:tc>
          <w:tcPr>
            <w:tcW w:w="1235" w:type="pct"/>
            <w:tcBorders>
              <w:top w:val="single" w:sz="2" w:space="0" w:color="000000" w:themeColor="text1"/>
              <w:left w:val="nil"/>
              <w:bottom w:val="nil"/>
              <w:right w:val="nil"/>
            </w:tcBorders>
            <w:shd w:val="clear" w:color="000000" w:fill="FFFFFF"/>
            <w:vAlign w:val="center"/>
            <w:hideMark/>
          </w:tcPr>
          <w:p w14:paraId="648BF3C5"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114.0</w:t>
            </w:r>
          </w:p>
        </w:tc>
        <w:tc>
          <w:tcPr>
            <w:tcW w:w="1235" w:type="pct"/>
            <w:tcBorders>
              <w:top w:val="single" w:sz="2" w:space="0" w:color="000000" w:themeColor="text1"/>
              <w:left w:val="nil"/>
              <w:bottom w:val="nil"/>
              <w:right w:val="nil"/>
            </w:tcBorders>
            <w:shd w:val="clear" w:color="000000" w:fill="F2F2F2"/>
            <w:vAlign w:val="center"/>
            <w:hideMark/>
          </w:tcPr>
          <w:p w14:paraId="6813BA69" w14:textId="18AF78B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92.</w:t>
            </w:r>
            <w:r w:rsidR="00593956">
              <w:rPr>
                <w:rFonts w:ascii="Arial" w:hAnsi="Arial" w:cs="Arial"/>
                <w:color w:val="auto"/>
                <w:sz w:val="16"/>
                <w:szCs w:val="16"/>
              </w:rPr>
              <w:t>2</w:t>
            </w:r>
          </w:p>
        </w:tc>
      </w:tr>
      <w:tr w:rsidR="005A0F36" w:rsidRPr="005A0F36" w14:paraId="7F9F31A3" w14:textId="77777777" w:rsidTr="00952E9A">
        <w:trPr>
          <w:trHeight w:val="300"/>
        </w:trPr>
        <w:tc>
          <w:tcPr>
            <w:tcW w:w="1295" w:type="pct"/>
            <w:tcBorders>
              <w:top w:val="nil"/>
              <w:left w:val="nil"/>
              <w:right w:val="nil"/>
            </w:tcBorders>
            <w:shd w:val="clear" w:color="000000" w:fill="FFFFFF"/>
            <w:noWrap/>
            <w:vAlign w:val="center"/>
            <w:hideMark/>
          </w:tcPr>
          <w:p w14:paraId="42256D56" w14:textId="77777777" w:rsidR="005A0F36" w:rsidRPr="005A0F36" w:rsidRDefault="005A0F36" w:rsidP="001B3CF4">
            <w:pPr>
              <w:keepNext/>
              <w:spacing w:after="0" w:line="240" w:lineRule="auto"/>
              <w:jc w:val="left"/>
              <w:rPr>
                <w:rFonts w:ascii="Arial" w:hAnsi="Arial" w:cs="Arial"/>
                <w:color w:val="auto"/>
                <w:sz w:val="16"/>
                <w:szCs w:val="16"/>
              </w:rPr>
            </w:pPr>
            <w:r w:rsidRPr="005A0F36">
              <w:rPr>
                <w:rFonts w:ascii="Arial" w:hAnsi="Arial" w:cs="Arial"/>
                <w:color w:val="auto"/>
                <w:sz w:val="16"/>
                <w:szCs w:val="16"/>
              </w:rPr>
              <w:t>Vacancy Fees</w:t>
            </w:r>
          </w:p>
        </w:tc>
        <w:tc>
          <w:tcPr>
            <w:tcW w:w="1235" w:type="pct"/>
            <w:tcBorders>
              <w:top w:val="nil"/>
              <w:left w:val="nil"/>
              <w:bottom w:val="single" w:sz="2" w:space="0" w:color="000000" w:themeColor="text1"/>
              <w:right w:val="nil"/>
            </w:tcBorders>
            <w:shd w:val="clear" w:color="000000" w:fill="FFFFFF"/>
            <w:vAlign w:val="center"/>
            <w:hideMark/>
          </w:tcPr>
          <w:p w14:paraId="30E061C5"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 </w:t>
            </w:r>
          </w:p>
        </w:tc>
        <w:tc>
          <w:tcPr>
            <w:tcW w:w="1235" w:type="pct"/>
            <w:tcBorders>
              <w:top w:val="nil"/>
              <w:left w:val="nil"/>
              <w:bottom w:val="single" w:sz="2" w:space="0" w:color="000000" w:themeColor="text1"/>
              <w:right w:val="nil"/>
            </w:tcBorders>
            <w:shd w:val="clear" w:color="000000" w:fill="FFFFFF"/>
            <w:vAlign w:val="center"/>
            <w:hideMark/>
          </w:tcPr>
          <w:p w14:paraId="2B13A121" w14:textId="77777777"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 </w:t>
            </w:r>
          </w:p>
        </w:tc>
        <w:tc>
          <w:tcPr>
            <w:tcW w:w="1235" w:type="pct"/>
            <w:tcBorders>
              <w:top w:val="nil"/>
              <w:left w:val="nil"/>
              <w:bottom w:val="single" w:sz="2" w:space="0" w:color="000000" w:themeColor="text1"/>
              <w:right w:val="nil"/>
            </w:tcBorders>
            <w:shd w:val="clear" w:color="000000" w:fill="F2F2F2"/>
            <w:vAlign w:val="center"/>
            <w:hideMark/>
          </w:tcPr>
          <w:p w14:paraId="2B192B4F" w14:textId="7A0FBC38" w:rsidR="005A0F36" w:rsidRPr="005A0F36" w:rsidRDefault="005A0F36" w:rsidP="001B3CF4">
            <w:pPr>
              <w:keepNext/>
              <w:spacing w:after="0" w:line="240" w:lineRule="auto"/>
              <w:jc w:val="right"/>
              <w:rPr>
                <w:rFonts w:ascii="Arial" w:hAnsi="Arial" w:cs="Arial"/>
                <w:color w:val="auto"/>
                <w:sz w:val="16"/>
                <w:szCs w:val="16"/>
              </w:rPr>
            </w:pPr>
            <w:r w:rsidRPr="005A0F36">
              <w:rPr>
                <w:rFonts w:ascii="Arial" w:hAnsi="Arial" w:cs="Arial"/>
                <w:color w:val="auto"/>
                <w:sz w:val="16"/>
                <w:szCs w:val="16"/>
              </w:rPr>
              <w:t>1.</w:t>
            </w:r>
            <w:r w:rsidR="00593956">
              <w:rPr>
                <w:rFonts w:ascii="Arial" w:hAnsi="Arial" w:cs="Arial"/>
                <w:color w:val="auto"/>
                <w:sz w:val="16"/>
                <w:szCs w:val="16"/>
              </w:rPr>
              <w:t>8</w:t>
            </w:r>
          </w:p>
        </w:tc>
      </w:tr>
      <w:tr w:rsidR="005A0F36" w:rsidRPr="005A0F36" w14:paraId="47F7F84C" w14:textId="77777777" w:rsidTr="00952E9A">
        <w:trPr>
          <w:trHeight w:val="300"/>
        </w:trPr>
        <w:tc>
          <w:tcPr>
            <w:tcW w:w="1295" w:type="pct"/>
            <w:tcBorders>
              <w:top w:val="nil"/>
              <w:left w:val="nil"/>
              <w:bottom w:val="single" w:sz="2" w:space="0" w:color="000000" w:themeColor="text1"/>
              <w:right w:val="nil"/>
            </w:tcBorders>
            <w:shd w:val="clear" w:color="000000" w:fill="FFFFFF"/>
            <w:noWrap/>
            <w:vAlign w:val="center"/>
            <w:hideMark/>
          </w:tcPr>
          <w:p w14:paraId="19404669" w14:textId="77777777" w:rsidR="005A0F36" w:rsidRPr="005A0F36" w:rsidRDefault="005A0F36" w:rsidP="001B3CF4">
            <w:pPr>
              <w:keepNext/>
              <w:spacing w:after="0" w:line="240" w:lineRule="auto"/>
              <w:jc w:val="left"/>
              <w:rPr>
                <w:rFonts w:ascii="Arial" w:hAnsi="Arial" w:cs="Arial"/>
                <w:b/>
                <w:bCs/>
                <w:color w:val="auto"/>
                <w:sz w:val="16"/>
                <w:szCs w:val="16"/>
              </w:rPr>
            </w:pPr>
            <w:r w:rsidRPr="005A0F36">
              <w:rPr>
                <w:rFonts w:ascii="Arial" w:hAnsi="Arial" w:cs="Arial"/>
                <w:b/>
                <w:bCs/>
                <w:color w:val="auto"/>
                <w:sz w:val="16"/>
                <w:szCs w:val="16"/>
              </w:rPr>
              <w:t>Total</w:t>
            </w:r>
          </w:p>
        </w:tc>
        <w:tc>
          <w:tcPr>
            <w:tcW w:w="1235" w:type="pct"/>
            <w:tcBorders>
              <w:top w:val="single" w:sz="2" w:space="0" w:color="000000" w:themeColor="text1"/>
              <w:left w:val="nil"/>
              <w:bottom w:val="single" w:sz="2" w:space="0" w:color="000000" w:themeColor="text1"/>
              <w:right w:val="nil"/>
            </w:tcBorders>
            <w:shd w:val="clear" w:color="000000" w:fill="FFFFFF"/>
            <w:vAlign w:val="center"/>
            <w:hideMark/>
          </w:tcPr>
          <w:p w14:paraId="51D9D7ED" w14:textId="77777777" w:rsidR="005A0F36" w:rsidRPr="005A0F36" w:rsidRDefault="005A0F36" w:rsidP="001B3CF4">
            <w:pPr>
              <w:keepNext/>
              <w:spacing w:after="0" w:line="240" w:lineRule="auto"/>
              <w:jc w:val="right"/>
              <w:rPr>
                <w:rFonts w:ascii="Arial" w:hAnsi="Arial" w:cs="Arial"/>
                <w:b/>
                <w:bCs/>
                <w:color w:val="auto"/>
                <w:sz w:val="16"/>
                <w:szCs w:val="16"/>
              </w:rPr>
            </w:pPr>
            <w:r w:rsidRPr="005A0F36">
              <w:rPr>
                <w:rFonts w:ascii="Arial" w:hAnsi="Arial" w:cs="Arial"/>
                <w:b/>
                <w:bCs/>
                <w:color w:val="auto"/>
                <w:sz w:val="16"/>
                <w:szCs w:val="16"/>
              </w:rPr>
              <w:t>134.0</w:t>
            </w:r>
          </w:p>
        </w:tc>
        <w:tc>
          <w:tcPr>
            <w:tcW w:w="1235" w:type="pct"/>
            <w:tcBorders>
              <w:top w:val="single" w:sz="2" w:space="0" w:color="000000" w:themeColor="text1"/>
              <w:left w:val="nil"/>
              <w:bottom w:val="single" w:sz="2" w:space="0" w:color="000000" w:themeColor="text1"/>
              <w:right w:val="nil"/>
            </w:tcBorders>
            <w:shd w:val="clear" w:color="000000" w:fill="FFFFFF"/>
            <w:vAlign w:val="center"/>
            <w:hideMark/>
          </w:tcPr>
          <w:p w14:paraId="2D3D7844" w14:textId="77777777" w:rsidR="005A0F36" w:rsidRPr="005A0F36" w:rsidRDefault="005A0F36" w:rsidP="001B3CF4">
            <w:pPr>
              <w:keepNext/>
              <w:spacing w:after="0" w:line="240" w:lineRule="auto"/>
              <w:jc w:val="right"/>
              <w:rPr>
                <w:rFonts w:ascii="Arial" w:hAnsi="Arial" w:cs="Arial"/>
                <w:b/>
                <w:bCs/>
                <w:color w:val="auto"/>
                <w:sz w:val="16"/>
                <w:szCs w:val="16"/>
              </w:rPr>
            </w:pPr>
            <w:r w:rsidRPr="005A0F36">
              <w:rPr>
                <w:rFonts w:ascii="Arial" w:hAnsi="Arial" w:cs="Arial"/>
                <w:b/>
                <w:bCs/>
                <w:color w:val="auto"/>
                <w:sz w:val="16"/>
                <w:szCs w:val="16"/>
              </w:rPr>
              <w:t>114.0</w:t>
            </w:r>
          </w:p>
        </w:tc>
        <w:tc>
          <w:tcPr>
            <w:tcW w:w="1235" w:type="pct"/>
            <w:tcBorders>
              <w:top w:val="single" w:sz="2" w:space="0" w:color="000000" w:themeColor="text1"/>
              <w:left w:val="nil"/>
              <w:bottom w:val="single" w:sz="2" w:space="0" w:color="000000" w:themeColor="text1"/>
              <w:right w:val="nil"/>
            </w:tcBorders>
            <w:shd w:val="clear" w:color="000000" w:fill="F2F2F2"/>
            <w:vAlign w:val="center"/>
            <w:hideMark/>
          </w:tcPr>
          <w:p w14:paraId="2A3B8206" w14:textId="77777777" w:rsidR="005A0F36" w:rsidRPr="005A0F36" w:rsidRDefault="005A0F36" w:rsidP="001B3CF4">
            <w:pPr>
              <w:keepNext/>
              <w:spacing w:after="0" w:line="240" w:lineRule="auto"/>
              <w:jc w:val="right"/>
              <w:rPr>
                <w:rFonts w:ascii="Arial" w:hAnsi="Arial" w:cs="Arial"/>
                <w:b/>
                <w:bCs/>
                <w:color w:val="auto"/>
                <w:sz w:val="16"/>
                <w:szCs w:val="16"/>
              </w:rPr>
            </w:pPr>
            <w:r w:rsidRPr="005A0F36">
              <w:rPr>
                <w:rFonts w:ascii="Arial" w:hAnsi="Arial" w:cs="Arial"/>
                <w:b/>
                <w:bCs/>
                <w:color w:val="auto"/>
                <w:sz w:val="16"/>
                <w:szCs w:val="16"/>
              </w:rPr>
              <w:t>94.0</w:t>
            </w:r>
          </w:p>
        </w:tc>
      </w:tr>
    </w:tbl>
    <w:p w14:paraId="519D4459" w14:textId="24EDB1CC" w:rsidR="00A84283" w:rsidRPr="00406C1F" w:rsidRDefault="00A84283" w:rsidP="001B3CF4">
      <w:pPr>
        <w:pStyle w:val="ChartorTableNote"/>
        <w:keepNext/>
      </w:pPr>
      <w:r w:rsidRPr="00406C1F">
        <w:t xml:space="preserve">Notes: </w:t>
      </w:r>
      <w:r w:rsidRPr="00406C1F">
        <w:tab/>
      </w:r>
      <w:r w:rsidR="001776D8">
        <w:t>Application f</w:t>
      </w:r>
      <w:r w:rsidRPr="00406C1F">
        <w:t>ees were introduced as of 1</w:t>
      </w:r>
      <w:r w:rsidR="007F6719">
        <w:t> December </w:t>
      </w:r>
      <w:r w:rsidRPr="00406C1F">
        <w:t>2015.</w:t>
      </w:r>
    </w:p>
    <w:p w14:paraId="1953EE10" w14:textId="5D5D0DE7" w:rsidR="00A84283" w:rsidRDefault="00DB7870" w:rsidP="001B3CF4">
      <w:pPr>
        <w:pStyle w:val="ChartorTableNote"/>
        <w:keepNext/>
        <w:rPr>
          <w:color w:val="auto"/>
          <w:sz w:val="18"/>
          <w:szCs w:val="18"/>
        </w:rPr>
      </w:pPr>
      <w:r w:rsidRPr="003102E2">
        <w:t>Foreign investment application f</w:t>
      </w:r>
      <w:r w:rsidR="00A84283" w:rsidRPr="003102E2">
        <w:t xml:space="preserve">ees are collected when an application is submitted to the </w:t>
      </w:r>
      <w:r w:rsidR="000F0D88">
        <w:t>Board</w:t>
      </w:r>
      <w:r w:rsidR="00A84283" w:rsidRPr="003102E2">
        <w:t>. The revenue recognised is based on the receipt of the application and/or payment during the reporting period</w:t>
      </w:r>
      <w:r w:rsidR="001776D8">
        <w:t xml:space="preserve"> (including fees pai</w:t>
      </w:r>
      <w:r w:rsidR="008F1726">
        <w:t>d under New Dwelling Exemption Certificates for acquired properties)</w:t>
      </w:r>
      <w:r w:rsidR="00A84283" w:rsidRPr="003102E2">
        <w:t xml:space="preserve"> less an estimate of future outflows relating to cases where the fee might be waived.</w:t>
      </w:r>
    </w:p>
    <w:p w14:paraId="43E0AC96" w14:textId="64357D10" w:rsidR="00A84283" w:rsidRDefault="00A84283">
      <w:pPr>
        <w:pStyle w:val="ChartorTableNote"/>
      </w:pPr>
      <w:r w:rsidRPr="003102E2">
        <w:t>Source: ATO Annual Report for each applicable period, see the table ATO net tax collections.</w:t>
      </w:r>
    </w:p>
    <w:p w14:paraId="730BCB0A" w14:textId="57619C75" w:rsidR="00E57C53" w:rsidRDefault="00E57C53" w:rsidP="00E57C53"/>
    <w:p w14:paraId="621BC375" w14:textId="77777777" w:rsidR="00966278" w:rsidRDefault="00966278" w:rsidP="00B57F28">
      <w:pPr>
        <w:pStyle w:val="Heading1"/>
        <w:sectPr w:rsidR="00966278" w:rsidSect="000B6F64">
          <w:headerReference w:type="default" r:id="rId77"/>
          <w:footerReference w:type="default" r:id="rId78"/>
          <w:headerReference w:type="first" r:id="rId79"/>
          <w:footerReference w:type="first" r:id="rId80"/>
          <w:pgSz w:w="11906" w:h="16838" w:code="9"/>
          <w:pgMar w:top="2466" w:right="2098" w:bottom="2466" w:left="2098" w:header="1899" w:footer="1899" w:gutter="0"/>
          <w:cols w:space="708"/>
          <w:titlePg/>
          <w:docGrid w:linePitch="360"/>
        </w:sectPr>
      </w:pPr>
      <w:bookmarkStart w:id="155" w:name="_Toc31296909"/>
      <w:bookmarkStart w:id="156" w:name="_Toc31636027"/>
      <w:bookmarkStart w:id="157" w:name="_Toc31642796"/>
    </w:p>
    <w:p w14:paraId="0FF4252F" w14:textId="2A50D7E5" w:rsidR="0004056B" w:rsidRPr="00EC2A92" w:rsidRDefault="00EC2A92" w:rsidP="00EC2A92">
      <w:pPr>
        <w:pStyle w:val="Heading1"/>
        <w:rPr>
          <w:color w:val="FFFFFF" w:themeColor="background1"/>
        </w:rPr>
      </w:pPr>
      <w:bookmarkStart w:id="158" w:name="_Toc33625855"/>
      <w:bookmarkEnd w:id="155"/>
      <w:bookmarkEnd w:id="156"/>
      <w:bookmarkEnd w:id="157"/>
      <w:r w:rsidRPr="00EC2A92">
        <w:rPr>
          <w:noProof/>
          <w:color w:val="FFFFFF" w:themeColor="background1"/>
        </w:rPr>
        <w:lastRenderedPageBreak/>
        <w:drawing>
          <wp:anchor distT="0" distB="0" distL="114300" distR="114300" simplePos="0" relativeHeight="251658248" behindDoc="0" locked="0" layoutInCell="1" allowOverlap="1" wp14:anchorId="1309F652" wp14:editId="077D49BB">
            <wp:simplePos x="0" y="0"/>
            <wp:positionH relativeFrom="column">
              <wp:posOffset>-12893</wp:posOffset>
            </wp:positionH>
            <wp:positionV relativeFrom="paragraph">
              <wp:posOffset>-194973</wp:posOffset>
            </wp:positionV>
            <wp:extent cx="4895088" cy="2161032"/>
            <wp:effectExtent l="0" t="0" r="1270" b="0"/>
            <wp:wrapNone/>
            <wp:docPr id="9" name="Picture 9" descr="Chapter Four Heading" title="Chapter Four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B AR Part Pages_2016-17_V24.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95088" cy="2161032"/>
                    </a:xfrm>
                    <a:prstGeom prst="rect">
                      <a:avLst/>
                    </a:prstGeom>
                  </pic:spPr>
                </pic:pic>
              </a:graphicData>
            </a:graphic>
            <wp14:sizeRelH relativeFrom="page">
              <wp14:pctWidth>0</wp14:pctWidth>
            </wp14:sizeRelH>
            <wp14:sizeRelV relativeFrom="page">
              <wp14:pctHeight>0</wp14:pctHeight>
            </wp14:sizeRelV>
          </wp:anchor>
        </w:drawing>
      </w:r>
      <w:r w:rsidRPr="00EC2A92">
        <w:rPr>
          <w:color w:val="FFFFFF" w:themeColor="background1"/>
        </w:rPr>
        <w:t>Chapter Four: Compliance</w:t>
      </w:r>
      <w:bookmarkEnd w:id="158"/>
    </w:p>
    <w:p w14:paraId="3A8FCECD" w14:textId="262EA4C1" w:rsidR="0004056B" w:rsidRPr="00EC2A92" w:rsidRDefault="0004056B" w:rsidP="001C7EE6">
      <w:pPr>
        <w:rPr>
          <w:color w:val="FF0000"/>
        </w:rPr>
      </w:pPr>
    </w:p>
    <w:p w14:paraId="5B5D9051" w14:textId="2C8CCB14" w:rsidR="0004056B" w:rsidRPr="00EC2A92" w:rsidRDefault="0004056B" w:rsidP="001C7EE6">
      <w:pPr>
        <w:rPr>
          <w:color w:val="FF0000"/>
        </w:rPr>
      </w:pPr>
    </w:p>
    <w:p w14:paraId="1462BDCF" w14:textId="2FB70B53" w:rsidR="0004056B" w:rsidRPr="00EC2A92" w:rsidRDefault="0004056B" w:rsidP="001C7EE6">
      <w:pPr>
        <w:rPr>
          <w:color w:val="FF0000"/>
        </w:rPr>
      </w:pPr>
    </w:p>
    <w:p w14:paraId="2AE6902B" w14:textId="15F20C9B" w:rsidR="0004056B" w:rsidRPr="00EC2A92" w:rsidRDefault="0004056B" w:rsidP="001C7EE6">
      <w:pPr>
        <w:rPr>
          <w:color w:val="FF0000"/>
        </w:rPr>
      </w:pPr>
    </w:p>
    <w:p w14:paraId="01DA4D63" w14:textId="77777777" w:rsidR="0004056B" w:rsidRPr="00EC2A92" w:rsidRDefault="0004056B" w:rsidP="001C7EE6">
      <w:pPr>
        <w:rPr>
          <w:color w:val="FF0000"/>
        </w:rPr>
      </w:pPr>
    </w:p>
    <w:p w14:paraId="16E22A43" w14:textId="7BEB6265" w:rsidR="00BF2024" w:rsidRPr="00BF2024" w:rsidRDefault="00EC2A92" w:rsidP="00EC2A92">
      <w:pPr>
        <w:spacing w:after="360"/>
      </w:pPr>
      <w:r>
        <w:rPr>
          <w:color w:val="FF0000"/>
        </w:rPr>
        <w:br/>
      </w:r>
      <w:r w:rsidR="00BF2024" w:rsidRPr="00BF2024">
        <w:t xml:space="preserve">This chapter discusses </w:t>
      </w:r>
      <w:r w:rsidR="000F5DC3">
        <w:t xml:space="preserve">the </w:t>
      </w:r>
      <w:r w:rsidR="00BF2024" w:rsidRPr="00BF2024">
        <w:t>Treasury’s</w:t>
      </w:r>
      <w:r w:rsidR="005572FF">
        <w:t xml:space="preserve"> and the ATO’s</w:t>
      </w:r>
      <w:r w:rsidR="00BF2024" w:rsidRPr="00BF2024">
        <w:t xml:space="preserve"> approach to </w:t>
      </w:r>
      <w:r w:rsidR="006F607C">
        <w:t>ensuring</w:t>
      </w:r>
      <w:r w:rsidR="00BF2024" w:rsidRPr="00BF2024">
        <w:t xml:space="preserve"> compliance </w:t>
      </w:r>
      <w:r w:rsidR="006F607C">
        <w:t xml:space="preserve">by investors </w:t>
      </w:r>
      <w:r w:rsidR="00BF2024" w:rsidRPr="00BF2024">
        <w:t xml:space="preserve">with </w:t>
      </w:r>
      <w:r w:rsidR="006F607C">
        <w:t xml:space="preserve">their </w:t>
      </w:r>
      <w:r w:rsidR="00BF2024" w:rsidRPr="00BF2024">
        <w:t xml:space="preserve">obligations under </w:t>
      </w:r>
      <w:r w:rsidR="00BF2024">
        <w:t xml:space="preserve">the </w:t>
      </w:r>
      <w:r w:rsidR="006F607C">
        <w:t xml:space="preserve">Act </w:t>
      </w:r>
      <w:r w:rsidR="00BF2024" w:rsidRPr="00BF2024">
        <w:t xml:space="preserve">and provides an overview of compliance activities in 2018-19. </w:t>
      </w:r>
    </w:p>
    <w:p w14:paraId="7D7C1AC9" w14:textId="0362611E" w:rsidR="00BF2024" w:rsidRPr="006D64A2" w:rsidRDefault="00BF2024" w:rsidP="00B57F28">
      <w:pPr>
        <w:pStyle w:val="Heading2"/>
      </w:pPr>
      <w:bookmarkStart w:id="159" w:name="_Toc31296910"/>
      <w:bookmarkStart w:id="160" w:name="_Toc31636028"/>
      <w:bookmarkStart w:id="161" w:name="_Toc31642797"/>
      <w:bookmarkStart w:id="162" w:name="_Toc32247807"/>
      <w:bookmarkStart w:id="163" w:name="_Toc33625856"/>
      <w:r w:rsidRPr="006D64A2">
        <w:t>Compliance approach</w:t>
      </w:r>
      <w:bookmarkEnd w:id="159"/>
      <w:bookmarkEnd w:id="160"/>
      <w:bookmarkEnd w:id="161"/>
      <w:bookmarkEnd w:id="162"/>
      <w:bookmarkEnd w:id="163"/>
    </w:p>
    <w:p w14:paraId="1D1C980B" w14:textId="47CAFF54" w:rsidR="00BF2024" w:rsidRPr="00BF2024" w:rsidRDefault="00BF2024" w:rsidP="002E2EFE">
      <w:r w:rsidRPr="00BF2024">
        <w:t xml:space="preserve">Compliance activities are fundamental to the integrity of the foreign investment framework. </w:t>
      </w:r>
    </w:p>
    <w:p w14:paraId="6D019DC2" w14:textId="1F719AB8" w:rsidR="00BF2024" w:rsidRPr="00406C1F" w:rsidRDefault="00BF2024" w:rsidP="002E2EFE">
      <w:pPr>
        <w:rPr>
          <w:color w:val="auto"/>
        </w:rPr>
      </w:pPr>
      <w:r w:rsidRPr="00406C1F">
        <w:t xml:space="preserve">Treasury is responsible for compliance and enforcement activities for proposals within its areas of screening responsibility, including business, agricultural and commercial land foreign investment proposals. </w:t>
      </w:r>
      <w:r w:rsidR="000C7BAB" w:rsidRPr="00406C1F">
        <w:rPr>
          <w:color w:val="auto"/>
        </w:rPr>
        <w:t>The ATO is responsible for compliance and enforcement activities for proposals within its screening responsibility, including residential real estate</w:t>
      </w:r>
      <w:r w:rsidR="000C7BAB">
        <w:rPr>
          <w:color w:val="auto"/>
        </w:rPr>
        <w:t xml:space="preserve"> and the vacancy fee,</w:t>
      </w:r>
      <w:r w:rsidR="000C7BAB" w:rsidRPr="00406C1F">
        <w:rPr>
          <w:color w:val="auto"/>
        </w:rPr>
        <w:t xml:space="preserve"> and some commercial land proposals. </w:t>
      </w:r>
      <w:r w:rsidR="000C7BAB">
        <w:t>FIRB agencies</w:t>
      </w:r>
      <w:r w:rsidR="000C7BAB" w:rsidRPr="00406C1F">
        <w:t xml:space="preserve"> </w:t>
      </w:r>
      <w:r w:rsidRPr="00406C1F">
        <w:t>ad</w:t>
      </w:r>
      <w:r w:rsidR="00BA0E15">
        <w:t>opt a risk-based approach to their compliance work and focus</w:t>
      </w:r>
      <w:r w:rsidRPr="00406C1F">
        <w:t xml:space="preserve"> efforts on areas of risk to the national interest. </w:t>
      </w:r>
      <w:r w:rsidR="000C7BAB">
        <w:t>They</w:t>
      </w:r>
      <w:r w:rsidR="000C7BAB" w:rsidRPr="00406C1F">
        <w:t xml:space="preserve"> </w:t>
      </w:r>
      <w:r w:rsidRPr="00406C1F">
        <w:t>aim to achieve a balance between providing assurance</w:t>
      </w:r>
      <w:r w:rsidRPr="00406C1F">
        <w:rPr>
          <w:color w:val="auto"/>
        </w:rPr>
        <w:t xml:space="preserve"> </w:t>
      </w:r>
      <w:r w:rsidR="002E319A" w:rsidRPr="00406C1F">
        <w:rPr>
          <w:color w:val="auto"/>
        </w:rPr>
        <w:t>that investors are complying with their obligations</w:t>
      </w:r>
      <w:r w:rsidRPr="00406C1F">
        <w:rPr>
          <w:color w:val="auto"/>
        </w:rPr>
        <w:t xml:space="preserve"> and detecting and remedying non-compliance, while encouraging and supporting foreign investors to do the right thing. </w:t>
      </w:r>
    </w:p>
    <w:p w14:paraId="720E0B6B" w14:textId="6252E1AA" w:rsidR="00BF2024" w:rsidRPr="00BF2024" w:rsidRDefault="00BF2024" w:rsidP="002E2EFE">
      <w:pPr>
        <w:rPr>
          <w:b/>
          <w:color w:val="auto"/>
        </w:rPr>
      </w:pPr>
      <w:r w:rsidRPr="00BF2024">
        <w:t xml:space="preserve">Foreign investment compliance activities are also supported by specialist advice from other agencies as required. Agencies that support compliance work include </w:t>
      </w:r>
      <w:r w:rsidR="006F607C">
        <w:t xml:space="preserve">the Department of </w:t>
      </w:r>
      <w:r w:rsidR="00C5500D">
        <w:t>Home </w:t>
      </w:r>
      <w:r w:rsidRPr="00BF2024">
        <w:t>Affairs, the Department of Defence, the Department of Health, the Department of Foreign Affairs and Trade</w:t>
      </w:r>
      <w:r w:rsidR="00D849AA">
        <w:t>, AUSTRAC and the Australian Federal Police</w:t>
      </w:r>
      <w:r w:rsidRPr="00BF2024">
        <w:t xml:space="preserve">. </w:t>
      </w:r>
    </w:p>
    <w:p w14:paraId="46B7F50E" w14:textId="77777777" w:rsidR="008138D5" w:rsidRPr="00666DBB" w:rsidRDefault="008138D5" w:rsidP="008138D5">
      <w:pPr>
        <w:pStyle w:val="Heading2"/>
      </w:pPr>
      <w:bookmarkStart w:id="164" w:name="_Toc1121979"/>
      <w:bookmarkStart w:id="165" w:name="_Toc1120408"/>
      <w:bookmarkStart w:id="166" w:name="_Toc536029386"/>
      <w:bookmarkStart w:id="167" w:name="_Toc532226685"/>
      <w:bookmarkStart w:id="168" w:name="_Toc532224206"/>
      <w:bookmarkStart w:id="169" w:name="_Toc532223747"/>
      <w:bookmarkStart w:id="170" w:name="_Toc532219063"/>
      <w:bookmarkStart w:id="171" w:name="_Toc532218751"/>
      <w:bookmarkStart w:id="172" w:name="_Toc532217730"/>
      <w:bookmarkStart w:id="173" w:name="_Toc532207342"/>
      <w:bookmarkStart w:id="174" w:name="_Toc33625857"/>
      <w:bookmarkStart w:id="175" w:name="_Toc32247808"/>
      <w:bookmarkStart w:id="176" w:name="_Toc31296911"/>
      <w:bookmarkStart w:id="177" w:name="_Toc31636029"/>
      <w:bookmarkStart w:id="178" w:name="_Toc31642798"/>
      <w:r w:rsidRPr="00666DBB">
        <w:t>Education and promotion</w:t>
      </w:r>
      <w:bookmarkEnd w:id="164"/>
      <w:bookmarkEnd w:id="165"/>
      <w:bookmarkEnd w:id="166"/>
      <w:bookmarkEnd w:id="167"/>
      <w:bookmarkEnd w:id="168"/>
      <w:bookmarkEnd w:id="169"/>
      <w:bookmarkEnd w:id="170"/>
      <w:bookmarkEnd w:id="171"/>
      <w:bookmarkEnd w:id="172"/>
      <w:bookmarkEnd w:id="173"/>
      <w:bookmarkEnd w:id="174"/>
    </w:p>
    <w:bookmarkEnd w:id="175"/>
    <w:p w14:paraId="2D350247" w14:textId="12DF845B" w:rsidR="008138D5" w:rsidRPr="00666DBB" w:rsidRDefault="008138D5" w:rsidP="008138D5">
      <w:r w:rsidRPr="00BF2024">
        <w:t xml:space="preserve">Stakeholder engagement activities include educating foreign investors and their advisers on their compliance obligations. </w:t>
      </w:r>
      <w:r w:rsidR="00B5464F">
        <w:t>In</w:t>
      </w:r>
      <w:r w:rsidRPr="00BF2024">
        <w:t xml:space="preserve"> 2018</w:t>
      </w:r>
      <w:r>
        <w:noBreakHyphen/>
      </w:r>
      <w:r w:rsidRPr="00BF2024">
        <w:t xml:space="preserve">19, stakeholder engagement activities undertaken by </w:t>
      </w:r>
      <w:r w:rsidR="000F3580">
        <w:t>FIRB agencies</w:t>
      </w:r>
      <w:r w:rsidRPr="00BF2024">
        <w:t xml:space="preserve"> included:</w:t>
      </w:r>
    </w:p>
    <w:p w14:paraId="4A7E451D" w14:textId="77777777" w:rsidR="008138D5" w:rsidRPr="00422444" w:rsidRDefault="008138D5" w:rsidP="007149D6">
      <w:pPr>
        <w:pStyle w:val="Bullet"/>
        <w:numPr>
          <w:ilvl w:val="0"/>
          <w:numId w:val="22"/>
        </w:numPr>
      </w:pPr>
      <w:r w:rsidRPr="00422444">
        <w:t>regular meetings with key stakeholders;</w:t>
      </w:r>
    </w:p>
    <w:p w14:paraId="692E597A" w14:textId="77777777" w:rsidR="008138D5" w:rsidRPr="00B1276E" w:rsidRDefault="008138D5" w:rsidP="00666DBB">
      <w:pPr>
        <w:pStyle w:val="Bullet"/>
      </w:pPr>
      <w:r w:rsidRPr="00422444">
        <w:t>engagement with professional service providers that are advising investors;</w:t>
      </w:r>
    </w:p>
    <w:p w14:paraId="322B8566" w14:textId="25CDCC61" w:rsidR="008138D5" w:rsidRPr="002D7033" w:rsidRDefault="00B5464F" w:rsidP="00666DBB">
      <w:pPr>
        <w:pStyle w:val="Bullet"/>
      </w:pPr>
      <w:r>
        <w:lastRenderedPageBreak/>
        <w:t xml:space="preserve">participation in </w:t>
      </w:r>
      <w:r w:rsidR="008138D5" w:rsidRPr="00B1276E">
        <w:t>industry forums and seminars</w:t>
      </w:r>
      <w:r>
        <w:t xml:space="preserve">, including </w:t>
      </w:r>
      <w:r w:rsidRPr="00422444">
        <w:t>the fourth Cross-Government Foreign Investment Compliance Forum</w:t>
      </w:r>
      <w:r>
        <w:t xml:space="preserve"> which Treasury hosted;</w:t>
      </w:r>
    </w:p>
    <w:p w14:paraId="5B8D1DED" w14:textId="35678412" w:rsidR="008138D5" w:rsidRPr="00422444" w:rsidRDefault="008138D5" w:rsidP="00666DBB">
      <w:pPr>
        <w:pStyle w:val="Bullet"/>
      </w:pPr>
      <w:r w:rsidRPr="00422444">
        <w:t xml:space="preserve">developing and publishing guidance material </w:t>
      </w:r>
      <w:r w:rsidR="00B5464F" w:rsidRPr="00422444">
        <w:t xml:space="preserve">on the FIRB and ATO websites </w:t>
      </w:r>
      <w:r w:rsidRPr="00422444">
        <w:t>to educate foreign investors and their advisers on their compliance obligations</w:t>
      </w:r>
      <w:r w:rsidR="00B5464F">
        <w:t>; and</w:t>
      </w:r>
    </w:p>
    <w:p w14:paraId="5DDF0A2F" w14:textId="77777777" w:rsidR="008138D5" w:rsidRPr="00422444" w:rsidRDefault="008138D5" w:rsidP="00666DBB">
      <w:pPr>
        <w:pStyle w:val="Bullet"/>
      </w:pPr>
      <w:r w:rsidRPr="00422444">
        <w:t>responding to written enquiries and phone calls to the FIRB agencies hotlines.</w:t>
      </w:r>
    </w:p>
    <w:p w14:paraId="50969898" w14:textId="793CCAEE" w:rsidR="008138D5" w:rsidRPr="00666DBB" w:rsidRDefault="00E2653A" w:rsidP="00666DBB">
      <w:r>
        <w:t xml:space="preserve">The ATO also continued to </w:t>
      </w:r>
      <w:r w:rsidR="008138D5">
        <w:t xml:space="preserve">assist foreign persons understand new vacancy fee </w:t>
      </w:r>
      <w:r>
        <w:t xml:space="preserve">arrangements and the </w:t>
      </w:r>
      <w:r w:rsidR="00A2669D">
        <w:t xml:space="preserve">use of </w:t>
      </w:r>
      <w:r w:rsidR="008138D5">
        <w:t>exemption certificates introduced during 2017–18</w:t>
      </w:r>
      <w:r w:rsidR="00A2669D">
        <w:t xml:space="preserve">, including through </w:t>
      </w:r>
      <w:r w:rsidR="008138D5">
        <w:t>live</w:t>
      </w:r>
      <w:r w:rsidR="00497197">
        <w:t> </w:t>
      </w:r>
      <w:r w:rsidR="008138D5">
        <w:t xml:space="preserve">webinars. </w:t>
      </w:r>
    </w:p>
    <w:p w14:paraId="1F5D6DA7" w14:textId="6F69795C" w:rsidR="00BF2024" w:rsidRPr="006D64A2" w:rsidRDefault="00165D59" w:rsidP="00406C1F">
      <w:pPr>
        <w:pStyle w:val="Heading2"/>
      </w:pPr>
      <w:bookmarkStart w:id="179" w:name="_Toc32247809"/>
      <w:bookmarkStart w:id="180" w:name="_Toc33625858"/>
      <w:r w:rsidRPr="006D64A2">
        <w:t>Treasury’s c</w:t>
      </w:r>
      <w:r w:rsidR="00BF2024" w:rsidRPr="006D64A2">
        <w:t xml:space="preserve">ompliance </w:t>
      </w:r>
      <w:r w:rsidRPr="006D64A2">
        <w:t>a</w:t>
      </w:r>
      <w:r w:rsidR="00BF2024" w:rsidRPr="006D64A2">
        <w:t>ctivities</w:t>
      </w:r>
      <w:bookmarkEnd w:id="176"/>
      <w:bookmarkEnd w:id="177"/>
      <w:bookmarkEnd w:id="178"/>
      <w:bookmarkEnd w:id="179"/>
      <w:bookmarkEnd w:id="180"/>
    </w:p>
    <w:p w14:paraId="5E4464FA" w14:textId="0CBBFA60" w:rsidR="00BF2024" w:rsidRPr="00BF2024" w:rsidRDefault="00BF2024" w:rsidP="002E2EFE">
      <w:pPr>
        <w:rPr>
          <w:b/>
          <w:color w:val="auto"/>
        </w:rPr>
      </w:pPr>
      <w:r w:rsidRPr="00BF2024">
        <w:t>Treasury’s compliance activities in 2018</w:t>
      </w:r>
      <w:r w:rsidR="00936C78">
        <w:noBreakHyphen/>
      </w:r>
      <w:r w:rsidRPr="00BF2024">
        <w:t>19 have been framed against the enhanced Foreign Investment Compliance Framework which was implemented in September</w:t>
      </w:r>
      <w:r w:rsidR="00936C78">
        <w:t> </w:t>
      </w:r>
      <w:r w:rsidRPr="00BF2024">
        <w:t>2017. Broadly, this covers</w:t>
      </w:r>
      <w:r w:rsidR="006F607C">
        <w:t xml:space="preserve"> compliance assurance, enforcement, stakeholder enga</w:t>
      </w:r>
      <w:r w:rsidR="00C5500D">
        <w:t>gement and market intelligence.</w:t>
      </w:r>
    </w:p>
    <w:p w14:paraId="089D8A2E" w14:textId="77777777" w:rsidR="00BF2024" w:rsidRPr="00BF2024" w:rsidRDefault="00BF2024" w:rsidP="002E2EFE">
      <w:pPr>
        <w:rPr>
          <w:b/>
          <w:color w:val="auto"/>
        </w:rPr>
      </w:pPr>
      <w:r w:rsidRPr="00BF2024">
        <w:t>An outline of activities undertaken under each of these areas follows.</w:t>
      </w:r>
    </w:p>
    <w:p w14:paraId="1ECAC9C6" w14:textId="1A23BDFF" w:rsidR="00BF2024" w:rsidRPr="006D64A2" w:rsidRDefault="00BF2024" w:rsidP="00406C1F">
      <w:pPr>
        <w:pStyle w:val="Heading3"/>
      </w:pPr>
      <w:r w:rsidRPr="006D64A2">
        <w:t xml:space="preserve">Compliance </w:t>
      </w:r>
      <w:r w:rsidR="00165D59" w:rsidRPr="006D64A2">
        <w:t>a</w:t>
      </w:r>
      <w:r w:rsidRPr="006D64A2">
        <w:t xml:space="preserve">ssurance </w:t>
      </w:r>
    </w:p>
    <w:p w14:paraId="217C35D2" w14:textId="7E903773" w:rsidR="00BF2024" w:rsidRPr="00406C1F" w:rsidRDefault="00936C78" w:rsidP="006D64A2">
      <w:pPr>
        <w:pStyle w:val="Heading4"/>
      </w:pPr>
      <w:r>
        <w:t>Audit p</w:t>
      </w:r>
      <w:r w:rsidR="00BF2024" w:rsidRPr="00406C1F">
        <w:t>rogram</w:t>
      </w:r>
    </w:p>
    <w:p w14:paraId="352988B7" w14:textId="08115F21" w:rsidR="00BF2024" w:rsidRPr="00406C1F" w:rsidRDefault="00BF2024" w:rsidP="002E2EFE">
      <w:pPr>
        <w:rPr>
          <w:color w:val="auto"/>
        </w:rPr>
      </w:pPr>
      <w:r w:rsidRPr="00406C1F">
        <w:t>The introduction of an annual rolling audit program in 2017 has been integral to enhancing Treasury’s approach to compliance. In undertaking complian</w:t>
      </w:r>
      <w:r w:rsidR="00936C78">
        <w:t>ce audits, Treasury uses a risk</w:t>
      </w:r>
      <w:r w:rsidR="00936C78">
        <w:noBreakHyphen/>
      </w:r>
      <w:r w:rsidRPr="00406C1F">
        <w:t xml:space="preserve">based approach to </w:t>
      </w:r>
      <w:r w:rsidR="00882FB8" w:rsidRPr="00406C1F">
        <w:rPr>
          <w:color w:val="auto"/>
        </w:rPr>
        <w:t>determin</w:t>
      </w:r>
      <w:r w:rsidR="006F607C">
        <w:rPr>
          <w:color w:val="auto"/>
        </w:rPr>
        <w:t>e</w:t>
      </w:r>
      <w:r w:rsidR="00882FB8" w:rsidRPr="00406C1F">
        <w:rPr>
          <w:color w:val="auto"/>
        </w:rPr>
        <w:t xml:space="preserve"> which transactions are subject to </w:t>
      </w:r>
      <w:r w:rsidRPr="00406C1F">
        <w:rPr>
          <w:color w:val="auto"/>
        </w:rPr>
        <w:t>audit. This approach considers issues such as the nature of conditions imposed on an investment proposal, the impact of non</w:t>
      </w:r>
      <w:r w:rsidR="00936C78">
        <w:rPr>
          <w:color w:val="auto"/>
        </w:rPr>
        <w:noBreakHyphen/>
      </w:r>
      <w:r w:rsidRPr="00406C1F">
        <w:rPr>
          <w:color w:val="auto"/>
        </w:rPr>
        <w:t>compliance on the national interest and indicators of potential non</w:t>
      </w:r>
      <w:r w:rsidR="00936C78">
        <w:rPr>
          <w:color w:val="auto"/>
        </w:rPr>
        <w:noBreakHyphen/>
      </w:r>
      <w:r w:rsidRPr="00406C1F">
        <w:rPr>
          <w:color w:val="auto"/>
        </w:rPr>
        <w:t>compliance. During the 2018</w:t>
      </w:r>
      <w:r w:rsidR="00936C78">
        <w:rPr>
          <w:color w:val="auto"/>
        </w:rPr>
        <w:noBreakHyphen/>
      </w:r>
      <w:r w:rsidRPr="00406C1F">
        <w:rPr>
          <w:color w:val="auto"/>
        </w:rPr>
        <w:t xml:space="preserve">19 audit program, nine compliance audits were completed, which considered </w:t>
      </w:r>
      <w:r w:rsidR="000F0D88">
        <w:rPr>
          <w:color w:val="auto"/>
        </w:rPr>
        <w:t>17</w:t>
      </w:r>
      <w:r w:rsidRPr="00406C1F">
        <w:rPr>
          <w:color w:val="auto"/>
        </w:rPr>
        <w:t xml:space="preserve"> different foreign investment transactions. This represents approximately $2.84</w:t>
      </w:r>
      <w:r w:rsidR="00936C78">
        <w:rPr>
          <w:color w:val="auto"/>
        </w:rPr>
        <w:t> </w:t>
      </w:r>
      <w:r w:rsidRPr="00406C1F">
        <w:rPr>
          <w:color w:val="auto"/>
        </w:rPr>
        <w:t>billion worth of investment being subject to compliance review as part of the 2018</w:t>
      </w:r>
      <w:r w:rsidR="00936C78">
        <w:rPr>
          <w:color w:val="auto"/>
        </w:rPr>
        <w:noBreakHyphen/>
      </w:r>
      <w:r w:rsidRPr="00406C1F">
        <w:rPr>
          <w:color w:val="auto"/>
        </w:rPr>
        <w:t>19 program. The results of the audit program have indicated that investors are generally meeting their obligations. In instances where investors have been found to be non</w:t>
      </w:r>
      <w:r w:rsidR="00936C78">
        <w:rPr>
          <w:color w:val="auto"/>
        </w:rPr>
        <w:noBreakHyphen/>
      </w:r>
      <w:r w:rsidRPr="00406C1F">
        <w:rPr>
          <w:color w:val="auto"/>
        </w:rPr>
        <w:t>compliant or partially compliant, Treasury works with them to bring them into compliance.</w:t>
      </w:r>
    </w:p>
    <w:p w14:paraId="156E9CA4" w14:textId="7601ACBB" w:rsidR="00BF2024" w:rsidRPr="00406C1F" w:rsidRDefault="00BF2024" w:rsidP="00406C1F">
      <w:pPr>
        <w:pStyle w:val="Heading4"/>
      </w:pPr>
      <w:r w:rsidRPr="00406C1F">
        <w:t>Reviews</w:t>
      </w:r>
    </w:p>
    <w:p w14:paraId="60B2570F" w14:textId="0705A8A4" w:rsidR="00BF2024" w:rsidRPr="00406C1F" w:rsidRDefault="00BF2024" w:rsidP="002E2EFE">
      <w:pPr>
        <w:rPr>
          <w:color w:val="auto"/>
        </w:rPr>
      </w:pPr>
      <w:r w:rsidRPr="00406C1F">
        <w:t xml:space="preserve">Treasury reviews instances of potential non-compliance as part of its compliance assurance activities. Reviews are often triggered by information received from members of the public regarding suspected breaches of the </w:t>
      </w:r>
      <w:r w:rsidR="006F607C">
        <w:t>Act</w:t>
      </w:r>
      <w:r w:rsidR="006F607C" w:rsidRPr="00406C1F">
        <w:t xml:space="preserve"> </w:t>
      </w:r>
      <w:r w:rsidRPr="00406C1F">
        <w:t>by investors. In 2018</w:t>
      </w:r>
      <w:r w:rsidR="00936C78">
        <w:noBreakHyphen/>
      </w:r>
      <w:r w:rsidRPr="00406C1F">
        <w:t xml:space="preserve">19, Treasury received 30 reports of potential non-compliance, and finalised 23 reviews. In 17 instances, no follow up compliance action was required. Compliance action was taken in three instances and a separate four matters were referred to other </w:t>
      </w:r>
      <w:r w:rsidR="000F0D88">
        <w:t>g</w:t>
      </w:r>
      <w:r w:rsidRPr="00406C1F">
        <w:t>overnment agencies</w:t>
      </w:r>
      <w:r w:rsidR="00882FB8" w:rsidRPr="00406C1F">
        <w:rPr>
          <w:color w:val="auto"/>
        </w:rPr>
        <w:t xml:space="preserve"> for </w:t>
      </w:r>
      <w:r w:rsidR="00C2182F" w:rsidRPr="00406C1F">
        <w:rPr>
          <w:color w:val="auto"/>
        </w:rPr>
        <w:t>review</w:t>
      </w:r>
      <w:r w:rsidRPr="00406C1F">
        <w:rPr>
          <w:color w:val="auto"/>
        </w:rPr>
        <w:t xml:space="preserve">. </w:t>
      </w:r>
    </w:p>
    <w:p w14:paraId="34C2C35A" w14:textId="1F70A899" w:rsidR="00BF2024" w:rsidRPr="00406C1F" w:rsidRDefault="00936C78" w:rsidP="00406C1F">
      <w:pPr>
        <w:pStyle w:val="Heading4"/>
      </w:pPr>
      <w:r>
        <w:lastRenderedPageBreak/>
        <w:t>Compliance m</w:t>
      </w:r>
      <w:r w:rsidR="00BF2024" w:rsidRPr="00406C1F">
        <w:t xml:space="preserve">onitoring </w:t>
      </w:r>
    </w:p>
    <w:p w14:paraId="2ECD1290" w14:textId="726790F7" w:rsidR="00BF2024" w:rsidRPr="00406C1F" w:rsidRDefault="00BF2024" w:rsidP="002E2EFE">
      <w:pPr>
        <w:rPr>
          <w:color w:val="auto"/>
        </w:rPr>
      </w:pPr>
      <w:r w:rsidRPr="00406C1F">
        <w:t xml:space="preserve">Treasury’s assurance activities also include ongoing monitoring of compliance. For example, investors are often requested to report on their compliance with conditions imposed as part of </w:t>
      </w:r>
      <w:r w:rsidRPr="00406C1F">
        <w:rPr>
          <w:color w:val="auto"/>
        </w:rPr>
        <w:t xml:space="preserve">no objections notifications. These reports provide Treasury with information regarding the level of compliance and provide information about how compliance activities could be targeted in the future. In 2019, Treasury received over 230 compliance reports. </w:t>
      </w:r>
    </w:p>
    <w:p w14:paraId="0C4DE101" w14:textId="77777777" w:rsidR="00BF2024" w:rsidRPr="006D64A2" w:rsidRDefault="00BF2024" w:rsidP="00B57F28">
      <w:pPr>
        <w:pStyle w:val="Heading3"/>
      </w:pPr>
      <w:r w:rsidRPr="006D64A2">
        <w:t xml:space="preserve">Enforcement </w:t>
      </w:r>
    </w:p>
    <w:p w14:paraId="22BD89CE" w14:textId="0571FF56" w:rsidR="00BF2024" w:rsidRPr="00BF2024" w:rsidRDefault="00BF2024" w:rsidP="002E2EFE">
      <w:r w:rsidRPr="00BF2024">
        <w:t xml:space="preserve">The </w:t>
      </w:r>
      <w:r w:rsidR="006F607C">
        <w:t>Act</w:t>
      </w:r>
      <w:r w:rsidRPr="00BF2024">
        <w:t xml:space="preserve"> provides a number of powers to enforce the foreign investment rules, including criminal and civil penalties for non-compliance. Penalties may be applied for breaches of the </w:t>
      </w:r>
      <w:r w:rsidR="006F607C">
        <w:t>Act</w:t>
      </w:r>
      <w:r w:rsidRPr="00BF2024">
        <w:t xml:space="preserve">, including where a foreign person fails to notify investments that fall within screening thresholds, or breaches a condition imposed on an investment. Penalties under the </w:t>
      </w:r>
      <w:r w:rsidR="006F607C">
        <w:t>Act</w:t>
      </w:r>
      <w:r w:rsidRPr="00BF2024">
        <w:t xml:space="preserve"> are designed to deter non</w:t>
      </w:r>
      <w:r w:rsidR="00936C78">
        <w:noBreakHyphen/>
      </w:r>
      <w:r w:rsidRPr="00BF2024">
        <w:t xml:space="preserve">compliance, support the integrity of the </w:t>
      </w:r>
      <w:r w:rsidR="000F0D88">
        <w:t xml:space="preserve">foreign investment </w:t>
      </w:r>
      <w:r w:rsidRPr="00BF2024">
        <w:t xml:space="preserve">framework, and ensure the national interest is safeguarded. In general, Treasury will seek to work with foreign investors to achieve compliance in cases where non-compliance is inadvertent, self-reported by the foreign investor, the breach is administrative, and the investor is willing to remediate the breach as quickly as possible. Treasury’s focus continues to be on encouraging and assisting investors to comply. </w:t>
      </w:r>
    </w:p>
    <w:p w14:paraId="5258A8EF" w14:textId="77777777" w:rsidR="00BF2024" w:rsidRPr="006D64A2" w:rsidRDefault="00BF2024" w:rsidP="003505DE">
      <w:pPr>
        <w:pStyle w:val="Heading3"/>
      </w:pPr>
      <w:r w:rsidRPr="006D64A2">
        <w:t>Market intelligence</w:t>
      </w:r>
    </w:p>
    <w:p w14:paraId="2E55BEF4" w14:textId="77777777" w:rsidR="00BF2024" w:rsidRPr="00BF2024" w:rsidRDefault="00BF2024" w:rsidP="002E2EFE">
      <w:pPr>
        <w:rPr>
          <w:b/>
          <w:color w:val="auto"/>
        </w:rPr>
      </w:pPr>
      <w:r w:rsidRPr="00BF2024">
        <w:t>Treasury’s market intelligence activities are currently focused on making better use of data to improve monitoring of foreign investment compliance. Activities underway include putting arrangements in place with other agencies to enable more open sharing of information. It is expected this will put Treasury in a better position to identify investments that should have been screened under the foreign investment framework but were not.</w:t>
      </w:r>
    </w:p>
    <w:p w14:paraId="22843E8E" w14:textId="07F80198" w:rsidR="00A84283" w:rsidRPr="006D64A2" w:rsidRDefault="00422444" w:rsidP="003505DE">
      <w:pPr>
        <w:pStyle w:val="Heading2"/>
      </w:pPr>
      <w:bookmarkStart w:id="181" w:name="_Toc31296912"/>
      <w:bookmarkStart w:id="182" w:name="_Toc31636030"/>
      <w:bookmarkStart w:id="183" w:name="_Toc31642799"/>
      <w:bookmarkStart w:id="184" w:name="_Toc32247810"/>
      <w:bookmarkStart w:id="185" w:name="_Toc33625859"/>
      <w:r>
        <w:t xml:space="preserve">ATO’s </w:t>
      </w:r>
      <w:r w:rsidR="0078527F">
        <w:t>r</w:t>
      </w:r>
      <w:r w:rsidR="00A84283" w:rsidRPr="006D64A2">
        <w:t>esidential real estate compliance activities</w:t>
      </w:r>
      <w:bookmarkEnd w:id="181"/>
      <w:bookmarkEnd w:id="182"/>
      <w:bookmarkEnd w:id="183"/>
      <w:bookmarkEnd w:id="184"/>
      <w:bookmarkEnd w:id="185"/>
    </w:p>
    <w:p w14:paraId="7F74F248" w14:textId="7F6D40E2" w:rsidR="00A84283" w:rsidRPr="00573B78" w:rsidRDefault="00A84283" w:rsidP="002E2EFE">
      <w:pPr>
        <w:rPr>
          <w:color w:val="auto"/>
        </w:rPr>
      </w:pPr>
      <w:r w:rsidRPr="00573B78">
        <w:t>Since December</w:t>
      </w:r>
      <w:r w:rsidR="00C276FE">
        <w:t> </w:t>
      </w:r>
      <w:r w:rsidRPr="00573B78">
        <w:t>2015, the ATO has been responsible for managing residential real estate applications and associated compliance work. In April</w:t>
      </w:r>
      <w:r w:rsidR="00C276FE">
        <w:t> </w:t>
      </w:r>
      <w:r w:rsidRPr="00573B78">
        <w:t>2017, the ATO assumed several additional responsibilities, including the screening of applications and compliance w</w:t>
      </w:r>
      <w:r w:rsidR="00DB7870" w:rsidRPr="00573B78">
        <w:rPr>
          <w:color w:val="auto"/>
        </w:rPr>
        <w:t xml:space="preserve">ork for </w:t>
      </w:r>
      <w:r w:rsidRPr="00573B78">
        <w:rPr>
          <w:color w:val="auto"/>
        </w:rPr>
        <w:t>non</w:t>
      </w:r>
      <w:r w:rsidR="00DB7870" w:rsidRPr="00573B78">
        <w:rPr>
          <w:color w:val="auto"/>
        </w:rPr>
        <w:noBreakHyphen/>
      </w:r>
      <w:r w:rsidRPr="00573B78">
        <w:rPr>
          <w:color w:val="auto"/>
        </w:rPr>
        <w:t>sensitive commercial real estate and corporate reorganisation cases.</w:t>
      </w:r>
    </w:p>
    <w:p w14:paraId="447FBA94" w14:textId="0149BE16" w:rsidR="00A84283" w:rsidRPr="00573B78" w:rsidRDefault="00A84283" w:rsidP="002E2EFE">
      <w:pPr>
        <w:rPr>
          <w:color w:val="auto"/>
        </w:rPr>
      </w:pPr>
      <w:r w:rsidRPr="00573B78">
        <w:t>The data reported in this section is based on residential real estate compliance investigations undertaken by the ATO from 1</w:t>
      </w:r>
      <w:r w:rsidR="00C276FE">
        <w:t> July 2018 to 30 June </w:t>
      </w:r>
      <w:r w:rsidRPr="00573B78">
        <w:t xml:space="preserve">2019. </w:t>
      </w:r>
    </w:p>
    <w:p w14:paraId="670209FA" w14:textId="08B317F0" w:rsidR="009068CD" w:rsidRDefault="00FE4769" w:rsidP="002E2EFE">
      <w:r w:rsidRPr="00FE4769">
        <w:t>During 2018</w:t>
      </w:r>
      <w:r w:rsidR="00C276FE">
        <w:noBreakHyphen/>
      </w:r>
      <w:r w:rsidRPr="00FE4769">
        <w:t>19, 1</w:t>
      </w:r>
      <w:r w:rsidR="006A0149">
        <w:t>,</w:t>
      </w:r>
      <w:r w:rsidRPr="00FE4769">
        <w:t>2</w:t>
      </w:r>
      <w:r w:rsidR="00DB3C16">
        <w:t>2</w:t>
      </w:r>
      <w:r w:rsidRPr="00FE4769">
        <w:t>0 cases were identified for investigation (</w:t>
      </w:r>
      <w:r w:rsidR="00DB3C16">
        <w:t>down</w:t>
      </w:r>
      <w:r w:rsidRPr="00FE4769">
        <w:t xml:space="preserve"> from 1,</w:t>
      </w:r>
      <w:r w:rsidR="00DB3C16">
        <w:t>710</w:t>
      </w:r>
      <w:r w:rsidRPr="00FE4769">
        <w:t xml:space="preserve"> cases in</w:t>
      </w:r>
      <w:r w:rsidR="00DB3C16">
        <w:t xml:space="preserve"> </w:t>
      </w:r>
      <w:r w:rsidRPr="00FE4769">
        <w:t>201</w:t>
      </w:r>
      <w:r w:rsidR="00DB3C16">
        <w:t>7</w:t>
      </w:r>
      <w:r w:rsidR="00C276FE">
        <w:noBreakHyphen/>
      </w:r>
      <w:r w:rsidRPr="00FE4769">
        <w:t>1</w:t>
      </w:r>
      <w:r w:rsidR="00DB3C16">
        <w:t>8</w:t>
      </w:r>
      <w:r w:rsidRPr="00FE4769">
        <w:t>). Of these, 1,068 investigations were completed (1,404 in 2017</w:t>
      </w:r>
      <w:r w:rsidR="00C276FE">
        <w:noBreakHyphen/>
      </w:r>
      <w:r w:rsidRPr="00FE4769">
        <w:t xml:space="preserve">18), which identified 600 properties that were in breach of Australia’s foreign investment rules (identical to last </w:t>
      </w:r>
      <w:r w:rsidR="00C276FE">
        <w:t>year) (see </w:t>
      </w:r>
      <w:r w:rsidRPr="00FE4769">
        <w:t>Table</w:t>
      </w:r>
      <w:r w:rsidR="00C276FE">
        <w:t> </w:t>
      </w:r>
      <w:r w:rsidRPr="00FE4769">
        <w:t xml:space="preserve">4.1). </w:t>
      </w:r>
    </w:p>
    <w:p w14:paraId="59AA159F" w14:textId="77777777" w:rsidR="009068CD" w:rsidRDefault="009068CD">
      <w:pPr>
        <w:spacing w:after="0" w:line="240" w:lineRule="auto"/>
        <w:jc w:val="left"/>
      </w:pPr>
      <w:r>
        <w:br w:type="page"/>
      </w:r>
    </w:p>
    <w:p w14:paraId="386D2CC5" w14:textId="1E28AFD4" w:rsidR="003505DE" w:rsidRDefault="003505DE" w:rsidP="006D3C22">
      <w:pPr>
        <w:pStyle w:val="TableMainHeading"/>
      </w:pPr>
      <w:bookmarkStart w:id="186" w:name="_Toc32247780"/>
      <w:bookmarkStart w:id="187" w:name="_Toc33521365"/>
      <w:r w:rsidRPr="006D3C22">
        <w:lastRenderedPageBreak/>
        <w:t>Table 4.1: Residential real estate compliance investigations</w:t>
      </w:r>
      <w:r w:rsidR="00D9112E">
        <w:t xml:space="preserve"> in 2017-18 and 2018-19</w:t>
      </w:r>
      <w:bookmarkEnd w:id="186"/>
      <w:bookmarkEnd w:id="187"/>
    </w:p>
    <w:tbl>
      <w:tblPr>
        <w:tblW w:w="5000" w:type="pct"/>
        <w:tblLook w:val="04A0" w:firstRow="1" w:lastRow="0" w:firstColumn="1" w:lastColumn="0" w:noHBand="0" w:noVBand="1"/>
      </w:tblPr>
      <w:tblGrid>
        <w:gridCol w:w="3243"/>
        <w:gridCol w:w="2234"/>
        <w:gridCol w:w="2233"/>
      </w:tblGrid>
      <w:tr w:rsidR="00985C0F" w:rsidRPr="00985C0F" w14:paraId="171F2D17" w14:textId="77777777" w:rsidTr="00952E9A">
        <w:trPr>
          <w:trHeight w:val="300"/>
        </w:trPr>
        <w:tc>
          <w:tcPr>
            <w:tcW w:w="2103" w:type="pct"/>
            <w:tcBorders>
              <w:top w:val="single" w:sz="2" w:space="0" w:color="000000" w:themeColor="text1"/>
              <w:left w:val="nil"/>
              <w:bottom w:val="nil"/>
              <w:right w:val="nil"/>
            </w:tcBorders>
            <w:shd w:val="clear" w:color="auto" w:fill="auto"/>
            <w:noWrap/>
            <w:vAlign w:val="center"/>
            <w:hideMark/>
          </w:tcPr>
          <w:p w14:paraId="3E131760" w14:textId="676FEE85" w:rsidR="00985C0F" w:rsidRPr="00985C0F" w:rsidRDefault="00985C0F" w:rsidP="00985C0F">
            <w:pPr>
              <w:spacing w:after="0" w:line="240" w:lineRule="auto"/>
              <w:jc w:val="left"/>
              <w:rPr>
                <w:rFonts w:ascii="Arial" w:hAnsi="Arial" w:cs="Arial"/>
                <w:sz w:val="16"/>
                <w:szCs w:val="16"/>
              </w:rPr>
            </w:pPr>
          </w:p>
        </w:tc>
        <w:tc>
          <w:tcPr>
            <w:tcW w:w="1449" w:type="pct"/>
            <w:tcBorders>
              <w:top w:val="single" w:sz="2" w:space="0" w:color="000000" w:themeColor="text1"/>
              <w:left w:val="nil"/>
              <w:right w:val="nil"/>
            </w:tcBorders>
            <w:shd w:val="clear" w:color="000000" w:fill="FFFFFF"/>
            <w:noWrap/>
            <w:vAlign w:val="center"/>
            <w:hideMark/>
          </w:tcPr>
          <w:p w14:paraId="7D749E4E" w14:textId="140BDA9C" w:rsidR="00985C0F" w:rsidRPr="00985C0F" w:rsidRDefault="00985C0F" w:rsidP="00985C0F">
            <w:pPr>
              <w:spacing w:after="0" w:line="240" w:lineRule="auto"/>
              <w:jc w:val="right"/>
              <w:rPr>
                <w:rFonts w:ascii="Arial" w:hAnsi="Arial" w:cs="Arial"/>
                <w:color w:val="auto"/>
                <w:sz w:val="16"/>
                <w:szCs w:val="16"/>
              </w:rPr>
            </w:pPr>
            <w:r>
              <w:rPr>
                <w:rFonts w:ascii="Arial" w:hAnsi="Arial" w:cs="Arial"/>
                <w:color w:val="auto"/>
                <w:sz w:val="16"/>
                <w:szCs w:val="16"/>
              </w:rPr>
              <w:t>2017</w:t>
            </w:r>
            <w:r>
              <w:rPr>
                <w:rFonts w:ascii="Arial" w:hAnsi="Arial" w:cs="Arial"/>
                <w:color w:val="auto"/>
                <w:sz w:val="16"/>
                <w:szCs w:val="16"/>
              </w:rPr>
              <w:noBreakHyphen/>
              <w:t>18</w:t>
            </w:r>
          </w:p>
        </w:tc>
        <w:tc>
          <w:tcPr>
            <w:tcW w:w="1449" w:type="pct"/>
            <w:tcBorders>
              <w:top w:val="single" w:sz="2" w:space="0" w:color="000000" w:themeColor="text1"/>
              <w:left w:val="nil"/>
              <w:right w:val="nil"/>
            </w:tcBorders>
            <w:shd w:val="clear" w:color="000000" w:fill="F2F2F2"/>
            <w:noWrap/>
            <w:vAlign w:val="center"/>
            <w:hideMark/>
          </w:tcPr>
          <w:p w14:paraId="7DEA0DC5" w14:textId="23B24398" w:rsidR="00985C0F" w:rsidRPr="00985C0F" w:rsidRDefault="00985C0F" w:rsidP="00985C0F">
            <w:pPr>
              <w:spacing w:after="0" w:line="240" w:lineRule="auto"/>
              <w:jc w:val="right"/>
              <w:rPr>
                <w:rFonts w:ascii="Arial" w:hAnsi="Arial" w:cs="Arial"/>
                <w:color w:val="auto"/>
                <w:sz w:val="16"/>
                <w:szCs w:val="16"/>
              </w:rPr>
            </w:pPr>
            <w:r>
              <w:rPr>
                <w:rFonts w:ascii="Arial" w:hAnsi="Arial" w:cs="Arial"/>
                <w:color w:val="auto"/>
                <w:sz w:val="16"/>
                <w:szCs w:val="16"/>
              </w:rPr>
              <w:t>2018</w:t>
            </w:r>
            <w:r>
              <w:rPr>
                <w:rFonts w:ascii="Arial" w:hAnsi="Arial" w:cs="Arial"/>
                <w:color w:val="auto"/>
                <w:sz w:val="16"/>
                <w:szCs w:val="16"/>
              </w:rPr>
              <w:noBreakHyphen/>
              <w:t>19</w:t>
            </w:r>
          </w:p>
        </w:tc>
      </w:tr>
      <w:tr w:rsidR="00985C0F" w:rsidRPr="00985C0F" w14:paraId="2D3D95A7" w14:textId="77777777" w:rsidTr="00952E9A">
        <w:trPr>
          <w:trHeight w:val="300"/>
        </w:trPr>
        <w:tc>
          <w:tcPr>
            <w:tcW w:w="2103" w:type="pct"/>
            <w:tcBorders>
              <w:top w:val="nil"/>
              <w:left w:val="nil"/>
              <w:bottom w:val="single" w:sz="2" w:space="0" w:color="000000" w:themeColor="text1"/>
              <w:right w:val="nil"/>
            </w:tcBorders>
            <w:shd w:val="clear" w:color="000000" w:fill="FFFFFF"/>
            <w:noWrap/>
            <w:vAlign w:val="center"/>
            <w:hideMark/>
          </w:tcPr>
          <w:p w14:paraId="22117BD6" w14:textId="33E60F19" w:rsidR="00985C0F" w:rsidRPr="00985C0F" w:rsidRDefault="00985C0F" w:rsidP="00985C0F">
            <w:pPr>
              <w:spacing w:after="0" w:line="240" w:lineRule="auto"/>
              <w:jc w:val="left"/>
              <w:rPr>
                <w:rFonts w:ascii="Arial" w:hAnsi="Arial" w:cs="Arial"/>
                <w:color w:val="auto"/>
                <w:sz w:val="16"/>
                <w:szCs w:val="16"/>
              </w:rPr>
            </w:pPr>
            <w:r>
              <w:rPr>
                <w:rFonts w:ascii="Arial" w:hAnsi="Arial" w:cs="Arial"/>
                <w:color w:val="auto"/>
                <w:sz w:val="16"/>
                <w:szCs w:val="16"/>
              </w:rPr>
              <w:t>Investigations</w:t>
            </w:r>
          </w:p>
        </w:tc>
        <w:tc>
          <w:tcPr>
            <w:tcW w:w="1449" w:type="pct"/>
            <w:tcBorders>
              <w:left w:val="nil"/>
              <w:bottom w:val="single" w:sz="2" w:space="0" w:color="000000" w:themeColor="text1"/>
              <w:right w:val="nil"/>
            </w:tcBorders>
            <w:shd w:val="clear" w:color="000000" w:fill="FFFFFF"/>
            <w:noWrap/>
            <w:vAlign w:val="center"/>
            <w:hideMark/>
          </w:tcPr>
          <w:p w14:paraId="13C8883A" w14:textId="722D8DFA" w:rsidR="00985C0F" w:rsidRPr="00985C0F" w:rsidRDefault="00985C0F" w:rsidP="00985C0F">
            <w:pPr>
              <w:spacing w:after="0" w:line="240" w:lineRule="auto"/>
              <w:jc w:val="right"/>
              <w:rPr>
                <w:rFonts w:ascii="Arial" w:hAnsi="Arial" w:cs="Arial"/>
                <w:color w:val="auto"/>
                <w:sz w:val="16"/>
                <w:szCs w:val="16"/>
              </w:rPr>
            </w:pPr>
            <w:r>
              <w:rPr>
                <w:rFonts w:ascii="Arial" w:hAnsi="Arial" w:cs="Arial"/>
                <w:color w:val="auto"/>
                <w:sz w:val="16"/>
                <w:szCs w:val="16"/>
              </w:rPr>
              <w:t>No.</w:t>
            </w:r>
          </w:p>
        </w:tc>
        <w:tc>
          <w:tcPr>
            <w:tcW w:w="1449" w:type="pct"/>
            <w:tcBorders>
              <w:left w:val="nil"/>
              <w:bottom w:val="single" w:sz="2" w:space="0" w:color="000000" w:themeColor="text1"/>
              <w:right w:val="nil"/>
            </w:tcBorders>
            <w:shd w:val="clear" w:color="000000" w:fill="F2F2F2"/>
            <w:noWrap/>
            <w:vAlign w:val="center"/>
            <w:hideMark/>
          </w:tcPr>
          <w:p w14:paraId="0F1ED77D" w14:textId="7FA60381" w:rsidR="00985C0F" w:rsidRPr="00985C0F" w:rsidRDefault="00985C0F" w:rsidP="00985C0F">
            <w:pPr>
              <w:spacing w:after="0" w:line="240" w:lineRule="auto"/>
              <w:jc w:val="right"/>
              <w:rPr>
                <w:rFonts w:ascii="Arial" w:hAnsi="Arial" w:cs="Arial"/>
                <w:color w:val="auto"/>
                <w:sz w:val="16"/>
                <w:szCs w:val="16"/>
              </w:rPr>
            </w:pPr>
            <w:r w:rsidRPr="00985C0F">
              <w:rPr>
                <w:rFonts w:ascii="Arial" w:hAnsi="Arial" w:cs="Arial"/>
                <w:color w:val="auto"/>
                <w:sz w:val="16"/>
                <w:szCs w:val="16"/>
              </w:rPr>
              <w:t>No.</w:t>
            </w:r>
          </w:p>
        </w:tc>
      </w:tr>
      <w:tr w:rsidR="00985C0F" w:rsidRPr="00985C0F" w14:paraId="58904AF4" w14:textId="77777777" w:rsidTr="00952E9A">
        <w:trPr>
          <w:trHeight w:val="300"/>
        </w:trPr>
        <w:tc>
          <w:tcPr>
            <w:tcW w:w="2103" w:type="pct"/>
            <w:tcBorders>
              <w:top w:val="single" w:sz="2" w:space="0" w:color="000000" w:themeColor="text1"/>
              <w:left w:val="nil"/>
              <w:bottom w:val="nil"/>
              <w:right w:val="nil"/>
            </w:tcBorders>
            <w:shd w:val="clear" w:color="000000" w:fill="FFFFFF"/>
            <w:noWrap/>
            <w:vAlign w:val="center"/>
            <w:hideMark/>
          </w:tcPr>
          <w:p w14:paraId="2EA2E6D5" w14:textId="4795A0A6" w:rsidR="00985C0F" w:rsidRPr="00985C0F" w:rsidRDefault="00985C0F" w:rsidP="00985C0F">
            <w:pPr>
              <w:spacing w:after="0" w:line="240" w:lineRule="auto"/>
              <w:jc w:val="left"/>
              <w:rPr>
                <w:rFonts w:ascii="Arial" w:hAnsi="Arial" w:cs="Arial"/>
                <w:color w:val="auto"/>
                <w:sz w:val="16"/>
                <w:szCs w:val="16"/>
              </w:rPr>
            </w:pPr>
            <w:r>
              <w:rPr>
                <w:rFonts w:ascii="Arial" w:hAnsi="Arial" w:cs="Arial"/>
                <w:color w:val="auto"/>
                <w:sz w:val="16"/>
                <w:szCs w:val="16"/>
              </w:rPr>
              <w:t>Identified</w:t>
            </w:r>
          </w:p>
        </w:tc>
        <w:tc>
          <w:tcPr>
            <w:tcW w:w="1449" w:type="pct"/>
            <w:tcBorders>
              <w:top w:val="single" w:sz="2" w:space="0" w:color="000000" w:themeColor="text1"/>
              <w:left w:val="nil"/>
              <w:bottom w:val="nil"/>
              <w:right w:val="nil"/>
            </w:tcBorders>
            <w:shd w:val="clear" w:color="000000" w:fill="FFFFFF"/>
            <w:noWrap/>
            <w:vAlign w:val="center"/>
            <w:hideMark/>
          </w:tcPr>
          <w:p w14:paraId="3A7E57F0" w14:textId="77777777" w:rsidR="00985C0F" w:rsidRPr="00985C0F" w:rsidRDefault="00985C0F" w:rsidP="00985C0F">
            <w:pPr>
              <w:spacing w:after="0" w:line="240" w:lineRule="auto"/>
              <w:jc w:val="right"/>
              <w:rPr>
                <w:rFonts w:ascii="Arial" w:hAnsi="Arial" w:cs="Arial"/>
                <w:color w:val="auto"/>
                <w:sz w:val="16"/>
                <w:szCs w:val="16"/>
              </w:rPr>
            </w:pPr>
            <w:r w:rsidRPr="00985C0F">
              <w:rPr>
                <w:rFonts w:ascii="Arial" w:hAnsi="Arial" w:cs="Arial"/>
                <w:color w:val="auto"/>
                <w:sz w:val="16"/>
                <w:szCs w:val="16"/>
              </w:rPr>
              <w:t>1710</w:t>
            </w:r>
          </w:p>
        </w:tc>
        <w:tc>
          <w:tcPr>
            <w:tcW w:w="1449" w:type="pct"/>
            <w:tcBorders>
              <w:top w:val="single" w:sz="2" w:space="0" w:color="000000" w:themeColor="text1"/>
              <w:left w:val="nil"/>
              <w:bottom w:val="nil"/>
              <w:right w:val="nil"/>
            </w:tcBorders>
            <w:shd w:val="clear" w:color="000000" w:fill="F2F2F2"/>
            <w:noWrap/>
            <w:vAlign w:val="center"/>
            <w:hideMark/>
          </w:tcPr>
          <w:p w14:paraId="1C0074DF" w14:textId="77777777" w:rsidR="00985C0F" w:rsidRPr="00985C0F" w:rsidRDefault="00985C0F" w:rsidP="00985C0F">
            <w:pPr>
              <w:spacing w:after="0" w:line="240" w:lineRule="auto"/>
              <w:jc w:val="right"/>
              <w:rPr>
                <w:rFonts w:ascii="Arial" w:hAnsi="Arial" w:cs="Arial"/>
                <w:color w:val="auto"/>
                <w:sz w:val="16"/>
                <w:szCs w:val="16"/>
              </w:rPr>
            </w:pPr>
            <w:r w:rsidRPr="00985C0F">
              <w:rPr>
                <w:rFonts w:ascii="Arial" w:hAnsi="Arial" w:cs="Arial"/>
                <w:color w:val="auto"/>
                <w:sz w:val="16"/>
                <w:szCs w:val="16"/>
              </w:rPr>
              <w:t>1220</w:t>
            </w:r>
          </w:p>
        </w:tc>
      </w:tr>
      <w:tr w:rsidR="00985C0F" w:rsidRPr="00985C0F" w14:paraId="2BF9F272" w14:textId="77777777" w:rsidTr="00952E9A">
        <w:trPr>
          <w:trHeight w:val="300"/>
        </w:trPr>
        <w:tc>
          <w:tcPr>
            <w:tcW w:w="2103" w:type="pct"/>
            <w:tcBorders>
              <w:top w:val="nil"/>
              <w:left w:val="nil"/>
              <w:right w:val="nil"/>
            </w:tcBorders>
            <w:shd w:val="clear" w:color="000000" w:fill="FFFFFF"/>
            <w:noWrap/>
            <w:vAlign w:val="center"/>
            <w:hideMark/>
          </w:tcPr>
          <w:p w14:paraId="32985878" w14:textId="13A37044" w:rsidR="00985C0F" w:rsidRPr="00985C0F" w:rsidRDefault="00985C0F" w:rsidP="00985C0F">
            <w:pPr>
              <w:spacing w:after="0" w:line="240" w:lineRule="auto"/>
              <w:jc w:val="left"/>
              <w:rPr>
                <w:rFonts w:ascii="Arial" w:hAnsi="Arial" w:cs="Arial"/>
                <w:color w:val="auto"/>
                <w:sz w:val="16"/>
                <w:szCs w:val="16"/>
              </w:rPr>
            </w:pPr>
            <w:r>
              <w:rPr>
                <w:rFonts w:ascii="Arial" w:hAnsi="Arial" w:cs="Arial"/>
                <w:color w:val="auto"/>
                <w:sz w:val="16"/>
                <w:szCs w:val="16"/>
              </w:rPr>
              <w:t>Completed</w:t>
            </w:r>
          </w:p>
        </w:tc>
        <w:tc>
          <w:tcPr>
            <w:tcW w:w="1449" w:type="pct"/>
            <w:tcBorders>
              <w:top w:val="nil"/>
              <w:left w:val="nil"/>
              <w:right w:val="nil"/>
            </w:tcBorders>
            <w:shd w:val="clear" w:color="000000" w:fill="FFFFFF"/>
            <w:noWrap/>
            <w:vAlign w:val="center"/>
            <w:hideMark/>
          </w:tcPr>
          <w:p w14:paraId="1986C7AA" w14:textId="77777777" w:rsidR="00985C0F" w:rsidRPr="00985C0F" w:rsidRDefault="00985C0F" w:rsidP="00985C0F">
            <w:pPr>
              <w:spacing w:after="0" w:line="240" w:lineRule="auto"/>
              <w:jc w:val="right"/>
              <w:rPr>
                <w:rFonts w:ascii="Arial" w:hAnsi="Arial" w:cs="Arial"/>
                <w:color w:val="auto"/>
                <w:sz w:val="16"/>
                <w:szCs w:val="16"/>
              </w:rPr>
            </w:pPr>
            <w:r w:rsidRPr="00985C0F">
              <w:rPr>
                <w:rFonts w:ascii="Arial" w:hAnsi="Arial" w:cs="Arial"/>
                <w:color w:val="auto"/>
                <w:sz w:val="16"/>
                <w:szCs w:val="16"/>
              </w:rPr>
              <w:t>1404</w:t>
            </w:r>
          </w:p>
        </w:tc>
        <w:tc>
          <w:tcPr>
            <w:tcW w:w="1449" w:type="pct"/>
            <w:tcBorders>
              <w:top w:val="nil"/>
              <w:left w:val="nil"/>
              <w:right w:val="nil"/>
            </w:tcBorders>
            <w:shd w:val="clear" w:color="000000" w:fill="F2F2F2"/>
            <w:noWrap/>
            <w:vAlign w:val="center"/>
            <w:hideMark/>
          </w:tcPr>
          <w:p w14:paraId="62A696F4" w14:textId="77777777" w:rsidR="00985C0F" w:rsidRPr="00985C0F" w:rsidRDefault="00985C0F" w:rsidP="00985C0F">
            <w:pPr>
              <w:spacing w:after="0" w:line="240" w:lineRule="auto"/>
              <w:jc w:val="right"/>
              <w:rPr>
                <w:rFonts w:ascii="Arial" w:hAnsi="Arial" w:cs="Arial"/>
                <w:color w:val="auto"/>
                <w:sz w:val="16"/>
                <w:szCs w:val="16"/>
              </w:rPr>
            </w:pPr>
            <w:r w:rsidRPr="00985C0F">
              <w:rPr>
                <w:rFonts w:ascii="Arial" w:hAnsi="Arial" w:cs="Arial"/>
                <w:color w:val="auto"/>
                <w:sz w:val="16"/>
                <w:szCs w:val="16"/>
              </w:rPr>
              <w:t>1068</w:t>
            </w:r>
          </w:p>
        </w:tc>
      </w:tr>
      <w:tr w:rsidR="00985C0F" w:rsidRPr="00985C0F" w14:paraId="5A547C31" w14:textId="77777777" w:rsidTr="00952E9A">
        <w:trPr>
          <w:trHeight w:val="300"/>
        </w:trPr>
        <w:tc>
          <w:tcPr>
            <w:tcW w:w="2103" w:type="pct"/>
            <w:tcBorders>
              <w:top w:val="nil"/>
              <w:left w:val="nil"/>
              <w:bottom w:val="single" w:sz="2" w:space="0" w:color="auto"/>
              <w:right w:val="nil"/>
            </w:tcBorders>
            <w:shd w:val="clear" w:color="000000" w:fill="FFFFFF"/>
            <w:noWrap/>
            <w:vAlign w:val="center"/>
            <w:hideMark/>
          </w:tcPr>
          <w:p w14:paraId="2ED6D728" w14:textId="70ED1DF7" w:rsidR="00985C0F" w:rsidRPr="00985C0F" w:rsidRDefault="00985C0F" w:rsidP="00985C0F">
            <w:pPr>
              <w:spacing w:after="0" w:line="240" w:lineRule="auto"/>
              <w:jc w:val="left"/>
              <w:rPr>
                <w:rFonts w:ascii="Arial" w:hAnsi="Arial" w:cs="Arial"/>
                <w:color w:val="auto"/>
                <w:sz w:val="16"/>
                <w:szCs w:val="16"/>
              </w:rPr>
            </w:pPr>
            <w:r>
              <w:rPr>
                <w:rFonts w:ascii="Arial" w:hAnsi="Arial" w:cs="Arial"/>
                <w:color w:val="auto"/>
                <w:sz w:val="16"/>
                <w:szCs w:val="16"/>
              </w:rPr>
              <w:t>Properties in breach</w:t>
            </w:r>
          </w:p>
        </w:tc>
        <w:tc>
          <w:tcPr>
            <w:tcW w:w="1449" w:type="pct"/>
            <w:tcBorders>
              <w:top w:val="nil"/>
              <w:left w:val="nil"/>
              <w:bottom w:val="single" w:sz="2" w:space="0" w:color="auto"/>
              <w:right w:val="nil"/>
            </w:tcBorders>
            <w:shd w:val="clear" w:color="000000" w:fill="FFFFFF"/>
            <w:noWrap/>
            <w:vAlign w:val="center"/>
            <w:hideMark/>
          </w:tcPr>
          <w:p w14:paraId="0308E7E9" w14:textId="77777777" w:rsidR="00985C0F" w:rsidRPr="00985C0F" w:rsidRDefault="00985C0F" w:rsidP="00985C0F">
            <w:pPr>
              <w:spacing w:after="0" w:line="240" w:lineRule="auto"/>
              <w:jc w:val="right"/>
              <w:rPr>
                <w:rFonts w:ascii="Arial" w:hAnsi="Arial" w:cs="Arial"/>
                <w:color w:val="auto"/>
                <w:sz w:val="16"/>
                <w:szCs w:val="16"/>
              </w:rPr>
            </w:pPr>
            <w:r w:rsidRPr="00985C0F">
              <w:rPr>
                <w:rFonts w:ascii="Arial" w:hAnsi="Arial" w:cs="Arial"/>
                <w:color w:val="auto"/>
                <w:sz w:val="16"/>
                <w:szCs w:val="16"/>
              </w:rPr>
              <w:t>600</w:t>
            </w:r>
          </w:p>
        </w:tc>
        <w:tc>
          <w:tcPr>
            <w:tcW w:w="1449" w:type="pct"/>
            <w:tcBorders>
              <w:top w:val="nil"/>
              <w:left w:val="nil"/>
              <w:bottom w:val="single" w:sz="2" w:space="0" w:color="auto"/>
              <w:right w:val="nil"/>
            </w:tcBorders>
            <w:shd w:val="clear" w:color="000000" w:fill="F2F2F2"/>
            <w:noWrap/>
            <w:vAlign w:val="center"/>
            <w:hideMark/>
          </w:tcPr>
          <w:p w14:paraId="07B588F9" w14:textId="77777777" w:rsidR="00985C0F" w:rsidRPr="00985C0F" w:rsidRDefault="00985C0F" w:rsidP="00985C0F">
            <w:pPr>
              <w:spacing w:after="0" w:line="240" w:lineRule="auto"/>
              <w:jc w:val="right"/>
              <w:rPr>
                <w:rFonts w:ascii="Arial" w:hAnsi="Arial" w:cs="Arial"/>
                <w:color w:val="auto"/>
                <w:sz w:val="16"/>
                <w:szCs w:val="16"/>
              </w:rPr>
            </w:pPr>
            <w:r w:rsidRPr="00985C0F">
              <w:rPr>
                <w:rFonts w:ascii="Arial" w:hAnsi="Arial" w:cs="Arial"/>
                <w:color w:val="auto"/>
                <w:sz w:val="16"/>
                <w:szCs w:val="16"/>
              </w:rPr>
              <w:t>600</w:t>
            </w:r>
          </w:p>
        </w:tc>
      </w:tr>
    </w:tbl>
    <w:p w14:paraId="474218E8" w14:textId="77777777" w:rsidR="00D9112E" w:rsidRPr="00D9112E" w:rsidRDefault="00D9112E" w:rsidP="00D9112E"/>
    <w:p w14:paraId="21C1D858" w14:textId="64C0875E" w:rsidR="00A84283" w:rsidRPr="006D64A2" w:rsidRDefault="00A84283" w:rsidP="003505DE">
      <w:pPr>
        <w:pStyle w:val="Heading4"/>
      </w:pPr>
      <w:r w:rsidRPr="006D64A2">
        <w:t>Outcomes of residential property investigations</w:t>
      </w:r>
    </w:p>
    <w:p w14:paraId="48AC0782" w14:textId="5B853DB7" w:rsidR="00FE4769" w:rsidRPr="00FE4769" w:rsidRDefault="00FE4769" w:rsidP="002E2EFE">
      <w:r w:rsidRPr="00FE4769">
        <w:t xml:space="preserve">Compliance investigations </w:t>
      </w:r>
      <w:r w:rsidR="000F0D88">
        <w:t>in 2018</w:t>
      </w:r>
      <w:r w:rsidR="00C276FE">
        <w:noBreakHyphen/>
      </w:r>
      <w:r w:rsidR="000F0D88">
        <w:t xml:space="preserve">19 </w:t>
      </w:r>
      <w:r w:rsidRPr="00FE4769">
        <w:t>involved a broad range of residential property and identified varying severity of breaches. Identified breaches include:</w:t>
      </w:r>
    </w:p>
    <w:p w14:paraId="0AA8D548" w14:textId="77777777" w:rsidR="00FE4769" w:rsidRPr="00FE4769" w:rsidRDefault="00FE4769" w:rsidP="002E2EFE">
      <w:pPr>
        <w:pStyle w:val="Bullet"/>
      </w:pPr>
      <w:r w:rsidRPr="006040A4">
        <w:t>failure to seek approval before the purchase of a property;</w:t>
      </w:r>
    </w:p>
    <w:p w14:paraId="0A0AD079" w14:textId="77777777" w:rsidR="00FE4769" w:rsidRPr="00FE4769" w:rsidRDefault="00FE4769" w:rsidP="002E2EFE">
      <w:pPr>
        <w:pStyle w:val="Bullet"/>
      </w:pPr>
      <w:r w:rsidRPr="006040A4">
        <w:t>failure to sell an established property once the owner’s temporary resident visa expires;</w:t>
      </w:r>
    </w:p>
    <w:p w14:paraId="5BEC76F7" w14:textId="77777777" w:rsidR="00FE4769" w:rsidRPr="00FE4769" w:rsidRDefault="00FE4769" w:rsidP="002E2EFE">
      <w:pPr>
        <w:pStyle w:val="Bullet"/>
      </w:pPr>
      <w:r w:rsidRPr="006040A4">
        <w:t>temporary resident visa holders owning more than one established property;</w:t>
      </w:r>
    </w:p>
    <w:p w14:paraId="199CC6BD" w14:textId="77777777" w:rsidR="00FE4769" w:rsidRPr="00FE4769" w:rsidRDefault="00FE4769" w:rsidP="002E2EFE">
      <w:pPr>
        <w:pStyle w:val="Bullet"/>
      </w:pPr>
      <w:r w:rsidRPr="006040A4">
        <w:t>Australian companies and trusts controlled by foreign persons owning established properties;</w:t>
      </w:r>
    </w:p>
    <w:p w14:paraId="2E80EE71" w14:textId="1B87FC2E" w:rsidR="00FE4769" w:rsidRPr="00FE4769" w:rsidRDefault="00FE4769" w:rsidP="002E2EFE">
      <w:pPr>
        <w:pStyle w:val="Bullet"/>
      </w:pPr>
      <w:r w:rsidRPr="006040A4">
        <w:t xml:space="preserve">failure to comply with the conditions of an approval, such as not adhering to the requirement to use a property as a principal place of residence, renting out a dwelling or failing to commence construction or to redevelop </w:t>
      </w:r>
      <w:r w:rsidR="00ED2F16">
        <w:t>a</w:t>
      </w:r>
      <w:r w:rsidR="00ED2F16" w:rsidRPr="006040A4">
        <w:t xml:space="preserve"> </w:t>
      </w:r>
      <w:r w:rsidRPr="006040A4">
        <w:t xml:space="preserve">property within specified timeframes; </w:t>
      </w:r>
    </w:p>
    <w:p w14:paraId="005814CE" w14:textId="77777777" w:rsidR="00B1276E" w:rsidRDefault="00A84283" w:rsidP="002E2EFE">
      <w:pPr>
        <w:pStyle w:val="Bullet"/>
      </w:pPr>
      <w:r w:rsidRPr="006040A4">
        <w:t>failure to undertake certain actions within a specified period</w:t>
      </w:r>
      <w:r w:rsidR="00B1276E">
        <w:t>; and</w:t>
      </w:r>
    </w:p>
    <w:p w14:paraId="62188E96" w14:textId="4758C65B" w:rsidR="00A84283" w:rsidRPr="00A84283" w:rsidRDefault="00B06D9A" w:rsidP="002E2EFE">
      <w:pPr>
        <w:pStyle w:val="Bullet"/>
      </w:pPr>
      <w:r>
        <w:t>the</w:t>
      </w:r>
      <w:r w:rsidR="00DF682E">
        <w:t xml:space="preserve"> </w:t>
      </w:r>
      <w:r>
        <w:t>lodgement of</w:t>
      </w:r>
      <w:r w:rsidR="00DF682E">
        <w:t xml:space="preserve"> </w:t>
      </w:r>
      <w:r w:rsidR="002D7033">
        <w:t xml:space="preserve">a vacancy </w:t>
      </w:r>
      <w:r w:rsidR="0075641F">
        <w:t xml:space="preserve">fee </w:t>
      </w:r>
      <w:r w:rsidR="002D7033">
        <w:t>return</w:t>
      </w:r>
      <w:r>
        <w:t xml:space="preserve"> with incorrect or false information</w:t>
      </w:r>
      <w:r w:rsidR="00A84283" w:rsidRPr="006040A4">
        <w:t>.</w:t>
      </w:r>
    </w:p>
    <w:p w14:paraId="6322ED7A" w14:textId="2C669642" w:rsidR="00A84283" w:rsidRPr="00A84283" w:rsidRDefault="00A84283" w:rsidP="002E2EFE">
      <w:pPr>
        <w:rPr>
          <w:b/>
          <w:color w:val="auto"/>
        </w:rPr>
      </w:pPr>
      <w:r w:rsidRPr="00A84283">
        <w:t>Outcomes of investigations that identified breaches include</w:t>
      </w:r>
      <w:r w:rsidR="00DF682E">
        <w:t>d</w:t>
      </w:r>
      <w:r w:rsidRPr="00A84283">
        <w:t xml:space="preserve"> divestments, retrospective approvals</w:t>
      </w:r>
      <w:r w:rsidR="000B36A6">
        <w:t xml:space="preserve">, </w:t>
      </w:r>
      <w:r w:rsidRPr="00A84283">
        <w:t>variations of conditions</w:t>
      </w:r>
      <w:r w:rsidR="000B36A6">
        <w:t xml:space="preserve"> and raising a vacancy fee liability</w:t>
      </w:r>
      <w:r w:rsidRPr="00A84283">
        <w:t>.</w:t>
      </w:r>
      <w:r w:rsidR="008F1726">
        <w:t xml:space="preserve"> These outcomes are reported in Table 4.4.</w:t>
      </w:r>
      <w:r w:rsidRPr="00A84283">
        <w:t xml:space="preserve"> In some circumstances an infringement notice may have also been applied. Infringement notice data is reported separately. Table</w:t>
      </w:r>
      <w:r w:rsidR="00C276FE">
        <w:t> </w:t>
      </w:r>
      <w:r w:rsidRPr="00A84283">
        <w:t>4.</w:t>
      </w:r>
      <w:r w:rsidR="008F1726">
        <w:t>5</w:t>
      </w:r>
      <w:r w:rsidRPr="00A84283">
        <w:t xml:space="preserve"> provides detail on these outcomes.</w:t>
      </w:r>
    </w:p>
    <w:p w14:paraId="4DFD4B1E" w14:textId="05DF6975" w:rsidR="00A84283" w:rsidRPr="00573B78" w:rsidRDefault="00A84283" w:rsidP="002E2EFE">
      <w:pPr>
        <w:rPr>
          <w:color w:val="auto"/>
        </w:rPr>
      </w:pPr>
      <w:r w:rsidRPr="00573B78">
        <w:t>As outlined in the below table, change of conditions (3</w:t>
      </w:r>
      <w:r w:rsidR="008F1726">
        <w:t>6.</w:t>
      </w:r>
      <w:r w:rsidRPr="00573B78">
        <w:t>7</w:t>
      </w:r>
      <w:r w:rsidR="00C276FE">
        <w:t> per </w:t>
      </w:r>
      <w:r w:rsidRPr="00573B78">
        <w:t>cent outcome) and retrospective approval</w:t>
      </w:r>
      <w:r w:rsidR="00BA0E15">
        <w:t>s</w:t>
      </w:r>
      <w:r w:rsidRPr="00573B78">
        <w:t xml:space="preserve"> (3</w:t>
      </w:r>
      <w:r w:rsidR="008F1726">
        <w:t>5.5</w:t>
      </w:r>
      <w:r w:rsidR="00C276FE">
        <w:t> per </w:t>
      </w:r>
      <w:r w:rsidRPr="00573B78">
        <w:t xml:space="preserve">cent outcome) are the most </w:t>
      </w:r>
      <w:r w:rsidR="008F1726">
        <w:t>frequent</w:t>
      </w:r>
      <w:r w:rsidRPr="00573B78">
        <w:t xml:space="preserve"> outcomes. Compliance outcomes are influenced by the ATO’s compliance strategy and case select</w:t>
      </w:r>
      <w:r w:rsidR="00EB5DF2">
        <w:t>ion methodologies, which apply</w:t>
      </w:r>
      <w:r w:rsidRPr="00573B78">
        <w:t xml:space="preserve"> a risk</w:t>
      </w:r>
      <w:r w:rsidR="000F0D88">
        <w:t>-based</w:t>
      </w:r>
      <w:r w:rsidRPr="00573B78">
        <w:t xml:space="preserve"> approach to encourage foreign investors to comply with the rules where their investment is in the national interest. In most circumstances an infringement notice, which imposes a financial penalty on a foreign person, was applied to breaches even if the application was subsequently given approval or conditions of approval changed. Infringement notic</w:t>
      </w:r>
      <w:r w:rsidR="00F15083" w:rsidRPr="00573B78">
        <w:rPr>
          <w:color w:val="auto"/>
        </w:rPr>
        <w:t>e data is reported in Table</w:t>
      </w:r>
      <w:r w:rsidR="00C276FE">
        <w:rPr>
          <w:color w:val="auto"/>
        </w:rPr>
        <w:t> </w:t>
      </w:r>
      <w:r w:rsidR="00F15083" w:rsidRPr="00573B78">
        <w:rPr>
          <w:color w:val="auto"/>
        </w:rPr>
        <w:t>4.5.</w:t>
      </w:r>
    </w:p>
    <w:p w14:paraId="3C6F0B4C" w14:textId="28B7F0C2" w:rsidR="003505DE" w:rsidRDefault="003505DE" w:rsidP="001B3CF4">
      <w:pPr>
        <w:pStyle w:val="TableMainHeading"/>
        <w:keepLines/>
      </w:pPr>
      <w:bookmarkStart w:id="188" w:name="_Toc32247781"/>
      <w:bookmarkStart w:id="189" w:name="_Toc33521366"/>
      <w:r w:rsidRPr="006D3C22">
        <w:lastRenderedPageBreak/>
        <w:t xml:space="preserve">Table 4.2: Outcomes of residential real estate investigations that identified breaches </w:t>
      </w:r>
      <w:r w:rsidR="00D9112E">
        <w:t>in 2017-18 and 2018-19</w:t>
      </w:r>
      <w:bookmarkEnd w:id="188"/>
      <w:bookmarkEnd w:id="189"/>
    </w:p>
    <w:tbl>
      <w:tblPr>
        <w:tblW w:w="5000" w:type="pct"/>
        <w:tblBorders>
          <w:top w:val="single" w:sz="2" w:space="0" w:color="000000" w:themeColor="text1"/>
          <w:bottom w:val="single" w:sz="2" w:space="0" w:color="000000" w:themeColor="text1"/>
        </w:tblBorders>
        <w:tblLook w:val="04A0" w:firstRow="1" w:lastRow="0" w:firstColumn="1" w:lastColumn="0" w:noHBand="0" w:noVBand="1"/>
      </w:tblPr>
      <w:tblGrid>
        <w:gridCol w:w="2745"/>
        <w:gridCol w:w="1241"/>
        <w:gridCol w:w="1243"/>
        <w:gridCol w:w="1241"/>
        <w:gridCol w:w="1240"/>
      </w:tblGrid>
      <w:tr w:rsidR="00985C0F" w:rsidRPr="00985C0F" w14:paraId="2BAE2946" w14:textId="77777777" w:rsidTr="00952E9A">
        <w:trPr>
          <w:trHeight w:val="300"/>
        </w:trPr>
        <w:tc>
          <w:tcPr>
            <w:tcW w:w="1780" w:type="pct"/>
            <w:shd w:val="clear" w:color="auto" w:fill="auto"/>
            <w:noWrap/>
            <w:vAlign w:val="center"/>
            <w:hideMark/>
          </w:tcPr>
          <w:p w14:paraId="743BFF95" w14:textId="34627B7D" w:rsidR="00985C0F" w:rsidRPr="00985C0F" w:rsidRDefault="00985C0F" w:rsidP="001B3CF4">
            <w:pPr>
              <w:keepNext/>
              <w:spacing w:after="0" w:line="240" w:lineRule="auto"/>
              <w:jc w:val="left"/>
              <w:rPr>
                <w:rFonts w:ascii="Arial" w:hAnsi="Arial" w:cs="Arial"/>
                <w:sz w:val="16"/>
                <w:szCs w:val="16"/>
              </w:rPr>
            </w:pPr>
          </w:p>
        </w:tc>
        <w:tc>
          <w:tcPr>
            <w:tcW w:w="1611" w:type="pct"/>
            <w:gridSpan w:val="2"/>
            <w:tcBorders>
              <w:bottom w:val="nil"/>
            </w:tcBorders>
            <w:shd w:val="clear" w:color="auto" w:fill="auto"/>
            <w:vAlign w:val="center"/>
            <w:hideMark/>
          </w:tcPr>
          <w:p w14:paraId="3CC8EF2A" w14:textId="77777777" w:rsidR="00985C0F" w:rsidRPr="00985C0F" w:rsidRDefault="00985C0F" w:rsidP="001B3CF4">
            <w:pPr>
              <w:keepNext/>
              <w:spacing w:after="0" w:line="240" w:lineRule="auto"/>
              <w:jc w:val="center"/>
              <w:rPr>
                <w:rFonts w:ascii="Arial" w:hAnsi="Arial" w:cs="Arial"/>
                <w:sz w:val="16"/>
                <w:szCs w:val="16"/>
              </w:rPr>
            </w:pPr>
            <w:r w:rsidRPr="00985C0F">
              <w:rPr>
                <w:rFonts w:ascii="Arial" w:hAnsi="Arial" w:cs="Arial"/>
                <w:sz w:val="16"/>
                <w:szCs w:val="16"/>
              </w:rPr>
              <w:t>2017</w:t>
            </w:r>
            <w:r w:rsidRPr="00985C0F">
              <w:rPr>
                <w:rFonts w:ascii="Arial" w:hAnsi="Arial" w:cs="Arial"/>
                <w:sz w:val="16"/>
                <w:szCs w:val="16"/>
              </w:rPr>
              <w:noBreakHyphen/>
              <w:t>18</w:t>
            </w:r>
          </w:p>
        </w:tc>
        <w:tc>
          <w:tcPr>
            <w:tcW w:w="1610" w:type="pct"/>
            <w:gridSpan w:val="2"/>
            <w:tcBorders>
              <w:bottom w:val="nil"/>
            </w:tcBorders>
            <w:shd w:val="clear" w:color="000000" w:fill="F2F2F2"/>
            <w:vAlign w:val="center"/>
            <w:hideMark/>
          </w:tcPr>
          <w:p w14:paraId="038BF7CD" w14:textId="77777777" w:rsidR="00985C0F" w:rsidRPr="00985C0F" w:rsidRDefault="00985C0F" w:rsidP="001B3CF4">
            <w:pPr>
              <w:keepNext/>
              <w:spacing w:after="0" w:line="240" w:lineRule="auto"/>
              <w:jc w:val="center"/>
              <w:rPr>
                <w:rFonts w:ascii="Arial" w:hAnsi="Arial" w:cs="Arial"/>
                <w:sz w:val="16"/>
                <w:szCs w:val="16"/>
              </w:rPr>
            </w:pPr>
            <w:r w:rsidRPr="00985C0F">
              <w:rPr>
                <w:rFonts w:ascii="Arial" w:hAnsi="Arial" w:cs="Arial"/>
                <w:sz w:val="16"/>
                <w:szCs w:val="16"/>
              </w:rPr>
              <w:t>2018</w:t>
            </w:r>
            <w:r w:rsidRPr="00985C0F">
              <w:rPr>
                <w:rFonts w:ascii="Arial" w:hAnsi="Arial" w:cs="Arial"/>
                <w:sz w:val="16"/>
                <w:szCs w:val="16"/>
              </w:rPr>
              <w:noBreakHyphen/>
              <w:t>19</w:t>
            </w:r>
          </w:p>
        </w:tc>
      </w:tr>
      <w:tr w:rsidR="00985C0F" w:rsidRPr="00985C0F" w14:paraId="373C8AC4" w14:textId="77777777" w:rsidTr="00952E9A">
        <w:trPr>
          <w:trHeight w:val="300"/>
        </w:trPr>
        <w:tc>
          <w:tcPr>
            <w:tcW w:w="1780" w:type="pct"/>
            <w:shd w:val="clear" w:color="auto" w:fill="auto"/>
            <w:vAlign w:val="center"/>
            <w:hideMark/>
          </w:tcPr>
          <w:p w14:paraId="537225F0" w14:textId="77777777" w:rsidR="00985C0F" w:rsidRPr="00985C0F" w:rsidRDefault="00985C0F" w:rsidP="001B3CF4">
            <w:pPr>
              <w:keepNext/>
              <w:spacing w:after="0" w:line="240" w:lineRule="auto"/>
              <w:rPr>
                <w:rFonts w:ascii="Arial" w:hAnsi="Arial" w:cs="Arial"/>
                <w:sz w:val="16"/>
                <w:szCs w:val="16"/>
              </w:rPr>
            </w:pPr>
            <w:r w:rsidRPr="00985C0F">
              <w:rPr>
                <w:rFonts w:ascii="Arial" w:hAnsi="Arial" w:cs="Arial"/>
                <w:sz w:val="16"/>
                <w:szCs w:val="16"/>
              </w:rPr>
              <w:t>Compliance outcome</w:t>
            </w:r>
          </w:p>
        </w:tc>
        <w:tc>
          <w:tcPr>
            <w:tcW w:w="805" w:type="pct"/>
            <w:tcBorders>
              <w:top w:val="nil"/>
              <w:bottom w:val="single" w:sz="2" w:space="0" w:color="000000" w:themeColor="text1"/>
            </w:tcBorders>
            <w:shd w:val="clear" w:color="auto" w:fill="auto"/>
            <w:vAlign w:val="center"/>
            <w:hideMark/>
          </w:tcPr>
          <w:p w14:paraId="5D265B47"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No.</w:t>
            </w:r>
          </w:p>
        </w:tc>
        <w:tc>
          <w:tcPr>
            <w:tcW w:w="805" w:type="pct"/>
            <w:tcBorders>
              <w:top w:val="nil"/>
              <w:bottom w:val="single" w:sz="2" w:space="0" w:color="000000" w:themeColor="text1"/>
            </w:tcBorders>
            <w:shd w:val="clear" w:color="auto" w:fill="auto"/>
            <w:vAlign w:val="center"/>
            <w:hideMark/>
          </w:tcPr>
          <w:p w14:paraId="23888CA2"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Percentage</w:t>
            </w:r>
          </w:p>
        </w:tc>
        <w:tc>
          <w:tcPr>
            <w:tcW w:w="805" w:type="pct"/>
            <w:tcBorders>
              <w:top w:val="nil"/>
              <w:bottom w:val="single" w:sz="2" w:space="0" w:color="000000" w:themeColor="text1"/>
            </w:tcBorders>
            <w:shd w:val="clear" w:color="000000" w:fill="F2F2F2"/>
            <w:vAlign w:val="center"/>
            <w:hideMark/>
          </w:tcPr>
          <w:p w14:paraId="4887F486"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No.</w:t>
            </w:r>
          </w:p>
        </w:tc>
        <w:tc>
          <w:tcPr>
            <w:tcW w:w="805" w:type="pct"/>
            <w:tcBorders>
              <w:top w:val="nil"/>
              <w:bottom w:val="single" w:sz="2" w:space="0" w:color="000000" w:themeColor="text1"/>
            </w:tcBorders>
            <w:shd w:val="clear" w:color="000000" w:fill="F2F2F2"/>
            <w:vAlign w:val="center"/>
            <w:hideMark/>
          </w:tcPr>
          <w:p w14:paraId="22BC9212"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Percentage</w:t>
            </w:r>
          </w:p>
        </w:tc>
      </w:tr>
      <w:tr w:rsidR="00985C0F" w:rsidRPr="00985C0F" w14:paraId="31C12FC7" w14:textId="77777777" w:rsidTr="00952E9A">
        <w:trPr>
          <w:trHeight w:val="300"/>
        </w:trPr>
        <w:tc>
          <w:tcPr>
            <w:tcW w:w="1780" w:type="pct"/>
            <w:shd w:val="clear" w:color="auto" w:fill="auto"/>
            <w:vAlign w:val="center"/>
            <w:hideMark/>
          </w:tcPr>
          <w:p w14:paraId="28A44CF5" w14:textId="77777777" w:rsidR="00985C0F" w:rsidRPr="00985C0F" w:rsidRDefault="00985C0F" w:rsidP="001B3CF4">
            <w:pPr>
              <w:keepNext/>
              <w:spacing w:after="0" w:line="240" w:lineRule="auto"/>
              <w:rPr>
                <w:rFonts w:ascii="Arial" w:hAnsi="Arial" w:cs="Arial"/>
                <w:sz w:val="16"/>
                <w:szCs w:val="16"/>
              </w:rPr>
            </w:pPr>
            <w:r w:rsidRPr="00985C0F">
              <w:rPr>
                <w:rFonts w:ascii="Arial" w:hAnsi="Arial" w:cs="Arial"/>
                <w:sz w:val="16"/>
                <w:szCs w:val="16"/>
              </w:rPr>
              <w:t>Divestment (a)</w:t>
            </w:r>
          </w:p>
        </w:tc>
        <w:tc>
          <w:tcPr>
            <w:tcW w:w="805" w:type="pct"/>
            <w:tcBorders>
              <w:top w:val="single" w:sz="2" w:space="0" w:color="000000" w:themeColor="text1"/>
            </w:tcBorders>
            <w:shd w:val="clear" w:color="auto" w:fill="auto"/>
            <w:vAlign w:val="center"/>
            <w:hideMark/>
          </w:tcPr>
          <w:p w14:paraId="42291EFB"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131</w:t>
            </w:r>
          </w:p>
        </w:tc>
        <w:tc>
          <w:tcPr>
            <w:tcW w:w="805" w:type="pct"/>
            <w:tcBorders>
              <w:top w:val="single" w:sz="2" w:space="0" w:color="000000" w:themeColor="text1"/>
            </w:tcBorders>
            <w:shd w:val="clear" w:color="auto" w:fill="auto"/>
            <w:vAlign w:val="center"/>
            <w:hideMark/>
          </w:tcPr>
          <w:p w14:paraId="3E966411"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21.8</w:t>
            </w:r>
          </w:p>
        </w:tc>
        <w:tc>
          <w:tcPr>
            <w:tcW w:w="805" w:type="pct"/>
            <w:tcBorders>
              <w:top w:val="single" w:sz="2" w:space="0" w:color="000000" w:themeColor="text1"/>
            </w:tcBorders>
            <w:shd w:val="clear" w:color="000000" w:fill="F2F2F2"/>
            <w:vAlign w:val="center"/>
            <w:hideMark/>
          </w:tcPr>
          <w:p w14:paraId="2A89B4B2"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83</w:t>
            </w:r>
          </w:p>
        </w:tc>
        <w:tc>
          <w:tcPr>
            <w:tcW w:w="805" w:type="pct"/>
            <w:tcBorders>
              <w:top w:val="single" w:sz="2" w:space="0" w:color="000000" w:themeColor="text1"/>
            </w:tcBorders>
            <w:shd w:val="clear" w:color="000000" w:fill="F2F2F2"/>
            <w:vAlign w:val="center"/>
            <w:hideMark/>
          </w:tcPr>
          <w:p w14:paraId="7FE5E64E"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13.8</w:t>
            </w:r>
          </w:p>
        </w:tc>
      </w:tr>
      <w:tr w:rsidR="00985C0F" w:rsidRPr="00985C0F" w14:paraId="5A08EB2E" w14:textId="77777777" w:rsidTr="00952E9A">
        <w:trPr>
          <w:trHeight w:val="300"/>
        </w:trPr>
        <w:tc>
          <w:tcPr>
            <w:tcW w:w="1780" w:type="pct"/>
            <w:shd w:val="clear" w:color="auto" w:fill="auto"/>
            <w:vAlign w:val="center"/>
            <w:hideMark/>
          </w:tcPr>
          <w:p w14:paraId="5B52BF6E" w14:textId="77777777" w:rsidR="00985C0F" w:rsidRPr="00985C0F" w:rsidRDefault="00985C0F" w:rsidP="001B3CF4">
            <w:pPr>
              <w:keepNext/>
              <w:spacing w:after="0" w:line="240" w:lineRule="auto"/>
              <w:rPr>
                <w:rFonts w:ascii="Arial" w:hAnsi="Arial" w:cs="Arial"/>
                <w:sz w:val="16"/>
                <w:szCs w:val="16"/>
              </w:rPr>
            </w:pPr>
            <w:r w:rsidRPr="00985C0F">
              <w:rPr>
                <w:rFonts w:ascii="Arial" w:hAnsi="Arial" w:cs="Arial"/>
                <w:sz w:val="16"/>
                <w:szCs w:val="16"/>
              </w:rPr>
              <w:t>Retrospective approval (b)</w:t>
            </w:r>
          </w:p>
        </w:tc>
        <w:tc>
          <w:tcPr>
            <w:tcW w:w="805" w:type="pct"/>
            <w:shd w:val="clear" w:color="auto" w:fill="auto"/>
            <w:vAlign w:val="center"/>
            <w:hideMark/>
          </w:tcPr>
          <w:p w14:paraId="1086CC82"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102</w:t>
            </w:r>
          </w:p>
        </w:tc>
        <w:tc>
          <w:tcPr>
            <w:tcW w:w="805" w:type="pct"/>
            <w:shd w:val="clear" w:color="auto" w:fill="auto"/>
            <w:vAlign w:val="center"/>
            <w:hideMark/>
          </w:tcPr>
          <w:p w14:paraId="1E606022"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17.0</w:t>
            </w:r>
          </w:p>
        </w:tc>
        <w:tc>
          <w:tcPr>
            <w:tcW w:w="805" w:type="pct"/>
            <w:shd w:val="clear" w:color="000000" w:fill="F2F2F2"/>
            <w:vAlign w:val="center"/>
            <w:hideMark/>
          </w:tcPr>
          <w:p w14:paraId="7254C813"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79</w:t>
            </w:r>
          </w:p>
        </w:tc>
        <w:tc>
          <w:tcPr>
            <w:tcW w:w="805" w:type="pct"/>
            <w:shd w:val="clear" w:color="000000" w:fill="F2F2F2"/>
            <w:vAlign w:val="center"/>
            <w:hideMark/>
          </w:tcPr>
          <w:p w14:paraId="398C64EF"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13.2</w:t>
            </w:r>
          </w:p>
        </w:tc>
      </w:tr>
      <w:tr w:rsidR="00985C0F" w:rsidRPr="00985C0F" w14:paraId="0ADCDEB1" w14:textId="77777777" w:rsidTr="00952E9A">
        <w:trPr>
          <w:trHeight w:val="300"/>
        </w:trPr>
        <w:tc>
          <w:tcPr>
            <w:tcW w:w="1780" w:type="pct"/>
            <w:shd w:val="clear" w:color="auto" w:fill="auto"/>
            <w:vAlign w:val="center"/>
            <w:hideMark/>
          </w:tcPr>
          <w:p w14:paraId="2333330E" w14:textId="77777777" w:rsidR="00985C0F" w:rsidRPr="00985C0F" w:rsidRDefault="00985C0F" w:rsidP="001B3CF4">
            <w:pPr>
              <w:keepNext/>
              <w:spacing w:after="0" w:line="240" w:lineRule="auto"/>
              <w:rPr>
                <w:rFonts w:ascii="Arial" w:hAnsi="Arial" w:cs="Arial"/>
                <w:sz w:val="16"/>
                <w:szCs w:val="16"/>
              </w:rPr>
            </w:pPr>
            <w:r w:rsidRPr="00985C0F">
              <w:rPr>
                <w:rFonts w:ascii="Arial" w:hAnsi="Arial" w:cs="Arial"/>
                <w:sz w:val="16"/>
                <w:szCs w:val="16"/>
              </w:rPr>
              <w:t>Change of conditions (c)</w:t>
            </w:r>
          </w:p>
        </w:tc>
        <w:tc>
          <w:tcPr>
            <w:tcW w:w="805" w:type="pct"/>
            <w:shd w:val="clear" w:color="auto" w:fill="auto"/>
            <w:vAlign w:val="center"/>
            <w:hideMark/>
          </w:tcPr>
          <w:p w14:paraId="7E3A76C6"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177</w:t>
            </w:r>
          </w:p>
        </w:tc>
        <w:tc>
          <w:tcPr>
            <w:tcW w:w="805" w:type="pct"/>
            <w:shd w:val="clear" w:color="auto" w:fill="auto"/>
            <w:vAlign w:val="center"/>
            <w:hideMark/>
          </w:tcPr>
          <w:p w14:paraId="23EB9034"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29.5</w:t>
            </w:r>
          </w:p>
        </w:tc>
        <w:tc>
          <w:tcPr>
            <w:tcW w:w="805" w:type="pct"/>
            <w:shd w:val="clear" w:color="000000" w:fill="F2F2F2"/>
            <w:vAlign w:val="center"/>
            <w:hideMark/>
          </w:tcPr>
          <w:p w14:paraId="1F07E18D"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220</w:t>
            </w:r>
          </w:p>
        </w:tc>
        <w:tc>
          <w:tcPr>
            <w:tcW w:w="805" w:type="pct"/>
            <w:shd w:val="clear" w:color="000000" w:fill="F2F2F2"/>
            <w:vAlign w:val="center"/>
            <w:hideMark/>
          </w:tcPr>
          <w:p w14:paraId="0C649CB7"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36.7</w:t>
            </w:r>
          </w:p>
        </w:tc>
      </w:tr>
      <w:tr w:rsidR="00985C0F" w:rsidRPr="00985C0F" w14:paraId="05A6A9CA" w14:textId="77777777" w:rsidTr="00952E9A">
        <w:trPr>
          <w:trHeight w:val="450"/>
        </w:trPr>
        <w:tc>
          <w:tcPr>
            <w:tcW w:w="1780" w:type="pct"/>
            <w:shd w:val="clear" w:color="auto" w:fill="auto"/>
            <w:vAlign w:val="center"/>
            <w:hideMark/>
          </w:tcPr>
          <w:p w14:paraId="5657E758" w14:textId="77777777" w:rsidR="00985C0F" w:rsidRPr="00985C0F" w:rsidRDefault="00985C0F" w:rsidP="001B3CF4">
            <w:pPr>
              <w:keepNext/>
              <w:spacing w:after="0" w:line="240" w:lineRule="auto"/>
              <w:rPr>
                <w:rFonts w:ascii="Arial" w:hAnsi="Arial" w:cs="Arial"/>
                <w:sz w:val="16"/>
                <w:szCs w:val="16"/>
              </w:rPr>
            </w:pPr>
            <w:r w:rsidRPr="00985C0F">
              <w:rPr>
                <w:rFonts w:ascii="Arial" w:hAnsi="Arial" w:cs="Arial"/>
                <w:sz w:val="16"/>
                <w:szCs w:val="16"/>
              </w:rPr>
              <w:t>Retrospective approval during FIRB consideration (d)</w:t>
            </w:r>
          </w:p>
        </w:tc>
        <w:tc>
          <w:tcPr>
            <w:tcW w:w="805" w:type="pct"/>
            <w:shd w:val="clear" w:color="auto" w:fill="auto"/>
            <w:vAlign w:val="center"/>
            <w:hideMark/>
          </w:tcPr>
          <w:p w14:paraId="0552F9E8"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190</w:t>
            </w:r>
          </w:p>
        </w:tc>
        <w:tc>
          <w:tcPr>
            <w:tcW w:w="805" w:type="pct"/>
            <w:shd w:val="clear" w:color="auto" w:fill="auto"/>
            <w:vAlign w:val="center"/>
            <w:hideMark/>
          </w:tcPr>
          <w:p w14:paraId="5B49F213"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31.7</w:t>
            </w:r>
          </w:p>
        </w:tc>
        <w:tc>
          <w:tcPr>
            <w:tcW w:w="805" w:type="pct"/>
            <w:shd w:val="clear" w:color="000000" w:fill="F2F2F2"/>
            <w:vAlign w:val="center"/>
            <w:hideMark/>
          </w:tcPr>
          <w:p w14:paraId="3ED8B6F7"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213</w:t>
            </w:r>
          </w:p>
        </w:tc>
        <w:tc>
          <w:tcPr>
            <w:tcW w:w="805" w:type="pct"/>
            <w:shd w:val="clear" w:color="000000" w:fill="F2F2F2"/>
            <w:vAlign w:val="center"/>
            <w:hideMark/>
          </w:tcPr>
          <w:p w14:paraId="1AF0096F"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35.5</w:t>
            </w:r>
          </w:p>
        </w:tc>
      </w:tr>
      <w:tr w:rsidR="00985C0F" w:rsidRPr="00985C0F" w14:paraId="0795D54F" w14:textId="77777777" w:rsidTr="00952E9A">
        <w:trPr>
          <w:trHeight w:val="300"/>
        </w:trPr>
        <w:tc>
          <w:tcPr>
            <w:tcW w:w="1780" w:type="pct"/>
            <w:shd w:val="clear" w:color="auto" w:fill="auto"/>
            <w:vAlign w:val="center"/>
            <w:hideMark/>
          </w:tcPr>
          <w:p w14:paraId="65CC6247" w14:textId="77777777" w:rsidR="00985C0F" w:rsidRPr="00985C0F" w:rsidRDefault="00985C0F" w:rsidP="001B3CF4">
            <w:pPr>
              <w:keepNext/>
              <w:spacing w:after="0" w:line="240" w:lineRule="auto"/>
              <w:rPr>
                <w:rFonts w:ascii="Arial" w:hAnsi="Arial" w:cs="Arial"/>
                <w:sz w:val="16"/>
                <w:szCs w:val="16"/>
              </w:rPr>
            </w:pPr>
            <w:r w:rsidRPr="00985C0F">
              <w:rPr>
                <w:rFonts w:ascii="Arial" w:hAnsi="Arial" w:cs="Arial"/>
                <w:sz w:val="16"/>
                <w:szCs w:val="16"/>
              </w:rPr>
              <w:t>Vacancy fee raised</w:t>
            </w:r>
          </w:p>
        </w:tc>
        <w:tc>
          <w:tcPr>
            <w:tcW w:w="805" w:type="pct"/>
            <w:tcBorders>
              <w:bottom w:val="single" w:sz="2" w:space="0" w:color="000000" w:themeColor="text1"/>
            </w:tcBorders>
            <w:shd w:val="clear" w:color="auto" w:fill="auto"/>
            <w:vAlign w:val="center"/>
            <w:hideMark/>
          </w:tcPr>
          <w:p w14:paraId="6CE32AF6"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w:t>
            </w:r>
          </w:p>
        </w:tc>
        <w:tc>
          <w:tcPr>
            <w:tcW w:w="805" w:type="pct"/>
            <w:tcBorders>
              <w:bottom w:val="single" w:sz="2" w:space="0" w:color="000000" w:themeColor="text1"/>
            </w:tcBorders>
            <w:shd w:val="clear" w:color="auto" w:fill="auto"/>
            <w:vAlign w:val="center"/>
            <w:hideMark/>
          </w:tcPr>
          <w:p w14:paraId="61F41228"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w:t>
            </w:r>
          </w:p>
        </w:tc>
        <w:tc>
          <w:tcPr>
            <w:tcW w:w="805" w:type="pct"/>
            <w:tcBorders>
              <w:bottom w:val="single" w:sz="2" w:space="0" w:color="000000" w:themeColor="text1"/>
            </w:tcBorders>
            <w:shd w:val="clear" w:color="000000" w:fill="F2F2F2"/>
            <w:vAlign w:val="center"/>
            <w:hideMark/>
          </w:tcPr>
          <w:p w14:paraId="6B696CDC"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5</w:t>
            </w:r>
          </w:p>
        </w:tc>
        <w:tc>
          <w:tcPr>
            <w:tcW w:w="805" w:type="pct"/>
            <w:tcBorders>
              <w:bottom w:val="single" w:sz="2" w:space="0" w:color="000000" w:themeColor="text1"/>
            </w:tcBorders>
            <w:shd w:val="clear" w:color="000000" w:fill="F2F2F2"/>
            <w:vAlign w:val="center"/>
            <w:hideMark/>
          </w:tcPr>
          <w:p w14:paraId="46821614" w14:textId="77777777" w:rsidR="00985C0F" w:rsidRPr="00985C0F" w:rsidRDefault="00985C0F" w:rsidP="001B3CF4">
            <w:pPr>
              <w:keepNext/>
              <w:spacing w:after="0" w:line="240" w:lineRule="auto"/>
              <w:jc w:val="right"/>
              <w:rPr>
                <w:rFonts w:ascii="Arial" w:hAnsi="Arial" w:cs="Arial"/>
                <w:sz w:val="16"/>
                <w:szCs w:val="16"/>
              </w:rPr>
            </w:pPr>
            <w:r w:rsidRPr="00985C0F">
              <w:rPr>
                <w:rFonts w:ascii="Arial" w:hAnsi="Arial" w:cs="Arial"/>
                <w:sz w:val="16"/>
                <w:szCs w:val="16"/>
              </w:rPr>
              <w:t>0.8</w:t>
            </w:r>
          </w:p>
        </w:tc>
      </w:tr>
      <w:tr w:rsidR="00985C0F" w:rsidRPr="00985C0F" w14:paraId="634FF653" w14:textId="77777777" w:rsidTr="00952E9A">
        <w:trPr>
          <w:trHeight w:val="300"/>
        </w:trPr>
        <w:tc>
          <w:tcPr>
            <w:tcW w:w="1780" w:type="pct"/>
            <w:shd w:val="clear" w:color="auto" w:fill="auto"/>
            <w:vAlign w:val="center"/>
            <w:hideMark/>
          </w:tcPr>
          <w:p w14:paraId="1A24FB96" w14:textId="4778A744" w:rsidR="00985C0F" w:rsidRPr="00985C0F" w:rsidRDefault="00985C0F" w:rsidP="001B3CF4">
            <w:pPr>
              <w:keepNext/>
              <w:spacing w:after="0" w:line="240" w:lineRule="auto"/>
              <w:rPr>
                <w:rFonts w:ascii="Arial" w:hAnsi="Arial" w:cs="Arial"/>
                <w:b/>
                <w:bCs/>
                <w:sz w:val="16"/>
                <w:szCs w:val="16"/>
              </w:rPr>
            </w:pPr>
            <w:r>
              <w:rPr>
                <w:rFonts w:ascii="Arial" w:hAnsi="Arial" w:cs="Arial"/>
                <w:b/>
                <w:bCs/>
                <w:sz w:val="16"/>
                <w:szCs w:val="16"/>
              </w:rPr>
              <w:t>Total outcomes</w:t>
            </w:r>
          </w:p>
        </w:tc>
        <w:tc>
          <w:tcPr>
            <w:tcW w:w="805" w:type="pct"/>
            <w:tcBorders>
              <w:top w:val="single" w:sz="2" w:space="0" w:color="000000" w:themeColor="text1"/>
              <w:bottom w:val="single" w:sz="2" w:space="0" w:color="000000" w:themeColor="text1"/>
            </w:tcBorders>
            <w:shd w:val="clear" w:color="auto" w:fill="auto"/>
            <w:vAlign w:val="center"/>
            <w:hideMark/>
          </w:tcPr>
          <w:p w14:paraId="17D472B3" w14:textId="77777777" w:rsidR="00985C0F" w:rsidRPr="00985C0F" w:rsidRDefault="00985C0F" w:rsidP="001B3CF4">
            <w:pPr>
              <w:keepNext/>
              <w:spacing w:after="0" w:line="240" w:lineRule="auto"/>
              <w:jc w:val="right"/>
              <w:rPr>
                <w:rFonts w:ascii="Arial" w:hAnsi="Arial" w:cs="Arial"/>
                <w:b/>
                <w:bCs/>
                <w:sz w:val="16"/>
                <w:szCs w:val="16"/>
              </w:rPr>
            </w:pPr>
            <w:r w:rsidRPr="00985C0F">
              <w:rPr>
                <w:rFonts w:ascii="Arial" w:hAnsi="Arial" w:cs="Arial"/>
                <w:b/>
                <w:bCs/>
                <w:sz w:val="16"/>
                <w:szCs w:val="16"/>
              </w:rPr>
              <w:t>600</w:t>
            </w:r>
          </w:p>
        </w:tc>
        <w:tc>
          <w:tcPr>
            <w:tcW w:w="805" w:type="pct"/>
            <w:tcBorders>
              <w:top w:val="single" w:sz="2" w:space="0" w:color="000000" w:themeColor="text1"/>
              <w:bottom w:val="single" w:sz="2" w:space="0" w:color="000000" w:themeColor="text1"/>
            </w:tcBorders>
            <w:shd w:val="clear" w:color="auto" w:fill="auto"/>
            <w:vAlign w:val="center"/>
            <w:hideMark/>
          </w:tcPr>
          <w:p w14:paraId="4C410243" w14:textId="77777777" w:rsidR="00985C0F" w:rsidRPr="00985C0F" w:rsidRDefault="00985C0F" w:rsidP="001B3CF4">
            <w:pPr>
              <w:keepNext/>
              <w:spacing w:after="0" w:line="240" w:lineRule="auto"/>
              <w:jc w:val="right"/>
              <w:rPr>
                <w:rFonts w:ascii="Arial" w:hAnsi="Arial" w:cs="Arial"/>
                <w:b/>
                <w:bCs/>
                <w:sz w:val="16"/>
                <w:szCs w:val="16"/>
              </w:rPr>
            </w:pPr>
            <w:r w:rsidRPr="00985C0F">
              <w:rPr>
                <w:rFonts w:ascii="Arial" w:hAnsi="Arial" w:cs="Arial"/>
                <w:b/>
                <w:bCs/>
                <w:sz w:val="16"/>
                <w:szCs w:val="16"/>
              </w:rPr>
              <w:t>100.0</w:t>
            </w:r>
          </w:p>
        </w:tc>
        <w:tc>
          <w:tcPr>
            <w:tcW w:w="805" w:type="pct"/>
            <w:tcBorders>
              <w:top w:val="single" w:sz="2" w:space="0" w:color="000000" w:themeColor="text1"/>
              <w:bottom w:val="single" w:sz="2" w:space="0" w:color="000000" w:themeColor="text1"/>
            </w:tcBorders>
            <w:shd w:val="clear" w:color="000000" w:fill="F2F2F2"/>
            <w:vAlign w:val="center"/>
            <w:hideMark/>
          </w:tcPr>
          <w:p w14:paraId="750097E2" w14:textId="77777777" w:rsidR="00985C0F" w:rsidRPr="00985C0F" w:rsidRDefault="00985C0F" w:rsidP="001B3CF4">
            <w:pPr>
              <w:keepNext/>
              <w:spacing w:after="0" w:line="240" w:lineRule="auto"/>
              <w:jc w:val="right"/>
              <w:rPr>
                <w:rFonts w:ascii="Arial" w:hAnsi="Arial" w:cs="Arial"/>
                <w:b/>
                <w:bCs/>
                <w:sz w:val="16"/>
                <w:szCs w:val="16"/>
              </w:rPr>
            </w:pPr>
            <w:r w:rsidRPr="00985C0F">
              <w:rPr>
                <w:rFonts w:ascii="Arial" w:hAnsi="Arial" w:cs="Arial"/>
                <w:b/>
                <w:bCs/>
                <w:sz w:val="16"/>
                <w:szCs w:val="16"/>
              </w:rPr>
              <w:t>600</w:t>
            </w:r>
          </w:p>
        </w:tc>
        <w:tc>
          <w:tcPr>
            <w:tcW w:w="805" w:type="pct"/>
            <w:tcBorders>
              <w:top w:val="single" w:sz="2" w:space="0" w:color="000000" w:themeColor="text1"/>
              <w:bottom w:val="single" w:sz="2" w:space="0" w:color="000000" w:themeColor="text1"/>
            </w:tcBorders>
            <w:shd w:val="clear" w:color="000000" w:fill="F2F2F2"/>
            <w:vAlign w:val="center"/>
            <w:hideMark/>
          </w:tcPr>
          <w:p w14:paraId="32CFA73F" w14:textId="77777777" w:rsidR="00985C0F" w:rsidRPr="00985C0F" w:rsidRDefault="00985C0F" w:rsidP="001B3CF4">
            <w:pPr>
              <w:keepNext/>
              <w:spacing w:after="0" w:line="240" w:lineRule="auto"/>
              <w:jc w:val="right"/>
              <w:rPr>
                <w:rFonts w:ascii="Arial" w:hAnsi="Arial" w:cs="Arial"/>
                <w:b/>
                <w:bCs/>
                <w:sz w:val="16"/>
                <w:szCs w:val="16"/>
              </w:rPr>
            </w:pPr>
            <w:r w:rsidRPr="00985C0F">
              <w:rPr>
                <w:rFonts w:ascii="Arial" w:hAnsi="Arial" w:cs="Arial"/>
                <w:b/>
                <w:bCs/>
                <w:sz w:val="16"/>
                <w:szCs w:val="16"/>
              </w:rPr>
              <w:t>100.0</w:t>
            </w:r>
          </w:p>
        </w:tc>
      </w:tr>
    </w:tbl>
    <w:p w14:paraId="2CCD43ED" w14:textId="52D1C39C" w:rsidR="00172858" w:rsidRPr="00CC40C4" w:rsidRDefault="00172858" w:rsidP="007149D6">
      <w:pPr>
        <w:pStyle w:val="ChartorTableFootnote"/>
        <w:keepNext/>
        <w:keepLines/>
        <w:numPr>
          <w:ilvl w:val="0"/>
          <w:numId w:val="21"/>
        </w:numPr>
      </w:pPr>
      <w:r w:rsidRPr="00172858">
        <w:t>Refers</w:t>
      </w:r>
      <w:r w:rsidRPr="00CC40C4">
        <w:t xml:space="preserve"> to situations where a foreign person has voluntarily disposed of a property following a breach, including during an investigation, and where a formal disposal order was issued under the Act.</w:t>
      </w:r>
    </w:p>
    <w:p w14:paraId="59B3AB32" w14:textId="544A090B" w:rsidR="00FE4769" w:rsidRPr="006D64A2" w:rsidRDefault="00FE4769" w:rsidP="001B3CF4">
      <w:pPr>
        <w:pStyle w:val="ChartorTableFootnote"/>
        <w:keepNext/>
        <w:keepLines/>
      </w:pPr>
      <w:r w:rsidRPr="006D64A2">
        <w:t>Refers to situations where approval is provided after the property has been purchased. Retrospective approval may be given when the foreign person failed to seek foreign investment approval but would have received approval had they submitted an application before acquiring the property. Retrospective applications remain liable to pay the relevant application fee and an infringement notice.</w:t>
      </w:r>
    </w:p>
    <w:p w14:paraId="5CBB7DAC" w14:textId="02533E1F" w:rsidR="00FE4769" w:rsidRPr="002D6962" w:rsidRDefault="00FE4769" w:rsidP="001B3CF4">
      <w:pPr>
        <w:pStyle w:val="ChartorTableFootnote"/>
        <w:keepNext/>
        <w:keepLines/>
      </w:pPr>
      <w:r w:rsidRPr="00406C1F">
        <w:t>Refers to situations where conditional approval has previously been provided but the foreign person is not able to comply with their conditions and they ar</w:t>
      </w:r>
      <w:r w:rsidRPr="00203133">
        <w:t xml:space="preserve">e subsequently </w:t>
      </w:r>
      <w:r w:rsidRPr="002D6962">
        <w:t>varied. For example, where an application had development conditions imposed and these were not able to be met due to delays in local government approval, the development conditions may be varied to extend the time permitted. Where appropriate, an infringement notice is also issued in these situations for failure to comply with conditions.</w:t>
      </w:r>
    </w:p>
    <w:p w14:paraId="1FD10787" w14:textId="25924616" w:rsidR="00FE4769" w:rsidRPr="002D6962" w:rsidRDefault="00FE4769" w:rsidP="001B3CF4">
      <w:pPr>
        <w:pStyle w:val="ChartorTableFootnote"/>
        <w:keepNext/>
        <w:keepLines/>
      </w:pPr>
      <w:r w:rsidRPr="00203133">
        <w:t>Refers to situations where a foreign person is seeking approval to acquire an interest in property and it is identified during the foreign investment screening process that they had already acquired an interest in the property in question. Where appropriate, an infringement notice is also issued in these situations for failure to seek approval before acquiring an interest in the property.</w:t>
      </w:r>
    </w:p>
    <w:p w14:paraId="7E828F63" w14:textId="43E16ED4" w:rsidR="00A84283" w:rsidRPr="002D6962" w:rsidRDefault="00A84283" w:rsidP="001B3CF4">
      <w:pPr>
        <w:pStyle w:val="ChartorTableFootnote"/>
        <w:keepNext/>
        <w:keepLines/>
      </w:pPr>
      <w:r w:rsidRPr="00203133">
        <w:t>Refers to situations where a vacancy fee liability is raised for a dwelling that is residentially occupied for fewer than 183 days during a vacancy year or where a foreign person is liable to pay a vacancy fee for failing to lodge a vacancy fee return.</w:t>
      </w:r>
    </w:p>
    <w:p w14:paraId="71C3C425" w14:textId="1FFAF10B" w:rsidR="00A84283" w:rsidRPr="006D64A2" w:rsidRDefault="00A84283" w:rsidP="001B3CF4">
      <w:pPr>
        <w:pStyle w:val="ChartorTableNote"/>
        <w:keepNext/>
        <w:keepLines/>
      </w:pPr>
      <w:r w:rsidRPr="006D64A2">
        <w:t>Notes:</w:t>
      </w:r>
      <w:r w:rsidRPr="006D64A2">
        <w:tab/>
        <w:t xml:space="preserve">Retrospective approval and retrospective approval during </w:t>
      </w:r>
      <w:r w:rsidR="00C06DC4">
        <w:t>Board</w:t>
      </w:r>
      <w:r w:rsidRPr="006D64A2">
        <w:t xml:space="preserve"> consideration numbers are also included in the residential approvals numbers in Chapter</w:t>
      </w:r>
      <w:r w:rsidR="00C276FE">
        <w:t> </w:t>
      </w:r>
      <w:r w:rsidR="00D251F9">
        <w:t>3</w:t>
      </w:r>
      <w:r w:rsidRPr="006D64A2">
        <w:t>:</w:t>
      </w:r>
      <w:r w:rsidR="00C276FE">
        <w:t xml:space="preserve"> </w:t>
      </w:r>
      <w:r w:rsidRPr="006D64A2">
        <w:t>Applications Data.</w:t>
      </w:r>
    </w:p>
    <w:p w14:paraId="7E48B0F4" w14:textId="655E80AC" w:rsidR="00A84283" w:rsidRPr="006D64A2" w:rsidRDefault="00A84283" w:rsidP="001B3CF4">
      <w:pPr>
        <w:pStyle w:val="ChartorTableNote"/>
        <w:keepNext/>
        <w:keepLines/>
      </w:pPr>
      <w:r w:rsidRPr="006D64A2">
        <w:t xml:space="preserve">Change of conditions numbers are also included in the residential variation numbers in Chapter </w:t>
      </w:r>
      <w:r w:rsidR="00D251F9">
        <w:t>3</w:t>
      </w:r>
      <w:r w:rsidRPr="006D64A2">
        <w:t>: Applications Data.</w:t>
      </w:r>
    </w:p>
    <w:p w14:paraId="45B98809" w14:textId="77777777" w:rsidR="00A84283" w:rsidRPr="006D64A2" w:rsidRDefault="00A84283">
      <w:pPr>
        <w:pStyle w:val="ChartorTableNote"/>
      </w:pPr>
      <w:r w:rsidRPr="006D64A2">
        <w:t>Percentage totals may not add due to rounding.</w:t>
      </w:r>
    </w:p>
    <w:p w14:paraId="79A4A3CC" w14:textId="0BF2033E" w:rsidR="00A84283" w:rsidRPr="006D64A2" w:rsidRDefault="00A84283" w:rsidP="00D73478">
      <w:pPr>
        <w:pStyle w:val="Heading4"/>
      </w:pPr>
      <w:r w:rsidRPr="006D64A2">
        <w:t>Breaches by location</w:t>
      </w:r>
    </w:p>
    <w:p w14:paraId="39AED98E" w14:textId="05D1B583" w:rsidR="00C276FE" w:rsidRPr="00A84283" w:rsidRDefault="00C276FE" w:rsidP="00C276FE">
      <w:r w:rsidRPr="00A84283">
        <w:t>Chart 4.1 shows the geographic distribution of properties that were found to be in breach of the foreign investment rules in 2018</w:t>
      </w:r>
      <w:r>
        <w:noBreakHyphen/>
      </w:r>
      <w:r w:rsidRPr="00A84283">
        <w:t>19.</w:t>
      </w:r>
    </w:p>
    <w:p w14:paraId="3C2CC3D8" w14:textId="422873D6" w:rsidR="00A84283" w:rsidRPr="00A84283" w:rsidRDefault="00BE7E19" w:rsidP="002E2EFE">
      <w:r>
        <w:t>Just over 40</w:t>
      </w:r>
      <w:r w:rsidR="00C276FE">
        <w:t> per </w:t>
      </w:r>
      <w:r>
        <w:t xml:space="preserve">cent of </w:t>
      </w:r>
      <w:r w:rsidR="00A84283" w:rsidRPr="00A84283">
        <w:t>the breaches identified by compliance investigations related to residential property in Victoria</w:t>
      </w:r>
      <w:r>
        <w:t>. The proportion of breaches recorded in Queensland increased from 17.2</w:t>
      </w:r>
      <w:r w:rsidR="00C276FE">
        <w:t> per </w:t>
      </w:r>
      <w:r>
        <w:t>cent in 2017</w:t>
      </w:r>
      <w:r w:rsidR="00C276FE">
        <w:noBreakHyphen/>
      </w:r>
      <w:r>
        <w:t>18 to 24.5</w:t>
      </w:r>
      <w:r w:rsidR="00E15832">
        <w:t> per </w:t>
      </w:r>
      <w:r>
        <w:t>cent. The proportion of breaches in New South Wales remained relatively stable</w:t>
      </w:r>
      <w:r w:rsidR="00A84283" w:rsidRPr="00A84283">
        <w:t>.</w:t>
      </w:r>
    </w:p>
    <w:p w14:paraId="5F19484E" w14:textId="77777777" w:rsidR="008C1E02" w:rsidRDefault="00A84283" w:rsidP="00D73478">
      <w:pPr>
        <w:pStyle w:val="ChartMainHeading"/>
      </w:pPr>
      <w:bookmarkStart w:id="190" w:name="_Toc31716195"/>
      <w:bookmarkStart w:id="191" w:name="_Toc32247761"/>
      <w:bookmarkStart w:id="192" w:name="_Toc33521375"/>
      <w:r w:rsidRPr="00A84283">
        <w:lastRenderedPageBreak/>
        <w:t>Chart 4.1: Location of residential real estate breaches identified i</w:t>
      </w:r>
      <w:r w:rsidR="006A0149">
        <w:t>n 2018</w:t>
      </w:r>
      <w:r w:rsidR="006A0149">
        <w:noBreakHyphen/>
      </w:r>
      <w:r w:rsidRPr="00A84283">
        <w:t>19</w:t>
      </w:r>
      <w:bookmarkEnd w:id="190"/>
      <w:bookmarkEnd w:id="191"/>
      <w:bookmarkEnd w:id="192"/>
    </w:p>
    <w:p w14:paraId="76403A68" w14:textId="6FECCA8D" w:rsidR="00A84283" w:rsidRPr="00A84283" w:rsidRDefault="008C1E02" w:rsidP="001C7EE6">
      <w:pPr>
        <w:pStyle w:val="Circletext"/>
      </w:pPr>
      <w:r>
        <w:rPr>
          <w:noProof/>
        </w:rPr>
        <w:drawing>
          <wp:inline distT="0" distB="0" distL="0" distR="0" wp14:anchorId="29BFA117" wp14:editId="1981AEE5">
            <wp:extent cx="5228586" cy="2929078"/>
            <wp:effectExtent l="0" t="0" r="0" b="0"/>
            <wp:docPr id="2" name="Picture 2" descr="Pie chart showing the proportion of residential real estate breaches in 2018-19 by state and territory. Victoria was the state with had the highest proportion with 42.66 per cent of all breaches, followed by Queensland with 24.50 per cent and New South Wales with 21.50 per cent. Western Australian, South Australia, Tasmania and the Australian Capital Territory all had 6 per cent or less of total breaches. " title="Chart 4.1: Location of residential real estate breaches identified in 2018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5228586" cy="2929078"/>
                    </a:xfrm>
                    <a:prstGeom prst="rect">
                      <a:avLst/>
                    </a:prstGeom>
                    <a:noFill/>
                  </pic:spPr>
                </pic:pic>
              </a:graphicData>
            </a:graphic>
          </wp:inline>
        </w:drawing>
      </w:r>
    </w:p>
    <w:p w14:paraId="3A9F0F8E" w14:textId="7966DC93" w:rsidR="00A84283" w:rsidRPr="006A0149" w:rsidRDefault="00A84283" w:rsidP="006D64A2">
      <w:pPr>
        <w:pStyle w:val="ChartorTableNote"/>
      </w:pPr>
      <w:r w:rsidRPr="006A0149">
        <w:t>Note:</w:t>
      </w:r>
      <w:r w:rsidR="00E15832">
        <w:tab/>
        <w:t>This Chart does not add to 100 per </w:t>
      </w:r>
      <w:r w:rsidRPr="006A0149">
        <w:t>cent due to rounding.</w:t>
      </w:r>
    </w:p>
    <w:p w14:paraId="03248E82" w14:textId="33526C97" w:rsidR="00A84283" w:rsidRPr="006A0149" w:rsidRDefault="00A84283" w:rsidP="006D64A2">
      <w:pPr>
        <w:pStyle w:val="ChartorTableNote"/>
      </w:pPr>
      <w:r w:rsidRPr="006A0149">
        <w:t>No properties were found in breach in the Northern Territory. The Northern Territory had only a small number of residential real estate approvals for the period.</w:t>
      </w:r>
    </w:p>
    <w:p w14:paraId="2C7BD57D" w14:textId="770C0CD5" w:rsidR="00A84283" w:rsidRPr="006D64A2" w:rsidRDefault="00A84283" w:rsidP="00D73478">
      <w:pPr>
        <w:pStyle w:val="Heading4"/>
      </w:pPr>
      <w:r w:rsidRPr="006D64A2">
        <w:t>Investigations by source</w:t>
      </w:r>
    </w:p>
    <w:p w14:paraId="25B9E219" w14:textId="2D34011C" w:rsidR="00A84283" w:rsidRDefault="00A84283" w:rsidP="002E2EFE">
      <w:r w:rsidRPr="00A84283">
        <w:t>The ATO identifies properties for investigation using a range of sources including community information, data matching and self</w:t>
      </w:r>
      <w:r w:rsidR="006A0149">
        <w:noBreakHyphen/>
      </w:r>
      <w:r w:rsidR="00E15832">
        <w:t>disclosures (see Table </w:t>
      </w:r>
      <w:r w:rsidRPr="00A84283">
        <w:t xml:space="preserve">4.3). </w:t>
      </w:r>
    </w:p>
    <w:p w14:paraId="6148F038" w14:textId="7D211DE5" w:rsidR="00D73478" w:rsidRDefault="00D73478" w:rsidP="00D73478">
      <w:pPr>
        <w:pStyle w:val="TableMainHeading"/>
      </w:pPr>
      <w:bookmarkStart w:id="193" w:name="_Toc32247782"/>
      <w:bookmarkStart w:id="194" w:name="_Toc33521367"/>
      <w:r w:rsidRPr="00DB3C16">
        <w:t xml:space="preserve">Table 4.3: Source of residential real estate cases </w:t>
      </w:r>
      <w:r w:rsidR="00B748BF">
        <w:t>in 2017-18 and 2018-19</w:t>
      </w:r>
      <w:bookmarkEnd w:id="193"/>
      <w:bookmarkEnd w:id="194"/>
    </w:p>
    <w:tbl>
      <w:tblPr>
        <w:tblW w:w="5000" w:type="pct"/>
        <w:tblLook w:val="04A0" w:firstRow="1" w:lastRow="0" w:firstColumn="1" w:lastColumn="0" w:noHBand="0" w:noVBand="1"/>
      </w:tblPr>
      <w:tblGrid>
        <w:gridCol w:w="2370"/>
        <w:gridCol w:w="1335"/>
        <w:gridCol w:w="1335"/>
        <w:gridCol w:w="1335"/>
        <w:gridCol w:w="1335"/>
      </w:tblGrid>
      <w:tr w:rsidR="004A1E43" w:rsidRPr="004A1E43" w14:paraId="43E50AAC" w14:textId="77777777" w:rsidTr="008A4010">
        <w:trPr>
          <w:trHeight w:val="300"/>
        </w:trPr>
        <w:tc>
          <w:tcPr>
            <w:tcW w:w="1536" w:type="pct"/>
            <w:tcBorders>
              <w:top w:val="single" w:sz="2" w:space="0" w:color="000000" w:themeColor="text1"/>
              <w:left w:val="nil"/>
              <w:right w:val="nil"/>
            </w:tcBorders>
            <w:shd w:val="clear" w:color="auto" w:fill="auto"/>
            <w:noWrap/>
            <w:vAlign w:val="center"/>
            <w:hideMark/>
          </w:tcPr>
          <w:p w14:paraId="14E54337" w14:textId="77777777" w:rsidR="004A1E43" w:rsidRPr="004A1E43" w:rsidRDefault="004A1E43" w:rsidP="004A1E43">
            <w:pPr>
              <w:spacing w:after="0" w:line="240" w:lineRule="auto"/>
              <w:jc w:val="left"/>
              <w:rPr>
                <w:rFonts w:ascii="Arial" w:hAnsi="Arial" w:cs="Arial"/>
                <w:sz w:val="16"/>
                <w:szCs w:val="16"/>
              </w:rPr>
            </w:pPr>
          </w:p>
        </w:tc>
        <w:tc>
          <w:tcPr>
            <w:tcW w:w="1732" w:type="pct"/>
            <w:gridSpan w:val="2"/>
            <w:tcBorders>
              <w:top w:val="single" w:sz="2" w:space="0" w:color="000000" w:themeColor="text1"/>
              <w:left w:val="nil"/>
              <w:right w:val="nil"/>
            </w:tcBorders>
            <w:shd w:val="clear" w:color="auto" w:fill="auto"/>
            <w:vAlign w:val="center"/>
            <w:hideMark/>
          </w:tcPr>
          <w:p w14:paraId="3A5061DC" w14:textId="77777777" w:rsidR="004A1E43" w:rsidRPr="004A1E43" w:rsidRDefault="004A1E43" w:rsidP="004A1E43">
            <w:pPr>
              <w:spacing w:after="0" w:line="240" w:lineRule="auto"/>
              <w:jc w:val="center"/>
              <w:rPr>
                <w:rFonts w:ascii="Arial" w:hAnsi="Arial" w:cs="Arial"/>
                <w:sz w:val="16"/>
                <w:szCs w:val="16"/>
              </w:rPr>
            </w:pPr>
            <w:r w:rsidRPr="004A1E43">
              <w:rPr>
                <w:rFonts w:ascii="Arial" w:hAnsi="Arial" w:cs="Arial"/>
                <w:sz w:val="16"/>
                <w:szCs w:val="16"/>
              </w:rPr>
              <w:t>2017</w:t>
            </w:r>
            <w:r w:rsidRPr="004A1E43">
              <w:rPr>
                <w:rFonts w:ascii="Arial" w:hAnsi="Arial" w:cs="Arial"/>
                <w:sz w:val="16"/>
                <w:szCs w:val="16"/>
              </w:rPr>
              <w:noBreakHyphen/>
              <w:t>18</w:t>
            </w:r>
          </w:p>
        </w:tc>
        <w:tc>
          <w:tcPr>
            <w:tcW w:w="1732" w:type="pct"/>
            <w:gridSpan w:val="2"/>
            <w:tcBorders>
              <w:top w:val="single" w:sz="2" w:space="0" w:color="000000" w:themeColor="text1"/>
              <w:left w:val="nil"/>
              <w:right w:val="nil"/>
            </w:tcBorders>
            <w:shd w:val="clear" w:color="000000" w:fill="F2F2F2"/>
            <w:vAlign w:val="center"/>
            <w:hideMark/>
          </w:tcPr>
          <w:p w14:paraId="38C6F656" w14:textId="6E78D64D" w:rsidR="004A1E43" w:rsidRPr="004A1E43" w:rsidRDefault="004A1E43" w:rsidP="004A1E43">
            <w:pPr>
              <w:spacing w:after="0" w:line="240" w:lineRule="auto"/>
              <w:jc w:val="center"/>
              <w:rPr>
                <w:rFonts w:ascii="Arial" w:hAnsi="Arial" w:cs="Arial"/>
                <w:sz w:val="16"/>
                <w:szCs w:val="16"/>
              </w:rPr>
            </w:pPr>
            <w:r w:rsidRPr="004A1E43">
              <w:rPr>
                <w:rFonts w:ascii="Arial" w:hAnsi="Arial" w:cs="Arial"/>
                <w:sz w:val="16"/>
                <w:szCs w:val="16"/>
              </w:rPr>
              <w:t>2018</w:t>
            </w:r>
            <w:r w:rsidRPr="004A1E43">
              <w:rPr>
                <w:rFonts w:ascii="Arial" w:hAnsi="Arial" w:cs="Arial"/>
                <w:sz w:val="16"/>
                <w:szCs w:val="16"/>
              </w:rPr>
              <w:noBreakHyphen/>
              <w:t>19</w:t>
            </w:r>
          </w:p>
        </w:tc>
      </w:tr>
      <w:tr w:rsidR="004A1E43" w:rsidRPr="004A1E43" w14:paraId="765C5B8B" w14:textId="77777777" w:rsidTr="008A4010">
        <w:trPr>
          <w:trHeight w:val="300"/>
        </w:trPr>
        <w:tc>
          <w:tcPr>
            <w:tcW w:w="1536" w:type="pct"/>
            <w:tcBorders>
              <w:left w:val="nil"/>
              <w:bottom w:val="nil"/>
              <w:right w:val="nil"/>
            </w:tcBorders>
            <w:shd w:val="clear" w:color="auto" w:fill="auto"/>
            <w:vAlign w:val="center"/>
            <w:hideMark/>
          </w:tcPr>
          <w:p w14:paraId="44D742A0" w14:textId="77777777" w:rsidR="004A1E43" w:rsidRPr="004A1E43" w:rsidRDefault="004A1E43" w:rsidP="004A1E43">
            <w:pPr>
              <w:spacing w:after="0" w:line="240" w:lineRule="auto"/>
              <w:rPr>
                <w:rFonts w:ascii="Arial" w:hAnsi="Arial" w:cs="Arial"/>
                <w:sz w:val="16"/>
                <w:szCs w:val="16"/>
              </w:rPr>
            </w:pPr>
            <w:r w:rsidRPr="004A1E43">
              <w:rPr>
                <w:rFonts w:ascii="Arial" w:hAnsi="Arial" w:cs="Arial"/>
                <w:sz w:val="16"/>
                <w:szCs w:val="16"/>
              </w:rPr>
              <w:t xml:space="preserve">Source of Case </w:t>
            </w:r>
          </w:p>
        </w:tc>
        <w:tc>
          <w:tcPr>
            <w:tcW w:w="866" w:type="pct"/>
            <w:tcBorders>
              <w:left w:val="nil"/>
              <w:bottom w:val="single" w:sz="2" w:space="0" w:color="000000" w:themeColor="text1"/>
              <w:right w:val="nil"/>
            </w:tcBorders>
            <w:shd w:val="clear" w:color="auto" w:fill="auto"/>
            <w:vAlign w:val="center"/>
            <w:hideMark/>
          </w:tcPr>
          <w:p w14:paraId="1123BB4F" w14:textId="4D6D1D6C" w:rsidR="004A1E43" w:rsidRPr="004A1E43" w:rsidRDefault="00F253FE" w:rsidP="004A1E43">
            <w:pPr>
              <w:spacing w:after="0" w:line="240" w:lineRule="auto"/>
              <w:jc w:val="center"/>
              <w:rPr>
                <w:rFonts w:ascii="Arial" w:hAnsi="Arial" w:cs="Arial"/>
                <w:sz w:val="16"/>
                <w:szCs w:val="16"/>
              </w:rPr>
            </w:pPr>
            <w:r>
              <w:rPr>
                <w:rFonts w:ascii="Arial" w:hAnsi="Arial" w:cs="Arial"/>
                <w:sz w:val="16"/>
                <w:szCs w:val="16"/>
              </w:rPr>
              <w:t>No.</w:t>
            </w:r>
          </w:p>
        </w:tc>
        <w:tc>
          <w:tcPr>
            <w:tcW w:w="866" w:type="pct"/>
            <w:tcBorders>
              <w:left w:val="nil"/>
              <w:bottom w:val="single" w:sz="2" w:space="0" w:color="000000" w:themeColor="text1"/>
              <w:right w:val="nil"/>
            </w:tcBorders>
            <w:shd w:val="clear" w:color="auto" w:fill="auto"/>
            <w:vAlign w:val="center"/>
            <w:hideMark/>
          </w:tcPr>
          <w:p w14:paraId="22D58E9B" w14:textId="5FA5C753" w:rsidR="004A1E43" w:rsidRPr="004A1E43" w:rsidRDefault="00F253FE" w:rsidP="004A1E43">
            <w:pPr>
              <w:spacing w:after="0" w:line="240" w:lineRule="auto"/>
              <w:jc w:val="center"/>
              <w:rPr>
                <w:rFonts w:ascii="Arial" w:hAnsi="Arial" w:cs="Arial"/>
                <w:sz w:val="16"/>
                <w:szCs w:val="16"/>
              </w:rPr>
            </w:pPr>
            <w:r>
              <w:rPr>
                <w:rFonts w:ascii="Arial" w:hAnsi="Arial" w:cs="Arial"/>
                <w:sz w:val="16"/>
                <w:szCs w:val="16"/>
              </w:rPr>
              <w:t>Percentage</w:t>
            </w:r>
          </w:p>
        </w:tc>
        <w:tc>
          <w:tcPr>
            <w:tcW w:w="866" w:type="pct"/>
            <w:tcBorders>
              <w:left w:val="nil"/>
              <w:bottom w:val="single" w:sz="2" w:space="0" w:color="000000" w:themeColor="text1"/>
              <w:right w:val="nil"/>
            </w:tcBorders>
            <w:shd w:val="clear" w:color="000000" w:fill="F2F2F2"/>
            <w:vAlign w:val="center"/>
            <w:hideMark/>
          </w:tcPr>
          <w:p w14:paraId="75CCA008" w14:textId="43BAAD92" w:rsidR="004A1E43" w:rsidRPr="004A1E43" w:rsidRDefault="00F253FE" w:rsidP="00F253FE">
            <w:pPr>
              <w:spacing w:after="0" w:line="240" w:lineRule="auto"/>
              <w:jc w:val="center"/>
              <w:rPr>
                <w:rFonts w:ascii="Arial" w:hAnsi="Arial" w:cs="Arial"/>
                <w:sz w:val="16"/>
                <w:szCs w:val="16"/>
              </w:rPr>
            </w:pPr>
            <w:r>
              <w:rPr>
                <w:rFonts w:ascii="Arial" w:hAnsi="Arial" w:cs="Arial"/>
                <w:sz w:val="16"/>
                <w:szCs w:val="16"/>
              </w:rPr>
              <w:t>No.</w:t>
            </w:r>
          </w:p>
        </w:tc>
        <w:tc>
          <w:tcPr>
            <w:tcW w:w="866" w:type="pct"/>
            <w:tcBorders>
              <w:left w:val="nil"/>
              <w:bottom w:val="single" w:sz="2" w:space="0" w:color="000000" w:themeColor="text1"/>
              <w:right w:val="nil"/>
            </w:tcBorders>
            <w:shd w:val="clear" w:color="000000" w:fill="F2F2F2"/>
            <w:vAlign w:val="center"/>
            <w:hideMark/>
          </w:tcPr>
          <w:p w14:paraId="462436EF" w14:textId="6AFCDF7D" w:rsidR="004A1E43" w:rsidRPr="004A1E43" w:rsidRDefault="00F253FE" w:rsidP="00F253FE">
            <w:pPr>
              <w:spacing w:after="0" w:line="240" w:lineRule="auto"/>
              <w:jc w:val="center"/>
              <w:rPr>
                <w:rFonts w:ascii="Arial" w:hAnsi="Arial" w:cs="Arial"/>
                <w:sz w:val="16"/>
                <w:szCs w:val="16"/>
              </w:rPr>
            </w:pPr>
            <w:r>
              <w:rPr>
                <w:rFonts w:ascii="Arial" w:hAnsi="Arial" w:cs="Arial"/>
                <w:sz w:val="16"/>
                <w:szCs w:val="16"/>
              </w:rPr>
              <w:t>Percentage</w:t>
            </w:r>
          </w:p>
        </w:tc>
      </w:tr>
      <w:tr w:rsidR="004A1E43" w:rsidRPr="004A1E43" w14:paraId="006DEA4B" w14:textId="77777777" w:rsidTr="008A4010">
        <w:trPr>
          <w:trHeight w:val="300"/>
        </w:trPr>
        <w:tc>
          <w:tcPr>
            <w:tcW w:w="1536" w:type="pct"/>
            <w:tcBorders>
              <w:top w:val="nil"/>
              <w:left w:val="nil"/>
              <w:bottom w:val="nil"/>
              <w:right w:val="nil"/>
            </w:tcBorders>
            <w:shd w:val="clear" w:color="auto" w:fill="auto"/>
            <w:vAlign w:val="center"/>
            <w:hideMark/>
          </w:tcPr>
          <w:p w14:paraId="5030D2D7" w14:textId="77777777" w:rsidR="004A1E43" w:rsidRPr="004A1E43" w:rsidRDefault="004A1E43" w:rsidP="004A1E43">
            <w:pPr>
              <w:spacing w:after="0" w:line="240" w:lineRule="auto"/>
              <w:rPr>
                <w:rFonts w:ascii="Arial" w:hAnsi="Arial" w:cs="Arial"/>
                <w:sz w:val="16"/>
                <w:szCs w:val="16"/>
              </w:rPr>
            </w:pPr>
            <w:r w:rsidRPr="004A1E43">
              <w:rPr>
                <w:rFonts w:ascii="Arial" w:hAnsi="Arial" w:cs="Arial"/>
                <w:sz w:val="16"/>
                <w:szCs w:val="16"/>
              </w:rPr>
              <w:t>Community information</w:t>
            </w:r>
          </w:p>
        </w:tc>
        <w:tc>
          <w:tcPr>
            <w:tcW w:w="866" w:type="pct"/>
            <w:tcBorders>
              <w:top w:val="single" w:sz="2" w:space="0" w:color="000000" w:themeColor="text1"/>
              <w:left w:val="nil"/>
              <w:bottom w:val="nil"/>
              <w:right w:val="nil"/>
            </w:tcBorders>
            <w:shd w:val="clear" w:color="auto" w:fill="auto"/>
            <w:noWrap/>
            <w:vAlign w:val="center"/>
            <w:hideMark/>
          </w:tcPr>
          <w:p w14:paraId="7C1558F2"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256</w:t>
            </w:r>
          </w:p>
        </w:tc>
        <w:tc>
          <w:tcPr>
            <w:tcW w:w="866" w:type="pct"/>
            <w:tcBorders>
              <w:top w:val="single" w:sz="2" w:space="0" w:color="000000" w:themeColor="text1"/>
              <w:left w:val="nil"/>
              <w:bottom w:val="nil"/>
              <w:right w:val="nil"/>
            </w:tcBorders>
            <w:shd w:val="clear" w:color="auto" w:fill="auto"/>
            <w:noWrap/>
            <w:vAlign w:val="center"/>
            <w:hideMark/>
          </w:tcPr>
          <w:p w14:paraId="5A0229C2"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15.0</w:t>
            </w:r>
          </w:p>
        </w:tc>
        <w:tc>
          <w:tcPr>
            <w:tcW w:w="866" w:type="pct"/>
            <w:tcBorders>
              <w:top w:val="single" w:sz="2" w:space="0" w:color="000000" w:themeColor="text1"/>
              <w:left w:val="nil"/>
              <w:bottom w:val="nil"/>
              <w:right w:val="nil"/>
            </w:tcBorders>
            <w:shd w:val="clear" w:color="000000" w:fill="F2F2F2"/>
            <w:vAlign w:val="center"/>
            <w:hideMark/>
          </w:tcPr>
          <w:p w14:paraId="2008DC68"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88</w:t>
            </w:r>
          </w:p>
        </w:tc>
        <w:tc>
          <w:tcPr>
            <w:tcW w:w="866" w:type="pct"/>
            <w:tcBorders>
              <w:top w:val="single" w:sz="2" w:space="0" w:color="000000" w:themeColor="text1"/>
              <w:left w:val="nil"/>
              <w:bottom w:val="nil"/>
              <w:right w:val="nil"/>
            </w:tcBorders>
            <w:shd w:val="clear" w:color="000000" w:fill="F2F2F2"/>
            <w:noWrap/>
            <w:vAlign w:val="center"/>
            <w:hideMark/>
          </w:tcPr>
          <w:p w14:paraId="0EFC4EF6"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7.2</w:t>
            </w:r>
          </w:p>
        </w:tc>
      </w:tr>
      <w:tr w:rsidR="004A1E43" w:rsidRPr="004A1E43" w14:paraId="6852B19B" w14:textId="77777777" w:rsidTr="00F253FE">
        <w:trPr>
          <w:trHeight w:val="300"/>
        </w:trPr>
        <w:tc>
          <w:tcPr>
            <w:tcW w:w="1536" w:type="pct"/>
            <w:tcBorders>
              <w:top w:val="nil"/>
              <w:left w:val="nil"/>
              <w:bottom w:val="nil"/>
              <w:right w:val="nil"/>
            </w:tcBorders>
            <w:shd w:val="clear" w:color="auto" w:fill="auto"/>
            <w:vAlign w:val="center"/>
            <w:hideMark/>
          </w:tcPr>
          <w:p w14:paraId="13C1F832" w14:textId="0098F992" w:rsidR="004A1E43" w:rsidRPr="004A1E43" w:rsidRDefault="004A1E43" w:rsidP="004A1E43">
            <w:pPr>
              <w:spacing w:after="0" w:line="240" w:lineRule="auto"/>
              <w:rPr>
                <w:rFonts w:ascii="Arial" w:hAnsi="Arial" w:cs="Arial"/>
                <w:sz w:val="16"/>
                <w:szCs w:val="16"/>
              </w:rPr>
            </w:pPr>
            <w:r w:rsidRPr="004A1E43">
              <w:rPr>
                <w:rFonts w:ascii="Arial" w:hAnsi="Arial" w:cs="Arial"/>
                <w:sz w:val="16"/>
                <w:szCs w:val="16"/>
              </w:rPr>
              <w:t>Data matched</w:t>
            </w:r>
            <w:r w:rsidR="00E00B63">
              <w:rPr>
                <w:rFonts w:ascii="Arial" w:hAnsi="Arial" w:cs="Arial"/>
                <w:sz w:val="16"/>
                <w:szCs w:val="16"/>
              </w:rPr>
              <w:t xml:space="preserve"> (a)</w:t>
            </w:r>
          </w:p>
        </w:tc>
        <w:tc>
          <w:tcPr>
            <w:tcW w:w="866" w:type="pct"/>
            <w:tcBorders>
              <w:top w:val="nil"/>
              <w:left w:val="nil"/>
              <w:bottom w:val="nil"/>
              <w:right w:val="nil"/>
            </w:tcBorders>
            <w:shd w:val="clear" w:color="auto" w:fill="auto"/>
            <w:noWrap/>
            <w:vAlign w:val="center"/>
            <w:hideMark/>
          </w:tcPr>
          <w:p w14:paraId="135B4B71"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1,090</w:t>
            </w:r>
          </w:p>
        </w:tc>
        <w:tc>
          <w:tcPr>
            <w:tcW w:w="866" w:type="pct"/>
            <w:tcBorders>
              <w:top w:val="nil"/>
              <w:left w:val="nil"/>
              <w:bottom w:val="nil"/>
              <w:right w:val="nil"/>
            </w:tcBorders>
            <w:shd w:val="clear" w:color="auto" w:fill="auto"/>
            <w:noWrap/>
            <w:vAlign w:val="center"/>
            <w:hideMark/>
          </w:tcPr>
          <w:p w14:paraId="3069F2A6"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63.7</w:t>
            </w:r>
          </w:p>
        </w:tc>
        <w:tc>
          <w:tcPr>
            <w:tcW w:w="866" w:type="pct"/>
            <w:tcBorders>
              <w:top w:val="nil"/>
              <w:left w:val="nil"/>
              <w:bottom w:val="nil"/>
              <w:right w:val="nil"/>
            </w:tcBorders>
            <w:shd w:val="clear" w:color="000000" w:fill="F2F2F2"/>
            <w:vAlign w:val="center"/>
            <w:hideMark/>
          </w:tcPr>
          <w:p w14:paraId="6B8E9C29"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939</w:t>
            </w:r>
          </w:p>
        </w:tc>
        <w:tc>
          <w:tcPr>
            <w:tcW w:w="866" w:type="pct"/>
            <w:tcBorders>
              <w:top w:val="nil"/>
              <w:left w:val="nil"/>
              <w:bottom w:val="nil"/>
              <w:right w:val="nil"/>
            </w:tcBorders>
            <w:shd w:val="clear" w:color="000000" w:fill="F2F2F2"/>
            <w:noWrap/>
            <w:vAlign w:val="center"/>
            <w:hideMark/>
          </w:tcPr>
          <w:p w14:paraId="5909CEE3"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77.0</w:t>
            </w:r>
          </w:p>
        </w:tc>
      </w:tr>
      <w:tr w:rsidR="004A1E43" w:rsidRPr="004A1E43" w14:paraId="1400FE4E" w14:textId="77777777" w:rsidTr="00F253FE">
        <w:trPr>
          <w:trHeight w:val="300"/>
        </w:trPr>
        <w:tc>
          <w:tcPr>
            <w:tcW w:w="1536" w:type="pct"/>
            <w:tcBorders>
              <w:top w:val="nil"/>
              <w:left w:val="nil"/>
              <w:bottom w:val="nil"/>
              <w:right w:val="nil"/>
            </w:tcBorders>
            <w:shd w:val="clear" w:color="auto" w:fill="auto"/>
            <w:vAlign w:val="center"/>
            <w:hideMark/>
          </w:tcPr>
          <w:p w14:paraId="47746AAA" w14:textId="77777777" w:rsidR="004A1E43" w:rsidRPr="004A1E43" w:rsidRDefault="004A1E43" w:rsidP="004A1E43">
            <w:pPr>
              <w:spacing w:after="0" w:line="240" w:lineRule="auto"/>
              <w:rPr>
                <w:rFonts w:ascii="Arial" w:hAnsi="Arial" w:cs="Arial"/>
                <w:sz w:val="16"/>
                <w:szCs w:val="16"/>
              </w:rPr>
            </w:pPr>
            <w:r w:rsidRPr="004A1E43">
              <w:rPr>
                <w:rFonts w:ascii="Arial" w:hAnsi="Arial" w:cs="Arial"/>
                <w:sz w:val="16"/>
                <w:szCs w:val="16"/>
              </w:rPr>
              <w:t>Self</w:t>
            </w:r>
            <w:r w:rsidRPr="004A1E43">
              <w:rPr>
                <w:rFonts w:ascii="Arial" w:hAnsi="Arial" w:cs="Arial"/>
                <w:sz w:val="16"/>
                <w:szCs w:val="16"/>
              </w:rPr>
              <w:noBreakHyphen/>
              <w:t xml:space="preserve">disclosure </w:t>
            </w:r>
          </w:p>
        </w:tc>
        <w:tc>
          <w:tcPr>
            <w:tcW w:w="866" w:type="pct"/>
            <w:tcBorders>
              <w:top w:val="nil"/>
              <w:left w:val="nil"/>
              <w:bottom w:val="nil"/>
              <w:right w:val="nil"/>
            </w:tcBorders>
            <w:shd w:val="clear" w:color="auto" w:fill="auto"/>
            <w:noWrap/>
            <w:vAlign w:val="center"/>
            <w:hideMark/>
          </w:tcPr>
          <w:p w14:paraId="582CD00D"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288</w:t>
            </w:r>
          </w:p>
        </w:tc>
        <w:tc>
          <w:tcPr>
            <w:tcW w:w="866" w:type="pct"/>
            <w:tcBorders>
              <w:top w:val="nil"/>
              <w:left w:val="nil"/>
              <w:bottom w:val="nil"/>
              <w:right w:val="nil"/>
            </w:tcBorders>
            <w:shd w:val="clear" w:color="auto" w:fill="auto"/>
            <w:noWrap/>
            <w:vAlign w:val="center"/>
            <w:hideMark/>
          </w:tcPr>
          <w:p w14:paraId="4A3669D3"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16.8</w:t>
            </w:r>
          </w:p>
        </w:tc>
        <w:tc>
          <w:tcPr>
            <w:tcW w:w="866" w:type="pct"/>
            <w:tcBorders>
              <w:top w:val="nil"/>
              <w:left w:val="nil"/>
              <w:bottom w:val="nil"/>
              <w:right w:val="nil"/>
            </w:tcBorders>
            <w:shd w:val="clear" w:color="000000" w:fill="F2F2F2"/>
            <w:vAlign w:val="center"/>
            <w:hideMark/>
          </w:tcPr>
          <w:p w14:paraId="24869B18"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107</w:t>
            </w:r>
          </w:p>
        </w:tc>
        <w:tc>
          <w:tcPr>
            <w:tcW w:w="866" w:type="pct"/>
            <w:tcBorders>
              <w:top w:val="nil"/>
              <w:left w:val="nil"/>
              <w:bottom w:val="nil"/>
              <w:right w:val="nil"/>
            </w:tcBorders>
            <w:shd w:val="clear" w:color="000000" w:fill="F2F2F2"/>
            <w:noWrap/>
            <w:vAlign w:val="center"/>
            <w:hideMark/>
          </w:tcPr>
          <w:p w14:paraId="5AF8C095"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8.8</w:t>
            </w:r>
          </w:p>
        </w:tc>
      </w:tr>
      <w:tr w:rsidR="004A1E43" w:rsidRPr="004A1E43" w14:paraId="72C76722" w14:textId="77777777" w:rsidTr="008A4010">
        <w:trPr>
          <w:trHeight w:val="300"/>
        </w:trPr>
        <w:tc>
          <w:tcPr>
            <w:tcW w:w="1536" w:type="pct"/>
            <w:tcBorders>
              <w:top w:val="nil"/>
              <w:left w:val="nil"/>
              <w:right w:val="nil"/>
            </w:tcBorders>
            <w:shd w:val="clear" w:color="auto" w:fill="auto"/>
            <w:vAlign w:val="center"/>
            <w:hideMark/>
          </w:tcPr>
          <w:p w14:paraId="0528B894" w14:textId="77777777" w:rsidR="004A1E43" w:rsidRPr="004A1E43" w:rsidRDefault="004A1E43" w:rsidP="004A1E43">
            <w:pPr>
              <w:spacing w:after="0" w:line="240" w:lineRule="auto"/>
              <w:rPr>
                <w:rFonts w:ascii="Arial" w:hAnsi="Arial" w:cs="Arial"/>
                <w:sz w:val="16"/>
                <w:szCs w:val="16"/>
              </w:rPr>
            </w:pPr>
            <w:r w:rsidRPr="004A1E43">
              <w:rPr>
                <w:rFonts w:ascii="Arial" w:hAnsi="Arial" w:cs="Arial"/>
                <w:sz w:val="16"/>
                <w:szCs w:val="16"/>
              </w:rPr>
              <w:t>Other referrals</w:t>
            </w:r>
          </w:p>
        </w:tc>
        <w:tc>
          <w:tcPr>
            <w:tcW w:w="866" w:type="pct"/>
            <w:tcBorders>
              <w:top w:val="nil"/>
              <w:left w:val="nil"/>
              <w:bottom w:val="single" w:sz="2" w:space="0" w:color="000000" w:themeColor="text1"/>
              <w:right w:val="nil"/>
            </w:tcBorders>
            <w:shd w:val="clear" w:color="auto" w:fill="auto"/>
            <w:noWrap/>
            <w:vAlign w:val="center"/>
            <w:hideMark/>
          </w:tcPr>
          <w:p w14:paraId="063DA8C3"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76</w:t>
            </w:r>
          </w:p>
        </w:tc>
        <w:tc>
          <w:tcPr>
            <w:tcW w:w="866" w:type="pct"/>
            <w:tcBorders>
              <w:top w:val="nil"/>
              <w:left w:val="nil"/>
              <w:bottom w:val="single" w:sz="2" w:space="0" w:color="000000" w:themeColor="text1"/>
              <w:right w:val="nil"/>
            </w:tcBorders>
            <w:shd w:val="clear" w:color="auto" w:fill="auto"/>
            <w:noWrap/>
            <w:vAlign w:val="center"/>
            <w:hideMark/>
          </w:tcPr>
          <w:p w14:paraId="067FEDA7"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4.4</w:t>
            </w:r>
          </w:p>
        </w:tc>
        <w:tc>
          <w:tcPr>
            <w:tcW w:w="866" w:type="pct"/>
            <w:tcBorders>
              <w:top w:val="nil"/>
              <w:left w:val="nil"/>
              <w:bottom w:val="single" w:sz="2" w:space="0" w:color="000000" w:themeColor="text1"/>
              <w:right w:val="nil"/>
            </w:tcBorders>
            <w:shd w:val="clear" w:color="000000" w:fill="F2F2F2"/>
            <w:vAlign w:val="center"/>
            <w:hideMark/>
          </w:tcPr>
          <w:p w14:paraId="74CCC49B"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86</w:t>
            </w:r>
          </w:p>
        </w:tc>
        <w:tc>
          <w:tcPr>
            <w:tcW w:w="866" w:type="pct"/>
            <w:tcBorders>
              <w:top w:val="nil"/>
              <w:left w:val="nil"/>
              <w:bottom w:val="single" w:sz="2" w:space="0" w:color="000000" w:themeColor="text1"/>
              <w:right w:val="nil"/>
            </w:tcBorders>
            <w:shd w:val="clear" w:color="000000" w:fill="F2F2F2"/>
            <w:noWrap/>
            <w:vAlign w:val="center"/>
            <w:hideMark/>
          </w:tcPr>
          <w:p w14:paraId="6E9F5D33" w14:textId="77777777" w:rsidR="004A1E43" w:rsidRPr="004A1E43" w:rsidRDefault="004A1E43" w:rsidP="004A1E43">
            <w:pPr>
              <w:spacing w:after="0" w:line="240" w:lineRule="auto"/>
              <w:jc w:val="right"/>
              <w:rPr>
                <w:rFonts w:ascii="Arial" w:hAnsi="Arial" w:cs="Arial"/>
                <w:sz w:val="16"/>
                <w:szCs w:val="16"/>
              </w:rPr>
            </w:pPr>
            <w:r w:rsidRPr="004A1E43">
              <w:rPr>
                <w:rFonts w:ascii="Arial" w:hAnsi="Arial" w:cs="Arial"/>
                <w:sz w:val="16"/>
                <w:szCs w:val="16"/>
              </w:rPr>
              <w:t>7.0</w:t>
            </w:r>
          </w:p>
        </w:tc>
      </w:tr>
      <w:tr w:rsidR="004A1E43" w:rsidRPr="004A1E43" w14:paraId="7080BC30" w14:textId="77777777" w:rsidTr="008A4010">
        <w:trPr>
          <w:trHeight w:val="300"/>
        </w:trPr>
        <w:tc>
          <w:tcPr>
            <w:tcW w:w="1536" w:type="pct"/>
            <w:tcBorders>
              <w:left w:val="nil"/>
              <w:bottom w:val="single" w:sz="2" w:space="0" w:color="000000" w:themeColor="text1"/>
              <w:right w:val="nil"/>
            </w:tcBorders>
            <w:shd w:val="clear" w:color="auto" w:fill="auto"/>
            <w:vAlign w:val="center"/>
            <w:hideMark/>
          </w:tcPr>
          <w:p w14:paraId="66CC7C0F" w14:textId="450FD066" w:rsidR="004A1E43" w:rsidRPr="004A1E43" w:rsidRDefault="004A1E43" w:rsidP="004A1E43">
            <w:pPr>
              <w:spacing w:after="0" w:line="240" w:lineRule="auto"/>
              <w:rPr>
                <w:rFonts w:ascii="Arial" w:hAnsi="Arial" w:cs="Arial"/>
                <w:b/>
                <w:bCs/>
                <w:sz w:val="16"/>
                <w:szCs w:val="16"/>
              </w:rPr>
            </w:pPr>
            <w:r w:rsidRPr="004A1E43">
              <w:rPr>
                <w:rFonts w:ascii="Arial" w:hAnsi="Arial" w:cs="Arial"/>
                <w:b/>
                <w:bCs/>
                <w:sz w:val="16"/>
                <w:szCs w:val="16"/>
              </w:rPr>
              <w:t>Total received (</w:t>
            </w:r>
            <w:r w:rsidR="00E00B63">
              <w:rPr>
                <w:rFonts w:ascii="Arial" w:hAnsi="Arial" w:cs="Arial"/>
                <w:b/>
                <w:bCs/>
                <w:sz w:val="16"/>
                <w:szCs w:val="16"/>
              </w:rPr>
              <w:t>b</w:t>
            </w:r>
            <w:r w:rsidRPr="004A1E43">
              <w:rPr>
                <w:rFonts w:ascii="Arial" w:hAnsi="Arial" w:cs="Arial"/>
                <w:b/>
                <w:bCs/>
                <w:sz w:val="16"/>
                <w:szCs w:val="16"/>
              </w:rPr>
              <w:t>)</w:t>
            </w:r>
          </w:p>
        </w:tc>
        <w:tc>
          <w:tcPr>
            <w:tcW w:w="866" w:type="pct"/>
            <w:tcBorders>
              <w:top w:val="single" w:sz="2" w:space="0" w:color="000000" w:themeColor="text1"/>
              <w:left w:val="nil"/>
              <w:bottom w:val="single" w:sz="2" w:space="0" w:color="000000" w:themeColor="text1"/>
              <w:right w:val="nil"/>
            </w:tcBorders>
            <w:shd w:val="clear" w:color="auto" w:fill="auto"/>
            <w:noWrap/>
            <w:vAlign w:val="center"/>
            <w:hideMark/>
          </w:tcPr>
          <w:p w14:paraId="4DC03D44" w14:textId="77777777" w:rsidR="004A1E43" w:rsidRPr="004A1E43" w:rsidRDefault="004A1E43" w:rsidP="004A1E43">
            <w:pPr>
              <w:spacing w:after="0" w:line="240" w:lineRule="auto"/>
              <w:jc w:val="right"/>
              <w:rPr>
                <w:rFonts w:ascii="Arial" w:hAnsi="Arial" w:cs="Arial"/>
                <w:b/>
                <w:bCs/>
                <w:sz w:val="16"/>
                <w:szCs w:val="16"/>
              </w:rPr>
            </w:pPr>
            <w:r w:rsidRPr="004A1E43">
              <w:rPr>
                <w:rFonts w:ascii="Arial" w:hAnsi="Arial" w:cs="Arial"/>
                <w:b/>
                <w:bCs/>
                <w:sz w:val="16"/>
                <w:szCs w:val="16"/>
              </w:rPr>
              <w:t>1,710</w:t>
            </w:r>
          </w:p>
        </w:tc>
        <w:tc>
          <w:tcPr>
            <w:tcW w:w="866" w:type="pct"/>
            <w:tcBorders>
              <w:top w:val="single" w:sz="2" w:space="0" w:color="000000" w:themeColor="text1"/>
              <w:left w:val="nil"/>
              <w:bottom w:val="single" w:sz="2" w:space="0" w:color="000000" w:themeColor="text1"/>
              <w:right w:val="nil"/>
            </w:tcBorders>
            <w:shd w:val="clear" w:color="auto" w:fill="auto"/>
            <w:noWrap/>
            <w:vAlign w:val="center"/>
            <w:hideMark/>
          </w:tcPr>
          <w:p w14:paraId="62FB302B" w14:textId="77777777" w:rsidR="004A1E43" w:rsidRPr="004A1E43" w:rsidRDefault="004A1E43" w:rsidP="004A1E43">
            <w:pPr>
              <w:spacing w:after="0" w:line="240" w:lineRule="auto"/>
              <w:jc w:val="right"/>
              <w:rPr>
                <w:rFonts w:ascii="Arial" w:hAnsi="Arial" w:cs="Arial"/>
                <w:b/>
                <w:bCs/>
                <w:sz w:val="16"/>
                <w:szCs w:val="16"/>
              </w:rPr>
            </w:pPr>
            <w:r w:rsidRPr="004A1E43">
              <w:rPr>
                <w:rFonts w:ascii="Arial" w:hAnsi="Arial" w:cs="Arial"/>
                <w:b/>
                <w:bCs/>
                <w:sz w:val="16"/>
                <w:szCs w:val="16"/>
              </w:rPr>
              <w:t>100.0</w:t>
            </w:r>
          </w:p>
        </w:tc>
        <w:tc>
          <w:tcPr>
            <w:tcW w:w="866" w:type="pct"/>
            <w:tcBorders>
              <w:top w:val="single" w:sz="2" w:space="0" w:color="000000" w:themeColor="text1"/>
              <w:left w:val="nil"/>
              <w:bottom w:val="single" w:sz="2" w:space="0" w:color="000000" w:themeColor="text1"/>
              <w:right w:val="nil"/>
            </w:tcBorders>
            <w:shd w:val="clear" w:color="000000" w:fill="F2F2F2"/>
            <w:vAlign w:val="center"/>
            <w:hideMark/>
          </w:tcPr>
          <w:p w14:paraId="5973D2FD" w14:textId="77777777" w:rsidR="004A1E43" w:rsidRPr="004A1E43" w:rsidRDefault="004A1E43" w:rsidP="004A1E43">
            <w:pPr>
              <w:spacing w:after="0" w:line="240" w:lineRule="auto"/>
              <w:jc w:val="right"/>
              <w:rPr>
                <w:rFonts w:ascii="Arial" w:hAnsi="Arial" w:cs="Arial"/>
                <w:b/>
                <w:bCs/>
                <w:sz w:val="16"/>
                <w:szCs w:val="16"/>
              </w:rPr>
            </w:pPr>
            <w:r w:rsidRPr="004A1E43">
              <w:rPr>
                <w:rFonts w:ascii="Arial" w:hAnsi="Arial" w:cs="Arial"/>
                <w:b/>
                <w:bCs/>
                <w:sz w:val="16"/>
                <w:szCs w:val="16"/>
              </w:rPr>
              <w:t>1,220</w:t>
            </w:r>
          </w:p>
        </w:tc>
        <w:tc>
          <w:tcPr>
            <w:tcW w:w="866" w:type="pct"/>
            <w:tcBorders>
              <w:top w:val="single" w:sz="2" w:space="0" w:color="000000" w:themeColor="text1"/>
              <w:left w:val="nil"/>
              <w:bottom w:val="single" w:sz="2" w:space="0" w:color="000000" w:themeColor="text1"/>
              <w:right w:val="nil"/>
            </w:tcBorders>
            <w:shd w:val="clear" w:color="000000" w:fill="F2F2F2"/>
            <w:noWrap/>
            <w:vAlign w:val="center"/>
            <w:hideMark/>
          </w:tcPr>
          <w:p w14:paraId="4B7206EE" w14:textId="77777777" w:rsidR="004A1E43" w:rsidRPr="004A1E43" w:rsidRDefault="004A1E43" w:rsidP="004A1E43">
            <w:pPr>
              <w:spacing w:after="0" w:line="240" w:lineRule="auto"/>
              <w:jc w:val="right"/>
              <w:rPr>
                <w:rFonts w:ascii="Arial" w:hAnsi="Arial" w:cs="Arial"/>
                <w:b/>
                <w:bCs/>
                <w:sz w:val="16"/>
                <w:szCs w:val="16"/>
              </w:rPr>
            </w:pPr>
            <w:r w:rsidRPr="004A1E43">
              <w:rPr>
                <w:rFonts w:ascii="Arial" w:hAnsi="Arial" w:cs="Arial"/>
                <w:b/>
                <w:bCs/>
                <w:sz w:val="16"/>
                <w:szCs w:val="16"/>
              </w:rPr>
              <w:t>100.0</w:t>
            </w:r>
          </w:p>
        </w:tc>
      </w:tr>
    </w:tbl>
    <w:p w14:paraId="1D487E45" w14:textId="77777777" w:rsidR="00E00B63" w:rsidRDefault="00E00B63" w:rsidP="007149D6">
      <w:pPr>
        <w:pStyle w:val="ChartorTableFootnote"/>
        <w:numPr>
          <w:ilvl w:val="0"/>
          <w:numId w:val="17"/>
        </w:numPr>
      </w:pPr>
      <w:r>
        <w:t>Data matched includes the vacancy fee</w:t>
      </w:r>
    </w:p>
    <w:p w14:paraId="7959A27C" w14:textId="2E58BC9C" w:rsidR="00FE4769" w:rsidRPr="006A0149" w:rsidRDefault="007F66FF" w:rsidP="007149D6">
      <w:pPr>
        <w:pStyle w:val="ChartorTableFootnote"/>
        <w:numPr>
          <w:ilvl w:val="0"/>
          <w:numId w:val="17"/>
        </w:numPr>
      </w:pPr>
      <w:r w:rsidRPr="006A0149">
        <w:t xml:space="preserve">The total number of received cases includes new cases identified in the prior financial year which remained open at the end </w:t>
      </w:r>
      <w:r w:rsidR="00E15832">
        <w:t>of that financial year. In 2018</w:t>
      </w:r>
      <w:r w:rsidR="00E15832">
        <w:noBreakHyphen/>
      </w:r>
      <w:r w:rsidRPr="006A0149">
        <w:t>19 there were 306 cases carried forward from 2017</w:t>
      </w:r>
      <w:r w:rsidR="00E15832">
        <w:noBreakHyphen/>
      </w:r>
      <w:r w:rsidRPr="006A0149">
        <w:t>18 year.</w:t>
      </w:r>
    </w:p>
    <w:p w14:paraId="5A49E6B4" w14:textId="77777777" w:rsidR="00A84283" w:rsidRPr="006A0149" w:rsidRDefault="00A84283" w:rsidP="00D73478">
      <w:pPr>
        <w:pStyle w:val="ChartorTableNote"/>
      </w:pPr>
      <w:r w:rsidRPr="006A0149">
        <w:t>Notes:</w:t>
      </w:r>
      <w:r w:rsidRPr="006A0149">
        <w:tab/>
        <w:t>Percentage totals may not add due to rounding.</w:t>
      </w:r>
    </w:p>
    <w:p w14:paraId="691BC689" w14:textId="77777777" w:rsidR="006855BC" w:rsidRDefault="006855BC" w:rsidP="00B0099D">
      <w:pPr>
        <w:pStyle w:val="SingleParagraph"/>
      </w:pPr>
    </w:p>
    <w:p w14:paraId="3DFF671C" w14:textId="6E4D5FDC" w:rsidR="00F16F40" w:rsidRDefault="00A84283" w:rsidP="002E2EFE">
      <w:r w:rsidRPr="00A84283">
        <w:t xml:space="preserve">ATO data matching analysis is an increasingly important source of information used in compliance investigations. </w:t>
      </w:r>
      <w:r w:rsidR="00E00B63">
        <w:t xml:space="preserve">The ATO continues to increase its use of state and territory data regarding foreign investors in the residential real estate sector and </w:t>
      </w:r>
      <w:r w:rsidR="00F16F40">
        <w:t>contin</w:t>
      </w:r>
      <w:r w:rsidR="00E00B63">
        <w:t>ues to increase its data matching capacity in this sector.</w:t>
      </w:r>
      <w:r w:rsidR="00B50854">
        <w:t xml:space="preserve"> </w:t>
      </w:r>
    </w:p>
    <w:p w14:paraId="60246739" w14:textId="49939672" w:rsidR="00A84283" w:rsidRPr="00A84283" w:rsidRDefault="00A84283" w:rsidP="002E2EFE">
      <w:r w:rsidRPr="00A84283">
        <w:lastRenderedPageBreak/>
        <w:t>Data matching made up 77</w:t>
      </w:r>
      <w:r w:rsidR="00E15832">
        <w:t> per </w:t>
      </w:r>
      <w:r w:rsidRPr="00A84283">
        <w:t>cent of the 1,220 cases identified for investigation in 2018</w:t>
      </w:r>
      <w:r w:rsidR="00E15832">
        <w:noBreakHyphen/>
      </w:r>
      <w:r w:rsidRPr="00A84283">
        <w:t>19. Although information received from the community is a source of intelligence for the ATO, only a small proportion of investigations arising from community information actually involved a breach of the Act. In most cases, the owners of the properties reported by community members were found to be Australian citizens or permanent residents and were therefore exempt from the Act.</w:t>
      </w:r>
    </w:p>
    <w:p w14:paraId="09C1FEF1" w14:textId="39576CDF" w:rsidR="00C774A3" w:rsidRDefault="00D73478" w:rsidP="00D73478">
      <w:pPr>
        <w:pStyle w:val="TableMainHeading"/>
      </w:pPr>
      <w:bookmarkStart w:id="195" w:name="_Toc32247783"/>
      <w:bookmarkStart w:id="196" w:name="_Toc33521368"/>
      <w:r w:rsidRPr="007F66FF">
        <w:t>Table 4.4: Outcomes of completed residential real estate investigations by source</w:t>
      </w:r>
      <w:r w:rsidR="00B748BF">
        <w:t xml:space="preserve"> in 2017</w:t>
      </w:r>
      <w:r w:rsidR="00E15832">
        <w:noBreakHyphen/>
      </w:r>
      <w:r w:rsidR="00B748BF">
        <w:t>18 and 2018</w:t>
      </w:r>
      <w:r w:rsidR="00E15832">
        <w:noBreakHyphen/>
      </w:r>
      <w:r w:rsidR="00B748BF">
        <w:t>19</w:t>
      </w:r>
      <w:bookmarkEnd w:id="195"/>
      <w:bookmarkEnd w:id="196"/>
    </w:p>
    <w:tbl>
      <w:tblPr>
        <w:tblW w:w="5000" w:type="pct"/>
        <w:tblLook w:val="04A0" w:firstRow="1" w:lastRow="0" w:firstColumn="1" w:lastColumn="0" w:noHBand="0" w:noVBand="1"/>
      </w:tblPr>
      <w:tblGrid>
        <w:gridCol w:w="1861"/>
        <w:gridCol w:w="1462"/>
        <w:gridCol w:w="1462"/>
        <w:gridCol w:w="1462"/>
        <w:gridCol w:w="1463"/>
      </w:tblGrid>
      <w:tr w:rsidR="00F253FE" w:rsidRPr="00F253FE" w14:paraId="065BA0FD" w14:textId="77777777" w:rsidTr="00B0099D">
        <w:trPr>
          <w:trHeight w:val="300"/>
        </w:trPr>
        <w:tc>
          <w:tcPr>
            <w:tcW w:w="1000" w:type="pct"/>
            <w:tcBorders>
              <w:top w:val="single" w:sz="2" w:space="0" w:color="000000" w:themeColor="text1"/>
              <w:left w:val="nil"/>
            </w:tcBorders>
            <w:shd w:val="clear" w:color="auto" w:fill="auto"/>
            <w:noWrap/>
            <w:vAlign w:val="center"/>
            <w:hideMark/>
          </w:tcPr>
          <w:p w14:paraId="6954A847" w14:textId="0E7A044C" w:rsidR="00F253FE" w:rsidRPr="00F253FE" w:rsidRDefault="00F253FE" w:rsidP="00F253FE">
            <w:pPr>
              <w:spacing w:after="0" w:line="240" w:lineRule="auto"/>
              <w:jc w:val="left"/>
              <w:rPr>
                <w:rFonts w:ascii="Arial" w:hAnsi="Arial" w:cs="Arial"/>
                <w:sz w:val="16"/>
                <w:szCs w:val="16"/>
              </w:rPr>
            </w:pPr>
          </w:p>
        </w:tc>
        <w:tc>
          <w:tcPr>
            <w:tcW w:w="2000" w:type="pct"/>
            <w:gridSpan w:val="2"/>
            <w:tcBorders>
              <w:top w:val="single" w:sz="2" w:space="0" w:color="000000" w:themeColor="text1"/>
            </w:tcBorders>
            <w:shd w:val="clear" w:color="auto" w:fill="auto"/>
            <w:noWrap/>
            <w:vAlign w:val="bottom"/>
            <w:hideMark/>
          </w:tcPr>
          <w:p w14:paraId="6FC894C4" w14:textId="77777777" w:rsidR="00F253FE" w:rsidRPr="00F253FE" w:rsidRDefault="00F253FE" w:rsidP="00F253FE">
            <w:pPr>
              <w:spacing w:after="0" w:line="240" w:lineRule="auto"/>
              <w:jc w:val="center"/>
              <w:rPr>
                <w:rFonts w:ascii="Arial" w:hAnsi="Arial" w:cs="Arial"/>
                <w:sz w:val="16"/>
                <w:szCs w:val="16"/>
              </w:rPr>
            </w:pPr>
            <w:r w:rsidRPr="00F253FE">
              <w:rPr>
                <w:rFonts w:ascii="Arial" w:hAnsi="Arial" w:cs="Arial"/>
                <w:sz w:val="16"/>
                <w:szCs w:val="16"/>
              </w:rPr>
              <w:t>2017</w:t>
            </w:r>
            <w:r w:rsidRPr="00F253FE">
              <w:rPr>
                <w:rFonts w:ascii="Arial" w:hAnsi="Arial" w:cs="Arial"/>
                <w:sz w:val="16"/>
                <w:szCs w:val="16"/>
              </w:rPr>
              <w:noBreakHyphen/>
              <w:t>18</w:t>
            </w:r>
          </w:p>
        </w:tc>
        <w:tc>
          <w:tcPr>
            <w:tcW w:w="2000" w:type="pct"/>
            <w:gridSpan w:val="2"/>
            <w:tcBorders>
              <w:top w:val="single" w:sz="2" w:space="0" w:color="000000" w:themeColor="text1"/>
            </w:tcBorders>
            <w:shd w:val="clear" w:color="000000" w:fill="F2F2F2"/>
            <w:noWrap/>
            <w:vAlign w:val="bottom"/>
            <w:hideMark/>
          </w:tcPr>
          <w:p w14:paraId="7D000F65" w14:textId="77777777" w:rsidR="00F253FE" w:rsidRPr="00F253FE" w:rsidRDefault="00F253FE" w:rsidP="00F253FE">
            <w:pPr>
              <w:spacing w:after="0" w:line="240" w:lineRule="auto"/>
              <w:jc w:val="center"/>
              <w:rPr>
                <w:rFonts w:ascii="Arial" w:hAnsi="Arial" w:cs="Arial"/>
                <w:sz w:val="16"/>
                <w:szCs w:val="16"/>
              </w:rPr>
            </w:pPr>
            <w:r w:rsidRPr="00F253FE">
              <w:rPr>
                <w:rFonts w:ascii="Arial" w:hAnsi="Arial" w:cs="Arial"/>
                <w:sz w:val="16"/>
                <w:szCs w:val="16"/>
              </w:rPr>
              <w:t>2018</w:t>
            </w:r>
            <w:r w:rsidRPr="00F253FE">
              <w:rPr>
                <w:rFonts w:ascii="Arial" w:hAnsi="Arial" w:cs="Arial"/>
                <w:sz w:val="16"/>
                <w:szCs w:val="16"/>
              </w:rPr>
              <w:noBreakHyphen/>
              <w:t>19</w:t>
            </w:r>
          </w:p>
        </w:tc>
      </w:tr>
      <w:tr w:rsidR="00F253FE" w:rsidRPr="00F253FE" w14:paraId="02A65187" w14:textId="77777777" w:rsidTr="00B0099D">
        <w:trPr>
          <w:trHeight w:val="465"/>
        </w:trPr>
        <w:tc>
          <w:tcPr>
            <w:tcW w:w="1000" w:type="pct"/>
            <w:shd w:val="clear" w:color="auto" w:fill="auto"/>
            <w:noWrap/>
            <w:vAlign w:val="bottom"/>
            <w:hideMark/>
          </w:tcPr>
          <w:p w14:paraId="043BB0CD" w14:textId="2E611172" w:rsidR="00F253FE" w:rsidRPr="00F253FE" w:rsidRDefault="00F253FE" w:rsidP="00F253FE">
            <w:pPr>
              <w:spacing w:after="0" w:line="240" w:lineRule="auto"/>
              <w:rPr>
                <w:rFonts w:ascii="Arial" w:hAnsi="Arial" w:cs="Arial"/>
                <w:sz w:val="16"/>
                <w:szCs w:val="16"/>
              </w:rPr>
            </w:pPr>
            <w:r w:rsidRPr="00F253FE">
              <w:rPr>
                <w:rFonts w:ascii="Arial" w:hAnsi="Arial" w:cs="Arial"/>
                <w:sz w:val="16"/>
                <w:szCs w:val="16"/>
              </w:rPr>
              <w:t>Source</w:t>
            </w:r>
          </w:p>
        </w:tc>
        <w:tc>
          <w:tcPr>
            <w:tcW w:w="1000" w:type="pct"/>
            <w:tcBorders>
              <w:bottom w:val="single" w:sz="2" w:space="0" w:color="000000" w:themeColor="text1"/>
            </w:tcBorders>
            <w:shd w:val="clear" w:color="auto" w:fill="auto"/>
            <w:vAlign w:val="bottom"/>
            <w:hideMark/>
          </w:tcPr>
          <w:p w14:paraId="00FA665E"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No. of completed investigations</w:t>
            </w:r>
          </w:p>
        </w:tc>
        <w:tc>
          <w:tcPr>
            <w:tcW w:w="1000" w:type="pct"/>
            <w:tcBorders>
              <w:bottom w:val="single" w:sz="2" w:space="0" w:color="000000" w:themeColor="text1"/>
            </w:tcBorders>
            <w:shd w:val="clear" w:color="auto" w:fill="auto"/>
            <w:vAlign w:val="bottom"/>
            <w:hideMark/>
          </w:tcPr>
          <w:p w14:paraId="2135D8FA"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No. of breaches</w:t>
            </w:r>
          </w:p>
        </w:tc>
        <w:tc>
          <w:tcPr>
            <w:tcW w:w="1000" w:type="pct"/>
            <w:tcBorders>
              <w:bottom w:val="single" w:sz="2" w:space="0" w:color="000000" w:themeColor="text1"/>
            </w:tcBorders>
            <w:shd w:val="clear" w:color="000000" w:fill="F2F2F2"/>
            <w:vAlign w:val="bottom"/>
            <w:hideMark/>
          </w:tcPr>
          <w:p w14:paraId="29D1A479"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No. of completed investigations</w:t>
            </w:r>
          </w:p>
        </w:tc>
        <w:tc>
          <w:tcPr>
            <w:tcW w:w="1000" w:type="pct"/>
            <w:tcBorders>
              <w:bottom w:val="single" w:sz="2" w:space="0" w:color="000000" w:themeColor="text1"/>
            </w:tcBorders>
            <w:shd w:val="clear" w:color="000000" w:fill="F2F2F2"/>
            <w:vAlign w:val="bottom"/>
            <w:hideMark/>
          </w:tcPr>
          <w:p w14:paraId="6A9F7708"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No. of breaches</w:t>
            </w:r>
          </w:p>
        </w:tc>
      </w:tr>
      <w:tr w:rsidR="00F253FE" w:rsidRPr="00F253FE" w14:paraId="10FB3ADB" w14:textId="77777777" w:rsidTr="00B0099D">
        <w:trPr>
          <w:trHeight w:val="300"/>
        </w:trPr>
        <w:tc>
          <w:tcPr>
            <w:tcW w:w="1000" w:type="pct"/>
            <w:tcBorders>
              <w:left w:val="nil"/>
              <w:bottom w:val="nil"/>
              <w:right w:val="nil"/>
            </w:tcBorders>
            <w:shd w:val="clear" w:color="auto" w:fill="auto"/>
            <w:noWrap/>
            <w:vAlign w:val="bottom"/>
            <w:hideMark/>
          </w:tcPr>
          <w:p w14:paraId="41925B25" w14:textId="6AEE018A" w:rsidR="00F253FE" w:rsidRPr="00F253FE" w:rsidRDefault="00F253FE" w:rsidP="00F253FE">
            <w:pPr>
              <w:spacing w:after="0" w:line="240" w:lineRule="auto"/>
              <w:rPr>
                <w:rFonts w:ascii="Arial" w:hAnsi="Arial" w:cs="Arial"/>
                <w:sz w:val="16"/>
                <w:szCs w:val="16"/>
              </w:rPr>
            </w:pPr>
            <w:r>
              <w:rPr>
                <w:rFonts w:ascii="Arial" w:hAnsi="Arial" w:cs="Arial"/>
                <w:sz w:val="16"/>
                <w:szCs w:val="16"/>
              </w:rPr>
              <w:t>Community information</w:t>
            </w:r>
          </w:p>
        </w:tc>
        <w:tc>
          <w:tcPr>
            <w:tcW w:w="1000" w:type="pct"/>
            <w:tcBorders>
              <w:top w:val="single" w:sz="2" w:space="0" w:color="000000" w:themeColor="text1"/>
              <w:left w:val="nil"/>
              <w:bottom w:val="nil"/>
              <w:right w:val="nil"/>
            </w:tcBorders>
            <w:shd w:val="clear" w:color="auto" w:fill="auto"/>
            <w:noWrap/>
            <w:vAlign w:val="bottom"/>
            <w:hideMark/>
          </w:tcPr>
          <w:p w14:paraId="26BF6FA4"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228</w:t>
            </w:r>
          </w:p>
        </w:tc>
        <w:tc>
          <w:tcPr>
            <w:tcW w:w="1000" w:type="pct"/>
            <w:tcBorders>
              <w:top w:val="single" w:sz="2" w:space="0" w:color="000000" w:themeColor="text1"/>
              <w:left w:val="nil"/>
              <w:bottom w:val="nil"/>
              <w:right w:val="nil"/>
            </w:tcBorders>
            <w:shd w:val="clear" w:color="auto" w:fill="auto"/>
            <w:noWrap/>
            <w:vAlign w:val="bottom"/>
            <w:hideMark/>
          </w:tcPr>
          <w:p w14:paraId="192A9EDA"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37</w:t>
            </w:r>
          </w:p>
        </w:tc>
        <w:tc>
          <w:tcPr>
            <w:tcW w:w="1000" w:type="pct"/>
            <w:tcBorders>
              <w:top w:val="single" w:sz="2" w:space="0" w:color="000000" w:themeColor="text1"/>
              <w:left w:val="nil"/>
              <w:bottom w:val="nil"/>
              <w:right w:val="nil"/>
            </w:tcBorders>
            <w:shd w:val="clear" w:color="000000" w:fill="F2F2F2"/>
            <w:noWrap/>
            <w:vAlign w:val="bottom"/>
            <w:hideMark/>
          </w:tcPr>
          <w:p w14:paraId="131CD47C"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86</w:t>
            </w:r>
          </w:p>
        </w:tc>
        <w:tc>
          <w:tcPr>
            <w:tcW w:w="1000" w:type="pct"/>
            <w:tcBorders>
              <w:top w:val="single" w:sz="2" w:space="0" w:color="000000" w:themeColor="text1"/>
              <w:left w:val="nil"/>
              <w:bottom w:val="nil"/>
              <w:right w:val="nil"/>
            </w:tcBorders>
            <w:shd w:val="clear" w:color="000000" w:fill="F2F2F2"/>
            <w:noWrap/>
            <w:vAlign w:val="bottom"/>
            <w:hideMark/>
          </w:tcPr>
          <w:p w14:paraId="541050DE"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12</w:t>
            </w:r>
          </w:p>
        </w:tc>
      </w:tr>
      <w:tr w:rsidR="00F253FE" w:rsidRPr="00F253FE" w14:paraId="0170FBF1" w14:textId="77777777" w:rsidTr="00F253FE">
        <w:trPr>
          <w:trHeight w:val="300"/>
        </w:trPr>
        <w:tc>
          <w:tcPr>
            <w:tcW w:w="1000" w:type="pct"/>
            <w:tcBorders>
              <w:top w:val="nil"/>
              <w:left w:val="nil"/>
              <w:bottom w:val="nil"/>
              <w:right w:val="nil"/>
            </w:tcBorders>
            <w:shd w:val="clear" w:color="auto" w:fill="auto"/>
            <w:noWrap/>
            <w:vAlign w:val="bottom"/>
            <w:hideMark/>
          </w:tcPr>
          <w:p w14:paraId="110D8DBF" w14:textId="77F7AC9E" w:rsidR="00F253FE" w:rsidRPr="00F253FE" w:rsidRDefault="00F253FE" w:rsidP="00F253FE">
            <w:pPr>
              <w:spacing w:after="0" w:line="240" w:lineRule="auto"/>
              <w:rPr>
                <w:rFonts w:ascii="Arial" w:hAnsi="Arial" w:cs="Arial"/>
                <w:sz w:val="16"/>
                <w:szCs w:val="16"/>
              </w:rPr>
            </w:pPr>
            <w:r>
              <w:rPr>
                <w:rFonts w:ascii="Arial" w:hAnsi="Arial" w:cs="Arial"/>
                <w:sz w:val="16"/>
                <w:szCs w:val="16"/>
              </w:rPr>
              <w:t>Data matching</w:t>
            </w:r>
          </w:p>
        </w:tc>
        <w:tc>
          <w:tcPr>
            <w:tcW w:w="1000" w:type="pct"/>
            <w:tcBorders>
              <w:top w:val="nil"/>
              <w:left w:val="nil"/>
              <w:bottom w:val="nil"/>
              <w:right w:val="nil"/>
            </w:tcBorders>
            <w:shd w:val="clear" w:color="auto" w:fill="auto"/>
            <w:noWrap/>
            <w:vAlign w:val="bottom"/>
            <w:hideMark/>
          </w:tcPr>
          <w:p w14:paraId="500395FA"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866</w:t>
            </w:r>
          </w:p>
        </w:tc>
        <w:tc>
          <w:tcPr>
            <w:tcW w:w="1000" w:type="pct"/>
            <w:tcBorders>
              <w:top w:val="nil"/>
              <w:left w:val="nil"/>
              <w:bottom w:val="nil"/>
              <w:right w:val="nil"/>
            </w:tcBorders>
            <w:shd w:val="clear" w:color="auto" w:fill="auto"/>
            <w:noWrap/>
            <w:vAlign w:val="bottom"/>
            <w:hideMark/>
          </w:tcPr>
          <w:p w14:paraId="349D7D80"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370</w:t>
            </w:r>
          </w:p>
        </w:tc>
        <w:tc>
          <w:tcPr>
            <w:tcW w:w="1000" w:type="pct"/>
            <w:tcBorders>
              <w:top w:val="nil"/>
              <w:left w:val="nil"/>
              <w:bottom w:val="nil"/>
              <w:right w:val="nil"/>
            </w:tcBorders>
            <w:shd w:val="clear" w:color="000000" w:fill="F2F2F2"/>
            <w:noWrap/>
            <w:vAlign w:val="bottom"/>
            <w:hideMark/>
          </w:tcPr>
          <w:p w14:paraId="18E45DA3"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810</w:t>
            </w:r>
          </w:p>
        </w:tc>
        <w:tc>
          <w:tcPr>
            <w:tcW w:w="1000" w:type="pct"/>
            <w:tcBorders>
              <w:top w:val="nil"/>
              <w:left w:val="nil"/>
              <w:bottom w:val="nil"/>
              <w:right w:val="nil"/>
            </w:tcBorders>
            <w:shd w:val="clear" w:color="000000" w:fill="F2F2F2"/>
            <w:noWrap/>
            <w:vAlign w:val="bottom"/>
            <w:hideMark/>
          </w:tcPr>
          <w:p w14:paraId="0BE8EA4B"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484</w:t>
            </w:r>
          </w:p>
        </w:tc>
      </w:tr>
      <w:tr w:rsidR="00F253FE" w:rsidRPr="00F253FE" w14:paraId="36C52E48" w14:textId="77777777" w:rsidTr="00F253FE">
        <w:trPr>
          <w:trHeight w:val="300"/>
        </w:trPr>
        <w:tc>
          <w:tcPr>
            <w:tcW w:w="1000" w:type="pct"/>
            <w:tcBorders>
              <w:top w:val="nil"/>
              <w:left w:val="nil"/>
              <w:bottom w:val="nil"/>
              <w:right w:val="nil"/>
            </w:tcBorders>
            <w:shd w:val="clear" w:color="auto" w:fill="auto"/>
            <w:noWrap/>
            <w:vAlign w:val="bottom"/>
            <w:hideMark/>
          </w:tcPr>
          <w:p w14:paraId="667E04F8" w14:textId="39AB3D6B" w:rsidR="00F253FE" w:rsidRPr="00F253FE" w:rsidRDefault="00F253FE" w:rsidP="00F253FE">
            <w:pPr>
              <w:spacing w:after="0" w:line="240" w:lineRule="auto"/>
              <w:rPr>
                <w:rFonts w:ascii="Arial" w:hAnsi="Arial" w:cs="Arial"/>
                <w:sz w:val="16"/>
                <w:szCs w:val="16"/>
              </w:rPr>
            </w:pPr>
            <w:r>
              <w:rPr>
                <w:rFonts w:ascii="Arial" w:hAnsi="Arial" w:cs="Arial"/>
                <w:sz w:val="16"/>
                <w:szCs w:val="16"/>
              </w:rPr>
              <w:t>Self disclosure</w:t>
            </w:r>
          </w:p>
        </w:tc>
        <w:tc>
          <w:tcPr>
            <w:tcW w:w="1000" w:type="pct"/>
            <w:tcBorders>
              <w:top w:val="nil"/>
              <w:left w:val="nil"/>
              <w:bottom w:val="nil"/>
              <w:right w:val="nil"/>
            </w:tcBorders>
            <w:shd w:val="clear" w:color="auto" w:fill="auto"/>
            <w:noWrap/>
            <w:vAlign w:val="bottom"/>
            <w:hideMark/>
          </w:tcPr>
          <w:p w14:paraId="0B9195AF"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249</w:t>
            </w:r>
          </w:p>
        </w:tc>
        <w:tc>
          <w:tcPr>
            <w:tcW w:w="1000" w:type="pct"/>
            <w:tcBorders>
              <w:top w:val="nil"/>
              <w:left w:val="nil"/>
              <w:bottom w:val="nil"/>
              <w:right w:val="nil"/>
            </w:tcBorders>
            <w:shd w:val="clear" w:color="auto" w:fill="auto"/>
            <w:noWrap/>
            <w:vAlign w:val="bottom"/>
            <w:hideMark/>
          </w:tcPr>
          <w:p w14:paraId="6B28159E"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175</w:t>
            </w:r>
          </w:p>
        </w:tc>
        <w:tc>
          <w:tcPr>
            <w:tcW w:w="1000" w:type="pct"/>
            <w:tcBorders>
              <w:top w:val="nil"/>
              <w:left w:val="nil"/>
              <w:bottom w:val="nil"/>
              <w:right w:val="nil"/>
            </w:tcBorders>
            <w:shd w:val="clear" w:color="000000" w:fill="F2F2F2"/>
            <w:noWrap/>
            <w:vAlign w:val="bottom"/>
            <w:hideMark/>
          </w:tcPr>
          <w:p w14:paraId="7BD22D54"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103</w:t>
            </w:r>
          </w:p>
        </w:tc>
        <w:tc>
          <w:tcPr>
            <w:tcW w:w="1000" w:type="pct"/>
            <w:tcBorders>
              <w:top w:val="nil"/>
              <w:left w:val="nil"/>
              <w:bottom w:val="nil"/>
              <w:right w:val="nil"/>
            </w:tcBorders>
            <w:shd w:val="clear" w:color="000000" w:fill="F2F2F2"/>
            <w:noWrap/>
            <w:vAlign w:val="bottom"/>
            <w:hideMark/>
          </w:tcPr>
          <w:p w14:paraId="4921F51D"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76</w:t>
            </w:r>
          </w:p>
        </w:tc>
      </w:tr>
      <w:tr w:rsidR="00F253FE" w:rsidRPr="00F253FE" w14:paraId="3E32E1FD" w14:textId="77777777" w:rsidTr="00B0099D">
        <w:trPr>
          <w:trHeight w:val="300"/>
        </w:trPr>
        <w:tc>
          <w:tcPr>
            <w:tcW w:w="1000" w:type="pct"/>
            <w:tcBorders>
              <w:top w:val="nil"/>
              <w:left w:val="nil"/>
              <w:right w:val="nil"/>
            </w:tcBorders>
            <w:shd w:val="clear" w:color="auto" w:fill="auto"/>
            <w:noWrap/>
            <w:vAlign w:val="bottom"/>
            <w:hideMark/>
          </w:tcPr>
          <w:p w14:paraId="458D4457" w14:textId="0858D878" w:rsidR="00F253FE" w:rsidRPr="00F253FE" w:rsidRDefault="00F253FE" w:rsidP="00F253FE">
            <w:pPr>
              <w:spacing w:after="0" w:line="240" w:lineRule="auto"/>
              <w:rPr>
                <w:rFonts w:ascii="Arial" w:hAnsi="Arial" w:cs="Arial"/>
                <w:sz w:val="16"/>
                <w:szCs w:val="16"/>
              </w:rPr>
            </w:pPr>
            <w:r>
              <w:rPr>
                <w:rFonts w:ascii="Arial" w:hAnsi="Arial" w:cs="Arial"/>
                <w:sz w:val="16"/>
                <w:szCs w:val="16"/>
              </w:rPr>
              <w:t>Other referral</w:t>
            </w:r>
          </w:p>
        </w:tc>
        <w:tc>
          <w:tcPr>
            <w:tcW w:w="1000" w:type="pct"/>
            <w:tcBorders>
              <w:top w:val="nil"/>
              <w:left w:val="nil"/>
              <w:bottom w:val="single" w:sz="2" w:space="0" w:color="000000" w:themeColor="text1"/>
              <w:right w:val="nil"/>
            </w:tcBorders>
            <w:shd w:val="clear" w:color="auto" w:fill="auto"/>
            <w:noWrap/>
            <w:vAlign w:val="bottom"/>
            <w:hideMark/>
          </w:tcPr>
          <w:p w14:paraId="5783A2AF"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61</w:t>
            </w:r>
          </w:p>
        </w:tc>
        <w:tc>
          <w:tcPr>
            <w:tcW w:w="1000" w:type="pct"/>
            <w:tcBorders>
              <w:top w:val="nil"/>
              <w:left w:val="nil"/>
              <w:bottom w:val="single" w:sz="2" w:space="0" w:color="000000" w:themeColor="text1"/>
              <w:right w:val="nil"/>
            </w:tcBorders>
            <w:shd w:val="clear" w:color="auto" w:fill="auto"/>
            <w:noWrap/>
            <w:vAlign w:val="bottom"/>
            <w:hideMark/>
          </w:tcPr>
          <w:p w14:paraId="7004EEAF"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18</w:t>
            </w:r>
          </w:p>
        </w:tc>
        <w:tc>
          <w:tcPr>
            <w:tcW w:w="1000" w:type="pct"/>
            <w:tcBorders>
              <w:top w:val="nil"/>
              <w:left w:val="nil"/>
              <w:bottom w:val="single" w:sz="2" w:space="0" w:color="000000" w:themeColor="text1"/>
              <w:right w:val="nil"/>
            </w:tcBorders>
            <w:shd w:val="clear" w:color="000000" w:fill="F2F2F2"/>
            <w:noWrap/>
            <w:vAlign w:val="bottom"/>
            <w:hideMark/>
          </w:tcPr>
          <w:p w14:paraId="0845AAFC"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69</w:t>
            </w:r>
          </w:p>
        </w:tc>
        <w:tc>
          <w:tcPr>
            <w:tcW w:w="1000" w:type="pct"/>
            <w:tcBorders>
              <w:top w:val="nil"/>
              <w:left w:val="nil"/>
              <w:bottom w:val="single" w:sz="2" w:space="0" w:color="000000" w:themeColor="text1"/>
              <w:right w:val="nil"/>
            </w:tcBorders>
            <w:shd w:val="clear" w:color="000000" w:fill="F2F2F2"/>
            <w:noWrap/>
            <w:vAlign w:val="bottom"/>
            <w:hideMark/>
          </w:tcPr>
          <w:p w14:paraId="73BD3F50"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28</w:t>
            </w:r>
          </w:p>
        </w:tc>
      </w:tr>
      <w:tr w:rsidR="00F253FE" w:rsidRPr="00F253FE" w14:paraId="67FFF840" w14:textId="77777777" w:rsidTr="00B0099D">
        <w:trPr>
          <w:trHeight w:val="300"/>
        </w:trPr>
        <w:tc>
          <w:tcPr>
            <w:tcW w:w="1000" w:type="pct"/>
            <w:tcBorders>
              <w:top w:val="nil"/>
              <w:left w:val="nil"/>
              <w:bottom w:val="single" w:sz="2" w:space="0" w:color="000000" w:themeColor="text1"/>
              <w:right w:val="nil"/>
            </w:tcBorders>
            <w:shd w:val="clear" w:color="auto" w:fill="auto"/>
            <w:noWrap/>
            <w:vAlign w:val="bottom"/>
            <w:hideMark/>
          </w:tcPr>
          <w:p w14:paraId="41147F8D" w14:textId="23747A15" w:rsidR="00F253FE" w:rsidRPr="00F253FE" w:rsidRDefault="00F253FE" w:rsidP="00F253FE">
            <w:pPr>
              <w:spacing w:after="0" w:line="240" w:lineRule="auto"/>
              <w:rPr>
                <w:rFonts w:ascii="Arial" w:hAnsi="Arial" w:cs="Arial"/>
                <w:b/>
                <w:bCs/>
                <w:sz w:val="16"/>
                <w:szCs w:val="16"/>
              </w:rPr>
            </w:pPr>
            <w:r>
              <w:rPr>
                <w:rFonts w:ascii="Arial" w:hAnsi="Arial" w:cs="Arial"/>
                <w:b/>
                <w:bCs/>
                <w:sz w:val="16"/>
                <w:szCs w:val="16"/>
              </w:rPr>
              <w:t>Total</w:t>
            </w:r>
          </w:p>
        </w:tc>
        <w:tc>
          <w:tcPr>
            <w:tcW w:w="1000" w:type="pct"/>
            <w:tcBorders>
              <w:top w:val="single" w:sz="2" w:space="0" w:color="000000" w:themeColor="text1"/>
              <w:left w:val="nil"/>
              <w:bottom w:val="single" w:sz="2" w:space="0" w:color="000000" w:themeColor="text1"/>
              <w:right w:val="nil"/>
            </w:tcBorders>
            <w:shd w:val="clear" w:color="auto" w:fill="auto"/>
            <w:noWrap/>
            <w:vAlign w:val="bottom"/>
            <w:hideMark/>
          </w:tcPr>
          <w:p w14:paraId="4A6E197E" w14:textId="77777777" w:rsidR="00F253FE" w:rsidRPr="00F253FE" w:rsidRDefault="00F253FE" w:rsidP="00F253FE">
            <w:pPr>
              <w:spacing w:after="0" w:line="240" w:lineRule="auto"/>
              <w:jc w:val="right"/>
              <w:rPr>
                <w:rFonts w:ascii="Arial" w:hAnsi="Arial" w:cs="Arial"/>
                <w:b/>
                <w:bCs/>
                <w:sz w:val="16"/>
                <w:szCs w:val="16"/>
              </w:rPr>
            </w:pPr>
            <w:r w:rsidRPr="00F253FE">
              <w:rPr>
                <w:rFonts w:ascii="Arial" w:hAnsi="Arial" w:cs="Arial"/>
                <w:b/>
                <w:bCs/>
                <w:sz w:val="16"/>
                <w:szCs w:val="16"/>
              </w:rPr>
              <w:t>1,404</w:t>
            </w:r>
          </w:p>
        </w:tc>
        <w:tc>
          <w:tcPr>
            <w:tcW w:w="1000" w:type="pct"/>
            <w:tcBorders>
              <w:top w:val="single" w:sz="2" w:space="0" w:color="000000" w:themeColor="text1"/>
              <w:left w:val="nil"/>
              <w:bottom w:val="single" w:sz="2" w:space="0" w:color="000000" w:themeColor="text1"/>
              <w:right w:val="nil"/>
            </w:tcBorders>
            <w:shd w:val="clear" w:color="auto" w:fill="auto"/>
            <w:noWrap/>
            <w:vAlign w:val="bottom"/>
            <w:hideMark/>
          </w:tcPr>
          <w:p w14:paraId="7CD4C55F" w14:textId="77777777" w:rsidR="00F253FE" w:rsidRPr="00F253FE" w:rsidRDefault="00F253FE" w:rsidP="00F253FE">
            <w:pPr>
              <w:spacing w:after="0" w:line="240" w:lineRule="auto"/>
              <w:jc w:val="right"/>
              <w:rPr>
                <w:rFonts w:ascii="Arial" w:hAnsi="Arial" w:cs="Arial"/>
                <w:b/>
                <w:bCs/>
                <w:sz w:val="16"/>
                <w:szCs w:val="16"/>
              </w:rPr>
            </w:pPr>
            <w:r w:rsidRPr="00F253FE">
              <w:rPr>
                <w:rFonts w:ascii="Arial" w:hAnsi="Arial" w:cs="Arial"/>
                <w:b/>
                <w:bCs/>
                <w:sz w:val="16"/>
                <w:szCs w:val="16"/>
              </w:rPr>
              <w:t>600</w:t>
            </w:r>
          </w:p>
        </w:tc>
        <w:tc>
          <w:tcPr>
            <w:tcW w:w="1000" w:type="pct"/>
            <w:tcBorders>
              <w:top w:val="single" w:sz="2" w:space="0" w:color="000000" w:themeColor="text1"/>
              <w:left w:val="nil"/>
              <w:bottom w:val="single" w:sz="2" w:space="0" w:color="000000" w:themeColor="text1"/>
              <w:right w:val="nil"/>
            </w:tcBorders>
            <w:shd w:val="clear" w:color="000000" w:fill="F2F2F2"/>
            <w:noWrap/>
            <w:vAlign w:val="bottom"/>
            <w:hideMark/>
          </w:tcPr>
          <w:p w14:paraId="09A4BC1C" w14:textId="77777777" w:rsidR="00F253FE" w:rsidRPr="00F253FE" w:rsidRDefault="00F253FE" w:rsidP="00F253FE">
            <w:pPr>
              <w:spacing w:after="0" w:line="240" w:lineRule="auto"/>
              <w:jc w:val="right"/>
              <w:rPr>
                <w:rFonts w:ascii="Arial" w:hAnsi="Arial" w:cs="Arial"/>
                <w:b/>
                <w:bCs/>
                <w:sz w:val="16"/>
                <w:szCs w:val="16"/>
              </w:rPr>
            </w:pPr>
            <w:r w:rsidRPr="00F253FE">
              <w:rPr>
                <w:rFonts w:ascii="Arial" w:hAnsi="Arial" w:cs="Arial"/>
                <w:b/>
                <w:bCs/>
                <w:sz w:val="16"/>
                <w:szCs w:val="16"/>
              </w:rPr>
              <w:t>1,068</w:t>
            </w:r>
          </w:p>
        </w:tc>
        <w:tc>
          <w:tcPr>
            <w:tcW w:w="1000" w:type="pct"/>
            <w:tcBorders>
              <w:top w:val="single" w:sz="2" w:space="0" w:color="000000" w:themeColor="text1"/>
              <w:left w:val="nil"/>
              <w:bottom w:val="single" w:sz="2" w:space="0" w:color="000000" w:themeColor="text1"/>
              <w:right w:val="nil"/>
            </w:tcBorders>
            <w:shd w:val="clear" w:color="000000" w:fill="F2F2F2"/>
            <w:noWrap/>
            <w:vAlign w:val="bottom"/>
            <w:hideMark/>
          </w:tcPr>
          <w:p w14:paraId="0FD1358C" w14:textId="77777777" w:rsidR="00F253FE" w:rsidRPr="00F253FE" w:rsidRDefault="00F253FE" w:rsidP="00F253FE">
            <w:pPr>
              <w:spacing w:after="0" w:line="240" w:lineRule="auto"/>
              <w:jc w:val="right"/>
              <w:rPr>
                <w:rFonts w:ascii="Arial" w:hAnsi="Arial" w:cs="Arial"/>
                <w:b/>
                <w:bCs/>
                <w:sz w:val="16"/>
                <w:szCs w:val="16"/>
              </w:rPr>
            </w:pPr>
            <w:r w:rsidRPr="00F253FE">
              <w:rPr>
                <w:rFonts w:ascii="Arial" w:hAnsi="Arial" w:cs="Arial"/>
                <w:b/>
                <w:bCs/>
                <w:sz w:val="16"/>
                <w:szCs w:val="16"/>
              </w:rPr>
              <w:t>600</w:t>
            </w:r>
          </w:p>
        </w:tc>
      </w:tr>
    </w:tbl>
    <w:p w14:paraId="12534A0D" w14:textId="666ED8FC" w:rsidR="00A84283" w:rsidRDefault="00A84283" w:rsidP="00D73478">
      <w:pPr>
        <w:pStyle w:val="ChartorTableNote"/>
      </w:pPr>
      <w:r w:rsidRPr="006A0149">
        <w:t xml:space="preserve">Note: </w:t>
      </w:r>
      <w:r w:rsidRPr="006A0149">
        <w:tab/>
        <w:t>The number of completed investigations and the number of breaches are not directly comparable. The number of breaches is reported by residential property and the number of completed investigations by case. There may be multiple properties involved in a case or multiple cases per property in the event of joint owners.</w:t>
      </w:r>
    </w:p>
    <w:p w14:paraId="458715FC" w14:textId="4EED70C7" w:rsidR="00E00B63" w:rsidRPr="00E00B63" w:rsidRDefault="00E00B63" w:rsidP="00666DBB">
      <w:pPr>
        <w:pStyle w:val="ChartorTableNote"/>
      </w:pPr>
      <w:r>
        <w:t>Data matching figures include vacancy fee investigations.</w:t>
      </w:r>
    </w:p>
    <w:p w14:paraId="20E93FA1" w14:textId="77777777" w:rsidR="006855BC" w:rsidRPr="006855BC" w:rsidRDefault="006855BC" w:rsidP="006855BC"/>
    <w:p w14:paraId="204C9A42" w14:textId="77777777" w:rsidR="00A84283" w:rsidRPr="006D64A2" w:rsidRDefault="00A84283" w:rsidP="00D73478">
      <w:pPr>
        <w:pStyle w:val="Heading4"/>
      </w:pPr>
      <w:r w:rsidRPr="006D64A2">
        <w:t>Infringement notices</w:t>
      </w:r>
    </w:p>
    <w:p w14:paraId="35C69F08" w14:textId="37624D62" w:rsidR="00A84283" w:rsidRDefault="00A84283" w:rsidP="002E2EFE">
      <w:r w:rsidRPr="00A84283">
        <w:t xml:space="preserve">There are two levels of infringement notices which impose different financial penalties on a foreign person. A </w:t>
      </w:r>
      <w:r w:rsidR="00E00B63">
        <w:t>T</w:t>
      </w:r>
      <w:r w:rsidRPr="00A84283">
        <w:t xml:space="preserve">ier 1 infringement notice may be issued where a foreign person notifies of a breach before an infringement notice is issued, while in cases where the ATO identifies a breach as a result of compliance activity, a </w:t>
      </w:r>
      <w:r w:rsidR="00E00B63">
        <w:t>T</w:t>
      </w:r>
      <w:r w:rsidRPr="00A84283">
        <w:t>ier 2 infringement</w:t>
      </w:r>
      <w:r w:rsidR="00DB6C49">
        <w:t xml:space="preserve"> notice</w:t>
      </w:r>
      <w:r w:rsidRPr="00A84283">
        <w:t xml:space="preserve"> may be issued.</w:t>
      </w:r>
    </w:p>
    <w:p w14:paraId="48F81866" w14:textId="4EA88CF7" w:rsidR="00D73478" w:rsidRDefault="00D73478" w:rsidP="00DB6C49">
      <w:pPr>
        <w:pStyle w:val="TableMainHeading"/>
      </w:pPr>
      <w:bookmarkStart w:id="197" w:name="_Toc32247784"/>
      <w:bookmarkStart w:id="198" w:name="_Toc33521369"/>
      <w:r w:rsidRPr="00C774A3">
        <w:t>Table 4.5: Infringement notices issued in relation to residential real estate</w:t>
      </w:r>
      <w:r w:rsidR="00B748BF">
        <w:t xml:space="preserve"> in 2017</w:t>
      </w:r>
      <w:r w:rsidR="00B748BF">
        <w:noBreakHyphen/>
        <w:t>18 and 2018-19</w:t>
      </w:r>
      <w:bookmarkEnd w:id="197"/>
      <w:bookmarkEnd w:id="198"/>
    </w:p>
    <w:tbl>
      <w:tblPr>
        <w:tblW w:w="5000" w:type="pct"/>
        <w:tblLook w:val="04A0" w:firstRow="1" w:lastRow="0" w:firstColumn="1" w:lastColumn="0" w:noHBand="0" w:noVBand="1"/>
      </w:tblPr>
      <w:tblGrid>
        <w:gridCol w:w="3314"/>
        <w:gridCol w:w="507"/>
        <w:gridCol w:w="1692"/>
        <w:gridCol w:w="1099"/>
        <w:gridCol w:w="1098"/>
      </w:tblGrid>
      <w:tr w:rsidR="00F253FE" w:rsidRPr="00F253FE" w14:paraId="7CAF2EEA" w14:textId="77777777" w:rsidTr="00B0099D">
        <w:trPr>
          <w:trHeight w:val="300"/>
        </w:trPr>
        <w:tc>
          <w:tcPr>
            <w:tcW w:w="2149" w:type="pct"/>
            <w:tcBorders>
              <w:top w:val="single" w:sz="2" w:space="0" w:color="000000" w:themeColor="text1"/>
            </w:tcBorders>
            <w:shd w:val="clear" w:color="auto" w:fill="auto"/>
            <w:noWrap/>
            <w:vAlign w:val="bottom"/>
            <w:hideMark/>
          </w:tcPr>
          <w:p w14:paraId="17AD8337" w14:textId="2A40432B" w:rsidR="00F253FE" w:rsidRPr="00F253FE" w:rsidRDefault="00F253FE">
            <w:pPr>
              <w:spacing w:after="0" w:line="240" w:lineRule="auto"/>
              <w:jc w:val="left"/>
              <w:rPr>
                <w:rFonts w:ascii="Arial" w:hAnsi="Arial" w:cs="Arial"/>
                <w:sz w:val="16"/>
                <w:szCs w:val="16"/>
              </w:rPr>
            </w:pPr>
          </w:p>
        </w:tc>
        <w:tc>
          <w:tcPr>
            <w:tcW w:w="1425" w:type="pct"/>
            <w:gridSpan w:val="2"/>
            <w:tcBorders>
              <w:top w:val="single" w:sz="2" w:space="0" w:color="000000" w:themeColor="text1"/>
            </w:tcBorders>
            <w:shd w:val="clear" w:color="auto" w:fill="auto"/>
            <w:noWrap/>
            <w:vAlign w:val="bottom"/>
            <w:hideMark/>
          </w:tcPr>
          <w:p w14:paraId="768F8395" w14:textId="77777777" w:rsidR="00F253FE" w:rsidRPr="00F253FE" w:rsidRDefault="00F253FE" w:rsidP="00F253FE">
            <w:pPr>
              <w:spacing w:after="0" w:line="240" w:lineRule="auto"/>
              <w:jc w:val="center"/>
              <w:rPr>
                <w:rFonts w:ascii="Arial" w:hAnsi="Arial" w:cs="Arial"/>
                <w:sz w:val="16"/>
                <w:szCs w:val="16"/>
              </w:rPr>
            </w:pPr>
            <w:r w:rsidRPr="00F253FE">
              <w:rPr>
                <w:rFonts w:ascii="Arial" w:hAnsi="Arial" w:cs="Arial"/>
                <w:sz w:val="16"/>
                <w:szCs w:val="16"/>
              </w:rPr>
              <w:t>2017</w:t>
            </w:r>
            <w:r w:rsidRPr="00F253FE">
              <w:rPr>
                <w:rFonts w:ascii="Arial" w:hAnsi="Arial" w:cs="Arial"/>
                <w:sz w:val="16"/>
                <w:szCs w:val="16"/>
              </w:rPr>
              <w:noBreakHyphen/>
              <w:t>18</w:t>
            </w:r>
          </w:p>
        </w:tc>
        <w:tc>
          <w:tcPr>
            <w:tcW w:w="1425" w:type="pct"/>
            <w:gridSpan w:val="2"/>
            <w:tcBorders>
              <w:top w:val="single" w:sz="2" w:space="0" w:color="000000" w:themeColor="text1"/>
            </w:tcBorders>
            <w:shd w:val="clear" w:color="000000" w:fill="F2F2F2"/>
            <w:vAlign w:val="bottom"/>
            <w:hideMark/>
          </w:tcPr>
          <w:p w14:paraId="7AB7EA94" w14:textId="77777777" w:rsidR="00F253FE" w:rsidRPr="00F253FE" w:rsidRDefault="00F253FE" w:rsidP="00F253FE">
            <w:pPr>
              <w:spacing w:after="0" w:line="240" w:lineRule="auto"/>
              <w:jc w:val="center"/>
              <w:rPr>
                <w:rFonts w:ascii="Arial" w:hAnsi="Arial" w:cs="Arial"/>
                <w:sz w:val="16"/>
                <w:szCs w:val="16"/>
              </w:rPr>
            </w:pPr>
            <w:r w:rsidRPr="00F253FE">
              <w:rPr>
                <w:rFonts w:ascii="Arial" w:hAnsi="Arial" w:cs="Arial"/>
                <w:sz w:val="16"/>
                <w:szCs w:val="16"/>
              </w:rPr>
              <w:t>2018</w:t>
            </w:r>
            <w:r w:rsidRPr="00F253FE">
              <w:rPr>
                <w:rFonts w:ascii="Arial" w:hAnsi="Arial" w:cs="Arial"/>
                <w:sz w:val="16"/>
                <w:szCs w:val="16"/>
              </w:rPr>
              <w:noBreakHyphen/>
              <w:t>19</w:t>
            </w:r>
          </w:p>
        </w:tc>
      </w:tr>
      <w:tr w:rsidR="00F253FE" w:rsidRPr="00F253FE" w14:paraId="4FA4CF94" w14:textId="77777777" w:rsidTr="00B0099D">
        <w:trPr>
          <w:trHeight w:val="465"/>
        </w:trPr>
        <w:tc>
          <w:tcPr>
            <w:tcW w:w="2149" w:type="pct"/>
            <w:shd w:val="clear" w:color="auto" w:fill="auto"/>
            <w:noWrap/>
            <w:vAlign w:val="bottom"/>
            <w:hideMark/>
          </w:tcPr>
          <w:p w14:paraId="67A7D0A6" w14:textId="77777777" w:rsidR="00F253FE" w:rsidRPr="00F253FE" w:rsidRDefault="00F253FE" w:rsidP="00F253FE">
            <w:pPr>
              <w:spacing w:after="0" w:line="240" w:lineRule="auto"/>
              <w:jc w:val="left"/>
              <w:rPr>
                <w:rFonts w:ascii="Arial" w:hAnsi="Arial" w:cs="Arial"/>
                <w:sz w:val="16"/>
                <w:szCs w:val="16"/>
              </w:rPr>
            </w:pPr>
            <w:r w:rsidRPr="00F253FE">
              <w:rPr>
                <w:rFonts w:ascii="Arial" w:hAnsi="Arial" w:cs="Arial"/>
                <w:sz w:val="16"/>
                <w:szCs w:val="16"/>
              </w:rPr>
              <w:t>Penalty type</w:t>
            </w:r>
          </w:p>
        </w:tc>
        <w:tc>
          <w:tcPr>
            <w:tcW w:w="329" w:type="pct"/>
            <w:tcBorders>
              <w:bottom w:val="single" w:sz="2" w:space="0" w:color="000000" w:themeColor="text1"/>
            </w:tcBorders>
            <w:shd w:val="clear" w:color="auto" w:fill="auto"/>
            <w:noWrap/>
            <w:vAlign w:val="bottom"/>
            <w:hideMark/>
          </w:tcPr>
          <w:p w14:paraId="2BFC6412" w14:textId="79B0FA94" w:rsidR="00F253FE" w:rsidRPr="00F253FE" w:rsidRDefault="00F253FE" w:rsidP="00F253FE">
            <w:pPr>
              <w:spacing w:after="0" w:line="240" w:lineRule="auto"/>
              <w:jc w:val="right"/>
              <w:rPr>
                <w:rFonts w:ascii="Arial" w:hAnsi="Arial" w:cs="Arial"/>
                <w:sz w:val="16"/>
                <w:szCs w:val="16"/>
              </w:rPr>
            </w:pPr>
            <w:r>
              <w:rPr>
                <w:rFonts w:ascii="Arial" w:hAnsi="Arial" w:cs="Arial"/>
                <w:sz w:val="16"/>
                <w:szCs w:val="16"/>
              </w:rPr>
              <w:t>No.</w:t>
            </w:r>
          </w:p>
        </w:tc>
        <w:tc>
          <w:tcPr>
            <w:tcW w:w="1097" w:type="pct"/>
            <w:tcBorders>
              <w:bottom w:val="single" w:sz="2" w:space="0" w:color="000000" w:themeColor="text1"/>
            </w:tcBorders>
            <w:shd w:val="clear" w:color="auto" w:fill="auto"/>
            <w:vAlign w:val="bottom"/>
            <w:hideMark/>
          </w:tcPr>
          <w:p w14:paraId="0C97D25F"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Total Value</w:t>
            </w:r>
            <w:r w:rsidRPr="00F253FE">
              <w:rPr>
                <w:rFonts w:ascii="Arial" w:hAnsi="Arial" w:cs="Arial"/>
                <w:sz w:val="16"/>
                <w:szCs w:val="16"/>
              </w:rPr>
              <w:br/>
              <w:t>$</w:t>
            </w:r>
          </w:p>
        </w:tc>
        <w:tc>
          <w:tcPr>
            <w:tcW w:w="713" w:type="pct"/>
            <w:tcBorders>
              <w:bottom w:val="single" w:sz="2" w:space="0" w:color="000000" w:themeColor="text1"/>
            </w:tcBorders>
            <w:shd w:val="clear" w:color="000000" w:fill="F2F2F2"/>
            <w:vAlign w:val="bottom"/>
            <w:hideMark/>
          </w:tcPr>
          <w:p w14:paraId="376E3318" w14:textId="55E7EB2D"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No.</w:t>
            </w:r>
          </w:p>
        </w:tc>
        <w:tc>
          <w:tcPr>
            <w:tcW w:w="713" w:type="pct"/>
            <w:tcBorders>
              <w:bottom w:val="single" w:sz="2" w:space="0" w:color="000000" w:themeColor="text1"/>
            </w:tcBorders>
            <w:shd w:val="clear" w:color="000000" w:fill="F2F2F2"/>
            <w:vAlign w:val="bottom"/>
            <w:hideMark/>
          </w:tcPr>
          <w:p w14:paraId="19AAFC7C"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Total Value</w:t>
            </w:r>
            <w:r w:rsidRPr="00F253FE">
              <w:rPr>
                <w:rFonts w:ascii="Arial" w:hAnsi="Arial" w:cs="Arial"/>
                <w:sz w:val="16"/>
                <w:szCs w:val="16"/>
              </w:rPr>
              <w:br/>
              <w:t>$</w:t>
            </w:r>
          </w:p>
        </w:tc>
      </w:tr>
      <w:tr w:rsidR="00F253FE" w:rsidRPr="00F253FE" w14:paraId="3DF26869" w14:textId="77777777" w:rsidTr="00B0099D">
        <w:trPr>
          <w:trHeight w:val="300"/>
        </w:trPr>
        <w:tc>
          <w:tcPr>
            <w:tcW w:w="2149" w:type="pct"/>
            <w:shd w:val="clear" w:color="auto" w:fill="auto"/>
            <w:noWrap/>
            <w:vAlign w:val="bottom"/>
            <w:hideMark/>
          </w:tcPr>
          <w:p w14:paraId="00BC32E4" w14:textId="77777777" w:rsidR="00F253FE" w:rsidRPr="00F253FE" w:rsidRDefault="00F253FE" w:rsidP="00F253FE">
            <w:pPr>
              <w:spacing w:after="0" w:line="240" w:lineRule="auto"/>
              <w:jc w:val="left"/>
              <w:rPr>
                <w:rFonts w:ascii="Arial" w:hAnsi="Arial" w:cs="Arial"/>
                <w:sz w:val="16"/>
                <w:szCs w:val="16"/>
              </w:rPr>
            </w:pPr>
            <w:r w:rsidRPr="00F253FE">
              <w:rPr>
                <w:rFonts w:ascii="Arial" w:hAnsi="Arial" w:cs="Arial"/>
                <w:sz w:val="16"/>
                <w:szCs w:val="16"/>
              </w:rPr>
              <w:t>Tier 1 infringement</w:t>
            </w:r>
          </w:p>
        </w:tc>
        <w:tc>
          <w:tcPr>
            <w:tcW w:w="329" w:type="pct"/>
            <w:tcBorders>
              <w:top w:val="single" w:sz="2" w:space="0" w:color="000000" w:themeColor="text1"/>
            </w:tcBorders>
            <w:shd w:val="clear" w:color="auto" w:fill="auto"/>
            <w:noWrap/>
            <w:vAlign w:val="bottom"/>
            <w:hideMark/>
          </w:tcPr>
          <w:p w14:paraId="4EF90B4D"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347</w:t>
            </w:r>
          </w:p>
        </w:tc>
        <w:tc>
          <w:tcPr>
            <w:tcW w:w="1097" w:type="pct"/>
            <w:tcBorders>
              <w:top w:val="single" w:sz="2" w:space="0" w:color="000000" w:themeColor="text1"/>
            </w:tcBorders>
            <w:shd w:val="clear" w:color="auto" w:fill="auto"/>
            <w:noWrap/>
            <w:vAlign w:val="bottom"/>
            <w:hideMark/>
          </w:tcPr>
          <w:p w14:paraId="433364D6"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1,001,080</w:t>
            </w:r>
          </w:p>
        </w:tc>
        <w:tc>
          <w:tcPr>
            <w:tcW w:w="713" w:type="pct"/>
            <w:tcBorders>
              <w:top w:val="single" w:sz="2" w:space="0" w:color="000000" w:themeColor="text1"/>
            </w:tcBorders>
            <w:shd w:val="clear" w:color="000000" w:fill="F2F2F2"/>
            <w:vAlign w:val="bottom"/>
            <w:hideMark/>
          </w:tcPr>
          <w:p w14:paraId="25B03F35"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346</w:t>
            </w:r>
          </w:p>
        </w:tc>
        <w:tc>
          <w:tcPr>
            <w:tcW w:w="713" w:type="pct"/>
            <w:tcBorders>
              <w:top w:val="single" w:sz="2" w:space="0" w:color="000000" w:themeColor="text1"/>
            </w:tcBorders>
            <w:shd w:val="clear" w:color="000000" w:fill="F2F2F2"/>
            <w:vAlign w:val="bottom"/>
            <w:hideMark/>
          </w:tcPr>
          <w:p w14:paraId="7575A972"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1,288,000</w:t>
            </w:r>
          </w:p>
        </w:tc>
      </w:tr>
      <w:tr w:rsidR="00F253FE" w:rsidRPr="00F253FE" w14:paraId="0384FC25" w14:textId="77777777" w:rsidTr="00B0099D">
        <w:trPr>
          <w:trHeight w:val="300"/>
        </w:trPr>
        <w:tc>
          <w:tcPr>
            <w:tcW w:w="2149" w:type="pct"/>
            <w:shd w:val="clear" w:color="auto" w:fill="auto"/>
            <w:noWrap/>
            <w:vAlign w:val="bottom"/>
            <w:hideMark/>
          </w:tcPr>
          <w:p w14:paraId="179C5080" w14:textId="77777777" w:rsidR="00F253FE" w:rsidRPr="00F253FE" w:rsidRDefault="00F253FE" w:rsidP="00F253FE">
            <w:pPr>
              <w:spacing w:after="0" w:line="240" w:lineRule="auto"/>
              <w:jc w:val="left"/>
              <w:rPr>
                <w:rFonts w:ascii="Arial" w:hAnsi="Arial" w:cs="Arial"/>
                <w:sz w:val="16"/>
                <w:szCs w:val="16"/>
              </w:rPr>
            </w:pPr>
            <w:r w:rsidRPr="00F253FE">
              <w:rPr>
                <w:rFonts w:ascii="Arial" w:hAnsi="Arial" w:cs="Arial"/>
                <w:sz w:val="16"/>
                <w:szCs w:val="16"/>
              </w:rPr>
              <w:t>Tier 2 infringement</w:t>
            </w:r>
          </w:p>
        </w:tc>
        <w:tc>
          <w:tcPr>
            <w:tcW w:w="329" w:type="pct"/>
            <w:tcBorders>
              <w:bottom w:val="single" w:sz="2" w:space="0" w:color="000000" w:themeColor="text1"/>
            </w:tcBorders>
            <w:shd w:val="clear" w:color="auto" w:fill="auto"/>
            <w:noWrap/>
            <w:vAlign w:val="bottom"/>
            <w:hideMark/>
          </w:tcPr>
          <w:p w14:paraId="62C8F57F"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82</w:t>
            </w:r>
          </w:p>
        </w:tc>
        <w:tc>
          <w:tcPr>
            <w:tcW w:w="1097" w:type="pct"/>
            <w:tcBorders>
              <w:bottom w:val="single" w:sz="2" w:space="0" w:color="000000" w:themeColor="text1"/>
            </w:tcBorders>
            <w:shd w:val="clear" w:color="auto" w:fill="auto"/>
            <w:noWrap/>
            <w:vAlign w:val="bottom"/>
            <w:hideMark/>
          </w:tcPr>
          <w:p w14:paraId="527EEF6A"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1,175,400</w:t>
            </w:r>
          </w:p>
        </w:tc>
        <w:tc>
          <w:tcPr>
            <w:tcW w:w="713" w:type="pct"/>
            <w:tcBorders>
              <w:bottom w:val="single" w:sz="2" w:space="0" w:color="000000" w:themeColor="text1"/>
            </w:tcBorders>
            <w:shd w:val="clear" w:color="000000" w:fill="F2F2F2"/>
            <w:vAlign w:val="bottom"/>
            <w:hideMark/>
          </w:tcPr>
          <w:p w14:paraId="6AB38D06"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169</w:t>
            </w:r>
          </w:p>
        </w:tc>
        <w:tc>
          <w:tcPr>
            <w:tcW w:w="713" w:type="pct"/>
            <w:tcBorders>
              <w:bottom w:val="single" w:sz="2" w:space="0" w:color="000000" w:themeColor="text1"/>
            </w:tcBorders>
            <w:shd w:val="clear" w:color="000000" w:fill="F2F2F2"/>
            <w:vAlign w:val="bottom"/>
            <w:hideMark/>
          </w:tcPr>
          <w:p w14:paraId="0535FF04" w14:textId="77777777" w:rsidR="00F253FE" w:rsidRPr="00F253FE" w:rsidRDefault="00F253FE" w:rsidP="00F253FE">
            <w:pPr>
              <w:spacing w:after="0" w:line="240" w:lineRule="auto"/>
              <w:jc w:val="right"/>
              <w:rPr>
                <w:rFonts w:ascii="Arial" w:hAnsi="Arial" w:cs="Arial"/>
                <w:sz w:val="16"/>
                <w:szCs w:val="16"/>
              </w:rPr>
            </w:pPr>
            <w:r w:rsidRPr="00F253FE">
              <w:rPr>
                <w:rFonts w:ascii="Arial" w:hAnsi="Arial" w:cs="Arial"/>
                <w:sz w:val="16"/>
                <w:szCs w:val="16"/>
              </w:rPr>
              <w:t>2,267,320</w:t>
            </w:r>
          </w:p>
        </w:tc>
      </w:tr>
      <w:tr w:rsidR="00F253FE" w:rsidRPr="00F253FE" w14:paraId="339C2FBE" w14:textId="77777777" w:rsidTr="00B0099D">
        <w:trPr>
          <w:trHeight w:val="300"/>
        </w:trPr>
        <w:tc>
          <w:tcPr>
            <w:tcW w:w="2149" w:type="pct"/>
            <w:tcBorders>
              <w:bottom w:val="single" w:sz="2" w:space="0" w:color="000000" w:themeColor="text1"/>
            </w:tcBorders>
            <w:shd w:val="clear" w:color="auto" w:fill="auto"/>
            <w:noWrap/>
            <w:vAlign w:val="bottom"/>
            <w:hideMark/>
          </w:tcPr>
          <w:p w14:paraId="1FC9DA0E" w14:textId="58E287FB" w:rsidR="00F253FE" w:rsidRPr="00F253FE" w:rsidRDefault="00F253FE" w:rsidP="00F253FE">
            <w:pPr>
              <w:spacing w:after="0" w:line="240" w:lineRule="auto"/>
              <w:jc w:val="left"/>
              <w:rPr>
                <w:rFonts w:ascii="Arial" w:hAnsi="Arial" w:cs="Arial"/>
                <w:b/>
                <w:bCs/>
                <w:sz w:val="16"/>
                <w:szCs w:val="16"/>
              </w:rPr>
            </w:pPr>
            <w:r>
              <w:rPr>
                <w:rFonts w:ascii="Arial" w:hAnsi="Arial" w:cs="Arial"/>
                <w:b/>
                <w:bCs/>
                <w:sz w:val="16"/>
                <w:szCs w:val="16"/>
              </w:rPr>
              <w:t>Total</w:t>
            </w:r>
          </w:p>
        </w:tc>
        <w:tc>
          <w:tcPr>
            <w:tcW w:w="329" w:type="pct"/>
            <w:tcBorders>
              <w:top w:val="single" w:sz="2" w:space="0" w:color="000000" w:themeColor="text1"/>
              <w:bottom w:val="single" w:sz="2" w:space="0" w:color="000000" w:themeColor="text1"/>
            </w:tcBorders>
            <w:shd w:val="clear" w:color="auto" w:fill="auto"/>
            <w:noWrap/>
            <w:vAlign w:val="bottom"/>
            <w:hideMark/>
          </w:tcPr>
          <w:p w14:paraId="1DBF10EC" w14:textId="77777777" w:rsidR="00F253FE" w:rsidRPr="00F253FE" w:rsidRDefault="00F253FE" w:rsidP="00F253FE">
            <w:pPr>
              <w:spacing w:after="0" w:line="240" w:lineRule="auto"/>
              <w:jc w:val="right"/>
              <w:rPr>
                <w:rFonts w:ascii="Arial" w:hAnsi="Arial" w:cs="Arial"/>
                <w:b/>
                <w:bCs/>
                <w:sz w:val="16"/>
                <w:szCs w:val="16"/>
              </w:rPr>
            </w:pPr>
            <w:r w:rsidRPr="00F253FE">
              <w:rPr>
                <w:rFonts w:ascii="Arial" w:hAnsi="Arial" w:cs="Arial"/>
                <w:b/>
                <w:bCs/>
                <w:sz w:val="16"/>
                <w:szCs w:val="16"/>
              </w:rPr>
              <w:t>429</w:t>
            </w:r>
          </w:p>
        </w:tc>
        <w:tc>
          <w:tcPr>
            <w:tcW w:w="1097" w:type="pct"/>
            <w:tcBorders>
              <w:top w:val="single" w:sz="2" w:space="0" w:color="000000" w:themeColor="text1"/>
              <w:bottom w:val="single" w:sz="2" w:space="0" w:color="000000" w:themeColor="text1"/>
            </w:tcBorders>
            <w:shd w:val="clear" w:color="auto" w:fill="auto"/>
            <w:noWrap/>
            <w:vAlign w:val="bottom"/>
            <w:hideMark/>
          </w:tcPr>
          <w:p w14:paraId="45F8EC4D" w14:textId="77777777" w:rsidR="00F253FE" w:rsidRPr="00F253FE" w:rsidRDefault="00F253FE" w:rsidP="00F253FE">
            <w:pPr>
              <w:spacing w:after="0" w:line="240" w:lineRule="auto"/>
              <w:jc w:val="right"/>
              <w:rPr>
                <w:rFonts w:ascii="Arial" w:hAnsi="Arial" w:cs="Arial"/>
                <w:b/>
                <w:bCs/>
                <w:sz w:val="16"/>
                <w:szCs w:val="16"/>
              </w:rPr>
            </w:pPr>
            <w:r w:rsidRPr="00F253FE">
              <w:rPr>
                <w:rFonts w:ascii="Arial" w:hAnsi="Arial" w:cs="Arial"/>
                <w:b/>
                <w:bCs/>
                <w:sz w:val="16"/>
                <w:szCs w:val="16"/>
              </w:rPr>
              <w:t>2,176,480</w:t>
            </w:r>
          </w:p>
        </w:tc>
        <w:tc>
          <w:tcPr>
            <w:tcW w:w="713" w:type="pct"/>
            <w:tcBorders>
              <w:top w:val="single" w:sz="2" w:space="0" w:color="000000" w:themeColor="text1"/>
              <w:bottom w:val="single" w:sz="2" w:space="0" w:color="000000" w:themeColor="text1"/>
            </w:tcBorders>
            <w:shd w:val="clear" w:color="000000" w:fill="F2F2F2"/>
            <w:vAlign w:val="bottom"/>
            <w:hideMark/>
          </w:tcPr>
          <w:p w14:paraId="798E1325" w14:textId="77777777" w:rsidR="00F253FE" w:rsidRPr="00F253FE" w:rsidRDefault="00F253FE" w:rsidP="00F253FE">
            <w:pPr>
              <w:spacing w:after="0" w:line="240" w:lineRule="auto"/>
              <w:jc w:val="right"/>
              <w:rPr>
                <w:rFonts w:ascii="Arial" w:hAnsi="Arial" w:cs="Arial"/>
                <w:b/>
                <w:bCs/>
                <w:sz w:val="16"/>
                <w:szCs w:val="16"/>
              </w:rPr>
            </w:pPr>
            <w:r w:rsidRPr="00F253FE">
              <w:rPr>
                <w:rFonts w:ascii="Arial" w:hAnsi="Arial" w:cs="Arial"/>
                <w:b/>
                <w:bCs/>
                <w:sz w:val="16"/>
                <w:szCs w:val="16"/>
              </w:rPr>
              <w:t>515</w:t>
            </w:r>
          </w:p>
        </w:tc>
        <w:tc>
          <w:tcPr>
            <w:tcW w:w="713" w:type="pct"/>
            <w:tcBorders>
              <w:top w:val="single" w:sz="2" w:space="0" w:color="000000" w:themeColor="text1"/>
              <w:bottom w:val="single" w:sz="2" w:space="0" w:color="000000" w:themeColor="text1"/>
            </w:tcBorders>
            <w:shd w:val="clear" w:color="000000" w:fill="F2F2F2"/>
            <w:vAlign w:val="bottom"/>
            <w:hideMark/>
          </w:tcPr>
          <w:p w14:paraId="5A817617" w14:textId="77777777" w:rsidR="00F253FE" w:rsidRPr="00F253FE" w:rsidRDefault="00F253FE" w:rsidP="00F253FE">
            <w:pPr>
              <w:spacing w:after="0" w:line="240" w:lineRule="auto"/>
              <w:jc w:val="right"/>
              <w:rPr>
                <w:rFonts w:ascii="Arial" w:hAnsi="Arial" w:cs="Arial"/>
                <w:b/>
                <w:bCs/>
                <w:sz w:val="16"/>
                <w:szCs w:val="16"/>
              </w:rPr>
            </w:pPr>
            <w:r w:rsidRPr="00F253FE">
              <w:rPr>
                <w:rFonts w:ascii="Arial" w:hAnsi="Arial" w:cs="Arial"/>
                <w:b/>
                <w:bCs/>
                <w:sz w:val="16"/>
                <w:szCs w:val="16"/>
              </w:rPr>
              <w:t>3,555,320</w:t>
            </w:r>
          </w:p>
        </w:tc>
      </w:tr>
    </w:tbl>
    <w:p w14:paraId="5DB961FE" w14:textId="77777777" w:rsidR="00FE4769" w:rsidRPr="006A0149" w:rsidRDefault="00FE4769" w:rsidP="00457C0B">
      <w:pPr>
        <w:pStyle w:val="ChartorTableNote"/>
      </w:pPr>
      <w:r w:rsidRPr="006A0149">
        <w:t>Notes:</w:t>
      </w:r>
      <w:r w:rsidRPr="006A0149">
        <w:tab/>
        <w:t>Tier 1 infringement notices are issued where the breach is self-disclosed.</w:t>
      </w:r>
    </w:p>
    <w:p w14:paraId="46FDC174" w14:textId="77777777" w:rsidR="00A84283" w:rsidRPr="006A0149" w:rsidRDefault="00A84283" w:rsidP="00E15832">
      <w:pPr>
        <w:pStyle w:val="ChartorTableNote"/>
      </w:pPr>
      <w:r w:rsidRPr="006A0149">
        <w:t xml:space="preserve">Tier 2 </w:t>
      </w:r>
      <w:r w:rsidRPr="00E15832">
        <w:t>infringement</w:t>
      </w:r>
      <w:r w:rsidRPr="006A0149">
        <w:t xml:space="preserve"> notices are issued where the breach is identified by the ATO’s compliance activity.</w:t>
      </w:r>
    </w:p>
    <w:p w14:paraId="7F73FCFB" w14:textId="77777777" w:rsidR="00E00B63" w:rsidRDefault="00E00B63" w:rsidP="00666DBB">
      <w:pPr>
        <w:pStyle w:val="Heading3"/>
        <w:rPr>
          <w:rFonts w:eastAsiaTheme="majorEastAsia"/>
        </w:rPr>
      </w:pPr>
      <w:bookmarkStart w:id="199" w:name="_Toc31636031"/>
      <w:bookmarkStart w:id="200" w:name="_Toc31642800"/>
      <w:r>
        <w:rPr>
          <w:rFonts w:eastAsiaTheme="majorEastAsia"/>
        </w:rPr>
        <w:lastRenderedPageBreak/>
        <w:t>The Australian National Audit Office (ANAO) report on residential real estate compliance</w:t>
      </w:r>
    </w:p>
    <w:p w14:paraId="1FBD2857" w14:textId="0ED015CF" w:rsidR="00E00B63" w:rsidRDefault="00E00B63">
      <w:r>
        <w:t xml:space="preserve">In 2017-18, FIRB agencies supported the ANAO review and report </w:t>
      </w:r>
      <w:r>
        <w:rPr>
          <w:i/>
        </w:rPr>
        <w:t xml:space="preserve">Management of compliance with foreign investment obligations for residential real estate, </w:t>
      </w:r>
      <w:r>
        <w:t xml:space="preserve">which was tabled in </w:t>
      </w:r>
      <w:r w:rsidR="00A1416C">
        <w:t>P</w:t>
      </w:r>
      <w:r>
        <w:t>arliament in June 2018</w:t>
      </w:r>
      <w:r>
        <w:rPr>
          <w:i/>
        </w:rPr>
        <w:t>.</w:t>
      </w:r>
    </w:p>
    <w:p w14:paraId="36C14E86" w14:textId="77777777" w:rsidR="00E00B63" w:rsidRDefault="00E00B63">
      <w:pPr>
        <w:rPr>
          <w:color w:val="auto"/>
        </w:rPr>
      </w:pPr>
      <w:r>
        <w:t>The report made practical recommendations to improve the ATO’s effectiveness in detecting non-compliance and reporting.</w:t>
      </w:r>
      <w:r>
        <w:rPr>
          <w:color w:val="auto"/>
        </w:rPr>
        <w:t xml:space="preserve"> </w:t>
      </w:r>
      <w:r>
        <w:t xml:space="preserve">The ATO implemented these recommendations in 2018-19, including compiling an overarching compliance and enforcement strategy, </w:t>
      </w:r>
      <w:r>
        <w:rPr>
          <w:color w:val="auto"/>
        </w:rPr>
        <w:t>and implementing outstanding data matching rules to aid the detection of key compliance risks.</w:t>
      </w:r>
    </w:p>
    <w:p w14:paraId="0F6ECCA7" w14:textId="70927403" w:rsidR="006F0D93" w:rsidRDefault="006F0D93" w:rsidP="000814CB">
      <w:pPr>
        <w:pStyle w:val="AppendixHeading"/>
      </w:pPr>
    </w:p>
    <w:p w14:paraId="24F984B5" w14:textId="77777777" w:rsidR="00FF3274" w:rsidRDefault="00FF3274" w:rsidP="000814CB">
      <w:pPr>
        <w:pStyle w:val="AppendixHeading"/>
        <w:sectPr w:rsidR="00FF3274" w:rsidSect="00966278">
          <w:headerReference w:type="default" r:id="rId83"/>
          <w:headerReference w:type="first" r:id="rId84"/>
          <w:footerReference w:type="first" r:id="rId85"/>
          <w:type w:val="oddPage"/>
          <w:pgSz w:w="11906" w:h="16838" w:code="9"/>
          <w:pgMar w:top="2466" w:right="2098" w:bottom="2466" w:left="2098" w:header="1899" w:footer="1899" w:gutter="0"/>
          <w:cols w:space="708"/>
          <w:titlePg/>
          <w:docGrid w:linePitch="360"/>
        </w:sectPr>
      </w:pPr>
    </w:p>
    <w:p w14:paraId="62CA5FBF" w14:textId="23DC8390" w:rsidR="00A84283" w:rsidRPr="001C7EE6" w:rsidRDefault="009068CD" w:rsidP="000814CB">
      <w:pPr>
        <w:pStyle w:val="AppendixHeading"/>
        <w:rPr>
          <w:color w:val="FFFFFF" w:themeColor="background1"/>
        </w:rPr>
      </w:pPr>
      <w:bookmarkStart w:id="201" w:name="_Toc32247811"/>
      <w:bookmarkStart w:id="202" w:name="_Toc33625860"/>
      <w:r>
        <w:rPr>
          <w:noProof/>
        </w:rPr>
        <w:lastRenderedPageBreak/>
        <w:drawing>
          <wp:anchor distT="0" distB="0" distL="114300" distR="114300" simplePos="0" relativeHeight="251658249" behindDoc="0" locked="0" layoutInCell="1" allowOverlap="1" wp14:anchorId="12C0A7DE" wp14:editId="14C2F156">
            <wp:simplePos x="0" y="0"/>
            <wp:positionH relativeFrom="column">
              <wp:posOffset>1270</wp:posOffset>
            </wp:positionH>
            <wp:positionV relativeFrom="paragraph">
              <wp:posOffset>-222885</wp:posOffset>
            </wp:positionV>
            <wp:extent cx="4894580" cy="2160905"/>
            <wp:effectExtent l="0" t="0" r="1270" b="0"/>
            <wp:wrapNone/>
            <wp:docPr id="12" name="Picture 12" descr="Appendix A Heading" title="Appendix 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RB AR Part Pages_2016-17_V2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94580" cy="2160905"/>
                    </a:xfrm>
                    <a:prstGeom prst="rect">
                      <a:avLst/>
                    </a:prstGeom>
                  </pic:spPr>
                </pic:pic>
              </a:graphicData>
            </a:graphic>
            <wp14:sizeRelH relativeFrom="page">
              <wp14:pctWidth>0</wp14:pctWidth>
            </wp14:sizeRelH>
            <wp14:sizeRelV relativeFrom="page">
              <wp14:pctHeight>0</wp14:pctHeight>
            </wp14:sizeRelV>
          </wp:anchor>
        </w:drawing>
      </w:r>
      <w:r w:rsidR="00A84283" w:rsidRPr="001C7EE6">
        <w:rPr>
          <w:color w:val="FFFFFF" w:themeColor="background1"/>
        </w:rPr>
        <w:t xml:space="preserve">Appendix A: </w:t>
      </w:r>
      <w:r w:rsidR="00EB6181" w:rsidRPr="001C7EE6">
        <w:rPr>
          <w:color w:val="FFFFFF" w:themeColor="background1"/>
        </w:rPr>
        <w:t xml:space="preserve">Board </w:t>
      </w:r>
      <w:r w:rsidR="00A84283" w:rsidRPr="001C7EE6">
        <w:rPr>
          <w:color w:val="FFFFFF" w:themeColor="background1"/>
        </w:rPr>
        <w:t>Meetings during 201</w:t>
      </w:r>
      <w:r w:rsidR="00BF6BA8" w:rsidRPr="001C7EE6">
        <w:rPr>
          <w:color w:val="FFFFFF" w:themeColor="background1"/>
        </w:rPr>
        <w:t>8</w:t>
      </w:r>
      <w:r w:rsidR="00A84283" w:rsidRPr="001C7EE6">
        <w:rPr>
          <w:color w:val="FFFFFF" w:themeColor="background1"/>
        </w:rPr>
        <w:t>–1</w:t>
      </w:r>
      <w:r w:rsidR="00BF6BA8" w:rsidRPr="001C7EE6">
        <w:rPr>
          <w:color w:val="FFFFFF" w:themeColor="background1"/>
        </w:rPr>
        <w:t>9</w:t>
      </w:r>
      <w:bookmarkEnd w:id="199"/>
      <w:bookmarkEnd w:id="200"/>
      <w:bookmarkEnd w:id="201"/>
      <w:bookmarkEnd w:id="202"/>
    </w:p>
    <w:p w14:paraId="302AF44E" w14:textId="01187F69" w:rsidR="009068CD" w:rsidRDefault="009068CD" w:rsidP="001C7EE6">
      <w:bookmarkStart w:id="203" w:name="_Toc32247785"/>
    </w:p>
    <w:p w14:paraId="1246F905" w14:textId="77777777" w:rsidR="009068CD" w:rsidRDefault="009068CD" w:rsidP="001C7EE6"/>
    <w:p w14:paraId="4E3EE624" w14:textId="3FA49A9B" w:rsidR="009068CD" w:rsidRDefault="009068CD" w:rsidP="001C7EE6"/>
    <w:p w14:paraId="28CC0F07" w14:textId="74E63297" w:rsidR="009068CD" w:rsidRDefault="009068CD" w:rsidP="001C7EE6"/>
    <w:p w14:paraId="3E2FCBA8" w14:textId="23F9F518" w:rsidR="009068CD" w:rsidRDefault="009068CD" w:rsidP="001C7EE6">
      <w:pPr>
        <w:spacing w:after="360"/>
      </w:pPr>
      <w:r>
        <w:t xml:space="preserve"> </w:t>
      </w:r>
    </w:p>
    <w:p w14:paraId="08C815DB" w14:textId="2CD04DA1" w:rsidR="00A84283" w:rsidRPr="00A84283" w:rsidRDefault="00A84283" w:rsidP="00457C0B">
      <w:pPr>
        <w:pStyle w:val="TableMainHeading"/>
      </w:pPr>
      <w:bookmarkStart w:id="204" w:name="_Toc33521370"/>
      <w:r w:rsidRPr="00A84283">
        <w:t xml:space="preserve">Table A.1: </w:t>
      </w:r>
      <w:r w:rsidR="00EB6181">
        <w:t>Board</w:t>
      </w:r>
      <w:r w:rsidRPr="00A84283">
        <w:t xml:space="preserve"> meeting attendance during 201</w:t>
      </w:r>
      <w:r w:rsidR="00BF6BA8">
        <w:t>8</w:t>
      </w:r>
      <w:r w:rsidRPr="00A84283">
        <w:t>–1</w:t>
      </w:r>
      <w:r w:rsidR="00BF6BA8">
        <w:t>9</w:t>
      </w:r>
      <w:bookmarkEnd w:id="203"/>
      <w:bookmarkEnd w:id="20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A.1: Board meeting attendance during 2018–19"/>
        <w:tblDescription w:val="A table that show the total number of meetings each member of the Baord attended during 2018-19 and the number the number they were eligible ot attend. Alice Williams attended 7 out the 9 meetings she was eligible toi attend, Cheryl Edwards and David Peever attended 8 out of 9 meetings, with all other members attending all the meeting they were eligible to attend."/>
      </w:tblPr>
      <w:tblGrid>
        <w:gridCol w:w="2566"/>
        <w:gridCol w:w="2567"/>
        <w:gridCol w:w="2567"/>
      </w:tblGrid>
      <w:tr w:rsidR="00457C0B" w:rsidRPr="0037739F" w14:paraId="0D82C196" w14:textId="77777777" w:rsidTr="00B0099D">
        <w:trPr>
          <w:tblHeader/>
        </w:trPr>
        <w:tc>
          <w:tcPr>
            <w:tcW w:w="2566" w:type="dxa"/>
            <w:tcBorders>
              <w:top w:val="single" w:sz="2" w:space="0" w:color="000000" w:themeColor="text1"/>
              <w:bottom w:val="single" w:sz="2" w:space="0" w:color="000000" w:themeColor="text1"/>
            </w:tcBorders>
          </w:tcPr>
          <w:p w14:paraId="7AC84074" w14:textId="30DE11D2" w:rsidR="00457C0B" w:rsidRPr="0037739F" w:rsidRDefault="00457C0B" w:rsidP="0037739F">
            <w:pPr>
              <w:spacing w:after="0"/>
              <w:rPr>
                <w:rFonts w:ascii="Arial" w:hAnsi="Arial" w:cs="Arial"/>
                <w:sz w:val="16"/>
                <w:szCs w:val="16"/>
              </w:rPr>
            </w:pPr>
          </w:p>
        </w:tc>
        <w:tc>
          <w:tcPr>
            <w:tcW w:w="2567" w:type="dxa"/>
            <w:tcBorders>
              <w:top w:val="single" w:sz="2" w:space="0" w:color="000000" w:themeColor="text1"/>
              <w:bottom w:val="single" w:sz="2" w:space="0" w:color="000000" w:themeColor="text1"/>
            </w:tcBorders>
          </w:tcPr>
          <w:p w14:paraId="6F5DA7F6" w14:textId="689D27F7"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No. of meetings attended</w:t>
            </w:r>
          </w:p>
        </w:tc>
        <w:tc>
          <w:tcPr>
            <w:tcW w:w="2567" w:type="dxa"/>
            <w:tcBorders>
              <w:top w:val="single" w:sz="2" w:space="0" w:color="000000" w:themeColor="text1"/>
              <w:bottom w:val="single" w:sz="2" w:space="0" w:color="000000" w:themeColor="text1"/>
            </w:tcBorders>
          </w:tcPr>
          <w:p w14:paraId="77017217" w14:textId="74E3AAA7"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No. of meetings eligible to attend</w:t>
            </w:r>
          </w:p>
        </w:tc>
      </w:tr>
      <w:tr w:rsidR="00457C0B" w:rsidRPr="0037739F" w14:paraId="416B1B8D" w14:textId="77777777" w:rsidTr="00B0099D">
        <w:tc>
          <w:tcPr>
            <w:tcW w:w="2566" w:type="dxa"/>
            <w:tcBorders>
              <w:top w:val="single" w:sz="2" w:space="0" w:color="000000" w:themeColor="text1"/>
            </w:tcBorders>
          </w:tcPr>
          <w:p w14:paraId="6C495A40" w14:textId="7FC3A9A3" w:rsidR="00457C0B" w:rsidRPr="0037739F" w:rsidRDefault="00457C0B" w:rsidP="00006CA3">
            <w:pPr>
              <w:spacing w:after="0"/>
              <w:jc w:val="left"/>
              <w:rPr>
                <w:rFonts w:ascii="Arial" w:hAnsi="Arial" w:cs="Arial"/>
                <w:sz w:val="16"/>
                <w:szCs w:val="16"/>
              </w:rPr>
            </w:pPr>
            <w:r w:rsidRPr="0037739F">
              <w:rPr>
                <w:rFonts w:ascii="Arial" w:hAnsi="Arial" w:cs="Arial"/>
                <w:sz w:val="16"/>
                <w:szCs w:val="16"/>
              </w:rPr>
              <w:t>David Irvine (Chair)</w:t>
            </w:r>
          </w:p>
        </w:tc>
        <w:tc>
          <w:tcPr>
            <w:tcW w:w="2567" w:type="dxa"/>
            <w:tcBorders>
              <w:top w:val="single" w:sz="2" w:space="0" w:color="000000" w:themeColor="text1"/>
            </w:tcBorders>
          </w:tcPr>
          <w:p w14:paraId="55184362" w14:textId="71631698"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c>
          <w:tcPr>
            <w:tcW w:w="2567" w:type="dxa"/>
            <w:tcBorders>
              <w:top w:val="single" w:sz="2" w:space="0" w:color="000000" w:themeColor="text1"/>
            </w:tcBorders>
          </w:tcPr>
          <w:p w14:paraId="1EDDE371" w14:textId="735882E2"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r>
      <w:tr w:rsidR="00457C0B" w:rsidRPr="0037739F" w14:paraId="6F602DDF" w14:textId="77777777" w:rsidTr="0037739F">
        <w:tc>
          <w:tcPr>
            <w:tcW w:w="2566" w:type="dxa"/>
          </w:tcPr>
          <w:p w14:paraId="450CBE39" w14:textId="1D7682CC" w:rsidR="00457C0B" w:rsidRPr="0037739F" w:rsidRDefault="00457C0B" w:rsidP="00006CA3">
            <w:pPr>
              <w:spacing w:after="0"/>
              <w:jc w:val="left"/>
              <w:rPr>
                <w:rFonts w:ascii="Arial" w:hAnsi="Arial" w:cs="Arial"/>
                <w:sz w:val="16"/>
                <w:szCs w:val="16"/>
              </w:rPr>
            </w:pPr>
            <w:r w:rsidRPr="0037739F">
              <w:rPr>
                <w:rFonts w:ascii="Arial" w:hAnsi="Arial" w:cs="Arial"/>
                <w:sz w:val="16"/>
                <w:szCs w:val="16"/>
              </w:rPr>
              <w:t>Teresa Dyson</w:t>
            </w:r>
          </w:p>
        </w:tc>
        <w:tc>
          <w:tcPr>
            <w:tcW w:w="2567" w:type="dxa"/>
          </w:tcPr>
          <w:p w14:paraId="14EA6DEC" w14:textId="423B42F3"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c>
          <w:tcPr>
            <w:tcW w:w="2567" w:type="dxa"/>
          </w:tcPr>
          <w:p w14:paraId="0087A8B7" w14:textId="612EB27A"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r>
      <w:tr w:rsidR="00457C0B" w:rsidRPr="0037739F" w14:paraId="7F4D13EB" w14:textId="77777777" w:rsidTr="0037739F">
        <w:tc>
          <w:tcPr>
            <w:tcW w:w="2566" w:type="dxa"/>
          </w:tcPr>
          <w:p w14:paraId="57CCC976" w14:textId="7FE21293" w:rsidR="00457C0B" w:rsidRPr="0037739F" w:rsidRDefault="00457C0B" w:rsidP="00006CA3">
            <w:pPr>
              <w:spacing w:after="0"/>
              <w:jc w:val="left"/>
              <w:rPr>
                <w:rFonts w:ascii="Arial" w:hAnsi="Arial" w:cs="Arial"/>
                <w:sz w:val="16"/>
                <w:szCs w:val="16"/>
              </w:rPr>
            </w:pPr>
            <w:r w:rsidRPr="0037739F">
              <w:rPr>
                <w:rFonts w:ascii="Arial" w:hAnsi="Arial" w:cs="Arial"/>
                <w:sz w:val="16"/>
                <w:szCs w:val="16"/>
              </w:rPr>
              <w:t>Cheryl Edwardes</w:t>
            </w:r>
          </w:p>
        </w:tc>
        <w:tc>
          <w:tcPr>
            <w:tcW w:w="2567" w:type="dxa"/>
          </w:tcPr>
          <w:p w14:paraId="66598636" w14:textId="0DEF3FF2"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8</w:t>
            </w:r>
          </w:p>
        </w:tc>
        <w:tc>
          <w:tcPr>
            <w:tcW w:w="2567" w:type="dxa"/>
          </w:tcPr>
          <w:p w14:paraId="137EB75D" w14:textId="450BE455"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r>
      <w:tr w:rsidR="00457C0B" w:rsidRPr="0037739F" w14:paraId="34A2DF7A" w14:textId="77777777" w:rsidTr="0037739F">
        <w:tc>
          <w:tcPr>
            <w:tcW w:w="2566" w:type="dxa"/>
          </w:tcPr>
          <w:p w14:paraId="4B0213DC" w14:textId="0C69E85A" w:rsidR="00457C0B" w:rsidRPr="0037739F" w:rsidRDefault="00006CA3" w:rsidP="00006CA3">
            <w:pPr>
              <w:spacing w:after="0"/>
              <w:jc w:val="left"/>
              <w:rPr>
                <w:rFonts w:ascii="Arial" w:hAnsi="Arial" w:cs="Arial"/>
                <w:sz w:val="16"/>
                <w:szCs w:val="16"/>
              </w:rPr>
            </w:pPr>
            <w:r>
              <w:rPr>
                <w:rFonts w:ascii="Arial" w:hAnsi="Arial" w:cs="Arial"/>
                <w:sz w:val="16"/>
                <w:szCs w:val="16"/>
              </w:rPr>
              <w:t>Margaret (Meg) McDonald</w:t>
            </w:r>
          </w:p>
        </w:tc>
        <w:tc>
          <w:tcPr>
            <w:tcW w:w="2567" w:type="dxa"/>
          </w:tcPr>
          <w:p w14:paraId="29C0B192" w14:textId="5D16DB49"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3</w:t>
            </w:r>
          </w:p>
        </w:tc>
        <w:tc>
          <w:tcPr>
            <w:tcW w:w="2567" w:type="dxa"/>
          </w:tcPr>
          <w:p w14:paraId="6068EEED" w14:textId="497EB5F7"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3</w:t>
            </w:r>
          </w:p>
        </w:tc>
      </w:tr>
      <w:tr w:rsidR="00457C0B" w:rsidRPr="0037739F" w14:paraId="0F4A7477" w14:textId="77777777" w:rsidTr="0037739F">
        <w:tc>
          <w:tcPr>
            <w:tcW w:w="2566" w:type="dxa"/>
          </w:tcPr>
          <w:p w14:paraId="67641BF1" w14:textId="7C25FC21" w:rsidR="00457C0B" w:rsidRPr="0037739F" w:rsidRDefault="00006CA3" w:rsidP="00006CA3">
            <w:pPr>
              <w:spacing w:after="0"/>
              <w:jc w:val="left"/>
              <w:rPr>
                <w:rFonts w:ascii="Arial" w:hAnsi="Arial" w:cs="Arial"/>
                <w:sz w:val="16"/>
                <w:szCs w:val="16"/>
              </w:rPr>
            </w:pPr>
            <w:r>
              <w:rPr>
                <w:rFonts w:ascii="Arial" w:hAnsi="Arial" w:cs="Arial"/>
                <w:sz w:val="16"/>
                <w:szCs w:val="16"/>
              </w:rPr>
              <w:t>Nick Minchin</w:t>
            </w:r>
          </w:p>
        </w:tc>
        <w:tc>
          <w:tcPr>
            <w:tcW w:w="2567" w:type="dxa"/>
          </w:tcPr>
          <w:p w14:paraId="0690D77A" w14:textId="375EF384"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5</w:t>
            </w:r>
          </w:p>
        </w:tc>
        <w:tc>
          <w:tcPr>
            <w:tcW w:w="2567" w:type="dxa"/>
          </w:tcPr>
          <w:p w14:paraId="7DA71E83" w14:textId="56E109AD"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5</w:t>
            </w:r>
          </w:p>
        </w:tc>
      </w:tr>
      <w:tr w:rsidR="00457C0B" w:rsidRPr="0037739F" w14:paraId="54E31B6E" w14:textId="77777777" w:rsidTr="0037739F">
        <w:tc>
          <w:tcPr>
            <w:tcW w:w="2566" w:type="dxa"/>
          </w:tcPr>
          <w:p w14:paraId="3662A9DC" w14:textId="7C48A527" w:rsidR="00457C0B" w:rsidRPr="0037739F" w:rsidRDefault="00457C0B" w:rsidP="00006CA3">
            <w:pPr>
              <w:spacing w:after="0"/>
              <w:jc w:val="left"/>
              <w:rPr>
                <w:rFonts w:ascii="Arial" w:hAnsi="Arial" w:cs="Arial"/>
                <w:sz w:val="16"/>
                <w:szCs w:val="16"/>
              </w:rPr>
            </w:pPr>
            <w:r w:rsidRPr="0037739F">
              <w:rPr>
                <w:rFonts w:ascii="Arial" w:hAnsi="Arial" w:cs="Arial"/>
                <w:sz w:val="16"/>
                <w:szCs w:val="16"/>
              </w:rPr>
              <w:t>David Peever</w:t>
            </w:r>
          </w:p>
        </w:tc>
        <w:tc>
          <w:tcPr>
            <w:tcW w:w="2567" w:type="dxa"/>
          </w:tcPr>
          <w:p w14:paraId="021B3258" w14:textId="42B3795A"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8</w:t>
            </w:r>
          </w:p>
        </w:tc>
        <w:tc>
          <w:tcPr>
            <w:tcW w:w="2567" w:type="dxa"/>
          </w:tcPr>
          <w:p w14:paraId="68671024" w14:textId="29830760"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r>
      <w:tr w:rsidR="00457C0B" w:rsidRPr="0037739F" w14:paraId="6B04B66C" w14:textId="77777777" w:rsidTr="0037739F">
        <w:tc>
          <w:tcPr>
            <w:tcW w:w="2566" w:type="dxa"/>
          </w:tcPr>
          <w:p w14:paraId="27A04073" w14:textId="2AFC82C7" w:rsidR="00457C0B" w:rsidRPr="0037739F" w:rsidRDefault="00006CA3" w:rsidP="00006CA3">
            <w:pPr>
              <w:spacing w:after="0"/>
              <w:jc w:val="left"/>
              <w:rPr>
                <w:rFonts w:ascii="Arial" w:hAnsi="Arial" w:cs="Arial"/>
                <w:sz w:val="16"/>
                <w:szCs w:val="16"/>
              </w:rPr>
            </w:pPr>
            <w:r>
              <w:rPr>
                <w:rFonts w:ascii="Arial" w:hAnsi="Arial" w:cs="Arial"/>
                <w:sz w:val="16"/>
                <w:szCs w:val="16"/>
              </w:rPr>
              <w:t>Patrick Secker</w:t>
            </w:r>
          </w:p>
        </w:tc>
        <w:tc>
          <w:tcPr>
            <w:tcW w:w="2567" w:type="dxa"/>
          </w:tcPr>
          <w:p w14:paraId="49D54E6C" w14:textId="4038C7FF"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4</w:t>
            </w:r>
          </w:p>
        </w:tc>
        <w:tc>
          <w:tcPr>
            <w:tcW w:w="2567" w:type="dxa"/>
          </w:tcPr>
          <w:p w14:paraId="172E6C7D" w14:textId="6167039A"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4</w:t>
            </w:r>
          </w:p>
        </w:tc>
      </w:tr>
      <w:tr w:rsidR="00457C0B" w:rsidRPr="0037739F" w14:paraId="1D131B71" w14:textId="77777777" w:rsidTr="00B0099D">
        <w:tc>
          <w:tcPr>
            <w:tcW w:w="2566" w:type="dxa"/>
          </w:tcPr>
          <w:p w14:paraId="31690685" w14:textId="408425BD" w:rsidR="00457C0B" w:rsidRPr="0037739F" w:rsidRDefault="00457C0B" w:rsidP="00006CA3">
            <w:pPr>
              <w:spacing w:after="0"/>
              <w:jc w:val="left"/>
              <w:rPr>
                <w:rFonts w:ascii="Arial" w:hAnsi="Arial" w:cs="Arial"/>
                <w:sz w:val="16"/>
                <w:szCs w:val="16"/>
              </w:rPr>
            </w:pPr>
            <w:r w:rsidRPr="0037739F">
              <w:rPr>
                <w:rFonts w:ascii="Arial" w:hAnsi="Arial" w:cs="Arial"/>
                <w:sz w:val="16"/>
                <w:szCs w:val="16"/>
              </w:rPr>
              <w:t>Alice Williams</w:t>
            </w:r>
          </w:p>
        </w:tc>
        <w:tc>
          <w:tcPr>
            <w:tcW w:w="2567" w:type="dxa"/>
          </w:tcPr>
          <w:p w14:paraId="252BF81B" w14:textId="7C2F4109"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7</w:t>
            </w:r>
          </w:p>
        </w:tc>
        <w:tc>
          <w:tcPr>
            <w:tcW w:w="2567" w:type="dxa"/>
          </w:tcPr>
          <w:p w14:paraId="22D9EAD8" w14:textId="62889626"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r>
      <w:tr w:rsidR="00457C0B" w:rsidRPr="0037739F" w14:paraId="16056737" w14:textId="77777777" w:rsidTr="00B0099D">
        <w:tc>
          <w:tcPr>
            <w:tcW w:w="2566" w:type="dxa"/>
            <w:tcBorders>
              <w:bottom w:val="single" w:sz="2" w:space="0" w:color="000000" w:themeColor="text1"/>
            </w:tcBorders>
          </w:tcPr>
          <w:p w14:paraId="53C6E171" w14:textId="11718F90" w:rsidR="00457C0B" w:rsidRPr="0037739F" w:rsidRDefault="00457C0B" w:rsidP="00006CA3">
            <w:pPr>
              <w:spacing w:after="0"/>
              <w:jc w:val="left"/>
              <w:rPr>
                <w:rFonts w:ascii="Arial" w:hAnsi="Arial" w:cs="Arial"/>
                <w:sz w:val="16"/>
                <w:szCs w:val="16"/>
              </w:rPr>
            </w:pPr>
            <w:r w:rsidRPr="0037739F">
              <w:rPr>
                <w:rFonts w:ascii="Arial" w:hAnsi="Arial" w:cs="Arial"/>
                <w:sz w:val="16"/>
                <w:szCs w:val="16"/>
              </w:rPr>
              <w:t>Roger Brake</w:t>
            </w:r>
          </w:p>
        </w:tc>
        <w:tc>
          <w:tcPr>
            <w:tcW w:w="2567" w:type="dxa"/>
            <w:tcBorders>
              <w:bottom w:val="single" w:sz="2" w:space="0" w:color="000000" w:themeColor="text1"/>
            </w:tcBorders>
          </w:tcPr>
          <w:p w14:paraId="0FC39CF9" w14:textId="736D1DF5"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c>
          <w:tcPr>
            <w:tcW w:w="2567" w:type="dxa"/>
            <w:tcBorders>
              <w:bottom w:val="single" w:sz="2" w:space="0" w:color="000000" w:themeColor="text1"/>
            </w:tcBorders>
          </w:tcPr>
          <w:p w14:paraId="5E69A5AB" w14:textId="080C99C0" w:rsidR="00457C0B" w:rsidRPr="0037739F" w:rsidRDefault="00457C0B" w:rsidP="0037739F">
            <w:pPr>
              <w:spacing w:after="0"/>
              <w:jc w:val="right"/>
              <w:rPr>
                <w:rFonts w:ascii="Arial" w:hAnsi="Arial" w:cs="Arial"/>
                <w:sz w:val="16"/>
                <w:szCs w:val="16"/>
              </w:rPr>
            </w:pPr>
            <w:r w:rsidRPr="0037739F">
              <w:rPr>
                <w:rFonts w:ascii="Arial" w:hAnsi="Arial" w:cs="Arial"/>
                <w:sz w:val="16"/>
                <w:szCs w:val="16"/>
              </w:rPr>
              <w:t>9</w:t>
            </w:r>
          </w:p>
        </w:tc>
      </w:tr>
    </w:tbl>
    <w:p w14:paraId="5837D014" w14:textId="77777777" w:rsidR="00FF3274" w:rsidRDefault="00FF3274" w:rsidP="000814CB">
      <w:pPr>
        <w:pStyle w:val="AppendixHeading"/>
        <w:sectPr w:rsidR="00FF3274" w:rsidSect="000B6F64">
          <w:headerReference w:type="default" r:id="rId87"/>
          <w:pgSz w:w="11906" w:h="16838" w:code="9"/>
          <w:pgMar w:top="2466" w:right="2098" w:bottom="2466" w:left="2098" w:header="1899" w:footer="1899" w:gutter="0"/>
          <w:cols w:space="708"/>
          <w:titlePg/>
          <w:docGrid w:linePitch="360"/>
        </w:sectPr>
      </w:pPr>
      <w:bookmarkStart w:id="205" w:name="_Toc31636032"/>
      <w:bookmarkStart w:id="206" w:name="_Toc31642801"/>
    </w:p>
    <w:p w14:paraId="335EBD08" w14:textId="2D152F64" w:rsidR="00A84283" w:rsidRPr="001C7EE6" w:rsidRDefault="009068CD" w:rsidP="000814CB">
      <w:pPr>
        <w:pStyle w:val="AppendixHeading"/>
        <w:rPr>
          <w:color w:val="FFFFFF" w:themeColor="background1"/>
        </w:rPr>
      </w:pPr>
      <w:bookmarkStart w:id="207" w:name="_Toc32247812"/>
      <w:bookmarkStart w:id="208" w:name="_Toc33625861"/>
      <w:r>
        <w:rPr>
          <w:noProof/>
        </w:rPr>
        <w:lastRenderedPageBreak/>
        <w:drawing>
          <wp:anchor distT="0" distB="0" distL="114300" distR="114300" simplePos="0" relativeHeight="251658250" behindDoc="0" locked="0" layoutInCell="1" allowOverlap="1" wp14:anchorId="0B48C75A" wp14:editId="3E133D04">
            <wp:simplePos x="0" y="0"/>
            <wp:positionH relativeFrom="column">
              <wp:posOffset>1270</wp:posOffset>
            </wp:positionH>
            <wp:positionV relativeFrom="paragraph">
              <wp:posOffset>-222885</wp:posOffset>
            </wp:positionV>
            <wp:extent cx="4894580" cy="2160905"/>
            <wp:effectExtent l="0" t="0" r="1270" b="0"/>
            <wp:wrapNone/>
            <wp:docPr id="13" name="Picture 13" descr="Appendix B Heading" title="Appendix B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B AR Part Pages_2016-17_V26.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894580" cy="2160905"/>
                    </a:xfrm>
                    <a:prstGeom prst="rect">
                      <a:avLst/>
                    </a:prstGeom>
                  </pic:spPr>
                </pic:pic>
              </a:graphicData>
            </a:graphic>
            <wp14:sizeRelH relativeFrom="page">
              <wp14:pctWidth>0</wp14:pctWidth>
            </wp14:sizeRelH>
            <wp14:sizeRelV relativeFrom="page">
              <wp14:pctHeight>0</wp14:pctHeight>
            </wp14:sizeRelV>
          </wp:anchor>
        </w:drawing>
      </w:r>
      <w:r w:rsidR="00A84283" w:rsidRPr="001C7EE6">
        <w:rPr>
          <w:color w:val="FFFFFF" w:themeColor="background1"/>
        </w:rPr>
        <w:t>Appendix B: Methodological and Data Caveats</w:t>
      </w:r>
      <w:bookmarkEnd w:id="205"/>
      <w:bookmarkEnd w:id="206"/>
      <w:bookmarkEnd w:id="207"/>
      <w:bookmarkEnd w:id="208"/>
    </w:p>
    <w:p w14:paraId="678E1E15" w14:textId="20D1D641" w:rsidR="009068CD" w:rsidRDefault="009068CD" w:rsidP="002E2EFE"/>
    <w:p w14:paraId="4F396F05" w14:textId="77777777" w:rsidR="009068CD" w:rsidRDefault="009068CD" w:rsidP="002E2EFE"/>
    <w:p w14:paraId="28EA2524" w14:textId="77777777" w:rsidR="009068CD" w:rsidRDefault="009068CD" w:rsidP="002E2EFE"/>
    <w:p w14:paraId="4E149373" w14:textId="77777777" w:rsidR="009068CD" w:rsidRDefault="009068CD" w:rsidP="002E2EFE"/>
    <w:p w14:paraId="2294AA94" w14:textId="07B40B55" w:rsidR="009068CD" w:rsidRDefault="009068CD">
      <w:r>
        <w:t xml:space="preserve"> </w:t>
      </w:r>
    </w:p>
    <w:p w14:paraId="5486BD63" w14:textId="77FC3BF2" w:rsidR="00A84283" w:rsidRPr="00A84283" w:rsidRDefault="00A84283" w:rsidP="002E2EFE">
      <w:r w:rsidRPr="00A84283">
        <w:t>This appendix provides an overview of the main methodological and data caveats that apply to applications and approvals data in this Annual Report. While a useful source of data on proposed foreign investment in Australia, the Board urges caution in the use of these statistics, particularly when making comparisons with earlier years or alternate data sources on foreign investment.</w:t>
      </w:r>
    </w:p>
    <w:p w14:paraId="501C64DE" w14:textId="72F6946A" w:rsidR="00A84283" w:rsidRPr="00A84283" w:rsidRDefault="00A84283" w:rsidP="003A4836">
      <w:pPr>
        <w:pStyle w:val="Heading2"/>
      </w:pPr>
      <w:bookmarkStart w:id="209" w:name="_Toc31636033"/>
      <w:bookmarkStart w:id="210" w:name="_Toc31642802"/>
      <w:bookmarkStart w:id="211" w:name="_Toc32247813"/>
      <w:bookmarkStart w:id="212" w:name="_Toc33625862"/>
      <w:r w:rsidRPr="00A84283">
        <w:t>Methodological and data caveats</w:t>
      </w:r>
      <w:bookmarkEnd w:id="209"/>
      <w:bookmarkEnd w:id="210"/>
      <w:bookmarkEnd w:id="211"/>
      <w:bookmarkEnd w:id="212"/>
    </w:p>
    <w:p w14:paraId="6C5673AF" w14:textId="32A2D07D" w:rsidR="00A84283" w:rsidRPr="00A84283" w:rsidRDefault="00A84283" w:rsidP="002E2EFE">
      <w:pPr>
        <w:pStyle w:val="Bullet"/>
      </w:pPr>
      <w:r w:rsidRPr="00A84283">
        <w:t>The statistics contained in this Annual Report do not measure total foreign investment made in any year, nor do they measure changes in net foreign ownership levels in Australia. They reflect investor intentions (not actual purchases) to acquire Australian assets. They can be skewed by very large investment proposals and multiple competing proposals for the same target.</w:t>
      </w:r>
    </w:p>
    <w:p w14:paraId="4BA0F503" w14:textId="13D09727" w:rsidR="00A84283" w:rsidRPr="00A84283" w:rsidRDefault="00A84283" w:rsidP="002E2EFE">
      <w:pPr>
        <w:pStyle w:val="Bullet"/>
      </w:pPr>
      <w:r w:rsidRPr="00A84283">
        <w:t xml:space="preserve">There are substantial differences between these statistics on proposed investments and actual investment flows. The latter are captured by the </w:t>
      </w:r>
      <w:r w:rsidR="006F607C">
        <w:t>ABS</w:t>
      </w:r>
      <w:r w:rsidRPr="00A84283">
        <w:t>, which covers investment transactions between residents of Australia and non</w:t>
      </w:r>
      <w:r w:rsidR="00BF6BA8">
        <w:noBreakHyphen/>
      </w:r>
      <w:r w:rsidRPr="00A84283">
        <w:t>residents.</w:t>
      </w:r>
    </w:p>
    <w:p w14:paraId="78E4586A" w14:textId="57DCB181" w:rsidR="00A84283" w:rsidRPr="00A84283" w:rsidRDefault="00A84283" w:rsidP="002E2EFE">
      <w:pPr>
        <w:pStyle w:val="Bullet"/>
      </w:pPr>
      <w:r w:rsidRPr="00A84283">
        <w:t>Data capture, systems and reporting methodologies change over time and from the 2015</w:t>
      </w:r>
      <w:r w:rsidR="006F607C">
        <w:noBreakHyphen/>
      </w:r>
      <w:r w:rsidRPr="00A84283">
        <w:t>16 Annual Report onwards much of the data is an aggregation of separate data captured by Treasury and the ATO.</w:t>
      </w:r>
    </w:p>
    <w:p w14:paraId="6B20E306" w14:textId="76C23AB1" w:rsidR="00A84283" w:rsidRPr="00A84283" w:rsidRDefault="00A84283" w:rsidP="002E2EFE">
      <w:pPr>
        <w:pStyle w:val="Bullet"/>
      </w:pPr>
      <w:r w:rsidRPr="00A84283">
        <w:t>Data presented for earlier years may also have been revised since last published.</w:t>
      </w:r>
    </w:p>
    <w:p w14:paraId="67B25B95" w14:textId="520B3C9B" w:rsidR="00A84283" w:rsidRPr="00A84283" w:rsidRDefault="00A84283" w:rsidP="002E2EFE">
      <w:pPr>
        <w:pStyle w:val="Bullet"/>
      </w:pPr>
      <w:r w:rsidRPr="00A84283">
        <w:t xml:space="preserve">Prior to 2017–18, the source country of proposed investment identified in the </w:t>
      </w:r>
      <w:r w:rsidR="00DB6C49">
        <w:t>Board’s</w:t>
      </w:r>
      <w:r w:rsidRPr="00A84283">
        <w:t xml:space="preserve"> data was generally attributed to the investor(s) who was likely in control</w:t>
      </w:r>
      <w:r w:rsidR="008757F7">
        <w:t xml:space="preserve"> of</w:t>
      </w:r>
      <w:r w:rsidRPr="00A84283">
        <w:t>, or in a position to control, the investor proposing to make the investment. Non</w:t>
      </w:r>
      <w:r w:rsidR="00BF6BA8">
        <w:noBreakHyphen/>
      </w:r>
      <w:r w:rsidRPr="00A84283">
        <w:t>controlling foreign government investors with greater than a five per cent interest in the investor were allocated a notional interest (that is, one per cent). For example, the source country may be attributed to a foreign investor’s only large interest holder, or if the investor’s securities were widely held, the country of domicile, primary listing, establishment or incorporation may be recorded.</w:t>
      </w:r>
    </w:p>
    <w:p w14:paraId="40704D74" w14:textId="3343C34B" w:rsidR="00A84283" w:rsidRPr="00A84283" w:rsidRDefault="00A84283" w:rsidP="002E2EFE">
      <w:pPr>
        <w:pStyle w:val="Dash"/>
      </w:pPr>
      <w:r w:rsidRPr="003A4836">
        <w:lastRenderedPageBreak/>
        <w:t>For</w:t>
      </w:r>
      <w:r w:rsidRPr="00A84283">
        <w:t xml:space="preserve"> consortium approvals, or where there is shared control, the proposed investment may be counted against a number of countries with the investment value apportioned between those countries involved.</w:t>
      </w:r>
      <w:r w:rsidR="007049A3" w:rsidRPr="007049A3">
        <w:rPr>
          <w:rFonts w:ascii="Calibri" w:eastAsia="Calibri" w:hAnsi="Calibri"/>
          <w:noProof/>
        </w:rPr>
        <w:t xml:space="preserve"> </w:t>
      </w:r>
    </w:p>
    <w:p w14:paraId="2F582B51" w14:textId="220C3654" w:rsidR="00A84283" w:rsidRPr="00A84283" w:rsidRDefault="00A84283" w:rsidP="002E2EFE">
      <w:pPr>
        <w:pStyle w:val="Bullet"/>
      </w:pPr>
      <w:r w:rsidRPr="00A84283">
        <w:t>From 2017–18, the source country(s) of proposed investment is generally allocated based on the known or disclosed ultimate underlying ownership of the investor proposing to make the investment. While in some cases, this would be the same outcome as if attributed based on who was likely in a position to control the investor, the data is not comparable to that of 2016–17 and earlier years. Where a portion of the ultimate underlying owners are unknown, the unknown ownership portion is either apportioned amongst the countries of known investors or allocated to or amongst the country of domicile, primary listing, establishment or incorporation. It continues to be the case that if an investor’s securities are widely held, the country of domicile, primary listing, establishment or incorporation may be recorded.</w:t>
      </w:r>
    </w:p>
    <w:p w14:paraId="15F4B480" w14:textId="498CF999" w:rsidR="007C69CD" w:rsidRDefault="0087673B" w:rsidP="007C69CD">
      <w:pPr>
        <w:pStyle w:val="SingleParagraph"/>
      </w:pPr>
      <w:r w:rsidRPr="007C6F91">
        <w:rPr>
          <w:rFonts w:ascii="Calibri" w:eastAsia="Calibri" w:hAnsi="Calibri"/>
          <w:noProof/>
        </w:rPr>
        <mc:AlternateContent>
          <mc:Choice Requires="wps">
            <w:drawing>
              <wp:anchor distT="0" distB="0" distL="114300" distR="114300" simplePos="0" relativeHeight="251658253" behindDoc="0" locked="0" layoutInCell="1" allowOverlap="1" wp14:anchorId="15AC0200" wp14:editId="1995687B">
                <wp:simplePos x="0" y="0"/>
                <wp:positionH relativeFrom="column">
                  <wp:posOffset>77470</wp:posOffset>
                </wp:positionH>
                <wp:positionV relativeFrom="paragraph">
                  <wp:posOffset>270510</wp:posOffset>
                </wp:positionV>
                <wp:extent cx="4895850" cy="2200275"/>
                <wp:effectExtent l="0" t="0" r="19050" b="28575"/>
                <wp:wrapTopAndBottom/>
                <wp:docPr id="20" name="Snip and Round Single Corner Rectangle 20"/>
                <wp:cNvGraphicFramePr/>
                <a:graphic xmlns:a="http://schemas.openxmlformats.org/drawingml/2006/main">
                  <a:graphicData uri="http://schemas.microsoft.com/office/word/2010/wordprocessingShape">
                    <wps:wsp>
                      <wps:cNvSpPr/>
                      <wps:spPr>
                        <a:xfrm>
                          <a:off x="0" y="0"/>
                          <a:ext cx="4895850" cy="2200275"/>
                        </a:xfrm>
                        <a:prstGeom prst="snipRoundRect">
                          <a:avLst>
                            <a:gd name="adj1" fmla="val 5531"/>
                            <a:gd name="adj2" fmla="val 10817"/>
                          </a:avLst>
                        </a:prstGeom>
                        <a:solidFill>
                          <a:schemeClr val="bg1"/>
                        </a:solidFill>
                        <a:ln w="25400" cap="flat" cmpd="sng" algn="ctr">
                          <a:solidFill>
                            <a:srgbClr val="653979"/>
                          </a:solidFill>
                          <a:prstDash val="solid"/>
                        </a:ln>
                        <a:effectLst/>
                      </wps:spPr>
                      <wps:txbx>
                        <w:txbxContent>
                          <w:p w14:paraId="6AA06CE4" w14:textId="77777777" w:rsidR="00191EF9" w:rsidRPr="00497197" w:rsidRDefault="00191EF9" w:rsidP="001C7EE6">
                            <w:pPr>
                              <w:pStyle w:val="Circletext"/>
                            </w:pPr>
                            <w:r w:rsidRPr="00497197">
                              <w:t>Example 1</w:t>
                            </w:r>
                          </w:p>
                          <w:p w14:paraId="277E64A2" w14:textId="77777777" w:rsidR="00191EF9" w:rsidRPr="007C69CD" w:rsidRDefault="00191EF9" w:rsidP="007049A3">
                            <w:pPr>
                              <w:pStyle w:val="BoxText"/>
                              <w:spacing w:after="120"/>
                              <w:ind w:left="142"/>
                              <w:rPr>
                                <w:color w:val="000000" w:themeColor="text1"/>
                              </w:rPr>
                            </w:pPr>
                            <w:r w:rsidRPr="007C69CD">
                              <w:rPr>
                                <w:color w:val="000000" w:themeColor="text1"/>
                              </w:rPr>
                              <w:t>When tracing back the ownership of Investor A, it has five beneficial owners all owning equal shares. Two each are from Countries A and B, and one is from Country C.</w:t>
                            </w:r>
                          </w:p>
                          <w:p w14:paraId="36E773B8" w14:textId="77777777" w:rsidR="00191EF9" w:rsidRPr="007C69CD" w:rsidRDefault="00191EF9" w:rsidP="007049A3">
                            <w:pPr>
                              <w:pStyle w:val="BoxText"/>
                              <w:spacing w:after="120"/>
                              <w:ind w:left="142"/>
                              <w:rPr>
                                <w:color w:val="000000" w:themeColor="text1"/>
                              </w:rPr>
                            </w:pPr>
                            <w:r w:rsidRPr="007C69CD">
                              <w:rPr>
                                <w:color w:val="000000" w:themeColor="text1"/>
                              </w:rPr>
                              <w:t>From 2017</w:t>
                            </w:r>
                            <w:r w:rsidRPr="007C69CD">
                              <w:rPr>
                                <w:color w:val="000000" w:themeColor="text1"/>
                              </w:rPr>
                              <w:noBreakHyphen/>
                              <w:t>18, the source country for Investor A’s proposed investment based on country of ownership is recorded as 40 per cent each for Countries A and B, with the remaining 20 per cent allocated to Country C.</w:t>
                            </w:r>
                          </w:p>
                          <w:p w14:paraId="684F1DA7" w14:textId="77777777" w:rsidR="00191EF9" w:rsidRPr="007C69CD" w:rsidRDefault="00191EF9" w:rsidP="007049A3">
                            <w:pPr>
                              <w:pStyle w:val="BoxText"/>
                              <w:spacing w:after="120"/>
                              <w:ind w:left="142"/>
                              <w:rPr>
                                <w:color w:val="000000" w:themeColor="text1"/>
                              </w:rPr>
                            </w:pPr>
                            <w:r w:rsidRPr="007C69CD">
                              <w:rPr>
                                <w:color w:val="000000" w:themeColor="text1"/>
                              </w:rPr>
                              <w:t>Prior to 2017</w:t>
                            </w:r>
                            <w:r w:rsidRPr="007C69CD">
                              <w:rPr>
                                <w:color w:val="000000" w:themeColor="text1"/>
                              </w:rPr>
                              <w:noBreakHyphen/>
                              <w:t>18, the source country for Investor A’s proposed investment based on country of control was recorded as 50 per cent each for Countries A and B, as these investors had an equal number of directors on the board of Investor A and both had to agree on any major decisions. Country C was not allocated an amount as their interest in Investor A was as a passive investor only, with no board seats or veto rights.</w:t>
                            </w: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anchor>
            </w:drawing>
          </mc:Choice>
          <mc:Fallback>
            <w:pict>
              <v:shape w14:anchorId="15AC0200" id="Snip and Round Single Corner Rectangle 20" o:spid="_x0000_s1030" style="position:absolute;left:0;text-align:left;margin-left:6.1pt;margin-top:21.3pt;width:385.5pt;height:173.25pt;z-index:251658253;visibility:visible;mso-wrap-style:square;mso-wrap-distance-left:9pt;mso-wrap-distance-top:0;mso-wrap-distance-right:9pt;mso-wrap-distance-bottom:0;mso-position-horizontal:absolute;mso-position-horizontal-relative:text;mso-position-vertical:absolute;mso-position-vertical-relative:text;v-text-anchor:top" coordsize="489585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" adj="-11796480,,5400" path="m121697,l4657846,r238004,238004l4895850,2200275,,2200275,,121697c,54486,54486,,121697,xe" fillcolor="white [3212]" strokecolor="#653979" strokeweight="2pt">
                <v:stroke joinstyle="miter"/>
                <v:formulas/>
                <v:path arrowok="t" o:connecttype="custom" o:connectlocs="121697,0;4657846,0;4895850,238004;4895850,2200275;0,2200275;0,121697;121697,0" o:connectangles="0,0,0,0,0,0,0" textboxrect="0,0,4895850,2200275"/>
                <v:textbox inset=".5mm,0,.5mm,0">
                  <w:txbxContent>
                    <w:p w14:paraId="6AA06CE4" w14:textId="77777777" w:rsidR="00191EF9" w:rsidRPr="00497197" w:rsidRDefault="00191EF9" w:rsidP="001C7EE6">
                      <w:pPr>
                        <w:pStyle w:val="Circletext"/>
                      </w:pPr>
                      <w:r w:rsidRPr="00497197">
                        <w:t>Example 1</w:t>
                      </w:r>
                    </w:p>
                    <w:p w14:paraId="277E64A2" w14:textId="77777777" w:rsidR="00191EF9" w:rsidRPr="007C69CD" w:rsidRDefault="00191EF9" w:rsidP="007049A3">
                      <w:pPr>
                        <w:pStyle w:val="BoxText"/>
                        <w:spacing w:after="120"/>
                        <w:ind w:left="142"/>
                        <w:rPr>
                          <w:color w:val="000000" w:themeColor="text1"/>
                        </w:rPr>
                      </w:pPr>
                      <w:r w:rsidRPr="007C69CD">
                        <w:rPr>
                          <w:color w:val="000000" w:themeColor="text1"/>
                        </w:rPr>
                        <w:t>When tracing back the ownership of Investor A, it has five beneficial owners all owning equal shares. Two each are from Countries A and B, and one is from Country C.</w:t>
                      </w:r>
                    </w:p>
                    <w:p w14:paraId="36E773B8" w14:textId="77777777" w:rsidR="00191EF9" w:rsidRPr="007C69CD" w:rsidRDefault="00191EF9" w:rsidP="007049A3">
                      <w:pPr>
                        <w:pStyle w:val="BoxText"/>
                        <w:spacing w:after="120"/>
                        <w:ind w:left="142"/>
                        <w:rPr>
                          <w:color w:val="000000" w:themeColor="text1"/>
                        </w:rPr>
                      </w:pPr>
                      <w:r w:rsidRPr="007C69CD">
                        <w:rPr>
                          <w:color w:val="000000" w:themeColor="text1"/>
                        </w:rPr>
                        <w:t>From 2017</w:t>
                      </w:r>
                      <w:r w:rsidRPr="007C69CD">
                        <w:rPr>
                          <w:color w:val="000000" w:themeColor="text1"/>
                        </w:rPr>
                        <w:noBreakHyphen/>
                        <w:t>18, the source country for Investor A’s proposed investment based on country of ownership is recorded as 40 per cent each for Countries A and B, with the remaining 20 per cent allocated to Country C.</w:t>
                      </w:r>
                    </w:p>
                    <w:p w14:paraId="684F1DA7" w14:textId="77777777" w:rsidR="00191EF9" w:rsidRPr="007C69CD" w:rsidRDefault="00191EF9" w:rsidP="007049A3">
                      <w:pPr>
                        <w:pStyle w:val="BoxText"/>
                        <w:spacing w:after="120"/>
                        <w:ind w:left="142"/>
                        <w:rPr>
                          <w:color w:val="000000" w:themeColor="text1"/>
                        </w:rPr>
                      </w:pPr>
                      <w:r w:rsidRPr="007C69CD">
                        <w:rPr>
                          <w:color w:val="000000" w:themeColor="text1"/>
                        </w:rPr>
                        <w:t>Prior to 2017</w:t>
                      </w:r>
                      <w:r w:rsidRPr="007C69CD">
                        <w:rPr>
                          <w:color w:val="000000" w:themeColor="text1"/>
                        </w:rPr>
                        <w:noBreakHyphen/>
                        <w:t>18, the source country for Investor A’s proposed investment based on country of control was recorded as 50 per cent each for Countries A and B, as these investors had an equal number of directors on the board of Investor A and both had to agree on any major decisions. Country C was not allocated an amount as their interest in Investor A was as a passive investor only, with no board seats or veto rights.</w:t>
                      </w:r>
                    </w:p>
                  </w:txbxContent>
                </v:textbox>
                <w10:wrap type="topAndBottom"/>
              </v:shape>
            </w:pict>
          </mc:Fallback>
        </mc:AlternateContent>
      </w:r>
    </w:p>
    <w:p w14:paraId="7B2A907F" w14:textId="0B3962AF" w:rsidR="00991222" w:rsidRDefault="007C69CD" w:rsidP="007C69CD">
      <w:pPr>
        <w:pStyle w:val="SingleParagraph"/>
      </w:pPr>
      <w:r w:rsidRPr="007C6F91">
        <w:rPr>
          <w:rFonts w:ascii="Calibri" w:eastAsia="Calibri" w:hAnsi="Calibri"/>
          <w:noProof/>
        </w:rPr>
        <w:lastRenderedPageBreak/>
        <mc:AlternateContent>
          <mc:Choice Requires="wps">
            <w:drawing>
              <wp:anchor distT="0" distB="0" distL="114300" distR="114300" simplePos="0" relativeHeight="251658243" behindDoc="0" locked="1" layoutInCell="1" allowOverlap="0" wp14:anchorId="623B3F4B" wp14:editId="5BB95915">
                <wp:simplePos x="0" y="0"/>
                <wp:positionH relativeFrom="column">
                  <wp:posOffset>10795</wp:posOffset>
                </wp:positionH>
                <wp:positionV relativeFrom="paragraph">
                  <wp:posOffset>0</wp:posOffset>
                </wp:positionV>
                <wp:extent cx="4895850" cy="3067050"/>
                <wp:effectExtent l="0" t="0" r="19050" b="19050"/>
                <wp:wrapTopAndBottom/>
                <wp:docPr id="3" name="Snip and Round Single Corner Rectangle 3"/>
                <wp:cNvGraphicFramePr/>
                <a:graphic xmlns:a="http://schemas.openxmlformats.org/drawingml/2006/main">
                  <a:graphicData uri="http://schemas.microsoft.com/office/word/2010/wordprocessingShape">
                    <wps:wsp>
                      <wps:cNvSpPr/>
                      <wps:spPr>
                        <a:xfrm>
                          <a:off x="0" y="0"/>
                          <a:ext cx="4895850" cy="3067050"/>
                        </a:xfrm>
                        <a:prstGeom prst="snipRoundRect">
                          <a:avLst>
                            <a:gd name="adj1" fmla="val 5531"/>
                            <a:gd name="adj2" fmla="val 10817"/>
                          </a:avLst>
                        </a:prstGeom>
                        <a:solidFill>
                          <a:schemeClr val="bg1"/>
                        </a:solidFill>
                        <a:ln w="25400" cap="flat" cmpd="sng" algn="ctr">
                          <a:solidFill>
                            <a:srgbClr val="653979"/>
                          </a:solidFill>
                          <a:prstDash val="solid"/>
                        </a:ln>
                        <a:effectLst/>
                      </wps:spPr>
                      <wps:txbx>
                        <w:txbxContent>
                          <w:p w14:paraId="591457BE" w14:textId="05D3FE88" w:rsidR="00191EF9" w:rsidRPr="004C50AE" w:rsidRDefault="00191EF9" w:rsidP="001C7EE6">
                            <w:pPr>
                              <w:pStyle w:val="Circletext"/>
                            </w:pPr>
                            <w:r w:rsidRPr="007049A3">
                              <w:t>Example</w:t>
                            </w:r>
                            <w:r w:rsidRPr="004C50AE">
                              <w:t xml:space="preserve"> 2</w:t>
                            </w:r>
                          </w:p>
                          <w:p w14:paraId="45D272B0" w14:textId="77777777" w:rsidR="00191EF9" w:rsidRPr="00A84283" w:rsidRDefault="00191EF9" w:rsidP="00497197">
                            <w:pPr>
                              <w:spacing w:after="120"/>
                              <w:ind w:left="142"/>
                            </w:pPr>
                            <w:r w:rsidRPr="00A84283">
                              <w:t>Investor D, which although incorporated in Country D, is listed and controlled in Country Y, has five passive shareholders each with a 10</w:t>
                            </w:r>
                            <w:r>
                              <w:t> per </w:t>
                            </w:r>
                            <w:r w:rsidRPr="00A84283">
                              <w:t>cent interest (Shareholder E, F, G, H and I, who come from Countries E, F, G, H and I) and the remaining 50</w:t>
                            </w:r>
                            <w:r>
                              <w:t> per </w:t>
                            </w:r>
                            <w:r w:rsidRPr="00A84283">
                              <w:t>cent is widely held. Shareholder E has two shareholders from Countries J and K holding 25</w:t>
                            </w:r>
                            <w:r>
                              <w:t> per </w:t>
                            </w:r>
                            <w:r w:rsidRPr="00A84283">
                              <w:t>cent each and the remainder is widely held.</w:t>
                            </w:r>
                          </w:p>
                          <w:p w14:paraId="3B2B19C2" w14:textId="392D9B9E" w:rsidR="00191EF9" w:rsidRDefault="00191EF9" w:rsidP="00497197">
                            <w:pPr>
                              <w:spacing w:after="120"/>
                              <w:ind w:left="142"/>
                            </w:pPr>
                            <w:r w:rsidRPr="00A84283">
                              <w:t>From 2017</w:t>
                            </w:r>
                            <w:r>
                              <w:noBreakHyphen/>
                            </w:r>
                            <w:r w:rsidRPr="00A84283">
                              <w:t>18, the source country for Investor D’s proposed investment based on country</w:t>
                            </w:r>
                            <w:r>
                              <w:t xml:space="preserve"> of ownership is recorded as 50 per cent for Country Y, 10 per </w:t>
                            </w:r>
                            <w:r w:rsidRPr="00A84283">
                              <w:t>cent each for Countries F, G, H and</w:t>
                            </w:r>
                            <w:r>
                              <w:t> </w:t>
                            </w:r>
                            <w:r w:rsidRPr="00A84283">
                              <w:t>I, 5</w:t>
                            </w:r>
                            <w:r>
                              <w:t> per cent for Country E and 2.5 per </w:t>
                            </w:r>
                            <w:r w:rsidRPr="00A84283">
                              <w:t>cent for Countries J and K. For Investor D and Shareholder E, it is assumed that the widely held portions relate to owners in their country of listing or incorporation. If it was common for the widely held ownership portion of entities listed in Country Y to come from Countries Y and X in roughly equal proportions, the 50</w:t>
                            </w:r>
                            <w:r>
                              <w:t> </w:t>
                            </w:r>
                            <w:r w:rsidRPr="00A84283">
                              <w:t>per</w:t>
                            </w:r>
                            <w:r>
                              <w:t> </w:t>
                            </w:r>
                            <w:r w:rsidRPr="00A84283">
                              <w:t>cent allocated to Country Y could have been split between Countries Y and X on this basis.</w:t>
                            </w:r>
                          </w:p>
                          <w:p w14:paraId="25B7C7EE" w14:textId="29EEE1B5" w:rsidR="00191EF9" w:rsidRPr="007C69CD" w:rsidRDefault="00191EF9" w:rsidP="00497197">
                            <w:pPr>
                              <w:ind w:left="142"/>
                              <w:rPr>
                                <w:color w:val="000000" w:themeColor="text1"/>
                              </w:rPr>
                            </w:pPr>
                            <w:r w:rsidRPr="00A84283">
                              <w:t>Prior to 2017</w:t>
                            </w:r>
                            <w:r>
                              <w:noBreakHyphen/>
                            </w:r>
                            <w:r w:rsidRPr="00A84283">
                              <w:t>18, the source country for Investor D’s proposed investment based on country of control was recorded as 100</w:t>
                            </w:r>
                            <w:r>
                              <w:t> per </w:t>
                            </w:r>
                            <w:r w:rsidRPr="00A84283">
                              <w:t>cent for Country Y.</w:t>
                            </w:r>
                          </w:p>
                        </w:txbxContent>
                      </wps:txbx>
                      <wps:bodyPr rot="0" spcFirstLastPara="0" vertOverflow="overflow" horzOverflow="overflow" vert="horz" wrap="square" lIns="18000" tIns="0" rIns="18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B3F4B" id="Snip and Round Single Corner Rectangle 3" o:spid="_x0000_s1031" style="position:absolute;left:0;text-align:left;margin-left:.85pt;margin-top:0;width:385.5pt;height:2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895850,3067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" o:allowoverlap="f" adj="-11796480,,5400" path="m169639,l4564087,r331763,331763l4895850,3067050,,3067050,,169639c,75950,75950,,169639,xe" fillcolor="white [3212]" strokecolor="#653979" strokeweight="2pt">
                <v:stroke joinstyle="miter"/>
                <v:formulas/>
                <v:path arrowok="t" o:connecttype="custom" o:connectlocs="169639,0;4564087,0;4895850,331763;4895850,3067050;0,3067050;0,169639;169639,0" o:connectangles="0,0,0,0,0,0,0" textboxrect="0,0,4895850,3067050"/>
                <v:textbox inset=".5mm,0,.5mm,0">
                  <w:txbxContent>
                    <w:p w14:paraId="591457BE" w14:textId="05D3FE88" w:rsidR="00191EF9" w:rsidRPr="004C50AE" w:rsidRDefault="00191EF9" w:rsidP="001C7EE6">
                      <w:pPr>
                        <w:pStyle w:val="Circletext"/>
                      </w:pPr>
                      <w:r w:rsidRPr="007049A3">
                        <w:t>Example</w:t>
                      </w:r>
                      <w:r w:rsidRPr="004C50AE">
                        <w:t xml:space="preserve"> 2</w:t>
                      </w:r>
                    </w:p>
                    <w:p w14:paraId="45D272B0" w14:textId="77777777" w:rsidR="00191EF9" w:rsidRPr="00A84283" w:rsidRDefault="00191EF9" w:rsidP="00497197">
                      <w:pPr>
                        <w:spacing w:after="120"/>
                        <w:ind w:left="142"/>
                      </w:pPr>
                      <w:r w:rsidRPr="00A84283">
                        <w:t>Investor D, which although incorporated in Country D, is listed and controlled in Country Y, has five passive shareholders each with a 10</w:t>
                      </w:r>
                      <w:r>
                        <w:t> per </w:t>
                      </w:r>
                      <w:r w:rsidRPr="00A84283">
                        <w:t>cent interest (Shareholder E, F, G, H and I, who come from Countries E, F, G, H and I) and the remaining 50</w:t>
                      </w:r>
                      <w:r>
                        <w:t> per </w:t>
                      </w:r>
                      <w:r w:rsidRPr="00A84283">
                        <w:t>cent is widely held. Shareholder E has two shareholders from Countries J and K holding 25</w:t>
                      </w:r>
                      <w:r>
                        <w:t> per </w:t>
                      </w:r>
                      <w:r w:rsidRPr="00A84283">
                        <w:t>cent each and the remainder is widely held.</w:t>
                      </w:r>
                    </w:p>
                    <w:p w14:paraId="3B2B19C2" w14:textId="392D9B9E" w:rsidR="00191EF9" w:rsidRDefault="00191EF9" w:rsidP="00497197">
                      <w:pPr>
                        <w:spacing w:after="120"/>
                        <w:ind w:left="142"/>
                      </w:pPr>
                      <w:r w:rsidRPr="00A84283">
                        <w:t>From 2017</w:t>
                      </w:r>
                      <w:r>
                        <w:noBreakHyphen/>
                      </w:r>
                      <w:r w:rsidRPr="00A84283">
                        <w:t>18, the source country for Investor D’s proposed investment based on country</w:t>
                      </w:r>
                      <w:r>
                        <w:t xml:space="preserve"> of ownership is recorded as 50 per cent for Country Y, 10 per </w:t>
                      </w:r>
                      <w:r w:rsidRPr="00A84283">
                        <w:t>cent each for Countries F, G, H and</w:t>
                      </w:r>
                      <w:r>
                        <w:t> </w:t>
                      </w:r>
                      <w:r w:rsidRPr="00A84283">
                        <w:t>I, 5</w:t>
                      </w:r>
                      <w:r>
                        <w:t> per cent for Country E and 2.5 per </w:t>
                      </w:r>
                      <w:r w:rsidRPr="00A84283">
                        <w:t>cent for Countries J and K. For Investor D and Shareholder E, it is assumed that the widely held portions relate to owners in their country of listing or incorporation. If it was common for the widely held ownership portion of entities listed in Country Y to come from Countries Y and X in roughly equal proportions, the 50</w:t>
                      </w:r>
                      <w:r>
                        <w:t> </w:t>
                      </w:r>
                      <w:r w:rsidRPr="00A84283">
                        <w:t>per</w:t>
                      </w:r>
                      <w:r>
                        <w:t> </w:t>
                      </w:r>
                      <w:r w:rsidRPr="00A84283">
                        <w:t>cent allocated to Country Y could have been split between Countries Y and X on this basis.</w:t>
                      </w:r>
                    </w:p>
                    <w:p w14:paraId="25B7C7EE" w14:textId="29EEE1B5" w:rsidR="00191EF9" w:rsidRPr="007C69CD" w:rsidRDefault="00191EF9" w:rsidP="00497197">
                      <w:pPr>
                        <w:ind w:left="142"/>
                        <w:rPr>
                          <w:color w:val="000000" w:themeColor="text1"/>
                        </w:rPr>
                      </w:pPr>
                      <w:r w:rsidRPr="00A84283">
                        <w:t>Prior to 2017</w:t>
                      </w:r>
                      <w:r>
                        <w:noBreakHyphen/>
                      </w:r>
                      <w:r w:rsidRPr="00A84283">
                        <w:t>18, the source country for Investor D’s proposed investment based on country of control was recorded as 100</w:t>
                      </w:r>
                      <w:r>
                        <w:t> per </w:t>
                      </w:r>
                      <w:r w:rsidRPr="00A84283">
                        <w:t>cent for Country Y.</w:t>
                      </w:r>
                    </w:p>
                  </w:txbxContent>
                </v:textbox>
                <w10:wrap type="topAndBottom"/>
                <w10:anchorlock/>
              </v:shape>
            </w:pict>
          </mc:Fallback>
        </mc:AlternateContent>
      </w:r>
    </w:p>
    <w:p w14:paraId="349839EF" w14:textId="47E81E79" w:rsidR="00A84283" w:rsidRPr="00A84283" w:rsidRDefault="00A84283" w:rsidP="002E2EFE">
      <w:pPr>
        <w:pStyle w:val="Bullet"/>
      </w:pPr>
      <w:r w:rsidRPr="00A84283">
        <w:t>The data does not necessarily reflect a change from domestic to foreign ownership as in some cases both the seller and the purchaser are foreign persons.</w:t>
      </w:r>
    </w:p>
    <w:p w14:paraId="4EF34C2E" w14:textId="71A08AA3" w:rsidR="00A84283" w:rsidRPr="00A84283" w:rsidRDefault="00A84283" w:rsidP="002E2EFE">
      <w:pPr>
        <w:pStyle w:val="Bullet"/>
      </w:pPr>
      <w:r w:rsidRPr="00A84283">
        <w:t>Proposed investment values allocated against source countries assume that investment funds will be sourced from overseas. The extent to which approved proposed investment will actually be funded from outside of Australia and result in foreign capital inflows depends not only upon whether they are implemented, but also upon the proportion that is financed from foreign sources. The proposed funds to be invested may be contributed by Australians, for example, where they are in partnership with foreign interests, or where the investment is financed from existing Australian operations.</w:t>
      </w:r>
    </w:p>
    <w:p w14:paraId="66BE700D" w14:textId="52DDF5FD" w:rsidR="00A84283" w:rsidRPr="00A84283" w:rsidRDefault="00A84283" w:rsidP="002E2EFE">
      <w:pPr>
        <w:pStyle w:val="Bullet"/>
      </w:pPr>
      <w:r w:rsidRPr="00A84283">
        <w:t>The value ascribed to a proposed investment which has received approval is the amount agreed to in any contract entered into or a reasonable estimate advised by the applicant based on the available information. It represents an estimate of the expected proposed investment in the 12 months from the approval unless the approval is granted for a longer period (and assumes full implementation). In cases where the acquisition has already been completed, it is the amount paid for the interest acquired.</w:t>
      </w:r>
    </w:p>
    <w:p w14:paraId="32DD9FC7" w14:textId="790E8710" w:rsidR="00A84283" w:rsidRPr="00A84283" w:rsidRDefault="00A84283" w:rsidP="002E2EFE">
      <w:pPr>
        <w:pStyle w:val="Dash"/>
      </w:pPr>
      <w:r w:rsidRPr="00A84283">
        <w:t>Where an approved acquisition is a part of an offshore acquisition, the proposed investment figure is calculated based on the share attributable to the approved acquisition in Australia.</w:t>
      </w:r>
    </w:p>
    <w:p w14:paraId="7B477533" w14:textId="5474CB59" w:rsidR="00A84283" w:rsidRPr="00A84283" w:rsidRDefault="00A84283" w:rsidP="002E2EFE">
      <w:pPr>
        <w:pStyle w:val="Dash"/>
      </w:pPr>
      <w:r w:rsidRPr="00A84283">
        <w:t>Where amounts are in a foreign currency, this is converted to Australian dollars based on the exchange rate at the time of the contract or when the application was made.</w:t>
      </w:r>
    </w:p>
    <w:p w14:paraId="7F68128B" w14:textId="71086219" w:rsidR="00A84283" w:rsidRPr="00A84283" w:rsidRDefault="00A84283" w:rsidP="002E2EFE">
      <w:pPr>
        <w:pStyle w:val="Dash"/>
      </w:pPr>
      <w:r w:rsidRPr="00A84283">
        <w:lastRenderedPageBreak/>
        <w:t>There are some approvals for which proposed investment is treated as nil. Examples include internal corporate reorganisation and financing arrangement approvals.</w:t>
      </w:r>
    </w:p>
    <w:p w14:paraId="569C69C9" w14:textId="3A6A40C8" w:rsidR="00A84283" w:rsidRPr="00A84283" w:rsidRDefault="00A84283" w:rsidP="002E2EFE">
      <w:pPr>
        <w:pStyle w:val="Bullet"/>
      </w:pPr>
      <w:r w:rsidRPr="00A84283">
        <w:t>Proposed investment recorded for exemption certificates is the maximum investment that may be made by foreign persons covered by the certificate over the duration of the certificate. Actual foreign investment under new dwelling exemption certificates is likely to take place over multiple years during the sale phase of the covered de</w:t>
      </w:r>
      <w:r w:rsidR="001062CC">
        <w:t>velopment. Also, as of December </w:t>
      </w:r>
      <w:r w:rsidRPr="00A84283">
        <w:t>2015, exemption certificates for foreign persons (formerly known as annual programs) are no longer limited to a maximum 12 month period and so investments under these certificates may take place over a longer period.</w:t>
      </w:r>
    </w:p>
    <w:p w14:paraId="499337A2" w14:textId="754501AD" w:rsidR="00A84283" w:rsidRPr="00A84283" w:rsidRDefault="00A84283" w:rsidP="002E2EFE">
      <w:pPr>
        <w:pStyle w:val="Dash"/>
      </w:pPr>
      <w:r w:rsidRPr="00A84283">
        <w:t>For new dwelling exemption certificates which allow developers to receive pre</w:t>
      </w:r>
      <w:r w:rsidR="00F259E0">
        <w:noBreakHyphen/>
      </w:r>
      <w:r w:rsidRPr="00A84283">
        <w:t>approval on behalf of foreign persons to enable foreign persons to purchase up to 50</w:t>
      </w:r>
      <w:r w:rsidR="001062CC">
        <w:t> per </w:t>
      </w:r>
      <w:r w:rsidRPr="00A84283">
        <w:t>cent of new dwellings within a development up to a cumulative val</w:t>
      </w:r>
      <w:r w:rsidR="001062CC">
        <w:t>ue of $3 </w:t>
      </w:r>
      <w:r w:rsidRPr="00A84283">
        <w:t>million</w:t>
      </w:r>
      <w:r w:rsidR="001062CC">
        <w:t> per </w:t>
      </w:r>
      <w:r w:rsidRPr="00A84283">
        <w:t>investor in a single development, the approved investment figure may overstate the extent of actual foreign purchases.</w:t>
      </w:r>
    </w:p>
    <w:p w14:paraId="2FCA261B" w14:textId="50096934" w:rsidR="00A84283" w:rsidRPr="00A84283" w:rsidRDefault="00A84283" w:rsidP="002E2EFE">
      <w:pPr>
        <w:pStyle w:val="Dash"/>
      </w:pPr>
      <w:r w:rsidRPr="00A84283">
        <w:t>Near</w:t>
      </w:r>
      <w:r w:rsidR="001062CC">
        <w:noBreakHyphen/>
      </w:r>
      <w:r w:rsidRPr="00A84283">
        <w:t>new dwelling exemption certificates will generally be given a nil value as the maximum value of proposed investment for the development will have been attributed to any associated new dwelling exemption certificate in the year that the certificate was granted.</w:t>
      </w:r>
    </w:p>
    <w:p w14:paraId="7924B4FE" w14:textId="62C9418C" w:rsidR="00A84283" w:rsidRPr="00A84283" w:rsidRDefault="00A84283" w:rsidP="002E2EFE">
      <w:pPr>
        <w:pStyle w:val="Bullet"/>
      </w:pPr>
      <w:r w:rsidRPr="00A84283">
        <w:t>The statistics may include some transactions that do not actually proceed. They include:</w:t>
      </w:r>
    </w:p>
    <w:p w14:paraId="104076A7" w14:textId="5AD6F040" w:rsidR="00A84283" w:rsidRPr="00A84283" w:rsidRDefault="00A84283" w:rsidP="002E2EFE">
      <w:pPr>
        <w:pStyle w:val="Dash"/>
      </w:pPr>
      <w:r w:rsidRPr="00A84283">
        <w:t>approvals in a given year but which are not actually implemented in that year or at all;</w:t>
      </w:r>
    </w:p>
    <w:p w14:paraId="14149A3F" w14:textId="5033D702" w:rsidR="00A84283" w:rsidRPr="00A84283" w:rsidRDefault="00A84283" w:rsidP="002E2EFE">
      <w:pPr>
        <w:pStyle w:val="Dash"/>
      </w:pPr>
      <w:r w:rsidRPr="00A84283">
        <w:t>approvals for multiple competing potential acquirers of the same target (including for potential consortium participants that are yet to determine their final maximum percentage interest);</w:t>
      </w:r>
    </w:p>
    <w:p w14:paraId="756E117D" w14:textId="3139078F" w:rsidR="00A84283" w:rsidRPr="00A84283" w:rsidRDefault="00A84283" w:rsidP="002E2EFE">
      <w:pPr>
        <w:pStyle w:val="Dash"/>
      </w:pPr>
      <w:r w:rsidRPr="00A84283">
        <w:t>approvals for shares, units or other interests, where only a portion of those intended may be acquired; and</w:t>
      </w:r>
    </w:p>
    <w:p w14:paraId="1AA1E7DE" w14:textId="5EDB42EA" w:rsidR="00A84283" w:rsidRPr="00A84283" w:rsidRDefault="00A84283" w:rsidP="002E2EFE">
      <w:pPr>
        <w:pStyle w:val="Dash"/>
      </w:pPr>
      <w:r w:rsidRPr="00A84283">
        <w:t>proposed investment programs covered by an exemption certificate, where the program is not fully implemented.</w:t>
      </w:r>
    </w:p>
    <w:p w14:paraId="5048E213" w14:textId="49F52D1A" w:rsidR="00A84283" w:rsidRPr="00A84283" w:rsidRDefault="00A84283" w:rsidP="002E2EFE">
      <w:pPr>
        <w:pStyle w:val="Bullet"/>
      </w:pPr>
      <w:r w:rsidRPr="00A84283">
        <w:t xml:space="preserve">Proposed acquisitions of diversified company groups are classified into a single industry sector according to the major activity of the group, such as in a diversified mining company with interests in various minerals. </w:t>
      </w:r>
    </w:p>
    <w:p w14:paraId="1715D61C" w14:textId="39867332" w:rsidR="00A84283" w:rsidRPr="00A84283" w:rsidRDefault="00A84283" w:rsidP="002E2EFE">
      <w:pPr>
        <w:pStyle w:val="Bullet"/>
      </w:pPr>
      <w:r w:rsidRPr="00A84283">
        <w:t>Proposed acquisitions of land, including land entities and mining, production or exploration entities, are classified as follows:</w:t>
      </w:r>
    </w:p>
    <w:p w14:paraId="3BC3B688" w14:textId="21759C51" w:rsidR="00A84283" w:rsidRPr="00A84283" w:rsidRDefault="00A84283" w:rsidP="002E2EFE">
      <w:pPr>
        <w:pStyle w:val="Dash"/>
      </w:pPr>
      <w:r w:rsidRPr="00A84283">
        <w:t>commercial land and residential land are reported in the real estate sector;</w:t>
      </w:r>
    </w:p>
    <w:p w14:paraId="5E3E4863" w14:textId="0A6EA1D9" w:rsidR="00A84283" w:rsidRPr="00A84283" w:rsidRDefault="00A84283" w:rsidP="002E2EFE">
      <w:pPr>
        <w:pStyle w:val="Dash"/>
      </w:pPr>
      <w:r w:rsidRPr="00A84283">
        <w:lastRenderedPageBreak/>
        <w:t>agricultural land is included in the agriculture, forestry and fishing sector and within this industry, is allocated based on actual use, or if not currently being used for a primary production business, based on its likely use as agricultural land; and</w:t>
      </w:r>
    </w:p>
    <w:p w14:paraId="166BD4A9" w14:textId="5DC33D68" w:rsidR="00A84283" w:rsidRPr="00A84283" w:rsidRDefault="00A84283" w:rsidP="002E2EFE">
      <w:pPr>
        <w:pStyle w:val="Dash"/>
      </w:pPr>
      <w:r w:rsidRPr="00A84283">
        <w:t>tenements are included in the mineral exploration and development sector and within this industry are allocated based on the mineral, oil or gas that can be recovered. If a tenement allows for different types of minerals to be recovered then this is allocated based on the primary target mineral or mineral thought to be dominant.</w:t>
      </w:r>
    </w:p>
    <w:p w14:paraId="41CA10F1" w14:textId="77777777" w:rsidR="00A84283" w:rsidRPr="00A84283" w:rsidRDefault="00A84283" w:rsidP="00991222">
      <w:pPr>
        <w:pStyle w:val="Heading3"/>
      </w:pPr>
      <w:r w:rsidRPr="00A84283">
        <w:t>Policy scope and changes</w:t>
      </w:r>
    </w:p>
    <w:p w14:paraId="7FF8B434" w14:textId="77777777" w:rsidR="00A84283" w:rsidRPr="00A84283" w:rsidRDefault="00A84283" w:rsidP="002E2EFE">
      <w:r w:rsidRPr="00A84283">
        <w:t>The breadth of the data on proposed investment in this annual report reflects the requirements under the foreign investment framework during the applicable reporting period. The requirements have changed over time, and in some instances, during a reporting period.</w:t>
      </w:r>
    </w:p>
    <w:p w14:paraId="03263A1D" w14:textId="23D74EF6" w:rsidR="00A84283" w:rsidRPr="00A84283" w:rsidRDefault="00A84283" w:rsidP="002E2EFE">
      <w:r w:rsidRPr="00A84283">
        <w:t>The data does not cover foreign investments considered or made below the various screening thresholds that apply unde</w:t>
      </w:r>
      <w:r w:rsidR="00BF6BA8">
        <w:t>r the Act. For example, in 2018</w:t>
      </w:r>
      <w:r w:rsidR="001062CC">
        <w:noBreakHyphen/>
      </w:r>
      <w:r w:rsidRPr="00A84283">
        <w:t>19 a $266</w:t>
      </w:r>
      <w:r w:rsidR="001062CC">
        <w:t> </w:t>
      </w:r>
      <w:r w:rsidRPr="00A84283">
        <w:t>million takeover of an Australian business only required foreign investment approval in limited situations, such as if the acquirer was a foreign government investor, or the Australian business was an agribusiness or in the media sector. If the foreign investor was an agreement country investor they could take over</w:t>
      </w:r>
      <w:r w:rsidR="00BF6BA8">
        <w:t xml:space="preserve"> an Australia business in a non</w:t>
      </w:r>
      <w:r w:rsidR="00BF6BA8">
        <w:noBreakHyphen/>
      </w:r>
      <w:r w:rsidRPr="00A84283">
        <w:t>sensitive sector for $1.154</w:t>
      </w:r>
      <w:r w:rsidR="001062CC">
        <w:t> </w:t>
      </w:r>
      <w:r w:rsidRPr="00A84283">
        <w:t>billion, or acquire any commercial property under this amount without requiring foreign investment approval.</w:t>
      </w:r>
    </w:p>
    <w:p w14:paraId="6C900A87" w14:textId="57C00853" w:rsidR="00A84283" w:rsidRPr="00A84283" w:rsidRDefault="00F259E0" w:rsidP="002E2EFE">
      <w:r>
        <w:t xml:space="preserve">In addition, </w:t>
      </w:r>
      <w:r w:rsidR="00A84283" w:rsidRPr="00A84283">
        <w:t xml:space="preserve">the data </w:t>
      </w:r>
      <w:r>
        <w:t xml:space="preserve">does not </w:t>
      </w:r>
      <w:r w:rsidR="00A84283" w:rsidRPr="00A84283">
        <w:t>cover follow</w:t>
      </w:r>
      <w:r>
        <w:noBreakHyphen/>
      </w:r>
      <w:r w:rsidR="00A84283" w:rsidRPr="00A84283">
        <w:t>on investments to expand the capital stock of existing foreign owned businesses (both in existing areas and into related areas) such as pro</w:t>
      </w:r>
      <w:r>
        <w:noBreakHyphen/>
      </w:r>
      <w:r w:rsidR="00A84283" w:rsidRPr="00A84283">
        <w:t xml:space="preserve">rata capital injections. For example, additional investment by a foreign owned miner expanding </w:t>
      </w:r>
      <w:r>
        <w:t>its</w:t>
      </w:r>
      <w:r w:rsidRPr="00A84283">
        <w:t xml:space="preserve"> </w:t>
      </w:r>
      <w:r w:rsidR="00A84283" w:rsidRPr="00A84283">
        <w:t xml:space="preserve">mining operations by reinvesting </w:t>
      </w:r>
      <w:r>
        <w:t>its</w:t>
      </w:r>
      <w:r w:rsidRPr="00A84283">
        <w:t xml:space="preserve"> </w:t>
      </w:r>
      <w:r w:rsidR="00A84283" w:rsidRPr="00A84283">
        <w:t xml:space="preserve">Australian profits in </w:t>
      </w:r>
      <w:r>
        <w:t>its</w:t>
      </w:r>
      <w:r w:rsidRPr="00A84283">
        <w:t xml:space="preserve"> </w:t>
      </w:r>
      <w:r w:rsidR="00A84283" w:rsidRPr="00A84283">
        <w:t>operations is not reflected in the data.</w:t>
      </w:r>
    </w:p>
    <w:p w14:paraId="6CF0CC63" w14:textId="341C54E3" w:rsidR="00A84283" w:rsidRPr="00A84283" w:rsidRDefault="00A84283" w:rsidP="002E2EFE">
      <w:r w:rsidRPr="00A84283">
        <w:t>Furthermore, policy and legislative change can have a considerable impact on the continuity of data. For in</w:t>
      </w:r>
      <w:r w:rsidR="00954DD1">
        <w:t>stance, changes in Australia’s f</w:t>
      </w:r>
      <w:r w:rsidRPr="00A84283">
        <w:t xml:space="preserve">oreign </w:t>
      </w:r>
      <w:r w:rsidR="00954DD1">
        <w:t>i</w:t>
      </w:r>
      <w:r w:rsidRPr="00A84283">
        <w:t xml:space="preserve">nvestment </w:t>
      </w:r>
      <w:r w:rsidR="00954DD1">
        <w:t>p</w:t>
      </w:r>
      <w:r w:rsidRPr="00A84283">
        <w:t>olicy since the mid</w:t>
      </w:r>
      <w:r w:rsidR="001062CC">
        <w:noBreakHyphen/>
      </w:r>
      <w:r w:rsidRPr="00A84283">
        <w:t>1980s have affected the number of some types of proposals, limiting comparability over time. These changes include:</w:t>
      </w:r>
    </w:p>
    <w:p w14:paraId="6CDDDFBB" w14:textId="4C7E31F0" w:rsidR="00A84283" w:rsidRPr="00A84283" w:rsidRDefault="00A84283" w:rsidP="002E2EFE">
      <w:pPr>
        <w:pStyle w:val="Bullet"/>
      </w:pPr>
      <w:r w:rsidRPr="00A84283">
        <w:t>changes to the thresholds above which an acquisition requires foreign investment approval, both through trade agreements and general policy changes (for example, the lowering of the general rural land screening threshold from $252</w:t>
      </w:r>
      <w:r w:rsidR="001062CC">
        <w:t> million to $15 million (cumulative) from 1 March </w:t>
      </w:r>
      <w:r w:rsidRPr="00A84283">
        <w:t>2015);</w:t>
      </w:r>
    </w:p>
    <w:p w14:paraId="16DD0D2F" w14:textId="4ABAF63A" w:rsidR="00A84283" w:rsidRPr="00A84283" w:rsidRDefault="00A84283" w:rsidP="002E2EFE">
      <w:pPr>
        <w:pStyle w:val="Bullet"/>
      </w:pPr>
      <w:r w:rsidRPr="00A84283">
        <w:t>the revised definition of foreign government investor introduced in March</w:t>
      </w:r>
      <w:r w:rsidR="001062CC">
        <w:t> </w:t>
      </w:r>
      <w:r w:rsidRPr="00A84283">
        <w:t>2013;</w:t>
      </w:r>
    </w:p>
    <w:p w14:paraId="394F8E7B" w14:textId="3E9F14F8" w:rsidR="00A84283" w:rsidRPr="00A84283" w:rsidRDefault="00A84283" w:rsidP="002E2EFE">
      <w:pPr>
        <w:pStyle w:val="Bullet"/>
      </w:pPr>
      <w:r w:rsidRPr="00A84283">
        <w:t>the introduction of changes in 2009 and 2010 to the screening arrangements for temporary residents purchasing residential real estate, as well as changes in immigration policies that control the number of temporary resident visa holders;</w:t>
      </w:r>
    </w:p>
    <w:p w14:paraId="3C19C652" w14:textId="74C7B990" w:rsidR="00A84283" w:rsidRPr="00A84283" w:rsidRDefault="001062CC" w:rsidP="002E2EFE">
      <w:pPr>
        <w:pStyle w:val="Bullet"/>
      </w:pPr>
      <w:r>
        <w:t>the significant 1 December </w:t>
      </w:r>
      <w:r w:rsidR="00A84283" w:rsidRPr="00A84283">
        <w:t>2015 reforms which included:</w:t>
      </w:r>
    </w:p>
    <w:p w14:paraId="43DA1620" w14:textId="2B9D808E" w:rsidR="00A84283" w:rsidRPr="00A84283" w:rsidRDefault="00A84283" w:rsidP="002E2EFE">
      <w:pPr>
        <w:pStyle w:val="Dash"/>
      </w:pPr>
      <w:r w:rsidRPr="00A84283">
        <w:lastRenderedPageBreak/>
        <w:t>the introduction of fees for foreign investment applications;</w:t>
      </w:r>
    </w:p>
    <w:p w14:paraId="208F9767" w14:textId="677F7466" w:rsidR="00A84283" w:rsidRPr="00A84283" w:rsidRDefault="00A84283" w:rsidP="002E2EFE">
      <w:pPr>
        <w:pStyle w:val="Dash"/>
      </w:pPr>
      <w:r w:rsidRPr="00A84283">
        <w:t>the introduction of a $55</w:t>
      </w:r>
      <w:r w:rsidR="001062CC">
        <w:t> </w:t>
      </w:r>
      <w:r w:rsidRPr="00A84283">
        <w:t>million threshold for direct investments in agribusiness;</w:t>
      </w:r>
    </w:p>
    <w:p w14:paraId="3FB012B9" w14:textId="57C64E21" w:rsidR="00A84283" w:rsidRPr="00A84283" w:rsidRDefault="00A84283" w:rsidP="002E2EFE">
      <w:pPr>
        <w:pStyle w:val="Dash"/>
      </w:pPr>
      <w:r w:rsidRPr="00A84283">
        <w:t>the shift of many requirements from policy into legislation;</w:t>
      </w:r>
    </w:p>
    <w:p w14:paraId="60CB27E9" w14:textId="55981E0D" w:rsidR="00A84283" w:rsidRPr="00A84283" w:rsidRDefault="00A84283" w:rsidP="002E2EFE">
      <w:pPr>
        <w:pStyle w:val="Dash"/>
      </w:pPr>
      <w:r w:rsidRPr="00A84283">
        <w:t>modernisation of the foreign investment legislation including changes to exemptions and the substantial interest threshold, with the latter reducing the number of Australian based entities that were foreign persons due to interests held in them by overseas investors;</w:t>
      </w:r>
    </w:p>
    <w:p w14:paraId="6CC6F447" w14:textId="37A33ADF" w:rsidR="00A84283" w:rsidRPr="00A84283" w:rsidRDefault="00A84283" w:rsidP="002E2EFE">
      <w:pPr>
        <w:pStyle w:val="Dash"/>
      </w:pPr>
      <w:r w:rsidRPr="00A84283">
        <w:t>changes to exemption certificates; and</w:t>
      </w:r>
    </w:p>
    <w:p w14:paraId="27963172" w14:textId="062E2721" w:rsidR="00A84283" w:rsidRPr="00A84283" w:rsidRDefault="00A84283" w:rsidP="002E2EFE">
      <w:pPr>
        <w:pStyle w:val="Dash"/>
      </w:pPr>
      <w:r w:rsidRPr="00A84283">
        <w:t>the increase in the monetary threshold for commercial developed land that is not sensitive from $55</w:t>
      </w:r>
      <w:r w:rsidR="001062CC">
        <w:t> million to $266 </w:t>
      </w:r>
      <w:r w:rsidRPr="00A84283">
        <w:t>million</w:t>
      </w:r>
      <w:r w:rsidR="00BE7E19">
        <w:t>.</w:t>
      </w:r>
    </w:p>
    <w:p w14:paraId="677695BD" w14:textId="267A0A9C" w:rsidR="00A84283" w:rsidRPr="00A84283" w:rsidRDefault="00A84283" w:rsidP="00FE6C8C">
      <w:pPr>
        <w:pStyle w:val="Heading3"/>
      </w:pPr>
      <w:r w:rsidRPr="00A84283">
        <w:t>Administrative practices</w:t>
      </w:r>
    </w:p>
    <w:p w14:paraId="4B5B6254" w14:textId="42D0AF06" w:rsidR="00A84283" w:rsidRPr="00A84283" w:rsidRDefault="00A84283" w:rsidP="002E2EFE">
      <w:r w:rsidRPr="00A84283">
        <w:t>Changes in administrative practice (for example, data collection and record keeping) and foreign investment application requirements have also impacted on year</w:t>
      </w:r>
      <w:r w:rsidR="001062CC">
        <w:noBreakHyphen/>
      </w:r>
      <w:r w:rsidRPr="00A84283">
        <w:t>to</w:t>
      </w:r>
      <w:r w:rsidR="005100A7">
        <w:noBreakHyphen/>
      </w:r>
      <w:r w:rsidRPr="00A84283">
        <w:t>year data comparability. Examples of this include the following:</w:t>
      </w:r>
    </w:p>
    <w:p w14:paraId="0BD81539" w14:textId="55B04824" w:rsidR="00A84283" w:rsidRPr="00A84283" w:rsidRDefault="00A84283" w:rsidP="002E2EFE">
      <w:pPr>
        <w:pStyle w:val="Bullet"/>
      </w:pPr>
      <w:r w:rsidRPr="00A84283">
        <w:t>The most recent Australian and New Zealand Standard Industrial Classification (ANZSIC, 2006) was adopted for data recording and reporting purposes as part of the 1</w:t>
      </w:r>
      <w:r w:rsidR="005100A7">
        <w:t> July </w:t>
      </w:r>
      <w:r w:rsidRPr="00A84283">
        <w:t>2014 case management system. Year</w:t>
      </w:r>
      <w:r w:rsidR="005100A7">
        <w:noBreakHyphen/>
      </w:r>
      <w:r w:rsidRPr="00A84283">
        <w:t>to</w:t>
      </w:r>
      <w:r w:rsidR="005100A7">
        <w:noBreakHyphen/>
      </w:r>
      <w:r w:rsidRPr="00A84283">
        <w:t>year comparability of pre 2014</w:t>
      </w:r>
      <w:r w:rsidR="005100A7">
        <w:noBreakHyphen/>
      </w:r>
      <w:r w:rsidRPr="00A84283">
        <w:t>15 data may be limited.</w:t>
      </w:r>
    </w:p>
    <w:p w14:paraId="5931E92E" w14:textId="3CDE4E43" w:rsidR="000A0325" w:rsidRPr="005100A7" w:rsidRDefault="00A84283" w:rsidP="007B3F7E">
      <w:pPr>
        <w:pStyle w:val="Bullet"/>
        <w:rPr>
          <w:sz w:val="24"/>
        </w:rPr>
      </w:pPr>
      <w:r w:rsidRPr="00A84283">
        <w:t>The transfer of screening of residential real estate cases to the ATO from 1</w:t>
      </w:r>
      <w:r w:rsidR="005100A7">
        <w:t> </w:t>
      </w:r>
      <w:r w:rsidR="005100A7" w:rsidRPr="005100A7">
        <w:t>December</w:t>
      </w:r>
      <w:r w:rsidR="005100A7">
        <w:t> </w:t>
      </w:r>
      <w:r w:rsidRPr="005100A7">
        <w:t>2015</w:t>
      </w:r>
      <w:r w:rsidRPr="00A84283">
        <w:t xml:space="preserve"> and of non</w:t>
      </w:r>
      <w:r w:rsidR="008075AA">
        <w:noBreakHyphen/>
      </w:r>
      <w:r w:rsidRPr="00A84283">
        <w:t>sensitive commercial real estate and corporate reorganisation cases from 1</w:t>
      </w:r>
      <w:r w:rsidR="00F259E0">
        <w:t> </w:t>
      </w:r>
      <w:r w:rsidRPr="00A84283">
        <w:t>April</w:t>
      </w:r>
      <w:r w:rsidR="00F259E0">
        <w:t> </w:t>
      </w:r>
      <w:r w:rsidRPr="00A84283">
        <w:t>2017. Data for cases screened by the ATO are captured in this annual report using data from the ATO systems.</w:t>
      </w:r>
    </w:p>
    <w:p w14:paraId="49D9E40B" w14:textId="7E7DD4FF" w:rsidR="005100A7" w:rsidRPr="000A0325" w:rsidRDefault="005100A7" w:rsidP="007B3F7E">
      <w:pPr>
        <w:pStyle w:val="Bullet"/>
        <w:rPr>
          <w:sz w:val="24"/>
        </w:rPr>
      </w:pPr>
      <w:r>
        <w:t>Data on the collection of foreign investment fees now includes vacancy fees data along with the foreign investment applications fees</w:t>
      </w:r>
      <w:r w:rsidR="00984D8E">
        <w:t>.</w:t>
      </w:r>
    </w:p>
    <w:p w14:paraId="6104B9AB" w14:textId="77777777" w:rsidR="006F0D93" w:rsidRDefault="006F0D93" w:rsidP="000814CB">
      <w:pPr>
        <w:pStyle w:val="AppendixHeading"/>
        <w:sectPr w:rsidR="006F0D93" w:rsidSect="00FF3274">
          <w:headerReference w:type="default" r:id="rId89"/>
          <w:type w:val="oddPage"/>
          <w:pgSz w:w="11906" w:h="16838" w:code="9"/>
          <w:pgMar w:top="2466" w:right="2098" w:bottom="2466" w:left="2098" w:header="1899" w:footer="1899" w:gutter="0"/>
          <w:cols w:space="708"/>
          <w:titlePg/>
          <w:docGrid w:linePitch="360"/>
        </w:sectPr>
      </w:pPr>
      <w:bookmarkStart w:id="213" w:name="_Toc31636034"/>
      <w:bookmarkStart w:id="214" w:name="_Toc31642803"/>
    </w:p>
    <w:p w14:paraId="6F70A167" w14:textId="3F3DEB24" w:rsidR="00A84283" w:rsidRPr="001C7EE6" w:rsidRDefault="009068CD" w:rsidP="000814CB">
      <w:pPr>
        <w:pStyle w:val="AppendixHeading"/>
        <w:rPr>
          <w:color w:val="FFFFFF" w:themeColor="background1"/>
        </w:rPr>
      </w:pPr>
      <w:bookmarkStart w:id="215" w:name="_Toc32247814"/>
      <w:bookmarkStart w:id="216" w:name="_Toc33625863"/>
      <w:r>
        <w:rPr>
          <w:noProof/>
        </w:rPr>
        <w:lastRenderedPageBreak/>
        <w:drawing>
          <wp:anchor distT="0" distB="0" distL="114300" distR="114300" simplePos="0" relativeHeight="251658251" behindDoc="0" locked="0" layoutInCell="1" allowOverlap="1" wp14:anchorId="0677F739" wp14:editId="1F9566DF">
            <wp:simplePos x="0" y="0"/>
            <wp:positionH relativeFrom="column">
              <wp:posOffset>1270</wp:posOffset>
            </wp:positionH>
            <wp:positionV relativeFrom="paragraph">
              <wp:posOffset>-213360</wp:posOffset>
            </wp:positionV>
            <wp:extent cx="4894580" cy="2160905"/>
            <wp:effectExtent l="0" t="0" r="1270" b="0"/>
            <wp:wrapNone/>
            <wp:docPr id="14" name="Picture 14" descr="Appendix C Heading" title="Appendix C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RB AR Part Pages_2016-17_V27.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94580" cy="2160905"/>
                    </a:xfrm>
                    <a:prstGeom prst="rect">
                      <a:avLst/>
                    </a:prstGeom>
                  </pic:spPr>
                </pic:pic>
              </a:graphicData>
            </a:graphic>
            <wp14:sizeRelH relativeFrom="page">
              <wp14:pctWidth>0</wp14:pctWidth>
            </wp14:sizeRelH>
            <wp14:sizeRelV relativeFrom="page">
              <wp14:pctHeight>0</wp14:pctHeight>
            </wp14:sizeRelV>
          </wp:anchor>
        </w:drawing>
      </w:r>
      <w:r w:rsidR="00A84283" w:rsidRPr="001C7EE6">
        <w:rPr>
          <w:color w:val="FFFFFF" w:themeColor="background1"/>
        </w:rPr>
        <w:t>Appendix C: Examination and Approval Process</w:t>
      </w:r>
      <w:bookmarkEnd w:id="213"/>
      <w:bookmarkEnd w:id="214"/>
      <w:bookmarkEnd w:id="215"/>
      <w:bookmarkEnd w:id="216"/>
    </w:p>
    <w:p w14:paraId="65AA0273" w14:textId="20A0432D" w:rsidR="009068CD" w:rsidRDefault="009068CD" w:rsidP="002E2EFE"/>
    <w:p w14:paraId="13C928D1" w14:textId="77777777" w:rsidR="009068CD" w:rsidRDefault="009068CD" w:rsidP="002E2EFE"/>
    <w:p w14:paraId="0797F378" w14:textId="77777777" w:rsidR="009068CD" w:rsidRDefault="009068CD" w:rsidP="002E2EFE"/>
    <w:p w14:paraId="2C34D5CE" w14:textId="77777777" w:rsidR="009068CD" w:rsidRDefault="009068CD" w:rsidP="002E2EFE"/>
    <w:p w14:paraId="72FB5D7B" w14:textId="2E3DAEF8" w:rsidR="009068CD" w:rsidRDefault="009068CD" w:rsidP="001C7EE6">
      <w:pPr>
        <w:spacing w:after="360"/>
      </w:pPr>
      <w:r>
        <w:t xml:space="preserve"> </w:t>
      </w:r>
    </w:p>
    <w:p w14:paraId="4EECF191" w14:textId="59FA50D2" w:rsidR="00A84283" w:rsidRPr="00A84283" w:rsidRDefault="00A84283" w:rsidP="002E2EFE">
      <w:r w:rsidRPr="00A84283">
        <w:t xml:space="preserve">The </w:t>
      </w:r>
      <w:r w:rsidR="00F259E0">
        <w:t>assessment</w:t>
      </w:r>
      <w:r w:rsidR="00F259E0" w:rsidRPr="00A84283">
        <w:t xml:space="preserve"> </w:t>
      </w:r>
      <w:r w:rsidRPr="00A84283">
        <w:t xml:space="preserve">of foreign investment applications is </w:t>
      </w:r>
      <w:r w:rsidR="00F259E0">
        <w:t xml:space="preserve">a </w:t>
      </w:r>
      <w:r w:rsidRPr="00A84283">
        <w:t>rigorous</w:t>
      </w:r>
      <w:r w:rsidR="00F259E0">
        <w:t xml:space="preserve"> process and</w:t>
      </w:r>
      <w:r w:rsidRPr="00A84283">
        <w:t xml:space="preserve"> seeks to ensure that proposed investments</w:t>
      </w:r>
      <w:r w:rsidR="008075AA">
        <w:t xml:space="preserve"> are not contrary to Australia’</w:t>
      </w:r>
      <w:r w:rsidRPr="00A84283">
        <w:t>s national interest. In fulfilling this objective, proposed investments are examined with a view to identifying any sensitivity regarding the national interest and determining whether these se</w:t>
      </w:r>
      <w:r w:rsidR="00497197">
        <w:t>nsitivities can be mitigated or </w:t>
      </w:r>
      <w:r w:rsidRPr="00A84283">
        <w:t>managed.</w:t>
      </w:r>
    </w:p>
    <w:p w14:paraId="72FC18F8" w14:textId="4F3EC1D1" w:rsidR="00A84283" w:rsidRPr="00A84283" w:rsidRDefault="00984D8E" w:rsidP="00CC40C4">
      <w:pPr>
        <w:pStyle w:val="Heading2"/>
      </w:pPr>
      <w:bookmarkStart w:id="217" w:name="_Toc31636035"/>
      <w:bookmarkStart w:id="218" w:name="_Toc31642804"/>
      <w:bookmarkStart w:id="219" w:name="_Toc32247815"/>
      <w:bookmarkStart w:id="220" w:name="_Toc33625864"/>
      <w:r>
        <w:t>Board</w:t>
      </w:r>
      <w:r w:rsidR="00A84283" w:rsidRPr="00A84283">
        <w:t xml:space="preserve"> involvement</w:t>
      </w:r>
      <w:bookmarkEnd w:id="217"/>
      <w:bookmarkEnd w:id="218"/>
      <w:bookmarkEnd w:id="219"/>
      <w:bookmarkEnd w:id="220"/>
    </w:p>
    <w:p w14:paraId="4C56E55E" w14:textId="42B549E4" w:rsidR="00A84283" w:rsidRPr="00A84283" w:rsidRDefault="00A84283" w:rsidP="002E2EFE">
      <w:r w:rsidRPr="00A84283">
        <w:t xml:space="preserve">The Board provides advice on the application of the foreign investment framework across the range of proposed investments received and on foreign investment policy issues. It provides advice </w:t>
      </w:r>
      <w:r w:rsidR="00F259E0">
        <w:t>to the Treasurer</w:t>
      </w:r>
      <w:r w:rsidR="00984D8E">
        <w:t xml:space="preserve"> </w:t>
      </w:r>
      <w:r w:rsidRPr="00A84283">
        <w:t xml:space="preserve">on the more significant applications received and also reviews the general handling of other applications. The Board performs this role with the benefit of weekly reports on applications received and through regular meetings and discussions with the </w:t>
      </w:r>
      <w:r w:rsidR="00F259E0">
        <w:t xml:space="preserve">Board’s </w:t>
      </w:r>
      <w:r w:rsidRPr="00A84283">
        <w:t>Executive Member and Treasury or ATO officers. Formal Board meetings are generally held monthly, with telephone discussions taking place in the intervening weeks. The Board members draw on their considerable collective and individual professional and commercial experience in discharging their advisory role.</w:t>
      </w:r>
    </w:p>
    <w:p w14:paraId="3CAA29FB" w14:textId="4E9997D8" w:rsidR="00A84283" w:rsidRPr="00A84283" w:rsidRDefault="00A84283" w:rsidP="00CC40C4">
      <w:pPr>
        <w:pStyle w:val="Heading2"/>
      </w:pPr>
      <w:bookmarkStart w:id="221" w:name="_Toc31636036"/>
      <w:bookmarkStart w:id="222" w:name="_Toc31642805"/>
      <w:bookmarkStart w:id="223" w:name="_Toc32247816"/>
      <w:bookmarkStart w:id="224" w:name="_Toc33625865"/>
      <w:r w:rsidRPr="00A84283">
        <w:t>Handling of commercially sensitive and personal information</w:t>
      </w:r>
      <w:bookmarkEnd w:id="221"/>
      <w:bookmarkEnd w:id="222"/>
      <w:bookmarkEnd w:id="223"/>
      <w:bookmarkEnd w:id="224"/>
    </w:p>
    <w:p w14:paraId="67194C10" w14:textId="77777777" w:rsidR="00A84283" w:rsidRPr="00A84283" w:rsidRDefault="00A84283" w:rsidP="002E2EFE">
      <w:r w:rsidRPr="00A84283">
        <w:t>The Board recognises that much of the information required to assess an application will be commercially sensitive or of a private or confidential nature. Consequently, appropriate measures are in place to ensure that confidentiality is protected.</w:t>
      </w:r>
    </w:p>
    <w:p w14:paraId="5087DF66" w14:textId="06426C41" w:rsidR="00A84283" w:rsidRPr="00A84283" w:rsidRDefault="00A84283" w:rsidP="002E2EFE">
      <w:r w:rsidRPr="00A84283">
        <w:t xml:space="preserve">In the event that access to confidential information is sought for purposes other than the assessment of an application, FIRB agencies are subject to legislative provisions that govern if information received under the framework may be used or disclosed. Circumstances in which information can be disclosed include for the administration of specified Commonwealth statutes, to certain law enforcement bodies and in aggregate form, such as the public reporting of FIRB data in this report. Unauthorised disclosure of protected information under the </w:t>
      </w:r>
      <w:r w:rsidRPr="00A84283">
        <w:lastRenderedPageBreak/>
        <w:t>framework is an offence subject to a maximum of two years imprisonment, a $25,000 fine, or</w:t>
      </w:r>
      <w:r w:rsidR="00497197">
        <w:t> </w:t>
      </w:r>
      <w:r w:rsidRPr="00A84283">
        <w:t>both.</w:t>
      </w:r>
    </w:p>
    <w:p w14:paraId="079220E1" w14:textId="6B04A6D5" w:rsidR="00A84283" w:rsidRPr="00A84283" w:rsidRDefault="00A84283" w:rsidP="00CC40C4">
      <w:pPr>
        <w:pStyle w:val="Heading2"/>
      </w:pPr>
      <w:bookmarkStart w:id="225" w:name="_Toc31636037"/>
      <w:bookmarkStart w:id="226" w:name="_Toc31642806"/>
      <w:bookmarkStart w:id="227" w:name="_Toc32247817"/>
      <w:bookmarkStart w:id="228" w:name="_Toc33625866"/>
      <w:r w:rsidRPr="00A84283">
        <w:t>Application screening process</w:t>
      </w:r>
      <w:bookmarkEnd w:id="225"/>
      <w:bookmarkEnd w:id="226"/>
      <w:bookmarkEnd w:id="227"/>
      <w:bookmarkEnd w:id="228"/>
    </w:p>
    <w:p w14:paraId="0FFBA801" w14:textId="77777777" w:rsidR="00A84283" w:rsidRPr="00A84283" w:rsidRDefault="00A84283" w:rsidP="00CC40C4">
      <w:pPr>
        <w:pStyle w:val="Heading3"/>
      </w:pPr>
      <w:r w:rsidRPr="00A84283">
        <w:t>Initial examination</w:t>
      </w:r>
    </w:p>
    <w:p w14:paraId="4468E37D" w14:textId="051590F1" w:rsidR="00A84283" w:rsidRPr="00A84283" w:rsidRDefault="00A84283" w:rsidP="002E2EFE">
      <w:r w:rsidRPr="00A84283">
        <w:t xml:space="preserve">The initial examination seeks to determine whether an application meets the notification requirements </w:t>
      </w:r>
      <w:r w:rsidR="00F259E0">
        <w:t xml:space="preserve">specified in </w:t>
      </w:r>
      <w:r w:rsidRPr="00A84283">
        <w:t>the Act, whether the application contains sufficient detail and that the correct application fee has been paid. Timing is also considered, including deadlines that are commercially important to the applicant. The Board has direct and early involvement in significant or sensitive applications.</w:t>
      </w:r>
    </w:p>
    <w:p w14:paraId="06EC03F0" w14:textId="77777777" w:rsidR="00A84283" w:rsidRPr="00A84283" w:rsidRDefault="00A84283" w:rsidP="00CC40C4">
      <w:pPr>
        <w:pStyle w:val="Heading3"/>
      </w:pPr>
      <w:r w:rsidRPr="00A84283">
        <w:t>Consultation arrangements</w:t>
      </w:r>
    </w:p>
    <w:p w14:paraId="275FB347" w14:textId="7123A111" w:rsidR="00A84283" w:rsidRPr="00A84283" w:rsidRDefault="00A84283" w:rsidP="002E2EFE">
      <w:r w:rsidRPr="00A84283">
        <w:t xml:space="preserve">For significant applications, consultations are undertaken with Australian Government departments, state and territory government departments, national security agencies and authorities with responsibilities relevant to the proposed investment. Advice and comments provided by </w:t>
      </w:r>
      <w:r w:rsidR="007A27F2">
        <w:t>these</w:t>
      </w:r>
      <w:r w:rsidR="007A27F2" w:rsidRPr="00A84283">
        <w:t xml:space="preserve"> </w:t>
      </w:r>
      <w:r w:rsidRPr="00A84283">
        <w:t>agencies are important in assessing the implications of proposed investments and in particular, in determining whether they raise any national interest issues. The Board may also receive unsolicited submissions from third parties.</w:t>
      </w:r>
    </w:p>
    <w:p w14:paraId="1D6D8143" w14:textId="77777777" w:rsidR="00A84283" w:rsidRPr="00A84283" w:rsidRDefault="00A84283" w:rsidP="00CC40C4">
      <w:pPr>
        <w:pStyle w:val="Heading3"/>
      </w:pPr>
      <w:r w:rsidRPr="00A84283">
        <w:t>National interest factors</w:t>
      </w:r>
    </w:p>
    <w:p w14:paraId="0D04B259" w14:textId="43B086D3" w:rsidR="00A84283" w:rsidRPr="00A84283" w:rsidRDefault="00A84283" w:rsidP="002E2EFE">
      <w:r w:rsidRPr="00A84283">
        <w:t>The Act empowers the Treasurer to prohibit an investment if satisfied it would be contrary to the national interest. However, the general presumption is that foreign investment is beneficial, given the important role it plays in Australia’s economy.</w:t>
      </w:r>
    </w:p>
    <w:p w14:paraId="083AACFE" w14:textId="77777777" w:rsidR="00A84283" w:rsidRPr="00A84283" w:rsidRDefault="00A84283" w:rsidP="002E2EFE">
      <w:r w:rsidRPr="00A84283">
        <w:t>The national interest, and what would be contrary to it, is not defined in the Act. Instead, the Treasurer can decide in each case whether the investment would be contrary to the national interest. Across all applications the Government typically considers the following factors:</w:t>
      </w:r>
    </w:p>
    <w:p w14:paraId="4E0B49A4" w14:textId="0766355C" w:rsidR="00A84283" w:rsidRPr="00A84283" w:rsidRDefault="00A84283" w:rsidP="002E2EFE">
      <w:pPr>
        <w:pStyle w:val="Bullet"/>
      </w:pPr>
      <w:r w:rsidRPr="00A84283">
        <w:t>national security;</w:t>
      </w:r>
    </w:p>
    <w:p w14:paraId="2214E95A" w14:textId="32E1C97F" w:rsidR="00A84283" w:rsidRPr="00A84283" w:rsidRDefault="00A84283" w:rsidP="002E2EFE">
      <w:pPr>
        <w:pStyle w:val="Bullet"/>
      </w:pPr>
      <w:r w:rsidRPr="00A84283">
        <w:t>competition;</w:t>
      </w:r>
    </w:p>
    <w:p w14:paraId="1748F432" w14:textId="4360776F" w:rsidR="00A84283" w:rsidRPr="00A84283" w:rsidRDefault="00A84283" w:rsidP="002E2EFE">
      <w:pPr>
        <w:pStyle w:val="Bullet"/>
      </w:pPr>
      <w:r w:rsidRPr="00A84283">
        <w:t xml:space="preserve">other </w:t>
      </w:r>
      <w:r w:rsidR="00984D8E">
        <w:t>g</w:t>
      </w:r>
      <w:r w:rsidRPr="00A84283">
        <w:t>overnment policies (including taxation);</w:t>
      </w:r>
    </w:p>
    <w:p w14:paraId="64CCD51D" w14:textId="365AE8A6" w:rsidR="00A84283" w:rsidRPr="00A84283" w:rsidRDefault="00A84283" w:rsidP="002E2EFE">
      <w:pPr>
        <w:pStyle w:val="Bullet"/>
      </w:pPr>
      <w:r w:rsidRPr="00A84283">
        <w:t>impact on the economy and the community; and</w:t>
      </w:r>
    </w:p>
    <w:p w14:paraId="2118A728" w14:textId="2FCCC80D" w:rsidR="00A84283" w:rsidRPr="00A84283" w:rsidRDefault="00A84283" w:rsidP="002E2EFE">
      <w:pPr>
        <w:pStyle w:val="Bullet"/>
      </w:pPr>
      <w:r w:rsidRPr="00A84283">
        <w:t>the character of the investor.</w:t>
      </w:r>
    </w:p>
    <w:p w14:paraId="49D17968" w14:textId="36EC5B82" w:rsidR="00A84283" w:rsidRPr="00A84283" w:rsidRDefault="00A84283" w:rsidP="002E2EFE">
      <w:r w:rsidRPr="00A84283">
        <w:t xml:space="preserve">Recognising their significance, additional factors are considered as part of the national interest test for proposed investments in the agricultural sector and for residential land as well as for applications made by foreign government investors. General guidance on the national interest factors is published in Australia’s </w:t>
      </w:r>
      <w:r w:rsidR="00954DD1">
        <w:t>f</w:t>
      </w:r>
      <w:r w:rsidRPr="00A84283">
        <w:t xml:space="preserve">oreign </w:t>
      </w:r>
      <w:r w:rsidR="00954DD1">
        <w:t>i</w:t>
      </w:r>
      <w:r w:rsidRPr="00A84283">
        <w:t xml:space="preserve">nvestment </w:t>
      </w:r>
      <w:r w:rsidR="00954DD1">
        <w:t>p</w:t>
      </w:r>
      <w:r w:rsidRPr="00A84283">
        <w:t>olicy.</w:t>
      </w:r>
    </w:p>
    <w:p w14:paraId="042B5663" w14:textId="7F5A0BAD" w:rsidR="00A84283" w:rsidRPr="00A84283" w:rsidRDefault="007A27F2" w:rsidP="00F408BD">
      <w:pPr>
        <w:pStyle w:val="Heading3"/>
      </w:pPr>
      <w:r>
        <w:lastRenderedPageBreak/>
        <w:t>S</w:t>
      </w:r>
      <w:r w:rsidR="00A84283" w:rsidRPr="00A84283">
        <w:t>tatutory timeframe</w:t>
      </w:r>
    </w:p>
    <w:p w14:paraId="0D9DD202" w14:textId="0ACFF2E5" w:rsidR="00A84283" w:rsidRPr="00A84283" w:rsidRDefault="00A84283" w:rsidP="002E2EFE">
      <w:r w:rsidRPr="00A84283">
        <w:t>The Act requires a decision to be made on applications within 30 calendar days of the correct fee being paid, unless the application is a variation application. The Act provides a further 10 calendar days for the applicant to be notified of the decision. If a decision is not made within this time or the applicant has not been advised, the application is deemed to be ‘approved’ since ‘no objection’ to the proposal has been made or an exemption certificate is deemed granted.</w:t>
      </w:r>
    </w:p>
    <w:p w14:paraId="7A8E597C" w14:textId="77777777" w:rsidR="00A84283" w:rsidRPr="00A84283" w:rsidRDefault="00A84283" w:rsidP="002E2EFE">
      <w:r w:rsidRPr="00A84283">
        <w:t xml:space="preserve">If such applications cannot be decided within 30 days, because they are complex or further information is needed to properly assess them, the applicant can voluntarily extend in writing the decision period where it is clear that more time will be required. In practice, this is the common way of extending the statutory timeframes. Alternatively, the Treasurer can issue an Interim Order extending the timeframe up to a further 90 days.  </w:t>
      </w:r>
    </w:p>
    <w:p w14:paraId="420BE42E" w14:textId="0D3E3CF5" w:rsidR="00A84283" w:rsidRPr="00A84283" w:rsidRDefault="00984D8E" w:rsidP="00F408BD">
      <w:pPr>
        <w:pStyle w:val="Heading3"/>
      </w:pPr>
      <w:r>
        <w:t>Approvals and c</w:t>
      </w:r>
      <w:r w:rsidR="00A84283" w:rsidRPr="00A84283">
        <w:t>onditions</w:t>
      </w:r>
    </w:p>
    <w:p w14:paraId="5D3D958C" w14:textId="77777777" w:rsidR="00A84283" w:rsidRPr="00A84283" w:rsidRDefault="00A84283" w:rsidP="002E2EFE">
      <w:r w:rsidRPr="00A84283">
        <w:t>The Board, Treasury and the ATO work closely with applicants, and in some cases, vendors. If a proposed investment raises potential national interest concerns, these concerns are discussed with the applicant and the applicant is provided an opportunity to comment. If the applicant proposes mitigating actions, these will also be taken into account.</w:t>
      </w:r>
    </w:p>
    <w:p w14:paraId="1E9EF7B9" w14:textId="6395648F" w:rsidR="00A84283" w:rsidRPr="00A84283" w:rsidRDefault="00A84283" w:rsidP="002E2EFE">
      <w:r w:rsidRPr="00A84283">
        <w:t>Where a proposed investment raises no national interest concerns or that any concerns are adequately addressed by conditions, the applicant is notified in writing of no objection or no objection subject to conditions, or granted an exemption certificate. Once an applicant receives a no objection or no objection subject to condition notification or is granted an exemption certificate, the applicant may proceed with the proposed investment. If national interest concerns remain and may not be able to be addressed, the proposed investment may be prohibited by the Treasurer, or in the case of an exemption certificate, the Treasurer may decline to grant the exemption certificate. The Treasurer declining to grant an exemption certificate is without prejudice to future applications for specified targets tha</w:t>
      </w:r>
      <w:r w:rsidR="00984D8E">
        <w:t>t the foreign person may lodge.</w:t>
      </w:r>
    </w:p>
    <w:p w14:paraId="0867EE32" w14:textId="569E8C90" w:rsidR="00A84283" w:rsidRPr="00A84283" w:rsidRDefault="00A84283" w:rsidP="001C7EE6">
      <w:pPr>
        <w:pStyle w:val="Circletext"/>
      </w:pPr>
    </w:p>
    <w:p w14:paraId="33BFBC45" w14:textId="77777777" w:rsidR="006F0D93" w:rsidRDefault="006F0D93" w:rsidP="000814CB">
      <w:pPr>
        <w:pStyle w:val="AppendixHeading"/>
        <w:sectPr w:rsidR="006F0D93" w:rsidSect="000E08BC">
          <w:type w:val="oddPage"/>
          <w:pgSz w:w="11906" w:h="16838" w:code="9"/>
          <w:pgMar w:top="2466" w:right="2098" w:bottom="2466" w:left="2098" w:header="1899" w:footer="1899" w:gutter="0"/>
          <w:cols w:space="708"/>
          <w:titlePg/>
          <w:docGrid w:linePitch="360"/>
        </w:sectPr>
      </w:pPr>
      <w:bookmarkStart w:id="229" w:name="_Toc31636038"/>
      <w:bookmarkStart w:id="230" w:name="_Toc31642807"/>
    </w:p>
    <w:p w14:paraId="1629BAE6" w14:textId="1CC08438" w:rsidR="00A84283" w:rsidRDefault="009068CD" w:rsidP="004A7DCA">
      <w:pPr>
        <w:pStyle w:val="AppendixHeading"/>
        <w:rPr>
          <w:color w:val="FFFFFF" w:themeColor="background1"/>
        </w:rPr>
      </w:pPr>
      <w:bookmarkStart w:id="231" w:name="_Toc32247818"/>
      <w:bookmarkStart w:id="232" w:name="_Toc33625867"/>
      <w:r>
        <w:rPr>
          <w:noProof/>
        </w:rPr>
        <w:lastRenderedPageBreak/>
        <w:drawing>
          <wp:anchor distT="0" distB="0" distL="114300" distR="114300" simplePos="0" relativeHeight="251658252" behindDoc="0" locked="0" layoutInCell="1" allowOverlap="1" wp14:anchorId="39A7C6BF" wp14:editId="04F62E57">
            <wp:simplePos x="0" y="0"/>
            <wp:positionH relativeFrom="column">
              <wp:posOffset>1270</wp:posOffset>
            </wp:positionH>
            <wp:positionV relativeFrom="paragraph">
              <wp:posOffset>-222885</wp:posOffset>
            </wp:positionV>
            <wp:extent cx="4894580" cy="2160905"/>
            <wp:effectExtent l="0" t="0" r="1270" b="0"/>
            <wp:wrapNone/>
            <wp:docPr id="15" name="Picture 15" descr="Appendix D Heading" title="Appendix D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RB AR Part Pages_2016-17_V2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94580" cy="2160905"/>
                    </a:xfrm>
                    <a:prstGeom prst="rect">
                      <a:avLst/>
                    </a:prstGeom>
                  </pic:spPr>
                </pic:pic>
              </a:graphicData>
            </a:graphic>
            <wp14:sizeRelH relativeFrom="page">
              <wp14:pctWidth>0</wp14:pctWidth>
            </wp14:sizeRelH>
            <wp14:sizeRelV relativeFrom="page">
              <wp14:pctHeight>0</wp14:pctHeight>
            </wp14:sizeRelV>
          </wp:anchor>
        </w:drawing>
      </w:r>
      <w:r w:rsidR="00A84283" w:rsidRPr="001C7EE6">
        <w:rPr>
          <w:color w:val="FFFFFF" w:themeColor="background1"/>
        </w:rPr>
        <w:t>Appendix D: Glossary</w:t>
      </w:r>
      <w:bookmarkEnd w:id="229"/>
      <w:bookmarkEnd w:id="230"/>
      <w:bookmarkEnd w:id="231"/>
      <w:bookmarkEnd w:id="232"/>
    </w:p>
    <w:p w14:paraId="36AA404B" w14:textId="29F0FA56" w:rsidR="009068CD" w:rsidRDefault="009068CD" w:rsidP="001C7EE6"/>
    <w:p w14:paraId="165F3672" w14:textId="6C033A5D" w:rsidR="009068CD" w:rsidRDefault="009068CD" w:rsidP="001C7EE6"/>
    <w:p w14:paraId="52E2E37E" w14:textId="2EF80BCA" w:rsidR="009068CD" w:rsidRDefault="009068CD" w:rsidP="001C7EE6"/>
    <w:p w14:paraId="7CE91C32" w14:textId="77777777" w:rsidR="009068CD" w:rsidRDefault="009068CD" w:rsidP="001C7EE6"/>
    <w:p w14:paraId="56358C6F" w14:textId="6D3E971B" w:rsidR="009068CD" w:rsidRPr="004C50AE" w:rsidRDefault="009068CD" w:rsidP="001C7EE6">
      <w:pPr>
        <w:spacing w:after="360"/>
      </w:pPr>
      <w: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Glossary of Terms"/>
        <w:tblDescription w:val="Lists and defines certain terms used in the report "/>
      </w:tblPr>
      <w:tblGrid>
        <w:gridCol w:w="1413"/>
        <w:gridCol w:w="6287"/>
      </w:tblGrid>
      <w:tr w:rsidR="007F5798" w:rsidRPr="000814CB" w14:paraId="69F51C3F" w14:textId="77777777" w:rsidTr="00CB560A">
        <w:trPr>
          <w:tblHeader/>
        </w:trPr>
        <w:tc>
          <w:tcPr>
            <w:tcW w:w="1413" w:type="dxa"/>
          </w:tcPr>
          <w:p w14:paraId="37504460" w14:textId="7D5DCAB9" w:rsidR="007F5798" w:rsidRPr="000814CB" w:rsidRDefault="007F5798" w:rsidP="000302FB">
            <w:pPr>
              <w:pStyle w:val="TableTextLeft"/>
            </w:pPr>
            <w:r w:rsidRPr="000814CB">
              <w:t>Act</w:t>
            </w:r>
          </w:p>
        </w:tc>
        <w:tc>
          <w:tcPr>
            <w:tcW w:w="6287" w:type="dxa"/>
          </w:tcPr>
          <w:p w14:paraId="1D5BE88D" w14:textId="78F429A8" w:rsidR="007F5798" w:rsidRPr="000814CB" w:rsidRDefault="007F5798" w:rsidP="000302FB">
            <w:pPr>
              <w:pStyle w:val="TableTextLeft"/>
            </w:pPr>
            <w:r w:rsidRPr="000814CB">
              <w:t xml:space="preserve">The </w:t>
            </w:r>
            <w:r w:rsidRPr="000814CB">
              <w:rPr>
                <w:i/>
              </w:rPr>
              <w:t>Foreign Acquisitions and Takeovers Act 1975</w:t>
            </w:r>
            <w:r w:rsidRPr="000814CB">
              <w:t xml:space="preserve"> (as in force during 2018–19)</w:t>
            </w:r>
            <w:r w:rsidR="00ED2F16">
              <w:t>.</w:t>
            </w:r>
          </w:p>
        </w:tc>
      </w:tr>
      <w:tr w:rsidR="007F5798" w:rsidRPr="000814CB" w14:paraId="5E21C1F4" w14:textId="77777777" w:rsidTr="002C7C6E">
        <w:tc>
          <w:tcPr>
            <w:tcW w:w="1413" w:type="dxa"/>
          </w:tcPr>
          <w:p w14:paraId="7B499179" w14:textId="1D9CC2AC" w:rsidR="007F5798" w:rsidRPr="000814CB" w:rsidRDefault="007F5798" w:rsidP="000302FB">
            <w:pPr>
              <w:pStyle w:val="TableTextLeft"/>
            </w:pPr>
            <w:r w:rsidRPr="000814CB">
              <w:t>Agricultural land</w:t>
            </w:r>
          </w:p>
        </w:tc>
        <w:tc>
          <w:tcPr>
            <w:tcW w:w="6287" w:type="dxa"/>
          </w:tcPr>
          <w:p w14:paraId="505EC112" w14:textId="75C2C2DE" w:rsidR="007F5798" w:rsidRPr="000814CB" w:rsidRDefault="007F5798" w:rsidP="000302FB">
            <w:pPr>
              <w:pStyle w:val="TableTextLeft"/>
            </w:pPr>
            <w:r w:rsidRPr="000814CB">
              <w:t>Land in Australia that is used, or that could reasonably be used, for a primary production business. The regulations may provide that land of a specified kind is not agricultural land.</w:t>
            </w:r>
          </w:p>
        </w:tc>
      </w:tr>
      <w:tr w:rsidR="007F5798" w:rsidRPr="000814CB" w14:paraId="59E31500" w14:textId="77777777" w:rsidTr="002C7C6E">
        <w:tc>
          <w:tcPr>
            <w:tcW w:w="1413" w:type="dxa"/>
          </w:tcPr>
          <w:p w14:paraId="501A957E" w14:textId="38FEBE20" w:rsidR="007F5798" w:rsidRPr="000814CB" w:rsidRDefault="007F5798" w:rsidP="000302FB">
            <w:pPr>
              <w:pStyle w:val="TableTextLeft"/>
            </w:pPr>
            <w:r w:rsidRPr="000814CB">
              <w:t>Commercial land</w:t>
            </w:r>
          </w:p>
        </w:tc>
        <w:tc>
          <w:tcPr>
            <w:tcW w:w="6287" w:type="dxa"/>
          </w:tcPr>
          <w:p w14:paraId="3DE91A32" w14:textId="77777777" w:rsidR="007F5798" w:rsidRPr="000814CB" w:rsidRDefault="007F5798" w:rsidP="000302FB">
            <w:pPr>
              <w:pStyle w:val="TableTextLeft"/>
            </w:pPr>
            <w:r w:rsidRPr="000814CB">
              <w:t>Land in Australia or the seabed of the offshore area, other than land:</w:t>
            </w:r>
          </w:p>
          <w:p w14:paraId="329EBDB8" w14:textId="3F1B0223" w:rsidR="007F5798" w:rsidRPr="000814CB" w:rsidRDefault="007F5798" w:rsidP="007149D6">
            <w:pPr>
              <w:pStyle w:val="TableTextLeft"/>
              <w:numPr>
                <w:ilvl w:val="0"/>
                <w:numId w:val="18"/>
              </w:numPr>
            </w:pPr>
            <w:r w:rsidRPr="000814CB">
              <w:t>used wholly and exclusively for a primary production business; or</w:t>
            </w:r>
          </w:p>
          <w:p w14:paraId="0EE10640" w14:textId="44F89334" w:rsidR="007F5798" w:rsidRPr="000814CB" w:rsidRDefault="007F5798" w:rsidP="007149D6">
            <w:pPr>
              <w:pStyle w:val="TableTextLeft"/>
              <w:numPr>
                <w:ilvl w:val="0"/>
                <w:numId w:val="18"/>
              </w:numPr>
            </w:pPr>
            <w:r w:rsidRPr="000814CB">
              <w:t>on which there is at least one dwelling (except commercial residential premises); or</w:t>
            </w:r>
          </w:p>
          <w:p w14:paraId="26E5D32C" w14:textId="03A751E3" w:rsidR="007F5798" w:rsidRPr="000814CB" w:rsidRDefault="007F5798" w:rsidP="007149D6">
            <w:pPr>
              <w:pStyle w:val="TableTextLeft"/>
              <w:numPr>
                <w:ilvl w:val="0"/>
                <w:numId w:val="18"/>
              </w:numPr>
              <w:rPr>
                <w:color w:val="auto"/>
              </w:rPr>
            </w:pPr>
            <w:r w:rsidRPr="000814CB">
              <w:t>on which the number of dwellings (except commercial residential premises) that could reasonably be built is less than the number prescribed by the regulations (10, during 2018–19).</w:t>
            </w:r>
          </w:p>
        </w:tc>
      </w:tr>
      <w:tr w:rsidR="007F5798" w:rsidRPr="000814CB" w14:paraId="34B69588" w14:textId="77777777" w:rsidTr="002C7C6E">
        <w:tc>
          <w:tcPr>
            <w:tcW w:w="1413" w:type="dxa"/>
          </w:tcPr>
          <w:p w14:paraId="77A98EEB" w14:textId="7DD5183D" w:rsidR="007F5798" w:rsidRPr="000814CB" w:rsidRDefault="007F5798" w:rsidP="000302FB">
            <w:pPr>
              <w:pStyle w:val="TableTextLeft"/>
            </w:pPr>
            <w:r w:rsidRPr="000814CB">
              <w:t>Established dwelling</w:t>
            </w:r>
          </w:p>
        </w:tc>
        <w:tc>
          <w:tcPr>
            <w:tcW w:w="6287" w:type="dxa"/>
          </w:tcPr>
          <w:p w14:paraId="3EDCB91E" w14:textId="4CCCF208" w:rsidR="007F5798" w:rsidRPr="000814CB" w:rsidRDefault="007F5798" w:rsidP="000302FB">
            <w:pPr>
              <w:pStyle w:val="TableTextLeft"/>
            </w:pPr>
            <w:r w:rsidRPr="000814CB">
              <w:t>A dwelling (except commercial residential premises) on residential land that is not a new dwelling.</w:t>
            </w:r>
          </w:p>
        </w:tc>
      </w:tr>
      <w:tr w:rsidR="007F5798" w:rsidRPr="000814CB" w14:paraId="02413D62" w14:textId="77777777" w:rsidTr="002C7C6E">
        <w:tc>
          <w:tcPr>
            <w:tcW w:w="1413" w:type="dxa"/>
          </w:tcPr>
          <w:p w14:paraId="5B934FE1" w14:textId="48F5E0F2" w:rsidR="007F5798" w:rsidRPr="000814CB" w:rsidRDefault="007F5798" w:rsidP="000302FB">
            <w:pPr>
              <w:pStyle w:val="TableTextLeft"/>
            </w:pPr>
            <w:r w:rsidRPr="000814CB">
              <w:t>Exemption certificates</w:t>
            </w:r>
          </w:p>
        </w:tc>
        <w:tc>
          <w:tcPr>
            <w:tcW w:w="6287" w:type="dxa"/>
          </w:tcPr>
          <w:p w14:paraId="3D6C63E6" w14:textId="30D5DB92" w:rsidR="007F5798" w:rsidRPr="000814CB" w:rsidRDefault="007F5798" w:rsidP="000302FB">
            <w:pPr>
              <w:pStyle w:val="TableTextLeft"/>
            </w:pPr>
            <w:r w:rsidRPr="000814CB">
              <w:t>Advance approval to allow foreign persons to undertake a program of acquisitions of land and/or business and entities. These are granted with a specified monetary limit within a defined region or sector and generally include conditions requiring the foreign person to report actual acquisitions and any other conditions that would normally be applied for the type of land and/or business and entity to be acquired. Business exemption certificates were introduced on 1 July 2017. Prior to 1 December 2015, the equivalent to land exemption certificates was known as an annual program certificate.</w:t>
            </w:r>
          </w:p>
        </w:tc>
      </w:tr>
      <w:tr w:rsidR="007F5798" w:rsidRPr="000814CB" w14:paraId="646F96C4" w14:textId="77777777" w:rsidTr="002C7C6E">
        <w:tc>
          <w:tcPr>
            <w:tcW w:w="1413" w:type="dxa"/>
          </w:tcPr>
          <w:p w14:paraId="1BDC8F60" w14:textId="7E9B8361" w:rsidR="007F5798" w:rsidRPr="000814CB" w:rsidRDefault="005F2DD2" w:rsidP="000302FB">
            <w:pPr>
              <w:pStyle w:val="TableTextLeft"/>
              <w:rPr>
                <w:color w:val="auto"/>
              </w:rPr>
            </w:pPr>
            <w:r w:rsidRPr="000814CB">
              <w:rPr>
                <w:color w:val="auto"/>
              </w:rPr>
              <w:t>Foreign government investor</w:t>
            </w:r>
          </w:p>
        </w:tc>
        <w:tc>
          <w:tcPr>
            <w:tcW w:w="6287" w:type="dxa"/>
          </w:tcPr>
          <w:p w14:paraId="1407F8F2" w14:textId="77777777" w:rsidR="005F2DD2" w:rsidRPr="000814CB" w:rsidRDefault="005F2DD2" w:rsidP="000302FB">
            <w:pPr>
              <w:pStyle w:val="TableTextLeft"/>
            </w:pPr>
            <w:r w:rsidRPr="000814CB">
              <w:t>A foreign government investor includes:</w:t>
            </w:r>
          </w:p>
          <w:p w14:paraId="10E606A0" w14:textId="3EF469FB" w:rsidR="005F2DD2" w:rsidRPr="000814CB" w:rsidRDefault="005F2DD2" w:rsidP="007149D6">
            <w:pPr>
              <w:pStyle w:val="TableTextLeft"/>
              <w:numPr>
                <w:ilvl w:val="0"/>
                <w:numId w:val="18"/>
              </w:numPr>
            </w:pPr>
            <w:r w:rsidRPr="000814CB">
              <w:t>a foreign government or separate government entity; or</w:t>
            </w:r>
          </w:p>
          <w:p w14:paraId="6398F021" w14:textId="2178C995" w:rsidR="005F2DD2" w:rsidRPr="000814CB" w:rsidRDefault="005F2DD2" w:rsidP="007149D6">
            <w:pPr>
              <w:pStyle w:val="TableTextLeft"/>
              <w:numPr>
                <w:ilvl w:val="0"/>
                <w:numId w:val="18"/>
              </w:numPr>
            </w:pPr>
            <w:r w:rsidRPr="000814CB">
              <w:t>a corporation or trustee of a trust in which:</w:t>
            </w:r>
          </w:p>
          <w:p w14:paraId="7D41112E" w14:textId="6E02BD73" w:rsidR="005F2DD2" w:rsidRPr="000814CB" w:rsidRDefault="005F2DD2" w:rsidP="007149D6">
            <w:pPr>
              <w:pStyle w:val="TableTextLeft"/>
              <w:numPr>
                <w:ilvl w:val="0"/>
                <w:numId w:val="19"/>
              </w:numPr>
            </w:pPr>
            <w:r w:rsidRPr="000814CB">
              <w:t>a foreign government or separate government entity, alone or together with one or more associates, holds a substantial interest (that is, an interest of at least 20 per cent);</w:t>
            </w:r>
          </w:p>
          <w:p w14:paraId="443D00D4" w14:textId="4EDA2271" w:rsidR="005F2DD2" w:rsidRPr="000814CB" w:rsidRDefault="005F2DD2" w:rsidP="007149D6">
            <w:pPr>
              <w:pStyle w:val="TableTextLeft"/>
              <w:numPr>
                <w:ilvl w:val="0"/>
                <w:numId w:val="19"/>
              </w:numPr>
            </w:pPr>
            <w:r w:rsidRPr="000814CB">
              <w:t>foreign governments or separate government entities of more than one foreign country (or parts of more than one foreign country), together with any one or more associates, hold an aggregate substantial interest (that is, an interest of at least 40 per cent); or</w:t>
            </w:r>
          </w:p>
          <w:p w14:paraId="7355AD3D" w14:textId="2B4CE343" w:rsidR="005F2DD2" w:rsidRPr="000814CB" w:rsidRDefault="005F2DD2" w:rsidP="007149D6">
            <w:pPr>
              <w:pStyle w:val="TableTextLeft"/>
              <w:numPr>
                <w:ilvl w:val="0"/>
                <w:numId w:val="18"/>
              </w:numPr>
            </w:pPr>
            <w:r w:rsidRPr="000814CB">
              <w:t>a general partner of a limited partnership in which:</w:t>
            </w:r>
          </w:p>
          <w:p w14:paraId="38E3F067" w14:textId="1BE1E6D7" w:rsidR="005F2DD2" w:rsidRPr="000814CB" w:rsidRDefault="005F2DD2" w:rsidP="007149D6">
            <w:pPr>
              <w:pStyle w:val="TableTextLeft"/>
              <w:numPr>
                <w:ilvl w:val="0"/>
                <w:numId w:val="19"/>
              </w:numPr>
            </w:pPr>
            <w:r w:rsidRPr="000814CB">
              <w:t>a foreign government or separate government entity, alone or together with one or more associates, holds an interest of at least 20 per cent;</w:t>
            </w:r>
          </w:p>
          <w:p w14:paraId="7775273F" w14:textId="62CED57B" w:rsidR="007F5798" w:rsidRPr="000814CB" w:rsidRDefault="005F2DD2" w:rsidP="001C7EE6">
            <w:pPr>
              <w:pStyle w:val="TableTextLeft"/>
              <w:numPr>
                <w:ilvl w:val="0"/>
                <w:numId w:val="19"/>
              </w:numPr>
            </w:pPr>
            <w:r w:rsidRPr="000814CB">
              <w:t xml:space="preserve">foreign governments or separate government entities of more than one foreign country (or parts of more than one foreign country), together with any one or more associates, hold an aggregate interest of 40 per cent or more; or </w:t>
            </w:r>
          </w:p>
        </w:tc>
      </w:tr>
    </w:tbl>
    <w:p w14:paraId="7CB7B61F" w14:textId="24DBDAE6" w:rsidR="004A7DCA" w:rsidRDefault="004A7DCA">
      <w:pPr>
        <w:spacing w:after="0" w:line="240" w:lineRule="auto"/>
        <w:jc w:val="left"/>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Glossary of Terms (continued)"/>
        <w:tblDescription w:val="Lists and defines certain terms used in the report "/>
      </w:tblPr>
      <w:tblGrid>
        <w:gridCol w:w="1413"/>
        <w:gridCol w:w="6287"/>
      </w:tblGrid>
      <w:tr w:rsidR="009068CD" w:rsidRPr="000814CB" w14:paraId="6B4EDEDD" w14:textId="77777777" w:rsidTr="00CB560A">
        <w:trPr>
          <w:tblHeader/>
        </w:trPr>
        <w:tc>
          <w:tcPr>
            <w:tcW w:w="1413" w:type="dxa"/>
          </w:tcPr>
          <w:p w14:paraId="5B1661FC" w14:textId="77777777" w:rsidR="009068CD" w:rsidRPr="000814CB" w:rsidRDefault="009068CD" w:rsidP="000302FB">
            <w:pPr>
              <w:pStyle w:val="TableTextLeft"/>
              <w:rPr>
                <w:color w:val="auto"/>
              </w:rPr>
            </w:pPr>
            <w:bookmarkStart w:id="233" w:name="tempbookmark" w:colFirst="1" w:colLast="1"/>
          </w:p>
        </w:tc>
        <w:tc>
          <w:tcPr>
            <w:tcW w:w="6287" w:type="dxa"/>
          </w:tcPr>
          <w:p w14:paraId="04B9E9E6" w14:textId="38F5F4D5" w:rsidR="009068CD" w:rsidRPr="000814CB" w:rsidRDefault="009068CD" w:rsidP="001C7EE6">
            <w:pPr>
              <w:pStyle w:val="TableTextLeft"/>
              <w:numPr>
                <w:ilvl w:val="0"/>
                <w:numId w:val="18"/>
              </w:numPr>
            </w:pPr>
            <w:r w:rsidRPr="000814CB">
              <w:t>a corporation, trustee or general partner of a kind described in the two dot points above, assuming the references to foreign government (or foreign governments) in those dot points include references to a foreign government investor (or foreign government investors) within the meaning of those dot points.</w:t>
            </w:r>
          </w:p>
        </w:tc>
      </w:tr>
      <w:bookmarkEnd w:id="233"/>
      <w:tr w:rsidR="007F5798" w:rsidRPr="000814CB" w14:paraId="4F1801A7" w14:textId="77777777" w:rsidTr="002C7C6E">
        <w:tc>
          <w:tcPr>
            <w:tcW w:w="1413" w:type="dxa"/>
          </w:tcPr>
          <w:p w14:paraId="27F7D936" w14:textId="38891C14" w:rsidR="007F5798" w:rsidRPr="000814CB" w:rsidRDefault="00FC01B8" w:rsidP="000302FB">
            <w:pPr>
              <w:pStyle w:val="TableTextLeft"/>
              <w:rPr>
                <w:color w:val="auto"/>
              </w:rPr>
            </w:pPr>
            <w:r w:rsidRPr="000814CB">
              <w:rPr>
                <w:color w:val="auto"/>
              </w:rPr>
              <w:t>Foreign person</w:t>
            </w:r>
          </w:p>
        </w:tc>
        <w:tc>
          <w:tcPr>
            <w:tcW w:w="6287" w:type="dxa"/>
          </w:tcPr>
          <w:p w14:paraId="2A217DA6" w14:textId="77777777" w:rsidR="00FC01B8" w:rsidRPr="000814CB" w:rsidRDefault="00FC01B8" w:rsidP="000302FB">
            <w:pPr>
              <w:pStyle w:val="TableTextLeft"/>
            </w:pPr>
            <w:r w:rsidRPr="000814CB">
              <w:t>Foreign person means:</w:t>
            </w:r>
          </w:p>
          <w:p w14:paraId="61DE00AD" w14:textId="07ED7793" w:rsidR="00FC01B8" w:rsidRPr="000814CB" w:rsidRDefault="00FC01B8" w:rsidP="007149D6">
            <w:pPr>
              <w:pStyle w:val="TableTextLeft"/>
              <w:numPr>
                <w:ilvl w:val="0"/>
                <w:numId w:val="18"/>
              </w:numPr>
            </w:pPr>
            <w:r w:rsidRPr="000814CB">
              <w:t>an individual not ordinarily resident in Australia;</w:t>
            </w:r>
          </w:p>
          <w:p w14:paraId="1CCCCF9B" w14:textId="445A2297" w:rsidR="00FC01B8" w:rsidRPr="000814CB" w:rsidRDefault="00FC01B8" w:rsidP="007149D6">
            <w:pPr>
              <w:pStyle w:val="TableTextLeft"/>
              <w:numPr>
                <w:ilvl w:val="0"/>
                <w:numId w:val="18"/>
              </w:numPr>
            </w:pPr>
            <w:r w:rsidRPr="000814CB">
              <w:t>a corporation in which an individual not ordinarily resident in Australia, a foreign corporation or a foreign government holds a substantial interest;</w:t>
            </w:r>
          </w:p>
          <w:p w14:paraId="78453037" w14:textId="0DB006C7" w:rsidR="00FC01B8" w:rsidRPr="000814CB" w:rsidRDefault="00FC01B8" w:rsidP="007149D6">
            <w:pPr>
              <w:pStyle w:val="TableTextLeft"/>
              <w:numPr>
                <w:ilvl w:val="0"/>
                <w:numId w:val="18"/>
              </w:numPr>
            </w:pPr>
            <w:r w:rsidRPr="000814CB">
              <w:t>a corporation in which two or more persons, each of whom is an individual not ordinarily resident in Australia, a foreign corporation or a foreign government, hold an aggregate substantial interest;</w:t>
            </w:r>
          </w:p>
          <w:p w14:paraId="1157B60E" w14:textId="557195E5" w:rsidR="00FC01B8" w:rsidRPr="000814CB" w:rsidRDefault="00FC01B8" w:rsidP="007149D6">
            <w:pPr>
              <w:pStyle w:val="TableTextLeft"/>
              <w:numPr>
                <w:ilvl w:val="0"/>
                <w:numId w:val="18"/>
              </w:numPr>
            </w:pPr>
            <w:r w:rsidRPr="000814CB">
              <w:t>the trustee of a trust in which an individual not ordinarily resident in Australia, a foreign corporation or a foreign government holds a substantial interest;</w:t>
            </w:r>
          </w:p>
          <w:p w14:paraId="6CEFE52A" w14:textId="6EABC608" w:rsidR="00FC01B8" w:rsidRPr="000814CB" w:rsidRDefault="00FC01B8" w:rsidP="007149D6">
            <w:pPr>
              <w:pStyle w:val="TableTextLeft"/>
              <w:numPr>
                <w:ilvl w:val="0"/>
                <w:numId w:val="18"/>
              </w:numPr>
            </w:pPr>
            <w:r w:rsidRPr="000814CB">
              <w:t>the trustee of a trust in which two or more persons, each of whom is an individual not ordinarily resident in Australia, a foreign corporation or a foreign government, hold an aggregate substantial interest;</w:t>
            </w:r>
          </w:p>
          <w:p w14:paraId="4A37714C" w14:textId="7EE769EC" w:rsidR="00FC01B8" w:rsidRPr="000814CB" w:rsidRDefault="00FC01B8" w:rsidP="007149D6">
            <w:pPr>
              <w:pStyle w:val="TableTextLeft"/>
              <w:numPr>
                <w:ilvl w:val="0"/>
                <w:numId w:val="18"/>
              </w:numPr>
            </w:pPr>
            <w:r w:rsidRPr="000814CB">
              <w:t>a foreign government; or</w:t>
            </w:r>
          </w:p>
          <w:p w14:paraId="6A54B7B1" w14:textId="6FBE50BF" w:rsidR="007F5798" w:rsidRPr="000814CB" w:rsidRDefault="00FC01B8" w:rsidP="007149D6">
            <w:pPr>
              <w:pStyle w:val="TableTextLeft"/>
              <w:numPr>
                <w:ilvl w:val="0"/>
                <w:numId w:val="18"/>
              </w:numPr>
            </w:pPr>
            <w:r w:rsidRPr="000814CB">
              <w:t>any other person, or any other person that meets the conditions, prescribed by the regulations.</w:t>
            </w:r>
          </w:p>
        </w:tc>
      </w:tr>
      <w:tr w:rsidR="007F5798" w:rsidRPr="000814CB" w14:paraId="72BDAB86" w14:textId="77777777" w:rsidTr="002C7C6E">
        <w:tc>
          <w:tcPr>
            <w:tcW w:w="1413" w:type="dxa"/>
          </w:tcPr>
          <w:p w14:paraId="67044346" w14:textId="1F8BDFB0" w:rsidR="007F5798" w:rsidRPr="000814CB" w:rsidRDefault="00FC01B8" w:rsidP="000302FB">
            <w:pPr>
              <w:pStyle w:val="TableTextLeft"/>
              <w:rPr>
                <w:color w:val="auto"/>
              </w:rPr>
            </w:pPr>
            <w:r w:rsidRPr="000814CB">
              <w:rPr>
                <w:color w:val="auto"/>
              </w:rPr>
              <w:t>New dwelling</w:t>
            </w:r>
          </w:p>
        </w:tc>
        <w:tc>
          <w:tcPr>
            <w:tcW w:w="6287" w:type="dxa"/>
          </w:tcPr>
          <w:p w14:paraId="4E2AEB7B" w14:textId="77777777" w:rsidR="00FC01B8" w:rsidRPr="000814CB" w:rsidRDefault="00FC01B8" w:rsidP="000302FB">
            <w:pPr>
              <w:pStyle w:val="TableTextLeft"/>
            </w:pPr>
            <w:r w:rsidRPr="000814CB">
              <w:t>A dwelling (except commercial residential premises) that will be, is being or has been built on residential land and that:</w:t>
            </w:r>
          </w:p>
          <w:p w14:paraId="5F98B5E8" w14:textId="74FBCB1F" w:rsidR="00FC01B8" w:rsidRPr="000814CB" w:rsidRDefault="00FC01B8" w:rsidP="007149D6">
            <w:pPr>
              <w:pStyle w:val="TableTextLeft"/>
              <w:numPr>
                <w:ilvl w:val="0"/>
                <w:numId w:val="18"/>
              </w:numPr>
            </w:pPr>
            <w:r w:rsidRPr="000814CB">
              <w:t>has not been previously sold as a dwelling; and</w:t>
            </w:r>
          </w:p>
          <w:p w14:paraId="2995CBF1" w14:textId="403C60C7" w:rsidR="007F5798" w:rsidRPr="000814CB" w:rsidRDefault="00FC01B8" w:rsidP="007149D6">
            <w:pPr>
              <w:pStyle w:val="TableTextLeft"/>
              <w:numPr>
                <w:ilvl w:val="0"/>
                <w:numId w:val="18"/>
              </w:numPr>
              <w:rPr>
                <w:color w:val="auto"/>
              </w:rPr>
            </w:pPr>
            <w:r w:rsidRPr="000814CB">
              <w:t>either has not been previously occupied; or if the dwelling is contained in a development and the dwelling was sold by the developer of the development — has not been previously occupied for more than 12 months total.</w:t>
            </w:r>
          </w:p>
        </w:tc>
      </w:tr>
      <w:tr w:rsidR="00FC01B8" w:rsidRPr="000814CB" w14:paraId="615333A7" w14:textId="77777777" w:rsidTr="002C7C6E">
        <w:tc>
          <w:tcPr>
            <w:tcW w:w="1413" w:type="dxa"/>
          </w:tcPr>
          <w:p w14:paraId="09A73FDF" w14:textId="1C78031B" w:rsidR="00FC01B8" w:rsidRPr="000814CB" w:rsidRDefault="00FC01B8" w:rsidP="000302FB">
            <w:pPr>
              <w:pStyle w:val="TableTextLeft"/>
              <w:rPr>
                <w:color w:val="auto"/>
              </w:rPr>
            </w:pPr>
            <w:r w:rsidRPr="000814CB">
              <w:rPr>
                <w:color w:val="auto"/>
              </w:rPr>
              <w:t>Ordinarily resident</w:t>
            </w:r>
          </w:p>
        </w:tc>
        <w:tc>
          <w:tcPr>
            <w:tcW w:w="6287" w:type="dxa"/>
          </w:tcPr>
          <w:p w14:paraId="124CA63C" w14:textId="77777777" w:rsidR="00FC01B8" w:rsidRPr="000814CB" w:rsidRDefault="00FC01B8" w:rsidP="00FD5F29">
            <w:pPr>
              <w:pStyle w:val="TableTextLeft"/>
              <w:tabs>
                <w:tab w:val="left" w:pos="357"/>
              </w:tabs>
              <w:ind w:left="357" w:hanging="357"/>
            </w:pPr>
            <w:r w:rsidRPr="000814CB">
              <w:t>1.</w:t>
            </w:r>
            <w:r w:rsidRPr="000814CB">
              <w:tab/>
              <w:t>An individual who is not an Australian citizen is ordinarily resident in Australia at a particular time if and only if:</w:t>
            </w:r>
          </w:p>
          <w:p w14:paraId="2192195A" w14:textId="77777777" w:rsidR="00FC01B8" w:rsidRPr="000814CB" w:rsidRDefault="00FC01B8" w:rsidP="00FD5F29">
            <w:pPr>
              <w:pStyle w:val="TableTextLeft"/>
              <w:ind w:left="714" w:hanging="357"/>
            </w:pPr>
            <w:r w:rsidRPr="000814CB">
              <w:t>a.</w:t>
            </w:r>
            <w:r w:rsidRPr="000814CB">
              <w:tab/>
              <w:t>the individual has actually been in Australia during 200 or more days in the period of 12 months immediately preceding that time; and</w:t>
            </w:r>
          </w:p>
          <w:p w14:paraId="7CE34518" w14:textId="77777777" w:rsidR="00FC01B8" w:rsidRPr="000814CB" w:rsidRDefault="00FC01B8" w:rsidP="00FD5F29">
            <w:pPr>
              <w:pStyle w:val="TableTextLeft"/>
              <w:ind w:left="714" w:hanging="357"/>
            </w:pPr>
            <w:r w:rsidRPr="000814CB">
              <w:t>b.</w:t>
            </w:r>
            <w:r w:rsidRPr="000814CB">
              <w:tab/>
              <w:t>at that time:</w:t>
            </w:r>
          </w:p>
          <w:p w14:paraId="35DE9AC9" w14:textId="77777777" w:rsidR="00FC01B8" w:rsidRPr="000814CB" w:rsidRDefault="00FC01B8" w:rsidP="00FD5F29">
            <w:pPr>
              <w:pStyle w:val="TableTextLeft"/>
              <w:ind w:left="1071" w:hanging="357"/>
            </w:pPr>
            <w:r w:rsidRPr="000814CB">
              <w:t>i.</w:t>
            </w:r>
            <w:r w:rsidRPr="000814CB">
              <w:tab/>
              <w:t>the individual is in Australia and the individual’s continued presence in Australia is not subject to any limitation as to time imposed by law; or</w:t>
            </w:r>
          </w:p>
          <w:p w14:paraId="37E4EE9B" w14:textId="77777777" w:rsidR="00FC01B8" w:rsidRPr="000814CB" w:rsidRDefault="00FC01B8" w:rsidP="00FD5F29">
            <w:pPr>
              <w:pStyle w:val="TableTextLeft"/>
              <w:ind w:left="1071" w:hanging="357"/>
            </w:pPr>
            <w:r w:rsidRPr="000814CB">
              <w:t>ii.</w:t>
            </w:r>
            <w:r w:rsidRPr="000814CB">
              <w:tab/>
              <w:t>the individual is not in Australia but, immediately before the individual’s most recent departure from Australia, the individual’s continued presence in Australia was not subject to any limitation as to time imposed by law.</w:t>
            </w:r>
          </w:p>
          <w:p w14:paraId="7049FBF1" w14:textId="16EBBF6E" w:rsidR="00FC01B8" w:rsidRPr="000814CB" w:rsidRDefault="00FC01B8" w:rsidP="000A0325">
            <w:pPr>
              <w:pStyle w:val="TableTextLeft"/>
              <w:tabs>
                <w:tab w:val="left" w:pos="357"/>
              </w:tabs>
              <w:ind w:left="357" w:hanging="357"/>
            </w:pPr>
            <w:r w:rsidRPr="000814CB">
              <w:t>2.</w:t>
            </w:r>
            <w:r w:rsidRPr="000814CB">
              <w:tab/>
              <w:t>Without limiting paragraph (1)(b), an individual’s continued presence in Australia is subject to a limitation as to time imposed by law if the individual is an unlawful non</w:t>
            </w:r>
            <w:r w:rsidRPr="000814CB">
              <w:noBreakHyphen/>
              <w:t xml:space="preserve">citizen within the meaning of the </w:t>
            </w:r>
            <w:r w:rsidRPr="000814CB">
              <w:rPr>
                <w:i/>
              </w:rPr>
              <w:t>Migration Act 1958</w:t>
            </w:r>
            <w:r w:rsidRPr="000814CB">
              <w:t>.</w:t>
            </w:r>
          </w:p>
        </w:tc>
      </w:tr>
      <w:tr w:rsidR="00164CE1" w:rsidRPr="000814CB" w14:paraId="12994FC8" w14:textId="77777777" w:rsidTr="002C7C6E">
        <w:tc>
          <w:tcPr>
            <w:tcW w:w="1413" w:type="dxa"/>
          </w:tcPr>
          <w:p w14:paraId="49DB688D" w14:textId="1A942448" w:rsidR="00164CE1" w:rsidRPr="000814CB" w:rsidRDefault="00164CE1" w:rsidP="000302FB">
            <w:pPr>
              <w:pStyle w:val="TableTextLeft"/>
              <w:rPr>
                <w:color w:val="auto"/>
              </w:rPr>
            </w:pPr>
            <w:r w:rsidRPr="000814CB">
              <w:rPr>
                <w:color w:val="auto"/>
              </w:rPr>
              <w:t>Residential land</w:t>
            </w:r>
          </w:p>
        </w:tc>
        <w:tc>
          <w:tcPr>
            <w:tcW w:w="6287" w:type="dxa"/>
          </w:tcPr>
          <w:p w14:paraId="1B5329A7" w14:textId="05CCBDA5" w:rsidR="00164CE1" w:rsidRPr="000814CB" w:rsidRDefault="00164CE1" w:rsidP="00164CE1">
            <w:pPr>
              <w:pStyle w:val="TableTextLeft"/>
            </w:pPr>
            <w:r w:rsidRPr="000814CB">
              <w:t>Land in Australia if:</w:t>
            </w:r>
          </w:p>
          <w:p w14:paraId="6071AB5B" w14:textId="473069D7" w:rsidR="00164CE1" w:rsidRPr="000814CB" w:rsidRDefault="00164CE1" w:rsidP="007149D6">
            <w:pPr>
              <w:pStyle w:val="TableTextLeft"/>
              <w:numPr>
                <w:ilvl w:val="0"/>
                <w:numId w:val="18"/>
              </w:numPr>
            </w:pPr>
            <w:r w:rsidRPr="000814CB">
              <w:t>there is at least one dwelling on the land; or</w:t>
            </w:r>
          </w:p>
          <w:p w14:paraId="03C7AB0A" w14:textId="0A3E797D" w:rsidR="00164CE1" w:rsidRPr="000814CB" w:rsidRDefault="00164CE1" w:rsidP="007149D6">
            <w:pPr>
              <w:pStyle w:val="TableTextLeft"/>
              <w:numPr>
                <w:ilvl w:val="0"/>
                <w:numId w:val="18"/>
              </w:numPr>
            </w:pPr>
            <w:r w:rsidRPr="000814CB">
              <w:t>the number of dwellings that could reasonably be built on the land is less than the number prescribed by the regulations (10 in 2018–19); and</w:t>
            </w:r>
          </w:p>
          <w:p w14:paraId="1DF93E1B" w14:textId="18FC2C1F" w:rsidR="00164CE1" w:rsidRPr="000814CB" w:rsidRDefault="00164CE1" w:rsidP="007149D6">
            <w:pPr>
              <w:pStyle w:val="TableTextLeft"/>
              <w:numPr>
                <w:ilvl w:val="0"/>
                <w:numId w:val="18"/>
              </w:numPr>
            </w:pPr>
            <w:r w:rsidRPr="000814CB">
              <w:t>does not include land:</w:t>
            </w:r>
          </w:p>
          <w:p w14:paraId="7DD0505F" w14:textId="44680F54" w:rsidR="00164CE1" w:rsidRPr="000814CB" w:rsidRDefault="00164CE1" w:rsidP="007149D6">
            <w:pPr>
              <w:pStyle w:val="TableTextLeft"/>
              <w:numPr>
                <w:ilvl w:val="0"/>
                <w:numId w:val="19"/>
              </w:numPr>
            </w:pPr>
            <w:r w:rsidRPr="000814CB">
              <w:t>used wholly and exclusively for a primary production business; or</w:t>
            </w:r>
          </w:p>
          <w:p w14:paraId="0146C251" w14:textId="63972492" w:rsidR="009068CD" w:rsidRPr="00CB560A" w:rsidRDefault="00164CE1" w:rsidP="001C7EE6">
            <w:pPr>
              <w:pStyle w:val="TableTextLeft"/>
              <w:numPr>
                <w:ilvl w:val="0"/>
                <w:numId w:val="19"/>
              </w:numPr>
              <w:rPr>
                <w:color w:val="auto"/>
              </w:rPr>
            </w:pPr>
            <w:r w:rsidRPr="000814CB">
              <w:t>on which the only dwellings are commercial residential premises.</w:t>
            </w:r>
          </w:p>
        </w:tc>
      </w:tr>
    </w:tbl>
    <w:p w14:paraId="7A5C3111" w14:textId="77777777" w:rsidR="00CB560A" w:rsidRDefault="00CB560A"/>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Glossary of Terms (continued)"/>
        <w:tblDescription w:val="Lists and defines certain terms used in the report "/>
      </w:tblPr>
      <w:tblGrid>
        <w:gridCol w:w="1413"/>
        <w:gridCol w:w="6287"/>
      </w:tblGrid>
      <w:tr w:rsidR="009068CD" w:rsidRPr="000814CB" w14:paraId="0D55FA73" w14:textId="77777777" w:rsidTr="00CB560A">
        <w:trPr>
          <w:cantSplit/>
          <w:tblHeader/>
        </w:trPr>
        <w:tc>
          <w:tcPr>
            <w:tcW w:w="1413" w:type="dxa"/>
          </w:tcPr>
          <w:p w14:paraId="229093D0" w14:textId="5973DE0D" w:rsidR="009068CD" w:rsidRPr="000814CB" w:rsidRDefault="009068CD" w:rsidP="009068CD">
            <w:pPr>
              <w:pStyle w:val="TableTextLeft"/>
              <w:rPr>
                <w:color w:val="auto"/>
              </w:rPr>
            </w:pPr>
            <w:r w:rsidRPr="000814CB">
              <w:rPr>
                <w:color w:val="auto"/>
              </w:rPr>
              <w:lastRenderedPageBreak/>
              <w:t>Substantial interest</w:t>
            </w:r>
          </w:p>
        </w:tc>
        <w:tc>
          <w:tcPr>
            <w:tcW w:w="6287" w:type="dxa"/>
          </w:tcPr>
          <w:p w14:paraId="209B3D81" w14:textId="77777777" w:rsidR="009068CD" w:rsidRPr="000814CB" w:rsidRDefault="009068CD" w:rsidP="009068CD">
            <w:pPr>
              <w:pStyle w:val="TableTextLeft"/>
            </w:pPr>
            <w:r w:rsidRPr="000814CB">
              <w:t>A person holds a substantial interest in an entity or trust if:</w:t>
            </w:r>
          </w:p>
          <w:p w14:paraId="7E933036" w14:textId="77777777" w:rsidR="009068CD" w:rsidRPr="000814CB" w:rsidRDefault="009068CD" w:rsidP="009068CD">
            <w:pPr>
              <w:pStyle w:val="TableTextLeft"/>
              <w:numPr>
                <w:ilvl w:val="0"/>
                <w:numId w:val="18"/>
              </w:numPr>
            </w:pPr>
            <w:r w:rsidRPr="000814CB">
              <w:t>for an entity — the person holds an interest of at least 20 per cent in the entity; or</w:t>
            </w:r>
          </w:p>
          <w:p w14:paraId="1F835B65" w14:textId="216276CA" w:rsidR="009068CD" w:rsidRPr="000814CB" w:rsidRDefault="009068CD" w:rsidP="009068CD">
            <w:pPr>
              <w:pStyle w:val="TableTextLeft"/>
            </w:pPr>
            <w:r w:rsidRPr="000814CB">
              <w:t>for a trust (including a unit trust) — the person, together with any one or more associates, holds a beneficial interest in at least 20 per cent of the income or property of the trust.</w:t>
            </w:r>
          </w:p>
        </w:tc>
      </w:tr>
      <w:tr w:rsidR="009068CD" w:rsidRPr="000814CB" w14:paraId="0BFD816C" w14:textId="77777777" w:rsidTr="002C7C6E">
        <w:tc>
          <w:tcPr>
            <w:tcW w:w="1413" w:type="dxa"/>
          </w:tcPr>
          <w:p w14:paraId="5FDA3488" w14:textId="3BA7215E" w:rsidR="009068CD" w:rsidRPr="000814CB" w:rsidRDefault="009068CD" w:rsidP="009068CD">
            <w:pPr>
              <w:pStyle w:val="TableTextLeft"/>
              <w:rPr>
                <w:color w:val="auto"/>
              </w:rPr>
            </w:pPr>
            <w:r w:rsidRPr="000814CB">
              <w:rPr>
                <w:color w:val="auto"/>
              </w:rPr>
              <w:t>Temporary resident</w:t>
            </w:r>
          </w:p>
        </w:tc>
        <w:tc>
          <w:tcPr>
            <w:tcW w:w="6287" w:type="dxa"/>
          </w:tcPr>
          <w:p w14:paraId="77B66DC3" w14:textId="77777777" w:rsidR="009068CD" w:rsidRPr="000814CB" w:rsidRDefault="009068CD" w:rsidP="009068CD">
            <w:pPr>
              <w:pStyle w:val="TableTextLeft"/>
            </w:pPr>
            <w:r w:rsidRPr="000814CB">
              <w:t>An individual who:</w:t>
            </w:r>
          </w:p>
          <w:p w14:paraId="2C9DD198" w14:textId="77777777" w:rsidR="009068CD" w:rsidRPr="000814CB" w:rsidRDefault="009068CD" w:rsidP="009068CD">
            <w:pPr>
              <w:pStyle w:val="TableTextLeft"/>
              <w:tabs>
                <w:tab w:val="left" w:pos="357"/>
              </w:tabs>
              <w:ind w:left="357" w:hanging="357"/>
            </w:pPr>
            <w:r w:rsidRPr="000814CB">
              <w:t>1.</w:t>
            </w:r>
            <w:r w:rsidRPr="000814CB">
              <w:tab/>
              <w:t xml:space="preserve">holds a temporary visa under the </w:t>
            </w:r>
            <w:r w:rsidRPr="00984D8E">
              <w:rPr>
                <w:i/>
              </w:rPr>
              <w:t>Migration Act 1958</w:t>
            </w:r>
            <w:r w:rsidRPr="000814CB">
              <w:t xml:space="preserve"> that allows the individual to remain in Australia for a continuous period of more than 12 months (disregarding the amount of that period remaining); or</w:t>
            </w:r>
          </w:p>
          <w:p w14:paraId="3D7E8285" w14:textId="77777777" w:rsidR="009068CD" w:rsidRPr="000814CB" w:rsidRDefault="009068CD" w:rsidP="009068CD">
            <w:pPr>
              <w:pStyle w:val="TableTextLeft"/>
              <w:tabs>
                <w:tab w:val="left" w:pos="357"/>
              </w:tabs>
              <w:ind w:left="357" w:hanging="357"/>
            </w:pPr>
            <w:r w:rsidRPr="000814CB">
              <w:t>2.</w:t>
            </w:r>
            <w:r w:rsidRPr="000814CB">
              <w:tab/>
              <w:t>meets the following conditions:</w:t>
            </w:r>
          </w:p>
          <w:p w14:paraId="3961FB0A" w14:textId="77777777" w:rsidR="009068CD" w:rsidRPr="000814CB" w:rsidRDefault="009068CD" w:rsidP="009068CD">
            <w:pPr>
              <w:pStyle w:val="TableTextLeft"/>
              <w:ind w:left="714" w:hanging="357"/>
            </w:pPr>
            <w:r w:rsidRPr="000814CB">
              <w:t>a.</w:t>
            </w:r>
            <w:r w:rsidRPr="000814CB">
              <w:tab/>
              <w:t>the individual is residing in Australia;</w:t>
            </w:r>
          </w:p>
          <w:p w14:paraId="7EE8767C" w14:textId="77777777" w:rsidR="009068CD" w:rsidRPr="000814CB" w:rsidRDefault="009068CD" w:rsidP="009068CD">
            <w:pPr>
              <w:pStyle w:val="TableTextLeft"/>
              <w:ind w:left="714" w:hanging="357"/>
            </w:pPr>
            <w:r w:rsidRPr="000814CB">
              <w:t>b.</w:t>
            </w:r>
            <w:r w:rsidRPr="000814CB">
              <w:tab/>
              <w:t xml:space="preserve">the individual has applied for a permanent visa under the </w:t>
            </w:r>
            <w:r w:rsidRPr="00984D8E">
              <w:rPr>
                <w:i/>
              </w:rPr>
              <w:t>Migration Act 1958</w:t>
            </w:r>
            <w:r w:rsidRPr="000814CB">
              <w:t>;</w:t>
            </w:r>
          </w:p>
          <w:p w14:paraId="37167AAB" w14:textId="77777777" w:rsidR="009068CD" w:rsidRPr="000814CB" w:rsidRDefault="009068CD" w:rsidP="009068CD">
            <w:pPr>
              <w:pStyle w:val="TableTextLeft"/>
              <w:ind w:left="714" w:hanging="357"/>
            </w:pPr>
            <w:r w:rsidRPr="000814CB">
              <w:t>c.</w:t>
            </w:r>
            <w:r w:rsidRPr="000814CB">
              <w:tab/>
              <w:t>the individual holds a bridging visa under that Act that allows the individual to remain in Australia until the application has been finally determined; or</w:t>
            </w:r>
          </w:p>
          <w:p w14:paraId="511E21A4" w14:textId="73166740" w:rsidR="009068CD" w:rsidRPr="000814CB" w:rsidRDefault="009068CD" w:rsidP="009068CD">
            <w:pPr>
              <w:pStyle w:val="TableTextLeft"/>
              <w:tabs>
                <w:tab w:val="left" w:pos="357"/>
              </w:tabs>
              <w:ind w:left="357" w:hanging="357"/>
            </w:pPr>
            <w:r w:rsidRPr="000814CB">
              <w:t>3.</w:t>
            </w:r>
            <w:r w:rsidRPr="000814CB">
              <w:tab/>
              <w:t>meets the conditions prescribed by the regulations.</w:t>
            </w:r>
          </w:p>
        </w:tc>
      </w:tr>
      <w:tr w:rsidR="009068CD" w:rsidRPr="000814CB" w14:paraId="38B4DCC2" w14:textId="77777777" w:rsidTr="002C7C6E">
        <w:tc>
          <w:tcPr>
            <w:tcW w:w="1413" w:type="dxa"/>
          </w:tcPr>
          <w:p w14:paraId="1B483280" w14:textId="523B8A71" w:rsidR="009068CD" w:rsidRPr="000814CB" w:rsidRDefault="009068CD" w:rsidP="009068CD">
            <w:pPr>
              <w:pStyle w:val="TableTextLeft"/>
              <w:rPr>
                <w:color w:val="auto"/>
              </w:rPr>
            </w:pPr>
            <w:r w:rsidRPr="000814CB">
              <w:rPr>
                <w:color w:val="auto"/>
              </w:rPr>
              <w:t>Vacant land</w:t>
            </w:r>
          </w:p>
        </w:tc>
        <w:tc>
          <w:tcPr>
            <w:tcW w:w="6287" w:type="dxa"/>
          </w:tcPr>
          <w:p w14:paraId="3BC61232" w14:textId="59C47028" w:rsidR="009068CD" w:rsidRPr="000814CB" w:rsidRDefault="009068CD" w:rsidP="009068CD">
            <w:pPr>
              <w:pStyle w:val="TableTextLeft"/>
            </w:pPr>
            <w:r w:rsidRPr="000814CB">
              <w:t>Land is vacant if there is no substantive permanent building on the land that can be lawfully occupied by persons, goods or livestock.</w:t>
            </w:r>
          </w:p>
        </w:tc>
      </w:tr>
    </w:tbl>
    <w:p w14:paraId="181047F7" w14:textId="0AFC6403" w:rsidR="00823C66" w:rsidRPr="00A84283" w:rsidRDefault="00823C66" w:rsidP="001C7EE6">
      <w:pPr>
        <w:pStyle w:val="Circletext"/>
      </w:pPr>
    </w:p>
    <w:sectPr w:rsidR="00823C66" w:rsidRPr="00A84283" w:rsidSect="000E08BC">
      <w:type w:val="oddPage"/>
      <w:pgSz w:w="11906" w:h="16838" w:code="9"/>
      <w:pgMar w:top="2466" w:right="2098" w:bottom="2466" w:left="2098" w:header="1899" w:footer="1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77C68" w14:textId="77777777" w:rsidR="00191EF9" w:rsidRDefault="00191EF9" w:rsidP="002E2EFE">
      <w:r>
        <w:separator/>
      </w:r>
    </w:p>
  </w:endnote>
  <w:endnote w:type="continuationSeparator" w:id="0">
    <w:p w14:paraId="27C44B2E" w14:textId="77777777" w:rsidR="00191EF9" w:rsidRDefault="00191EF9" w:rsidP="002E2EFE">
      <w:r>
        <w:continuationSeparator/>
      </w:r>
    </w:p>
  </w:endnote>
  <w:endnote w:type="continuationNotice" w:id="1">
    <w:p w14:paraId="7764CE63" w14:textId="77777777" w:rsidR="00191EF9" w:rsidRDefault="00191EF9" w:rsidP="002E2E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wiss 721 BT">
    <w:altName w:val="Swiss 721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4BBFE" w14:textId="0A0E9C1C" w:rsidR="00191EF9" w:rsidRPr="00863986" w:rsidRDefault="00191EF9" w:rsidP="00863986">
    <w:pPr>
      <w:pStyle w:val="FooterEven"/>
    </w:pPr>
    <w:r w:rsidRPr="00863986">
      <w:t xml:space="preserve">Page </w:t>
    </w:r>
    <w:r w:rsidRPr="0065724D">
      <w:rPr>
        <w:rStyle w:val="PageNumber"/>
      </w:rPr>
      <w:fldChar w:fldCharType="begin"/>
    </w:r>
    <w:r w:rsidRPr="0065724D">
      <w:rPr>
        <w:rStyle w:val="PageNumber"/>
      </w:rPr>
      <w:instrText xml:space="preserve"> PAGE  \* roman  \* MERGEFORMAT </w:instrText>
    </w:r>
    <w:r w:rsidRPr="0065724D">
      <w:rPr>
        <w:rStyle w:val="PageNumber"/>
      </w:rPr>
      <w:fldChar w:fldCharType="separate"/>
    </w:r>
    <w:r>
      <w:rPr>
        <w:rStyle w:val="PageNumber"/>
        <w:noProof/>
      </w:rPr>
      <w:t>iv</w:t>
    </w:r>
    <w:r w:rsidRPr="0065724D">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CE24C" w14:textId="7E00341D" w:rsidR="00191EF9" w:rsidRDefault="00191EF9" w:rsidP="001C7EE6">
    <w:pPr>
      <w:pStyle w:val="FooterOdd"/>
    </w:pPr>
    <w:r>
      <w:t xml:space="preserve">Page </w:t>
    </w:r>
    <w:sdt>
      <w:sdtPr>
        <w:id w:val="17797485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0AF6">
          <w:rPr>
            <w:noProof/>
          </w:rPr>
          <w:t>1</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5C3CD" w14:textId="4D969B8E" w:rsidR="00191EF9" w:rsidRDefault="00191EF9" w:rsidP="009B247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ED2A3" w14:textId="27D24370" w:rsidR="00191EF9" w:rsidRDefault="00191EF9" w:rsidP="001C7EE6">
    <w:pPr>
      <w:pStyle w:val="FooterEven"/>
    </w:pPr>
    <w:r>
      <w:t xml:space="preserve">Page </w:t>
    </w:r>
    <w:sdt>
      <w:sdtPr>
        <w:id w:val="-13329852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0AF6">
          <w:rPr>
            <w:noProof/>
          </w:rPr>
          <w:t>38</w:t>
        </w:r>
        <w:r>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C9C9F" w14:textId="1E811096" w:rsidR="00191EF9" w:rsidRDefault="00191EF9" w:rsidP="009B2479">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5FA9" w14:textId="1CBA8AA4" w:rsidR="00191EF9" w:rsidRDefault="00191EF9">
    <w:pPr>
      <w:pStyle w:val="Footer"/>
      <w:jc w:val="right"/>
    </w:pPr>
    <w:r>
      <w:t xml:space="preserve">Page </w:t>
    </w:r>
    <w:sdt>
      <w:sdtPr>
        <w:id w:val="-5220140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0AF6">
          <w:rPr>
            <w:noProof/>
          </w:rPr>
          <w:t>47</w:t>
        </w:r>
        <w:r>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06DB4" w14:textId="3F10390B" w:rsidR="00191EF9" w:rsidRDefault="00191EF9" w:rsidP="009A590F">
    <w:pPr>
      <w:pStyle w:val="FooterOdd"/>
      <w:jc w:val="left"/>
    </w:pPr>
    <w:r>
      <w:t xml:space="preserve">Page </w:t>
    </w:r>
    <w:sdt>
      <w:sdtPr>
        <w:id w:val="-20610824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0AF6">
          <w:rPr>
            <w:noProof/>
          </w:rPr>
          <w:t>40</w:t>
        </w:r>
        <w:r>
          <w:rPr>
            <w:noProof/>
          </w:rPr>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61F63" w14:textId="2D8C2189" w:rsidR="00191EF9" w:rsidRDefault="00191EF9" w:rsidP="001C7EE6">
    <w:pPr>
      <w:pStyle w:val="FooterOdd"/>
    </w:pPr>
    <w:r>
      <w:t xml:space="preserve">Page </w:t>
    </w:r>
    <w:sdt>
      <w:sdtPr>
        <w:id w:val="-5711912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0AF6">
          <w:rPr>
            <w:noProof/>
          </w:rPr>
          <w:t>43</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A8395" w14:textId="574EF794" w:rsidR="00191EF9" w:rsidRPr="008D5EFD" w:rsidRDefault="00191EF9" w:rsidP="00863986">
    <w:pPr>
      <w:pStyle w:val="FooterOdd"/>
    </w:pPr>
    <w:r>
      <w:t xml:space="preserve">Page </w:t>
    </w:r>
    <w:r>
      <w:fldChar w:fldCharType="begin"/>
    </w:r>
    <w:r>
      <w:instrText xml:space="preserve"> PAGE  \* roman  \* MERGEFORMAT </w:instrText>
    </w:r>
    <w:r>
      <w:fldChar w:fldCharType="separate"/>
    </w:r>
    <w:r>
      <w:rPr>
        <w:noProof/>
      </w:rPr>
      <w:t>lxiv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1DAD9" w14:textId="77777777" w:rsidR="004A6B55" w:rsidRDefault="004A6B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2730B" w14:textId="3EE4D867" w:rsidR="00191EF9" w:rsidRDefault="00191EF9">
    <w:pPr>
      <w:pStyle w:val="FooterEven"/>
    </w:pPr>
    <w:r>
      <w:t xml:space="preserve">Page </w:t>
    </w:r>
    <w:r>
      <w:fldChar w:fldCharType="begin"/>
    </w:r>
    <w:r>
      <w:instrText xml:space="preserve"> PAGE   \* MERGEFORMAT </w:instrText>
    </w:r>
    <w:r>
      <w:fldChar w:fldCharType="separate"/>
    </w:r>
    <w:r w:rsidR="00970AF6">
      <w:rPr>
        <w:noProof/>
      </w:rPr>
      <w:t>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3971428"/>
      <w:docPartObj>
        <w:docPartGallery w:val="Page Numbers (Bottom of Page)"/>
        <w:docPartUnique/>
      </w:docPartObj>
    </w:sdtPr>
    <w:sdtEndPr>
      <w:rPr>
        <w:noProof/>
      </w:rPr>
    </w:sdtEndPr>
    <w:sdtContent>
      <w:p w14:paraId="79D6B4F6" w14:textId="15143D61" w:rsidR="00191EF9" w:rsidRDefault="00191EF9">
        <w:pPr>
          <w:pStyle w:val="FooterOdd"/>
        </w:pPr>
        <w:r>
          <w:fldChar w:fldCharType="begin"/>
        </w:r>
        <w:r>
          <w:instrText xml:space="preserve"> PAGE   \* MERGEFORMAT </w:instrText>
        </w:r>
        <w:r>
          <w:rPr>
            <w:noProof/>
          </w:rPr>
          <w:instrText>47</w:instrText>
        </w:r>
        <w:r>
          <w:fldChar w:fldCharType="separate"/>
        </w:r>
        <w:r w:rsidR="00E34152">
          <w:rPr>
            <w:noProof/>
          </w:rPr>
          <w:t>iii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29A6E" w14:textId="77777777" w:rsidR="00191EF9" w:rsidRPr="003711D9" w:rsidRDefault="00191EF9" w:rsidP="00497197">
    <w:pPr>
      <w:pStyle w:val="FooterEven"/>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A2C8C" w14:textId="463A3AE2" w:rsidR="00191EF9" w:rsidRPr="00863986" w:rsidRDefault="00191EF9" w:rsidP="00863986">
    <w:pPr>
      <w:pStyle w:val="FooterOdd"/>
    </w:pPr>
    <w:r w:rsidRPr="00863986">
      <w:t xml:space="preserve">Page </w:t>
    </w:r>
    <w:r w:rsidRPr="00863986">
      <w:fldChar w:fldCharType="begin"/>
    </w:r>
    <w:r w:rsidRPr="00863986">
      <w:instrText xml:space="preserve"> PAGE  \* roman  \* MERGEFORMAT </w:instrText>
    </w:r>
    <w:r w:rsidRPr="00863986">
      <w:fldChar w:fldCharType="separate"/>
    </w:r>
    <w:r w:rsidR="00970AF6">
      <w:rPr>
        <w:noProof/>
      </w:rPr>
      <w:t>vii</w:t>
    </w:r>
    <w:r w:rsidRPr="0086398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F42AC" w14:textId="3CEBBC98" w:rsidR="00191EF9" w:rsidRDefault="00191EF9" w:rsidP="009B2479">
    <w:pPr>
      <w:pStyle w:val="Footer"/>
    </w:pPr>
    <w:r>
      <w:t xml:space="preserve">Page </w:t>
    </w:r>
    <w:sdt>
      <w:sdtPr>
        <w:id w:val="161084995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0AF6">
          <w:rPr>
            <w:noProof/>
          </w:rPr>
          <w:t>8</w:t>
        </w:r>
        <w:r>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18C1" w14:textId="073858FD" w:rsidR="00191EF9" w:rsidRDefault="00191EF9" w:rsidP="009B2479">
    <w:pPr>
      <w:pStyle w:val="Footer"/>
      <w:jc w:val="right"/>
    </w:pPr>
    <w:r>
      <w:t xml:space="preserve">Page </w:t>
    </w:r>
    <w:sdt>
      <w:sdtPr>
        <w:id w:val="-36128414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70AF6">
          <w:rPr>
            <w:noProof/>
          </w:rPr>
          <w:t>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072D3" w14:textId="77777777" w:rsidR="00191EF9" w:rsidRDefault="00191EF9" w:rsidP="002E2EFE">
      <w:r>
        <w:separator/>
      </w:r>
    </w:p>
  </w:footnote>
  <w:footnote w:type="continuationSeparator" w:id="0">
    <w:p w14:paraId="174227AF" w14:textId="77777777" w:rsidR="00191EF9" w:rsidRDefault="00191EF9" w:rsidP="002E2EFE">
      <w:r>
        <w:continuationSeparator/>
      </w:r>
    </w:p>
  </w:footnote>
  <w:footnote w:type="continuationNotice" w:id="1">
    <w:p w14:paraId="75AE9344" w14:textId="77777777" w:rsidR="00191EF9" w:rsidRDefault="00191EF9" w:rsidP="002E2EFE"/>
  </w:footnote>
  <w:footnote w:id="2">
    <w:p w14:paraId="7B424A3E" w14:textId="558B49D8" w:rsidR="00191EF9" w:rsidRDefault="00191EF9" w:rsidP="002E2EFE">
      <w:pPr>
        <w:pStyle w:val="FootnoteText"/>
      </w:pPr>
      <w:r w:rsidRPr="00C71585">
        <w:rPr>
          <w:rStyle w:val="FootnoteReference"/>
          <w:vertAlign w:val="baseline"/>
        </w:rPr>
        <w:footnoteRef/>
      </w:r>
      <w:r>
        <w:t xml:space="preserve"> </w:t>
      </w:r>
      <w:r>
        <w:tab/>
        <w:t>The Board is supported in its responsibilities by Treasury’s Foreign Investment Division and Public Groups and International in the Australian Taxation Office (ATO). Treasury and the ATO are collectively referred to in this report as ‘FIRB agencies’.</w:t>
      </w:r>
    </w:p>
  </w:footnote>
  <w:footnote w:id="3">
    <w:p w14:paraId="18B6E964" w14:textId="4BE49458" w:rsidR="00191EF9" w:rsidRPr="00F96DEA" w:rsidRDefault="00191EF9" w:rsidP="002E2EFE">
      <w:pPr>
        <w:pStyle w:val="FootnoteText"/>
      </w:pPr>
      <w:r w:rsidRPr="00C71585">
        <w:rPr>
          <w:rStyle w:val="FootnoteReference"/>
          <w:vertAlign w:val="baseline"/>
        </w:rPr>
        <w:footnoteRef/>
      </w:r>
      <w:r w:rsidRPr="00C71585">
        <w:t xml:space="preserve"> </w:t>
      </w:r>
      <w:r>
        <w:tab/>
      </w:r>
      <w:r w:rsidRPr="00F96DEA">
        <w:t>The Treasurer has provided delegations to senior officers in FIRB agencies to make decisions on applications that are consistent with the foreign investment framework. Certain applications are decided by other Treasury portfolio ministers.</w:t>
      </w:r>
    </w:p>
  </w:footnote>
  <w:footnote w:id="4">
    <w:p w14:paraId="3B30CAD8" w14:textId="04E30F9F" w:rsidR="00191EF9" w:rsidRDefault="00191EF9">
      <w:pPr>
        <w:pStyle w:val="FootnoteText"/>
      </w:pPr>
      <w:r w:rsidRPr="00C71585">
        <w:rPr>
          <w:rStyle w:val="FootnoteReference"/>
          <w:vertAlign w:val="baseline"/>
        </w:rPr>
        <w:footnoteRef/>
      </w:r>
      <w:r w:rsidRPr="00C71585">
        <w:t xml:space="preserve"> </w:t>
      </w:r>
      <w:r>
        <w:tab/>
        <w:t>Industry Value A</w:t>
      </w:r>
      <w:r w:rsidRPr="00DB117B">
        <w:t>dd is the industry’s (in this case foreign invested enterprises) contribution to GDP</w:t>
      </w:r>
      <w:r>
        <w:t>.</w:t>
      </w:r>
    </w:p>
  </w:footnote>
  <w:footnote w:id="5">
    <w:p w14:paraId="3C80F89D" w14:textId="664745A7" w:rsidR="00191EF9" w:rsidRPr="00F96DEA" w:rsidRDefault="00191EF9" w:rsidP="002E2EFE">
      <w:pPr>
        <w:pStyle w:val="FootnoteText"/>
      </w:pPr>
      <w:r w:rsidRPr="00C71585">
        <w:rPr>
          <w:rStyle w:val="FootnoteReference"/>
          <w:vertAlign w:val="baseline"/>
        </w:rPr>
        <w:footnoteRef/>
      </w:r>
      <w:r>
        <w:t xml:space="preserve"> </w:t>
      </w:r>
      <w:r>
        <w:tab/>
        <w:t xml:space="preserve">All statistics in this paragraph from: ABS Catalogue no.: 5494.0 – </w:t>
      </w:r>
      <w:r w:rsidRPr="00C13988">
        <w:rPr>
          <w:i/>
        </w:rPr>
        <w:t>Economic Activity of Foreign Owned Businesses in Australia</w:t>
      </w:r>
      <w:r>
        <w:t>.</w:t>
      </w:r>
    </w:p>
  </w:footnote>
  <w:footnote w:id="6">
    <w:p w14:paraId="3C41EB81" w14:textId="7920C851" w:rsidR="00191EF9" w:rsidRDefault="00191EF9" w:rsidP="00F96DEA">
      <w:pPr>
        <w:pStyle w:val="FootnoteText"/>
      </w:pPr>
      <w:r w:rsidRPr="00C71585">
        <w:footnoteRef/>
      </w:r>
      <w:r w:rsidRPr="00C71585">
        <w:t xml:space="preserve"> </w:t>
      </w:r>
      <w:r>
        <w:tab/>
        <w:t>See ABS Catalogue no.:</w:t>
      </w:r>
    </w:p>
    <w:p w14:paraId="7AC5DDB8" w14:textId="09360A4F" w:rsidR="00191EF9" w:rsidRPr="00482B78" w:rsidRDefault="00191EF9" w:rsidP="00F96DEA">
      <w:pPr>
        <w:pStyle w:val="FootnoteText"/>
      </w:pPr>
      <w:r>
        <w:tab/>
      </w:r>
      <w:r w:rsidRPr="00482B78">
        <w:t xml:space="preserve">5302.0 – </w:t>
      </w:r>
      <w:r w:rsidRPr="00482B78">
        <w:rPr>
          <w:i/>
        </w:rPr>
        <w:t>Balance of Payments and International Investment Position</w:t>
      </w:r>
      <w:r w:rsidRPr="00482B78">
        <w:t xml:space="preserve">, </w:t>
      </w:r>
      <w:r w:rsidRPr="00C13AC9">
        <w:rPr>
          <w:i/>
        </w:rPr>
        <w:t>Australia</w:t>
      </w:r>
      <w:r w:rsidRPr="00482B78">
        <w:t>, which provides the overall investment trends;</w:t>
      </w:r>
    </w:p>
    <w:p w14:paraId="5CC32A45" w14:textId="1DE55297" w:rsidR="00191EF9" w:rsidRDefault="00191EF9" w:rsidP="00F96DEA">
      <w:pPr>
        <w:pStyle w:val="FootnoteText"/>
      </w:pPr>
      <w:r>
        <w:tab/>
      </w:r>
      <w:r w:rsidRPr="00482B78">
        <w:t xml:space="preserve">5352.0 – </w:t>
      </w:r>
      <w:r w:rsidRPr="00482B78">
        <w:rPr>
          <w:i/>
        </w:rPr>
        <w:t>International Investment Position, Australia: Supplementary Statistics</w:t>
      </w:r>
      <w:r w:rsidRPr="00482B78">
        <w:t>, which includes actual foreign investment statistics by investor country or by industry division for in</w:t>
      </w:r>
      <w:r>
        <w:t>ward foreign investment; and</w:t>
      </w:r>
    </w:p>
    <w:p w14:paraId="12CBEE9C" w14:textId="7891E748" w:rsidR="00191EF9" w:rsidRPr="00482B78" w:rsidRDefault="00191EF9" w:rsidP="00F96DEA">
      <w:pPr>
        <w:pStyle w:val="FootnoteText"/>
      </w:pPr>
      <w:r>
        <w:tab/>
        <w:t xml:space="preserve">5494.0 – </w:t>
      </w:r>
      <w:r w:rsidRPr="00482B78">
        <w:rPr>
          <w:i/>
        </w:rPr>
        <w:t>Economic Activity of Foreign Owned Businesses in Australia, 2014-15</w:t>
      </w:r>
      <w:r>
        <w:t>, for information on the economic activity of foreign owned businesses in Australia.</w:t>
      </w:r>
    </w:p>
    <w:p w14:paraId="1BDDB7EC" w14:textId="77777777" w:rsidR="00191EF9" w:rsidRDefault="00191EF9" w:rsidP="002E2EFE">
      <w:pPr>
        <w:pStyle w:val="FootnoteText"/>
      </w:pPr>
    </w:p>
  </w:footnote>
  <w:footnote w:id="7">
    <w:p w14:paraId="1D6A6C34" w14:textId="7021C3DF" w:rsidR="00191EF9" w:rsidRDefault="00191EF9" w:rsidP="002E2EFE">
      <w:pPr>
        <w:pStyle w:val="FootnoteText"/>
      </w:pPr>
      <w:r w:rsidRPr="00FA39E4">
        <w:rPr>
          <w:rStyle w:val="FootnoteReference"/>
          <w:vertAlign w:val="baseline"/>
        </w:rPr>
        <w:footnoteRef/>
      </w:r>
      <w:r>
        <w:t xml:space="preserve"> </w:t>
      </w:r>
      <w:r>
        <w:tab/>
        <w:t>This requirement was codified in the Act from 1 December 2015.</w:t>
      </w:r>
    </w:p>
    <w:p w14:paraId="26EE8294" w14:textId="16C5DA83" w:rsidR="00191EF9" w:rsidRDefault="00191EF9" w:rsidP="002E2EFE">
      <w:pPr>
        <w:pStyle w:val="FootnoteText"/>
      </w:pPr>
      <w:r>
        <w:tab/>
        <w:t>Starting an Australian business refers to when a foreign government investor starts to carry on an Australian business, or if a foreign government investor already carries on an Australian business, the business starts a new activity under the Australian and New Zealand Standard Industrial Classification (ANZSIC, 2006) Codes and the activity is not incidental to an existing activity of the Australian business and the activity is within a different Division under the Codes. For a foreign government investor that already carries on an Australian business, starting a new business excludes when they establish a new entity, alone or with others, to undertake the same Australian business or acquire interests in such an Australian business.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AD525" w14:textId="77777777" w:rsidR="004A6B55" w:rsidRDefault="004A6B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837A9" w14:textId="3A6A3397" w:rsidR="00191EF9" w:rsidRDefault="00191EF9" w:rsidP="00F6633B">
    <w:pPr>
      <w:pStyle w:val="HeaderEven"/>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20557" w14:textId="2377465D" w:rsidR="00191EF9" w:rsidRDefault="00191EF9" w:rsidP="00A42FAB">
    <w:pPr>
      <w:pStyle w:val="HeaderOdd"/>
    </w:pPr>
    <w:r>
      <w:t>Contents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9AD24" w14:textId="77777777" w:rsidR="00191EF9" w:rsidRDefault="00191EF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C9706" w14:textId="143EDA96" w:rsidR="00191EF9" w:rsidRDefault="00191EF9" w:rsidP="00803AC4">
    <w:pPr>
      <w:pStyle w:val="HeaderEven"/>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29C56" w14:textId="65C8D319" w:rsidR="00191EF9" w:rsidRPr="00F6633B" w:rsidRDefault="00DC6915" w:rsidP="00F6633B">
    <w:pPr>
      <w:pStyle w:val="Header"/>
      <w:jc w:val="right"/>
    </w:pPr>
    <w:fldSimple w:instr=" STYLEREF  &quot;Heading 1&quot;  \* MERGEFORMAT ">
      <w:r w:rsidR="00970AF6">
        <w:rPr>
          <w:noProof/>
        </w:rPr>
        <w:t>Chapter One: The Foreign Investment Review Board</w:t>
      </w:r>
    </w:fldSimple>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C208A" w14:textId="77777777" w:rsidR="00191EF9" w:rsidRDefault="00191EF9" w:rsidP="00803AC4">
    <w:pPr>
      <w:pStyle w:val="HeaderEven"/>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FBBFB" w14:textId="0FC7AF41" w:rsidR="00191EF9" w:rsidRDefault="00773301" w:rsidP="00863986">
    <w:pPr>
      <w:pStyle w:val="HeaderEven"/>
    </w:pPr>
    <w:r>
      <w:rPr>
        <w:noProof/>
      </w:rPr>
      <mc:AlternateContent>
        <mc:Choice Requires="wps">
          <w:drawing>
            <wp:anchor distT="0" distB="0" distL="114300" distR="114300" simplePos="0" relativeHeight="251658244" behindDoc="0" locked="0" layoutInCell="1" allowOverlap="1" wp14:anchorId="55DA2F98" wp14:editId="4E4E5795">
              <wp:simplePos x="0" y="0"/>
              <wp:positionH relativeFrom="column">
                <wp:posOffset>-2268220</wp:posOffset>
              </wp:positionH>
              <wp:positionV relativeFrom="page">
                <wp:posOffset>3078480</wp:posOffset>
              </wp:positionV>
              <wp:extent cx="5112000"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112000" cy="1403985"/>
                      </a:xfrm>
                      <a:prstGeom prst="rect">
                        <a:avLst/>
                      </a:prstGeom>
                      <a:noFill/>
                      <a:ln w="9525">
                        <a:noFill/>
                        <a:miter lim="800000"/>
                        <a:headEnd/>
                        <a:tailEnd/>
                      </a:ln>
                    </wps:spPr>
                    <wps:txbx>
                      <w:txbxContent>
                        <w:p w14:paraId="4E9C6FBE" w14:textId="57A20B29" w:rsidR="00191EF9" w:rsidRDefault="00191EF9" w:rsidP="001C7EE6">
                          <w:pPr>
                            <w:pStyle w:val="FooterEven"/>
                          </w:pPr>
                          <w:r>
                            <w:t xml:space="preserve">Page </w:t>
                          </w:r>
                          <w:r>
                            <w:fldChar w:fldCharType="begin"/>
                          </w:r>
                          <w:r>
                            <w:instrText xml:space="preserve"> PAGE   \* MERGEFORMAT </w:instrText>
                          </w:r>
                          <w:r>
                            <w:fldChar w:fldCharType="separate"/>
                          </w:r>
                          <w:r w:rsidR="00970AF6">
                            <w:rPr>
                              <w:noProof/>
                            </w:rPr>
                            <w:t>36</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DA2F98" id="_x0000_t202" coordsize="21600,21600" o:spt="202" path="m,l,21600r21600,l21600,xe">
              <v:stroke joinstyle="miter"/>
              <v:path gradientshapeok="t" o:connecttype="rect"/>
            </v:shapetype>
            <v:shape id="Text Box 2" o:spid="_x0000_s1032" type="#_x0000_t202" style="position:absolute;margin-left:-178.6pt;margin-top:242.4pt;width:402.5pt;height:110.55pt;rotation:90;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" filled="f" stroked="f">
              <v:textbox style="mso-fit-shape-to-text:t">
                <w:txbxContent>
                  <w:p w14:paraId="4E9C6FBE" w14:textId="57A20B29" w:rsidR="00191EF9" w:rsidRDefault="00191EF9" w:rsidP="001C7EE6">
                    <w:pPr>
                      <w:pStyle w:val="FooterEven"/>
                    </w:pPr>
                    <w:r>
                      <w:t xml:space="preserve">Page </w:t>
                    </w:r>
                    <w:r>
                      <w:fldChar w:fldCharType="begin"/>
                    </w:r>
                    <w:r>
                      <w:instrText xml:space="preserve"> PAGE   \* MERGEFORMAT </w:instrText>
                    </w:r>
                    <w:r>
                      <w:fldChar w:fldCharType="separate"/>
                    </w:r>
                    <w:r w:rsidR="00970AF6">
                      <w:rPr>
                        <w:noProof/>
                      </w:rPr>
                      <w:t>36</w:t>
                    </w:r>
                    <w:r>
                      <w:fldChar w:fldCharType="end"/>
                    </w:r>
                  </w:p>
                </w:txbxContent>
              </v:textbox>
              <w10:wrap anchory="page"/>
            </v:shape>
          </w:pict>
        </mc:Fallback>
      </mc:AlternateContent>
    </w:r>
    <w:r w:rsidR="00F6597A">
      <w:rPr>
        <w:noProof/>
      </w:rPr>
      <mc:AlternateContent>
        <mc:Choice Requires="wps">
          <w:drawing>
            <wp:anchor distT="0" distB="0" distL="114300" distR="114300" simplePos="0" relativeHeight="251658242" behindDoc="0" locked="0" layoutInCell="1" allowOverlap="1" wp14:anchorId="3FCD3BAC" wp14:editId="344D514B">
              <wp:simplePos x="0" y="0"/>
              <wp:positionH relativeFrom="column">
                <wp:posOffset>5904865</wp:posOffset>
              </wp:positionH>
              <wp:positionV relativeFrom="page">
                <wp:posOffset>3060700</wp:posOffset>
              </wp:positionV>
              <wp:extent cx="5054400" cy="1403985"/>
              <wp:effectExtent l="0" t="0" r="952"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054400" cy="1403985"/>
                      </a:xfrm>
                      <a:prstGeom prst="rect">
                        <a:avLst/>
                      </a:prstGeom>
                      <a:noFill/>
                      <a:ln w="9525">
                        <a:noFill/>
                        <a:miter lim="800000"/>
                        <a:headEnd/>
                        <a:tailEnd/>
                      </a:ln>
                    </wps:spPr>
                    <wps:txbx>
                      <w:txbxContent>
                        <w:p w14:paraId="72CD6BC8" w14:textId="0E91332D" w:rsidR="00191EF9" w:rsidRDefault="00191EF9" w:rsidP="001C7EE6">
                          <w:pPr>
                            <w:pStyle w:val="HeaderOdd"/>
                            <w:jc w:val="left"/>
                          </w:pPr>
                          <w:r w:rsidRPr="00367CC8">
                            <w:t>Foreign Investment Review Board Annual Report 2018</w:t>
                          </w:r>
                          <w:r>
                            <w:t>-</w:t>
                          </w:r>
                          <w:r w:rsidRPr="00367CC8">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CD3BAC" id="_x0000_s1033" type="#_x0000_t202" style="position:absolute;margin-left:464.95pt;margin-top:241pt;width:398pt;height:110.55pt;rotation:90;z-index:25165824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" filled="f" stroked="f">
              <v:textbox style="mso-fit-shape-to-text:t">
                <w:txbxContent>
                  <w:p w14:paraId="72CD6BC8" w14:textId="0E91332D" w:rsidR="00191EF9" w:rsidRDefault="00191EF9" w:rsidP="001C7EE6">
                    <w:pPr>
                      <w:pStyle w:val="HeaderOdd"/>
                      <w:jc w:val="left"/>
                    </w:pPr>
                    <w:bookmarkStart w:id="135" w:name="_GoBack"/>
                    <w:r w:rsidRPr="00367CC8">
                      <w:t>Foreign Investment Review Board Annual Report 2018</w:t>
                    </w:r>
                    <w:r>
                      <w:t>-</w:t>
                    </w:r>
                    <w:r w:rsidRPr="00367CC8">
                      <w:t>19</w:t>
                    </w:r>
                    <w:bookmarkEnd w:id="135"/>
                  </w:p>
                </w:txbxContent>
              </v:textbox>
              <w10:wrap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7E36F" w14:textId="34D5DB1E" w:rsidR="00191EF9" w:rsidRDefault="00191EF9" w:rsidP="00863986">
    <w:pPr>
      <w:pStyle w:val="HeaderEven"/>
    </w:pPr>
    <w:r w:rsidRPr="009419BA">
      <w:t>Foreign Investment Review Board Annual Report 2018</w:t>
    </w:r>
    <w:r w:rsidRPr="009419BA">
      <w:noBreakHyphen/>
      <w:t>19</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430B9" w14:textId="734E8F1A" w:rsidR="00191EF9" w:rsidRPr="00F6633B" w:rsidRDefault="009708E2" w:rsidP="00F6633B">
    <w:pPr>
      <w:pStyle w:val="Header"/>
      <w:jc w:val="right"/>
    </w:pPr>
    <w:r>
      <w:rPr>
        <w:noProof/>
      </w:rPr>
      <mc:AlternateContent>
        <mc:Choice Requires="wps">
          <w:drawing>
            <wp:anchor distT="0" distB="0" distL="114300" distR="114300" simplePos="0" relativeHeight="251658241" behindDoc="0" locked="0" layoutInCell="1" allowOverlap="1" wp14:anchorId="58A784A8" wp14:editId="6A0E8BC1">
              <wp:simplePos x="0" y="0"/>
              <wp:positionH relativeFrom="column">
                <wp:posOffset>5904865</wp:posOffset>
              </wp:positionH>
              <wp:positionV relativeFrom="page">
                <wp:posOffset>3082925</wp:posOffset>
              </wp:positionV>
              <wp:extent cx="5053965" cy="1403985"/>
              <wp:effectExtent l="1905"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053965" cy="1403985"/>
                      </a:xfrm>
                      <a:prstGeom prst="rect">
                        <a:avLst/>
                      </a:prstGeom>
                      <a:noFill/>
                      <a:ln w="9525">
                        <a:noFill/>
                        <a:miter lim="800000"/>
                        <a:headEnd/>
                        <a:tailEnd/>
                      </a:ln>
                    </wps:spPr>
                    <wps:txbx>
                      <w:txbxContent>
                        <w:p w14:paraId="1FBEBCFB" w14:textId="32C7C2B4" w:rsidR="00191EF9" w:rsidRDefault="00191EF9" w:rsidP="00A6095F">
                          <w:pPr>
                            <w:pStyle w:val="HeaderOdd"/>
                          </w:pPr>
                          <w:r>
                            <w:t>Chapter Three: Applications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A784A8" id="_x0000_t202" coordsize="21600,21600" o:spt="202" path="m,l,21600r21600,l21600,xe">
              <v:stroke joinstyle="miter"/>
              <v:path gradientshapeok="t" o:connecttype="rect"/>
            </v:shapetype>
            <v:shape id="_x0000_s1034" type="#_x0000_t202" style="position:absolute;left:0;text-align:left;margin-left:464.95pt;margin-top:242.75pt;width:397.95pt;height:110.55pt;rotation:90;z-index:251658241;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" filled="f" stroked="f">
              <v:textbox style="mso-fit-shape-to-text:t">
                <w:txbxContent>
                  <w:p w14:paraId="1FBEBCFB" w14:textId="32C7C2B4" w:rsidR="00191EF9" w:rsidRDefault="00191EF9" w:rsidP="00A6095F">
                    <w:pPr>
                      <w:pStyle w:val="HeaderOdd"/>
                    </w:pPr>
                    <w:r>
                      <w:t>Chapter Three: Applications Data</w:t>
                    </w:r>
                  </w:p>
                </w:txbxContent>
              </v:textbox>
              <w10:wrap anchory="page"/>
            </v:shape>
          </w:pict>
        </mc:Fallback>
      </mc:AlternateContent>
    </w:r>
    <w:r w:rsidR="00191EF9">
      <w:rPr>
        <w:noProof/>
      </w:rPr>
      <mc:AlternateContent>
        <mc:Choice Requires="wps">
          <w:drawing>
            <wp:anchor distT="0" distB="0" distL="114300" distR="114300" simplePos="0" relativeHeight="251658243" behindDoc="0" locked="0" layoutInCell="1" allowOverlap="1" wp14:anchorId="102621DD" wp14:editId="55B0D50B">
              <wp:simplePos x="0" y="0"/>
              <wp:positionH relativeFrom="column">
                <wp:posOffset>-2268220</wp:posOffset>
              </wp:positionH>
              <wp:positionV relativeFrom="page">
                <wp:posOffset>3078480</wp:posOffset>
              </wp:positionV>
              <wp:extent cx="5112000" cy="14039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112000" cy="1403985"/>
                      </a:xfrm>
                      <a:prstGeom prst="rect">
                        <a:avLst/>
                      </a:prstGeom>
                      <a:noFill/>
                      <a:ln w="9525">
                        <a:noFill/>
                        <a:miter lim="800000"/>
                        <a:headEnd/>
                        <a:tailEnd/>
                      </a:ln>
                    </wps:spPr>
                    <wps:txbx>
                      <w:txbxContent>
                        <w:p w14:paraId="32003979" w14:textId="2F3C7BF2" w:rsidR="00191EF9" w:rsidRDefault="00191EF9" w:rsidP="00367CC8">
                          <w:pPr>
                            <w:pStyle w:val="FooterOdd"/>
                          </w:pPr>
                          <w:r>
                            <w:t xml:space="preserve">Page </w:t>
                          </w:r>
                          <w:r>
                            <w:fldChar w:fldCharType="begin"/>
                          </w:r>
                          <w:r>
                            <w:instrText xml:space="preserve"> PAGE   \* MERGEFORMAT </w:instrText>
                          </w:r>
                          <w:r>
                            <w:fldChar w:fldCharType="separate"/>
                          </w:r>
                          <w:r w:rsidR="00970AF6">
                            <w:rPr>
                              <w:noProof/>
                            </w:rPr>
                            <w:t>39</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2621DD" id="_x0000_t202" coordsize="21600,21600" o:spt="202" path="m,l,21600r21600,l21600,xe">
              <v:stroke joinstyle="miter"/>
              <v:path gradientshapeok="t" o:connecttype="rect"/>
            </v:shapetype>
            <v:shape id="_x0000_s1035" type="#_x0000_t202" style="position:absolute;left:0;text-align:left;margin-left:-178.6pt;margin-top:242.4pt;width:402.5pt;height:110.55pt;rotation:90;z-index:251658243;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" filled="f" stroked="f">
              <v:textbox style="mso-fit-shape-to-text:t">
                <w:txbxContent>
                  <w:p w14:paraId="32003979" w14:textId="2F3C7BF2" w:rsidR="00191EF9" w:rsidRDefault="00191EF9" w:rsidP="00367CC8">
                    <w:pPr>
                      <w:pStyle w:val="FooterOdd"/>
                    </w:pPr>
                    <w:r>
                      <w:t xml:space="preserve">Page </w:t>
                    </w:r>
                    <w:r>
                      <w:fldChar w:fldCharType="begin"/>
                    </w:r>
                    <w:r>
                      <w:instrText xml:space="preserve"> PAGE   \* MERGEFORMAT </w:instrText>
                    </w:r>
                    <w:r>
                      <w:fldChar w:fldCharType="separate"/>
                    </w:r>
                    <w:r w:rsidR="00970AF6">
                      <w:rPr>
                        <w:noProof/>
                      </w:rPr>
                      <w:t>39</w:t>
                    </w:r>
                    <w:r>
                      <w:fldChar w:fldCharType="end"/>
                    </w:r>
                  </w:p>
                </w:txbxContent>
              </v:textbox>
              <w10:wrap anchory="page"/>
            </v:shape>
          </w:pict>
        </mc:Fallback>
      </mc:AlternateContent>
    </w:r>
    <w:r w:rsidR="00191EF9" w:rsidRPr="00F6633B">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55F2D" w14:textId="17C9EDB3" w:rsidR="00191EF9" w:rsidRPr="00F6633B" w:rsidRDefault="00DC6915" w:rsidP="00937DBF">
    <w:pPr>
      <w:pStyle w:val="Header"/>
      <w:jc w:val="right"/>
    </w:pPr>
    <w:fldSimple w:instr=" STYLEREF  &quot;Heading 1&quot;  \* MERGEFORMAT ">
      <w:r w:rsidR="00970AF6">
        <w:rPr>
          <w:noProof/>
        </w:rPr>
        <w:t>Chapter Three: Applications Data</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5B22E" w14:textId="77777777" w:rsidR="004A6B55" w:rsidRDefault="004A6B5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55775" w14:textId="1CD928B8" w:rsidR="00191EF9" w:rsidRDefault="00191EF9" w:rsidP="00803AC4">
    <w:pPr>
      <w:pStyle w:val="HeaderEven"/>
    </w:pPr>
    <w:r w:rsidRPr="009419BA">
      <w:t>Foreign Investment Review Board Annual Report 2018</w:t>
    </w:r>
    <w:r w:rsidRPr="009419BA">
      <w:noBreakHyphen/>
      <w:t>19</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14037" w14:textId="22AABF43" w:rsidR="00191EF9" w:rsidRPr="00F6633B" w:rsidRDefault="00DC6915" w:rsidP="00937DBF">
    <w:pPr>
      <w:pStyle w:val="Header"/>
      <w:jc w:val="right"/>
    </w:pPr>
    <w:fldSimple w:instr=" STYLEREF  &quot;Heading 1&quot;  \* MERGEFORMAT ">
      <w:r w:rsidR="00970AF6">
        <w:rPr>
          <w:noProof/>
        </w:rPr>
        <w:t>Chapter Four: Compliance</w:t>
      </w:r>
    </w:fldSimple>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BC2E9" w14:textId="228A2ECD" w:rsidR="00191EF9" w:rsidRPr="00803AC4" w:rsidRDefault="00191EF9" w:rsidP="00803AC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8C34C" w14:textId="77777777" w:rsidR="00191EF9" w:rsidRDefault="00191EF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E13DE" w14:textId="6CD887D2" w:rsidR="00191EF9" w:rsidRPr="00F6633B" w:rsidRDefault="00DC6915" w:rsidP="00937DBF">
    <w:pPr>
      <w:pStyle w:val="Header"/>
      <w:jc w:val="right"/>
    </w:pPr>
    <w:fldSimple w:instr=" STYLEREF  &quot;Appendix Heading&quot;  \* MERGEFORMAT ">
      <w:r w:rsidR="00970AF6">
        <w:rPr>
          <w:noProof/>
        </w:rPr>
        <w:t>Appendix D: Glossary</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A9BBF" w14:textId="77777777" w:rsidR="004A6B55" w:rsidRDefault="004A6B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4476" w14:textId="5910C2E6" w:rsidR="00191EF9" w:rsidRPr="003E1D3A" w:rsidRDefault="00DC6915" w:rsidP="00497197">
    <w:pPr>
      <w:pStyle w:val="HeaderEven"/>
    </w:pPr>
    <w:fldSimple w:instr=" TITLE   \* MERGEFORMAT ">
      <w:r>
        <w:t>FIRB Annual Report 2018-19</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C8B99" w14:textId="0FA011BE" w:rsidR="00191EF9" w:rsidRDefault="00DC6915" w:rsidP="00497197">
    <w:pPr>
      <w:pStyle w:val="HeaderOdd"/>
    </w:pPr>
    <w:fldSimple w:instr=" TITLE   \* MERGEFORMAT ">
      <w:r>
        <w:t>FIRB Annual Report 2018-19</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0BA76" w14:textId="77777777" w:rsidR="00191EF9" w:rsidRPr="00D74D35" w:rsidRDefault="00191EF9" w:rsidP="00497197">
    <w:pPr>
      <w:pStyle w:val="HeaderEven"/>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3ED72" w14:textId="77777777" w:rsidR="00191EF9" w:rsidRDefault="00191EF9" w:rsidP="00863986">
    <w:pPr>
      <w:pStyle w:val="HeaderEven"/>
    </w:pPr>
    <w:r w:rsidRPr="009419BA">
      <w:t>Foreign Investment Review Board Annual Report 2018</w:t>
    </w:r>
    <w:r w:rsidRPr="009419BA">
      <w:noBreakHyphen/>
      <w:t>19</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8BA68" w14:textId="77777777" w:rsidR="00191EF9" w:rsidRDefault="00191EF9" w:rsidP="00863986">
    <w:pPr>
      <w:pStyle w:val="HeaderEven"/>
      <w:jc w:val="right"/>
    </w:pPr>
    <w:r w:rsidRPr="009419BA">
      <w:t>Foreign Investment Review Board Annual Report 2018</w:t>
    </w:r>
    <w:r w:rsidRPr="009419BA">
      <w:noBreakHyphen/>
      <w:t>19</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7EB86" w14:textId="77777777" w:rsidR="00191EF9" w:rsidRPr="004260ED" w:rsidRDefault="00191EF9" w:rsidP="004260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5210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B2A3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BA89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3689D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7383F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463C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0A89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8A10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A80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367B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4C27DF"/>
    <w:multiLevelType w:val="multilevel"/>
    <w:tmpl w:val="B6D807B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9C960FD"/>
    <w:multiLevelType w:val="multilevel"/>
    <w:tmpl w:val="9E2A2866"/>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12" w15:restartNumberingAfterBreak="0">
    <w:nsid w:val="1BFB30DC"/>
    <w:multiLevelType w:val="hybridMultilevel"/>
    <w:tmpl w:val="424A844C"/>
    <w:lvl w:ilvl="0" w:tplc="0EAE9A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C62640"/>
    <w:multiLevelType w:val="hybridMultilevel"/>
    <w:tmpl w:val="5A48F05E"/>
    <w:lvl w:ilvl="0" w:tplc="5A26E150">
      <w:start w:val="1"/>
      <w:numFmt w:val="bullet"/>
      <w:pStyle w:val="TableText-das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4237C5"/>
    <w:multiLevelType w:val="multilevel"/>
    <w:tmpl w:val="F0BE3518"/>
    <w:name w:val="StandardNumberedList"/>
    <w:lvl w:ilvl="0">
      <w:start w:val="1"/>
      <w:numFmt w:val="decimal"/>
      <w:lvlRestart w:val="0"/>
      <w:pStyle w:val="OutlineNumbered1"/>
      <w:lvlText w:val="%1."/>
      <w:lvlJc w:val="left"/>
      <w:pPr>
        <w:tabs>
          <w:tab w:val="num" w:pos="567"/>
        </w:tabs>
        <w:ind w:left="567" w:hanging="567"/>
      </w:pPr>
      <w:rPr>
        <w:b w:val="0"/>
        <w:i w:val="0"/>
      </w:rPr>
    </w:lvl>
    <w:lvl w:ilvl="1">
      <w:start w:val="1"/>
      <w:numFmt w:val="decimal"/>
      <w:pStyle w:val="OutlineNumbered2"/>
      <w:lvlText w:val="%1.%2."/>
      <w:lvlJc w:val="left"/>
      <w:pPr>
        <w:tabs>
          <w:tab w:val="num" w:pos="1134"/>
        </w:tabs>
        <w:ind w:left="1134" w:hanging="567"/>
      </w:pPr>
      <w:rPr>
        <w:b w:val="0"/>
        <w:i w:val="0"/>
      </w:rPr>
    </w:lvl>
    <w:lvl w:ilvl="2">
      <w:start w:val="1"/>
      <w:numFmt w:val="decimal"/>
      <w:pStyle w:val="OutlineNumbered3"/>
      <w:lvlText w:val="%1.%2.%3."/>
      <w:lvlJc w:val="left"/>
      <w:pPr>
        <w:tabs>
          <w:tab w:val="num" w:pos="1701"/>
        </w:tabs>
        <w:ind w:left="1701" w:hanging="567"/>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5" w15:restartNumberingAfterBreak="0">
    <w:nsid w:val="27440C8B"/>
    <w:multiLevelType w:val="multilevel"/>
    <w:tmpl w:val="9560F99E"/>
    <w:name w:val="StandardBulletedList_"/>
    <w:lvl w:ilvl="0">
      <w:start w:val="1"/>
      <w:numFmt w:val="bullet"/>
      <w:lvlRestart w:val="0"/>
      <w:pStyle w:val="Bullet"/>
      <w:lvlText w:val="•"/>
      <w:lvlJc w:val="left"/>
      <w:pPr>
        <w:tabs>
          <w:tab w:val="num" w:pos="283"/>
        </w:tabs>
        <w:ind w:left="283" w:hanging="283"/>
      </w:pPr>
      <w:rPr>
        <w:rFonts w:ascii="Times New Roman" w:hAnsi="Times New Roman" w:cs="Times New Roman"/>
        <w:b w:val="0"/>
        <w:i w:val="0"/>
      </w:rPr>
    </w:lvl>
    <w:lvl w:ilvl="1">
      <w:start w:val="1"/>
      <w:numFmt w:val="bullet"/>
      <w:pStyle w:val="Dash"/>
      <w:lvlText w:val="–"/>
      <w:lvlJc w:val="left"/>
      <w:pPr>
        <w:tabs>
          <w:tab w:val="num" w:pos="567"/>
        </w:tabs>
        <w:ind w:left="567" w:hanging="284"/>
      </w:pPr>
      <w:rPr>
        <w:rFonts w:ascii="Times New Roman" w:hAnsi="Times New Roman" w:cs="Times New Roman"/>
        <w:b w:val="0"/>
        <w:i w:val="0"/>
      </w:rPr>
    </w:lvl>
    <w:lvl w:ilvl="2">
      <w:start w:val="1"/>
      <w:numFmt w:val="bullet"/>
      <w:pStyle w:val="DoubleDo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6" w15:restartNumberingAfterBreak="0">
    <w:nsid w:val="2BEA786A"/>
    <w:multiLevelType w:val="multilevel"/>
    <w:tmpl w:val="C2664A28"/>
    <w:name w:val="AppendixAHeadingsNoItalics"/>
    <w:lvl w:ilvl="0">
      <w:start w:val="1"/>
      <w:numFmt w:val="decimal"/>
      <w:lvlRestart w:val="0"/>
      <w:lvlText w:val="%1."/>
      <w:lvlJc w:val="left"/>
      <w:pPr>
        <w:tabs>
          <w:tab w:val="num" w:pos="567"/>
        </w:tabs>
        <w:ind w:left="567" w:hanging="567"/>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tabs>
          <w:tab w:val="num" w:pos="567"/>
        </w:tabs>
        <w:ind w:left="0" w:firstLine="0"/>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7" w15:restartNumberingAfterBreak="0">
    <w:nsid w:val="2C723F30"/>
    <w:multiLevelType w:val="singleLevel"/>
    <w:tmpl w:val="1430D9F2"/>
    <w:name w:val="StandardNumberedParagraphList"/>
    <w:lvl w:ilvl="0">
      <w:start w:val="2"/>
      <w:numFmt w:val="decimal"/>
      <w:pStyle w:val="NumberedParagraph"/>
      <w:lvlText w:val="%1."/>
      <w:lvlJc w:val="left"/>
      <w:pPr>
        <w:tabs>
          <w:tab w:val="num" w:pos="567"/>
        </w:tabs>
        <w:ind w:left="0" w:firstLine="0"/>
      </w:pPr>
    </w:lvl>
  </w:abstractNum>
  <w:abstractNum w:abstractNumId="18" w15:restartNumberingAfterBreak="0">
    <w:nsid w:val="312C1B26"/>
    <w:multiLevelType w:val="multilevel"/>
    <w:tmpl w:val="C25AB2AE"/>
    <w:name w:val="AppendixAHeading3"/>
    <w:lvl w:ilvl="0">
      <w:start w:val="1"/>
      <w:numFmt w:val="decimal"/>
      <w:lvlRestart w:val="0"/>
      <w:lvlText w:val="%1."/>
      <w:lvlJc w:val="left"/>
      <w:pPr>
        <w:tabs>
          <w:tab w:val="num" w:pos="567"/>
        </w:tabs>
        <w:ind w:left="567" w:hanging="567"/>
      </w:pPr>
      <w:rPr>
        <w:rFonts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tabs>
          <w:tab w:val="num" w:pos="1134"/>
        </w:tabs>
        <w:ind w:left="1134" w:hanging="567"/>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9" w15:restartNumberingAfterBreak="0">
    <w:nsid w:val="3C012BBF"/>
    <w:multiLevelType w:val="hybridMultilevel"/>
    <w:tmpl w:val="3124C1EA"/>
    <w:lvl w:ilvl="0" w:tplc="B218DE90">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6F47A8"/>
    <w:multiLevelType w:val="hybridMultilevel"/>
    <w:tmpl w:val="F0824978"/>
    <w:lvl w:ilvl="0" w:tplc="F7565F4A">
      <w:start w:val="1"/>
      <w:numFmt w:val="lowerLetter"/>
      <w:pStyle w:val="ChartorTableFootnote"/>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22" w15:restartNumberingAfterBreak="0">
    <w:nsid w:val="51F742A0"/>
    <w:multiLevelType w:val="hybridMultilevel"/>
    <w:tmpl w:val="6ABE51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8101827"/>
    <w:multiLevelType w:val="multilevel"/>
    <w:tmpl w:val="072C6E52"/>
    <w:name w:val="BoxBulletedList"/>
    <w:lvl w:ilvl="0">
      <w:start w:val="1"/>
      <w:numFmt w:val="bullet"/>
      <w:lvlRestart w:val="0"/>
      <w:lvlText w:val="•"/>
      <w:lvlJc w:val="left"/>
      <w:pPr>
        <w:tabs>
          <w:tab w:val="num" w:pos="283"/>
        </w:tabs>
        <w:ind w:left="283" w:hanging="283"/>
      </w:pPr>
      <w:rPr>
        <w:rFonts w:ascii="Times New Roman" w:hAnsi="Times New Roman" w:cs="Times New Roman"/>
        <w:b w:val="0"/>
        <w:i w:val="0"/>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4" w15:restartNumberingAfterBreak="0">
    <w:nsid w:val="5E0A6F8D"/>
    <w:multiLevelType w:val="multilevel"/>
    <w:tmpl w:val="51941ED6"/>
    <w:name w:val="RecommendationBulletedList"/>
    <w:lvl w:ilvl="0">
      <w:start w:val="1"/>
      <w:numFmt w:val="bullet"/>
      <w:lvlRestart w:val="0"/>
      <w:lvlText w:val="•"/>
      <w:lvlJc w:val="left"/>
      <w:pPr>
        <w:tabs>
          <w:tab w:val="num" w:pos="283"/>
        </w:tabs>
        <w:ind w:left="283" w:hanging="283"/>
      </w:pPr>
      <w:rPr>
        <w:b w:val="0"/>
        <w:i w:val="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num w:numId="1">
    <w:abstractNumId w:val="15"/>
  </w:num>
  <w:num w:numId="2">
    <w:abstractNumId w:val="14"/>
  </w:num>
  <w:num w:numId="3">
    <w:abstractNumId w:val="21"/>
  </w:num>
  <w:num w:numId="4">
    <w:abstractNumId w:val="11"/>
  </w:num>
  <w:num w:numId="5">
    <w:abstractNumId w:val="17"/>
  </w:num>
  <w:num w:numId="6">
    <w:abstractNumId w:val="20"/>
  </w:num>
  <w:num w:numId="7">
    <w:abstractNumId w:val="21"/>
    <w:lvlOverride w:ilvl="0">
      <w:startOverride w:val="1"/>
    </w:lvlOverride>
  </w:num>
  <w:num w:numId="8">
    <w:abstractNumId w:val="20"/>
    <w:lvlOverride w:ilvl="0">
      <w:startOverride w:val="1"/>
    </w:lvlOverride>
  </w:num>
  <w:num w:numId="9">
    <w:abstractNumId w:val="20"/>
    <w:lvlOverride w:ilvl="0">
      <w:startOverride w:val="1"/>
    </w:lvlOverride>
  </w:num>
  <w:num w:numId="10">
    <w:abstractNumId w:val="20"/>
    <w:lvlOverride w:ilvl="0">
      <w:startOverride w:val="1"/>
    </w:lvlOverride>
  </w:num>
  <w:num w:numId="11">
    <w:abstractNumId w:val="20"/>
    <w:lvlOverride w:ilvl="0">
      <w:startOverride w:val="1"/>
    </w:lvlOverride>
  </w:num>
  <w:num w:numId="12">
    <w:abstractNumId w:val="21"/>
    <w:lvlOverride w:ilvl="0">
      <w:startOverride w:val="1"/>
    </w:lvlOverride>
  </w:num>
  <w:num w:numId="13">
    <w:abstractNumId w:val="21"/>
    <w:lvlOverride w:ilvl="0">
      <w:startOverride w:val="1"/>
    </w:lvlOverride>
  </w:num>
  <w:num w:numId="14">
    <w:abstractNumId w:val="20"/>
    <w:lvlOverride w:ilvl="0">
      <w:startOverride w:val="1"/>
    </w:lvlOverride>
  </w:num>
  <w:num w:numId="15">
    <w:abstractNumId w:val="20"/>
    <w:lvlOverride w:ilvl="0">
      <w:startOverride w:val="1"/>
    </w:lvlOverride>
  </w:num>
  <w:num w:numId="16">
    <w:abstractNumId w:val="20"/>
    <w:lvlOverride w:ilvl="0">
      <w:startOverride w:val="1"/>
    </w:lvlOverride>
  </w:num>
  <w:num w:numId="17">
    <w:abstractNumId w:val="20"/>
    <w:lvlOverride w:ilvl="0">
      <w:startOverride w:val="1"/>
    </w:lvlOverride>
  </w:num>
  <w:num w:numId="18">
    <w:abstractNumId w:val="22"/>
  </w:num>
  <w:num w:numId="19">
    <w:abstractNumId w:val="12"/>
  </w:num>
  <w:num w:numId="20">
    <w:abstractNumId w:val="20"/>
    <w:lvlOverride w:ilvl="0">
      <w:startOverride w:val="1"/>
    </w:lvlOverride>
  </w:num>
  <w:num w:numId="21">
    <w:abstractNumId w:val="20"/>
    <w:lvlOverride w:ilvl="0">
      <w:startOverride w:val="1"/>
    </w:lvlOverride>
  </w:num>
  <w:num w:numId="22">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138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99"/>
    <w:rsid w:val="000000EC"/>
    <w:rsid w:val="00001E4D"/>
    <w:rsid w:val="0000256F"/>
    <w:rsid w:val="000042BE"/>
    <w:rsid w:val="00006CA3"/>
    <w:rsid w:val="0000722A"/>
    <w:rsid w:val="00007363"/>
    <w:rsid w:val="000109A4"/>
    <w:rsid w:val="00011127"/>
    <w:rsid w:val="000112A5"/>
    <w:rsid w:val="00011419"/>
    <w:rsid w:val="00014755"/>
    <w:rsid w:val="00014A13"/>
    <w:rsid w:val="00015B9B"/>
    <w:rsid w:val="00023350"/>
    <w:rsid w:val="0002400F"/>
    <w:rsid w:val="0002473A"/>
    <w:rsid w:val="000272AE"/>
    <w:rsid w:val="000302FB"/>
    <w:rsid w:val="0003226A"/>
    <w:rsid w:val="00033812"/>
    <w:rsid w:val="000350FF"/>
    <w:rsid w:val="0004056B"/>
    <w:rsid w:val="00040DE0"/>
    <w:rsid w:val="0004233A"/>
    <w:rsid w:val="00042486"/>
    <w:rsid w:val="0004432B"/>
    <w:rsid w:val="0004637E"/>
    <w:rsid w:val="00051685"/>
    <w:rsid w:val="00051C41"/>
    <w:rsid w:val="00055D97"/>
    <w:rsid w:val="00055EE0"/>
    <w:rsid w:val="00056C48"/>
    <w:rsid w:val="00060ACB"/>
    <w:rsid w:val="00060DB2"/>
    <w:rsid w:val="00063809"/>
    <w:rsid w:val="00064D27"/>
    <w:rsid w:val="00070552"/>
    <w:rsid w:val="00071693"/>
    <w:rsid w:val="00073204"/>
    <w:rsid w:val="00075AB9"/>
    <w:rsid w:val="000773DB"/>
    <w:rsid w:val="00077532"/>
    <w:rsid w:val="00080A3F"/>
    <w:rsid w:val="000814CB"/>
    <w:rsid w:val="000818A0"/>
    <w:rsid w:val="00082B4B"/>
    <w:rsid w:val="0008397C"/>
    <w:rsid w:val="00086030"/>
    <w:rsid w:val="00090976"/>
    <w:rsid w:val="0009159C"/>
    <w:rsid w:val="000917D6"/>
    <w:rsid w:val="00091941"/>
    <w:rsid w:val="00093A04"/>
    <w:rsid w:val="00096661"/>
    <w:rsid w:val="000A0325"/>
    <w:rsid w:val="000A1514"/>
    <w:rsid w:val="000A1EF4"/>
    <w:rsid w:val="000A20BC"/>
    <w:rsid w:val="000A3962"/>
    <w:rsid w:val="000A45EE"/>
    <w:rsid w:val="000B0BF3"/>
    <w:rsid w:val="000B1CB0"/>
    <w:rsid w:val="000B24BF"/>
    <w:rsid w:val="000B30A5"/>
    <w:rsid w:val="000B36A6"/>
    <w:rsid w:val="000B5E08"/>
    <w:rsid w:val="000B6F64"/>
    <w:rsid w:val="000C1AEA"/>
    <w:rsid w:val="000C204B"/>
    <w:rsid w:val="000C28DC"/>
    <w:rsid w:val="000C378E"/>
    <w:rsid w:val="000C7BAB"/>
    <w:rsid w:val="000D01EC"/>
    <w:rsid w:val="000D06F2"/>
    <w:rsid w:val="000D1D7B"/>
    <w:rsid w:val="000D59D0"/>
    <w:rsid w:val="000D6169"/>
    <w:rsid w:val="000D6832"/>
    <w:rsid w:val="000D6976"/>
    <w:rsid w:val="000E009E"/>
    <w:rsid w:val="000E08BC"/>
    <w:rsid w:val="000E09DE"/>
    <w:rsid w:val="000E2A5D"/>
    <w:rsid w:val="000E2FAF"/>
    <w:rsid w:val="000E35D7"/>
    <w:rsid w:val="000E39C8"/>
    <w:rsid w:val="000E54D0"/>
    <w:rsid w:val="000E5A17"/>
    <w:rsid w:val="000E6041"/>
    <w:rsid w:val="000F08A5"/>
    <w:rsid w:val="000F0D88"/>
    <w:rsid w:val="000F1514"/>
    <w:rsid w:val="000F1FC7"/>
    <w:rsid w:val="000F3580"/>
    <w:rsid w:val="000F5DC3"/>
    <w:rsid w:val="0010126C"/>
    <w:rsid w:val="00101520"/>
    <w:rsid w:val="001042E8"/>
    <w:rsid w:val="001046CB"/>
    <w:rsid w:val="00104B68"/>
    <w:rsid w:val="001062CC"/>
    <w:rsid w:val="001124A4"/>
    <w:rsid w:val="001128AF"/>
    <w:rsid w:val="00113355"/>
    <w:rsid w:val="00116A33"/>
    <w:rsid w:val="00120945"/>
    <w:rsid w:val="001215C6"/>
    <w:rsid w:val="00121BFA"/>
    <w:rsid w:val="00123729"/>
    <w:rsid w:val="00125B1D"/>
    <w:rsid w:val="00131F19"/>
    <w:rsid w:val="0013280D"/>
    <w:rsid w:val="00133BBD"/>
    <w:rsid w:val="00134265"/>
    <w:rsid w:val="00134AF2"/>
    <w:rsid w:val="0013608A"/>
    <w:rsid w:val="0013673F"/>
    <w:rsid w:val="00140D00"/>
    <w:rsid w:val="001412DD"/>
    <w:rsid w:val="0014240B"/>
    <w:rsid w:val="00142D15"/>
    <w:rsid w:val="00144AC1"/>
    <w:rsid w:val="00146F4A"/>
    <w:rsid w:val="00147344"/>
    <w:rsid w:val="0014763E"/>
    <w:rsid w:val="001532A8"/>
    <w:rsid w:val="001542F9"/>
    <w:rsid w:val="001546E6"/>
    <w:rsid w:val="00154B00"/>
    <w:rsid w:val="001558D2"/>
    <w:rsid w:val="00155F75"/>
    <w:rsid w:val="001578EB"/>
    <w:rsid w:val="001607BB"/>
    <w:rsid w:val="00160ADA"/>
    <w:rsid w:val="001620FE"/>
    <w:rsid w:val="001629E1"/>
    <w:rsid w:val="00162E26"/>
    <w:rsid w:val="00163FAA"/>
    <w:rsid w:val="00164CE1"/>
    <w:rsid w:val="00165D59"/>
    <w:rsid w:val="001666C1"/>
    <w:rsid w:val="00167AFC"/>
    <w:rsid w:val="001703ED"/>
    <w:rsid w:val="00171C28"/>
    <w:rsid w:val="00171DDB"/>
    <w:rsid w:val="00171F29"/>
    <w:rsid w:val="00172858"/>
    <w:rsid w:val="00176E43"/>
    <w:rsid w:val="00177105"/>
    <w:rsid w:val="001776D8"/>
    <w:rsid w:val="00177740"/>
    <w:rsid w:val="00177D40"/>
    <w:rsid w:val="00180F61"/>
    <w:rsid w:val="00185629"/>
    <w:rsid w:val="001856EB"/>
    <w:rsid w:val="00186076"/>
    <w:rsid w:val="0018666A"/>
    <w:rsid w:val="00186AA3"/>
    <w:rsid w:val="001870A6"/>
    <w:rsid w:val="00190289"/>
    <w:rsid w:val="00191EF9"/>
    <w:rsid w:val="001933E1"/>
    <w:rsid w:val="0019599C"/>
    <w:rsid w:val="001A0673"/>
    <w:rsid w:val="001A279A"/>
    <w:rsid w:val="001A2958"/>
    <w:rsid w:val="001A2B46"/>
    <w:rsid w:val="001A5FCA"/>
    <w:rsid w:val="001A6701"/>
    <w:rsid w:val="001A72FF"/>
    <w:rsid w:val="001B1E15"/>
    <w:rsid w:val="001B271F"/>
    <w:rsid w:val="001B2BDF"/>
    <w:rsid w:val="001B2D4C"/>
    <w:rsid w:val="001B33DC"/>
    <w:rsid w:val="001B3CF4"/>
    <w:rsid w:val="001B450C"/>
    <w:rsid w:val="001B4DB0"/>
    <w:rsid w:val="001B5F8A"/>
    <w:rsid w:val="001C0DDD"/>
    <w:rsid w:val="001C5D05"/>
    <w:rsid w:val="001C6603"/>
    <w:rsid w:val="001C675F"/>
    <w:rsid w:val="001C6C43"/>
    <w:rsid w:val="001C729A"/>
    <w:rsid w:val="001C7EE6"/>
    <w:rsid w:val="001D34BE"/>
    <w:rsid w:val="001D47CC"/>
    <w:rsid w:val="001D47EF"/>
    <w:rsid w:val="001D6B08"/>
    <w:rsid w:val="001E20E4"/>
    <w:rsid w:val="001E3315"/>
    <w:rsid w:val="001E4ABB"/>
    <w:rsid w:val="001E64C2"/>
    <w:rsid w:val="001F4A7D"/>
    <w:rsid w:val="001F5EEA"/>
    <w:rsid w:val="001F6E65"/>
    <w:rsid w:val="001F7390"/>
    <w:rsid w:val="00200537"/>
    <w:rsid w:val="00201A0D"/>
    <w:rsid w:val="0020203D"/>
    <w:rsid w:val="00203133"/>
    <w:rsid w:val="002033C3"/>
    <w:rsid w:val="00205212"/>
    <w:rsid w:val="00205A2A"/>
    <w:rsid w:val="00205ECC"/>
    <w:rsid w:val="00205F9C"/>
    <w:rsid w:val="0020659C"/>
    <w:rsid w:val="00206FE6"/>
    <w:rsid w:val="002113E2"/>
    <w:rsid w:val="00211766"/>
    <w:rsid w:val="002126E2"/>
    <w:rsid w:val="00212CD3"/>
    <w:rsid w:val="00212F0D"/>
    <w:rsid w:val="00212F52"/>
    <w:rsid w:val="00215AD1"/>
    <w:rsid w:val="00216901"/>
    <w:rsid w:val="00217031"/>
    <w:rsid w:val="002179DD"/>
    <w:rsid w:val="00222164"/>
    <w:rsid w:val="00223ADB"/>
    <w:rsid w:val="0022566A"/>
    <w:rsid w:val="00226D8B"/>
    <w:rsid w:val="002271E8"/>
    <w:rsid w:val="00230D2D"/>
    <w:rsid w:val="002323CB"/>
    <w:rsid w:val="00233918"/>
    <w:rsid w:val="00236870"/>
    <w:rsid w:val="00241333"/>
    <w:rsid w:val="00241852"/>
    <w:rsid w:val="0024327B"/>
    <w:rsid w:val="002435EF"/>
    <w:rsid w:val="00243FFB"/>
    <w:rsid w:val="002467C0"/>
    <w:rsid w:val="00246903"/>
    <w:rsid w:val="00252661"/>
    <w:rsid w:val="00253BF7"/>
    <w:rsid w:val="00254DA2"/>
    <w:rsid w:val="00257419"/>
    <w:rsid w:val="00260106"/>
    <w:rsid w:val="0026166C"/>
    <w:rsid w:val="002640A3"/>
    <w:rsid w:val="002736B9"/>
    <w:rsid w:val="00273E9B"/>
    <w:rsid w:val="00274287"/>
    <w:rsid w:val="002744B3"/>
    <w:rsid w:val="00276108"/>
    <w:rsid w:val="0028075C"/>
    <w:rsid w:val="002852ED"/>
    <w:rsid w:val="0028562D"/>
    <w:rsid w:val="00285637"/>
    <w:rsid w:val="002865BA"/>
    <w:rsid w:val="00286EC8"/>
    <w:rsid w:val="00290378"/>
    <w:rsid w:val="00291E9D"/>
    <w:rsid w:val="00294D7F"/>
    <w:rsid w:val="002958BD"/>
    <w:rsid w:val="00296AC6"/>
    <w:rsid w:val="00296DEB"/>
    <w:rsid w:val="002A0955"/>
    <w:rsid w:val="002A2E21"/>
    <w:rsid w:val="002A364A"/>
    <w:rsid w:val="002A3B5B"/>
    <w:rsid w:val="002A3E4A"/>
    <w:rsid w:val="002A5FAE"/>
    <w:rsid w:val="002A7544"/>
    <w:rsid w:val="002B0AF6"/>
    <w:rsid w:val="002B0CBD"/>
    <w:rsid w:val="002B0E0E"/>
    <w:rsid w:val="002B1057"/>
    <w:rsid w:val="002B138A"/>
    <w:rsid w:val="002B2E51"/>
    <w:rsid w:val="002B372E"/>
    <w:rsid w:val="002B39AD"/>
    <w:rsid w:val="002B6322"/>
    <w:rsid w:val="002B71D1"/>
    <w:rsid w:val="002B7488"/>
    <w:rsid w:val="002C1599"/>
    <w:rsid w:val="002C261B"/>
    <w:rsid w:val="002C4C19"/>
    <w:rsid w:val="002C519F"/>
    <w:rsid w:val="002C5DDE"/>
    <w:rsid w:val="002C667B"/>
    <w:rsid w:val="002C7880"/>
    <w:rsid w:val="002C7C6E"/>
    <w:rsid w:val="002D108B"/>
    <w:rsid w:val="002D1966"/>
    <w:rsid w:val="002D1D3C"/>
    <w:rsid w:val="002D32CE"/>
    <w:rsid w:val="002D331A"/>
    <w:rsid w:val="002D6962"/>
    <w:rsid w:val="002D7033"/>
    <w:rsid w:val="002E02C6"/>
    <w:rsid w:val="002E0DA2"/>
    <w:rsid w:val="002E2EFE"/>
    <w:rsid w:val="002E30A6"/>
    <w:rsid w:val="002E319A"/>
    <w:rsid w:val="002E3C0A"/>
    <w:rsid w:val="002E3C0F"/>
    <w:rsid w:val="002E3C94"/>
    <w:rsid w:val="002E4F9F"/>
    <w:rsid w:val="002E5246"/>
    <w:rsid w:val="002E55A4"/>
    <w:rsid w:val="002E7808"/>
    <w:rsid w:val="002F09F8"/>
    <w:rsid w:val="002F14D8"/>
    <w:rsid w:val="002F150A"/>
    <w:rsid w:val="00301EF8"/>
    <w:rsid w:val="0030281F"/>
    <w:rsid w:val="003037F6"/>
    <w:rsid w:val="00303BBF"/>
    <w:rsid w:val="00304CDB"/>
    <w:rsid w:val="0030516A"/>
    <w:rsid w:val="00305CCC"/>
    <w:rsid w:val="00306FF4"/>
    <w:rsid w:val="0030749E"/>
    <w:rsid w:val="003102E2"/>
    <w:rsid w:val="00314808"/>
    <w:rsid w:val="00314D73"/>
    <w:rsid w:val="003155C9"/>
    <w:rsid w:val="00316050"/>
    <w:rsid w:val="00330D21"/>
    <w:rsid w:val="00331161"/>
    <w:rsid w:val="003319CF"/>
    <w:rsid w:val="00333373"/>
    <w:rsid w:val="00333F1C"/>
    <w:rsid w:val="00335964"/>
    <w:rsid w:val="00335D31"/>
    <w:rsid w:val="00336D6D"/>
    <w:rsid w:val="003409A4"/>
    <w:rsid w:val="00341562"/>
    <w:rsid w:val="00345B7F"/>
    <w:rsid w:val="00345EC4"/>
    <w:rsid w:val="0034625F"/>
    <w:rsid w:val="003505DE"/>
    <w:rsid w:val="00352019"/>
    <w:rsid w:val="00355249"/>
    <w:rsid w:val="0035598A"/>
    <w:rsid w:val="003608EA"/>
    <w:rsid w:val="00361B96"/>
    <w:rsid w:val="003639B9"/>
    <w:rsid w:val="00366BD6"/>
    <w:rsid w:val="0036707B"/>
    <w:rsid w:val="00367CC8"/>
    <w:rsid w:val="00367CF0"/>
    <w:rsid w:val="00370B41"/>
    <w:rsid w:val="00372B1A"/>
    <w:rsid w:val="003740B0"/>
    <w:rsid w:val="0037576C"/>
    <w:rsid w:val="00375926"/>
    <w:rsid w:val="003766C6"/>
    <w:rsid w:val="00376F5B"/>
    <w:rsid w:val="0037739F"/>
    <w:rsid w:val="00377C09"/>
    <w:rsid w:val="003810FA"/>
    <w:rsid w:val="00383589"/>
    <w:rsid w:val="00384167"/>
    <w:rsid w:val="00384616"/>
    <w:rsid w:val="003854BC"/>
    <w:rsid w:val="00385860"/>
    <w:rsid w:val="003869C6"/>
    <w:rsid w:val="00386F9A"/>
    <w:rsid w:val="00391AAE"/>
    <w:rsid w:val="00392A01"/>
    <w:rsid w:val="00392B0F"/>
    <w:rsid w:val="0039359B"/>
    <w:rsid w:val="00395B56"/>
    <w:rsid w:val="00397FE8"/>
    <w:rsid w:val="003A0A5D"/>
    <w:rsid w:val="003A3D73"/>
    <w:rsid w:val="003A4836"/>
    <w:rsid w:val="003B0DB1"/>
    <w:rsid w:val="003B2036"/>
    <w:rsid w:val="003B2816"/>
    <w:rsid w:val="003B28C3"/>
    <w:rsid w:val="003B31C1"/>
    <w:rsid w:val="003B4BAF"/>
    <w:rsid w:val="003B4C87"/>
    <w:rsid w:val="003B57DA"/>
    <w:rsid w:val="003B6649"/>
    <w:rsid w:val="003C0648"/>
    <w:rsid w:val="003C12EA"/>
    <w:rsid w:val="003C2311"/>
    <w:rsid w:val="003C43A1"/>
    <w:rsid w:val="003C6DB8"/>
    <w:rsid w:val="003C70BF"/>
    <w:rsid w:val="003D0703"/>
    <w:rsid w:val="003D250F"/>
    <w:rsid w:val="003D2A8A"/>
    <w:rsid w:val="003D33B9"/>
    <w:rsid w:val="003D5D74"/>
    <w:rsid w:val="003E0381"/>
    <w:rsid w:val="003E3FDE"/>
    <w:rsid w:val="003E5E0F"/>
    <w:rsid w:val="003E66D0"/>
    <w:rsid w:val="003E7300"/>
    <w:rsid w:val="003F1DB8"/>
    <w:rsid w:val="003F293B"/>
    <w:rsid w:val="003F2E23"/>
    <w:rsid w:val="003F2E5E"/>
    <w:rsid w:val="003F6098"/>
    <w:rsid w:val="003F61BF"/>
    <w:rsid w:val="003F6FF5"/>
    <w:rsid w:val="003F7929"/>
    <w:rsid w:val="00400ABF"/>
    <w:rsid w:val="004035A9"/>
    <w:rsid w:val="0040365E"/>
    <w:rsid w:val="00403DFE"/>
    <w:rsid w:val="0040542F"/>
    <w:rsid w:val="004055E1"/>
    <w:rsid w:val="00406C1F"/>
    <w:rsid w:val="00406F44"/>
    <w:rsid w:val="0040790E"/>
    <w:rsid w:val="00410274"/>
    <w:rsid w:val="00410E7B"/>
    <w:rsid w:val="00411DBD"/>
    <w:rsid w:val="0041207F"/>
    <w:rsid w:val="0041505A"/>
    <w:rsid w:val="00415F67"/>
    <w:rsid w:val="00416B15"/>
    <w:rsid w:val="00416D19"/>
    <w:rsid w:val="00420C25"/>
    <w:rsid w:val="00420F3D"/>
    <w:rsid w:val="0042120A"/>
    <w:rsid w:val="00421380"/>
    <w:rsid w:val="00422444"/>
    <w:rsid w:val="00422C1D"/>
    <w:rsid w:val="004241B4"/>
    <w:rsid w:val="004260ED"/>
    <w:rsid w:val="00427394"/>
    <w:rsid w:val="004279FE"/>
    <w:rsid w:val="00430CB5"/>
    <w:rsid w:val="00430FB2"/>
    <w:rsid w:val="00434A5A"/>
    <w:rsid w:val="004355BC"/>
    <w:rsid w:val="00435C2E"/>
    <w:rsid w:val="00436921"/>
    <w:rsid w:val="00440DAE"/>
    <w:rsid w:val="004431CA"/>
    <w:rsid w:val="0044498B"/>
    <w:rsid w:val="00446141"/>
    <w:rsid w:val="00446F3F"/>
    <w:rsid w:val="00451974"/>
    <w:rsid w:val="00451B52"/>
    <w:rsid w:val="00452E4C"/>
    <w:rsid w:val="004554EB"/>
    <w:rsid w:val="004564AB"/>
    <w:rsid w:val="00457C0B"/>
    <w:rsid w:val="00460353"/>
    <w:rsid w:val="004623A5"/>
    <w:rsid w:val="004631C6"/>
    <w:rsid w:val="004638DF"/>
    <w:rsid w:val="00463EC4"/>
    <w:rsid w:val="0046480B"/>
    <w:rsid w:val="00470342"/>
    <w:rsid w:val="0047375E"/>
    <w:rsid w:val="00473AC3"/>
    <w:rsid w:val="004753D0"/>
    <w:rsid w:val="00475906"/>
    <w:rsid w:val="00475EEC"/>
    <w:rsid w:val="004769DB"/>
    <w:rsid w:val="00477763"/>
    <w:rsid w:val="00482B78"/>
    <w:rsid w:val="00485CC9"/>
    <w:rsid w:val="00487D73"/>
    <w:rsid w:val="0049019C"/>
    <w:rsid w:val="00490C64"/>
    <w:rsid w:val="00491A6C"/>
    <w:rsid w:val="00493941"/>
    <w:rsid w:val="00494820"/>
    <w:rsid w:val="00495D23"/>
    <w:rsid w:val="00497197"/>
    <w:rsid w:val="004A0D7C"/>
    <w:rsid w:val="004A1E43"/>
    <w:rsid w:val="004A3D08"/>
    <w:rsid w:val="004A5296"/>
    <w:rsid w:val="004A5C7B"/>
    <w:rsid w:val="004A6674"/>
    <w:rsid w:val="004A6B55"/>
    <w:rsid w:val="004A74F2"/>
    <w:rsid w:val="004A7DCA"/>
    <w:rsid w:val="004B03D3"/>
    <w:rsid w:val="004B111E"/>
    <w:rsid w:val="004B2ACA"/>
    <w:rsid w:val="004B37F5"/>
    <w:rsid w:val="004B3A78"/>
    <w:rsid w:val="004B436F"/>
    <w:rsid w:val="004B5A52"/>
    <w:rsid w:val="004C08E8"/>
    <w:rsid w:val="004C12F9"/>
    <w:rsid w:val="004C183E"/>
    <w:rsid w:val="004C49E1"/>
    <w:rsid w:val="004C50AE"/>
    <w:rsid w:val="004C5D9B"/>
    <w:rsid w:val="004C65CB"/>
    <w:rsid w:val="004C6BA5"/>
    <w:rsid w:val="004D182D"/>
    <w:rsid w:val="004D2FCE"/>
    <w:rsid w:val="004D634A"/>
    <w:rsid w:val="004D6906"/>
    <w:rsid w:val="004E0678"/>
    <w:rsid w:val="004E23C2"/>
    <w:rsid w:val="004E27F9"/>
    <w:rsid w:val="004E2A6D"/>
    <w:rsid w:val="004E318D"/>
    <w:rsid w:val="004E33F2"/>
    <w:rsid w:val="004E3869"/>
    <w:rsid w:val="004E3DC9"/>
    <w:rsid w:val="004E5299"/>
    <w:rsid w:val="004E6299"/>
    <w:rsid w:val="004E7F18"/>
    <w:rsid w:val="004F0824"/>
    <w:rsid w:val="004F0E10"/>
    <w:rsid w:val="004F2390"/>
    <w:rsid w:val="004F2943"/>
    <w:rsid w:val="004F4714"/>
    <w:rsid w:val="004F780E"/>
    <w:rsid w:val="004F7AAB"/>
    <w:rsid w:val="005034DF"/>
    <w:rsid w:val="00503BD2"/>
    <w:rsid w:val="00504794"/>
    <w:rsid w:val="00505352"/>
    <w:rsid w:val="005100A7"/>
    <w:rsid w:val="0051010F"/>
    <w:rsid w:val="00512124"/>
    <w:rsid w:val="00512667"/>
    <w:rsid w:val="0051672A"/>
    <w:rsid w:val="005167DC"/>
    <w:rsid w:val="00517B30"/>
    <w:rsid w:val="00524D3B"/>
    <w:rsid w:val="0052576F"/>
    <w:rsid w:val="00525EDD"/>
    <w:rsid w:val="005273E2"/>
    <w:rsid w:val="0052748C"/>
    <w:rsid w:val="00527C3A"/>
    <w:rsid w:val="00531D19"/>
    <w:rsid w:val="00532586"/>
    <w:rsid w:val="00534252"/>
    <w:rsid w:val="0053642A"/>
    <w:rsid w:val="0053694C"/>
    <w:rsid w:val="00541D68"/>
    <w:rsid w:val="00543620"/>
    <w:rsid w:val="00543847"/>
    <w:rsid w:val="00546663"/>
    <w:rsid w:val="0055031E"/>
    <w:rsid w:val="00551275"/>
    <w:rsid w:val="00553B44"/>
    <w:rsid w:val="00554AC4"/>
    <w:rsid w:val="00555574"/>
    <w:rsid w:val="00555DBA"/>
    <w:rsid w:val="00556741"/>
    <w:rsid w:val="005572FF"/>
    <w:rsid w:val="00557BCC"/>
    <w:rsid w:val="00561ECE"/>
    <w:rsid w:val="005630E0"/>
    <w:rsid w:val="00564F67"/>
    <w:rsid w:val="00565F06"/>
    <w:rsid w:val="005668A1"/>
    <w:rsid w:val="00566F59"/>
    <w:rsid w:val="00566F7B"/>
    <w:rsid w:val="00570C10"/>
    <w:rsid w:val="00571287"/>
    <w:rsid w:val="00573B78"/>
    <w:rsid w:val="00574C7D"/>
    <w:rsid w:val="00575FBD"/>
    <w:rsid w:val="00576DE1"/>
    <w:rsid w:val="005772C9"/>
    <w:rsid w:val="00581D67"/>
    <w:rsid w:val="0058292B"/>
    <w:rsid w:val="00584A51"/>
    <w:rsid w:val="00585666"/>
    <w:rsid w:val="0058736E"/>
    <w:rsid w:val="00593946"/>
    <w:rsid w:val="00593956"/>
    <w:rsid w:val="005943F5"/>
    <w:rsid w:val="00594929"/>
    <w:rsid w:val="00596E2C"/>
    <w:rsid w:val="005A005D"/>
    <w:rsid w:val="005A0F36"/>
    <w:rsid w:val="005A22F9"/>
    <w:rsid w:val="005A4DBF"/>
    <w:rsid w:val="005A6481"/>
    <w:rsid w:val="005A726F"/>
    <w:rsid w:val="005A7596"/>
    <w:rsid w:val="005A7AD2"/>
    <w:rsid w:val="005B2381"/>
    <w:rsid w:val="005B5ED3"/>
    <w:rsid w:val="005B750C"/>
    <w:rsid w:val="005B7B2E"/>
    <w:rsid w:val="005D0E22"/>
    <w:rsid w:val="005D1E42"/>
    <w:rsid w:val="005D2015"/>
    <w:rsid w:val="005D2148"/>
    <w:rsid w:val="005D29FD"/>
    <w:rsid w:val="005D2E23"/>
    <w:rsid w:val="005D485B"/>
    <w:rsid w:val="005D4959"/>
    <w:rsid w:val="005D6511"/>
    <w:rsid w:val="005D6E1A"/>
    <w:rsid w:val="005D725A"/>
    <w:rsid w:val="005D7499"/>
    <w:rsid w:val="005E0F0C"/>
    <w:rsid w:val="005E301D"/>
    <w:rsid w:val="005E336E"/>
    <w:rsid w:val="005E5441"/>
    <w:rsid w:val="005E5524"/>
    <w:rsid w:val="005E79AE"/>
    <w:rsid w:val="005F02B8"/>
    <w:rsid w:val="005F2DD2"/>
    <w:rsid w:val="005F3B81"/>
    <w:rsid w:val="005F4E3C"/>
    <w:rsid w:val="005F75C9"/>
    <w:rsid w:val="005F7F69"/>
    <w:rsid w:val="00600D00"/>
    <w:rsid w:val="00601E54"/>
    <w:rsid w:val="006040A4"/>
    <w:rsid w:val="0060602F"/>
    <w:rsid w:val="006120F7"/>
    <w:rsid w:val="00612687"/>
    <w:rsid w:val="006134B4"/>
    <w:rsid w:val="00613775"/>
    <w:rsid w:val="006138DC"/>
    <w:rsid w:val="006149F9"/>
    <w:rsid w:val="00615382"/>
    <w:rsid w:val="00616D74"/>
    <w:rsid w:val="00617ADA"/>
    <w:rsid w:val="00620FD9"/>
    <w:rsid w:val="00621D1C"/>
    <w:rsid w:val="00622A00"/>
    <w:rsid w:val="00623A54"/>
    <w:rsid w:val="00623D34"/>
    <w:rsid w:val="00624AF6"/>
    <w:rsid w:val="00624EC3"/>
    <w:rsid w:val="00624F8E"/>
    <w:rsid w:val="00626056"/>
    <w:rsid w:val="00630A01"/>
    <w:rsid w:val="00633875"/>
    <w:rsid w:val="00636335"/>
    <w:rsid w:val="006369AE"/>
    <w:rsid w:val="006373F6"/>
    <w:rsid w:val="00640E76"/>
    <w:rsid w:val="006410A7"/>
    <w:rsid w:val="006416F8"/>
    <w:rsid w:val="00644820"/>
    <w:rsid w:val="00645CB1"/>
    <w:rsid w:val="00646690"/>
    <w:rsid w:val="00646A4C"/>
    <w:rsid w:val="00647E1B"/>
    <w:rsid w:val="00650281"/>
    <w:rsid w:val="00650AE6"/>
    <w:rsid w:val="006518B5"/>
    <w:rsid w:val="00652010"/>
    <w:rsid w:val="006549B9"/>
    <w:rsid w:val="00655966"/>
    <w:rsid w:val="00656B7E"/>
    <w:rsid w:val="0065724D"/>
    <w:rsid w:val="00657683"/>
    <w:rsid w:val="006622A5"/>
    <w:rsid w:val="0066282B"/>
    <w:rsid w:val="00662E5E"/>
    <w:rsid w:val="00665283"/>
    <w:rsid w:val="006659B3"/>
    <w:rsid w:val="00666DBB"/>
    <w:rsid w:val="00667F9D"/>
    <w:rsid w:val="00670696"/>
    <w:rsid w:val="00671557"/>
    <w:rsid w:val="00671E88"/>
    <w:rsid w:val="006736B1"/>
    <w:rsid w:val="00674970"/>
    <w:rsid w:val="00675DD4"/>
    <w:rsid w:val="00677CC1"/>
    <w:rsid w:val="00681BAC"/>
    <w:rsid w:val="00685333"/>
    <w:rsid w:val="006855BC"/>
    <w:rsid w:val="00687747"/>
    <w:rsid w:val="00687DE7"/>
    <w:rsid w:val="0069138B"/>
    <w:rsid w:val="00691944"/>
    <w:rsid w:val="0069758D"/>
    <w:rsid w:val="006A0149"/>
    <w:rsid w:val="006A069B"/>
    <w:rsid w:val="006A0F81"/>
    <w:rsid w:val="006A1733"/>
    <w:rsid w:val="006A4C69"/>
    <w:rsid w:val="006A5E8B"/>
    <w:rsid w:val="006A6A54"/>
    <w:rsid w:val="006A7E5E"/>
    <w:rsid w:val="006B0E9B"/>
    <w:rsid w:val="006B0FE5"/>
    <w:rsid w:val="006B1A0D"/>
    <w:rsid w:val="006B275F"/>
    <w:rsid w:val="006B3E6E"/>
    <w:rsid w:val="006B4077"/>
    <w:rsid w:val="006B4C68"/>
    <w:rsid w:val="006B4E61"/>
    <w:rsid w:val="006B4ED4"/>
    <w:rsid w:val="006B5DC9"/>
    <w:rsid w:val="006C1106"/>
    <w:rsid w:val="006C17D8"/>
    <w:rsid w:val="006C2BB5"/>
    <w:rsid w:val="006C2D5A"/>
    <w:rsid w:val="006C3857"/>
    <w:rsid w:val="006C4B6B"/>
    <w:rsid w:val="006C59D8"/>
    <w:rsid w:val="006C669C"/>
    <w:rsid w:val="006D0CB6"/>
    <w:rsid w:val="006D162F"/>
    <w:rsid w:val="006D18F6"/>
    <w:rsid w:val="006D2447"/>
    <w:rsid w:val="006D3C22"/>
    <w:rsid w:val="006D51C1"/>
    <w:rsid w:val="006D64A2"/>
    <w:rsid w:val="006D75A0"/>
    <w:rsid w:val="006E2066"/>
    <w:rsid w:val="006E5356"/>
    <w:rsid w:val="006E5EE3"/>
    <w:rsid w:val="006E6DB0"/>
    <w:rsid w:val="006E6E49"/>
    <w:rsid w:val="006E7EFB"/>
    <w:rsid w:val="006F0D93"/>
    <w:rsid w:val="006F4492"/>
    <w:rsid w:val="006F5DF2"/>
    <w:rsid w:val="006F607C"/>
    <w:rsid w:val="006F696B"/>
    <w:rsid w:val="006F758B"/>
    <w:rsid w:val="007015E8"/>
    <w:rsid w:val="007016F0"/>
    <w:rsid w:val="007049A3"/>
    <w:rsid w:val="00707043"/>
    <w:rsid w:val="00710062"/>
    <w:rsid w:val="0071006E"/>
    <w:rsid w:val="00712A33"/>
    <w:rsid w:val="007130DB"/>
    <w:rsid w:val="00713EEE"/>
    <w:rsid w:val="00713FB1"/>
    <w:rsid w:val="007149D6"/>
    <w:rsid w:val="00715C72"/>
    <w:rsid w:val="00715EE0"/>
    <w:rsid w:val="007214A4"/>
    <w:rsid w:val="0072323F"/>
    <w:rsid w:val="00723AFE"/>
    <w:rsid w:val="00725694"/>
    <w:rsid w:val="007258EB"/>
    <w:rsid w:val="00726727"/>
    <w:rsid w:val="007278B4"/>
    <w:rsid w:val="00731D1A"/>
    <w:rsid w:val="007329C4"/>
    <w:rsid w:val="00741D34"/>
    <w:rsid w:val="00742643"/>
    <w:rsid w:val="00743BAD"/>
    <w:rsid w:val="007472E9"/>
    <w:rsid w:val="007472FD"/>
    <w:rsid w:val="007507BE"/>
    <w:rsid w:val="007508ED"/>
    <w:rsid w:val="00750D74"/>
    <w:rsid w:val="00751205"/>
    <w:rsid w:val="00752577"/>
    <w:rsid w:val="00754067"/>
    <w:rsid w:val="0075641F"/>
    <w:rsid w:val="00757660"/>
    <w:rsid w:val="007620F5"/>
    <w:rsid w:val="00765014"/>
    <w:rsid w:val="0076594C"/>
    <w:rsid w:val="007720BA"/>
    <w:rsid w:val="00773301"/>
    <w:rsid w:val="00774BC9"/>
    <w:rsid w:val="00777C4F"/>
    <w:rsid w:val="0078071D"/>
    <w:rsid w:val="00782151"/>
    <w:rsid w:val="007823CA"/>
    <w:rsid w:val="00782D8C"/>
    <w:rsid w:val="00782F93"/>
    <w:rsid w:val="00784276"/>
    <w:rsid w:val="0078527F"/>
    <w:rsid w:val="007856FE"/>
    <w:rsid w:val="00785861"/>
    <w:rsid w:val="007912CD"/>
    <w:rsid w:val="007939FB"/>
    <w:rsid w:val="007961AD"/>
    <w:rsid w:val="00797BAB"/>
    <w:rsid w:val="007A16F8"/>
    <w:rsid w:val="007A2758"/>
    <w:rsid w:val="007A27F2"/>
    <w:rsid w:val="007A2DBF"/>
    <w:rsid w:val="007A6762"/>
    <w:rsid w:val="007A695C"/>
    <w:rsid w:val="007A71F7"/>
    <w:rsid w:val="007B0494"/>
    <w:rsid w:val="007B1780"/>
    <w:rsid w:val="007B3F7E"/>
    <w:rsid w:val="007B69D2"/>
    <w:rsid w:val="007C4301"/>
    <w:rsid w:val="007C432A"/>
    <w:rsid w:val="007C69CD"/>
    <w:rsid w:val="007C70B2"/>
    <w:rsid w:val="007D0E52"/>
    <w:rsid w:val="007D2F3C"/>
    <w:rsid w:val="007D3949"/>
    <w:rsid w:val="007D3B57"/>
    <w:rsid w:val="007D623B"/>
    <w:rsid w:val="007D7FBB"/>
    <w:rsid w:val="007E1B87"/>
    <w:rsid w:val="007E1CAC"/>
    <w:rsid w:val="007E415D"/>
    <w:rsid w:val="007E4376"/>
    <w:rsid w:val="007E56C5"/>
    <w:rsid w:val="007F041D"/>
    <w:rsid w:val="007F07AC"/>
    <w:rsid w:val="007F1886"/>
    <w:rsid w:val="007F1C08"/>
    <w:rsid w:val="007F25FD"/>
    <w:rsid w:val="007F28DC"/>
    <w:rsid w:val="007F3664"/>
    <w:rsid w:val="007F5798"/>
    <w:rsid w:val="007F66FF"/>
    <w:rsid w:val="007F6719"/>
    <w:rsid w:val="007F6EF0"/>
    <w:rsid w:val="007F7137"/>
    <w:rsid w:val="00801B59"/>
    <w:rsid w:val="00802385"/>
    <w:rsid w:val="0080289D"/>
    <w:rsid w:val="0080313A"/>
    <w:rsid w:val="00803AC4"/>
    <w:rsid w:val="008046F9"/>
    <w:rsid w:val="0080590C"/>
    <w:rsid w:val="00806C7A"/>
    <w:rsid w:val="00806FF4"/>
    <w:rsid w:val="0080730B"/>
    <w:rsid w:val="0080746D"/>
    <w:rsid w:val="008075AA"/>
    <w:rsid w:val="00807F11"/>
    <w:rsid w:val="00812229"/>
    <w:rsid w:val="008138D5"/>
    <w:rsid w:val="008145E1"/>
    <w:rsid w:val="00814652"/>
    <w:rsid w:val="00814BF6"/>
    <w:rsid w:val="00814EFB"/>
    <w:rsid w:val="00820167"/>
    <w:rsid w:val="00820265"/>
    <w:rsid w:val="00820BE7"/>
    <w:rsid w:val="00820C7B"/>
    <w:rsid w:val="008210B7"/>
    <w:rsid w:val="00823C66"/>
    <w:rsid w:val="008260D9"/>
    <w:rsid w:val="00826C87"/>
    <w:rsid w:val="00826F4F"/>
    <w:rsid w:val="00827553"/>
    <w:rsid w:val="00832223"/>
    <w:rsid w:val="00832B6E"/>
    <w:rsid w:val="00832CFE"/>
    <w:rsid w:val="00840E76"/>
    <w:rsid w:val="008438CC"/>
    <w:rsid w:val="00844DDE"/>
    <w:rsid w:val="00847E01"/>
    <w:rsid w:val="00847E46"/>
    <w:rsid w:val="0085046C"/>
    <w:rsid w:val="008510C4"/>
    <w:rsid w:val="00851AB4"/>
    <w:rsid w:val="0085249D"/>
    <w:rsid w:val="008540F0"/>
    <w:rsid w:val="0085431C"/>
    <w:rsid w:val="008548BE"/>
    <w:rsid w:val="00860AA4"/>
    <w:rsid w:val="00863986"/>
    <w:rsid w:val="0086668D"/>
    <w:rsid w:val="0087166C"/>
    <w:rsid w:val="00871763"/>
    <w:rsid w:val="008718EA"/>
    <w:rsid w:val="00871C7D"/>
    <w:rsid w:val="00871FE7"/>
    <w:rsid w:val="00872B9B"/>
    <w:rsid w:val="00873566"/>
    <w:rsid w:val="008757F7"/>
    <w:rsid w:val="0087673B"/>
    <w:rsid w:val="008767FC"/>
    <w:rsid w:val="00876F62"/>
    <w:rsid w:val="00877C80"/>
    <w:rsid w:val="0088032B"/>
    <w:rsid w:val="00880769"/>
    <w:rsid w:val="00880A8F"/>
    <w:rsid w:val="0088221D"/>
    <w:rsid w:val="00882FB8"/>
    <w:rsid w:val="00884905"/>
    <w:rsid w:val="0088604E"/>
    <w:rsid w:val="00886A32"/>
    <w:rsid w:val="00886A9A"/>
    <w:rsid w:val="00887BC1"/>
    <w:rsid w:val="008931D2"/>
    <w:rsid w:val="00895D32"/>
    <w:rsid w:val="008A4010"/>
    <w:rsid w:val="008A6495"/>
    <w:rsid w:val="008A72B2"/>
    <w:rsid w:val="008A7F60"/>
    <w:rsid w:val="008B11F6"/>
    <w:rsid w:val="008B4BA2"/>
    <w:rsid w:val="008B5424"/>
    <w:rsid w:val="008B5485"/>
    <w:rsid w:val="008B569A"/>
    <w:rsid w:val="008B71E3"/>
    <w:rsid w:val="008C1D5C"/>
    <w:rsid w:val="008C1E02"/>
    <w:rsid w:val="008C1E2C"/>
    <w:rsid w:val="008C530B"/>
    <w:rsid w:val="008C57E9"/>
    <w:rsid w:val="008C5C00"/>
    <w:rsid w:val="008C7C1B"/>
    <w:rsid w:val="008C7DF4"/>
    <w:rsid w:val="008D1405"/>
    <w:rsid w:val="008D1DF6"/>
    <w:rsid w:val="008D21E1"/>
    <w:rsid w:val="008D32BF"/>
    <w:rsid w:val="008D400B"/>
    <w:rsid w:val="008D55D0"/>
    <w:rsid w:val="008D5EFD"/>
    <w:rsid w:val="008E1277"/>
    <w:rsid w:val="008E1C9A"/>
    <w:rsid w:val="008E42BF"/>
    <w:rsid w:val="008F0CB2"/>
    <w:rsid w:val="008F1726"/>
    <w:rsid w:val="008F4101"/>
    <w:rsid w:val="008F541B"/>
    <w:rsid w:val="008F6633"/>
    <w:rsid w:val="008F75EE"/>
    <w:rsid w:val="00900D37"/>
    <w:rsid w:val="00903662"/>
    <w:rsid w:val="00905CB7"/>
    <w:rsid w:val="009063DA"/>
    <w:rsid w:val="009068CD"/>
    <w:rsid w:val="009109B3"/>
    <w:rsid w:val="00910F49"/>
    <w:rsid w:val="009115DF"/>
    <w:rsid w:val="0091397D"/>
    <w:rsid w:val="00914CE7"/>
    <w:rsid w:val="009152FA"/>
    <w:rsid w:val="009160B7"/>
    <w:rsid w:val="00916E2B"/>
    <w:rsid w:val="00917AD7"/>
    <w:rsid w:val="00920142"/>
    <w:rsid w:val="00925114"/>
    <w:rsid w:val="00930224"/>
    <w:rsid w:val="00931783"/>
    <w:rsid w:val="00931F78"/>
    <w:rsid w:val="0093381F"/>
    <w:rsid w:val="00933DD9"/>
    <w:rsid w:val="00934010"/>
    <w:rsid w:val="00936C78"/>
    <w:rsid w:val="00937DBF"/>
    <w:rsid w:val="009407BC"/>
    <w:rsid w:val="00940BD6"/>
    <w:rsid w:val="00940E34"/>
    <w:rsid w:val="009419BA"/>
    <w:rsid w:val="009421E6"/>
    <w:rsid w:val="00942F0C"/>
    <w:rsid w:val="00942FB6"/>
    <w:rsid w:val="0095042E"/>
    <w:rsid w:val="00950B12"/>
    <w:rsid w:val="009523DA"/>
    <w:rsid w:val="00952E9A"/>
    <w:rsid w:val="00954B8B"/>
    <w:rsid w:val="00954DD1"/>
    <w:rsid w:val="009558E1"/>
    <w:rsid w:val="0096124D"/>
    <w:rsid w:val="009612E6"/>
    <w:rsid w:val="009616EA"/>
    <w:rsid w:val="00962532"/>
    <w:rsid w:val="00963E9C"/>
    <w:rsid w:val="00966278"/>
    <w:rsid w:val="00966693"/>
    <w:rsid w:val="009667F7"/>
    <w:rsid w:val="00970611"/>
    <w:rsid w:val="009708E2"/>
    <w:rsid w:val="00970AF6"/>
    <w:rsid w:val="00971417"/>
    <w:rsid w:val="0097267A"/>
    <w:rsid w:val="00974174"/>
    <w:rsid w:val="009748D3"/>
    <w:rsid w:val="00975831"/>
    <w:rsid w:val="0097706E"/>
    <w:rsid w:val="009803B4"/>
    <w:rsid w:val="00981598"/>
    <w:rsid w:val="00984949"/>
    <w:rsid w:val="00984AF9"/>
    <w:rsid w:val="00984D8E"/>
    <w:rsid w:val="009858D7"/>
    <w:rsid w:val="00985C0F"/>
    <w:rsid w:val="00986A91"/>
    <w:rsid w:val="00986C27"/>
    <w:rsid w:val="009910F4"/>
    <w:rsid w:val="00991222"/>
    <w:rsid w:val="00992076"/>
    <w:rsid w:val="00995D85"/>
    <w:rsid w:val="00996EF8"/>
    <w:rsid w:val="0099700E"/>
    <w:rsid w:val="009979A7"/>
    <w:rsid w:val="009A2360"/>
    <w:rsid w:val="009A590F"/>
    <w:rsid w:val="009A641E"/>
    <w:rsid w:val="009A6943"/>
    <w:rsid w:val="009B1194"/>
    <w:rsid w:val="009B2479"/>
    <w:rsid w:val="009B3E8C"/>
    <w:rsid w:val="009B6781"/>
    <w:rsid w:val="009B6CAD"/>
    <w:rsid w:val="009B7F86"/>
    <w:rsid w:val="009C0C48"/>
    <w:rsid w:val="009C13E8"/>
    <w:rsid w:val="009C3168"/>
    <w:rsid w:val="009C36AC"/>
    <w:rsid w:val="009C5CB6"/>
    <w:rsid w:val="009C737B"/>
    <w:rsid w:val="009C7445"/>
    <w:rsid w:val="009D15C8"/>
    <w:rsid w:val="009D29F0"/>
    <w:rsid w:val="009D2C41"/>
    <w:rsid w:val="009D3E90"/>
    <w:rsid w:val="009D5F77"/>
    <w:rsid w:val="009E0503"/>
    <w:rsid w:val="009E117F"/>
    <w:rsid w:val="009E21AF"/>
    <w:rsid w:val="009E6F68"/>
    <w:rsid w:val="009F194B"/>
    <w:rsid w:val="009F3089"/>
    <w:rsid w:val="009F4A40"/>
    <w:rsid w:val="00A00EF5"/>
    <w:rsid w:val="00A0171E"/>
    <w:rsid w:val="00A01F38"/>
    <w:rsid w:val="00A01F43"/>
    <w:rsid w:val="00A03D40"/>
    <w:rsid w:val="00A053BC"/>
    <w:rsid w:val="00A05E06"/>
    <w:rsid w:val="00A06F0A"/>
    <w:rsid w:val="00A12D76"/>
    <w:rsid w:val="00A1416C"/>
    <w:rsid w:val="00A1460C"/>
    <w:rsid w:val="00A208F4"/>
    <w:rsid w:val="00A20C9B"/>
    <w:rsid w:val="00A21C77"/>
    <w:rsid w:val="00A22928"/>
    <w:rsid w:val="00A2449D"/>
    <w:rsid w:val="00A253AB"/>
    <w:rsid w:val="00A26150"/>
    <w:rsid w:val="00A2669D"/>
    <w:rsid w:val="00A26B8A"/>
    <w:rsid w:val="00A27749"/>
    <w:rsid w:val="00A27B2A"/>
    <w:rsid w:val="00A31B03"/>
    <w:rsid w:val="00A33027"/>
    <w:rsid w:val="00A34589"/>
    <w:rsid w:val="00A345DB"/>
    <w:rsid w:val="00A37DBA"/>
    <w:rsid w:val="00A4088F"/>
    <w:rsid w:val="00A40EB4"/>
    <w:rsid w:val="00A41777"/>
    <w:rsid w:val="00A42BC0"/>
    <w:rsid w:val="00A42FAB"/>
    <w:rsid w:val="00A43734"/>
    <w:rsid w:val="00A45236"/>
    <w:rsid w:val="00A46508"/>
    <w:rsid w:val="00A46DD1"/>
    <w:rsid w:val="00A47B7C"/>
    <w:rsid w:val="00A52692"/>
    <w:rsid w:val="00A53D35"/>
    <w:rsid w:val="00A553CE"/>
    <w:rsid w:val="00A55889"/>
    <w:rsid w:val="00A562B3"/>
    <w:rsid w:val="00A56629"/>
    <w:rsid w:val="00A566E6"/>
    <w:rsid w:val="00A573D9"/>
    <w:rsid w:val="00A6095F"/>
    <w:rsid w:val="00A618B6"/>
    <w:rsid w:val="00A62046"/>
    <w:rsid w:val="00A64584"/>
    <w:rsid w:val="00A83439"/>
    <w:rsid w:val="00A84283"/>
    <w:rsid w:val="00A85069"/>
    <w:rsid w:val="00A85F07"/>
    <w:rsid w:val="00A86163"/>
    <w:rsid w:val="00A8692C"/>
    <w:rsid w:val="00A91FD6"/>
    <w:rsid w:val="00A92CC9"/>
    <w:rsid w:val="00A93F43"/>
    <w:rsid w:val="00A9676A"/>
    <w:rsid w:val="00AA0603"/>
    <w:rsid w:val="00AA14B6"/>
    <w:rsid w:val="00AA5798"/>
    <w:rsid w:val="00AB2561"/>
    <w:rsid w:val="00AB38D7"/>
    <w:rsid w:val="00AB4227"/>
    <w:rsid w:val="00AB4AB8"/>
    <w:rsid w:val="00AB4F3F"/>
    <w:rsid w:val="00AB51EE"/>
    <w:rsid w:val="00AB61F7"/>
    <w:rsid w:val="00AC2900"/>
    <w:rsid w:val="00AC3578"/>
    <w:rsid w:val="00AC38C6"/>
    <w:rsid w:val="00AC3AD7"/>
    <w:rsid w:val="00AC528D"/>
    <w:rsid w:val="00AC52C1"/>
    <w:rsid w:val="00AC57C5"/>
    <w:rsid w:val="00AC637F"/>
    <w:rsid w:val="00AC6F0C"/>
    <w:rsid w:val="00AC7266"/>
    <w:rsid w:val="00AD0791"/>
    <w:rsid w:val="00AD0F91"/>
    <w:rsid w:val="00AD3A26"/>
    <w:rsid w:val="00AD4F91"/>
    <w:rsid w:val="00AD660B"/>
    <w:rsid w:val="00AE001D"/>
    <w:rsid w:val="00AE0867"/>
    <w:rsid w:val="00AE0BEF"/>
    <w:rsid w:val="00AE2799"/>
    <w:rsid w:val="00AE2955"/>
    <w:rsid w:val="00AE5568"/>
    <w:rsid w:val="00AE6336"/>
    <w:rsid w:val="00AE6970"/>
    <w:rsid w:val="00AE78F5"/>
    <w:rsid w:val="00AF00D9"/>
    <w:rsid w:val="00AF2603"/>
    <w:rsid w:val="00AF37D5"/>
    <w:rsid w:val="00AF4163"/>
    <w:rsid w:val="00AF47A3"/>
    <w:rsid w:val="00AF5319"/>
    <w:rsid w:val="00AF619E"/>
    <w:rsid w:val="00AF6FAE"/>
    <w:rsid w:val="00B0099D"/>
    <w:rsid w:val="00B04D40"/>
    <w:rsid w:val="00B04E09"/>
    <w:rsid w:val="00B0519F"/>
    <w:rsid w:val="00B06D9A"/>
    <w:rsid w:val="00B1276E"/>
    <w:rsid w:val="00B14826"/>
    <w:rsid w:val="00B14FC9"/>
    <w:rsid w:val="00B17065"/>
    <w:rsid w:val="00B178D2"/>
    <w:rsid w:val="00B17C35"/>
    <w:rsid w:val="00B227A2"/>
    <w:rsid w:val="00B228ED"/>
    <w:rsid w:val="00B2590A"/>
    <w:rsid w:val="00B25C73"/>
    <w:rsid w:val="00B261F1"/>
    <w:rsid w:val="00B303F8"/>
    <w:rsid w:val="00B30889"/>
    <w:rsid w:val="00B31414"/>
    <w:rsid w:val="00B32748"/>
    <w:rsid w:val="00B330AD"/>
    <w:rsid w:val="00B33FC2"/>
    <w:rsid w:val="00B356A2"/>
    <w:rsid w:val="00B36EF4"/>
    <w:rsid w:val="00B374B1"/>
    <w:rsid w:val="00B402E7"/>
    <w:rsid w:val="00B4216F"/>
    <w:rsid w:val="00B4320A"/>
    <w:rsid w:val="00B442D7"/>
    <w:rsid w:val="00B44658"/>
    <w:rsid w:val="00B4544E"/>
    <w:rsid w:val="00B46B19"/>
    <w:rsid w:val="00B50854"/>
    <w:rsid w:val="00B52375"/>
    <w:rsid w:val="00B52722"/>
    <w:rsid w:val="00B5446A"/>
    <w:rsid w:val="00B5464F"/>
    <w:rsid w:val="00B556F2"/>
    <w:rsid w:val="00B55DF6"/>
    <w:rsid w:val="00B5772D"/>
    <w:rsid w:val="00B57F28"/>
    <w:rsid w:val="00B654E7"/>
    <w:rsid w:val="00B72EA0"/>
    <w:rsid w:val="00B748BF"/>
    <w:rsid w:val="00B75CBE"/>
    <w:rsid w:val="00B7601B"/>
    <w:rsid w:val="00B76B9D"/>
    <w:rsid w:val="00B77BD8"/>
    <w:rsid w:val="00B812FD"/>
    <w:rsid w:val="00B82E6B"/>
    <w:rsid w:val="00B8354E"/>
    <w:rsid w:val="00B8724E"/>
    <w:rsid w:val="00B91D65"/>
    <w:rsid w:val="00B930D1"/>
    <w:rsid w:val="00B93A56"/>
    <w:rsid w:val="00B94F0E"/>
    <w:rsid w:val="00B958B0"/>
    <w:rsid w:val="00B95941"/>
    <w:rsid w:val="00B96BA6"/>
    <w:rsid w:val="00BA0E15"/>
    <w:rsid w:val="00BA4A2C"/>
    <w:rsid w:val="00BA4B2D"/>
    <w:rsid w:val="00BA7FEB"/>
    <w:rsid w:val="00BB0CF0"/>
    <w:rsid w:val="00BB1B44"/>
    <w:rsid w:val="00BB2D76"/>
    <w:rsid w:val="00BB7A46"/>
    <w:rsid w:val="00BC0BF9"/>
    <w:rsid w:val="00BC4B6E"/>
    <w:rsid w:val="00BC4C39"/>
    <w:rsid w:val="00BC4EE9"/>
    <w:rsid w:val="00BC6C61"/>
    <w:rsid w:val="00BC73DA"/>
    <w:rsid w:val="00BD03F0"/>
    <w:rsid w:val="00BD042B"/>
    <w:rsid w:val="00BD0D82"/>
    <w:rsid w:val="00BD1637"/>
    <w:rsid w:val="00BD1666"/>
    <w:rsid w:val="00BD4331"/>
    <w:rsid w:val="00BD4D32"/>
    <w:rsid w:val="00BD4D81"/>
    <w:rsid w:val="00BD6540"/>
    <w:rsid w:val="00BE4830"/>
    <w:rsid w:val="00BE7754"/>
    <w:rsid w:val="00BE7E19"/>
    <w:rsid w:val="00BF2024"/>
    <w:rsid w:val="00BF2553"/>
    <w:rsid w:val="00BF5D03"/>
    <w:rsid w:val="00BF6BA8"/>
    <w:rsid w:val="00BF7493"/>
    <w:rsid w:val="00C00E15"/>
    <w:rsid w:val="00C023EB"/>
    <w:rsid w:val="00C03750"/>
    <w:rsid w:val="00C06DC4"/>
    <w:rsid w:val="00C06F00"/>
    <w:rsid w:val="00C072C9"/>
    <w:rsid w:val="00C1176E"/>
    <w:rsid w:val="00C11BB6"/>
    <w:rsid w:val="00C1260E"/>
    <w:rsid w:val="00C134D0"/>
    <w:rsid w:val="00C13988"/>
    <w:rsid w:val="00C13AC9"/>
    <w:rsid w:val="00C16695"/>
    <w:rsid w:val="00C20C80"/>
    <w:rsid w:val="00C2182F"/>
    <w:rsid w:val="00C21943"/>
    <w:rsid w:val="00C276FE"/>
    <w:rsid w:val="00C329A0"/>
    <w:rsid w:val="00C33F58"/>
    <w:rsid w:val="00C34749"/>
    <w:rsid w:val="00C3487C"/>
    <w:rsid w:val="00C3687F"/>
    <w:rsid w:val="00C37319"/>
    <w:rsid w:val="00C373D2"/>
    <w:rsid w:val="00C40D1C"/>
    <w:rsid w:val="00C44FFD"/>
    <w:rsid w:val="00C45942"/>
    <w:rsid w:val="00C468A5"/>
    <w:rsid w:val="00C47D75"/>
    <w:rsid w:val="00C5042E"/>
    <w:rsid w:val="00C50847"/>
    <w:rsid w:val="00C513BE"/>
    <w:rsid w:val="00C51FEF"/>
    <w:rsid w:val="00C54968"/>
    <w:rsid w:val="00C5500D"/>
    <w:rsid w:val="00C55E58"/>
    <w:rsid w:val="00C60020"/>
    <w:rsid w:val="00C61151"/>
    <w:rsid w:val="00C633CC"/>
    <w:rsid w:val="00C6531C"/>
    <w:rsid w:val="00C654A6"/>
    <w:rsid w:val="00C671BC"/>
    <w:rsid w:val="00C70FDB"/>
    <w:rsid w:val="00C71585"/>
    <w:rsid w:val="00C718DE"/>
    <w:rsid w:val="00C721F7"/>
    <w:rsid w:val="00C742D3"/>
    <w:rsid w:val="00C774A3"/>
    <w:rsid w:val="00C80A85"/>
    <w:rsid w:val="00C87E90"/>
    <w:rsid w:val="00C9047B"/>
    <w:rsid w:val="00C9369A"/>
    <w:rsid w:val="00C957D1"/>
    <w:rsid w:val="00C95963"/>
    <w:rsid w:val="00C96B7A"/>
    <w:rsid w:val="00CA01B8"/>
    <w:rsid w:val="00CA241E"/>
    <w:rsid w:val="00CA2A39"/>
    <w:rsid w:val="00CA2C4A"/>
    <w:rsid w:val="00CA2DB4"/>
    <w:rsid w:val="00CA45CF"/>
    <w:rsid w:val="00CA6344"/>
    <w:rsid w:val="00CA6EEB"/>
    <w:rsid w:val="00CB0AC0"/>
    <w:rsid w:val="00CB1F47"/>
    <w:rsid w:val="00CB2391"/>
    <w:rsid w:val="00CB2B80"/>
    <w:rsid w:val="00CB2E07"/>
    <w:rsid w:val="00CB46A0"/>
    <w:rsid w:val="00CB4748"/>
    <w:rsid w:val="00CB4DA1"/>
    <w:rsid w:val="00CB4DB7"/>
    <w:rsid w:val="00CB4E60"/>
    <w:rsid w:val="00CB4ECA"/>
    <w:rsid w:val="00CB560A"/>
    <w:rsid w:val="00CB5A3B"/>
    <w:rsid w:val="00CB5DF7"/>
    <w:rsid w:val="00CB741B"/>
    <w:rsid w:val="00CC03E0"/>
    <w:rsid w:val="00CC2F7B"/>
    <w:rsid w:val="00CC3E26"/>
    <w:rsid w:val="00CC40C4"/>
    <w:rsid w:val="00CC5619"/>
    <w:rsid w:val="00CC7146"/>
    <w:rsid w:val="00CD0AD6"/>
    <w:rsid w:val="00CD12FA"/>
    <w:rsid w:val="00CD1F87"/>
    <w:rsid w:val="00CD2600"/>
    <w:rsid w:val="00CD3853"/>
    <w:rsid w:val="00CD4AD1"/>
    <w:rsid w:val="00CD579E"/>
    <w:rsid w:val="00CE0D19"/>
    <w:rsid w:val="00CE1CAF"/>
    <w:rsid w:val="00CE419F"/>
    <w:rsid w:val="00CE41F5"/>
    <w:rsid w:val="00CE436E"/>
    <w:rsid w:val="00CE4C02"/>
    <w:rsid w:val="00CF05C3"/>
    <w:rsid w:val="00CF1A97"/>
    <w:rsid w:val="00CF5413"/>
    <w:rsid w:val="00CF62AC"/>
    <w:rsid w:val="00CF66F9"/>
    <w:rsid w:val="00D00A3D"/>
    <w:rsid w:val="00D0262E"/>
    <w:rsid w:val="00D02A55"/>
    <w:rsid w:val="00D031B9"/>
    <w:rsid w:val="00D045E5"/>
    <w:rsid w:val="00D0682B"/>
    <w:rsid w:val="00D10DAB"/>
    <w:rsid w:val="00D125F2"/>
    <w:rsid w:val="00D15A4B"/>
    <w:rsid w:val="00D15AC0"/>
    <w:rsid w:val="00D15B27"/>
    <w:rsid w:val="00D16110"/>
    <w:rsid w:val="00D16D01"/>
    <w:rsid w:val="00D17B19"/>
    <w:rsid w:val="00D23232"/>
    <w:rsid w:val="00D2343D"/>
    <w:rsid w:val="00D251F9"/>
    <w:rsid w:val="00D2624B"/>
    <w:rsid w:val="00D275FC"/>
    <w:rsid w:val="00D306C3"/>
    <w:rsid w:val="00D30B2A"/>
    <w:rsid w:val="00D31521"/>
    <w:rsid w:val="00D31FBC"/>
    <w:rsid w:val="00D32C72"/>
    <w:rsid w:val="00D33CF8"/>
    <w:rsid w:val="00D34464"/>
    <w:rsid w:val="00D34622"/>
    <w:rsid w:val="00D4024A"/>
    <w:rsid w:val="00D406D8"/>
    <w:rsid w:val="00D40BB1"/>
    <w:rsid w:val="00D4124D"/>
    <w:rsid w:val="00D41432"/>
    <w:rsid w:val="00D457AF"/>
    <w:rsid w:val="00D47F22"/>
    <w:rsid w:val="00D47F8C"/>
    <w:rsid w:val="00D50C0E"/>
    <w:rsid w:val="00D50E85"/>
    <w:rsid w:val="00D5192D"/>
    <w:rsid w:val="00D5214F"/>
    <w:rsid w:val="00D55CDB"/>
    <w:rsid w:val="00D566F8"/>
    <w:rsid w:val="00D60CC1"/>
    <w:rsid w:val="00D6253E"/>
    <w:rsid w:val="00D63159"/>
    <w:rsid w:val="00D65269"/>
    <w:rsid w:val="00D65E9B"/>
    <w:rsid w:val="00D66648"/>
    <w:rsid w:val="00D66B5D"/>
    <w:rsid w:val="00D67037"/>
    <w:rsid w:val="00D67DD4"/>
    <w:rsid w:val="00D7075A"/>
    <w:rsid w:val="00D70C5D"/>
    <w:rsid w:val="00D73478"/>
    <w:rsid w:val="00D7404B"/>
    <w:rsid w:val="00D747C4"/>
    <w:rsid w:val="00D7662D"/>
    <w:rsid w:val="00D832E8"/>
    <w:rsid w:val="00D83330"/>
    <w:rsid w:val="00D838D4"/>
    <w:rsid w:val="00D849AA"/>
    <w:rsid w:val="00D84B36"/>
    <w:rsid w:val="00D8583C"/>
    <w:rsid w:val="00D86A69"/>
    <w:rsid w:val="00D90FF3"/>
    <w:rsid w:val="00D9112E"/>
    <w:rsid w:val="00DA0B42"/>
    <w:rsid w:val="00DA1E9A"/>
    <w:rsid w:val="00DA3144"/>
    <w:rsid w:val="00DA3357"/>
    <w:rsid w:val="00DA384B"/>
    <w:rsid w:val="00DA3966"/>
    <w:rsid w:val="00DA5210"/>
    <w:rsid w:val="00DA632F"/>
    <w:rsid w:val="00DA6CF7"/>
    <w:rsid w:val="00DB06D0"/>
    <w:rsid w:val="00DB117B"/>
    <w:rsid w:val="00DB38A6"/>
    <w:rsid w:val="00DB3C16"/>
    <w:rsid w:val="00DB5E25"/>
    <w:rsid w:val="00DB5E46"/>
    <w:rsid w:val="00DB6368"/>
    <w:rsid w:val="00DB6908"/>
    <w:rsid w:val="00DB6C49"/>
    <w:rsid w:val="00DB71A1"/>
    <w:rsid w:val="00DB7343"/>
    <w:rsid w:val="00DB73DD"/>
    <w:rsid w:val="00DB7870"/>
    <w:rsid w:val="00DC1252"/>
    <w:rsid w:val="00DC1AFC"/>
    <w:rsid w:val="00DC209A"/>
    <w:rsid w:val="00DC36CF"/>
    <w:rsid w:val="00DC53FB"/>
    <w:rsid w:val="00DC6915"/>
    <w:rsid w:val="00DD0B52"/>
    <w:rsid w:val="00DD0C87"/>
    <w:rsid w:val="00DD15F0"/>
    <w:rsid w:val="00DD439A"/>
    <w:rsid w:val="00DD4575"/>
    <w:rsid w:val="00DD63DD"/>
    <w:rsid w:val="00DD7B4B"/>
    <w:rsid w:val="00DE0538"/>
    <w:rsid w:val="00DE08BC"/>
    <w:rsid w:val="00DE2035"/>
    <w:rsid w:val="00DE22B4"/>
    <w:rsid w:val="00DE25F9"/>
    <w:rsid w:val="00DE3B72"/>
    <w:rsid w:val="00DE5820"/>
    <w:rsid w:val="00DF5361"/>
    <w:rsid w:val="00DF62D4"/>
    <w:rsid w:val="00DF682E"/>
    <w:rsid w:val="00DF76EF"/>
    <w:rsid w:val="00E00B63"/>
    <w:rsid w:val="00E01187"/>
    <w:rsid w:val="00E0203E"/>
    <w:rsid w:val="00E02156"/>
    <w:rsid w:val="00E04979"/>
    <w:rsid w:val="00E11320"/>
    <w:rsid w:val="00E122B8"/>
    <w:rsid w:val="00E15832"/>
    <w:rsid w:val="00E16D84"/>
    <w:rsid w:val="00E213F3"/>
    <w:rsid w:val="00E22240"/>
    <w:rsid w:val="00E24F1E"/>
    <w:rsid w:val="00E252A6"/>
    <w:rsid w:val="00E25F71"/>
    <w:rsid w:val="00E2653A"/>
    <w:rsid w:val="00E26DF6"/>
    <w:rsid w:val="00E3210B"/>
    <w:rsid w:val="00E32977"/>
    <w:rsid w:val="00E34152"/>
    <w:rsid w:val="00E34929"/>
    <w:rsid w:val="00E35835"/>
    <w:rsid w:val="00E408A0"/>
    <w:rsid w:val="00E41340"/>
    <w:rsid w:val="00E4185C"/>
    <w:rsid w:val="00E43E52"/>
    <w:rsid w:val="00E45A5B"/>
    <w:rsid w:val="00E45D77"/>
    <w:rsid w:val="00E46EA9"/>
    <w:rsid w:val="00E50913"/>
    <w:rsid w:val="00E514CD"/>
    <w:rsid w:val="00E5297A"/>
    <w:rsid w:val="00E530AD"/>
    <w:rsid w:val="00E541E6"/>
    <w:rsid w:val="00E547C8"/>
    <w:rsid w:val="00E550DA"/>
    <w:rsid w:val="00E55C70"/>
    <w:rsid w:val="00E55E34"/>
    <w:rsid w:val="00E57419"/>
    <w:rsid w:val="00E576A0"/>
    <w:rsid w:val="00E579BE"/>
    <w:rsid w:val="00E57C53"/>
    <w:rsid w:val="00E63A34"/>
    <w:rsid w:val="00E676B0"/>
    <w:rsid w:val="00E67C6D"/>
    <w:rsid w:val="00E67E85"/>
    <w:rsid w:val="00E71B0E"/>
    <w:rsid w:val="00E7265C"/>
    <w:rsid w:val="00E72C2A"/>
    <w:rsid w:val="00E7304F"/>
    <w:rsid w:val="00E7443D"/>
    <w:rsid w:val="00E770F7"/>
    <w:rsid w:val="00E82623"/>
    <w:rsid w:val="00E84ACF"/>
    <w:rsid w:val="00E90128"/>
    <w:rsid w:val="00E917AB"/>
    <w:rsid w:val="00E93935"/>
    <w:rsid w:val="00E93B08"/>
    <w:rsid w:val="00E95268"/>
    <w:rsid w:val="00E97DA5"/>
    <w:rsid w:val="00EA2E29"/>
    <w:rsid w:val="00EA2E88"/>
    <w:rsid w:val="00EA3DEE"/>
    <w:rsid w:val="00EA4C08"/>
    <w:rsid w:val="00EA5E84"/>
    <w:rsid w:val="00EA70EE"/>
    <w:rsid w:val="00EB0DE8"/>
    <w:rsid w:val="00EB310B"/>
    <w:rsid w:val="00EB4024"/>
    <w:rsid w:val="00EB431E"/>
    <w:rsid w:val="00EB5DF2"/>
    <w:rsid w:val="00EB6181"/>
    <w:rsid w:val="00EC2318"/>
    <w:rsid w:val="00EC2A92"/>
    <w:rsid w:val="00EC3409"/>
    <w:rsid w:val="00EC340E"/>
    <w:rsid w:val="00EC46BF"/>
    <w:rsid w:val="00EC4749"/>
    <w:rsid w:val="00EC603D"/>
    <w:rsid w:val="00EC6D75"/>
    <w:rsid w:val="00ED2BDA"/>
    <w:rsid w:val="00ED2F16"/>
    <w:rsid w:val="00ED6CDD"/>
    <w:rsid w:val="00ED7147"/>
    <w:rsid w:val="00ED7594"/>
    <w:rsid w:val="00EE11D2"/>
    <w:rsid w:val="00EE1589"/>
    <w:rsid w:val="00EE2730"/>
    <w:rsid w:val="00EE33CA"/>
    <w:rsid w:val="00EE6A22"/>
    <w:rsid w:val="00EE7504"/>
    <w:rsid w:val="00EF2CF5"/>
    <w:rsid w:val="00EF3A21"/>
    <w:rsid w:val="00EF427A"/>
    <w:rsid w:val="00EF44B4"/>
    <w:rsid w:val="00EF4F81"/>
    <w:rsid w:val="00EF7D9D"/>
    <w:rsid w:val="00F000EB"/>
    <w:rsid w:val="00F01729"/>
    <w:rsid w:val="00F02BAC"/>
    <w:rsid w:val="00F032B9"/>
    <w:rsid w:val="00F12896"/>
    <w:rsid w:val="00F15083"/>
    <w:rsid w:val="00F16F40"/>
    <w:rsid w:val="00F1711D"/>
    <w:rsid w:val="00F207F2"/>
    <w:rsid w:val="00F253FE"/>
    <w:rsid w:val="00F259E0"/>
    <w:rsid w:val="00F25B01"/>
    <w:rsid w:val="00F26B4B"/>
    <w:rsid w:val="00F3272D"/>
    <w:rsid w:val="00F32C64"/>
    <w:rsid w:val="00F32EB3"/>
    <w:rsid w:val="00F3397B"/>
    <w:rsid w:val="00F342EF"/>
    <w:rsid w:val="00F34B22"/>
    <w:rsid w:val="00F34EF8"/>
    <w:rsid w:val="00F408BD"/>
    <w:rsid w:val="00F420FF"/>
    <w:rsid w:val="00F424FC"/>
    <w:rsid w:val="00F437A6"/>
    <w:rsid w:val="00F4415D"/>
    <w:rsid w:val="00F4496C"/>
    <w:rsid w:val="00F46FA9"/>
    <w:rsid w:val="00F50151"/>
    <w:rsid w:val="00F52911"/>
    <w:rsid w:val="00F5333F"/>
    <w:rsid w:val="00F55D89"/>
    <w:rsid w:val="00F56F40"/>
    <w:rsid w:val="00F606B1"/>
    <w:rsid w:val="00F610B4"/>
    <w:rsid w:val="00F615A3"/>
    <w:rsid w:val="00F62486"/>
    <w:rsid w:val="00F63551"/>
    <w:rsid w:val="00F642CD"/>
    <w:rsid w:val="00F649A4"/>
    <w:rsid w:val="00F65106"/>
    <w:rsid w:val="00F6597A"/>
    <w:rsid w:val="00F6633B"/>
    <w:rsid w:val="00F6653E"/>
    <w:rsid w:val="00F67CC6"/>
    <w:rsid w:val="00F705B0"/>
    <w:rsid w:val="00F72CCA"/>
    <w:rsid w:val="00F74653"/>
    <w:rsid w:val="00F765FA"/>
    <w:rsid w:val="00F77BF9"/>
    <w:rsid w:val="00F83673"/>
    <w:rsid w:val="00F86117"/>
    <w:rsid w:val="00F8682C"/>
    <w:rsid w:val="00F86F0B"/>
    <w:rsid w:val="00F91117"/>
    <w:rsid w:val="00F91E4B"/>
    <w:rsid w:val="00F920EF"/>
    <w:rsid w:val="00F939B3"/>
    <w:rsid w:val="00F94250"/>
    <w:rsid w:val="00F969F9"/>
    <w:rsid w:val="00F96DEA"/>
    <w:rsid w:val="00FA0200"/>
    <w:rsid w:val="00FA02B4"/>
    <w:rsid w:val="00FA34B6"/>
    <w:rsid w:val="00FA39E4"/>
    <w:rsid w:val="00FA4199"/>
    <w:rsid w:val="00FA4FB5"/>
    <w:rsid w:val="00FA7839"/>
    <w:rsid w:val="00FA7CE2"/>
    <w:rsid w:val="00FB07A3"/>
    <w:rsid w:val="00FB16D8"/>
    <w:rsid w:val="00FB41AB"/>
    <w:rsid w:val="00FB463F"/>
    <w:rsid w:val="00FB4AE9"/>
    <w:rsid w:val="00FB580A"/>
    <w:rsid w:val="00FB5F8B"/>
    <w:rsid w:val="00FB6BFE"/>
    <w:rsid w:val="00FC01B8"/>
    <w:rsid w:val="00FC1058"/>
    <w:rsid w:val="00FC38A2"/>
    <w:rsid w:val="00FC3E1F"/>
    <w:rsid w:val="00FC48F4"/>
    <w:rsid w:val="00FD0188"/>
    <w:rsid w:val="00FD0FFF"/>
    <w:rsid w:val="00FD2047"/>
    <w:rsid w:val="00FD26EE"/>
    <w:rsid w:val="00FD2B61"/>
    <w:rsid w:val="00FD313E"/>
    <w:rsid w:val="00FD4ADB"/>
    <w:rsid w:val="00FD5127"/>
    <w:rsid w:val="00FD5D3F"/>
    <w:rsid w:val="00FD5F29"/>
    <w:rsid w:val="00FD676F"/>
    <w:rsid w:val="00FD681F"/>
    <w:rsid w:val="00FE16A8"/>
    <w:rsid w:val="00FE349F"/>
    <w:rsid w:val="00FE4769"/>
    <w:rsid w:val="00FE4773"/>
    <w:rsid w:val="00FE48A4"/>
    <w:rsid w:val="00FE634B"/>
    <w:rsid w:val="00FE6C8C"/>
    <w:rsid w:val="00FF3274"/>
    <w:rsid w:val="00FF38A0"/>
    <w:rsid w:val="00FF5C5E"/>
    <w:rsid w:val="00FF68BE"/>
    <w:rsid w:val="00FF7EE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8241"/>
    <o:shapelayout v:ext="edit">
      <o:idmap v:ext="edit" data="1"/>
    </o:shapelayout>
  </w:shapeDefaults>
  <w:decimalSymbol w:val="."/>
  <w:listSeparator w:val=","/>
  <w14:docId w14:val="5F1DBE41"/>
  <w15:docId w15:val="{EAA8350D-299A-425C-834C-4F87BFBAC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9A3"/>
    <w:pPr>
      <w:spacing w:after="240" w:line="260" w:lineRule="exact"/>
      <w:jc w:val="both"/>
    </w:pPr>
    <w:rPr>
      <w:rFonts w:asciiTheme="minorHAnsi" w:hAnsiTheme="minorHAnsi"/>
      <w:color w:val="000000"/>
    </w:rPr>
  </w:style>
  <w:style w:type="paragraph" w:styleId="Heading1">
    <w:name w:val="heading 1"/>
    <w:basedOn w:val="HeadingBase"/>
    <w:next w:val="Normal"/>
    <w:qFormat/>
    <w:rsid w:val="001128AF"/>
    <w:pPr>
      <w:keepNext/>
      <w:spacing w:after="240"/>
      <w:outlineLvl w:val="0"/>
    </w:pPr>
    <w:rPr>
      <w:rFonts w:cs="Arial"/>
      <w:b/>
      <w:bCs/>
      <w:caps/>
      <w:kern w:val="32"/>
      <w:sz w:val="32"/>
      <w:szCs w:val="48"/>
    </w:rPr>
  </w:style>
  <w:style w:type="paragraph" w:styleId="Heading2">
    <w:name w:val="heading 2"/>
    <w:basedOn w:val="HeadingBase"/>
    <w:next w:val="Normal"/>
    <w:qFormat/>
    <w:rsid w:val="00422C1D"/>
    <w:pPr>
      <w:keepNext/>
      <w:spacing w:before="120" w:after="240" w:line="260" w:lineRule="exact"/>
      <w:outlineLvl w:val="1"/>
    </w:pPr>
    <w:rPr>
      <w:rFonts w:cs="Arial"/>
      <w:b/>
      <w:bCs/>
      <w:iCs/>
      <w:sz w:val="28"/>
      <w:szCs w:val="28"/>
    </w:rPr>
  </w:style>
  <w:style w:type="paragraph" w:styleId="Heading3">
    <w:name w:val="heading 3"/>
    <w:basedOn w:val="HeadingBase"/>
    <w:next w:val="Normal"/>
    <w:qFormat/>
    <w:rsid w:val="00E45D77"/>
    <w:pPr>
      <w:keepNext/>
      <w:spacing w:before="240" w:after="180" w:line="260" w:lineRule="exact"/>
      <w:outlineLvl w:val="2"/>
    </w:pPr>
    <w:rPr>
      <w:rFonts w:cs="Arial"/>
      <w:b/>
      <w:bCs/>
      <w:color w:val="8E54A2"/>
      <w:sz w:val="24"/>
      <w:szCs w:val="26"/>
    </w:rPr>
  </w:style>
  <w:style w:type="paragraph" w:styleId="Heading4">
    <w:name w:val="heading 4"/>
    <w:basedOn w:val="HeadingBase"/>
    <w:next w:val="Normal"/>
    <w:qFormat/>
    <w:rsid w:val="00422C1D"/>
    <w:pPr>
      <w:keepNext/>
      <w:spacing w:before="180" w:after="240" w:line="280" w:lineRule="exact"/>
      <w:outlineLvl w:val="3"/>
    </w:pPr>
    <w:rPr>
      <w:b/>
      <w:bCs/>
      <w:i/>
      <w:color w:val="8E54A2"/>
      <w:sz w:val="24"/>
      <w:szCs w:val="22"/>
    </w:rPr>
  </w:style>
  <w:style w:type="paragraph" w:styleId="Heading5">
    <w:name w:val="heading 5"/>
    <w:basedOn w:val="HeadingBase"/>
    <w:next w:val="Normal"/>
    <w:qFormat/>
    <w:rsid w:val="00E45D77"/>
    <w:pPr>
      <w:keepNext/>
      <w:spacing w:before="180" w:after="240" w:line="280" w:lineRule="exact"/>
      <w:outlineLvl w:val="4"/>
    </w:pPr>
    <w:rPr>
      <w:bCs/>
      <w:iCs/>
      <w:sz w:val="22"/>
    </w:rPr>
  </w:style>
  <w:style w:type="paragraph" w:styleId="Heading6">
    <w:name w:val="heading 6"/>
    <w:basedOn w:val="HeadingBase"/>
    <w:next w:val="Normal"/>
    <w:unhideWhenUsed/>
    <w:rsid w:val="007149D6"/>
    <w:pPr>
      <w:keepNext/>
      <w:spacing w:after="120"/>
      <w:outlineLvl w:val="5"/>
    </w:pPr>
    <w:rPr>
      <w:bCs/>
      <w:szCs w:val="22"/>
    </w:rPr>
  </w:style>
  <w:style w:type="paragraph" w:styleId="Heading7">
    <w:name w:val="heading 7"/>
    <w:basedOn w:val="Heading2"/>
    <w:next w:val="Normal"/>
    <w:unhideWhenUsed/>
    <w:rsid w:val="007149D6"/>
    <w:pPr>
      <w:jc w:val="right"/>
      <w:outlineLvl w:val="6"/>
    </w:pPr>
  </w:style>
  <w:style w:type="paragraph" w:styleId="Heading8">
    <w:name w:val="heading 8"/>
    <w:basedOn w:val="HeadingBase"/>
    <w:next w:val="Normal"/>
    <w:unhideWhenUsed/>
    <w:rsid w:val="007149D6"/>
    <w:pPr>
      <w:keepNext/>
      <w:spacing w:before="284" w:after="360"/>
      <w:jc w:val="right"/>
      <w:outlineLvl w:val="7"/>
    </w:pPr>
    <w:rPr>
      <w:iCs/>
      <w:sz w:val="48"/>
      <w:szCs w:val="24"/>
    </w:rPr>
  </w:style>
  <w:style w:type="paragraph" w:styleId="Heading9">
    <w:name w:val="heading 9"/>
    <w:basedOn w:val="HeadingBase"/>
    <w:next w:val="Normal"/>
    <w:unhideWhenUsed/>
    <w:rsid w:val="007149D6"/>
    <w:pPr>
      <w:keepNext/>
      <w:spacing w:before="170" w:after="113" w:line="320" w:lineRule="exact"/>
      <w:jc w:val="right"/>
      <w:outlineLvl w:val="8"/>
    </w:pPr>
    <w:rPr>
      <w:rFonts w:cs="Arial"/>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Paragraph">
    <w:name w:val="Single Paragraph"/>
    <w:basedOn w:val="Normal"/>
    <w:rsid w:val="007149D6"/>
    <w:pPr>
      <w:spacing w:after="0"/>
    </w:pPr>
  </w:style>
  <w:style w:type="character" w:styleId="Hyperlink">
    <w:name w:val="Hyperlink"/>
    <w:basedOn w:val="DefaultParagraphFont"/>
    <w:uiPriority w:val="99"/>
    <w:rsid w:val="00757660"/>
    <w:rPr>
      <w:color w:val="653979"/>
      <w:u w:val="none"/>
    </w:rPr>
  </w:style>
  <w:style w:type="character" w:styleId="FootnoteReference">
    <w:name w:val="footnote reference"/>
    <w:basedOn w:val="DefaultParagraphFont"/>
    <w:rsid w:val="007149D6"/>
    <w:rPr>
      <w:vertAlign w:val="superscript"/>
    </w:rPr>
  </w:style>
  <w:style w:type="paragraph" w:styleId="BalloonText">
    <w:name w:val="Balloon Text"/>
    <w:basedOn w:val="Normal"/>
    <w:rsid w:val="00415F67"/>
    <w:rPr>
      <w:rFonts w:ascii="Tahoma" w:hAnsi="Tahoma" w:cs="Tahoma"/>
      <w:sz w:val="16"/>
      <w:szCs w:val="16"/>
    </w:rPr>
  </w:style>
  <w:style w:type="character" w:styleId="PageNumber">
    <w:name w:val="page number"/>
    <w:basedOn w:val="DefaultParagraphFont"/>
    <w:rsid w:val="007149D6"/>
    <w:rPr>
      <w:rFonts w:asciiTheme="minorHAnsi" w:hAnsiTheme="minorHAnsi"/>
      <w:color w:val="003E74"/>
      <w:sz w:val="18"/>
      <w:szCs w:val="18"/>
    </w:rPr>
  </w:style>
  <w:style w:type="paragraph" w:styleId="FootnoteText">
    <w:name w:val="footnote text"/>
    <w:basedOn w:val="Normal"/>
    <w:link w:val="FootnoteTextChar"/>
    <w:rsid w:val="007149D6"/>
    <w:pPr>
      <w:tabs>
        <w:tab w:val="left" w:pos="284"/>
      </w:tabs>
      <w:spacing w:after="0" w:line="240" w:lineRule="auto"/>
      <w:ind w:left="284" w:hanging="284"/>
    </w:pPr>
    <w:rPr>
      <w:sz w:val="18"/>
    </w:rPr>
  </w:style>
  <w:style w:type="paragraph" w:customStyle="1" w:styleId="Bullet">
    <w:name w:val="Bullet"/>
    <w:aliases w:val="b,b1,b + line,Body,level 1,Bullet + line"/>
    <w:basedOn w:val="Normal"/>
    <w:link w:val="BulletChar"/>
    <w:qFormat/>
    <w:rsid w:val="007149D6"/>
    <w:pPr>
      <w:numPr>
        <w:numId w:val="1"/>
      </w:numPr>
      <w:ind w:left="284" w:hanging="284"/>
    </w:pPr>
  </w:style>
  <w:style w:type="paragraph" w:customStyle="1" w:styleId="Dash">
    <w:name w:val="Dash"/>
    <w:basedOn w:val="Normal"/>
    <w:qFormat/>
    <w:rsid w:val="007149D6"/>
    <w:pPr>
      <w:numPr>
        <w:ilvl w:val="1"/>
        <w:numId w:val="1"/>
      </w:numPr>
      <w:tabs>
        <w:tab w:val="clear" w:pos="567"/>
        <w:tab w:val="num" w:pos="360"/>
      </w:tabs>
      <w:ind w:left="568"/>
    </w:pPr>
  </w:style>
  <w:style w:type="paragraph" w:customStyle="1" w:styleId="DoubleDot">
    <w:name w:val="Double Dot"/>
    <w:basedOn w:val="Normal"/>
    <w:rsid w:val="007149D6"/>
    <w:pPr>
      <w:numPr>
        <w:ilvl w:val="2"/>
        <w:numId w:val="1"/>
      </w:numPr>
      <w:tabs>
        <w:tab w:val="clear" w:pos="850"/>
        <w:tab w:val="num" w:pos="360"/>
      </w:tabs>
      <w:ind w:left="851" w:hanging="284"/>
    </w:pPr>
  </w:style>
  <w:style w:type="paragraph" w:customStyle="1" w:styleId="OutlineNumbered1">
    <w:name w:val="Outline Numbered 1"/>
    <w:basedOn w:val="Normal"/>
    <w:unhideWhenUsed/>
    <w:rsid w:val="007149D6"/>
    <w:pPr>
      <w:numPr>
        <w:numId w:val="2"/>
      </w:numPr>
      <w:tabs>
        <w:tab w:val="clear" w:pos="567"/>
        <w:tab w:val="num" w:pos="360"/>
      </w:tabs>
      <w:ind w:left="0" w:firstLine="0"/>
    </w:pPr>
  </w:style>
  <w:style w:type="paragraph" w:customStyle="1" w:styleId="OutlineNumbered2">
    <w:name w:val="Outline Numbered 2"/>
    <w:basedOn w:val="Normal"/>
    <w:unhideWhenUsed/>
    <w:rsid w:val="007149D6"/>
    <w:pPr>
      <w:numPr>
        <w:ilvl w:val="1"/>
        <w:numId w:val="2"/>
      </w:numPr>
      <w:tabs>
        <w:tab w:val="clear" w:pos="1134"/>
        <w:tab w:val="num" w:pos="360"/>
      </w:tabs>
      <w:ind w:left="0" w:firstLine="0"/>
    </w:pPr>
  </w:style>
  <w:style w:type="paragraph" w:customStyle="1" w:styleId="OutlineNumbered3">
    <w:name w:val="Outline Numbered 3"/>
    <w:basedOn w:val="Normal"/>
    <w:unhideWhenUsed/>
    <w:rsid w:val="007149D6"/>
    <w:pPr>
      <w:numPr>
        <w:ilvl w:val="2"/>
        <w:numId w:val="2"/>
      </w:numPr>
      <w:tabs>
        <w:tab w:val="clear" w:pos="1701"/>
        <w:tab w:val="num" w:pos="360"/>
      </w:tabs>
      <w:ind w:left="0" w:firstLine="0"/>
    </w:pPr>
  </w:style>
  <w:style w:type="paragraph" w:customStyle="1" w:styleId="AlphaParagraph">
    <w:name w:val="Alpha Paragraph"/>
    <w:basedOn w:val="Normal"/>
    <w:rsid w:val="007149D6"/>
    <w:pPr>
      <w:tabs>
        <w:tab w:val="num" w:pos="360"/>
      </w:tabs>
    </w:pPr>
  </w:style>
  <w:style w:type="paragraph" w:customStyle="1" w:styleId="HeadingBase">
    <w:name w:val="Heading Base"/>
    <w:next w:val="Normal"/>
    <w:rsid w:val="001128AF"/>
    <w:rPr>
      <w:rFonts w:ascii="Calibri" w:hAnsi="Calibri"/>
      <w:color w:val="653979"/>
    </w:rPr>
  </w:style>
  <w:style w:type="paragraph" w:customStyle="1" w:styleId="AppendixHeading">
    <w:name w:val="Appendix Heading"/>
    <w:basedOn w:val="HeadingBase"/>
    <w:next w:val="Normal"/>
    <w:rsid w:val="004A7DCA"/>
    <w:pPr>
      <w:spacing w:before="720" w:after="360"/>
    </w:pPr>
    <w:rPr>
      <w:b/>
      <w:sz w:val="36"/>
      <w:szCs w:val="36"/>
    </w:rPr>
  </w:style>
  <w:style w:type="character" w:customStyle="1" w:styleId="Bold">
    <w:name w:val="Bold"/>
    <w:basedOn w:val="DefaultParagraphFont"/>
    <w:rsid w:val="007149D6"/>
    <w:rPr>
      <w:b/>
    </w:rPr>
  </w:style>
  <w:style w:type="paragraph" w:customStyle="1" w:styleId="BoxHeading">
    <w:name w:val="Box Heading"/>
    <w:basedOn w:val="HeadingBase"/>
    <w:next w:val="BoxText"/>
    <w:rsid w:val="002D108B"/>
    <w:pPr>
      <w:spacing w:after="240"/>
    </w:pPr>
    <w:rPr>
      <w:b/>
      <w:color w:val="FFFFFF" w:themeColor="background1"/>
      <w:sz w:val="28"/>
    </w:rPr>
  </w:style>
  <w:style w:type="paragraph" w:customStyle="1" w:styleId="BoxTextBase">
    <w:name w:val="Box Text Base"/>
    <w:basedOn w:val="Normal"/>
    <w:rsid w:val="002D108B"/>
    <w:pPr>
      <w:spacing w:line="240" w:lineRule="auto"/>
    </w:pPr>
    <w:rPr>
      <w:color w:val="FFFFFF" w:themeColor="background1"/>
    </w:rPr>
  </w:style>
  <w:style w:type="paragraph" w:customStyle="1" w:styleId="ChartandTableFootnoteAlpha">
    <w:name w:val="Chart and Table Footnote Alpha"/>
    <w:rsid w:val="007149D6"/>
    <w:pPr>
      <w:numPr>
        <w:numId w:val="3"/>
      </w:numPr>
      <w:jc w:val="both"/>
    </w:pPr>
    <w:rPr>
      <w:rFonts w:ascii="Arial" w:hAnsi="Arial"/>
      <w:color w:val="000000"/>
      <w:sz w:val="16"/>
      <w:szCs w:val="16"/>
    </w:rPr>
  </w:style>
  <w:style w:type="paragraph" w:customStyle="1" w:styleId="ChartGraphic">
    <w:name w:val="Chart Graphic"/>
    <w:basedOn w:val="HeadingBase"/>
    <w:rsid w:val="007149D6"/>
    <w:pPr>
      <w:jc w:val="center"/>
    </w:pPr>
  </w:style>
  <w:style w:type="paragraph" w:customStyle="1" w:styleId="ChartMainHeading">
    <w:name w:val="Chart Main Heading"/>
    <w:basedOn w:val="HeadingBase"/>
    <w:next w:val="ChartGraphic"/>
    <w:rsid w:val="00422C1D"/>
    <w:pPr>
      <w:keepNext/>
      <w:spacing w:before="120"/>
      <w:jc w:val="center"/>
    </w:pPr>
    <w:rPr>
      <w:b/>
      <w:sz w:val="22"/>
    </w:rPr>
  </w:style>
  <w:style w:type="paragraph" w:customStyle="1" w:styleId="ChartorTableNote">
    <w:name w:val="Chart or Table Note"/>
    <w:next w:val="Normal"/>
    <w:rsid w:val="007149D6"/>
    <w:pPr>
      <w:jc w:val="both"/>
    </w:pPr>
    <w:rPr>
      <w:rFonts w:ascii="Arial" w:hAnsi="Arial"/>
      <w:color w:val="000000"/>
      <w:sz w:val="16"/>
    </w:rPr>
  </w:style>
  <w:style w:type="paragraph" w:customStyle="1" w:styleId="ChartSecondHeading">
    <w:name w:val="Chart Second Heading"/>
    <w:basedOn w:val="HeadingBase"/>
    <w:next w:val="ChartGraphic"/>
    <w:rsid w:val="007149D6"/>
    <w:pPr>
      <w:keepNext/>
      <w:spacing w:after="20"/>
    </w:pPr>
  </w:style>
  <w:style w:type="paragraph" w:customStyle="1" w:styleId="Classification">
    <w:name w:val="Classification"/>
    <w:basedOn w:val="HeadingBase"/>
    <w:next w:val="Footer"/>
    <w:rsid w:val="00415F67"/>
    <w:pPr>
      <w:spacing w:after="120"/>
      <w:jc w:val="center"/>
    </w:pPr>
    <w:rPr>
      <w:b/>
      <w:smallCaps/>
    </w:rPr>
  </w:style>
  <w:style w:type="paragraph" w:styleId="Footer">
    <w:name w:val="footer"/>
    <w:basedOn w:val="HeadingBase"/>
    <w:link w:val="FooterChar"/>
    <w:rsid w:val="007149D6"/>
    <w:rPr>
      <w:sz w:val="18"/>
    </w:rPr>
  </w:style>
  <w:style w:type="paragraph" w:customStyle="1" w:styleId="ContentsHeading">
    <w:name w:val="Contents Heading"/>
    <w:basedOn w:val="HeadingBase"/>
    <w:next w:val="Normal"/>
    <w:rsid w:val="00415F67"/>
    <w:pPr>
      <w:spacing w:after="360"/>
    </w:pPr>
    <w:rPr>
      <w:smallCaps/>
      <w:sz w:val="36"/>
      <w:szCs w:val="36"/>
    </w:rPr>
  </w:style>
  <w:style w:type="paragraph" w:customStyle="1" w:styleId="CoverTitleMain">
    <w:name w:val="Cover Title Main"/>
    <w:basedOn w:val="HeadingBase"/>
    <w:next w:val="Normal"/>
    <w:rsid w:val="00415F67"/>
    <w:pPr>
      <w:spacing w:after="360"/>
      <w:jc w:val="right"/>
    </w:pPr>
    <w:rPr>
      <w:b/>
      <w:sz w:val="44"/>
    </w:rPr>
  </w:style>
  <w:style w:type="paragraph" w:customStyle="1" w:styleId="CoverTitleSub">
    <w:name w:val="Cover Title Sub"/>
    <w:basedOn w:val="HeadingBase"/>
    <w:rsid w:val="00415F67"/>
    <w:pPr>
      <w:spacing w:after="360"/>
      <w:jc w:val="center"/>
    </w:pPr>
    <w:rPr>
      <w:sz w:val="36"/>
    </w:rPr>
  </w:style>
  <w:style w:type="paragraph" w:customStyle="1" w:styleId="FooterCentered">
    <w:name w:val="Footer Centered"/>
    <w:basedOn w:val="Footer"/>
    <w:rsid w:val="00415F67"/>
    <w:pPr>
      <w:jc w:val="center"/>
    </w:pPr>
  </w:style>
  <w:style w:type="paragraph" w:customStyle="1" w:styleId="FooterEven">
    <w:name w:val="Footer Even"/>
    <w:basedOn w:val="Footer"/>
    <w:rsid w:val="00757660"/>
  </w:style>
  <w:style w:type="paragraph" w:customStyle="1" w:styleId="FooterOdd">
    <w:name w:val="Footer Odd"/>
    <w:basedOn w:val="Footer"/>
    <w:rsid w:val="00757660"/>
    <w:pPr>
      <w:jc w:val="right"/>
    </w:pPr>
  </w:style>
  <w:style w:type="character" w:customStyle="1" w:styleId="FramedFooter">
    <w:name w:val="Framed Footer"/>
    <w:rsid w:val="00E45D77"/>
    <w:rPr>
      <w:rFonts w:ascii="Calibri" w:hAnsi="Calibri"/>
      <w:color w:val="653979"/>
      <w:sz w:val="18"/>
      <w:szCs w:val="18"/>
    </w:rPr>
  </w:style>
  <w:style w:type="character" w:customStyle="1" w:styleId="FramedHeader">
    <w:name w:val="Framed Header"/>
    <w:basedOn w:val="DefaultParagraphFont"/>
    <w:rsid w:val="00E45D77"/>
    <w:rPr>
      <w:rFonts w:ascii="Calibri" w:hAnsi="Calibri"/>
      <w:dstrike w:val="0"/>
      <w:color w:val="653979"/>
      <w:sz w:val="18"/>
      <w:szCs w:val="18"/>
      <w:vertAlign w:val="baseline"/>
    </w:rPr>
  </w:style>
  <w:style w:type="paragraph" w:styleId="Header">
    <w:name w:val="header"/>
    <w:basedOn w:val="HeadingBase"/>
    <w:rsid w:val="00E45D77"/>
    <w:rPr>
      <w:sz w:val="18"/>
    </w:rPr>
  </w:style>
  <w:style w:type="paragraph" w:customStyle="1" w:styleId="HeaderEven">
    <w:name w:val="Header Even"/>
    <w:basedOn w:val="Header"/>
    <w:rsid w:val="00E45D77"/>
  </w:style>
  <w:style w:type="paragraph" w:customStyle="1" w:styleId="HeaderOdd">
    <w:name w:val="Header Odd"/>
    <w:basedOn w:val="Header"/>
    <w:rsid w:val="00E45D77"/>
    <w:pPr>
      <w:jc w:val="right"/>
    </w:pPr>
  </w:style>
  <w:style w:type="paragraph" w:styleId="NormalIndent">
    <w:name w:val="Normal Indent"/>
    <w:basedOn w:val="Normal"/>
    <w:rsid w:val="007149D6"/>
    <w:pPr>
      <w:ind w:left="567"/>
    </w:pPr>
  </w:style>
  <w:style w:type="paragraph" w:customStyle="1" w:styleId="RecommendationHeading">
    <w:name w:val="Recommendation Heading"/>
    <w:basedOn w:val="HeadingBase"/>
    <w:next w:val="RecommendationText"/>
    <w:rsid w:val="00CB2B80"/>
    <w:pPr>
      <w:spacing w:after="240"/>
    </w:pPr>
    <w:rPr>
      <w:b/>
      <w:sz w:val="22"/>
    </w:rPr>
  </w:style>
  <w:style w:type="paragraph" w:customStyle="1" w:styleId="RecommendationBaseText">
    <w:name w:val="Recommendation Base Text"/>
    <w:basedOn w:val="Normal"/>
    <w:rsid w:val="00CB2B80"/>
    <w:rPr>
      <w:rFonts w:ascii="Calibri" w:hAnsi="Calibri"/>
    </w:rPr>
  </w:style>
  <w:style w:type="paragraph" w:customStyle="1" w:styleId="RecommendationText">
    <w:name w:val="Recommendation Text"/>
    <w:basedOn w:val="RecommendationBaseText"/>
    <w:rsid w:val="00CB2B80"/>
    <w:rPr>
      <w:rFonts w:asciiTheme="minorHAnsi" w:hAnsiTheme="minorHAnsi"/>
    </w:rPr>
  </w:style>
  <w:style w:type="paragraph" w:customStyle="1" w:styleId="TableTextBase">
    <w:name w:val="Table Text Base"/>
    <w:rsid w:val="007149D6"/>
    <w:pPr>
      <w:spacing w:before="40" w:after="40"/>
    </w:pPr>
    <w:rPr>
      <w:rFonts w:ascii="Calibri" w:hAnsi="Calibri"/>
      <w:color w:val="000000"/>
      <w:sz w:val="16"/>
    </w:rPr>
  </w:style>
  <w:style w:type="paragraph" w:customStyle="1" w:styleId="TableColumnHeadingCentred">
    <w:name w:val="Table Column Heading Centred"/>
    <w:basedOn w:val="TableTextBase"/>
    <w:rsid w:val="007149D6"/>
    <w:pPr>
      <w:jc w:val="center"/>
    </w:pPr>
    <w:rPr>
      <w:b/>
    </w:rPr>
  </w:style>
  <w:style w:type="paragraph" w:customStyle="1" w:styleId="TableColumnHeadingLeft">
    <w:name w:val="Table Column Heading Left"/>
    <w:basedOn w:val="TableTextBase"/>
    <w:rsid w:val="007149D6"/>
    <w:rPr>
      <w:b/>
    </w:rPr>
  </w:style>
  <w:style w:type="paragraph" w:customStyle="1" w:styleId="TableColumnHeadingRight">
    <w:name w:val="Table Column Heading Right"/>
    <w:basedOn w:val="TableTextBase"/>
    <w:rsid w:val="007149D6"/>
    <w:pPr>
      <w:jc w:val="right"/>
    </w:pPr>
    <w:rPr>
      <w:b/>
    </w:rPr>
  </w:style>
  <w:style w:type="paragraph" w:customStyle="1" w:styleId="TableGraphic">
    <w:name w:val="Table Graphic"/>
    <w:basedOn w:val="HeadingBase"/>
    <w:next w:val="Normal"/>
    <w:rsid w:val="007149D6"/>
    <w:pPr>
      <w:spacing w:after="20"/>
      <w:ind w:right="-113"/>
    </w:pPr>
    <w:rPr>
      <w:rFonts w:ascii="Helvetica" w:hAnsi="Helvetica"/>
    </w:rPr>
  </w:style>
  <w:style w:type="paragraph" w:customStyle="1" w:styleId="TableMainHeading">
    <w:name w:val="Table Main Heading"/>
    <w:basedOn w:val="HeadingBase"/>
    <w:next w:val="TableGraphic"/>
    <w:rsid w:val="00422C1D"/>
    <w:pPr>
      <w:keepNext/>
      <w:spacing w:before="120"/>
    </w:pPr>
    <w:rPr>
      <w:b/>
      <w:sz w:val="22"/>
    </w:rPr>
  </w:style>
  <w:style w:type="paragraph" w:customStyle="1" w:styleId="TableMainHeadingContd">
    <w:name w:val="Table Main Heading Contd"/>
    <w:basedOn w:val="HeadingBase"/>
    <w:next w:val="TableGraphic"/>
    <w:rsid w:val="007149D6"/>
    <w:pPr>
      <w:keepNext/>
      <w:spacing w:after="20"/>
    </w:pPr>
    <w:rPr>
      <w:b/>
      <w:sz w:val="22"/>
    </w:rPr>
  </w:style>
  <w:style w:type="paragraph" w:customStyle="1" w:styleId="TableSecondHeading">
    <w:name w:val="Table Second Heading"/>
    <w:basedOn w:val="HeadingBase"/>
    <w:next w:val="TableGraphic"/>
    <w:rsid w:val="007149D6"/>
    <w:pPr>
      <w:keepNext/>
      <w:spacing w:after="20"/>
    </w:pPr>
  </w:style>
  <w:style w:type="paragraph" w:customStyle="1" w:styleId="TableTextCentered">
    <w:name w:val="Table Text Centered"/>
    <w:basedOn w:val="TableTextBase"/>
    <w:rsid w:val="007149D6"/>
    <w:pPr>
      <w:jc w:val="center"/>
    </w:pPr>
  </w:style>
  <w:style w:type="paragraph" w:customStyle="1" w:styleId="TableTextIndented">
    <w:name w:val="Table Text Indented"/>
    <w:basedOn w:val="TableTextBase"/>
    <w:rsid w:val="007149D6"/>
    <w:pPr>
      <w:ind w:left="284"/>
    </w:pPr>
  </w:style>
  <w:style w:type="paragraph" w:customStyle="1" w:styleId="TableTextLeft">
    <w:name w:val="Table Text Left"/>
    <w:basedOn w:val="TableTextBase"/>
    <w:rsid w:val="007149D6"/>
    <w:pPr>
      <w:spacing w:before="60" w:after="60"/>
    </w:pPr>
  </w:style>
  <w:style w:type="paragraph" w:customStyle="1" w:styleId="TableTextRight">
    <w:name w:val="Table Text Right"/>
    <w:basedOn w:val="TableTextBase"/>
    <w:rsid w:val="007149D6"/>
    <w:pPr>
      <w:jc w:val="right"/>
    </w:pPr>
  </w:style>
  <w:style w:type="paragraph" w:styleId="TOC1">
    <w:name w:val="toc 1"/>
    <w:basedOn w:val="HeadingBase"/>
    <w:next w:val="Normal"/>
    <w:uiPriority w:val="39"/>
    <w:rsid w:val="00757660"/>
    <w:pPr>
      <w:tabs>
        <w:tab w:val="right" w:leader="dot" w:pos="7700"/>
      </w:tabs>
      <w:spacing w:before="120"/>
      <w:ind w:right="851"/>
    </w:pPr>
    <w:rPr>
      <w:b/>
      <w:caps/>
      <w:noProof/>
      <w:sz w:val="24"/>
      <w:szCs w:val="22"/>
    </w:rPr>
  </w:style>
  <w:style w:type="paragraph" w:styleId="TOC2">
    <w:name w:val="toc 2"/>
    <w:basedOn w:val="Normal"/>
    <w:next w:val="Normal"/>
    <w:uiPriority w:val="39"/>
    <w:rsid w:val="007149D6"/>
    <w:pPr>
      <w:tabs>
        <w:tab w:val="right" w:leader="dot" w:pos="7700"/>
      </w:tabs>
      <w:spacing w:after="40"/>
      <w:ind w:right="851"/>
      <w:jc w:val="left"/>
    </w:pPr>
    <w:rPr>
      <w:rFonts w:ascii="Calibri" w:hAnsi="Calibri"/>
      <w:noProof/>
    </w:rPr>
  </w:style>
  <w:style w:type="paragraph" w:styleId="TOC3">
    <w:name w:val="toc 3"/>
    <w:basedOn w:val="Normal"/>
    <w:next w:val="Normal"/>
    <w:rsid w:val="007149D6"/>
    <w:pPr>
      <w:tabs>
        <w:tab w:val="right" w:leader="dot" w:pos="7700"/>
      </w:tabs>
      <w:spacing w:after="40" w:line="240" w:lineRule="auto"/>
      <w:ind w:right="851"/>
      <w:jc w:val="left"/>
    </w:pPr>
    <w:rPr>
      <w:rFonts w:ascii="Calibri" w:hAnsi="Calibri"/>
      <w:noProof/>
    </w:rPr>
  </w:style>
  <w:style w:type="paragraph" w:styleId="TOC4">
    <w:name w:val="toc 4"/>
    <w:basedOn w:val="Normal"/>
    <w:next w:val="Normal"/>
    <w:unhideWhenUsed/>
    <w:rsid w:val="007149D6"/>
    <w:pPr>
      <w:tabs>
        <w:tab w:val="right" w:leader="dot" w:pos="7700"/>
      </w:tabs>
      <w:spacing w:after="0" w:line="240" w:lineRule="auto"/>
      <w:ind w:left="284" w:right="851" w:hanging="284"/>
      <w:jc w:val="left"/>
    </w:pPr>
    <w:rPr>
      <w:rFonts w:ascii="Calibri" w:hAnsi="Calibri"/>
      <w:noProof/>
    </w:rPr>
  </w:style>
  <w:style w:type="character" w:customStyle="1" w:styleId="Italic">
    <w:name w:val="Italic"/>
    <w:basedOn w:val="DefaultParagraphFont"/>
    <w:rsid w:val="00415F67"/>
    <w:rPr>
      <w:i/>
    </w:rPr>
  </w:style>
  <w:style w:type="paragraph" w:customStyle="1" w:styleId="OneLevelNumberedParagraph">
    <w:name w:val="One Level Numbered Paragraph"/>
    <w:basedOn w:val="Normal"/>
    <w:unhideWhenUsed/>
    <w:rsid w:val="007149D6"/>
    <w:pPr>
      <w:numPr>
        <w:numId w:val="4"/>
      </w:numPr>
    </w:pPr>
  </w:style>
  <w:style w:type="paragraph" w:customStyle="1" w:styleId="BoxText">
    <w:name w:val="Box Text"/>
    <w:basedOn w:val="BoxTextBase"/>
    <w:rsid w:val="002D108B"/>
  </w:style>
  <w:style w:type="paragraph" w:customStyle="1" w:styleId="BoxBullet">
    <w:name w:val="Box Bullet"/>
    <w:basedOn w:val="BoxTextBase"/>
    <w:rsid w:val="00415F67"/>
    <w:pPr>
      <w:tabs>
        <w:tab w:val="num" w:pos="283"/>
      </w:tabs>
      <w:ind w:left="283" w:hanging="283"/>
    </w:pPr>
  </w:style>
  <w:style w:type="paragraph" w:customStyle="1" w:styleId="BoxDash">
    <w:name w:val="Box Dash"/>
    <w:basedOn w:val="Normal"/>
    <w:rsid w:val="002D108B"/>
    <w:pPr>
      <w:tabs>
        <w:tab w:val="num" w:pos="567"/>
      </w:tabs>
      <w:ind w:left="567" w:hanging="284"/>
    </w:pPr>
    <w:rPr>
      <w:color w:val="FFFFFF" w:themeColor="background1"/>
    </w:rPr>
  </w:style>
  <w:style w:type="paragraph" w:customStyle="1" w:styleId="BoxDoubleDot">
    <w:name w:val="Box Double Dot"/>
    <w:basedOn w:val="BoxTextBase"/>
    <w:rsid w:val="00415F67"/>
    <w:pPr>
      <w:tabs>
        <w:tab w:val="num" w:pos="850"/>
      </w:tabs>
      <w:ind w:left="850" w:hanging="283"/>
    </w:pPr>
  </w:style>
  <w:style w:type="paragraph" w:customStyle="1" w:styleId="RecommendationBullet">
    <w:name w:val="Recommendation Bullet"/>
    <w:basedOn w:val="RecommendationBaseText"/>
    <w:rsid w:val="00CB2B80"/>
    <w:pPr>
      <w:tabs>
        <w:tab w:val="num" w:pos="283"/>
      </w:tabs>
      <w:ind w:left="283" w:hanging="283"/>
    </w:pPr>
  </w:style>
  <w:style w:type="paragraph" w:customStyle="1" w:styleId="RecommendationDash">
    <w:name w:val="Recommendation Dash"/>
    <w:basedOn w:val="RecommendationBaseText"/>
    <w:rsid w:val="00CB2B80"/>
    <w:pPr>
      <w:tabs>
        <w:tab w:val="num" w:pos="567"/>
      </w:tabs>
      <w:ind w:left="567" w:hanging="284"/>
    </w:pPr>
  </w:style>
  <w:style w:type="paragraph" w:customStyle="1" w:styleId="RecommendationDoubleDot">
    <w:name w:val="Recommendation Double Dot"/>
    <w:basedOn w:val="RecommendationBaseText"/>
    <w:rsid w:val="00CB2B80"/>
    <w:pPr>
      <w:tabs>
        <w:tab w:val="num" w:pos="850"/>
      </w:tabs>
      <w:ind w:left="850" w:hanging="283"/>
    </w:pPr>
  </w:style>
  <w:style w:type="character" w:customStyle="1" w:styleId="Boldanditalic">
    <w:name w:val="Bold and italic"/>
    <w:basedOn w:val="DefaultParagraphFont"/>
    <w:rsid w:val="007149D6"/>
    <w:rPr>
      <w:b/>
      <w:i/>
    </w:rPr>
  </w:style>
  <w:style w:type="paragraph" w:styleId="Caption">
    <w:name w:val="caption"/>
    <w:basedOn w:val="Normal"/>
    <w:next w:val="Normal"/>
    <w:qFormat/>
    <w:rsid w:val="00415F67"/>
    <w:pPr>
      <w:spacing w:before="120" w:after="120"/>
    </w:pPr>
    <w:rPr>
      <w:b/>
      <w:bCs/>
    </w:rPr>
  </w:style>
  <w:style w:type="character" w:styleId="CommentReference">
    <w:name w:val="annotation reference"/>
    <w:basedOn w:val="DefaultParagraphFont"/>
    <w:uiPriority w:val="99"/>
    <w:rsid w:val="00415F67"/>
    <w:rPr>
      <w:sz w:val="16"/>
      <w:szCs w:val="16"/>
    </w:rPr>
  </w:style>
  <w:style w:type="paragraph" w:styleId="CommentText">
    <w:name w:val="annotation text"/>
    <w:basedOn w:val="Normal"/>
    <w:link w:val="CommentTextChar"/>
    <w:uiPriority w:val="99"/>
    <w:rsid w:val="00415F67"/>
  </w:style>
  <w:style w:type="paragraph" w:styleId="CommentSubject">
    <w:name w:val="annotation subject"/>
    <w:basedOn w:val="CommentText"/>
    <w:next w:val="CommentText"/>
    <w:rsid w:val="00415F67"/>
    <w:rPr>
      <w:b/>
      <w:bCs/>
    </w:rPr>
  </w:style>
  <w:style w:type="paragraph" w:styleId="DocumentMap">
    <w:name w:val="Document Map"/>
    <w:basedOn w:val="Normal"/>
    <w:rsid w:val="00415F67"/>
    <w:pPr>
      <w:shd w:val="clear" w:color="auto" w:fill="000080"/>
    </w:pPr>
    <w:rPr>
      <w:rFonts w:ascii="Tahoma" w:hAnsi="Tahoma" w:cs="Tahoma"/>
    </w:rPr>
  </w:style>
  <w:style w:type="character" w:styleId="EndnoteReference">
    <w:name w:val="endnote reference"/>
    <w:basedOn w:val="DefaultParagraphFont"/>
    <w:rsid w:val="007149D6"/>
    <w:rPr>
      <w:vertAlign w:val="superscript"/>
    </w:rPr>
  </w:style>
  <w:style w:type="paragraph" w:styleId="EndnoteText">
    <w:name w:val="endnote text"/>
    <w:basedOn w:val="Normal"/>
    <w:rsid w:val="007149D6"/>
  </w:style>
  <w:style w:type="paragraph" w:styleId="Index1">
    <w:name w:val="index 1"/>
    <w:basedOn w:val="Normal"/>
    <w:next w:val="Normal"/>
    <w:autoRedefine/>
    <w:rsid w:val="00415F67"/>
    <w:pPr>
      <w:ind w:left="200" w:hanging="200"/>
    </w:pPr>
  </w:style>
  <w:style w:type="paragraph" w:styleId="Index2">
    <w:name w:val="index 2"/>
    <w:basedOn w:val="Normal"/>
    <w:next w:val="Normal"/>
    <w:autoRedefine/>
    <w:rsid w:val="00415F67"/>
    <w:pPr>
      <w:ind w:left="400" w:hanging="200"/>
    </w:pPr>
  </w:style>
  <w:style w:type="paragraph" w:styleId="Index3">
    <w:name w:val="index 3"/>
    <w:basedOn w:val="Normal"/>
    <w:next w:val="Normal"/>
    <w:autoRedefine/>
    <w:rsid w:val="00415F67"/>
    <w:pPr>
      <w:ind w:left="600" w:hanging="200"/>
    </w:pPr>
  </w:style>
  <w:style w:type="paragraph" w:styleId="Index4">
    <w:name w:val="index 4"/>
    <w:basedOn w:val="Normal"/>
    <w:next w:val="Normal"/>
    <w:autoRedefine/>
    <w:rsid w:val="00415F67"/>
    <w:pPr>
      <w:ind w:left="800" w:hanging="200"/>
    </w:pPr>
  </w:style>
  <w:style w:type="paragraph" w:styleId="Index5">
    <w:name w:val="index 5"/>
    <w:basedOn w:val="Normal"/>
    <w:next w:val="Normal"/>
    <w:autoRedefine/>
    <w:rsid w:val="00415F67"/>
    <w:pPr>
      <w:ind w:left="1000" w:hanging="200"/>
    </w:pPr>
  </w:style>
  <w:style w:type="paragraph" w:styleId="Index6">
    <w:name w:val="index 6"/>
    <w:basedOn w:val="Normal"/>
    <w:next w:val="Normal"/>
    <w:autoRedefine/>
    <w:rsid w:val="00415F67"/>
    <w:pPr>
      <w:ind w:left="1200" w:hanging="200"/>
    </w:pPr>
  </w:style>
  <w:style w:type="paragraph" w:styleId="Index7">
    <w:name w:val="index 7"/>
    <w:basedOn w:val="Normal"/>
    <w:next w:val="Normal"/>
    <w:autoRedefine/>
    <w:rsid w:val="00415F67"/>
    <w:pPr>
      <w:ind w:left="1400" w:hanging="200"/>
    </w:pPr>
  </w:style>
  <w:style w:type="paragraph" w:styleId="Index8">
    <w:name w:val="index 8"/>
    <w:basedOn w:val="Normal"/>
    <w:next w:val="Normal"/>
    <w:autoRedefine/>
    <w:rsid w:val="00415F67"/>
    <w:pPr>
      <w:ind w:left="1600" w:hanging="200"/>
    </w:pPr>
  </w:style>
  <w:style w:type="paragraph" w:styleId="Index9">
    <w:name w:val="index 9"/>
    <w:basedOn w:val="Normal"/>
    <w:next w:val="Normal"/>
    <w:autoRedefine/>
    <w:rsid w:val="00415F67"/>
    <w:pPr>
      <w:ind w:left="1800" w:hanging="200"/>
    </w:pPr>
  </w:style>
  <w:style w:type="paragraph" w:styleId="IndexHeading">
    <w:name w:val="index heading"/>
    <w:basedOn w:val="Normal"/>
    <w:next w:val="Index1"/>
    <w:rsid w:val="00CB2B80"/>
    <w:rPr>
      <w:rFonts w:ascii="Calibri" w:hAnsi="Calibri" w:cs="Arial"/>
      <w:b/>
      <w:bCs/>
      <w:color w:val="003E74"/>
    </w:rPr>
  </w:style>
  <w:style w:type="paragraph" w:styleId="MacroText">
    <w:name w:val="macro"/>
    <w:rsid w:val="00415F67"/>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hAnsi="Courier New" w:cs="Courier New"/>
      <w:color w:val="000000"/>
    </w:rPr>
  </w:style>
  <w:style w:type="paragraph" w:styleId="TableofAuthorities">
    <w:name w:val="table of authorities"/>
    <w:basedOn w:val="Normal"/>
    <w:next w:val="Normal"/>
    <w:rsid w:val="00415F67"/>
    <w:pPr>
      <w:ind w:left="200" w:hanging="200"/>
    </w:pPr>
  </w:style>
  <w:style w:type="paragraph" w:styleId="TableofFigures">
    <w:name w:val="table of figures"/>
    <w:basedOn w:val="Normal"/>
    <w:next w:val="Normal"/>
    <w:rsid w:val="00415F67"/>
    <w:pPr>
      <w:ind w:left="400" w:hanging="400"/>
    </w:pPr>
  </w:style>
  <w:style w:type="paragraph" w:styleId="TOAHeading">
    <w:name w:val="toa heading"/>
    <w:basedOn w:val="Normal"/>
    <w:next w:val="Normal"/>
    <w:rsid w:val="00757660"/>
    <w:pPr>
      <w:spacing w:before="120"/>
    </w:pPr>
    <w:rPr>
      <w:rFonts w:ascii="Calibri" w:hAnsi="Calibri" w:cs="Arial"/>
      <w:b/>
      <w:bCs/>
      <w:color w:val="653979"/>
      <w:sz w:val="24"/>
      <w:szCs w:val="24"/>
    </w:rPr>
  </w:style>
  <w:style w:type="paragraph" w:styleId="TOC5">
    <w:name w:val="toc 5"/>
    <w:basedOn w:val="TOC2"/>
    <w:next w:val="Normal"/>
    <w:autoRedefine/>
    <w:rsid w:val="00190289"/>
    <w:pPr>
      <w:ind w:left="1260" w:hanging="1260"/>
    </w:pPr>
  </w:style>
  <w:style w:type="paragraph" w:styleId="TOC6">
    <w:name w:val="toc 6"/>
    <w:basedOn w:val="Normal"/>
    <w:next w:val="Normal"/>
    <w:rsid w:val="007149D6"/>
    <w:pPr>
      <w:tabs>
        <w:tab w:val="left" w:pos="1080"/>
        <w:tab w:val="left" w:pos="1134"/>
        <w:tab w:val="right" w:leader="dot" w:pos="7700"/>
      </w:tabs>
      <w:spacing w:after="40"/>
      <w:ind w:left="1080" w:right="851" w:hanging="1080"/>
      <w:jc w:val="left"/>
    </w:pPr>
    <w:rPr>
      <w:rFonts w:ascii="Calibri" w:hAnsi="Calibri"/>
      <w:noProof/>
    </w:rPr>
  </w:style>
  <w:style w:type="paragraph" w:styleId="TOC7">
    <w:name w:val="toc 7"/>
    <w:basedOn w:val="Normal"/>
    <w:next w:val="Normal"/>
    <w:autoRedefine/>
    <w:rsid w:val="007149D6"/>
    <w:pPr>
      <w:ind w:left="1200"/>
    </w:pPr>
    <w:rPr>
      <w:rFonts w:ascii="Calibri" w:hAnsi="Calibri"/>
    </w:rPr>
  </w:style>
  <w:style w:type="paragraph" w:styleId="TOC8">
    <w:name w:val="toc 8"/>
    <w:basedOn w:val="Normal"/>
    <w:next w:val="Normal"/>
    <w:autoRedefine/>
    <w:rsid w:val="00CB2B80"/>
    <w:pPr>
      <w:ind w:left="1400"/>
    </w:pPr>
    <w:rPr>
      <w:rFonts w:ascii="Calibri" w:hAnsi="Calibri"/>
    </w:rPr>
  </w:style>
  <w:style w:type="paragraph" w:styleId="TOC9">
    <w:name w:val="toc 9"/>
    <w:basedOn w:val="Normal"/>
    <w:next w:val="Normal"/>
    <w:autoRedefine/>
    <w:rsid w:val="00CB2B80"/>
    <w:pPr>
      <w:ind w:left="1600"/>
    </w:pPr>
    <w:rPr>
      <w:rFonts w:ascii="Calibri" w:hAnsi="Calibri"/>
    </w:rPr>
  </w:style>
  <w:style w:type="paragraph" w:customStyle="1" w:styleId="AppendixAHeading3">
    <w:name w:val="AppendixAHeading3"/>
    <w:basedOn w:val="Heading3"/>
    <w:next w:val="AppendixAHeading4"/>
    <w:rsid w:val="00CB2B80"/>
    <w:pPr>
      <w:tabs>
        <w:tab w:val="num" w:pos="567"/>
      </w:tabs>
      <w:ind w:left="567" w:hanging="567"/>
    </w:pPr>
    <w:rPr>
      <w:i/>
    </w:rPr>
  </w:style>
  <w:style w:type="paragraph" w:customStyle="1" w:styleId="AppendixAHeading4">
    <w:name w:val="AppendixAHeading4"/>
    <w:basedOn w:val="Heading4"/>
    <w:next w:val="Bullet"/>
    <w:rsid w:val="00086030"/>
    <w:pPr>
      <w:tabs>
        <w:tab w:val="num" w:pos="567"/>
      </w:tabs>
    </w:pPr>
  </w:style>
  <w:style w:type="paragraph" w:customStyle="1" w:styleId="AppendixGHeading3">
    <w:name w:val="AppendixGHeading3"/>
    <w:basedOn w:val="Heading3"/>
    <w:rsid w:val="002E3C94"/>
    <w:pPr>
      <w:tabs>
        <w:tab w:val="num" w:pos="567"/>
      </w:tabs>
      <w:ind w:left="567" w:hanging="567"/>
    </w:pPr>
  </w:style>
  <w:style w:type="paragraph" w:customStyle="1" w:styleId="NumberedParagraph">
    <w:name w:val="Numbered Paragraph"/>
    <w:basedOn w:val="Normal"/>
    <w:rsid w:val="007149D6"/>
    <w:pPr>
      <w:numPr>
        <w:numId w:val="5"/>
      </w:numPr>
    </w:pPr>
  </w:style>
  <w:style w:type="paragraph" w:customStyle="1" w:styleId="Heading3noTOC">
    <w:name w:val="Heading 3 no TOC"/>
    <w:basedOn w:val="Heading3"/>
    <w:rsid w:val="00E45D77"/>
    <w:pPr>
      <w:outlineLvl w:val="9"/>
    </w:pPr>
  </w:style>
  <w:style w:type="character" w:styleId="FollowedHyperlink">
    <w:name w:val="FollowedHyperlink"/>
    <w:basedOn w:val="DefaultParagraphFont"/>
    <w:rsid w:val="007149D6"/>
    <w:rPr>
      <w:color w:val="000000"/>
      <w:u w:val="none"/>
    </w:rPr>
  </w:style>
  <w:style w:type="paragraph" w:customStyle="1" w:styleId="Style1">
    <w:name w:val="Style1"/>
    <w:basedOn w:val="AppendixAHeading3"/>
    <w:next w:val="AppendixAHeading4"/>
    <w:rsid w:val="00093A04"/>
    <w:pPr>
      <w:tabs>
        <w:tab w:val="clear" w:pos="567"/>
      </w:tabs>
      <w:ind w:left="0" w:firstLine="0"/>
    </w:pPr>
  </w:style>
  <w:style w:type="paragraph" w:customStyle="1" w:styleId="AppendixAHeading3NotItalic">
    <w:name w:val="AppendixAHeading3NotItalic"/>
    <w:basedOn w:val="HeadingBase"/>
    <w:next w:val="AppendixAHeading4"/>
    <w:rsid w:val="00CB2B80"/>
    <w:pPr>
      <w:tabs>
        <w:tab w:val="num" w:pos="567"/>
      </w:tabs>
      <w:spacing w:before="57" w:after="57" w:line="280" w:lineRule="exact"/>
      <w:ind w:left="567" w:hanging="567"/>
    </w:pPr>
    <w:rPr>
      <w:b/>
      <w:sz w:val="24"/>
    </w:rPr>
  </w:style>
  <w:style w:type="paragraph" w:customStyle="1" w:styleId="Heading1noTOC">
    <w:name w:val="Heading 1 no TOC"/>
    <w:basedOn w:val="Heading1"/>
    <w:next w:val="Normal"/>
    <w:rsid w:val="007149D6"/>
  </w:style>
  <w:style w:type="paragraph" w:customStyle="1" w:styleId="Heading2noTOC">
    <w:name w:val="Heading 2 no TOC"/>
    <w:basedOn w:val="Heading2"/>
    <w:next w:val="Normal"/>
    <w:rsid w:val="007149D6"/>
    <w:pPr>
      <w:outlineLvl w:val="9"/>
    </w:pPr>
  </w:style>
  <w:style w:type="paragraph" w:customStyle="1" w:styleId="Heading9noTOC">
    <w:name w:val="Heading 9 no TOC"/>
    <w:basedOn w:val="Heading9"/>
    <w:rsid w:val="007278B4"/>
    <w:pPr>
      <w:outlineLvl w:val="9"/>
    </w:pPr>
  </w:style>
  <w:style w:type="character" w:customStyle="1" w:styleId="Italics">
    <w:name w:val="Italics"/>
    <w:basedOn w:val="DefaultParagraphFont"/>
    <w:rsid w:val="00E676B0"/>
    <w:rPr>
      <w:i/>
    </w:rPr>
  </w:style>
  <w:style w:type="character" w:customStyle="1" w:styleId="A5">
    <w:name w:val="A5"/>
    <w:uiPriority w:val="99"/>
    <w:rsid w:val="00E676B0"/>
    <w:rPr>
      <w:rFonts w:cs="Swiss 721 BT"/>
      <w:color w:val="000000"/>
      <w:sz w:val="20"/>
      <w:szCs w:val="20"/>
    </w:rPr>
  </w:style>
  <w:style w:type="paragraph" w:styleId="TOCHeading">
    <w:name w:val="TOC Heading"/>
    <w:basedOn w:val="Heading1"/>
    <w:next w:val="Normal"/>
    <w:uiPriority w:val="39"/>
    <w:semiHidden/>
    <w:unhideWhenUsed/>
    <w:qFormat/>
    <w:rsid w:val="007149D6"/>
    <w:pPr>
      <w:keepLines/>
      <w:spacing w:before="480" w:after="0" w:line="260" w:lineRule="exact"/>
      <w:jc w:val="both"/>
      <w:outlineLvl w:val="9"/>
    </w:pPr>
    <w:rPr>
      <w:rFonts w:asciiTheme="majorHAnsi" w:eastAsiaTheme="majorEastAsia" w:hAnsiTheme="majorHAnsi" w:cstheme="majorBidi"/>
      <w:kern w:val="0"/>
      <w:sz w:val="28"/>
      <w:szCs w:val="28"/>
    </w:rPr>
  </w:style>
  <w:style w:type="paragraph" w:styleId="IntenseQuote">
    <w:name w:val="Intense Quote"/>
    <w:basedOn w:val="Normal"/>
    <w:next w:val="Normal"/>
    <w:link w:val="IntenseQuoteChar"/>
    <w:uiPriority w:val="30"/>
    <w:qFormat/>
    <w:rsid w:val="000C204B"/>
    <w:pPr>
      <w:pBdr>
        <w:bottom w:val="single" w:sz="4" w:space="4" w:color="4F81BD" w:themeColor="accent1"/>
      </w:pBdr>
      <w:spacing w:before="200" w:after="280"/>
      <w:ind w:left="936" w:right="936"/>
    </w:pPr>
    <w:rPr>
      <w:b/>
      <w:bCs/>
      <w:i/>
      <w:iCs/>
      <w:color w:val="003E74"/>
    </w:rPr>
  </w:style>
  <w:style w:type="character" w:customStyle="1" w:styleId="IntenseQuoteChar">
    <w:name w:val="Intense Quote Char"/>
    <w:basedOn w:val="DefaultParagraphFont"/>
    <w:link w:val="IntenseQuote"/>
    <w:uiPriority w:val="30"/>
    <w:rsid w:val="000C204B"/>
    <w:rPr>
      <w:rFonts w:ascii="Book Antiqua" w:hAnsi="Book Antiqua"/>
      <w:b/>
      <w:bCs/>
      <w:i/>
      <w:iCs/>
      <w:color w:val="003E74"/>
    </w:rPr>
  </w:style>
  <w:style w:type="character" w:styleId="IntenseEmphasis">
    <w:name w:val="Intense Emphasis"/>
    <w:basedOn w:val="DefaultParagraphFont"/>
    <w:uiPriority w:val="21"/>
    <w:qFormat/>
    <w:rsid w:val="000C204B"/>
    <w:rPr>
      <w:b/>
      <w:bCs/>
      <w:i/>
      <w:iCs/>
      <w:color w:val="003E74"/>
    </w:rPr>
  </w:style>
  <w:style w:type="paragraph" w:styleId="Subtitle">
    <w:name w:val="Subtitle"/>
    <w:basedOn w:val="Normal"/>
    <w:next w:val="Normal"/>
    <w:link w:val="SubtitleChar"/>
    <w:qFormat/>
    <w:rsid w:val="007149D6"/>
    <w:pPr>
      <w:numPr>
        <w:ilvl w:val="1"/>
      </w:numPr>
      <w:spacing w:line="240" w:lineRule="auto"/>
      <w:jc w:val="right"/>
    </w:pPr>
    <w:rPr>
      <w:rFonts w:asciiTheme="majorHAnsi" w:eastAsiaTheme="majorEastAsia" w:hAnsiTheme="majorHAnsi" w:cstheme="majorBidi"/>
      <w:iCs/>
      <w:color w:val="auto"/>
      <w:sz w:val="36"/>
      <w:szCs w:val="24"/>
    </w:rPr>
  </w:style>
  <w:style w:type="character" w:customStyle="1" w:styleId="SubtitleChar">
    <w:name w:val="Subtitle Char"/>
    <w:basedOn w:val="DefaultParagraphFont"/>
    <w:link w:val="Subtitle"/>
    <w:rsid w:val="007149D6"/>
    <w:rPr>
      <w:rFonts w:asciiTheme="majorHAnsi" w:eastAsiaTheme="majorEastAsia" w:hAnsiTheme="majorHAnsi" w:cstheme="majorBidi"/>
      <w:iCs/>
      <w:sz w:val="36"/>
      <w:szCs w:val="24"/>
    </w:rPr>
  </w:style>
  <w:style w:type="paragraph" w:styleId="BlockText">
    <w:name w:val="Block Text"/>
    <w:basedOn w:val="Normal"/>
    <w:rsid w:val="000C204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cstheme="minorBidi"/>
      <w:i/>
      <w:iCs/>
      <w:color w:val="003E74"/>
    </w:rPr>
  </w:style>
  <w:style w:type="paragraph" w:customStyle="1" w:styleId="Table">
    <w:name w:val="Table"/>
    <w:basedOn w:val="Normal"/>
    <w:rsid w:val="001607BB"/>
  </w:style>
  <w:style w:type="paragraph" w:styleId="NormalWeb">
    <w:name w:val="Normal (Web)"/>
    <w:basedOn w:val="Normal"/>
    <w:rsid w:val="007149D6"/>
    <w:rPr>
      <w:rFonts w:ascii="Times New Roman" w:hAnsi="Times New Roman"/>
      <w:sz w:val="24"/>
      <w:szCs w:val="24"/>
    </w:rPr>
  </w:style>
  <w:style w:type="paragraph" w:customStyle="1" w:styleId="Circletext">
    <w:name w:val="Circle text"/>
    <w:basedOn w:val="BoxText"/>
    <w:qFormat/>
    <w:rsid w:val="007049A3"/>
    <w:pPr>
      <w:ind w:left="142"/>
    </w:pPr>
    <w:rPr>
      <w:b/>
      <w:color w:val="auto"/>
      <w:sz w:val="24"/>
    </w:rPr>
  </w:style>
  <w:style w:type="table" w:styleId="TableGrid">
    <w:name w:val="Table Grid"/>
    <w:basedOn w:val="TableNormal"/>
    <w:rsid w:val="00384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6416F8"/>
    <w:rPr>
      <w:rFonts w:asciiTheme="minorHAnsi" w:hAnsiTheme="minorHAnsi"/>
      <w:color w:val="000000"/>
    </w:rPr>
  </w:style>
  <w:style w:type="paragraph" w:styleId="Revision">
    <w:name w:val="Revision"/>
    <w:hidden/>
    <w:uiPriority w:val="99"/>
    <w:semiHidden/>
    <w:rsid w:val="00707043"/>
    <w:rPr>
      <w:rFonts w:asciiTheme="minorHAnsi" w:hAnsiTheme="minorHAnsi"/>
      <w:color w:val="000000"/>
    </w:rPr>
  </w:style>
  <w:style w:type="character" w:customStyle="1" w:styleId="BulletChar">
    <w:name w:val="Bullet Char"/>
    <w:aliases w:val="b Char,b + line Char Char,b Char Char,b1 Char,b + line Char,Body Char,level 1 Char,Bullet + line Char,Number Char,Bullets Char,L Char,List Paragraph1 Char,List Paragraph11 Char,Recommendation Char,List Paragraph2 Char,List Paragraph Char"/>
    <w:basedOn w:val="DefaultParagraphFont"/>
    <w:link w:val="Bullet"/>
    <w:qFormat/>
    <w:rsid w:val="00125B1D"/>
    <w:rPr>
      <w:rFonts w:asciiTheme="minorHAnsi" w:hAnsiTheme="minorHAnsi"/>
      <w:color w:val="000000"/>
    </w:rPr>
  </w:style>
  <w:style w:type="paragraph" w:styleId="ListParagraph">
    <w:name w:val="List Paragraph"/>
    <w:basedOn w:val="Normal"/>
    <w:uiPriority w:val="34"/>
    <w:qFormat/>
    <w:rsid w:val="00FB16D8"/>
    <w:pPr>
      <w:ind w:left="720"/>
      <w:contextualSpacing/>
    </w:pPr>
  </w:style>
  <w:style w:type="paragraph" w:customStyle="1" w:styleId="ChartorTableFootnote">
    <w:name w:val="Chart or Table Footnote"/>
    <w:basedOn w:val="ChartorTableNote"/>
    <w:next w:val="Normal"/>
    <w:autoRedefine/>
    <w:qFormat/>
    <w:rsid w:val="009A641E"/>
    <w:pPr>
      <w:numPr>
        <w:numId w:val="6"/>
      </w:numPr>
    </w:pPr>
  </w:style>
  <w:style w:type="paragraph" w:customStyle="1" w:styleId="CaseStudyHeading">
    <w:name w:val="Case Study Heading"/>
    <w:basedOn w:val="Normal"/>
    <w:qFormat/>
    <w:rsid w:val="007149D6"/>
    <w:pPr>
      <w:tabs>
        <w:tab w:val="left" w:pos="1418"/>
      </w:tabs>
      <w:spacing w:before="300" w:after="120" w:line="240" w:lineRule="auto"/>
      <w:jc w:val="center"/>
    </w:pPr>
    <w:rPr>
      <w:rFonts w:ascii="Calibri" w:hAnsi="Calibri"/>
      <w:b/>
      <w:color w:val="FFFFFF" w:themeColor="background1"/>
      <w:sz w:val="28"/>
      <w:szCs w:val="24"/>
    </w:rPr>
  </w:style>
  <w:style w:type="paragraph" w:customStyle="1" w:styleId="CaseStudyText">
    <w:name w:val="Case Study Text"/>
    <w:basedOn w:val="Normal"/>
    <w:rsid w:val="007149D6"/>
    <w:pPr>
      <w:spacing w:after="120" w:line="240" w:lineRule="exact"/>
      <w:ind w:left="284" w:right="284"/>
    </w:pPr>
    <w:rPr>
      <w:rFonts w:ascii="Calibri" w:hAnsi="Calibri"/>
      <w:color w:val="FFFFFF" w:themeColor="background1"/>
    </w:rPr>
  </w:style>
  <w:style w:type="character" w:customStyle="1" w:styleId="FooterChar">
    <w:name w:val="Footer Char"/>
    <w:basedOn w:val="DefaultParagraphFont"/>
    <w:link w:val="Footer"/>
    <w:rsid w:val="007F6EF0"/>
    <w:rPr>
      <w:rFonts w:ascii="Calibri" w:hAnsi="Calibri"/>
      <w:color w:val="003E74"/>
      <w:sz w:val="18"/>
    </w:rPr>
  </w:style>
  <w:style w:type="character" w:customStyle="1" w:styleId="StyleBold">
    <w:name w:val="Style Bold"/>
    <w:basedOn w:val="DefaultParagraphFont"/>
    <w:rsid w:val="00F969F9"/>
    <w:rPr>
      <w:b/>
      <w:bCs/>
    </w:rPr>
  </w:style>
  <w:style w:type="character" w:customStyle="1" w:styleId="Link-Bookmark">
    <w:name w:val="Link - Bookmark"/>
    <w:basedOn w:val="DefaultParagraphFont"/>
    <w:rsid w:val="00F969F9"/>
    <w:rPr>
      <w:color w:val="0000FF"/>
      <w:u w:val="single"/>
      <w:bdr w:val="none" w:sz="0" w:space="0" w:color="auto"/>
      <w:shd w:val="clear" w:color="auto" w:fill="FFCC99"/>
    </w:rPr>
  </w:style>
  <w:style w:type="table" w:customStyle="1" w:styleId="Tablewithborder">
    <w:name w:val="Table with border"/>
    <w:basedOn w:val="TableNormal"/>
    <w:rsid w:val="00F969F9"/>
    <w:rPr>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422C1D"/>
    <w:pPr>
      <w:shd w:val="pct30" w:color="auto" w:fill="auto"/>
      <w:spacing w:before="200" w:after="0" w:line="240" w:lineRule="auto"/>
      <w:jc w:val="left"/>
    </w:pPr>
    <w:rPr>
      <w:rFonts w:ascii="Arial" w:hAnsi="Arial"/>
      <w:b/>
      <w:color w:val="653979"/>
      <w:sz w:val="22"/>
      <w:szCs w:val="24"/>
    </w:rPr>
  </w:style>
  <w:style w:type="paragraph" w:styleId="BodyText">
    <w:name w:val="Body Text"/>
    <w:link w:val="BodyTextChar"/>
    <w:qFormat/>
    <w:rsid w:val="008138D5"/>
    <w:pPr>
      <w:spacing w:after="120" w:line="276" w:lineRule="auto"/>
      <w:jc w:val="both"/>
    </w:pPr>
    <w:rPr>
      <w:rFonts w:ascii="Calibri" w:eastAsiaTheme="minorEastAsia" w:hAnsi="Calibri" w:cstheme="minorBidi"/>
      <w:sz w:val="21"/>
      <w:szCs w:val="22"/>
      <w:lang w:val="en-GB" w:eastAsia="en-GB"/>
    </w:rPr>
  </w:style>
  <w:style w:type="character" w:customStyle="1" w:styleId="BodyTextChar">
    <w:name w:val="Body Text Char"/>
    <w:basedOn w:val="DefaultParagraphFont"/>
    <w:link w:val="BodyText"/>
    <w:rsid w:val="008138D5"/>
    <w:rPr>
      <w:rFonts w:ascii="Calibri" w:eastAsiaTheme="minorEastAsia" w:hAnsi="Calibri" w:cstheme="minorBidi"/>
      <w:sz w:val="21"/>
      <w:szCs w:val="22"/>
      <w:lang w:val="en-GB" w:eastAsia="en-GB"/>
    </w:rPr>
  </w:style>
  <w:style w:type="character" w:customStyle="1" w:styleId="FootnoteTextChar">
    <w:name w:val="Footnote Text Char"/>
    <w:basedOn w:val="DefaultParagraphFont"/>
    <w:link w:val="FootnoteText"/>
    <w:rsid w:val="008138D5"/>
    <w:rPr>
      <w:rFonts w:asciiTheme="minorHAnsi" w:hAnsiTheme="minorHAnsi"/>
      <w:color w:val="000000"/>
      <w:sz w:val="18"/>
    </w:rPr>
  </w:style>
  <w:style w:type="paragraph" w:customStyle="1" w:styleId="Title2">
    <w:name w:val="Title 2"/>
    <w:basedOn w:val="HeadingBase"/>
    <w:rsid w:val="007149D6"/>
    <w:pPr>
      <w:spacing w:after="600"/>
      <w:jc w:val="right"/>
    </w:pPr>
    <w:rPr>
      <w:color w:val="A32035"/>
      <w:sz w:val="36"/>
      <w:szCs w:val="36"/>
    </w:rPr>
  </w:style>
  <w:style w:type="paragraph" w:customStyle="1" w:styleId="CaseStudyBullet">
    <w:name w:val="Case Study Bullet"/>
    <w:basedOn w:val="Normal"/>
    <w:rsid w:val="007149D6"/>
    <w:pPr>
      <w:tabs>
        <w:tab w:val="left" w:pos="397"/>
        <w:tab w:val="num" w:pos="567"/>
      </w:tabs>
      <w:spacing w:after="120" w:line="240" w:lineRule="exact"/>
      <w:ind w:left="624" w:right="340" w:hanging="284"/>
    </w:pPr>
    <w:rPr>
      <w:color w:val="FFFFFF" w:themeColor="background1"/>
    </w:rPr>
  </w:style>
  <w:style w:type="paragraph" w:customStyle="1" w:styleId="TableText-bullet">
    <w:name w:val="Table Text - bullet"/>
    <w:basedOn w:val="TableTextLeft"/>
    <w:rsid w:val="007149D6"/>
    <w:pPr>
      <w:numPr>
        <w:numId w:val="23"/>
      </w:numPr>
      <w:ind w:left="284" w:hanging="284"/>
    </w:pPr>
  </w:style>
  <w:style w:type="paragraph" w:customStyle="1" w:styleId="TableText-dash">
    <w:name w:val="Table Text - dash"/>
    <w:basedOn w:val="TableText-bullet"/>
    <w:rsid w:val="007149D6"/>
    <w:pPr>
      <w:numPr>
        <w:numId w:val="24"/>
      </w:numPr>
      <w:ind w:left="568" w:hanging="284"/>
    </w:pPr>
  </w:style>
  <w:style w:type="paragraph" w:styleId="Title">
    <w:name w:val="Title"/>
    <w:basedOn w:val="Normal"/>
    <w:next w:val="Normal"/>
    <w:link w:val="TitleChar"/>
    <w:qFormat/>
    <w:rsid w:val="007149D6"/>
    <w:pPr>
      <w:spacing w:after="600" w:line="240" w:lineRule="auto"/>
      <w:contextualSpacing/>
      <w:jc w:val="right"/>
    </w:pPr>
    <w:rPr>
      <w:rFonts w:asciiTheme="majorHAnsi" w:eastAsiaTheme="majorEastAsia" w:hAnsiTheme="majorHAnsi" w:cstheme="majorBidi"/>
      <w:b/>
      <w:color w:val="auto"/>
      <w:spacing w:val="-10"/>
      <w:kern w:val="28"/>
      <w:sz w:val="48"/>
      <w:szCs w:val="56"/>
    </w:rPr>
  </w:style>
  <w:style w:type="character" w:customStyle="1" w:styleId="TitleChar">
    <w:name w:val="Title Char"/>
    <w:basedOn w:val="DefaultParagraphFont"/>
    <w:link w:val="Title"/>
    <w:rsid w:val="007149D6"/>
    <w:rPr>
      <w:rFonts w:asciiTheme="majorHAnsi" w:eastAsiaTheme="majorEastAsia" w:hAnsiTheme="majorHAnsi" w:cstheme="majorBidi"/>
      <w:b/>
      <w:spacing w:val="-10"/>
      <w:kern w:val="28"/>
      <w:sz w:val="48"/>
      <w:szCs w:val="56"/>
    </w:rPr>
  </w:style>
  <w:style w:type="character" w:styleId="LineNumber">
    <w:name w:val="line number"/>
    <w:basedOn w:val="DefaultParagraphFont"/>
    <w:semiHidden/>
    <w:unhideWhenUsed/>
    <w:rsid w:val="00652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430">
      <w:bodyDiv w:val="1"/>
      <w:marLeft w:val="0"/>
      <w:marRight w:val="0"/>
      <w:marTop w:val="0"/>
      <w:marBottom w:val="0"/>
      <w:divBdr>
        <w:top w:val="none" w:sz="0" w:space="0" w:color="auto"/>
        <w:left w:val="none" w:sz="0" w:space="0" w:color="auto"/>
        <w:bottom w:val="none" w:sz="0" w:space="0" w:color="auto"/>
        <w:right w:val="none" w:sz="0" w:space="0" w:color="auto"/>
      </w:divBdr>
    </w:div>
    <w:div w:id="152110808">
      <w:bodyDiv w:val="1"/>
      <w:marLeft w:val="0"/>
      <w:marRight w:val="0"/>
      <w:marTop w:val="0"/>
      <w:marBottom w:val="0"/>
      <w:divBdr>
        <w:top w:val="none" w:sz="0" w:space="0" w:color="auto"/>
        <w:left w:val="none" w:sz="0" w:space="0" w:color="auto"/>
        <w:bottom w:val="none" w:sz="0" w:space="0" w:color="auto"/>
        <w:right w:val="none" w:sz="0" w:space="0" w:color="auto"/>
      </w:divBdr>
    </w:div>
    <w:div w:id="188371972">
      <w:bodyDiv w:val="1"/>
      <w:marLeft w:val="0"/>
      <w:marRight w:val="0"/>
      <w:marTop w:val="0"/>
      <w:marBottom w:val="0"/>
      <w:divBdr>
        <w:top w:val="none" w:sz="0" w:space="0" w:color="auto"/>
        <w:left w:val="none" w:sz="0" w:space="0" w:color="auto"/>
        <w:bottom w:val="none" w:sz="0" w:space="0" w:color="auto"/>
        <w:right w:val="none" w:sz="0" w:space="0" w:color="auto"/>
      </w:divBdr>
    </w:div>
    <w:div w:id="192377897">
      <w:bodyDiv w:val="1"/>
      <w:marLeft w:val="0"/>
      <w:marRight w:val="0"/>
      <w:marTop w:val="0"/>
      <w:marBottom w:val="0"/>
      <w:divBdr>
        <w:top w:val="none" w:sz="0" w:space="0" w:color="auto"/>
        <w:left w:val="none" w:sz="0" w:space="0" w:color="auto"/>
        <w:bottom w:val="none" w:sz="0" w:space="0" w:color="auto"/>
        <w:right w:val="none" w:sz="0" w:space="0" w:color="auto"/>
      </w:divBdr>
    </w:div>
    <w:div w:id="202401922">
      <w:bodyDiv w:val="1"/>
      <w:marLeft w:val="0"/>
      <w:marRight w:val="0"/>
      <w:marTop w:val="0"/>
      <w:marBottom w:val="0"/>
      <w:divBdr>
        <w:top w:val="none" w:sz="0" w:space="0" w:color="auto"/>
        <w:left w:val="none" w:sz="0" w:space="0" w:color="auto"/>
        <w:bottom w:val="none" w:sz="0" w:space="0" w:color="auto"/>
        <w:right w:val="none" w:sz="0" w:space="0" w:color="auto"/>
      </w:divBdr>
    </w:div>
    <w:div w:id="272592496">
      <w:bodyDiv w:val="1"/>
      <w:marLeft w:val="0"/>
      <w:marRight w:val="0"/>
      <w:marTop w:val="0"/>
      <w:marBottom w:val="0"/>
      <w:divBdr>
        <w:top w:val="none" w:sz="0" w:space="0" w:color="auto"/>
        <w:left w:val="none" w:sz="0" w:space="0" w:color="auto"/>
        <w:bottom w:val="none" w:sz="0" w:space="0" w:color="auto"/>
        <w:right w:val="none" w:sz="0" w:space="0" w:color="auto"/>
      </w:divBdr>
    </w:div>
    <w:div w:id="331883942">
      <w:bodyDiv w:val="1"/>
      <w:marLeft w:val="0"/>
      <w:marRight w:val="0"/>
      <w:marTop w:val="0"/>
      <w:marBottom w:val="0"/>
      <w:divBdr>
        <w:top w:val="none" w:sz="0" w:space="0" w:color="auto"/>
        <w:left w:val="none" w:sz="0" w:space="0" w:color="auto"/>
        <w:bottom w:val="none" w:sz="0" w:space="0" w:color="auto"/>
        <w:right w:val="none" w:sz="0" w:space="0" w:color="auto"/>
      </w:divBdr>
    </w:div>
    <w:div w:id="343947191">
      <w:bodyDiv w:val="1"/>
      <w:marLeft w:val="0"/>
      <w:marRight w:val="0"/>
      <w:marTop w:val="0"/>
      <w:marBottom w:val="0"/>
      <w:divBdr>
        <w:top w:val="none" w:sz="0" w:space="0" w:color="auto"/>
        <w:left w:val="none" w:sz="0" w:space="0" w:color="auto"/>
        <w:bottom w:val="none" w:sz="0" w:space="0" w:color="auto"/>
        <w:right w:val="none" w:sz="0" w:space="0" w:color="auto"/>
      </w:divBdr>
    </w:div>
    <w:div w:id="362747836">
      <w:bodyDiv w:val="1"/>
      <w:marLeft w:val="0"/>
      <w:marRight w:val="0"/>
      <w:marTop w:val="0"/>
      <w:marBottom w:val="0"/>
      <w:divBdr>
        <w:top w:val="none" w:sz="0" w:space="0" w:color="auto"/>
        <w:left w:val="none" w:sz="0" w:space="0" w:color="auto"/>
        <w:bottom w:val="none" w:sz="0" w:space="0" w:color="auto"/>
        <w:right w:val="none" w:sz="0" w:space="0" w:color="auto"/>
      </w:divBdr>
    </w:div>
    <w:div w:id="402143744">
      <w:bodyDiv w:val="1"/>
      <w:marLeft w:val="0"/>
      <w:marRight w:val="0"/>
      <w:marTop w:val="0"/>
      <w:marBottom w:val="0"/>
      <w:divBdr>
        <w:top w:val="none" w:sz="0" w:space="0" w:color="auto"/>
        <w:left w:val="none" w:sz="0" w:space="0" w:color="auto"/>
        <w:bottom w:val="none" w:sz="0" w:space="0" w:color="auto"/>
        <w:right w:val="none" w:sz="0" w:space="0" w:color="auto"/>
      </w:divBdr>
    </w:div>
    <w:div w:id="403190155">
      <w:bodyDiv w:val="1"/>
      <w:marLeft w:val="0"/>
      <w:marRight w:val="0"/>
      <w:marTop w:val="0"/>
      <w:marBottom w:val="0"/>
      <w:divBdr>
        <w:top w:val="none" w:sz="0" w:space="0" w:color="auto"/>
        <w:left w:val="none" w:sz="0" w:space="0" w:color="auto"/>
        <w:bottom w:val="none" w:sz="0" w:space="0" w:color="auto"/>
        <w:right w:val="none" w:sz="0" w:space="0" w:color="auto"/>
      </w:divBdr>
    </w:div>
    <w:div w:id="476342201">
      <w:bodyDiv w:val="1"/>
      <w:marLeft w:val="0"/>
      <w:marRight w:val="0"/>
      <w:marTop w:val="0"/>
      <w:marBottom w:val="0"/>
      <w:divBdr>
        <w:top w:val="none" w:sz="0" w:space="0" w:color="auto"/>
        <w:left w:val="none" w:sz="0" w:space="0" w:color="auto"/>
        <w:bottom w:val="none" w:sz="0" w:space="0" w:color="auto"/>
        <w:right w:val="none" w:sz="0" w:space="0" w:color="auto"/>
      </w:divBdr>
    </w:div>
    <w:div w:id="483425197">
      <w:bodyDiv w:val="1"/>
      <w:marLeft w:val="0"/>
      <w:marRight w:val="0"/>
      <w:marTop w:val="0"/>
      <w:marBottom w:val="0"/>
      <w:divBdr>
        <w:top w:val="none" w:sz="0" w:space="0" w:color="auto"/>
        <w:left w:val="none" w:sz="0" w:space="0" w:color="auto"/>
        <w:bottom w:val="none" w:sz="0" w:space="0" w:color="auto"/>
        <w:right w:val="none" w:sz="0" w:space="0" w:color="auto"/>
      </w:divBdr>
    </w:div>
    <w:div w:id="498354269">
      <w:bodyDiv w:val="1"/>
      <w:marLeft w:val="0"/>
      <w:marRight w:val="0"/>
      <w:marTop w:val="0"/>
      <w:marBottom w:val="0"/>
      <w:divBdr>
        <w:top w:val="none" w:sz="0" w:space="0" w:color="auto"/>
        <w:left w:val="none" w:sz="0" w:space="0" w:color="auto"/>
        <w:bottom w:val="none" w:sz="0" w:space="0" w:color="auto"/>
        <w:right w:val="none" w:sz="0" w:space="0" w:color="auto"/>
      </w:divBdr>
    </w:div>
    <w:div w:id="504248956">
      <w:bodyDiv w:val="1"/>
      <w:marLeft w:val="0"/>
      <w:marRight w:val="0"/>
      <w:marTop w:val="0"/>
      <w:marBottom w:val="0"/>
      <w:divBdr>
        <w:top w:val="none" w:sz="0" w:space="0" w:color="auto"/>
        <w:left w:val="none" w:sz="0" w:space="0" w:color="auto"/>
        <w:bottom w:val="none" w:sz="0" w:space="0" w:color="auto"/>
        <w:right w:val="none" w:sz="0" w:space="0" w:color="auto"/>
      </w:divBdr>
    </w:div>
    <w:div w:id="562177986">
      <w:bodyDiv w:val="1"/>
      <w:marLeft w:val="0"/>
      <w:marRight w:val="0"/>
      <w:marTop w:val="0"/>
      <w:marBottom w:val="0"/>
      <w:divBdr>
        <w:top w:val="none" w:sz="0" w:space="0" w:color="auto"/>
        <w:left w:val="none" w:sz="0" w:space="0" w:color="auto"/>
        <w:bottom w:val="none" w:sz="0" w:space="0" w:color="auto"/>
        <w:right w:val="none" w:sz="0" w:space="0" w:color="auto"/>
      </w:divBdr>
    </w:div>
    <w:div w:id="579557623">
      <w:bodyDiv w:val="1"/>
      <w:marLeft w:val="0"/>
      <w:marRight w:val="0"/>
      <w:marTop w:val="0"/>
      <w:marBottom w:val="0"/>
      <w:divBdr>
        <w:top w:val="none" w:sz="0" w:space="0" w:color="auto"/>
        <w:left w:val="none" w:sz="0" w:space="0" w:color="auto"/>
        <w:bottom w:val="none" w:sz="0" w:space="0" w:color="auto"/>
        <w:right w:val="none" w:sz="0" w:space="0" w:color="auto"/>
      </w:divBdr>
    </w:div>
    <w:div w:id="580649806">
      <w:bodyDiv w:val="1"/>
      <w:marLeft w:val="0"/>
      <w:marRight w:val="0"/>
      <w:marTop w:val="0"/>
      <w:marBottom w:val="0"/>
      <w:divBdr>
        <w:top w:val="none" w:sz="0" w:space="0" w:color="auto"/>
        <w:left w:val="none" w:sz="0" w:space="0" w:color="auto"/>
        <w:bottom w:val="none" w:sz="0" w:space="0" w:color="auto"/>
        <w:right w:val="none" w:sz="0" w:space="0" w:color="auto"/>
      </w:divBdr>
    </w:div>
    <w:div w:id="597179333">
      <w:bodyDiv w:val="1"/>
      <w:marLeft w:val="0"/>
      <w:marRight w:val="0"/>
      <w:marTop w:val="0"/>
      <w:marBottom w:val="0"/>
      <w:divBdr>
        <w:top w:val="none" w:sz="0" w:space="0" w:color="auto"/>
        <w:left w:val="none" w:sz="0" w:space="0" w:color="auto"/>
        <w:bottom w:val="none" w:sz="0" w:space="0" w:color="auto"/>
        <w:right w:val="none" w:sz="0" w:space="0" w:color="auto"/>
      </w:divBdr>
    </w:div>
    <w:div w:id="701520417">
      <w:bodyDiv w:val="1"/>
      <w:marLeft w:val="0"/>
      <w:marRight w:val="0"/>
      <w:marTop w:val="0"/>
      <w:marBottom w:val="0"/>
      <w:divBdr>
        <w:top w:val="none" w:sz="0" w:space="0" w:color="auto"/>
        <w:left w:val="none" w:sz="0" w:space="0" w:color="auto"/>
        <w:bottom w:val="none" w:sz="0" w:space="0" w:color="auto"/>
        <w:right w:val="none" w:sz="0" w:space="0" w:color="auto"/>
      </w:divBdr>
    </w:div>
    <w:div w:id="721174359">
      <w:bodyDiv w:val="1"/>
      <w:marLeft w:val="0"/>
      <w:marRight w:val="0"/>
      <w:marTop w:val="0"/>
      <w:marBottom w:val="0"/>
      <w:divBdr>
        <w:top w:val="none" w:sz="0" w:space="0" w:color="auto"/>
        <w:left w:val="none" w:sz="0" w:space="0" w:color="auto"/>
        <w:bottom w:val="none" w:sz="0" w:space="0" w:color="auto"/>
        <w:right w:val="none" w:sz="0" w:space="0" w:color="auto"/>
      </w:divBdr>
    </w:div>
    <w:div w:id="722945752">
      <w:bodyDiv w:val="1"/>
      <w:marLeft w:val="0"/>
      <w:marRight w:val="0"/>
      <w:marTop w:val="0"/>
      <w:marBottom w:val="0"/>
      <w:divBdr>
        <w:top w:val="none" w:sz="0" w:space="0" w:color="auto"/>
        <w:left w:val="none" w:sz="0" w:space="0" w:color="auto"/>
        <w:bottom w:val="none" w:sz="0" w:space="0" w:color="auto"/>
        <w:right w:val="none" w:sz="0" w:space="0" w:color="auto"/>
      </w:divBdr>
    </w:div>
    <w:div w:id="761603968">
      <w:bodyDiv w:val="1"/>
      <w:marLeft w:val="0"/>
      <w:marRight w:val="0"/>
      <w:marTop w:val="0"/>
      <w:marBottom w:val="0"/>
      <w:divBdr>
        <w:top w:val="none" w:sz="0" w:space="0" w:color="auto"/>
        <w:left w:val="none" w:sz="0" w:space="0" w:color="auto"/>
        <w:bottom w:val="none" w:sz="0" w:space="0" w:color="auto"/>
        <w:right w:val="none" w:sz="0" w:space="0" w:color="auto"/>
      </w:divBdr>
    </w:div>
    <w:div w:id="777602601">
      <w:bodyDiv w:val="1"/>
      <w:marLeft w:val="0"/>
      <w:marRight w:val="0"/>
      <w:marTop w:val="0"/>
      <w:marBottom w:val="0"/>
      <w:divBdr>
        <w:top w:val="none" w:sz="0" w:space="0" w:color="auto"/>
        <w:left w:val="none" w:sz="0" w:space="0" w:color="auto"/>
        <w:bottom w:val="none" w:sz="0" w:space="0" w:color="auto"/>
        <w:right w:val="none" w:sz="0" w:space="0" w:color="auto"/>
      </w:divBdr>
    </w:div>
    <w:div w:id="785584682">
      <w:bodyDiv w:val="1"/>
      <w:marLeft w:val="0"/>
      <w:marRight w:val="0"/>
      <w:marTop w:val="0"/>
      <w:marBottom w:val="0"/>
      <w:divBdr>
        <w:top w:val="none" w:sz="0" w:space="0" w:color="auto"/>
        <w:left w:val="none" w:sz="0" w:space="0" w:color="auto"/>
        <w:bottom w:val="none" w:sz="0" w:space="0" w:color="auto"/>
        <w:right w:val="none" w:sz="0" w:space="0" w:color="auto"/>
      </w:divBdr>
    </w:div>
    <w:div w:id="791285122">
      <w:bodyDiv w:val="1"/>
      <w:marLeft w:val="0"/>
      <w:marRight w:val="0"/>
      <w:marTop w:val="0"/>
      <w:marBottom w:val="0"/>
      <w:divBdr>
        <w:top w:val="none" w:sz="0" w:space="0" w:color="auto"/>
        <w:left w:val="none" w:sz="0" w:space="0" w:color="auto"/>
        <w:bottom w:val="none" w:sz="0" w:space="0" w:color="auto"/>
        <w:right w:val="none" w:sz="0" w:space="0" w:color="auto"/>
      </w:divBdr>
    </w:div>
    <w:div w:id="808060499">
      <w:bodyDiv w:val="1"/>
      <w:marLeft w:val="0"/>
      <w:marRight w:val="0"/>
      <w:marTop w:val="0"/>
      <w:marBottom w:val="0"/>
      <w:divBdr>
        <w:top w:val="none" w:sz="0" w:space="0" w:color="auto"/>
        <w:left w:val="none" w:sz="0" w:space="0" w:color="auto"/>
        <w:bottom w:val="none" w:sz="0" w:space="0" w:color="auto"/>
        <w:right w:val="none" w:sz="0" w:space="0" w:color="auto"/>
      </w:divBdr>
    </w:div>
    <w:div w:id="810250937">
      <w:bodyDiv w:val="1"/>
      <w:marLeft w:val="0"/>
      <w:marRight w:val="0"/>
      <w:marTop w:val="0"/>
      <w:marBottom w:val="0"/>
      <w:divBdr>
        <w:top w:val="none" w:sz="0" w:space="0" w:color="auto"/>
        <w:left w:val="none" w:sz="0" w:space="0" w:color="auto"/>
        <w:bottom w:val="none" w:sz="0" w:space="0" w:color="auto"/>
        <w:right w:val="none" w:sz="0" w:space="0" w:color="auto"/>
      </w:divBdr>
    </w:div>
    <w:div w:id="817263519">
      <w:bodyDiv w:val="1"/>
      <w:marLeft w:val="0"/>
      <w:marRight w:val="0"/>
      <w:marTop w:val="0"/>
      <w:marBottom w:val="0"/>
      <w:divBdr>
        <w:top w:val="none" w:sz="0" w:space="0" w:color="auto"/>
        <w:left w:val="none" w:sz="0" w:space="0" w:color="auto"/>
        <w:bottom w:val="none" w:sz="0" w:space="0" w:color="auto"/>
        <w:right w:val="none" w:sz="0" w:space="0" w:color="auto"/>
      </w:divBdr>
    </w:div>
    <w:div w:id="838621232">
      <w:bodyDiv w:val="1"/>
      <w:marLeft w:val="0"/>
      <w:marRight w:val="0"/>
      <w:marTop w:val="0"/>
      <w:marBottom w:val="0"/>
      <w:divBdr>
        <w:top w:val="none" w:sz="0" w:space="0" w:color="auto"/>
        <w:left w:val="none" w:sz="0" w:space="0" w:color="auto"/>
        <w:bottom w:val="none" w:sz="0" w:space="0" w:color="auto"/>
        <w:right w:val="none" w:sz="0" w:space="0" w:color="auto"/>
      </w:divBdr>
    </w:div>
    <w:div w:id="853887750">
      <w:bodyDiv w:val="1"/>
      <w:marLeft w:val="0"/>
      <w:marRight w:val="0"/>
      <w:marTop w:val="0"/>
      <w:marBottom w:val="0"/>
      <w:divBdr>
        <w:top w:val="none" w:sz="0" w:space="0" w:color="auto"/>
        <w:left w:val="none" w:sz="0" w:space="0" w:color="auto"/>
        <w:bottom w:val="none" w:sz="0" w:space="0" w:color="auto"/>
        <w:right w:val="none" w:sz="0" w:space="0" w:color="auto"/>
      </w:divBdr>
    </w:div>
    <w:div w:id="870187307">
      <w:bodyDiv w:val="1"/>
      <w:marLeft w:val="0"/>
      <w:marRight w:val="0"/>
      <w:marTop w:val="0"/>
      <w:marBottom w:val="0"/>
      <w:divBdr>
        <w:top w:val="none" w:sz="0" w:space="0" w:color="auto"/>
        <w:left w:val="none" w:sz="0" w:space="0" w:color="auto"/>
        <w:bottom w:val="none" w:sz="0" w:space="0" w:color="auto"/>
        <w:right w:val="none" w:sz="0" w:space="0" w:color="auto"/>
      </w:divBdr>
    </w:div>
    <w:div w:id="873621295">
      <w:bodyDiv w:val="1"/>
      <w:marLeft w:val="0"/>
      <w:marRight w:val="0"/>
      <w:marTop w:val="0"/>
      <w:marBottom w:val="0"/>
      <w:divBdr>
        <w:top w:val="none" w:sz="0" w:space="0" w:color="auto"/>
        <w:left w:val="none" w:sz="0" w:space="0" w:color="auto"/>
        <w:bottom w:val="none" w:sz="0" w:space="0" w:color="auto"/>
        <w:right w:val="none" w:sz="0" w:space="0" w:color="auto"/>
      </w:divBdr>
    </w:div>
    <w:div w:id="879243993">
      <w:bodyDiv w:val="1"/>
      <w:marLeft w:val="0"/>
      <w:marRight w:val="0"/>
      <w:marTop w:val="0"/>
      <w:marBottom w:val="0"/>
      <w:divBdr>
        <w:top w:val="none" w:sz="0" w:space="0" w:color="auto"/>
        <w:left w:val="none" w:sz="0" w:space="0" w:color="auto"/>
        <w:bottom w:val="none" w:sz="0" w:space="0" w:color="auto"/>
        <w:right w:val="none" w:sz="0" w:space="0" w:color="auto"/>
      </w:divBdr>
    </w:div>
    <w:div w:id="911088050">
      <w:bodyDiv w:val="1"/>
      <w:marLeft w:val="0"/>
      <w:marRight w:val="0"/>
      <w:marTop w:val="0"/>
      <w:marBottom w:val="0"/>
      <w:divBdr>
        <w:top w:val="none" w:sz="0" w:space="0" w:color="auto"/>
        <w:left w:val="none" w:sz="0" w:space="0" w:color="auto"/>
        <w:bottom w:val="none" w:sz="0" w:space="0" w:color="auto"/>
        <w:right w:val="none" w:sz="0" w:space="0" w:color="auto"/>
      </w:divBdr>
    </w:div>
    <w:div w:id="953832483">
      <w:bodyDiv w:val="1"/>
      <w:marLeft w:val="0"/>
      <w:marRight w:val="0"/>
      <w:marTop w:val="0"/>
      <w:marBottom w:val="0"/>
      <w:divBdr>
        <w:top w:val="none" w:sz="0" w:space="0" w:color="auto"/>
        <w:left w:val="none" w:sz="0" w:space="0" w:color="auto"/>
        <w:bottom w:val="none" w:sz="0" w:space="0" w:color="auto"/>
        <w:right w:val="none" w:sz="0" w:space="0" w:color="auto"/>
      </w:divBdr>
    </w:div>
    <w:div w:id="966787386">
      <w:bodyDiv w:val="1"/>
      <w:marLeft w:val="0"/>
      <w:marRight w:val="0"/>
      <w:marTop w:val="0"/>
      <w:marBottom w:val="0"/>
      <w:divBdr>
        <w:top w:val="none" w:sz="0" w:space="0" w:color="auto"/>
        <w:left w:val="none" w:sz="0" w:space="0" w:color="auto"/>
        <w:bottom w:val="none" w:sz="0" w:space="0" w:color="auto"/>
        <w:right w:val="none" w:sz="0" w:space="0" w:color="auto"/>
      </w:divBdr>
    </w:div>
    <w:div w:id="1002045668">
      <w:bodyDiv w:val="1"/>
      <w:marLeft w:val="0"/>
      <w:marRight w:val="0"/>
      <w:marTop w:val="0"/>
      <w:marBottom w:val="0"/>
      <w:divBdr>
        <w:top w:val="none" w:sz="0" w:space="0" w:color="auto"/>
        <w:left w:val="none" w:sz="0" w:space="0" w:color="auto"/>
        <w:bottom w:val="none" w:sz="0" w:space="0" w:color="auto"/>
        <w:right w:val="none" w:sz="0" w:space="0" w:color="auto"/>
      </w:divBdr>
    </w:div>
    <w:div w:id="1012756944">
      <w:bodyDiv w:val="1"/>
      <w:marLeft w:val="0"/>
      <w:marRight w:val="0"/>
      <w:marTop w:val="0"/>
      <w:marBottom w:val="0"/>
      <w:divBdr>
        <w:top w:val="none" w:sz="0" w:space="0" w:color="auto"/>
        <w:left w:val="none" w:sz="0" w:space="0" w:color="auto"/>
        <w:bottom w:val="none" w:sz="0" w:space="0" w:color="auto"/>
        <w:right w:val="none" w:sz="0" w:space="0" w:color="auto"/>
      </w:divBdr>
    </w:div>
    <w:div w:id="1016229224">
      <w:bodyDiv w:val="1"/>
      <w:marLeft w:val="0"/>
      <w:marRight w:val="0"/>
      <w:marTop w:val="0"/>
      <w:marBottom w:val="0"/>
      <w:divBdr>
        <w:top w:val="none" w:sz="0" w:space="0" w:color="auto"/>
        <w:left w:val="none" w:sz="0" w:space="0" w:color="auto"/>
        <w:bottom w:val="none" w:sz="0" w:space="0" w:color="auto"/>
        <w:right w:val="none" w:sz="0" w:space="0" w:color="auto"/>
      </w:divBdr>
    </w:div>
    <w:div w:id="1032456054">
      <w:bodyDiv w:val="1"/>
      <w:marLeft w:val="0"/>
      <w:marRight w:val="0"/>
      <w:marTop w:val="0"/>
      <w:marBottom w:val="0"/>
      <w:divBdr>
        <w:top w:val="none" w:sz="0" w:space="0" w:color="auto"/>
        <w:left w:val="none" w:sz="0" w:space="0" w:color="auto"/>
        <w:bottom w:val="none" w:sz="0" w:space="0" w:color="auto"/>
        <w:right w:val="none" w:sz="0" w:space="0" w:color="auto"/>
      </w:divBdr>
    </w:div>
    <w:div w:id="1035959214">
      <w:bodyDiv w:val="1"/>
      <w:marLeft w:val="0"/>
      <w:marRight w:val="0"/>
      <w:marTop w:val="0"/>
      <w:marBottom w:val="0"/>
      <w:divBdr>
        <w:top w:val="none" w:sz="0" w:space="0" w:color="auto"/>
        <w:left w:val="none" w:sz="0" w:space="0" w:color="auto"/>
        <w:bottom w:val="none" w:sz="0" w:space="0" w:color="auto"/>
        <w:right w:val="none" w:sz="0" w:space="0" w:color="auto"/>
      </w:divBdr>
    </w:div>
    <w:div w:id="1056515694">
      <w:bodyDiv w:val="1"/>
      <w:marLeft w:val="0"/>
      <w:marRight w:val="0"/>
      <w:marTop w:val="0"/>
      <w:marBottom w:val="0"/>
      <w:divBdr>
        <w:top w:val="none" w:sz="0" w:space="0" w:color="auto"/>
        <w:left w:val="none" w:sz="0" w:space="0" w:color="auto"/>
        <w:bottom w:val="none" w:sz="0" w:space="0" w:color="auto"/>
        <w:right w:val="none" w:sz="0" w:space="0" w:color="auto"/>
      </w:divBdr>
    </w:div>
    <w:div w:id="1061094303">
      <w:bodyDiv w:val="1"/>
      <w:marLeft w:val="0"/>
      <w:marRight w:val="0"/>
      <w:marTop w:val="0"/>
      <w:marBottom w:val="0"/>
      <w:divBdr>
        <w:top w:val="none" w:sz="0" w:space="0" w:color="auto"/>
        <w:left w:val="none" w:sz="0" w:space="0" w:color="auto"/>
        <w:bottom w:val="none" w:sz="0" w:space="0" w:color="auto"/>
        <w:right w:val="none" w:sz="0" w:space="0" w:color="auto"/>
      </w:divBdr>
    </w:div>
    <w:div w:id="1078482813">
      <w:bodyDiv w:val="1"/>
      <w:marLeft w:val="0"/>
      <w:marRight w:val="0"/>
      <w:marTop w:val="0"/>
      <w:marBottom w:val="0"/>
      <w:divBdr>
        <w:top w:val="none" w:sz="0" w:space="0" w:color="auto"/>
        <w:left w:val="none" w:sz="0" w:space="0" w:color="auto"/>
        <w:bottom w:val="none" w:sz="0" w:space="0" w:color="auto"/>
        <w:right w:val="none" w:sz="0" w:space="0" w:color="auto"/>
      </w:divBdr>
    </w:div>
    <w:div w:id="1107195249">
      <w:bodyDiv w:val="1"/>
      <w:marLeft w:val="0"/>
      <w:marRight w:val="0"/>
      <w:marTop w:val="0"/>
      <w:marBottom w:val="0"/>
      <w:divBdr>
        <w:top w:val="none" w:sz="0" w:space="0" w:color="auto"/>
        <w:left w:val="none" w:sz="0" w:space="0" w:color="auto"/>
        <w:bottom w:val="none" w:sz="0" w:space="0" w:color="auto"/>
        <w:right w:val="none" w:sz="0" w:space="0" w:color="auto"/>
      </w:divBdr>
    </w:div>
    <w:div w:id="1145320287">
      <w:bodyDiv w:val="1"/>
      <w:marLeft w:val="0"/>
      <w:marRight w:val="0"/>
      <w:marTop w:val="0"/>
      <w:marBottom w:val="0"/>
      <w:divBdr>
        <w:top w:val="none" w:sz="0" w:space="0" w:color="auto"/>
        <w:left w:val="none" w:sz="0" w:space="0" w:color="auto"/>
        <w:bottom w:val="none" w:sz="0" w:space="0" w:color="auto"/>
        <w:right w:val="none" w:sz="0" w:space="0" w:color="auto"/>
      </w:divBdr>
    </w:div>
    <w:div w:id="1165513116">
      <w:bodyDiv w:val="1"/>
      <w:marLeft w:val="0"/>
      <w:marRight w:val="0"/>
      <w:marTop w:val="0"/>
      <w:marBottom w:val="0"/>
      <w:divBdr>
        <w:top w:val="none" w:sz="0" w:space="0" w:color="auto"/>
        <w:left w:val="none" w:sz="0" w:space="0" w:color="auto"/>
        <w:bottom w:val="none" w:sz="0" w:space="0" w:color="auto"/>
        <w:right w:val="none" w:sz="0" w:space="0" w:color="auto"/>
      </w:divBdr>
    </w:div>
    <w:div w:id="1205948449">
      <w:bodyDiv w:val="1"/>
      <w:marLeft w:val="0"/>
      <w:marRight w:val="0"/>
      <w:marTop w:val="0"/>
      <w:marBottom w:val="0"/>
      <w:divBdr>
        <w:top w:val="none" w:sz="0" w:space="0" w:color="auto"/>
        <w:left w:val="none" w:sz="0" w:space="0" w:color="auto"/>
        <w:bottom w:val="none" w:sz="0" w:space="0" w:color="auto"/>
        <w:right w:val="none" w:sz="0" w:space="0" w:color="auto"/>
      </w:divBdr>
    </w:div>
    <w:div w:id="1226257432">
      <w:bodyDiv w:val="1"/>
      <w:marLeft w:val="0"/>
      <w:marRight w:val="0"/>
      <w:marTop w:val="0"/>
      <w:marBottom w:val="0"/>
      <w:divBdr>
        <w:top w:val="none" w:sz="0" w:space="0" w:color="auto"/>
        <w:left w:val="none" w:sz="0" w:space="0" w:color="auto"/>
        <w:bottom w:val="none" w:sz="0" w:space="0" w:color="auto"/>
        <w:right w:val="none" w:sz="0" w:space="0" w:color="auto"/>
      </w:divBdr>
    </w:div>
    <w:div w:id="1231966007">
      <w:bodyDiv w:val="1"/>
      <w:marLeft w:val="0"/>
      <w:marRight w:val="0"/>
      <w:marTop w:val="0"/>
      <w:marBottom w:val="0"/>
      <w:divBdr>
        <w:top w:val="none" w:sz="0" w:space="0" w:color="auto"/>
        <w:left w:val="none" w:sz="0" w:space="0" w:color="auto"/>
        <w:bottom w:val="none" w:sz="0" w:space="0" w:color="auto"/>
        <w:right w:val="none" w:sz="0" w:space="0" w:color="auto"/>
      </w:divBdr>
    </w:div>
    <w:div w:id="1247687595">
      <w:bodyDiv w:val="1"/>
      <w:marLeft w:val="0"/>
      <w:marRight w:val="0"/>
      <w:marTop w:val="0"/>
      <w:marBottom w:val="0"/>
      <w:divBdr>
        <w:top w:val="none" w:sz="0" w:space="0" w:color="auto"/>
        <w:left w:val="none" w:sz="0" w:space="0" w:color="auto"/>
        <w:bottom w:val="none" w:sz="0" w:space="0" w:color="auto"/>
        <w:right w:val="none" w:sz="0" w:space="0" w:color="auto"/>
      </w:divBdr>
    </w:div>
    <w:div w:id="1294168701">
      <w:bodyDiv w:val="1"/>
      <w:marLeft w:val="0"/>
      <w:marRight w:val="0"/>
      <w:marTop w:val="0"/>
      <w:marBottom w:val="0"/>
      <w:divBdr>
        <w:top w:val="none" w:sz="0" w:space="0" w:color="auto"/>
        <w:left w:val="none" w:sz="0" w:space="0" w:color="auto"/>
        <w:bottom w:val="none" w:sz="0" w:space="0" w:color="auto"/>
        <w:right w:val="none" w:sz="0" w:space="0" w:color="auto"/>
      </w:divBdr>
    </w:div>
    <w:div w:id="1357535799">
      <w:bodyDiv w:val="1"/>
      <w:marLeft w:val="0"/>
      <w:marRight w:val="0"/>
      <w:marTop w:val="0"/>
      <w:marBottom w:val="0"/>
      <w:divBdr>
        <w:top w:val="none" w:sz="0" w:space="0" w:color="auto"/>
        <w:left w:val="none" w:sz="0" w:space="0" w:color="auto"/>
        <w:bottom w:val="none" w:sz="0" w:space="0" w:color="auto"/>
        <w:right w:val="none" w:sz="0" w:space="0" w:color="auto"/>
      </w:divBdr>
    </w:div>
    <w:div w:id="1388918101">
      <w:bodyDiv w:val="1"/>
      <w:marLeft w:val="0"/>
      <w:marRight w:val="0"/>
      <w:marTop w:val="0"/>
      <w:marBottom w:val="0"/>
      <w:divBdr>
        <w:top w:val="none" w:sz="0" w:space="0" w:color="auto"/>
        <w:left w:val="none" w:sz="0" w:space="0" w:color="auto"/>
        <w:bottom w:val="none" w:sz="0" w:space="0" w:color="auto"/>
        <w:right w:val="none" w:sz="0" w:space="0" w:color="auto"/>
      </w:divBdr>
    </w:div>
    <w:div w:id="1395465789">
      <w:bodyDiv w:val="1"/>
      <w:marLeft w:val="0"/>
      <w:marRight w:val="0"/>
      <w:marTop w:val="0"/>
      <w:marBottom w:val="0"/>
      <w:divBdr>
        <w:top w:val="none" w:sz="0" w:space="0" w:color="auto"/>
        <w:left w:val="none" w:sz="0" w:space="0" w:color="auto"/>
        <w:bottom w:val="none" w:sz="0" w:space="0" w:color="auto"/>
        <w:right w:val="none" w:sz="0" w:space="0" w:color="auto"/>
      </w:divBdr>
    </w:div>
    <w:div w:id="1510829059">
      <w:bodyDiv w:val="1"/>
      <w:marLeft w:val="0"/>
      <w:marRight w:val="0"/>
      <w:marTop w:val="0"/>
      <w:marBottom w:val="0"/>
      <w:divBdr>
        <w:top w:val="none" w:sz="0" w:space="0" w:color="auto"/>
        <w:left w:val="none" w:sz="0" w:space="0" w:color="auto"/>
        <w:bottom w:val="none" w:sz="0" w:space="0" w:color="auto"/>
        <w:right w:val="none" w:sz="0" w:space="0" w:color="auto"/>
      </w:divBdr>
    </w:div>
    <w:div w:id="1517189974">
      <w:bodyDiv w:val="1"/>
      <w:marLeft w:val="0"/>
      <w:marRight w:val="0"/>
      <w:marTop w:val="0"/>
      <w:marBottom w:val="0"/>
      <w:divBdr>
        <w:top w:val="none" w:sz="0" w:space="0" w:color="auto"/>
        <w:left w:val="none" w:sz="0" w:space="0" w:color="auto"/>
        <w:bottom w:val="none" w:sz="0" w:space="0" w:color="auto"/>
        <w:right w:val="none" w:sz="0" w:space="0" w:color="auto"/>
      </w:divBdr>
    </w:div>
    <w:div w:id="1603105420">
      <w:bodyDiv w:val="1"/>
      <w:marLeft w:val="0"/>
      <w:marRight w:val="0"/>
      <w:marTop w:val="0"/>
      <w:marBottom w:val="0"/>
      <w:divBdr>
        <w:top w:val="none" w:sz="0" w:space="0" w:color="auto"/>
        <w:left w:val="none" w:sz="0" w:space="0" w:color="auto"/>
        <w:bottom w:val="none" w:sz="0" w:space="0" w:color="auto"/>
        <w:right w:val="none" w:sz="0" w:space="0" w:color="auto"/>
      </w:divBdr>
    </w:div>
    <w:div w:id="1747723212">
      <w:bodyDiv w:val="1"/>
      <w:marLeft w:val="0"/>
      <w:marRight w:val="0"/>
      <w:marTop w:val="0"/>
      <w:marBottom w:val="0"/>
      <w:divBdr>
        <w:top w:val="none" w:sz="0" w:space="0" w:color="auto"/>
        <w:left w:val="none" w:sz="0" w:space="0" w:color="auto"/>
        <w:bottom w:val="none" w:sz="0" w:space="0" w:color="auto"/>
        <w:right w:val="none" w:sz="0" w:space="0" w:color="auto"/>
      </w:divBdr>
    </w:div>
    <w:div w:id="1780686135">
      <w:bodyDiv w:val="1"/>
      <w:marLeft w:val="0"/>
      <w:marRight w:val="0"/>
      <w:marTop w:val="0"/>
      <w:marBottom w:val="0"/>
      <w:divBdr>
        <w:top w:val="none" w:sz="0" w:space="0" w:color="auto"/>
        <w:left w:val="none" w:sz="0" w:space="0" w:color="auto"/>
        <w:bottom w:val="none" w:sz="0" w:space="0" w:color="auto"/>
        <w:right w:val="none" w:sz="0" w:space="0" w:color="auto"/>
      </w:divBdr>
    </w:div>
    <w:div w:id="1782845024">
      <w:bodyDiv w:val="1"/>
      <w:marLeft w:val="0"/>
      <w:marRight w:val="0"/>
      <w:marTop w:val="0"/>
      <w:marBottom w:val="0"/>
      <w:divBdr>
        <w:top w:val="none" w:sz="0" w:space="0" w:color="auto"/>
        <w:left w:val="none" w:sz="0" w:space="0" w:color="auto"/>
        <w:bottom w:val="none" w:sz="0" w:space="0" w:color="auto"/>
        <w:right w:val="none" w:sz="0" w:space="0" w:color="auto"/>
      </w:divBdr>
    </w:div>
    <w:div w:id="1823501199">
      <w:bodyDiv w:val="1"/>
      <w:marLeft w:val="0"/>
      <w:marRight w:val="0"/>
      <w:marTop w:val="0"/>
      <w:marBottom w:val="0"/>
      <w:divBdr>
        <w:top w:val="none" w:sz="0" w:space="0" w:color="auto"/>
        <w:left w:val="none" w:sz="0" w:space="0" w:color="auto"/>
        <w:bottom w:val="none" w:sz="0" w:space="0" w:color="auto"/>
        <w:right w:val="none" w:sz="0" w:space="0" w:color="auto"/>
      </w:divBdr>
    </w:div>
    <w:div w:id="1876843972">
      <w:bodyDiv w:val="1"/>
      <w:marLeft w:val="0"/>
      <w:marRight w:val="0"/>
      <w:marTop w:val="0"/>
      <w:marBottom w:val="0"/>
      <w:divBdr>
        <w:top w:val="none" w:sz="0" w:space="0" w:color="auto"/>
        <w:left w:val="none" w:sz="0" w:space="0" w:color="auto"/>
        <w:bottom w:val="none" w:sz="0" w:space="0" w:color="auto"/>
        <w:right w:val="none" w:sz="0" w:space="0" w:color="auto"/>
      </w:divBdr>
    </w:div>
    <w:div w:id="1884054760">
      <w:bodyDiv w:val="1"/>
      <w:marLeft w:val="0"/>
      <w:marRight w:val="0"/>
      <w:marTop w:val="0"/>
      <w:marBottom w:val="0"/>
      <w:divBdr>
        <w:top w:val="none" w:sz="0" w:space="0" w:color="auto"/>
        <w:left w:val="none" w:sz="0" w:space="0" w:color="auto"/>
        <w:bottom w:val="none" w:sz="0" w:space="0" w:color="auto"/>
        <w:right w:val="none" w:sz="0" w:space="0" w:color="auto"/>
      </w:divBdr>
    </w:div>
    <w:div w:id="1931156934">
      <w:bodyDiv w:val="1"/>
      <w:marLeft w:val="0"/>
      <w:marRight w:val="0"/>
      <w:marTop w:val="0"/>
      <w:marBottom w:val="0"/>
      <w:divBdr>
        <w:top w:val="none" w:sz="0" w:space="0" w:color="auto"/>
        <w:left w:val="none" w:sz="0" w:space="0" w:color="auto"/>
        <w:bottom w:val="none" w:sz="0" w:space="0" w:color="auto"/>
        <w:right w:val="none" w:sz="0" w:space="0" w:color="auto"/>
      </w:divBdr>
    </w:div>
    <w:div w:id="2006860001">
      <w:bodyDiv w:val="1"/>
      <w:marLeft w:val="0"/>
      <w:marRight w:val="0"/>
      <w:marTop w:val="0"/>
      <w:marBottom w:val="0"/>
      <w:divBdr>
        <w:top w:val="none" w:sz="0" w:space="0" w:color="auto"/>
        <w:left w:val="none" w:sz="0" w:space="0" w:color="auto"/>
        <w:bottom w:val="none" w:sz="0" w:space="0" w:color="auto"/>
        <w:right w:val="none" w:sz="0" w:space="0" w:color="auto"/>
      </w:divBdr>
    </w:div>
    <w:div w:id="2121678616">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yperlink" Target="http://tweb/sites/mg/fitpd/Lfirbannualrport/2018-19/Draft%20Report/Graphics/FID%20-%20FIRB%20Annual%20Report%20-%20for%20Secretary's%20consideration.docx" TargetMode="External"/><Relationship Id="rId21" Type="http://schemas.openxmlformats.org/officeDocument/2006/relationships/image" Target="media/image1.png"/><Relationship Id="rId34" Type="http://schemas.openxmlformats.org/officeDocument/2006/relationships/header" Target="header8.xml"/><Relationship Id="rId42" Type="http://schemas.openxmlformats.org/officeDocument/2006/relationships/footer" Target="footer8.xml"/><Relationship Id="rId47" Type="http://schemas.openxmlformats.org/officeDocument/2006/relationships/image" Target="media/image3.jpg"/><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5.jpg"/><Relationship Id="rId68" Type="http://schemas.openxmlformats.org/officeDocument/2006/relationships/image" Target="media/image19.jpeg"/><Relationship Id="rId76" Type="http://schemas.openxmlformats.org/officeDocument/2006/relationships/footer" Target="footer13.xml"/><Relationship Id="rId84" Type="http://schemas.openxmlformats.org/officeDocument/2006/relationships/header" Target="header22.xml"/><Relationship Id="rId89" Type="http://schemas.openxmlformats.org/officeDocument/2006/relationships/header" Target="header24.xml"/><Relationship Id="rId7" Type="http://schemas.openxmlformats.org/officeDocument/2006/relationships/numbering" Target="numbering.xml"/><Relationship Id="rId71" Type="http://schemas.openxmlformats.org/officeDocument/2006/relationships/header" Target="header16.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6.xml"/><Relationship Id="rId11" Type="http://schemas.openxmlformats.org/officeDocument/2006/relationships/footnotes" Target="footnotes.xml"/><Relationship Id="rId24" Type="http://schemas.openxmlformats.org/officeDocument/2006/relationships/hyperlink" Target="mailto:media@treasury.gov.au" TargetMode="External"/><Relationship Id="rId32" Type="http://schemas.openxmlformats.org/officeDocument/2006/relationships/image" Target="media/image2.png"/><Relationship Id="rId37" Type="http://schemas.openxmlformats.org/officeDocument/2006/relationships/header" Target="header10.xml"/><Relationship Id="rId40" Type="http://schemas.openxmlformats.org/officeDocument/2006/relationships/hyperlink" Target="http://tweb/sites/mg/fitpd/Lfirbannualrport/2018-19/Draft%20Report/Graphics/FID%20-%20FIRB%20Annual%20Report%20-%20for%20Secretary's%20consideration.docx" TargetMode="External"/><Relationship Id="rId45" Type="http://schemas.openxmlformats.org/officeDocument/2006/relationships/header" Target="header12.xml"/><Relationship Id="rId53" Type="http://schemas.openxmlformats.org/officeDocument/2006/relationships/image" Target="media/image9.jpeg"/><Relationship Id="rId58" Type="http://schemas.openxmlformats.org/officeDocument/2006/relationships/header" Target="header15.xml"/><Relationship Id="rId66" Type="http://schemas.openxmlformats.org/officeDocument/2006/relationships/image" Target="media/image18.PNG"/><Relationship Id="rId74" Type="http://schemas.openxmlformats.org/officeDocument/2006/relationships/footer" Target="footer12.xml"/><Relationship Id="rId79" Type="http://schemas.openxmlformats.org/officeDocument/2006/relationships/header" Target="header20.xml"/><Relationship Id="rId87" Type="http://schemas.openxmlformats.org/officeDocument/2006/relationships/header" Target="header23.xml"/><Relationship Id="rId5" Type="http://schemas.openxmlformats.org/officeDocument/2006/relationships/customXml" Target="../customXml/item5.xml"/><Relationship Id="rId61" Type="http://schemas.openxmlformats.org/officeDocument/2006/relationships/image" Target="media/image14.jpeg"/><Relationship Id="rId82" Type="http://schemas.openxmlformats.org/officeDocument/2006/relationships/image" Target="media/image22.png"/><Relationship Id="rId90" Type="http://schemas.openxmlformats.org/officeDocument/2006/relationships/image" Target="media/image25.jpg"/><Relationship Id="rId19" Type="http://schemas.openxmlformats.org/officeDocument/2006/relationships/hyperlink" Target="http://creativecommons.org/licenses/by/3.0/au/deed.en" TargetMode="External"/><Relationship Id="rId14" Type="http://schemas.openxmlformats.org/officeDocument/2006/relationships/header" Target="header2.xml"/><Relationship Id="rId22" Type="http://schemas.openxmlformats.org/officeDocument/2006/relationships/hyperlink" Target="http://creativecommons.org/licenses/by/3.0/au/deed.en"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footer" Target="footer9.xm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16.png"/><Relationship Id="rId69" Type="http://schemas.openxmlformats.org/officeDocument/2006/relationships/image" Target="media/image180.jpeg"/><Relationship Id="rId77" Type="http://schemas.openxmlformats.org/officeDocument/2006/relationships/header" Target="header19.xml"/><Relationship Id="rId8" Type="http://schemas.openxmlformats.org/officeDocument/2006/relationships/styles" Target="styles.xml"/><Relationship Id="rId51" Type="http://schemas.openxmlformats.org/officeDocument/2006/relationships/image" Target="media/image7.jpeg"/><Relationship Id="rId72" Type="http://schemas.openxmlformats.org/officeDocument/2006/relationships/footer" Target="footer11.xml"/><Relationship Id="rId80" Type="http://schemas.openxmlformats.org/officeDocument/2006/relationships/footer" Target="footer15.xml"/><Relationship Id="rId85" Type="http://schemas.openxmlformats.org/officeDocument/2006/relationships/footer" Target="footer16.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hyperlink" Target="http://tweb/sites/mg/fitpd/Lfirbannualrport/2018-19/Draft%20Report/Graphics/FID%20-%20FIRB%20Annual%20Report%20-%20for%20Secretary's%20consideration.docx" TargetMode="External"/><Relationship Id="rId46" Type="http://schemas.openxmlformats.org/officeDocument/2006/relationships/header" Target="header13.xml"/><Relationship Id="rId59" Type="http://schemas.openxmlformats.org/officeDocument/2006/relationships/footer" Target="footer10.xml"/><Relationship Id="rId67" Type="http://schemas.openxmlformats.org/officeDocument/2006/relationships/image" Target="media/image170.PNG"/><Relationship Id="rId20" Type="http://schemas.openxmlformats.org/officeDocument/2006/relationships/hyperlink" Target="http://creativecommons.org/licenses/by/3.0/au/legalcode" TargetMode="External"/><Relationship Id="rId41" Type="http://schemas.openxmlformats.org/officeDocument/2006/relationships/hyperlink" Target="http://tweb/sites/mg/fitpd/Lfirbannualrport/2018-19/Draft%20Report/Graphics/FID%20-%20FIRB%20Annual%20Report%20-%20for%20Secretary's%20consideration.docx" TargetMode="External"/><Relationship Id="rId54" Type="http://schemas.openxmlformats.org/officeDocument/2006/relationships/image" Target="media/image10.jpeg"/><Relationship Id="rId62" Type="http://schemas.openxmlformats.org/officeDocument/2006/relationships/image" Target="media/image130.jpeg"/><Relationship Id="rId70" Type="http://schemas.openxmlformats.org/officeDocument/2006/relationships/image" Target="media/image20.png"/><Relationship Id="rId75" Type="http://schemas.openxmlformats.org/officeDocument/2006/relationships/header" Target="header18.xml"/><Relationship Id="rId83" Type="http://schemas.openxmlformats.org/officeDocument/2006/relationships/header" Target="header21.xml"/><Relationship Id="rId88" Type="http://schemas.openxmlformats.org/officeDocument/2006/relationships/image" Target="media/image24.jpg"/><Relationship Id="rId9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www.pmc.gov.au/government/commonwealth-coat-arms" TargetMode="External"/><Relationship Id="rId28" Type="http://schemas.openxmlformats.org/officeDocument/2006/relationships/footer" Target="footer5.xml"/><Relationship Id="rId36" Type="http://schemas.openxmlformats.org/officeDocument/2006/relationships/footer" Target="footer7.xml"/><Relationship Id="rId49" Type="http://schemas.openxmlformats.org/officeDocument/2006/relationships/image" Target="media/image5.jpeg"/><Relationship Id="rId57" Type="http://schemas.openxmlformats.org/officeDocument/2006/relationships/header" Target="header14.xml"/><Relationship Id="rId10" Type="http://schemas.openxmlformats.org/officeDocument/2006/relationships/webSettings" Target="webSettings.xml"/><Relationship Id="rId31" Type="http://schemas.openxmlformats.org/officeDocument/2006/relationships/hyperlink" Target="http://www.firb.gov.au" TargetMode="External"/><Relationship Id="rId44" Type="http://schemas.openxmlformats.org/officeDocument/2006/relationships/header" Target="header11.xml"/><Relationship Id="rId52" Type="http://schemas.openxmlformats.org/officeDocument/2006/relationships/image" Target="media/image8.jpeg"/><Relationship Id="rId60" Type="http://schemas.openxmlformats.org/officeDocument/2006/relationships/image" Target="media/image13.jpg"/><Relationship Id="rId65" Type="http://schemas.openxmlformats.org/officeDocument/2006/relationships/image" Target="media/image17.png"/><Relationship Id="rId73" Type="http://schemas.openxmlformats.org/officeDocument/2006/relationships/header" Target="header17.xml"/><Relationship Id="rId78" Type="http://schemas.openxmlformats.org/officeDocument/2006/relationships/footer" Target="footer14.xml"/><Relationship Id="rId81" Type="http://schemas.openxmlformats.org/officeDocument/2006/relationships/image" Target="media/image21.jpg"/><Relationship Id="rId86" Type="http://schemas.openxmlformats.org/officeDocument/2006/relationships/image" Target="media/image23.jpg"/><Relationship Id="rId4" Type="http://schemas.openxmlformats.org/officeDocument/2006/relationships/customXml" Target="../customXml/item4.xml"/><Relationship Id="rId9"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F%20I%20R%20B\FIRB%20Annual%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TaxCatchAll xmlns="0f563589-9cf9-4143-b1eb-fb0534803d38">
      <Value>11</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RA-9052 - Retain as national archives</TermName>
          <TermId xmlns="http://schemas.microsoft.com/office/infopath/2007/PartnerControls">ac55390f-b26f-4756-8634-9527e3d5cfe1</TermId>
        </TermInfo>
      </Terms>
    </lb508a4dc5e84436a0fe496b536466aa>
    <_dlc_DocId xmlns="0f563589-9cf9-4143-b1eb-fb0534803d38">2020MG-810075526-1158</_dlc_DocId>
    <_dlc_DocIdUrl xmlns="0f563589-9cf9-4143-b1eb-fb0534803d38">
      <Url>http://tweb/sites/mg/fitpd/_layouts/15/DocIdRedir.aspx?ID=2020MG-810075526-1158</Url>
      <Description>2020MG-810075526-1158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045FBBFE3100674D8DB8D97439A7612C" ma:contentTypeVersion="28428" ma:contentTypeDescription="" ma:contentTypeScope="" ma:versionID="298454e437b0c8962205163e8a6c2e04">
  <xsd:schema xmlns:xsd="http://www.w3.org/2001/XMLSchema" xmlns:xs="http://www.w3.org/2001/XMLSchema" xmlns:p="http://schemas.microsoft.com/office/2006/metadata/properties" xmlns:ns1="http://schemas.microsoft.com/sharepoint/v3" xmlns:ns2="0f563589-9cf9-4143-b1eb-fb0534803d38" xmlns:ns3="d4dd4adf-ddb3-46a3-8d7c-fab3fb2a6bc7" targetNamespace="http://schemas.microsoft.com/office/2006/metadata/properties" ma:root="true" ma:fieldsID="476b8207e14d40e8e8ea2ccc0bbd9440" ns1:_="" ns2:_="" ns3:_="">
    <xsd:import namespace="http://schemas.microsoft.com/sharepoint/v3"/>
    <xsd:import namespace="0f563589-9cf9-4143-b1eb-fb0534803d38"/>
    <xsd:import namespace="d4dd4adf-ddb3-46a3-8d7c-fab3fb2a6bc7"/>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11;#TSY RA-9052 - Retain as national archives|ac55390f-b26f-4756-8634-9527e3d5cfe1"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6CE68-1362-471E-BB0A-9B5C27CCBE3C}">
  <ds:schemaRefs>
    <ds:schemaRef ds:uri="office.server.policy"/>
  </ds:schemaRefs>
</ds:datastoreItem>
</file>

<file path=customXml/itemProps2.xml><?xml version="1.0" encoding="utf-8"?>
<ds:datastoreItem xmlns:ds="http://schemas.openxmlformats.org/officeDocument/2006/customXml" ds:itemID="{1A016E9B-6BBA-4DDD-A411-ACBFE6D3306F}">
  <ds:schemaRefs>
    <ds:schemaRef ds:uri="0f563589-9cf9-4143-b1eb-fb0534803d38"/>
    <ds:schemaRef ds:uri="http://schemas.microsoft.com/sharepoint/v3"/>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d4dd4adf-ddb3-46a3-8d7c-fab3fb2a6bc7"/>
    <ds:schemaRef ds:uri="http://www.w3.org/XML/1998/namespace"/>
    <ds:schemaRef ds:uri="http://purl.org/dc/dcmitype/"/>
  </ds:schemaRefs>
</ds:datastoreItem>
</file>

<file path=customXml/itemProps3.xml><?xml version="1.0" encoding="utf-8"?>
<ds:datastoreItem xmlns:ds="http://schemas.openxmlformats.org/officeDocument/2006/customXml" ds:itemID="{8253FF57-B54A-4ACB-813B-0D55ED286239}">
  <ds:schemaRefs>
    <ds:schemaRef ds:uri="http://schemas.microsoft.com/sharepoint/v3/contenttype/forms"/>
  </ds:schemaRefs>
</ds:datastoreItem>
</file>

<file path=customXml/itemProps4.xml><?xml version="1.0" encoding="utf-8"?>
<ds:datastoreItem xmlns:ds="http://schemas.openxmlformats.org/officeDocument/2006/customXml" ds:itemID="{7BC350E6-B34A-4628-92AD-C5CC9073F769}">
  <ds:schemaRefs>
    <ds:schemaRef ds:uri="http://schemas.microsoft.com/sharepoint/events"/>
  </ds:schemaRefs>
</ds:datastoreItem>
</file>

<file path=customXml/itemProps5.xml><?xml version="1.0" encoding="utf-8"?>
<ds:datastoreItem xmlns:ds="http://schemas.openxmlformats.org/officeDocument/2006/customXml" ds:itemID="{26BE2EFB-D6E7-435C-A923-BE9E7E04D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40EA7F2-DEBB-4EBC-80BE-FB1F57F0E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FIRB Annual Report.dotm</Template>
  <TotalTime>9</TotalTime>
  <Pages>77</Pages>
  <Words>20514</Words>
  <Characters>112882</Characters>
  <Application>Microsoft Office Word</Application>
  <DocSecurity>0</DocSecurity>
  <Lines>3908</Lines>
  <Paragraphs>2387</Paragraphs>
  <ScaleCrop>false</ScaleCrop>
  <HeadingPairs>
    <vt:vector size="2" baseType="variant">
      <vt:variant>
        <vt:lpstr>Title</vt:lpstr>
      </vt:variant>
      <vt:variant>
        <vt:i4>1</vt:i4>
      </vt:variant>
    </vt:vector>
  </HeadingPairs>
  <TitlesOfParts>
    <vt:vector size="1" baseType="lpstr">
      <vt:lpstr>FIRB Annual Report 2018-19</vt:lpstr>
    </vt:vector>
  </TitlesOfParts>
  <Company>The Treasury</Company>
  <LinksUpToDate>false</LinksUpToDate>
  <CharactersWithSpaces>131336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FIRB Annual Report 2018-19</dc:title>
  <dc:subject/>
  <dc:creator>FIRB</dc:creator>
  <cp:keywords/>
  <dc:description/>
  <cp:lastModifiedBy>Hill, Christine</cp:lastModifiedBy>
  <cp:revision>7</cp:revision>
  <cp:lastPrinted>2020-05-05T00:19:00Z</cp:lastPrinted>
  <dcterms:created xsi:type="dcterms:W3CDTF">2020-05-04T22:53:00Z</dcterms:created>
  <dcterms:modified xsi:type="dcterms:W3CDTF">2020-05-06T01:29:00Z</dcterms:modified>
</cp:coreProperties>
</file>