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vertAnchor="page" w:horzAnchor="margin" w:tblpY="4594"/>
        <w:tblOverlap w:val="never"/>
        <w:tblW w:w="5000" w:type="pct"/>
        <w:tblLayout w:type="fixed"/>
        <w:tblLook w:val="04A0" w:firstRow="1" w:lastRow="0" w:firstColumn="1" w:lastColumn="0" w:noHBand="0" w:noVBand="1"/>
      </w:tblPr>
      <w:tblGrid>
        <w:gridCol w:w="9070"/>
      </w:tblGrid>
      <w:tr w:rsidR="006D2122" w14:paraId="7468BDC5" w14:textId="77777777" w:rsidTr="00654120">
        <w:tc>
          <w:tcPr>
            <w:tcW w:w="9070" w:type="dxa"/>
          </w:tcPr>
          <w:bookmarkStart w:id="0" w:name="_GoBack" w:displacedByCustomXml="next"/>
          <w:bookmarkEnd w:id="0" w:displacedByCustomXml="next"/>
          <w:bookmarkStart w:id="1" w:name="_Hlk51924926" w:displacedByCustomXml="next"/>
          <w:bookmarkStart w:id="2" w:name="_Hlk51924963" w:displacedByCustomXml="next"/>
          <w:sdt>
            <w:sdtPr>
              <w:rPr>
                <w:color w:val="053E91" w:themeColor="accent6" w:themeShade="80"/>
              </w:rPr>
              <w:alias w:val="Title"/>
              <w:tag w:val=""/>
              <w:id w:val="1129824474"/>
              <w:placeholder>
                <w:docPart w:val="BDF9CD10E8254A6E87F7887DA9650D9F"/>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7468BDC3" w14:textId="53A05AAE" w:rsidR="006D2122" w:rsidRDefault="00C83C7C" w:rsidP="00C83C7C">
                <w:pPr>
                  <w:pStyle w:val="Title"/>
                </w:pPr>
                <w:r w:rsidRPr="003241C7">
                  <w:rPr>
                    <w:color w:val="053E91" w:themeColor="accent6" w:themeShade="80"/>
                  </w:rPr>
                  <w:t>Register of foreig</w:t>
                </w:r>
                <w:r w:rsidR="00DD26BA">
                  <w:rPr>
                    <w:color w:val="053E91" w:themeColor="accent6" w:themeShade="80"/>
                  </w:rPr>
                  <w:t>n</w:t>
                </w:r>
                <w:r w:rsidRPr="003241C7">
                  <w:rPr>
                    <w:color w:val="053E91" w:themeColor="accent6" w:themeShade="80"/>
                  </w:rPr>
                  <w:t xml:space="preserve"> ownership of residential real estate</w:t>
                </w:r>
              </w:p>
            </w:sdtContent>
          </w:sdt>
          <w:sdt>
            <w:sdtPr>
              <w:alias w:val="Subtitle"/>
              <w:tag w:val=""/>
              <w:id w:val="-1923787514"/>
              <w:placeholder>
                <w:docPart w:val="97C03B85A2E34AB985D1D94E370CD8EC"/>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7468BDC4" w14:textId="3087F04E" w:rsidR="006D2122" w:rsidRDefault="003E3CEB" w:rsidP="00654120">
                <w:pPr>
                  <w:pStyle w:val="Subtitle"/>
                </w:pPr>
                <w:r>
                  <w:t>Insights</w:t>
                </w:r>
                <w:r w:rsidR="00C03FD1">
                  <w:t xml:space="preserve"> </w:t>
                </w:r>
                <w:r>
                  <w:t>into</w:t>
                </w:r>
                <w:r w:rsidR="00C03FD1">
                  <w:t xml:space="preserve"> </w:t>
                </w:r>
                <w:r>
                  <w:t>foreign purchases and sale</w:t>
                </w:r>
                <w:r w:rsidR="00C03FD1">
                  <w:t xml:space="preserve"> </w:t>
                </w:r>
                <w:r>
                  <w:t>of residential real estate for</w:t>
                </w:r>
                <w:r w:rsidR="00C03FD1">
                  <w:t xml:space="preserve"> the period 1 July 201</w:t>
                </w:r>
                <w:r w:rsidR="00E83E2E">
                  <w:t>8</w:t>
                </w:r>
                <w:r w:rsidR="00C03FD1">
                  <w:t xml:space="preserve"> to 30 June 201</w:t>
                </w:r>
                <w:r w:rsidR="00E83E2E">
                  <w:t>9</w:t>
                </w:r>
              </w:p>
            </w:sdtContent>
          </w:sdt>
          <w:bookmarkEnd w:id="1" w:displacedByCustomXml="prev"/>
        </w:tc>
      </w:tr>
      <w:bookmarkEnd w:id="2"/>
    </w:tbl>
    <w:p w14:paraId="7468BDC6" w14:textId="77777777" w:rsidR="00F51D1E" w:rsidRDefault="00F51D1E" w:rsidP="00F51D1E"/>
    <w:p w14:paraId="7468BDC7" w14:textId="03612804" w:rsidR="005975AA" w:rsidRPr="00B63BD6" w:rsidRDefault="00865F7B" w:rsidP="00243B10">
      <w:pPr>
        <w:pStyle w:val="ClassificationInfo"/>
        <w:framePr w:wrap="around"/>
        <w:rPr>
          <w:b w:val="0"/>
        </w:rPr>
      </w:pPr>
      <w:sdt>
        <w:sdtPr>
          <w:rPr>
            <w:b w:val="0"/>
          </w:rPr>
          <w:alias w:val="Classification"/>
          <w:tag w:val=""/>
          <w:id w:val="166996918"/>
          <w:placeholder>
            <w:docPart w:val="4611ADE131A04ECFAD6EDFCDC8AB8B27"/>
          </w:placeholder>
          <w:dataBinding w:prefixMappings="xmlns:ns0='http://purl.org/dc/elements/1.1/' xmlns:ns1='http://schemas.openxmlformats.org/package/2006/metadata/core-properties' " w:xpath="/ns1:coreProperties[1]/ns1:category[1]" w:storeItemID="{6C3C8BC8-F283-45AE-878A-BAB7291924A1}"/>
          <w:text/>
        </w:sdtPr>
        <w:sdtEndPr/>
        <w:sdtContent>
          <w:r w:rsidR="0072005A">
            <w:rPr>
              <w:b w:val="0"/>
            </w:rPr>
            <w:t>OFFICIAL</w:t>
          </w:r>
        </w:sdtContent>
      </w:sdt>
    </w:p>
    <w:p w14:paraId="7468BDC8" w14:textId="4F60738B" w:rsidR="006D2122" w:rsidRDefault="00865F7B" w:rsidP="00243B10">
      <w:pPr>
        <w:pStyle w:val="InternalExternal"/>
        <w:framePr w:wrap="around"/>
      </w:pPr>
      <w:sdt>
        <w:sdtPr>
          <w:alias w:val="Internal/External"/>
          <w:tag w:val="Internal/External"/>
          <w:id w:val="-1432124364"/>
          <w:placeholder>
            <w:docPart w:val="CE2A4018C18F42FA9DA36E98951F8B99"/>
          </w:placeholder>
          <w:dataBinding w:prefixMappings="xmlns:ns0='www.drdoc.com.au'" w:xpath="/ns0:root[1]/ns0:internalExternal[1]" w:storeItemID="{2C99D8C0-9149-4525-A8EB-93F91FBAE3F9}"/>
          <w:comboBox w:lastValue="External">
            <w:listItem w:value="Choose an item."/>
            <w:listItem w:displayText="Internal" w:value="Internal"/>
            <w:listItem w:displayText="External" w:value="External"/>
          </w:comboBox>
        </w:sdtPr>
        <w:sdtEndPr/>
        <w:sdtContent>
          <w:r w:rsidR="00C83C7C">
            <w:rPr>
              <w:lang w:val="en-AU"/>
            </w:rPr>
            <w:t>External</w:t>
          </w:r>
        </w:sdtContent>
      </w:sdt>
    </w:p>
    <w:p w14:paraId="547E669A" w14:textId="77777777" w:rsidR="00E43D0D" w:rsidRDefault="00E43D0D" w:rsidP="00515527">
      <w:pPr>
        <w:tabs>
          <w:tab w:val="left" w:pos="1418"/>
        </w:tabs>
      </w:pPr>
    </w:p>
    <w:p w14:paraId="6443FB77" w14:textId="3508C5BE" w:rsidR="00F96445" w:rsidRDefault="00F96445" w:rsidP="00F96445">
      <w:pPr>
        <w:tabs>
          <w:tab w:val="left" w:pos="7757"/>
        </w:tabs>
      </w:pPr>
      <w:r>
        <w:tab/>
      </w:r>
    </w:p>
    <w:p w14:paraId="7468BDC9" w14:textId="1F12F334" w:rsidR="00F96445" w:rsidRPr="00F96445" w:rsidRDefault="00F96445" w:rsidP="00F96445">
      <w:pPr>
        <w:tabs>
          <w:tab w:val="left" w:pos="7757"/>
        </w:tabs>
        <w:sectPr w:rsidR="00F96445" w:rsidRPr="00F96445" w:rsidSect="00CF419F">
          <w:headerReference w:type="default" r:id="rId14"/>
          <w:footerReference w:type="default" r:id="rId15"/>
          <w:pgSz w:w="11906" w:h="16838" w:code="9"/>
          <w:pgMar w:top="1418" w:right="1418" w:bottom="1418" w:left="1418" w:header="397" w:footer="454" w:gutter="0"/>
          <w:cols w:space="720"/>
          <w:docGrid w:linePitch="360"/>
        </w:sectPr>
      </w:pPr>
      <w:r>
        <w:tab/>
      </w:r>
    </w:p>
    <w:p w14:paraId="7468BDCA" w14:textId="77777777" w:rsidR="00D34D0B" w:rsidRPr="00A22E93" w:rsidRDefault="00D34D0B" w:rsidP="00A22E93">
      <w:pPr>
        <w:pStyle w:val="TOCHeading"/>
      </w:pPr>
      <w:r>
        <w:lastRenderedPageBreak/>
        <w:t>Contents</w:t>
      </w:r>
    </w:p>
    <w:p w14:paraId="4989BF31" w14:textId="71639C8A" w:rsidR="004F6433" w:rsidRDefault="00E270C0">
      <w:pPr>
        <w:pStyle w:val="TOC1"/>
        <w:rPr>
          <w:rFonts w:eastAsiaTheme="minorEastAsia" w:cstheme="minorBidi"/>
          <w:b w:val="0"/>
          <w:noProof/>
          <w:color w:val="auto"/>
          <w:szCs w:val="22"/>
          <w:lang w:eastAsia="en-AU"/>
        </w:rPr>
      </w:pPr>
      <w:r>
        <w:rPr>
          <w:b w:val="0"/>
        </w:rPr>
        <w:fldChar w:fldCharType="begin"/>
      </w:r>
      <w:r>
        <w:rPr>
          <w:b w:val="0"/>
        </w:rPr>
        <w:instrText xml:space="preserve"> TOC \o "1-3" \h \z \u </w:instrText>
      </w:r>
      <w:r>
        <w:rPr>
          <w:b w:val="0"/>
        </w:rPr>
        <w:fldChar w:fldCharType="separate"/>
      </w:r>
      <w:hyperlink w:anchor="_Toc52428939" w:history="1">
        <w:r w:rsidR="004F6433" w:rsidRPr="00322199">
          <w:rPr>
            <w:rStyle w:val="Hyperlink"/>
            <w:noProof/>
          </w:rPr>
          <w:t>Introduction</w:t>
        </w:r>
        <w:r w:rsidR="004F6433">
          <w:rPr>
            <w:noProof/>
            <w:webHidden/>
          </w:rPr>
          <w:tab/>
        </w:r>
        <w:r w:rsidR="004F6433">
          <w:rPr>
            <w:noProof/>
            <w:webHidden/>
          </w:rPr>
          <w:fldChar w:fldCharType="begin"/>
        </w:r>
        <w:r w:rsidR="004F6433">
          <w:rPr>
            <w:noProof/>
            <w:webHidden/>
          </w:rPr>
          <w:instrText xml:space="preserve"> PAGEREF _Toc52428939 \h </w:instrText>
        </w:r>
        <w:r w:rsidR="004F6433">
          <w:rPr>
            <w:noProof/>
            <w:webHidden/>
          </w:rPr>
        </w:r>
        <w:r w:rsidR="004F6433">
          <w:rPr>
            <w:noProof/>
            <w:webHidden/>
          </w:rPr>
          <w:fldChar w:fldCharType="separate"/>
        </w:r>
        <w:r w:rsidR="004F6433">
          <w:rPr>
            <w:noProof/>
            <w:webHidden/>
          </w:rPr>
          <w:t>3</w:t>
        </w:r>
        <w:r w:rsidR="004F6433">
          <w:rPr>
            <w:noProof/>
            <w:webHidden/>
          </w:rPr>
          <w:fldChar w:fldCharType="end"/>
        </w:r>
      </w:hyperlink>
    </w:p>
    <w:p w14:paraId="4478A6EC" w14:textId="104A7A3F" w:rsidR="004F6433" w:rsidRDefault="00865F7B">
      <w:pPr>
        <w:pStyle w:val="TOC1"/>
        <w:rPr>
          <w:rFonts w:eastAsiaTheme="minorEastAsia" w:cstheme="minorBidi"/>
          <w:b w:val="0"/>
          <w:noProof/>
          <w:color w:val="auto"/>
          <w:szCs w:val="22"/>
          <w:lang w:eastAsia="en-AU"/>
        </w:rPr>
      </w:pPr>
      <w:hyperlink w:anchor="_Toc52428940" w:history="1">
        <w:r w:rsidR="004F6433" w:rsidRPr="00322199">
          <w:rPr>
            <w:rStyle w:val="Hyperlink"/>
            <w:rFonts w:eastAsia="Times New Roman"/>
            <w:noProof/>
          </w:rPr>
          <w:t>Methodology</w:t>
        </w:r>
        <w:r w:rsidR="004F6433">
          <w:rPr>
            <w:noProof/>
            <w:webHidden/>
          </w:rPr>
          <w:tab/>
        </w:r>
        <w:r w:rsidR="004F6433">
          <w:rPr>
            <w:noProof/>
            <w:webHidden/>
          </w:rPr>
          <w:fldChar w:fldCharType="begin"/>
        </w:r>
        <w:r w:rsidR="004F6433">
          <w:rPr>
            <w:noProof/>
            <w:webHidden/>
          </w:rPr>
          <w:instrText xml:space="preserve"> PAGEREF _Toc52428940 \h </w:instrText>
        </w:r>
        <w:r w:rsidR="004F6433">
          <w:rPr>
            <w:noProof/>
            <w:webHidden/>
          </w:rPr>
        </w:r>
        <w:r w:rsidR="004F6433">
          <w:rPr>
            <w:noProof/>
            <w:webHidden/>
          </w:rPr>
          <w:fldChar w:fldCharType="separate"/>
        </w:r>
        <w:r w:rsidR="004F6433">
          <w:rPr>
            <w:noProof/>
            <w:webHidden/>
          </w:rPr>
          <w:t>4</w:t>
        </w:r>
        <w:r w:rsidR="004F6433">
          <w:rPr>
            <w:noProof/>
            <w:webHidden/>
          </w:rPr>
          <w:fldChar w:fldCharType="end"/>
        </w:r>
      </w:hyperlink>
    </w:p>
    <w:p w14:paraId="63A889B1" w14:textId="6117B11F" w:rsidR="004F6433" w:rsidRDefault="00865F7B">
      <w:pPr>
        <w:pStyle w:val="TOC2"/>
        <w:rPr>
          <w:rFonts w:eastAsiaTheme="minorEastAsia" w:cstheme="minorBidi"/>
          <w:noProof/>
          <w:color w:val="auto"/>
          <w:szCs w:val="22"/>
          <w:lang w:eastAsia="en-AU"/>
        </w:rPr>
      </w:pPr>
      <w:hyperlink w:anchor="_Toc52428941" w:history="1">
        <w:r w:rsidR="004F6433" w:rsidRPr="00322199">
          <w:rPr>
            <w:rStyle w:val="Hyperlink"/>
            <w:noProof/>
          </w:rPr>
          <w:t>Understanding the reporting period</w:t>
        </w:r>
        <w:r w:rsidR="004F6433">
          <w:rPr>
            <w:noProof/>
            <w:webHidden/>
          </w:rPr>
          <w:tab/>
        </w:r>
        <w:r w:rsidR="004F6433">
          <w:rPr>
            <w:noProof/>
            <w:webHidden/>
          </w:rPr>
          <w:fldChar w:fldCharType="begin"/>
        </w:r>
        <w:r w:rsidR="004F6433">
          <w:rPr>
            <w:noProof/>
            <w:webHidden/>
          </w:rPr>
          <w:instrText xml:space="preserve"> PAGEREF _Toc52428941 \h </w:instrText>
        </w:r>
        <w:r w:rsidR="004F6433">
          <w:rPr>
            <w:noProof/>
            <w:webHidden/>
          </w:rPr>
        </w:r>
        <w:r w:rsidR="004F6433">
          <w:rPr>
            <w:noProof/>
            <w:webHidden/>
          </w:rPr>
          <w:fldChar w:fldCharType="separate"/>
        </w:r>
        <w:r w:rsidR="004F6433">
          <w:rPr>
            <w:noProof/>
            <w:webHidden/>
          </w:rPr>
          <w:t>4</w:t>
        </w:r>
        <w:r w:rsidR="004F6433">
          <w:rPr>
            <w:noProof/>
            <w:webHidden/>
          </w:rPr>
          <w:fldChar w:fldCharType="end"/>
        </w:r>
      </w:hyperlink>
    </w:p>
    <w:p w14:paraId="53B742F6" w14:textId="4AADE40E" w:rsidR="004F6433" w:rsidRDefault="00865F7B">
      <w:pPr>
        <w:pStyle w:val="TOC1"/>
        <w:rPr>
          <w:rFonts w:eastAsiaTheme="minorEastAsia" w:cstheme="minorBidi"/>
          <w:b w:val="0"/>
          <w:noProof/>
          <w:color w:val="auto"/>
          <w:szCs w:val="22"/>
          <w:lang w:eastAsia="en-AU"/>
        </w:rPr>
      </w:pPr>
      <w:hyperlink w:anchor="_Toc52428942" w:history="1">
        <w:r w:rsidR="004F6433" w:rsidRPr="00322199">
          <w:rPr>
            <w:rStyle w:val="Hyperlink"/>
            <w:noProof/>
          </w:rPr>
          <w:t>Insights</w:t>
        </w:r>
        <w:r w:rsidR="004F6433">
          <w:rPr>
            <w:noProof/>
            <w:webHidden/>
          </w:rPr>
          <w:tab/>
        </w:r>
        <w:r w:rsidR="004F6433">
          <w:rPr>
            <w:noProof/>
            <w:webHidden/>
          </w:rPr>
          <w:fldChar w:fldCharType="begin"/>
        </w:r>
        <w:r w:rsidR="004F6433">
          <w:rPr>
            <w:noProof/>
            <w:webHidden/>
          </w:rPr>
          <w:instrText xml:space="preserve"> PAGEREF _Toc52428942 \h </w:instrText>
        </w:r>
        <w:r w:rsidR="004F6433">
          <w:rPr>
            <w:noProof/>
            <w:webHidden/>
          </w:rPr>
        </w:r>
        <w:r w:rsidR="004F6433">
          <w:rPr>
            <w:noProof/>
            <w:webHidden/>
          </w:rPr>
          <w:fldChar w:fldCharType="separate"/>
        </w:r>
        <w:r w:rsidR="004F6433">
          <w:rPr>
            <w:noProof/>
            <w:webHidden/>
          </w:rPr>
          <w:t>5</w:t>
        </w:r>
        <w:r w:rsidR="004F6433">
          <w:rPr>
            <w:noProof/>
            <w:webHidden/>
          </w:rPr>
          <w:fldChar w:fldCharType="end"/>
        </w:r>
      </w:hyperlink>
    </w:p>
    <w:p w14:paraId="3890B447" w14:textId="02AD2CDE" w:rsidR="004F6433" w:rsidRDefault="00865F7B">
      <w:pPr>
        <w:pStyle w:val="TOC1"/>
        <w:rPr>
          <w:rFonts w:eastAsiaTheme="minorEastAsia" w:cstheme="minorBidi"/>
          <w:b w:val="0"/>
          <w:noProof/>
          <w:color w:val="auto"/>
          <w:szCs w:val="22"/>
          <w:lang w:eastAsia="en-AU"/>
        </w:rPr>
      </w:pPr>
      <w:hyperlink w:anchor="_Toc52428943" w:history="1">
        <w:r w:rsidR="004F6433" w:rsidRPr="00322199">
          <w:rPr>
            <w:rStyle w:val="Hyperlink"/>
            <w:rFonts w:eastAsia="Times New Roman"/>
            <w:noProof/>
          </w:rPr>
          <w:t>Purchase Transactions</w:t>
        </w:r>
        <w:r w:rsidR="004F6433">
          <w:rPr>
            <w:noProof/>
            <w:webHidden/>
          </w:rPr>
          <w:tab/>
        </w:r>
        <w:r w:rsidR="004F6433">
          <w:rPr>
            <w:noProof/>
            <w:webHidden/>
          </w:rPr>
          <w:fldChar w:fldCharType="begin"/>
        </w:r>
        <w:r w:rsidR="004F6433">
          <w:rPr>
            <w:noProof/>
            <w:webHidden/>
          </w:rPr>
          <w:instrText xml:space="preserve"> PAGEREF _Toc52428943 \h </w:instrText>
        </w:r>
        <w:r w:rsidR="004F6433">
          <w:rPr>
            <w:noProof/>
            <w:webHidden/>
          </w:rPr>
        </w:r>
        <w:r w:rsidR="004F6433">
          <w:rPr>
            <w:noProof/>
            <w:webHidden/>
          </w:rPr>
          <w:fldChar w:fldCharType="separate"/>
        </w:r>
        <w:r w:rsidR="004F6433">
          <w:rPr>
            <w:noProof/>
            <w:webHidden/>
          </w:rPr>
          <w:t>7</w:t>
        </w:r>
        <w:r w:rsidR="004F6433">
          <w:rPr>
            <w:noProof/>
            <w:webHidden/>
          </w:rPr>
          <w:fldChar w:fldCharType="end"/>
        </w:r>
      </w:hyperlink>
    </w:p>
    <w:p w14:paraId="2260EAA0" w14:textId="067D9DA8" w:rsidR="004F6433" w:rsidRDefault="00865F7B">
      <w:pPr>
        <w:pStyle w:val="TOC2"/>
        <w:rPr>
          <w:rFonts w:eastAsiaTheme="minorEastAsia" w:cstheme="minorBidi"/>
          <w:noProof/>
          <w:color w:val="auto"/>
          <w:szCs w:val="22"/>
          <w:lang w:eastAsia="en-AU"/>
        </w:rPr>
      </w:pPr>
      <w:hyperlink w:anchor="_Toc52428944" w:history="1">
        <w:r w:rsidR="004F6433" w:rsidRPr="00322199">
          <w:rPr>
            <w:rStyle w:val="Hyperlink"/>
            <w:noProof/>
          </w:rPr>
          <w:t>Breakdown of purchase transactions by state or territory</w:t>
        </w:r>
        <w:r w:rsidR="004F6433">
          <w:rPr>
            <w:noProof/>
            <w:webHidden/>
          </w:rPr>
          <w:tab/>
        </w:r>
        <w:r w:rsidR="004F6433">
          <w:rPr>
            <w:noProof/>
            <w:webHidden/>
          </w:rPr>
          <w:fldChar w:fldCharType="begin"/>
        </w:r>
        <w:r w:rsidR="004F6433">
          <w:rPr>
            <w:noProof/>
            <w:webHidden/>
          </w:rPr>
          <w:instrText xml:space="preserve"> PAGEREF _Toc52428944 \h </w:instrText>
        </w:r>
        <w:r w:rsidR="004F6433">
          <w:rPr>
            <w:noProof/>
            <w:webHidden/>
          </w:rPr>
        </w:r>
        <w:r w:rsidR="004F6433">
          <w:rPr>
            <w:noProof/>
            <w:webHidden/>
          </w:rPr>
          <w:fldChar w:fldCharType="separate"/>
        </w:r>
        <w:r w:rsidR="004F6433">
          <w:rPr>
            <w:noProof/>
            <w:webHidden/>
          </w:rPr>
          <w:t>7</w:t>
        </w:r>
        <w:r w:rsidR="004F6433">
          <w:rPr>
            <w:noProof/>
            <w:webHidden/>
          </w:rPr>
          <w:fldChar w:fldCharType="end"/>
        </w:r>
      </w:hyperlink>
    </w:p>
    <w:p w14:paraId="7B15C600" w14:textId="7037F64C" w:rsidR="004F6433" w:rsidRDefault="00865F7B">
      <w:pPr>
        <w:pStyle w:val="TOC2"/>
        <w:rPr>
          <w:rFonts w:eastAsiaTheme="minorEastAsia" w:cstheme="minorBidi"/>
          <w:noProof/>
          <w:color w:val="auto"/>
          <w:szCs w:val="22"/>
          <w:lang w:eastAsia="en-AU"/>
        </w:rPr>
      </w:pPr>
      <w:hyperlink w:anchor="_Toc52428945" w:history="1">
        <w:r w:rsidR="004F6433" w:rsidRPr="00322199">
          <w:rPr>
            <w:rStyle w:val="Hyperlink"/>
            <w:noProof/>
          </w:rPr>
          <w:t>Breakdown of purchase transactions by property types</w:t>
        </w:r>
        <w:r w:rsidR="004F6433">
          <w:rPr>
            <w:noProof/>
            <w:webHidden/>
          </w:rPr>
          <w:tab/>
        </w:r>
        <w:r w:rsidR="004F6433">
          <w:rPr>
            <w:noProof/>
            <w:webHidden/>
          </w:rPr>
          <w:fldChar w:fldCharType="begin"/>
        </w:r>
        <w:r w:rsidR="004F6433">
          <w:rPr>
            <w:noProof/>
            <w:webHidden/>
          </w:rPr>
          <w:instrText xml:space="preserve"> PAGEREF _Toc52428945 \h </w:instrText>
        </w:r>
        <w:r w:rsidR="004F6433">
          <w:rPr>
            <w:noProof/>
            <w:webHidden/>
          </w:rPr>
        </w:r>
        <w:r w:rsidR="004F6433">
          <w:rPr>
            <w:noProof/>
            <w:webHidden/>
          </w:rPr>
          <w:fldChar w:fldCharType="separate"/>
        </w:r>
        <w:r w:rsidR="004F6433">
          <w:rPr>
            <w:noProof/>
            <w:webHidden/>
          </w:rPr>
          <w:t>8</w:t>
        </w:r>
        <w:r w:rsidR="004F6433">
          <w:rPr>
            <w:noProof/>
            <w:webHidden/>
          </w:rPr>
          <w:fldChar w:fldCharType="end"/>
        </w:r>
      </w:hyperlink>
    </w:p>
    <w:p w14:paraId="0D59F1F4" w14:textId="28D8C65E" w:rsidR="004F6433" w:rsidRDefault="00865F7B">
      <w:pPr>
        <w:pStyle w:val="TOC1"/>
        <w:rPr>
          <w:rFonts w:eastAsiaTheme="minorEastAsia" w:cstheme="minorBidi"/>
          <w:b w:val="0"/>
          <w:noProof/>
          <w:color w:val="auto"/>
          <w:szCs w:val="22"/>
          <w:lang w:eastAsia="en-AU"/>
        </w:rPr>
      </w:pPr>
      <w:hyperlink w:anchor="_Toc52428946" w:history="1">
        <w:r w:rsidR="004F6433" w:rsidRPr="00322199">
          <w:rPr>
            <w:rStyle w:val="Hyperlink"/>
            <w:noProof/>
          </w:rPr>
          <w:t>Sale Transactions</w:t>
        </w:r>
        <w:r w:rsidR="004F6433">
          <w:rPr>
            <w:noProof/>
            <w:webHidden/>
          </w:rPr>
          <w:tab/>
        </w:r>
        <w:r w:rsidR="004F6433">
          <w:rPr>
            <w:noProof/>
            <w:webHidden/>
          </w:rPr>
          <w:fldChar w:fldCharType="begin"/>
        </w:r>
        <w:r w:rsidR="004F6433">
          <w:rPr>
            <w:noProof/>
            <w:webHidden/>
          </w:rPr>
          <w:instrText xml:space="preserve"> PAGEREF _Toc52428946 \h </w:instrText>
        </w:r>
        <w:r w:rsidR="004F6433">
          <w:rPr>
            <w:noProof/>
            <w:webHidden/>
          </w:rPr>
        </w:r>
        <w:r w:rsidR="004F6433">
          <w:rPr>
            <w:noProof/>
            <w:webHidden/>
          </w:rPr>
          <w:fldChar w:fldCharType="separate"/>
        </w:r>
        <w:r w:rsidR="004F6433">
          <w:rPr>
            <w:noProof/>
            <w:webHidden/>
          </w:rPr>
          <w:t>12</w:t>
        </w:r>
        <w:r w:rsidR="004F6433">
          <w:rPr>
            <w:noProof/>
            <w:webHidden/>
          </w:rPr>
          <w:fldChar w:fldCharType="end"/>
        </w:r>
      </w:hyperlink>
    </w:p>
    <w:p w14:paraId="4EA3CC2C" w14:textId="7E06F260" w:rsidR="004F6433" w:rsidRDefault="00865F7B">
      <w:pPr>
        <w:pStyle w:val="TOC2"/>
        <w:rPr>
          <w:rFonts w:eastAsiaTheme="minorEastAsia" w:cstheme="minorBidi"/>
          <w:noProof/>
          <w:color w:val="auto"/>
          <w:szCs w:val="22"/>
          <w:lang w:eastAsia="en-AU"/>
        </w:rPr>
      </w:pPr>
      <w:hyperlink w:anchor="_Toc52428947" w:history="1">
        <w:r w:rsidR="004F6433" w:rsidRPr="00322199">
          <w:rPr>
            <w:rStyle w:val="Hyperlink"/>
            <w:noProof/>
          </w:rPr>
          <w:t>Breakdown of sale transactions by state or territory</w:t>
        </w:r>
        <w:r w:rsidR="004F6433">
          <w:rPr>
            <w:noProof/>
            <w:webHidden/>
          </w:rPr>
          <w:tab/>
        </w:r>
        <w:r w:rsidR="004F6433">
          <w:rPr>
            <w:noProof/>
            <w:webHidden/>
          </w:rPr>
          <w:fldChar w:fldCharType="begin"/>
        </w:r>
        <w:r w:rsidR="004F6433">
          <w:rPr>
            <w:noProof/>
            <w:webHidden/>
          </w:rPr>
          <w:instrText xml:space="preserve"> PAGEREF _Toc52428947 \h </w:instrText>
        </w:r>
        <w:r w:rsidR="004F6433">
          <w:rPr>
            <w:noProof/>
            <w:webHidden/>
          </w:rPr>
        </w:r>
        <w:r w:rsidR="004F6433">
          <w:rPr>
            <w:noProof/>
            <w:webHidden/>
          </w:rPr>
          <w:fldChar w:fldCharType="separate"/>
        </w:r>
        <w:r w:rsidR="004F6433">
          <w:rPr>
            <w:noProof/>
            <w:webHidden/>
          </w:rPr>
          <w:t>12</w:t>
        </w:r>
        <w:r w:rsidR="004F6433">
          <w:rPr>
            <w:noProof/>
            <w:webHidden/>
          </w:rPr>
          <w:fldChar w:fldCharType="end"/>
        </w:r>
      </w:hyperlink>
    </w:p>
    <w:p w14:paraId="7CDC861A" w14:textId="7E3FAD6E" w:rsidR="004F6433" w:rsidRDefault="00865F7B">
      <w:pPr>
        <w:pStyle w:val="TOC2"/>
        <w:rPr>
          <w:rFonts w:eastAsiaTheme="minorEastAsia" w:cstheme="minorBidi"/>
          <w:noProof/>
          <w:color w:val="auto"/>
          <w:szCs w:val="22"/>
          <w:lang w:eastAsia="en-AU"/>
        </w:rPr>
      </w:pPr>
      <w:hyperlink w:anchor="_Toc52428948" w:history="1">
        <w:r w:rsidR="004F6433" w:rsidRPr="00322199">
          <w:rPr>
            <w:rStyle w:val="Hyperlink"/>
            <w:noProof/>
          </w:rPr>
          <w:t>Breakdown of sale transactions - property types by state or territory</w:t>
        </w:r>
        <w:r w:rsidR="004F6433">
          <w:rPr>
            <w:noProof/>
            <w:webHidden/>
          </w:rPr>
          <w:tab/>
        </w:r>
        <w:r w:rsidR="004F6433">
          <w:rPr>
            <w:noProof/>
            <w:webHidden/>
          </w:rPr>
          <w:fldChar w:fldCharType="begin"/>
        </w:r>
        <w:r w:rsidR="004F6433">
          <w:rPr>
            <w:noProof/>
            <w:webHidden/>
          </w:rPr>
          <w:instrText xml:space="preserve"> PAGEREF _Toc52428948 \h </w:instrText>
        </w:r>
        <w:r w:rsidR="004F6433">
          <w:rPr>
            <w:noProof/>
            <w:webHidden/>
          </w:rPr>
        </w:r>
        <w:r w:rsidR="004F6433">
          <w:rPr>
            <w:noProof/>
            <w:webHidden/>
          </w:rPr>
          <w:fldChar w:fldCharType="separate"/>
        </w:r>
        <w:r w:rsidR="004F6433">
          <w:rPr>
            <w:noProof/>
            <w:webHidden/>
          </w:rPr>
          <w:t>14</w:t>
        </w:r>
        <w:r w:rsidR="004F6433">
          <w:rPr>
            <w:noProof/>
            <w:webHidden/>
          </w:rPr>
          <w:fldChar w:fldCharType="end"/>
        </w:r>
      </w:hyperlink>
    </w:p>
    <w:p w14:paraId="331196A5" w14:textId="67347789" w:rsidR="004F6433" w:rsidRDefault="00865F7B">
      <w:pPr>
        <w:pStyle w:val="TOC1"/>
        <w:rPr>
          <w:rFonts w:eastAsiaTheme="minorEastAsia" w:cstheme="minorBidi"/>
          <w:b w:val="0"/>
          <w:noProof/>
          <w:color w:val="auto"/>
          <w:szCs w:val="22"/>
          <w:lang w:eastAsia="en-AU"/>
        </w:rPr>
      </w:pPr>
      <w:hyperlink w:anchor="_Toc52428949" w:history="1">
        <w:r w:rsidR="004F6433" w:rsidRPr="00322199">
          <w:rPr>
            <w:rStyle w:val="Hyperlink"/>
            <w:noProof/>
          </w:rPr>
          <w:t>Purchase Trends</w:t>
        </w:r>
        <w:r w:rsidR="004F6433">
          <w:rPr>
            <w:noProof/>
            <w:webHidden/>
          </w:rPr>
          <w:tab/>
        </w:r>
        <w:r w:rsidR="004F6433">
          <w:rPr>
            <w:noProof/>
            <w:webHidden/>
          </w:rPr>
          <w:fldChar w:fldCharType="begin"/>
        </w:r>
        <w:r w:rsidR="004F6433">
          <w:rPr>
            <w:noProof/>
            <w:webHidden/>
          </w:rPr>
          <w:instrText xml:space="preserve"> PAGEREF _Toc52428949 \h </w:instrText>
        </w:r>
        <w:r w:rsidR="004F6433">
          <w:rPr>
            <w:noProof/>
            <w:webHidden/>
          </w:rPr>
        </w:r>
        <w:r w:rsidR="004F6433">
          <w:rPr>
            <w:noProof/>
            <w:webHidden/>
          </w:rPr>
          <w:fldChar w:fldCharType="separate"/>
        </w:r>
        <w:r w:rsidR="004F6433">
          <w:rPr>
            <w:noProof/>
            <w:webHidden/>
          </w:rPr>
          <w:t>17</w:t>
        </w:r>
        <w:r w:rsidR="004F6433">
          <w:rPr>
            <w:noProof/>
            <w:webHidden/>
          </w:rPr>
          <w:fldChar w:fldCharType="end"/>
        </w:r>
      </w:hyperlink>
    </w:p>
    <w:p w14:paraId="44CD13E1" w14:textId="151BC5FF" w:rsidR="004F6433" w:rsidRDefault="00865F7B">
      <w:pPr>
        <w:pStyle w:val="TOC1"/>
        <w:rPr>
          <w:rFonts w:eastAsiaTheme="minorEastAsia" w:cstheme="minorBidi"/>
          <w:b w:val="0"/>
          <w:noProof/>
          <w:color w:val="auto"/>
          <w:szCs w:val="22"/>
          <w:lang w:eastAsia="en-AU"/>
        </w:rPr>
      </w:pPr>
      <w:hyperlink w:anchor="_Toc52428950" w:history="1">
        <w:r w:rsidR="004F6433" w:rsidRPr="00322199">
          <w:rPr>
            <w:rStyle w:val="Hyperlink"/>
            <w:noProof/>
          </w:rPr>
          <w:t>Sale Trends</w:t>
        </w:r>
        <w:r w:rsidR="004F6433">
          <w:rPr>
            <w:noProof/>
            <w:webHidden/>
          </w:rPr>
          <w:tab/>
        </w:r>
        <w:r w:rsidR="004F6433">
          <w:rPr>
            <w:noProof/>
            <w:webHidden/>
          </w:rPr>
          <w:fldChar w:fldCharType="begin"/>
        </w:r>
        <w:r w:rsidR="004F6433">
          <w:rPr>
            <w:noProof/>
            <w:webHidden/>
          </w:rPr>
          <w:instrText xml:space="preserve"> PAGEREF _Toc52428950 \h </w:instrText>
        </w:r>
        <w:r w:rsidR="004F6433">
          <w:rPr>
            <w:noProof/>
            <w:webHidden/>
          </w:rPr>
        </w:r>
        <w:r w:rsidR="004F6433">
          <w:rPr>
            <w:noProof/>
            <w:webHidden/>
          </w:rPr>
          <w:fldChar w:fldCharType="separate"/>
        </w:r>
        <w:r w:rsidR="004F6433">
          <w:rPr>
            <w:noProof/>
            <w:webHidden/>
          </w:rPr>
          <w:t>21</w:t>
        </w:r>
        <w:r w:rsidR="004F6433">
          <w:rPr>
            <w:noProof/>
            <w:webHidden/>
          </w:rPr>
          <w:fldChar w:fldCharType="end"/>
        </w:r>
      </w:hyperlink>
    </w:p>
    <w:p w14:paraId="7468BDCD" w14:textId="6B4B79BA" w:rsidR="00904BC1" w:rsidRDefault="00E270C0" w:rsidP="00F51D1E">
      <w:r>
        <w:rPr>
          <w:b/>
        </w:rPr>
        <w:fldChar w:fldCharType="end"/>
      </w:r>
    </w:p>
    <w:p w14:paraId="7468BDCE" w14:textId="77777777" w:rsidR="009D334A" w:rsidRDefault="009D334A" w:rsidP="00F51D1E"/>
    <w:p w14:paraId="7468BDCF" w14:textId="77777777" w:rsidR="00F51D1E" w:rsidRDefault="00F51D1E" w:rsidP="00904BC1">
      <w:pPr>
        <w:pStyle w:val="Heading2"/>
        <w:sectPr w:rsidR="00F51D1E" w:rsidSect="00CF419F">
          <w:headerReference w:type="default" r:id="rId16"/>
          <w:footerReference w:type="default" r:id="rId17"/>
          <w:headerReference w:type="first" r:id="rId18"/>
          <w:footerReference w:type="first" r:id="rId19"/>
          <w:pgSz w:w="11906" w:h="16838" w:code="9"/>
          <w:pgMar w:top="1418" w:right="1418" w:bottom="1418" w:left="1418" w:header="397" w:footer="454" w:gutter="0"/>
          <w:cols w:space="720"/>
          <w:titlePg/>
          <w:docGrid w:linePitch="360"/>
        </w:sectPr>
      </w:pPr>
    </w:p>
    <w:p w14:paraId="7A92F090" w14:textId="77777777" w:rsidR="00C83C7C" w:rsidRDefault="00C83C7C" w:rsidP="00C83C7C">
      <w:pPr>
        <w:pStyle w:val="Heading1"/>
        <w:framePr w:wrap="notBeside"/>
        <w:spacing w:before="0"/>
      </w:pPr>
      <w:bookmarkStart w:id="3" w:name="_Toc10559926"/>
      <w:bookmarkStart w:id="4" w:name="_Toc52428939"/>
      <w:r>
        <w:lastRenderedPageBreak/>
        <w:t>Introduction</w:t>
      </w:r>
      <w:bookmarkEnd w:id="3"/>
      <w:bookmarkEnd w:id="4"/>
    </w:p>
    <w:p w14:paraId="704AA248" w14:textId="77777777" w:rsidR="008A0E87" w:rsidRDefault="008A0E87" w:rsidP="00654120">
      <w:pPr>
        <w:spacing w:before="0" w:after="80" w:line="240" w:lineRule="auto"/>
        <w:rPr>
          <w:rFonts w:eastAsiaTheme="minorEastAsia" w:cstheme="minorHAnsi"/>
          <w:kern w:val="24"/>
          <w:szCs w:val="22"/>
          <w:lang w:eastAsia="en-AU"/>
        </w:rPr>
      </w:pPr>
    </w:p>
    <w:p w14:paraId="0326C5CC" w14:textId="77777777" w:rsidR="00DD26BA" w:rsidRPr="00E0135D" w:rsidRDefault="00DD26BA" w:rsidP="00DD26BA">
      <w:r w:rsidRPr="00E0135D">
        <w:rPr>
          <w:rFonts w:eastAsia="Times New Roman"/>
        </w:rPr>
        <w:t>The Register of foreign ownership of residential land has been established as part of the Australian Government’s commitment to increase transparency around foreign investment in Australia.</w:t>
      </w:r>
    </w:p>
    <w:p w14:paraId="017ED816" w14:textId="77777777" w:rsidR="00DD26BA" w:rsidRPr="00E0135D" w:rsidRDefault="00DD26BA" w:rsidP="00DD26BA">
      <w:r w:rsidRPr="00E0135D">
        <w:rPr>
          <w:rFonts w:eastAsia="Times New Roman"/>
        </w:rPr>
        <w:t xml:space="preserve">Information has been extracted from the Register to provide insights into foreign purchases and sales of residential real estate over two reporting periods. The information relates to residential real estate transactions (purchases or sales) by foreign persons between 1 July 2018 to 30 June 2019 (2018-19) and 1 July 2017 to 30 June 2018 (2017-18) reporting periods. </w:t>
      </w:r>
    </w:p>
    <w:p w14:paraId="7A348794" w14:textId="77777777" w:rsidR="00DD26BA" w:rsidRPr="00E0135D" w:rsidRDefault="00DD26BA" w:rsidP="00DD26BA">
      <w:r w:rsidRPr="00E0135D">
        <w:rPr>
          <w:rFonts w:eastAsia="Times New Roman"/>
        </w:rPr>
        <w:t xml:space="preserve">Consistent with Australia’s broader foreign investment review framework, the details of foreign persons are not made available publicly. Taxation law also restricts the release of information which could identify, or be used to identify, an individual or entity. For these reasons, this information is presented in an aggregated format only. </w:t>
      </w:r>
    </w:p>
    <w:p w14:paraId="5CD5080F" w14:textId="4C422375" w:rsidR="00C83C7C" w:rsidRDefault="00DD26BA" w:rsidP="00DD26BA">
      <w:pPr>
        <w:spacing w:before="120" w:after="120" w:line="240" w:lineRule="auto"/>
        <w:rPr>
          <w:szCs w:val="22"/>
        </w:rPr>
      </w:pPr>
      <w:r w:rsidRPr="00E0135D">
        <w:rPr>
          <w:rFonts w:eastAsia="Times New Roman"/>
        </w:rPr>
        <w:t>Care should be taken in comparing the Insights data with the Foreign Investment Review Board (FIRB) Annual Reports. The FIRB Annual Reports contain proposed investment information. The Insights data reflects confirmed real estate transactions and is not a full stocktake of foreign ownership in residential land.</w:t>
      </w:r>
      <w:r w:rsidR="00C83C7C">
        <w:rPr>
          <w:szCs w:val="22"/>
        </w:rPr>
        <w:br w:type="page"/>
      </w:r>
    </w:p>
    <w:p w14:paraId="14CF3EEE" w14:textId="1D3DC5DB" w:rsidR="00DD26BA" w:rsidRPr="00E0135D" w:rsidRDefault="00DD26BA" w:rsidP="00742B89">
      <w:pPr>
        <w:pStyle w:val="Heading1"/>
        <w:framePr w:wrap="notBeside"/>
      </w:pPr>
      <w:bookmarkStart w:id="5" w:name="_Toc52428940"/>
      <w:r w:rsidRPr="00E0135D">
        <w:rPr>
          <w:rFonts w:eastAsia="Times New Roman"/>
        </w:rPr>
        <w:t>M</w:t>
      </w:r>
      <w:r>
        <w:rPr>
          <w:rFonts w:eastAsia="Times New Roman"/>
        </w:rPr>
        <w:t>ethodology</w:t>
      </w:r>
      <w:bookmarkEnd w:id="5"/>
    </w:p>
    <w:p w14:paraId="2A608504" w14:textId="77777777" w:rsidR="00DD26BA" w:rsidRPr="00E0135D" w:rsidRDefault="00DD26BA" w:rsidP="00DD26BA">
      <w:r w:rsidRPr="00E0135D">
        <w:rPr>
          <w:rFonts w:eastAsia="Times New Roman"/>
        </w:rPr>
        <w:t>The Register holds information about purchase or sale transactions by foreign persons who obtained foreign investment approval.</w:t>
      </w:r>
    </w:p>
    <w:p w14:paraId="53DBAC8A" w14:textId="77777777" w:rsidR="00DD26BA" w:rsidRPr="00E0135D" w:rsidRDefault="00DD26BA" w:rsidP="002F417E">
      <w:pPr>
        <w:spacing w:before="120" w:after="120"/>
      </w:pPr>
      <w:r w:rsidRPr="00E0135D">
        <w:rPr>
          <w:rFonts w:eastAsia="Times New Roman"/>
        </w:rPr>
        <w:t>Purchase transactions are where:</w:t>
      </w:r>
    </w:p>
    <w:p w14:paraId="4B10EB6C" w14:textId="20C3186A" w:rsidR="00DD26BA" w:rsidRPr="00E0135D" w:rsidRDefault="00DD26BA" w:rsidP="002F417E">
      <w:pPr>
        <w:numPr>
          <w:ilvl w:val="0"/>
          <w:numId w:val="21"/>
        </w:numPr>
        <w:spacing w:before="120" w:after="120" w:line="240" w:lineRule="auto"/>
      </w:pPr>
      <w:r w:rsidRPr="00E0135D">
        <w:rPr>
          <w:rFonts w:eastAsia="Times New Roman"/>
        </w:rPr>
        <w:t>a foreign person (through self-registration) has indicated that they have settled on a residential property for which they had gained prior foreign investment approval, and</w:t>
      </w:r>
    </w:p>
    <w:p w14:paraId="632458C9" w14:textId="77777777" w:rsidR="00DD26BA" w:rsidRPr="00E0135D" w:rsidRDefault="00DD26BA" w:rsidP="002F417E">
      <w:pPr>
        <w:numPr>
          <w:ilvl w:val="0"/>
          <w:numId w:val="22"/>
        </w:numPr>
        <w:spacing w:before="120" w:after="120" w:line="240" w:lineRule="auto"/>
      </w:pPr>
      <w:r w:rsidRPr="00E0135D">
        <w:rPr>
          <w:rFonts w:eastAsia="Times New Roman"/>
        </w:rPr>
        <w:t>a foreign person (identified during compliance activity) that has settled property and failed to apply for foreign investment approval or</w:t>
      </w:r>
    </w:p>
    <w:p w14:paraId="046F0CF6" w14:textId="77777777" w:rsidR="00DD26BA" w:rsidRPr="00E0135D" w:rsidRDefault="00DD26BA" w:rsidP="002F417E">
      <w:pPr>
        <w:numPr>
          <w:ilvl w:val="0"/>
          <w:numId w:val="22"/>
        </w:numPr>
        <w:spacing w:before="120" w:after="120" w:line="240" w:lineRule="auto"/>
      </w:pPr>
      <w:proofErr w:type="gramStart"/>
      <w:r w:rsidRPr="00E0135D">
        <w:rPr>
          <w:rFonts w:eastAsia="Times New Roman"/>
        </w:rPr>
        <w:t>through</w:t>
      </w:r>
      <w:proofErr w:type="gramEnd"/>
      <w:r w:rsidRPr="00E0135D">
        <w:rPr>
          <w:rFonts w:eastAsia="Times New Roman"/>
        </w:rPr>
        <w:t xml:space="preserve"> the collection of land titles data from participating states and territories, the ATO has matched a residential real estate transfer (purchase) and purchaser, to a corresponding property and foreign person that was previously issued foreign investment approval. </w:t>
      </w:r>
    </w:p>
    <w:p w14:paraId="3350E919" w14:textId="77777777" w:rsidR="00DD26BA" w:rsidRPr="00E0135D" w:rsidRDefault="00DD26BA" w:rsidP="002F417E">
      <w:pPr>
        <w:spacing w:before="120" w:after="120"/>
      </w:pPr>
      <w:r w:rsidRPr="00E0135D">
        <w:rPr>
          <w:rFonts w:eastAsia="Times New Roman"/>
        </w:rPr>
        <w:t>Similarly, sale transactions are where:</w:t>
      </w:r>
    </w:p>
    <w:p w14:paraId="420B329B" w14:textId="77777777" w:rsidR="00DD26BA" w:rsidRPr="00E0135D" w:rsidRDefault="00DD26BA" w:rsidP="002F417E">
      <w:pPr>
        <w:numPr>
          <w:ilvl w:val="0"/>
          <w:numId w:val="23"/>
        </w:numPr>
        <w:spacing w:before="120" w:after="120" w:line="240" w:lineRule="auto"/>
      </w:pPr>
      <w:r w:rsidRPr="00E0135D">
        <w:rPr>
          <w:rFonts w:eastAsia="Times New Roman"/>
        </w:rPr>
        <w:t>a foreign person (through self-registration) has indicated that they have sold (and settlement has occurred on) a residential property for which they had gained prior foreign investment approval, or</w:t>
      </w:r>
    </w:p>
    <w:p w14:paraId="42A14BEF" w14:textId="77777777" w:rsidR="00DD26BA" w:rsidRPr="00E0135D" w:rsidRDefault="00DD26BA" w:rsidP="002F417E">
      <w:pPr>
        <w:numPr>
          <w:ilvl w:val="0"/>
          <w:numId w:val="23"/>
        </w:numPr>
        <w:spacing w:before="120" w:after="120" w:line="240" w:lineRule="auto"/>
      </w:pPr>
      <w:proofErr w:type="gramStart"/>
      <w:r w:rsidRPr="00E0135D">
        <w:rPr>
          <w:rFonts w:eastAsia="Times New Roman"/>
        </w:rPr>
        <w:t>through</w:t>
      </w:r>
      <w:proofErr w:type="gramEnd"/>
      <w:r w:rsidRPr="00E0135D">
        <w:rPr>
          <w:rFonts w:eastAsia="Times New Roman"/>
        </w:rPr>
        <w:t xml:space="preserve"> the collection of land titles data from participating states and territories, the ATO has matched a residential real estate transfer (sale) and vendor to a corresponding property and foreign person that was previously issued foreign investment approval. </w:t>
      </w:r>
    </w:p>
    <w:p w14:paraId="40EAF1AE" w14:textId="77777777" w:rsidR="00DD26BA" w:rsidRPr="00E0135D" w:rsidRDefault="00DD26BA" w:rsidP="00DD26BA">
      <w:r w:rsidRPr="00E0135D">
        <w:rPr>
          <w:rFonts w:eastAsia="Times New Roman"/>
        </w:rPr>
        <w:t xml:space="preserve">For a purchase or sale transaction to be included in the Insights, the settlement date for the transaction needs to have occurred within the relevant reporting period. </w:t>
      </w:r>
    </w:p>
    <w:p w14:paraId="10468298" w14:textId="77777777" w:rsidR="00DD26BA" w:rsidRPr="00E0135D" w:rsidRDefault="00DD26BA" w:rsidP="00DD26BA">
      <w:r w:rsidRPr="00E0135D">
        <w:rPr>
          <w:rFonts w:eastAsia="Times New Roman"/>
        </w:rPr>
        <w:t>For purchase transactions if a property was purchased and then sold during the report period, the purchase is included in these figures.</w:t>
      </w:r>
    </w:p>
    <w:p w14:paraId="7D148D8D" w14:textId="54542E8D" w:rsidR="00DD26BA" w:rsidRDefault="00DD26BA" w:rsidP="00DD26BA">
      <w:pPr>
        <w:rPr>
          <w:rFonts w:eastAsia="Times New Roman"/>
        </w:rPr>
      </w:pPr>
      <w:r w:rsidRPr="00E0135D">
        <w:rPr>
          <w:rFonts w:eastAsia="Times New Roman"/>
        </w:rPr>
        <w:t>The value is derived from the contract sale price and represents the transaction value at that time, not current market value.</w:t>
      </w:r>
    </w:p>
    <w:p w14:paraId="4D1D28A1" w14:textId="77777777" w:rsidR="000200AA" w:rsidRDefault="000200AA" w:rsidP="00742B89">
      <w:pPr>
        <w:pStyle w:val="Heading2"/>
      </w:pPr>
      <w:bookmarkStart w:id="6" w:name="_Toc52428941"/>
      <w:r>
        <w:t>Understanding the reporting period</w:t>
      </w:r>
      <w:bookmarkEnd w:id="6"/>
    </w:p>
    <w:tbl>
      <w:tblPr>
        <w:tblStyle w:val="GridTable4-Accent6"/>
        <w:tblW w:w="8784" w:type="dxa"/>
        <w:tblLayout w:type="fixed"/>
        <w:tblLook w:val="04A0" w:firstRow="1" w:lastRow="0" w:firstColumn="1" w:lastColumn="0" w:noHBand="0" w:noVBand="1"/>
      </w:tblPr>
      <w:tblGrid>
        <w:gridCol w:w="6091"/>
        <w:gridCol w:w="2693"/>
      </w:tblGrid>
      <w:tr w:rsidR="000200AA" w14:paraId="258E3C1E" w14:textId="77777777" w:rsidTr="00776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2AC94AF" w14:textId="77777777" w:rsidR="000200AA" w:rsidRDefault="000200AA" w:rsidP="00776F80">
            <w:r w:rsidRPr="00877F26">
              <w:rPr>
                <w:color w:val="FFFFFF" w:themeColor="background1"/>
              </w:rPr>
              <w:t>Transactions</w:t>
            </w:r>
          </w:p>
        </w:tc>
        <w:tc>
          <w:tcPr>
            <w:tcW w:w="2693" w:type="dxa"/>
          </w:tcPr>
          <w:p w14:paraId="61D0E280" w14:textId="77777777" w:rsidR="000200AA" w:rsidRDefault="000200AA" w:rsidP="00776F80">
            <w:pPr>
              <w:cnfStyle w:val="100000000000" w:firstRow="1" w:lastRow="0" w:firstColumn="0" w:lastColumn="0" w:oddVBand="0" w:evenVBand="0" w:oddHBand="0" w:evenHBand="0" w:firstRowFirstColumn="0" w:firstRowLastColumn="0" w:lastRowFirstColumn="0" w:lastRowLastColumn="0"/>
            </w:pPr>
            <w:r w:rsidRPr="00877F26">
              <w:rPr>
                <w:color w:val="FFFFFF" w:themeColor="background1"/>
              </w:rPr>
              <w:t>Included/Not included</w:t>
            </w:r>
          </w:p>
        </w:tc>
      </w:tr>
      <w:tr w:rsidR="000200AA" w14:paraId="6D08A50C" w14:textId="77777777" w:rsidTr="00776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shd w:val="clear" w:color="auto" w:fill="auto"/>
          </w:tcPr>
          <w:p w14:paraId="5CA508CA" w14:textId="77777777" w:rsidR="000200AA" w:rsidRPr="000F1A34" w:rsidRDefault="000200AA" w:rsidP="00776F80">
            <w:pPr>
              <w:rPr>
                <w:rFonts w:cstheme="minorHAnsi"/>
                <w:b w:val="0"/>
                <w:bCs w:val="0"/>
              </w:rPr>
            </w:pPr>
            <w:r w:rsidRPr="000F1A34">
              <w:rPr>
                <w:rFonts w:cstheme="minorHAnsi"/>
                <w:b w:val="0"/>
                <w:bCs w:val="0"/>
              </w:rPr>
              <w:t>Transactions wholly within reporting period</w:t>
            </w:r>
          </w:p>
        </w:tc>
        <w:tc>
          <w:tcPr>
            <w:tcW w:w="2693" w:type="dxa"/>
            <w:shd w:val="clear" w:color="auto" w:fill="auto"/>
          </w:tcPr>
          <w:p w14:paraId="424F0892" w14:textId="77777777" w:rsidR="000200AA" w:rsidRPr="000F1A34" w:rsidRDefault="000200AA" w:rsidP="00776F80">
            <w:pPr>
              <w:cnfStyle w:val="000000100000" w:firstRow="0" w:lastRow="0" w:firstColumn="0" w:lastColumn="0" w:oddVBand="0" w:evenVBand="0" w:oddHBand="1" w:evenHBand="0" w:firstRowFirstColumn="0" w:firstRowLastColumn="0" w:lastRowFirstColumn="0" w:lastRowLastColumn="0"/>
              <w:rPr>
                <w:rFonts w:cstheme="minorHAnsi"/>
              </w:rPr>
            </w:pPr>
            <w:r w:rsidRPr="000F1A34">
              <w:rPr>
                <w:rFonts w:cstheme="minorHAnsi"/>
              </w:rPr>
              <w:t>Included</w:t>
            </w:r>
          </w:p>
        </w:tc>
      </w:tr>
      <w:tr w:rsidR="000200AA" w14:paraId="61B327D2" w14:textId="77777777" w:rsidTr="00776F80">
        <w:tc>
          <w:tcPr>
            <w:cnfStyle w:val="001000000000" w:firstRow="0" w:lastRow="0" w:firstColumn="1" w:lastColumn="0" w:oddVBand="0" w:evenVBand="0" w:oddHBand="0" w:evenHBand="0" w:firstRowFirstColumn="0" w:firstRowLastColumn="0" w:lastRowFirstColumn="0" w:lastRowLastColumn="0"/>
            <w:tcW w:w="6091" w:type="dxa"/>
          </w:tcPr>
          <w:p w14:paraId="7FB0BFA8" w14:textId="77777777" w:rsidR="000200AA" w:rsidRPr="000F1A34" w:rsidRDefault="000200AA" w:rsidP="00776F80">
            <w:pPr>
              <w:rPr>
                <w:rFonts w:cstheme="minorHAnsi"/>
                <w:b w:val="0"/>
                <w:bCs w:val="0"/>
              </w:rPr>
            </w:pPr>
            <w:r w:rsidRPr="000F1A34">
              <w:rPr>
                <w:rFonts w:cstheme="minorHAnsi"/>
                <w:b w:val="0"/>
                <w:bCs w:val="0"/>
              </w:rPr>
              <w:t xml:space="preserve">Transaction starts before but settles within the reporting period </w:t>
            </w:r>
          </w:p>
        </w:tc>
        <w:tc>
          <w:tcPr>
            <w:tcW w:w="2693" w:type="dxa"/>
          </w:tcPr>
          <w:p w14:paraId="3AB58B70" w14:textId="77777777" w:rsidR="000200AA" w:rsidRPr="000F1A34" w:rsidRDefault="000200AA" w:rsidP="00776F80">
            <w:pPr>
              <w:cnfStyle w:val="000000000000" w:firstRow="0" w:lastRow="0" w:firstColumn="0" w:lastColumn="0" w:oddVBand="0" w:evenVBand="0" w:oddHBand="0" w:evenHBand="0" w:firstRowFirstColumn="0" w:firstRowLastColumn="0" w:lastRowFirstColumn="0" w:lastRowLastColumn="0"/>
              <w:rPr>
                <w:rFonts w:cstheme="minorHAnsi"/>
              </w:rPr>
            </w:pPr>
            <w:r w:rsidRPr="000F1A34">
              <w:rPr>
                <w:rFonts w:cstheme="minorHAnsi"/>
              </w:rPr>
              <w:t>Included</w:t>
            </w:r>
          </w:p>
        </w:tc>
      </w:tr>
      <w:tr w:rsidR="000200AA" w14:paraId="3C2DAC45" w14:textId="77777777" w:rsidTr="00776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shd w:val="clear" w:color="auto" w:fill="auto"/>
          </w:tcPr>
          <w:p w14:paraId="310B7EDA" w14:textId="77777777" w:rsidR="000200AA" w:rsidRPr="000F1A34" w:rsidRDefault="000200AA" w:rsidP="00776F80">
            <w:pPr>
              <w:rPr>
                <w:rFonts w:cstheme="minorHAnsi"/>
                <w:b w:val="0"/>
                <w:bCs w:val="0"/>
              </w:rPr>
            </w:pPr>
            <w:r w:rsidRPr="000F1A34">
              <w:rPr>
                <w:rFonts w:cstheme="minorHAnsi"/>
                <w:b w:val="0"/>
                <w:bCs w:val="0"/>
              </w:rPr>
              <w:t>Transaction starts within the reporting period but settles after</w:t>
            </w:r>
          </w:p>
        </w:tc>
        <w:tc>
          <w:tcPr>
            <w:tcW w:w="2693" w:type="dxa"/>
            <w:shd w:val="clear" w:color="auto" w:fill="auto"/>
          </w:tcPr>
          <w:p w14:paraId="210E49B0" w14:textId="77777777" w:rsidR="000200AA" w:rsidRPr="000F1A34" w:rsidRDefault="000200AA" w:rsidP="00776F80">
            <w:pPr>
              <w:cnfStyle w:val="000000100000" w:firstRow="0" w:lastRow="0" w:firstColumn="0" w:lastColumn="0" w:oddVBand="0" w:evenVBand="0" w:oddHBand="1" w:evenHBand="0" w:firstRowFirstColumn="0" w:firstRowLastColumn="0" w:lastRowFirstColumn="0" w:lastRowLastColumn="0"/>
              <w:rPr>
                <w:rFonts w:cstheme="minorHAnsi"/>
              </w:rPr>
            </w:pPr>
            <w:r w:rsidRPr="000F1A34">
              <w:rPr>
                <w:rFonts w:cstheme="minorHAnsi"/>
              </w:rPr>
              <w:t>Not included</w:t>
            </w:r>
          </w:p>
        </w:tc>
      </w:tr>
      <w:tr w:rsidR="000200AA" w14:paraId="23810B68" w14:textId="77777777" w:rsidTr="00776F80">
        <w:tc>
          <w:tcPr>
            <w:cnfStyle w:val="001000000000" w:firstRow="0" w:lastRow="0" w:firstColumn="1" w:lastColumn="0" w:oddVBand="0" w:evenVBand="0" w:oddHBand="0" w:evenHBand="0" w:firstRowFirstColumn="0" w:firstRowLastColumn="0" w:lastRowFirstColumn="0" w:lastRowLastColumn="0"/>
            <w:tcW w:w="6091" w:type="dxa"/>
          </w:tcPr>
          <w:p w14:paraId="3F36A9E9" w14:textId="77777777" w:rsidR="000200AA" w:rsidRPr="000F1A34" w:rsidRDefault="000200AA" w:rsidP="00776F80">
            <w:pPr>
              <w:rPr>
                <w:rFonts w:cstheme="minorHAnsi"/>
                <w:b w:val="0"/>
                <w:bCs w:val="0"/>
              </w:rPr>
            </w:pPr>
            <w:r w:rsidRPr="000F1A34">
              <w:rPr>
                <w:rFonts w:cstheme="minorHAnsi"/>
                <w:b w:val="0"/>
                <w:bCs w:val="0"/>
              </w:rPr>
              <w:t>Transaction is wholly outside the reporting period</w:t>
            </w:r>
          </w:p>
        </w:tc>
        <w:tc>
          <w:tcPr>
            <w:tcW w:w="2693" w:type="dxa"/>
          </w:tcPr>
          <w:p w14:paraId="2F211721" w14:textId="77777777" w:rsidR="000200AA" w:rsidRPr="000F1A34" w:rsidRDefault="000200AA" w:rsidP="00776F80">
            <w:pPr>
              <w:cnfStyle w:val="000000000000" w:firstRow="0" w:lastRow="0" w:firstColumn="0" w:lastColumn="0" w:oddVBand="0" w:evenVBand="0" w:oddHBand="0" w:evenHBand="0" w:firstRowFirstColumn="0" w:firstRowLastColumn="0" w:lastRowFirstColumn="0" w:lastRowLastColumn="0"/>
              <w:rPr>
                <w:rFonts w:cstheme="minorHAnsi"/>
              </w:rPr>
            </w:pPr>
            <w:r w:rsidRPr="000F1A34">
              <w:rPr>
                <w:rFonts w:cstheme="minorHAnsi"/>
              </w:rPr>
              <w:t>Not included</w:t>
            </w:r>
          </w:p>
        </w:tc>
      </w:tr>
      <w:tr w:rsidR="000200AA" w14:paraId="27A9F388" w14:textId="77777777" w:rsidTr="00776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shd w:val="clear" w:color="auto" w:fill="auto"/>
          </w:tcPr>
          <w:p w14:paraId="289F5406" w14:textId="77777777" w:rsidR="000200AA" w:rsidRPr="000F1A34" w:rsidRDefault="000200AA" w:rsidP="00776F80">
            <w:pPr>
              <w:rPr>
                <w:rFonts w:cstheme="minorHAnsi"/>
                <w:b w:val="0"/>
                <w:bCs w:val="0"/>
              </w:rPr>
            </w:pPr>
            <w:r w:rsidRPr="000F1A34">
              <w:rPr>
                <w:rFonts w:cstheme="minorHAnsi"/>
                <w:b w:val="0"/>
                <w:bCs w:val="0"/>
              </w:rPr>
              <w:t>Foreign person becomes a permanent resident before reporting period</w:t>
            </w:r>
          </w:p>
        </w:tc>
        <w:tc>
          <w:tcPr>
            <w:tcW w:w="2693" w:type="dxa"/>
            <w:shd w:val="clear" w:color="auto" w:fill="auto"/>
          </w:tcPr>
          <w:p w14:paraId="03672959" w14:textId="77777777" w:rsidR="000200AA" w:rsidRPr="000F1A34" w:rsidRDefault="000200AA" w:rsidP="00776F80">
            <w:pPr>
              <w:cnfStyle w:val="000000100000" w:firstRow="0" w:lastRow="0" w:firstColumn="0" w:lastColumn="0" w:oddVBand="0" w:evenVBand="0" w:oddHBand="1" w:evenHBand="0" w:firstRowFirstColumn="0" w:firstRowLastColumn="0" w:lastRowFirstColumn="0" w:lastRowLastColumn="0"/>
              <w:rPr>
                <w:rFonts w:cstheme="minorHAnsi"/>
              </w:rPr>
            </w:pPr>
            <w:r w:rsidRPr="000F1A34">
              <w:rPr>
                <w:rFonts w:cstheme="minorHAnsi"/>
              </w:rPr>
              <w:t>Not included</w:t>
            </w:r>
          </w:p>
        </w:tc>
      </w:tr>
      <w:tr w:rsidR="000200AA" w14:paraId="37755A6B" w14:textId="77777777" w:rsidTr="00776F80">
        <w:tc>
          <w:tcPr>
            <w:cnfStyle w:val="001000000000" w:firstRow="0" w:lastRow="0" w:firstColumn="1" w:lastColumn="0" w:oddVBand="0" w:evenVBand="0" w:oddHBand="0" w:evenHBand="0" w:firstRowFirstColumn="0" w:firstRowLastColumn="0" w:lastRowFirstColumn="0" w:lastRowLastColumn="0"/>
            <w:tcW w:w="6091" w:type="dxa"/>
          </w:tcPr>
          <w:p w14:paraId="3DF064B9" w14:textId="77777777" w:rsidR="000200AA" w:rsidRPr="000F1A34" w:rsidRDefault="000200AA" w:rsidP="00776F80">
            <w:pPr>
              <w:rPr>
                <w:rFonts w:cstheme="minorHAnsi"/>
                <w:b w:val="0"/>
                <w:bCs w:val="0"/>
              </w:rPr>
            </w:pPr>
            <w:r w:rsidRPr="000F1A34">
              <w:rPr>
                <w:rFonts w:cstheme="minorHAnsi"/>
                <w:b w:val="0"/>
                <w:bCs w:val="0"/>
              </w:rPr>
              <w:t>Foreign person becomes a permanent resident within the reporting period</w:t>
            </w:r>
          </w:p>
        </w:tc>
        <w:tc>
          <w:tcPr>
            <w:tcW w:w="2693" w:type="dxa"/>
          </w:tcPr>
          <w:p w14:paraId="4A54EF83" w14:textId="77777777" w:rsidR="000200AA" w:rsidRPr="000F1A34" w:rsidRDefault="000200AA" w:rsidP="00776F80">
            <w:pPr>
              <w:cnfStyle w:val="000000000000" w:firstRow="0" w:lastRow="0" w:firstColumn="0" w:lastColumn="0" w:oddVBand="0" w:evenVBand="0" w:oddHBand="0" w:evenHBand="0" w:firstRowFirstColumn="0" w:firstRowLastColumn="0" w:lastRowFirstColumn="0" w:lastRowLastColumn="0"/>
              <w:rPr>
                <w:rFonts w:cstheme="minorHAnsi"/>
              </w:rPr>
            </w:pPr>
            <w:r w:rsidRPr="000F1A34">
              <w:rPr>
                <w:rFonts w:cstheme="minorHAnsi"/>
              </w:rPr>
              <w:t>Included</w:t>
            </w:r>
          </w:p>
        </w:tc>
      </w:tr>
    </w:tbl>
    <w:p w14:paraId="3C8ACA3D" w14:textId="77777777" w:rsidR="00DD26BA" w:rsidRDefault="00DD26BA">
      <w:pPr>
        <w:spacing w:before="0" w:line="240" w:lineRule="auto"/>
        <w:rPr>
          <w:rFonts w:eastAsia="Times New Roman"/>
        </w:rPr>
      </w:pPr>
      <w:r>
        <w:rPr>
          <w:rFonts w:eastAsia="Times New Roman"/>
        </w:rPr>
        <w:br w:type="page"/>
      </w:r>
    </w:p>
    <w:p w14:paraId="6D5131BF" w14:textId="69D5F676" w:rsidR="00C83C7C" w:rsidRDefault="00E01DE2" w:rsidP="00C83C7C">
      <w:pPr>
        <w:pStyle w:val="Heading1"/>
        <w:framePr w:w="0" w:wrap="auto" w:vAnchor="margin" w:yAlign="inline"/>
      </w:pPr>
      <w:bookmarkStart w:id="7" w:name="_Toc52428942"/>
      <w:r>
        <w:t>Insights</w:t>
      </w:r>
      <w:bookmarkEnd w:id="7"/>
    </w:p>
    <w:p w14:paraId="25BED553" w14:textId="296F7B4F" w:rsidR="000F1A34" w:rsidRDefault="00D13A43" w:rsidP="000200AA">
      <w:r>
        <w:rPr>
          <w:noProof/>
          <w:lang w:eastAsia="en-AU"/>
        </w:rPr>
        <w:drawing>
          <wp:inline distT="0" distB="0" distL="0" distR="0" wp14:anchorId="621FA6B5" wp14:editId="2416AE1D">
            <wp:extent cx="2836887" cy="5503985"/>
            <wp:effectExtent l="0" t="0" r="1905" b="1905"/>
            <wp:docPr id="22" name="Picture 22" descr="The image shows a summary of the key insights of purchase and sales transactions recorded in the Register of foreign ownership of residential land during the period 1 July 2018 to 20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mmary_1.PNG"/>
                    <pic:cNvPicPr/>
                  </pic:nvPicPr>
                  <pic:blipFill>
                    <a:blip r:embed="rId20"/>
                    <a:stretch>
                      <a:fillRect/>
                    </a:stretch>
                  </pic:blipFill>
                  <pic:spPr>
                    <a:xfrm>
                      <a:off x="0" y="0"/>
                      <a:ext cx="2836887" cy="5503985"/>
                    </a:xfrm>
                    <a:prstGeom prst="rect">
                      <a:avLst/>
                    </a:prstGeom>
                  </pic:spPr>
                </pic:pic>
              </a:graphicData>
            </a:graphic>
          </wp:inline>
        </w:drawing>
      </w:r>
      <w:r>
        <w:rPr>
          <w:noProof/>
          <w:lang w:eastAsia="en-AU"/>
        </w:rPr>
        <w:drawing>
          <wp:inline distT="0" distB="0" distL="0" distR="0" wp14:anchorId="2A70804C" wp14:editId="5792FFA2">
            <wp:extent cx="2912110" cy="5503898"/>
            <wp:effectExtent l="0" t="0" r="2540" b="1905"/>
            <wp:docPr id="23" name="Picture 23" descr="This image is a graphical overview of key findings not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mmary_2.PNG"/>
                    <pic:cNvPicPr/>
                  </pic:nvPicPr>
                  <pic:blipFill>
                    <a:blip r:embed="rId21"/>
                    <a:stretch>
                      <a:fillRect/>
                    </a:stretch>
                  </pic:blipFill>
                  <pic:spPr>
                    <a:xfrm>
                      <a:off x="0" y="0"/>
                      <a:ext cx="2912110" cy="5503898"/>
                    </a:xfrm>
                    <a:prstGeom prst="rect">
                      <a:avLst/>
                    </a:prstGeom>
                  </pic:spPr>
                </pic:pic>
              </a:graphicData>
            </a:graphic>
          </wp:inline>
        </w:drawing>
      </w:r>
    </w:p>
    <w:p w14:paraId="25E34D81" w14:textId="4345C7D1" w:rsidR="0041565B" w:rsidRPr="007F2B73" w:rsidRDefault="0041565B" w:rsidP="0041565B">
      <w:pPr>
        <w:spacing w:before="120" w:after="80" w:line="240" w:lineRule="auto"/>
        <w:rPr>
          <w:rFonts w:ascii="Times New Roman" w:eastAsia="Times New Roman" w:hAnsi="Times New Roman"/>
          <w:color w:val="auto"/>
          <w:szCs w:val="22"/>
          <w:lang w:eastAsia="en-AU"/>
        </w:rPr>
      </w:pPr>
      <w:bookmarkStart w:id="8" w:name="_Hlk51856464"/>
      <w:r>
        <w:t xml:space="preserve">A summary of the key insights of purchase and sale transactions recorded in the Register of foreign ownership of residential land during the period 1 July 2018 to 20 June 2019 </w:t>
      </w:r>
      <w:r>
        <w:rPr>
          <w:rFonts w:ascii="Arial" w:eastAsiaTheme="minorEastAsia" w:hAnsi="Arial" w:cs="Arial"/>
          <w:kern w:val="24"/>
          <w:szCs w:val="22"/>
          <w:lang w:eastAsia="en-AU"/>
        </w:rPr>
        <w:t xml:space="preserve">is </w:t>
      </w:r>
      <w:r>
        <w:t>detailed below.</w:t>
      </w:r>
    </w:p>
    <w:bookmarkEnd w:id="8"/>
    <w:p w14:paraId="45EE1545" w14:textId="77777777" w:rsidR="00E63A57" w:rsidRDefault="00E63A57" w:rsidP="00E63A57">
      <w:pPr>
        <w:pStyle w:val="Heading4"/>
      </w:pPr>
      <w:r>
        <w:t>Purchases</w:t>
      </w:r>
    </w:p>
    <w:p w14:paraId="7E744038" w14:textId="52583098" w:rsidR="0041565B" w:rsidRPr="002C5FBA" w:rsidRDefault="0041565B" w:rsidP="0041565B">
      <w:pPr>
        <w:pStyle w:val="Bulletedlist1"/>
        <w:rPr>
          <w:rFonts w:ascii="Times New Roman" w:eastAsia="Times New Roman" w:hAnsi="Times New Roman"/>
          <w:color w:val="auto"/>
          <w:lang w:eastAsia="en-AU"/>
        </w:rPr>
      </w:pPr>
      <w:r w:rsidRPr="002C5FBA">
        <w:rPr>
          <w:lang w:eastAsia="en-AU"/>
        </w:rPr>
        <w:t xml:space="preserve">The total number of residential real estate purchase transactions was </w:t>
      </w:r>
      <w:r>
        <w:rPr>
          <w:lang w:eastAsia="en-AU"/>
        </w:rPr>
        <w:t>9</w:t>
      </w:r>
      <w:r w:rsidR="00C10559">
        <w:rPr>
          <w:lang w:eastAsia="en-AU"/>
        </w:rPr>
        <w:t>,</w:t>
      </w:r>
      <w:r>
        <w:rPr>
          <w:lang w:eastAsia="en-AU"/>
        </w:rPr>
        <w:t>295</w:t>
      </w:r>
      <w:r w:rsidRPr="002C5FBA">
        <w:rPr>
          <w:lang w:eastAsia="en-AU"/>
        </w:rPr>
        <w:t xml:space="preserve"> with a value of </w:t>
      </w:r>
      <w:r w:rsidR="00EA18D1">
        <w:rPr>
          <w:lang w:eastAsia="en-AU"/>
        </w:rPr>
        <w:t>7.5 billion</w:t>
      </w:r>
      <w:r w:rsidR="00A75A4A">
        <w:rPr>
          <w:lang w:eastAsia="en-AU"/>
        </w:rPr>
        <w:t xml:space="preserve"> dollars</w:t>
      </w:r>
      <w:r w:rsidRPr="002C5FBA">
        <w:rPr>
          <w:lang w:eastAsia="en-AU"/>
        </w:rPr>
        <w:t>.</w:t>
      </w:r>
    </w:p>
    <w:p w14:paraId="69238A34" w14:textId="0C269359" w:rsidR="0041565B" w:rsidRPr="002C5FBA" w:rsidRDefault="0041565B" w:rsidP="0041565B">
      <w:pPr>
        <w:pStyle w:val="Bulletedlist1"/>
        <w:rPr>
          <w:rFonts w:ascii="Times New Roman" w:eastAsia="Times New Roman" w:hAnsi="Times New Roman"/>
          <w:lang w:eastAsia="en-AU"/>
        </w:rPr>
      </w:pPr>
      <w:r w:rsidRPr="002C5FBA">
        <w:rPr>
          <w:lang w:eastAsia="en-AU"/>
        </w:rPr>
        <w:t>Victoria, New South Wales and Queensland represented 92.</w:t>
      </w:r>
      <w:r>
        <w:rPr>
          <w:lang w:eastAsia="en-AU"/>
        </w:rPr>
        <w:t>2 per cent</w:t>
      </w:r>
      <w:r w:rsidRPr="002C5FBA">
        <w:rPr>
          <w:lang w:eastAsia="en-AU"/>
        </w:rPr>
        <w:t xml:space="preserve"> of all transactions </w:t>
      </w:r>
      <w:r w:rsidR="00EA18D1">
        <w:rPr>
          <w:lang w:eastAsia="en-AU"/>
        </w:rPr>
        <w:t>and</w:t>
      </w:r>
      <w:r w:rsidRPr="002C5FBA">
        <w:rPr>
          <w:lang w:eastAsia="en-AU"/>
        </w:rPr>
        <w:t xml:space="preserve"> 94.</w:t>
      </w:r>
      <w:r>
        <w:rPr>
          <w:lang w:eastAsia="en-AU"/>
        </w:rPr>
        <w:t>6 per cent</w:t>
      </w:r>
      <w:r w:rsidRPr="002C5FBA">
        <w:rPr>
          <w:lang w:eastAsia="en-AU"/>
        </w:rPr>
        <w:t xml:space="preserve"> of the total value of purchase transactions recorded on the Register for the report</w:t>
      </w:r>
      <w:r w:rsidR="00EA18D1">
        <w:rPr>
          <w:lang w:eastAsia="en-AU"/>
        </w:rPr>
        <w:t>ing</w:t>
      </w:r>
      <w:r w:rsidRPr="002C5FBA">
        <w:rPr>
          <w:lang w:eastAsia="en-AU"/>
        </w:rPr>
        <w:t xml:space="preserve"> period.</w:t>
      </w:r>
    </w:p>
    <w:p w14:paraId="1121C7D9" w14:textId="1D08D0FD" w:rsidR="00E63A57" w:rsidRDefault="00E63A57" w:rsidP="00E63A57">
      <w:pPr>
        <w:pStyle w:val="Bulletedlist1"/>
      </w:pPr>
      <w:r>
        <w:t>86.3</w:t>
      </w:r>
      <w:r w:rsidR="009E3F44">
        <w:t xml:space="preserve"> per</w:t>
      </w:r>
      <w:r w:rsidR="0041565B">
        <w:t xml:space="preserve"> </w:t>
      </w:r>
      <w:r w:rsidR="009E3F44">
        <w:t>cent</w:t>
      </w:r>
      <w:r>
        <w:t xml:space="preserve"> of purchase</w:t>
      </w:r>
      <w:r w:rsidR="002F417E">
        <w:t xml:space="preserve"> transaction</w:t>
      </w:r>
      <w:r w:rsidR="00EA18D1">
        <w:t>s</w:t>
      </w:r>
      <w:r w:rsidR="002F417E">
        <w:t xml:space="preserve"> on the </w:t>
      </w:r>
      <w:r w:rsidR="004F6433">
        <w:t>R</w:t>
      </w:r>
      <w:r w:rsidR="002F417E">
        <w:t xml:space="preserve">egister </w:t>
      </w:r>
      <w:r>
        <w:t>were new dwellings and vacant land</w:t>
      </w:r>
    </w:p>
    <w:p w14:paraId="1A846F50" w14:textId="059DF2C9" w:rsidR="007A6BA0" w:rsidRPr="00072537" w:rsidRDefault="00E63A57" w:rsidP="00084C12">
      <w:pPr>
        <w:pStyle w:val="Bulletedlist1"/>
        <w:rPr>
          <w:szCs w:val="22"/>
        </w:rPr>
      </w:pPr>
      <w:r w:rsidRPr="00072537">
        <w:rPr>
          <w:szCs w:val="22"/>
        </w:rPr>
        <w:t>79.8</w:t>
      </w:r>
      <w:r w:rsidR="009E3F44" w:rsidRPr="00072537">
        <w:rPr>
          <w:szCs w:val="22"/>
        </w:rPr>
        <w:t xml:space="preserve"> per</w:t>
      </w:r>
      <w:r w:rsidR="0041565B" w:rsidRPr="00072537">
        <w:rPr>
          <w:szCs w:val="22"/>
        </w:rPr>
        <w:t xml:space="preserve"> </w:t>
      </w:r>
      <w:r w:rsidR="009E3F44" w:rsidRPr="00072537">
        <w:rPr>
          <w:szCs w:val="22"/>
        </w:rPr>
        <w:t>cent</w:t>
      </w:r>
      <w:r w:rsidRPr="00072537">
        <w:rPr>
          <w:szCs w:val="22"/>
        </w:rPr>
        <w:t xml:space="preserve"> </w:t>
      </w:r>
      <w:r w:rsidR="007A6BA0" w:rsidRPr="00072537">
        <w:rPr>
          <w:rFonts w:ascii="Arial" w:eastAsia="Calibri" w:hAnsi="Arial" w:cs="Arial"/>
          <w:color w:val="000000"/>
          <w:kern w:val="24"/>
          <w:szCs w:val="22"/>
        </w:rPr>
        <w:t>of purchase transactions were for residential real estate with values under 1</w:t>
      </w:r>
      <w:r w:rsidR="00A75A4A">
        <w:rPr>
          <w:rFonts w:ascii="Arial" w:eastAsia="Calibri" w:hAnsi="Arial" w:cs="Arial"/>
          <w:color w:val="000000"/>
          <w:kern w:val="24"/>
          <w:szCs w:val="22"/>
        </w:rPr>
        <w:t xml:space="preserve"> </w:t>
      </w:r>
      <w:r w:rsidR="007A6BA0" w:rsidRPr="00072537">
        <w:rPr>
          <w:rFonts w:ascii="Arial" w:eastAsia="Calibri" w:hAnsi="Arial" w:cs="Arial"/>
          <w:color w:val="000000"/>
          <w:kern w:val="24"/>
          <w:szCs w:val="22"/>
        </w:rPr>
        <w:t>m</w:t>
      </w:r>
      <w:r w:rsidR="00A75A4A">
        <w:rPr>
          <w:rFonts w:ascii="Arial" w:eastAsia="Calibri" w:hAnsi="Arial" w:cs="Arial"/>
          <w:color w:val="000000"/>
          <w:kern w:val="24"/>
          <w:szCs w:val="22"/>
        </w:rPr>
        <w:t>illion dollars</w:t>
      </w:r>
      <w:r w:rsidRPr="00072537">
        <w:rPr>
          <w:szCs w:val="22"/>
        </w:rPr>
        <w:t>.</w:t>
      </w:r>
    </w:p>
    <w:p w14:paraId="0849BE3D" w14:textId="13F305E5" w:rsidR="007A6BA0" w:rsidRPr="007A6BA0" w:rsidRDefault="007A6BA0" w:rsidP="00084C12">
      <w:pPr>
        <w:pStyle w:val="Bulletedlist1"/>
        <w:rPr>
          <w:szCs w:val="22"/>
        </w:rPr>
      </w:pPr>
      <w:r w:rsidRPr="007A6BA0">
        <w:rPr>
          <w:rFonts w:eastAsiaTheme="minorEastAsia" w:cs="Arial"/>
          <w:kern w:val="24"/>
          <w:szCs w:val="22"/>
        </w:rPr>
        <w:t>During 2018-19 only 54.8</w:t>
      </w:r>
      <w:r>
        <w:rPr>
          <w:rFonts w:eastAsiaTheme="minorEastAsia" w:cs="Arial"/>
          <w:kern w:val="24"/>
          <w:szCs w:val="22"/>
        </w:rPr>
        <w:t xml:space="preserve"> per cent</w:t>
      </w:r>
      <w:r w:rsidRPr="007A6BA0">
        <w:rPr>
          <w:rFonts w:eastAsiaTheme="minorEastAsia" w:cs="Arial"/>
          <w:kern w:val="24"/>
          <w:szCs w:val="22"/>
        </w:rPr>
        <w:t xml:space="preserve"> of purchases occurred within 3 years of gaining foreign investment approval. This reflects the high proportion of new dwelling and vacant land property types, which can often involve long settlement periods</w:t>
      </w:r>
    </w:p>
    <w:p w14:paraId="20429079" w14:textId="66609F62" w:rsidR="007A6BA0" w:rsidRDefault="007A6BA0" w:rsidP="007A6BA0">
      <w:pPr>
        <w:pStyle w:val="Heading4"/>
      </w:pPr>
      <w:r>
        <w:t>Sales</w:t>
      </w:r>
    </w:p>
    <w:p w14:paraId="4F84A7A0" w14:textId="2C0FFEB4" w:rsidR="00E01DE2" w:rsidRPr="00E01DE2" w:rsidRDefault="00E01DE2" w:rsidP="00E01DE2">
      <w:r w:rsidRPr="00E63A57">
        <w:t>Sale transactions do not necessarily correlate to purchases recorded for the report period; The Insights show the total sale transactions during the report period (regardless of when a person initially acquired the property).</w:t>
      </w:r>
    </w:p>
    <w:p w14:paraId="138C6736" w14:textId="7F3BC48E" w:rsidR="00084C12" w:rsidRPr="00072537" w:rsidRDefault="00084C12" w:rsidP="00084C12">
      <w:pPr>
        <w:pStyle w:val="Bulletedlist1"/>
      </w:pPr>
      <w:r w:rsidRPr="00BE491D">
        <w:t>The total number of residential real estate sale transactions during the report</w:t>
      </w:r>
      <w:r w:rsidR="007A6BA0">
        <w:t>ing</w:t>
      </w:r>
      <w:r w:rsidRPr="00BE491D">
        <w:t xml:space="preserve"> period </w:t>
      </w:r>
      <w:r w:rsidRPr="00072537">
        <w:t xml:space="preserve">was 1,176 with a value of </w:t>
      </w:r>
      <w:r w:rsidR="007A6BA0" w:rsidRPr="00072537">
        <w:t>990 million</w:t>
      </w:r>
      <w:r w:rsidR="00A75A4A">
        <w:t xml:space="preserve"> dollars</w:t>
      </w:r>
      <w:r w:rsidRPr="00072537">
        <w:t>.</w:t>
      </w:r>
    </w:p>
    <w:p w14:paraId="745F8481" w14:textId="009DBA3B" w:rsidR="00E63A57" w:rsidRPr="00072537" w:rsidRDefault="007A6BA0" w:rsidP="00E63A57">
      <w:pPr>
        <w:pStyle w:val="Bulletedlist1"/>
      </w:pPr>
      <w:r w:rsidRPr="00072537">
        <w:t>Victoria, New South Wales and Queensland represented 99</w:t>
      </w:r>
      <w:r w:rsidR="004F6433">
        <w:t>.0</w:t>
      </w:r>
      <w:r w:rsidRPr="00072537">
        <w:t xml:space="preserve"> per cent of sale transactions and </w:t>
      </w:r>
      <w:r w:rsidR="00E63A57" w:rsidRPr="00072537">
        <w:t>99.1</w:t>
      </w:r>
      <w:r w:rsidR="009E3F44" w:rsidRPr="00072537">
        <w:t xml:space="preserve"> per</w:t>
      </w:r>
      <w:r w:rsidRPr="00072537">
        <w:t xml:space="preserve"> </w:t>
      </w:r>
      <w:r w:rsidR="009E3F44" w:rsidRPr="00072537">
        <w:t>cent</w:t>
      </w:r>
      <w:r w:rsidR="00E63A57" w:rsidRPr="00072537">
        <w:t xml:space="preserve"> of the total </w:t>
      </w:r>
      <w:r w:rsidRPr="00072537">
        <w:t xml:space="preserve">sale transactions </w:t>
      </w:r>
      <w:r w:rsidR="00E63A57" w:rsidRPr="00072537">
        <w:t>value.</w:t>
      </w:r>
    </w:p>
    <w:p w14:paraId="0F6B3836" w14:textId="592662A0" w:rsidR="00E63A57" w:rsidRPr="00072537" w:rsidRDefault="00E63A57" w:rsidP="007A6BA0">
      <w:pPr>
        <w:pStyle w:val="Bulletedlist1"/>
      </w:pPr>
      <w:r w:rsidRPr="00072537">
        <w:t>76</w:t>
      </w:r>
      <w:r w:rsidR="004F6433">
        <w:t>.0</w:t>
      </w:r>
      <w:r w:rsidR="009E3F44" w:rsidRPr="00072537">
        <w:t xml:space="preserve"> </w:t>
      </w:r>
      <w:r w:rsidR="007A6BA0" w:rsidRPr="00072537">
        <w:t>per cent of foreign held properties disposed of were new and established dwellings when purchased</w:t>
      </w:r>
      <w:r w:rsidRPr="00072537">
        <w:t>.</w:t>
      </w:r>
    </w:p>
    <w:p w14:paraId="637A7BB5" w14:textId="659A6949" w:rsidR="00E63A57" w:rsidRPr="00072537" w:rsidRDefault="00E63A57" w:rsidP="00E63A57">
      <w:pPr>
        <w:pStyle w:val="Bulletedlist1"/>
      </w:pPr>
      <w:r w:rsidRPr="00072537">
        <w:t>82</w:t>
      </w:r>
      <w:r w:rsidR="004F6433">
        <w:t>.8</w:t>
      </w:r>
      <w:r w:rsidR="009E3F44" w:rsidRPr="00072537">
        <w:t xml:space="preserve"> </w:t>
      </w:r>
      <w:r w:rsidR="007A6BA0" w:rsidRPr="00072537">
        <w:t>per cent of residential purchases were for residential real estate with values under 1</w:t>
      </w:r>
      <w:r w:rsidR="00A75A4A">
        <w:t xml:space="preserve"> </w:t>
      </w:r>
      <w:r w:rsidR="007A6BA0" w:rsidRPr="00072537">
        <w:t>m</w:t>
      </w:r>
      <w:r w:rsidR="00A75A4A">
        <w:t>illion dollars</w:t>
      </w:r>
      <w:r w:rsidRPr="00072537">
        <w:t>.</w:t>
      </w:r>
    </w:p>
    <w:p w14:paraId="34DA5F9D" w14:textId="11B18CFD" w:rsidR="000F1A34" w:rsidRDefault="000F1A34" w:rsidP="00E63A57">
      <w:r>
        <w:br w:type="page"/>
      </w:r>
    </w:p>
    <w:p w14:paraId="46D3A6C4" w14:textId="0CE73752" w:rsidR="000F1A34" w:rsidRPr="00E0135D" w:rsidRDefault="009E3F44" w:rsidP="00501B3D">
      <w:pPr>
        <w:pStyle w:val="Heading1"/>
        <w:framePr w:wrap="notBeside"/>
      </w:pPr>
      <w:bookmarkStart w:id="9" w:name="_Toc52428943"/>
      <w:r>
        <w:rPr>
          <w:rFonts w:eastAsia="Times New Roman"/>
        </w:rPr>
        <w:t xml:space="preserve">Purchase </w:t>
      </w:r>
      <w:r w:rsidR="00C90DFA">
        <w:rPr>
          <w:rFonts w:eastAsia="Times New Roman"/>
        </w:rPr>
        <w:t>T</w:t>
      </w:r>
      <w:r>
        <w:rPr>
          <w:rFonts w:eastAsia="Times New Roman"/>
        </w:rPr>
        <w:t>ransactions</w:t>
      </w:r>
      <w:bookmarkEnd w:id="9"/>
    </w:p>
    <w:p w14:paraId="2B6A61C2" w14:textId="2F51F8B9" w:rsidR="000F1A34" w:rsidRPr="00072537" w:rsidRDefault="000F1A34" w:rsidP="000F1A34">
      <w:r w:rsidRPr="00E0135D">
        <w:rPr>
          <w:rFonts w:eastAsia="Times New Roman"/>
        </w:rPr>
        <w:t>In 2018-19, the total number of residential real estate purchase transactions with a level of foreign ownership was 9,295 with a value of 7.5</w:t>
      </w:r>
      <w:r w:rsidR="00A75A4A">
        <w:rPr>
          <w:rFonts w:eastAsia="Times New Roman"/>
        </w:rPr>
        <w:t xml:space="preserve"> </w:t>
      </w:r>
      <w:r w:rsidRPr="00E0135D">
        <w:rPr>
          <w:rFonts w:eastAsia="Times New Roman"/>
        </w:rPr>
        <w:t>b</w:t>
      </w:r>
      <w:r w:rsidR="00A75A4A">
        <w:rPr>
          <w:rFonts w:eastAsia="Times New Roman"/>
        </w:rPr>
        <w:t>illion dollars</w:t>
      </w:r>
      <w:r w:rsidRPr="00E0135D">
        <w:rPr>
          <w:rFonts w:eastAsia="Times New Roman"/>
        </w:rPr>
        <w:t xml:space="preserve">. Overall there </w:t>
      </w:r>
      <w:r w:rsidRPr="00072537">
        <w:rPr>
          <w:rFonts w:eastAsia="Times New Roman"/>
        </w:rPr>
        <w:t>was an 11.4</w:t>
      </w:r>
      <w:r w:rsidR="009E3F44" w:rsidRPr="00072537">
        <w:rPr>
          <w:rFonts w:eastAsia="Times New Roman"/>
        </w:rPr>
        <w:t xml:space="preserve"> </w:t>
      </w:r>
      <w:r w:rsidR="00A75A4A">
        <w:rPr>
          <w:rFonts w:eastAsia="Times New Roman"/>
        </w:rPr>
        <w:t>per cent</w:t>
      </w:r>
      <w:r w:rsidRPr="00072537">
        <w:rPr>
          <w:rFonts w:eastAsia="Times New Roman"/>
        </w:rPr>
        <w:t xml:space="preserve"> reduction in the number of purchase transactions and 11.8</w:t>
      </w:r>
      <w:r w:rsidR="009E3F44" w:rsidRPr="00072537">
        <w:rPr>
          <w:rFonts w:eastAsia="Times New Roman"/>
        </w:rPr>
        <w:t xml:space="preserve"> </w:t>
      </w:r>
      <w:r w:rsidR="00A75A4A">
        <w:rPr>
          <w:rFonts w:eastAsia="Times New Roman"/>
        </w:rPr>
        <w:t>per cent</w:t>
      </w:r>
      <w:r w:rsidRPr="00072537">
        <w:rPr>
          <w:rFonts w:eastAsia="Times New Roman"/>
        </w:rPr>
        <w:t xml:space="preserve"> reduction in the value of transactions when compared to 2017-18. </w:t>
      </w:r>
    </w:p>
    <w:p w14:paraId="2B3524F9" w14:textId="0BA98194" w:rsidR="000F1A34" w:rsidRPr="00072537" w:rsidRDefault="000F1A34" w:rsidP="000F1A34">
      <w:r w:rsidRPr="00072537">
        <w:rPr>
          <w:rFonts w:eastAsia="Times New Roman"/>
        </w:rPr>
        <w:t>Victoria, New South Wales and Queensland represented 92.2</w:t>
      </w:r>
      <w:r w:rsidR="009E3F44" w:rsidRPr="00072537">
        <w:rPr>
          <w:rFonts w:eastAsia="Times New Roman"/>
        </w:rPr>
        <w:t xml:space="preserve"> </w:t>
      </w:r>
      <w:r w:rsidR="00A75A4A">
        <w:rPr>
          <w:rFonts w:eastAsia="Times New Roman"/>
        </w:rPr>
        <w:t>per cent</w:t>
      </w:r>
      <w:r w:rsidRPr="00072537">
        <w:rPr>
          <w:rFonts w:eastAsia="Times New Roman"/>
        </w:rPr>
        <w:t xml:space="preserve"> of all purchase </w:t>
      </w:r>
      <w:r w:rsidRPr="00072537">
        <w:t>transactions and</w:t>
      </w:r>
      <w:r w:rsidRPr="00072537">
        <w:rPr>
          <w:rFonts w:eastAsia="Times New Roman"/>
        </w:rPr>
        <w:t xml:space="preserve"> make up 94.6</w:t>
      </w:r>
      <w:r w:rsidR="009E3F44" w:rsidRPr="00072537">
        <w:rPr>
          <w:rFonts w:eastAsia="Times New Roman"/>
        </w:rPr>
        <w:t xml:space="preserve"> </w:t>
      </w:r>
      <w:r w:rsidR="00A75A4A">
        <w:rPr>
          <w:rFonts w:eastAsia="Times New Roman"/>
        </w:rPr>
        <w:t>per cent</w:t>
      </w:r>
      <w:r w:rsidRPr="00072537">
        <w:rPr>
          <w:rFonts w:eastAsia="Times New Roman"/>
        </w:rPr>
        <w:t xml:space="preserve"> of the total value of purchase transactions recorded on the Register for the 2018-19 period. Similarly, in 2017-18, Victoria, New South Wales and Queensland represented 92.3</w:t>
      </w:r>
      <w:r w:rsidR="009E3F44" w:rsidRPr="00072537">
        <w:rPr>
          <w:rFonts w:eastAsia="Times New Roman"/>
        </w:rPr>
        <w:t xml:space="preserve"> </w:t>
      </w:r>
      <w:r w:rsidR="00A75A4A">
        <w:rPr>
          <w:rFonts w:eastAsia="Times New Roman"/>
        </w:rPr>
        <w:t>per cent</w:t>
      </w:r>
      <w:r w:rsidRPr="00072537">
        <w:rPr>
          <w:rFonts w:eastAsia="Times New Roman"/>
        </w:rPr>
        <w:t xml:space="preserve"> of all purchase transactions, making up 94.5</w:t>
      </w:r>
      <w:r w:rsidR="009E3F44" w:rsidRPr="00072537">
        <w:rPr>
          <w:rFonts w:eastAsia="Times New Roman"/>
        </w:rPr>
        <w:t xml:space="preserve"> </w:t>
      </w:r>
      <w:r w:rsidR="00A75A4A">
        <w:rPr>
          <w:rFonts w:eastAsia="Times New Roman"/>
        </w:rPr>
        <w:t>per cent</w:t>
      </w:r>
      <w:r w:rsidRPr="00072537">
        <w:rPr>
          <w:rFonts w:eastAsia="Times New Roman"/>
        </w:rPr>
        <w:t xml:space="preserve"> of the total value.</w:t>
      </w:r>
    </w:p>
    <w:p w14:paraId="30D8219A" w14:textId="2D29DD2F" w:rsidR="000F1A34" w:rsidRPr="00E0135D" w:rsidRDefault="000F1A34" w:rsidP="000F1A34">
      <w:r w:rsidRPr="00E0135D">
        <w:rPr>
          <w:rFonts w:eastAsia="Times New Roman"/>
        </w:rPr>
        <w:t>New dwellings represented 68.9</w:t>
      </w:r>
      <w:r w:rsidR="009E3F44">
        <w:rPr>
          <w:rFonts w:eastAsia="Times New Roman"/>
        </w:rPr>
        <w:t xml:space="preserve"> </w:t>
      </w:r>
      <w:r w:rsidR="00A75A4A">
        <w:rPr>
          <w:rFonts w:eastAsia="Times New Roman"/>
        </w:rPr>
        <w:t>per cent</w:t>
      </w:r>
      <w:r w:rsidRPr="00E0135D">
        <w:rPr>
          <w:rFonts w:eastAsia="Times New Roman"/>
        </w:rPr>
        <w:t xml:space="preserve"> of purchase transactions, followed by 17.4</w:t>
      </w:r>
      <w:r w:rsidR="009E3F44">
        <w:rPr>
          <w:rFonts w:eastAsia="Times New Roman"/>
        </w:rPr>
        <w:t xml:space="preserve"> </w:t>
      </w:r>
      <w:r w:rsidR="00A75A4A">
        <w:rPr>
          <w:rFonts w:eastAsia="Times New Roman"/>
        </w:rPr>
        <w:t>per cent</w:t>
      </w:r>
      <w:r w:rsidRPr="00E0135D">
        <w:rPr>
          <w:rFonts w:eastAsia="Times New Roman"/>
        </w:rPr>
        <w:t xml:space="preserve"> for vacant land and 13.7</w:t>
      </w:r>
      <w:r w:rsidR="009E3F44">
        <w:rPr>
          <w:rFonts w:eastAsia="Times New Roman"/>
        </w:rPr>
        <w:t xml:space="preserve"> </w:t>
      </w:r>
      <w:r w:rsidR="00A75A4A">
        <w:rPr>
          <w:rFonts w:eastAsia="Times New Roman"/>
        </w:rPr>
        <w:t>per cent</w:t>
      </w:r>
      <w:r w:rsidRPr="00E0135D">
        <w:rPr>
          <w:rFonts w:eastAsia="Times New Roman"/>
        </w:rPr>
        <w:t xml:space="preserve"> for established dwellings in 2018-19. Compared to 2017-18, new dwellings represented 64.9</w:t>
      </w:r>
      <w:r w:rsidR="009E3F44">
        <w:rPr>
          <w:rFonts w:eastAsia="Times New Roman"/>
        </w:rPr>
        <w:t xml:space="preserve"> </w:t>
      </w:r>
      <w:r w:rsidR="00A75A4A">
        <w:rPr>
          <w:rFonts w:eastAsia="Times New Roman"/>
        </w:rPr>
        <w:t>per cent</w:t>
      </w:r>
      <w:r w:rsidRPr="00E0135D">
        <w:rPr>
          <w:rFonts w:eastAsia="Times New Roman"/>
        </w:rPr>
        <w:t xml:space="preserve"> of purchase transactions, followed by 19.9</w:t>
      </w:r>
      <w:r w:rsidR="009E3F44">
        <w:rPr>
          <w:rFonts w:eastAsia="Times New Roman"/>
        </w:rPr>
        <w:t xml:space="preserve"> </w:t>
      </w:r>
      <w:r w:rsidR="00A75A4A">
        <w:rPr>
          <w:rFonts w:eastAsia="Times New Roman"/>
        </w:rPr>
        <w:t>per cent</w:t>
      </w:r>
      <w:r w:rsidRPr="00E0135D">
        <w:rPr>
          <w:rFonts w:eastAsia="Times New Roman"/>
        </w:rPr>
        <w:t xml:space="preserve"> for vacant land and 15.2</w:t>
      </w:r>
      <w:r w:rsidR="009E3F44">
        <w:rPr>
          <w:rFonts w:eastAsia="Times New Roman"/>
        </w:rPr>
        <w:t xml:space="preserve"> </w:t>
      </w:r>
      <w:r w:rsidR="00A75A4A">
        <w:rPr>
          <w:rFonts w:eastAsia="Times New Roman"/>
        </w:rPr>
        <w:t>per cent</w:t>
      </w:r>
      <w:r w:rsidRPr="00E0135D">
        <w:rPr>
          <w:rFonts w:eastAsia="Times New Roman"/>
        </w:rPr>
        <w:t xml:space="preserve"> for established dwellings.</w:t>
      </w:r>
    </w:p>
    <w:p w14:paraId="6E8DCCCF" w14:textId="29B4B6D5" w:rsidR="000F1A34" w:rsidRPr="00E0135D" w:rsidRDefault="000F1A34" w:rsidP="000F1A34">
      <w:r w:rsidRPr="00E0135D">
        <w:rPr>
          <w:rFonts w:eastAsia="Times New Roman"/>
        </w:rPr>
        <w:t xml:space="preserve">The states with the greatest number of purchase transactions in both 2017-18 </w:t>
      </w:r>
      <w:r w:rsidRPr="00E0135D">
        <w:t>and 2018</w:t>
      </w:r>
      <w:r w:rsidRPr="00E0135D">
        <w:rPr>
          <w:rFonts w:eastAsia="Times New Roman"/>
        </w:rPr>
        <w:t>-19 by property type are: New South Wales - New dwellings, Victoria - Vacant land and Established dwellings.</w:t>
      </w:r>
    </w:p>
    <w:p w14:paraId="680F74A1" w14:textId="1601DCE1" w:rsidR="00C429CA" w:rsidRPr="00C429CA" w:rsidRDefault="000F1A34" w:rsidP="00C429CA">
      <w:pPr>
        <w:spacing w:before="120"/>
      </w:pPr>
      <w:r w:rsidRPr="00E0135D">
        <w:rPr>
          <w:rFonts w:eastAsia="Times New Roman"/>
        </w:rPr>
        <w:t>Residential properties with values under 1</w:t>
      </w:r>
      <w:r w:rsidR="00A75A4A">
        <w:rPr>
          <w:rFonts w:eastAsia="Times New Roman"/>
        </w:rPr>
        <w:t xml:space="preserve"> </w:t>
      </w:r>
      <w:r w:rsidRPr="00E0135D">
        <w:rPr>
          <w:rFonts w:eastAsia="Times New Roman"/>
        </w:rPr>
        <w:t>m</w:t>
      </w:r>
      <w:r w:rsidR="00A75A4A">
        <w:rPr>
          <w:rFonts w:eastAsia="Times New Roman"/>
        </w:rPr>
        <w:t>illion dollars</w:t>
      </w:r>
      <w:r w:rsidRPr="00E0135D">
        <w:rPr>
          <w:rFonts w:eastAsia="Times New Roman"/>
        </w:rPr>
        <w:t xml:space="preserve"> formed </w:t>
      </w:r>
      <w:r w:rsidR="009E3F44" w:rsidRPr="00E0135D">
        <w:rPr>
          <w:rFonts w:eastAsia="Times New Roman"/>
        </w:rPr>
        <w:t>most</w:t>
      </w:r>
      <w:r w:rsidRPr="00E0135D">
        <w:rPr>
          <w:rFonts w:eastAsia="Times New Roman"/>
        </w:rPr>
        <w:t xml:space="preserve"> residential property purchase transactions, accounting for 79.8</w:t>
      </w:r>
      <w:r w:rsidR="009E3F44">
        <w:rPr>
          <w:rFonts w:eastAsia="Times New Roman"/>
        </w:rPr>
        <w:t xml:space="preserve"> </w:t>
      </w:r>
      <w:r w:rsidR="00A75A4A">
        <w:rPr>
          <w:rFonts w:eastAsia="Times New Roman"/>
        </w:rPr>
        <w:t>per cent</w:t>
      </w:r>
      <w:r w:rsidRPr="00E0135D">
        <w:rPr>
          <w:rFonts w:eastAsia="Times New Roman"/>
        </w:rPr>
        <w:t xml:space="preserve"> of property transactions in 2018-19. This compares to 81.5</w:t>
      </w:r>
      <w:r w:rsidR="009E3F44">
        <w:rPr>
          <w:rFonts w:eastAsia="Times New Roman"/>
        </w:rPr>
        <w:t xml:space="preserve"> </w:t>
      </w:r>
      <w:r w:rsidR="00A75A4A">
        <w:rPr>
          <w:rFonts w:eastAsia="Times New Roman"/>
        </w:rPr>
        <w:t>per cent</w:t>
      </w:r>
      <w:r w:rsidRPr="00E0135D">
        <w:rPr>
          <w:rFonts w:eastAsia="Times New Roman"/>
        </w:rPr>
        <w:t xml:space="preserve"> in 2017-18. </w:t>
      </w:r>
    </w:p>
    <w:p w14:paraId="3489D593" w14:textId="2FCA76A2" w:rsidR="000F1A34" w:rsidRDefault="000F1A34" w:rsidP="00C429CA">
      <w:pPr>
        <w:rPr>
          <w:rFonts w:eastAsia="Times New Roman"/>
        </w:rPr>
      </w:pPr>
      <w:r w:rsidRPr="00E0135D">
        <w:rPr>
          <w:rFonts w:eastAsia="Times New Roman"/>
        </w:rPr>
        <w:t>Of the 9,295 purchase transactions in 2018-19, 146 registrants became a permanent resident or gained Australian citizenship during the year and are included in these statistics.</w:t>
      </w:r>
    </w:p>
    <w:p w14:paraId="03AF3B85" w14:textId="3B3D6569" w:rsidR="00CB6E03" w:rsidRDefault="00CB6E03" w:rsidP="00CB6E03">
      <w:pPr>
        <w:spacing w:before="120" w:after="120" w:line="240" w:lineRule="auto"/>
        <w:rPr>
          <w:rFonts w:ascii="Arial" w:eastAsia="Calibri" w:hAnsi="Arial" w:cs="Arial"/>
          <w:kern w:val="24"/>
          <w:szCs w:val="22"/>
          <w:lang w:eastAsia="en-AU"/>
        </w:rPr>
      </w:pPr>
      <w:r>
        <w:rPr>
          <w:rFonts w:ascii="Arial" w:eastAsia="Calibri" w:hAnsi="Arial" w:cs="Arial"/>
          <w:kern w:val="24"/>
          <w:szCs w:val="22"/>
          <w:lang w:eastAsia="en-AU"/>
        </w:rPr>
        <w:t>New dwellings represented 70.2 per cent</w:t>
      </w:r>
      <w:r w:rsidRPr="004C38D4">
        <w:rPr>
          <w:rFonts w:ascii="Arial" w:eastAsia="Calibri" w:hAnsi="Arial" w:cs="Arial"/>
          <w:kern w:val="24"/>
          <w:szCs w:val="22"/>
          <w:lang w:eastAsia="en-AU"/>
        </w:rPr>
        <w:t xml:space="preserve"> of </w:t>
      </w:r>
      <w:r>
        <w:rPr>
          <w:rFonts w:ascii="Arial" w:eastAsia="Calibri" w:hAnsi="Arial" w:cs="Arial"/>
          <w:kern w:val="24"/>
          <w:szCs w:val="22"/>
          <w:lang w:eastAsia="en-AU"/>
        </w:rPr>
        <w:t>the v</w:t>
      </w:r>
      <w:r w:rsidRPr="004C38D4">
        <w:rPr>
          <w:rFonts w:ascii="Arial" w:eastAsia="Calibri" w:hAnsi="Arial" w:cs="Arial"/>
          <w:kern w:val="24"/>
          <w:szCs w:val="22"/>
          <w:lang w:eastAsia="en-AU"/>
        </w:rPr>
        <w:t>alue</w:t>
      </w:r>
      <w:r>
        <w:rPr>
          <w:rFonts w:ascii="Arial" w:eastAsia="Calibri" w:hAnsi="Arial" w:cs="Arial"/>
          <w:kern w:val="24"/>
          <w:szCs w:val="22"/>
          <w:lang w:eastAsia="en-AU"/>
        </w:rPr>
        <w:t xml:space="preserve"> of all purchase transactions, followed by established dwelling with 21</w:t>
      </w:r>
      <w:r w:rsidR="000F0AD4">
        <w:rPr>
          <w:rFonts w:ascii="Arial" w:eastAsia="Calibri" w:hAnsi="Arial" w:cs="Arial"/>
          <w:kern w:val="24"/>
          <w:szCs w:val="22"/>
          <w:lang w:eastAsia="en-AU"/>
        </w:rPr>
        <w:t>.</w:t>
      </w:r>
      <w:r>
        <w:rPr>
          <w:rFonts w:ascii="Arial" w:eastAsia="Calibri" w:hAnsi="Arial" w:cs="Arial"/>
          <w:kern w:val="24"/>
          <w:szCs w:val="22"/>
          <w:lang w:eastAsia="en-AU"/>
        </w:rPr>
        <w:t xml:space="preserve">5 per cent and vacant land with 8.3 per cent in 2018-19. </w:t>
      </w:r>
    </w:p>
    <w:p w14:paraId="748B0EC4" w14:textId="3E476596" w:rsidR="00CB6E03" w:rsidRDefault="00CB6E03" w:rsidP="00CB6E03">
      <w:pPr>
        <w:rPr>
          <w:rFonts w:ascii="Arial" w:eastAsia="Times New Roman" w:hAnsi="Arial" w:cs="Arial"/>
          <w:color w:val="auto"/>
          <w:szCs w:val="22"/>
          <w:lang w:eastAsia="en-AU"/>
        </w:rPr>
      </w:pPr>
      <w:r w:rsidRPr="004C38D4">
        <w:rPr>
          <w:rFonts w:ascii="Arial" w:eastAsia="Times New Roman" w:hAnsi="Arial" w:cs="Arial"/>
          <w:color w:val="auto"/>
          <w:szCs w:val="22"/>
          <w:lang w:eastAsia="en-AU"/>
        </w:rPr>
        <w:t xml:space="preserve">There </w:t>
      </w:r>
      <w:r>
        <w:rPr>
          <w:rFonts w:ascii="Arial" w:eastAsia="Times New Roman" w:hAnsi="Arial" w:cs="Arial"/>
          <w:color w:val="auto"/>
          <w:szCs w:val="22"/>
          <w:lang w:eastAsia="en-AU"/>
        </w:rPr>
        <w:t>were</w:t>
      </w:r>
      <w:r w:rsidRPr="004C38D4">
        <w:rPr>
          <w:rFonts w:ascii="Arial" w:eastAsia="Times New Roman" w:hAnsi="Arial" w:cs="Arial"/>
          <w:color w:val="auto"/>
          <w:szCs w:val="22"/>
          <w:lang w:eastAsia="en-AU"/>
        </w:rPr>
        <w:t xml:space="preserve"> </w:t>
      </w:r>
      <w:r>
        <w:rPr>
          <w:rFonts w:ascii="Arial" w:eastAsia="Times New Roman" w:hAnsi="Arial" w:cs="Arial"/>
          <w:color w:val="auto"/>
          <w:szCs w:val="22"/>
          <w:lang w:eastAsia="en-AU"/>
        </w:rPr>
        <w:t>1,874</w:t>
      </w:r>
      <w:r w:rsidRPr="004C38D4">
        <w:rPr>
          <w:rFonts w:ascii="Arial" w:eastAsia="Times New Roman" w:hAnsi="Arial" w:cs="Arial"/>
          <w:color w:val="auto"/>
          <w:szCs w:val="22"/>
          <w:lang w:eastAsia="en-AU"/>
        </w:rPr>
        <w:t xml:space="preserve"> purchase transactions for properties value</w:t>
      </w:r>
      <w:r>
        <w:rPr>
          <w:rFonts w:ascii="Arial" w:eastAsia="Times New Roman" w:hAnsi="Arial" w:cs="Arial"/>
          <w:color w:val="auto"/>
          <w:szCs w:val="22"/>
          <w:lang w:eastAsia="en-AU"/>
        </w:rPr>
        <w:t>d</w:t>
      </w:r>
      <w:r w:rsidRPr="004C38D4">
        <w:rPr>
          <w:rFonts w:ascii="Arial" w:eastAsia="Times New Roman" w:hAnsi="Arial" w:cs="Arial"/>
          <w:color w:val="auto"/>
          <w:szCs w:val="22"/>
          <w:lang w:eastAsia="en-AU"/>
        </w:rPr>
        <w:t xml:space="preserve"> greater than one million dollars</w:t>
      </w:r>
      <w:r>
        <w:rPr>
          <w:rFonts w:ascii="Arial" w:eastAsia="Times New Roman" w:hAnsi="Arial" w:cs="Arial"/>
          <w:color w:val="auto"/>
          <w:szCs w:val="22"/>
          <w:lang w:eastAsia="en-AU"/>
        </w:rPr>
        <w:t xml:space="preserve"> in 2018-19.</w:t>
      </w:r>
    </w:p>
    <w:p w14:paraId="0536001E" w14:textId="77777777" w:rsidR="00CB6E03" w:rsidRDefault="00CB6E03" w:rsidP="00C429CA">
      <w:pPr>
        <w:rPr>
          <w:rFonts w:eastAsia="Times New Roman"/>
        </w:rPr>
      </w:pPr>
    </w:p>
    <w:p w14:paraId="7BB3904F" w14:textId="7470F0D3" w:rsidR="002A6816" w:rsidRDefault="002A6816" w:rsidP="00FE2F1E">
      <w:pPr>
        <w:pStyle w:val="Heading2"/>
      </w:pPr>
      <w:bookmarkStart w:id="10" w:name="_Hlk52180351"/>
      <w:bookmarkStart w:id="11" w:name="_Toc52428944"/>
      <w:r w:rsidRPr="00C53700">
        <w:t xml:space="preserve">Breakdown </w:t>
      </w:r>
      <w:r>
        <w:t>of purchase</w:t>
      </w:r>
      <w:r w:rsidR="000F7B22">
        <w:t xml:space="preserve"> transactions</w:t>
      </w:r>
      <w:r>
        <w:t xml:space="preserve"> by state or territory</w:t>
      </w:r>
      <w:bookmarkEnd w:id="10"/>
      <w:bookmarkEnd w:id="11"/>
    </w:p>
    <w:p w14:paraId="2BD3C172" w14:textId="2232D8EA" w:rsidR="00666812" w:rsidRPr="00666812" w:rsidRDefault="00666812" w:rsidP="00666812">
      <w:r>
        <w:t>The breakdown of purchase transactions by state or territory in the reporting period is detailed below</w:t>
      </w:r>
      <w:r w:rsidR="00BC409D">
        <w:t>.</w:t>
      </w:r>
    </w:p>
    <w:p w14:paraId="06902849" w14:textId="29E899C4" w:rsidR="00FE2F1E" w:rsidRDefault="00FE2F1E" w:rsidP="00FE2F1E">
      <w:pPr>
        <w:pStyle w:val="Bulletedlist1"/>
      </w:pPr>
      <w:r>
        <w:t xml:space="preserve">Victoria </w:t>
      </w:r>
      <w:r w:rsidR="007A6BA0">
        <w:t xml:space="preserve">had 3,768 transactions </w:t>
      </w:r>
      <w:r w:rsidR="00C429CA">
        <w:t>with</w:t>
      </w:r>
      <w:r w:rsidR="007A6BA0">
        <w:t xml:space="preserve"> 661 valued at more than 1 million dollars</w:t>
      </w:r>
      <w:r w:rsidR="00C429CA">
        <w:t xml:space="preserve"> and </w:t>
      </w:r>
      <w:r>
        <w:t>was the top state for established dwellings and vacant land.</w:t>
      </w:r>
    </w:p>
    <w:p w14:paraId="63662A32" w14:textId="1865439F" w:rsidR="00FE2F1E" w:rsidRDefault="00FE2F1E" w:rsidP="00FE2F1E">
      <w:pPr>
        <w:pStyle w:val="Bulletedlist1"/>
      </w:pPr>
      <w:r>
        <w:t xml:space="preserve">New South Wales </w:t>
      </w:r>
      <w:r w:rsidR="00C429CA">
        <w:t xml:space="preserve">had 3,151 transactions with 1,034 valued at more than 1 million dollars and </w:t>
      </w:r>
      <w:r>
        <w:t>was the top state for new dwellings</w:t>
      </w:r>
      <w:r w:rsidR="004F6433">
        <w:t>.</w:t>
      </w:r>
      <w:r>
        <w:t xml:space="preserve"> </w:t>
      </w:r>
    </w:p>
    <w:p w14:paraId="616DB5E8" w14:textId="77777777" w:rsidR="00FE2F1E" w:rsidRDefault="00FE2F1E" w:rsidP="00FE2F1E">
      <w:pPr>
        <w:pStyle w:val="Bulletedlist1"/>
      </w:pPr>
      <w:r>
        <w:t>Queensland had 1,648 transactions with 128 valued at more than 1 million dollars.</w:t>
      </w:r>
    </w:p>
    <w:p w14:paraId="48E87BE4" w14:textId="77777777" w:rsidR="00FE2F1E" w:rsidRDefault="00FE2F1E" w:rsidP="00FE2F1E">
      <w:pPr>
        <w:pStyle w:val="Bulletedlist1"/>
      </w:pPr>
      <w:r>
        <w:t>Western Australia had 344 transactions with 32 valued at more than 1 million dollars.</w:t>
      </w:r>
    </w:p>
    <w:p w14:paraId="19E5C846" w14:textId="77777777" w:rsidR="00FE2F1E" w:rsidRDefault="00FE2F1E" w:rsidP="00FE2F1E">
      <w:pPr>
        <w:pStyle w:val="Bulletedlist1"/>
      </w:pPr>
      <w:r>
        <w:t>South Australia had 201 transactions with 15 valued at more than 1 million dollars.</w:t>
      </w:r>
    </w:p>
    <w:p w14:paraId="1F40F53B" w14:textId="437BBBC0" w:rsidR="00FE2F1E" w:rsidRDefault="00FE2F1E" w:rsidP="00FE2F1E">
      <w:pPr>
        <w:pStyle w:val="Bulletedlist1"/>
      </w:pPr>
      <w:r>
        <w:t>Tasmania had 107 transactions</w:t>
      </w:r>
      <w:r w:rsidR="00C429CA">
        <w:t xml:space="preserve"> and less than 5 transactions valued at greater than 1 million dollars</w:t>
      </w:r>
      <w:r>
        <w:t>.</w:t>
      </w:r>
    </w:p>
    <w:p w14:paraId="00A98D30" w14:textId="77777777" w:rsidR="00C429CA" w:rsidRDefault="00FE2F1E" w:rsidP="00C429CA">
      <w:pPr>
        <w:pStyle w:val="Bulletedlist1"/>
      </w:pPr>
      <w:r>
        <w:t>The Australian Capital had 67 transaction</w:t>
      </w:r>
      <w:r w:rsidR="00C429CA">
        <w:t>s</w:t>
      </w:r>
      <w:r>
        <w:t xml:space="preserve"> </w:t>
      </w:r>
      <w:r w:rsidR="00C429CA">
        <w:t>and less than 5 transactions valued at greater than 1 million dollars.</w:t>
      </w:r>
    </w:p>
    <w:p w14:paraId="1A0C9D12" w14:textId="020C0282" w:rsidR="00FE2F1E" w:rsidRDefault="00C429CA" w:rsidP="00C429CA">
      <w:pPr>
        <w:pStyle w:val="Bulletedlist1"/>
      </w:pPr>
      <w:r>
        <w:t>The</w:t>
      </w:r>
      <w:r w:rsidR="00FE2F1E">
        <w:t xml:space="preserve"> Northern Territory had 9</w:t>
      </w:r>
      <w:r>
        <w:t xml:space="preserve"> transactions and zero transactions valued at greater than 1 million dollars.</w:t>
      </w:r>
    </w:p>
    <w:p w14:paraId="70F27DB3" w14:textId="7C55EFF9" w:rsidR="00FE2F1E" w:rsidRPr="005B20C2" w:rsidRDefault="00FE2F1E" w:rsidP="00FE2F1E">
      <w:pPr>
        <w:pStyle w:val="Bulletedlist1"/>
      </w:pPr>
      <w:r w:rsidRPr="005B20C2">
        <w:t>Of the purchase transactions, 79.8</w:t>
      </w:r>
      <w:r w:rsidR="00A75A4A">
        <w:t xml:space="preserve"> per cent</w:t>
      </w:r>
      <w:r w:rsidRPr="005B20C2">
        <w:t xml:space="preserve"> were for properties with values under 1</w:t>
      </w:r>
      <w:r w:rsidR="000F0AD4">
        <w:t xml:space="preserve"> </w:t>
      </w:r>
      <w:r w:rsidRPr="005B20C2">
        <w:t>m</w:t>
      </w:r>
      <w:r w:rsidR="000F0AD4">
        <w:t>illion dollars</w:t>
      </w:r>
      <w:r w:rsidRPr="005B20C2">
        <w:t>.</w:t>
      </w:r>
    </w:p>
    <w:p w14:paraId="009F9E7F" w14:textId="77777777" w:rsidR="00FE2F1E" w:rsidRPr="00FE2F1E" w:rsidRDefault="00FE2F1E" w:rsidP="00FE2F1E"/>
    <w:p w14:paraId="5846A687" w14:textId="2719FA98" w:rsidR="000200AA" w:rsidRPr="000200AA" w:rsidRDefault="000A4B8D" w:rsidP="00FE2F1E">
      <w:pPr>
        <w:jc w:val="center"/>
      </w:pPr>
      <w:r>
        <w:rPr>
          <w:noProof/>
          <w:lang w:eastAsia="en-AU"/>
        </w:rPr>
        <w:drawing>
          <wp:inline distT="0" distB="0" distL="0" distR="0" wp14:anchorId="2AAF5B62" wp14:editId="7E734945">
            <wp:extent cx="4518831" cy="3403321"/>
            <wp:effectExtent l="19050" t="19050" r="15240" b="26035"/>
            <wp:docPr id="1143" name="Picture 1143" descr="The image is a map of Australia showing the breakdown of the count of purchase transactions by state and count of transaction valued at greater than $1 million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Purchases_1.PNG"/>
                    <pic:cNvPicPr/>
                  </pic:nvPicPr>
                  <pic:blipFill>
                    <a:blip r:embed="rId22"/>
                    <a:stretch>
                      <a:fillRect/>
                    </a:stretch>
                  </pic:blipFill>
                  <pic:spPr>
                    <a:xfrm>
                      <a:off x="0" y="0"/>
                      <a:ext cx="4594527" cy="3460331"/>
                    </a:xfrm>
                    <a:prstGeom prst="rect">
                      <a:avLst/>
                    </a:prstGeom>
                    <a:solidFill>
                      <a:schemeClr val="tx1"/>
                    </a:solidFill>
                    <a:ln>
                      <a:solidFill>
                        <a:schemeClr val="accent1"/>
                      </a:solidFill>
                    </a:ln>
                  </pic:spPr>
                </pic:pic>
              </a:graphicData>
            </a:graphic>
          </wp:inline>
        </w:drawing>
      </w:r>
    </w:p>
    <w:p w14:paraId="706B04CE" w14:textId="77777777" w:rsidR="002A6816" w:rsidRDefault="002A6816" w:rsidP="002A6816">
      <w:pPr>
        <w:pStyle w:val="Bulletedlist1"/>
        <w:numPr>
          <w:ilvl w:val="0"/>
          <w:numId w:val="0"/>
        </w:numPr>
      </w:pPr>
      <w:bookmarkStart w:id="12" w:name="_Hlk52179874"/>
      <w:bookmarkStart w:id="13" w:name="_Toc10559929"/>
    </w:p>
    <w:p w14:paraId="1E7318DA" w14:textId="6EC1CE65" w:rsidR="000F1A34" w:rsidRDefault="00C53700" w:rsidP="00C53700">
      <w:pPr>
        <w:pStyle w:val="Heading2"/>
      </w:pPr>
      <w:bookmarkStart w:id="14" w:name="_Toc52428945"/>
      <w:bookmarkStart w:id="15" w:name="_Hlk52180474"/>
      <w:bookmarkEnd w:id="12"/>
      <w:r w:rsidRPr="00C53700">
        <w:t xml:space="preserve">Breakdown </w:t>
      </w:r>
      <w:r w:rsidR="002A6816">
        <w:t>of purchase</w:t>
      </w:r>
      <w:r w:rsidR="000F7B22">
        <w:t xml:space="preserve"> transactions</w:t>
      </w:r>
      <w:r w:rsidR="002A6816">
        <w:t xml:space="preserve"> </w:t>
      </w:r>
      <w:r w:rsidRPr="00C53700">
        <w:t>by property types</w:t>
      </w:r>
      <w:bookmarkEnd w:id="14"/>
      <w:r w:rsidR="00A76B09">
        <w:t xml:space="preserve"> </w:t>
      </w:r>
    </w:p>
    <w:p w14:paraId="0738313C" w14:textId="5C11AF67" w:rsidR="00CB6E03" w:rsidRDefault="00666812" w:rsidP="00C52900">
      <w:bookmarkStart w:id="16" w:name="_Hlk52181342"/>
      <w:bookmarkStart w:id="17" w:name="_Hlk52183166"/>
      <w:bookmarkEnd w:id="15"/>
      <w:r>
        <w:t xml:space="preserve">The breakdown of purchase transactions by property </w:t>
      </w:r>
      <w:proofErr w:type="gramStart"/>
      <w:r>
        <w:t>types</w:t>
      </w:r>
      <w:proofErr w:type="gramEnd"/>
      <w:r>
        <w:t xml:space="preserve"> new dwellings, vacant land and established dwellings in the reporting period is detailed below</w:t>
      </w:r>
      <w:r w:rsidR="00C52900">
        <w:t>. Due to the limited number of transactions</w:t>
      </w:r>
      <w:r w:rsidR="00CB6E03">
        <w:t xml:space="preserve"> in various states</w:t>
      </w:r>
      <w:r w:rsidR="00C52900">
        <w:t>, some details have been withheld due to privacy</w:t>
      </w:r>
      <w:r w:rsidR="00CB6E03">
        <w:t>.</w:t>
      </w:r>
    </w:p>
    <w:p w14:paraId="7F154E0D" w14:textId="1A16F9C7" w:rsidR="00C37CF9" w:rsidRDefault="00C37CF9" w:rsidP="00C37CF9">
      <w:pPr>
        <w:pStyle w:val="Heading4"/>
      </w:pPr>
      <w:r>
        <w:t>New dwellings</w:t>
      </w:r>
    </w:p>
    <w:p w14:paraId="08684821" w14:textId="77777777" w:rsidR="00C37CF9" w:rsidRDefault="00C37CF9" w:rsidP="00C37CF9">
      <w:pPr>
        <w:pStyle w:val="Bulletedlist1"/>
      </w:pPr>
      <w:bookmarkStart w:id="18" w:name="_Hlk52200047"/>
      <w:bookmarkEnd w:id="16"/>
      <w:bookmarkEnd w:id="17"/>
      <w:r>
        <w:t>New South Wales had 2,832 transactions with a value of 2.8 billion dollars.</w:t>
      </w:r>
    </w:p>
    <w:p w14:paraId="23A3D628" w14:textId="77777777" w:rsidR="00C37CF9" w:rsidRDefault="00C37CF9" w:rsidP="00C37CF9">
      <w:pPr>
        <w:pStyle w:val="Bulletedlist1"/>
      </w:pPr>
      <w:r>
        <w:t>Victoria had 2,247 transactions with a value of 1.6 billion dollars.</w:t>
      </w:r>
    </w:p>
    <w:p w14:paraId="5F5B90E6" w14:textId="77777777" w:rsidR="00C37CF9" w:rsidRDefault="00C37CF9" w:rsidP="00C37CF9">
      <w:pPr>
        <w:pStyle w:val="Bulletedlist1"/>
      </w:pPr>
      <w:r>
        <w:t>Queensland had 1,054 transactions with a value of 695.2 million dollars.</w:t>
      </w:r>
    </w:p>
    <w:p w14:paraId="56D2B5A0" w14:textId="77777777" w:rsidR="00C37CF9" w:rsidRDefault="00C37CF9" w:rsidP="00C37CF9">
      <w:pPr>
        <w:pStyle w:val="Bulletedlist1"/>
      </w:pPr>
      <w:r>
        <w:t>Western Australia had 145 transactions valued at 79.7 million dollars.</w:t>
      </w:r>
    </w:p>
    <w:p w14:paraId="6C8E8E71" w14:textId="77777777" w:rsidR="00C37CF9" w:rsidRDefault="00C37CF9" w:rsidP="00C37CF9">
      <w:pPr>
        <w:pStyle w:val="Bulletedlist1"/>
      </w:pPr>
      <w:r>
        <w:t>South Australia had 72 transactions valued at 38.3 million dollars.</w:t>
      </w:r>
    </w:p>
    <w:p w14:paraId="4C4C346B" w14:textId="77777777" w:rsidR="0019748B" w:rsidRDefault="00C37CF9" w:rsidP="00C37CF9">
      <w:pPr>
        <w:pStyle w:val="Bulletedlist1"/>
      </w:pPr>
      <w:r>
        <w:t>The Australian Capital Territory had 42 transactions valued at 21.5 million dollars</w:t>
      </w:r>
      <w:r w:rsidR="0019748B">
        <w:t>.</w:t>
      </w:r>
    </w:p>
    <w:p w14:paraId="36C68ADE" w14:textId="0ABD7AD2" w:rsidR="00C37CF9" w:rsidRDefault="00C37CF9" w:rsidP="00C37CF9">
      <w:pPr>
        <w:pStyle w:val="Bulletedlist1"/>
      </w:pPr>
      <w:r>
        <w:t>Tasmania had 13 transactions valued at 6.2 million dollars.</w:t>
      </w:r>
    </w:p>
    <w:p w14:paraId="170B19D6" w14:textId="5C5423B3" w:rsidR="0019748B" w:rsidRDefault="0019748B" w:rsidP="00C37CF9">
      <w:pPr>
        <w:pStyle w:val="Bulletedlist1"/>
      </w:pPr>
      <w:bookmarkStart w:id="19" w:name="_Hlk52200358"/>
      <w:r>
        <w:t>The Northern Territory did not record any transactions.</w:t>
      </w:r>
    </w:p>
    <w:p w14:paraId="0B8F35AD" w14:textId="71885056" w:rsidR="00465E3C" w:rsidRDefault="00465E3C" w:rsidP="00723CE5">
      <w:pPr>
        <w:spacing w:before="0" w:line="240" w:lineRule="auto"/>
        <w:jc w:val="center"/>
        <w:rPr>
          <w:noProof/>
        </w:rPr>
      </w:pPr>
      <w:bookmarkStart w:id="20" w:name="_Toc10559947"/>
      <w:bookmarkEnd w:id="13"/>
      <w:bookmarkEnd w:id="18"/>
      <w:bookmarkEnd w:id="19"/>
      <w:r>
        <w:rPr>
          <w:noProof/>
          <w:lang w:eastAsia="en-AU"/>
        </w:rPr>
        <w:drawing>
          <wp:inline distT="0" distB="0" distL="0" distR="0" wp14:anchorId="666D3E6D" wp14:editId="47E33E83">
            <wp:extent cx="5223213" cy="4500000"/>
            <wp:effectExtent l="19050" t="19050" r="15875" b="15240"/>
            <wp:docPr id="1146" name="Picture 1146" descr="The image is a map of Australia showing purchases by count and value for new dwellings by state or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Property_ND.PNG"/>
                    <pic:cNvPicPr/>
                  </pic:nvPicPr>
                  <pic:blipFill>
                    <a:blip r:embed="rId23"/>
                    <a:stretch>
                      <a:fillRect/>
                    </a:stretch>
                  </pic:blipFill>
                  <pic:spPr>
                    <a:xfrm>
                      <a:off x="0" y="0"/>
                      <a:ext cx="5223213" cy="4500000"/>
                    </a:xfrm>
                    <a:prstGeom prst="rect">
                      <a:avLst/>
                    </a:prstGeom>
                    <a:solidFill>
                      <a:schemeClr val="tx1"/>
                    </a:solidFill>
                    <a:ln>
                      <a:solidFill>
                        <a:schemeClr val="accent1"/>
                      </a:solidFill>
                    </a:ln>
                  </pic:spPr>
                </pic:pic>
              </a:graphicData>
            </a:graphic>
          </wp:inline>
        </w:drawing>
      </w:r>
    </w:p>
    <w:p w14:paraId="157EF10D" w14:textId="2C1EB975" w:rsidR="00C37CF9" w:rsidRDefault="00C37CF9" w:rsidP="00C37CF9">
      <w:pPr>
        <w:pStyle w:val="Heading4"/>
        <w:rPr>
          <w:noProof/>
        </w:rPr>
      </w:pPr>
      <w:bookmarkStart w:id="21" w:name="_Hlk52182926"/>
      <w:r>
        <w:rPr>
          <w:noProof/>
        </w:rPr>
        <w:t>Vacant land</w:t>
      </w:r>
    </w:p>
    <w:p w14:paraId="3A955A71" w14:textId="77777777" w:rsidR="00C37CF9" w:rsidRDefault="00C37CF9" w:rsidP="00C37CF9">
      <w:pPr>
        <w:pStyle w:val="Bulletedlist1"/>
      </w:pPr>
      <w:bookmarkStart w:id="22" w:name="_Hlk52200244"/>
      <w:bookmarkEnd w:id="21"/>
      <w:r>
        <w:t>Victoria had 956 transactions valued at 340.6 million dollars.</w:t>
      </w:r>
    </w:p>
    <w:p w14:paraId="0EBB7127" w14:textId="77777777" w:rsidR="00C37CF9" w:rsidRDefault="00C37CF9" w:rsidP="00C37CF9">
      <w:pPr>
        <w:pStyle w:val="Bulletedlist1"/>
      </w:pPr>
      <w:r>
        <w:t>Queensland had 379 transactions valued at 144.5 million dollars.</w:t>
      </w:r>
    </w:p>
    <w:p w14:paraId="47F09F50" w14:textId="77777777" w:rsidR="00C37CF9" w:rsidRDefault="00C37CF9" w:rsidP="00C37CF9">
      <w:pPr>
        <w:pStyle w:val="Bulletedlist1"/>
      </w:pPr>
      <w:r>
        <w:t>New South Wales had 149 transactions valued at 90.4 million dollars.</w:t>
      </w:r>
    </w:p>
    <w:p w14:paraId="751C981A" w14:textId="77777777" w:rsidR="00C37CF9" w:rsidRDefault="00C37CF9" w:rsidP="00C37CF9">
      <w:pPr>
        <w:pStyle w:val="Bulletedlist1"/>
      </w:pPr>
      <w:r>
        <w:t>Western Australia had 68 transactions valued at 26.8 million dollars.</w:t>
      </w:r>
    </w:p>
    <w:p w14:paraId="39BC4DC6" w14:textId="77777777" w:rsidR="0019748B" w:rsidRDefault="00C37CF9" w:rsidP="00776F80">
      <w:pPr>
        <w:pStyle w:val="Bulletedlist1"/>
        <w:tabs>
          <w:tab w:val="left" w:pos="1302"/>
        </w:tabs>
        <w:jc w:val="both"/>
      </w:pPr>
      <w:r>
        <w:t>South Australia had 36 transactions valued at 12.7 million dollars</w:t>
      </w:r>
      <w:r w:rsidR="0019748B">
        <w:t>.</w:t>
      </w:r>
    </w:p>
    <w:p w14:paraId="157E0962" w14:textId="77777777" w:rsidR="0019748B" w:rsidRDefault="00C37CF9" w:rsidP="00776F80">
      <w:pPr>
        <w:pStyle w:val="Bulletedlist1"/>
        <w:tabs>
          <w:tab w:val="left" w:pos="1302"/>
        </w:tabs>
        <w:jc w:val="both"/>
      </w:pPr>
      <w:r>
        <w:t>Tasmania had 23 transactions valued at 4.7 million dollars.</w:t>
      </w:r>
    </w:p>
    <w:p w14:paraId="414CB7D3" w14:textId="1A525DCB" w:rsidR="00C37CF9" w:rsidRPr="00C37CF9" w:rsidRDefault="0019748B" w:rsidP="00776F80">
      <w:pPr>
        <w:pStyle w:val="Bulletedlist1"/>
        <w:tabs>
          <w:tab w:val="left" w:pos="1302"/>
        </w:tabs>
        <w:jc w:val="both"/>
      </w:pPr>
      <w:r>
        <w:t xml:space="preserve">The Northern Territory </w:t>
      </w:r>
      <w:r w:rsidR="00C429CA">
        <w:t xml:space="preserve">had </w:t>
      </w:r>
      <w:r>
        <w:t>less than 5 transactions.</w:t>
      </w:r>
      <w:r w:rsidR="00C37CF9">
        <w:tab/>
      </w:r>
    </w:p>
    <w:bookmarkEnd w:id="22"/>
    <w:p w14:paraId="7D62E4EA" w14:textId="55F4D493" w:rsidR="00C37CF9" w:rsidRDefault="00465E3C" w:rsidP="00723CE5">
      <w:pPr>
        <w:spacing w:before="0" w:line="240" w:lineRule="auto"/>
        <w:jc w:val="right"/>
      </w:pPr>
      <w:r>
        <w:rPr>
          <w:noProof/>
          <w:lang w:eastAsia="en-AU"/>
        </w:rPr>
        <w:drawing>
          <wp:inline distT="0" distB="0" distL="0" distR="0" wp14:anchorId="21777F66" wp14:editId="1C21BD5B">
            <wp:extent cx="5400000" cy="4500000"/>
            <wp:effectExtent l="19050" t="19050" r="10795" b="15240"/>
            <wp:docPr id="1147" name="Picture 1147" descr="The image is a map of Australia  showing purchases by count and value for vacant land by state or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Property_VL.PNG"/>
                    <pic:cNvPicPr/>
                  </pic:nvPicPr>
                  <pic:blipFill>
                    <a:blip r:embed="rId24"/>
                    <a:stretch>
                      <a:fillRect/>
                    </a:stretch>
                  </pic:blipFill>
                  <pic:spPr>
                    <a:xfrm>
                      <a:off x="0" y="0"/>
                      <a:ext cx="5400000" cy="4500000"/>
                    </a:xfrm>
                    <a:prstGeom prst="rect">
                      <a:avLst/>
                    </a:prstGeom>
                    <a:solidFill>
                      <a:schemeClr val="tx1"/>
                    </a:solidFill>
                    <a:ln>
                      <a:solidFill>
                        <a:schemeClr val="accent1"/>
                      </a:solidFill>
                    </a:ln>
                  </pic:spPr>
                </pic:pic>
              </a:graphicData>
            </a:graphic>
          </wp:inline>
        </w:drawing>
      </w:r>
    </w:p>
    <w:p w14:paraId="2C8BF713" w14:textId="5BB1ABE8" w:rsidR="00C37CF9" w:rsidRDefault="00C37CF9" w:rsidP="00C37CF9">
      <w:pPr>
        <w:pStyle w:val="Heading4"/>
      </w:pPr>
      <w:r>
        <w:t>Established dwellings</w:t>
      </w:r>
    </w:p>
    <w:p w14:paraId="5A223325" w14:textId="77777777" w:rsidR="00C37CF9" w:rsidRDefault="00C37CF9" w:rsidP="00C37CF9">
      <w:pPr>
        <w:pStyle w:val="Bulletedlist1"/>
      </w:pPr>
      <w:bookmarkStart w:id="23" w:name="_Hlk52200386"/>
      <w:r>
        <w:t>Victoria had 565 transactions valued at 899.7 million dollars.</w:t>
      </w:r>
    </w:p>
    <w:p w14:paraId="6D10EF6D" w14:textId="77777777" w:rsidR="00C37CF9" w:rsidRDefault="00C37CF9" w:rsidP="00C37CF9">
      <w:pPr>
        <w:pStyle w:val="Bulletedlist1"/>
      </w:pPr>
      <w:r>
        <w:t>New South Wales had 170 transactions valued at 310.9 million dollars.</w:t>
      </w:r>
    </w:p>
    <w:p w14:paraId="3DBE1266" w14:textId="77777777" w:rsidR="00C37CF9" w:rsidRDefault="00C37CF9" w:rsidP="00C37CF9">
      <w:pPr>
        <w:pStyle w:val="Bulletedlist1"/>
      </w:pPr>
      <w:r>
        <w:t>Queensland had 215 transactions valued at 194.5 million dollars.</w:t>
      </w:r>
    </w:p>
    <w:p w14:paraId="3FD498D0" w14:textId="77777777" w:rsidR="00C37CF9" w:rsidRDefault="00C37CF9" w:rsidP="00C37CF9">
      <w:pPr>
        <w:pStyle w:val="Bulletedlist1"/>
      </w:pPr>
      <w:r>
        <w:t>Western Australia had 131 transactions valued at 101.8 million dollars.</w:t>
      </w:r>
    </w:p>
    <w:p w14:paraId="33EAEED3" w14:textId="36156FB7" w:rsidR="0019748B" w:rsidRDefault="00C37CF9" w:rsidP="00C37CF9">
      <w:pPr>
        <w:pStyle w:val="Bulletedlist1"/>
      </w:pPr>
      <w:r>
        <w:t xml:space="preserve">South Australia had 93 transactions valued at </w:t>
      </w:r>
      <w:r w:rsidR="007D393A" w:rsidRPr="007D393A">
        <w:rPr>
          <w:rFonts w:eastAsiaTheme="minorEastAsia" w:cstheme="minorHAnsi"/>
          <w:color w:val="000000"/>
          <w:kern w:val="24"/>
          <w:szCs w:val="22"/>
        </w:rPr>
        <w:t xml:space="preserve">60.5 </w:t>
      </w:r>
      <w:r w:rsidRPr="007D393A">
        <w:rPr>
          <w:rFonts w:cstheme="minorHAnsi"/>
          <w:szCs w:val="22"/>
        </w:rPr>
        <w:t>million</w:t>
      </w:r>
      <w:r>
        <w:t xml:space="preserve"> dollars</w:t>
      </w:r>
      <w:r w:rsidR="0019748B">
        <w:t>.</w:t>
      </w:r>
    </w:p>
    <w:p w14:paraId="4A1CBC5F" w14:textId="37529C86" w:rsidR="00C37CF9" w:rsidRDefault="00C37CF9" w:rsidP="00C37CF9">
      <w:pPr>
        <w:pStyle w:val="Bulletedlist1"/>
      </w:pPr>
      <w:r>
        <w:t>Tasmania had 71 transactions valued at 34.4 million dollars.</w:t>
      </w:r>
    </w:p>
    <w:p w14:paraId="774B9C8A" w14:textId="6FA0931C" w:rsidR="00CB6E03" w:rsidRPr="00C37CF9" w:rsidRDefault="00CB6E03" w:rsidP="00C37CF9">
      <w:pPr>
        <w:pStyle w:val="Bulletedlist1"/>
      </w:pPr>
      <w:r>
        <w:t>The Northern Territory ha</w:t>
      </w:r>
      <w:r w:rsidR="00F94E8D">
        <w:t>d</w:t>
      </w:r>
      <w:r>
        <w:t xml:space="preserve"> 7 transactions</w:t>
      </w:r>
      <w:r w:rsidR="0032463E">
        <w:t xml:space="preserve"> valued at 2.4 million dollars.</w:t>
      </w:r>
    </w:p>
    <w:bookmarkEnd w:id="23"/>
    <w:p w14:paraId="68F899CF" w14:textId="16F984A8" w:rsidR="00586AE0" w:rsidRDefault="00714E83" w:rsidP="00723CE5">
      <w:pPr>
        <w:spacing w:before="0" w:line="240" w:lineRule="auto"/>
        <w:jc w:val="center"/>
      </w:pPr>
      <w:r>
        <w:rPr>
          <w:noProof/>
          <w:lang w:eastAsia="en-AU"/>
        </w:rPr>
        <w:drawing>
          <wp:inline distT="0" distB="0" distL="0" distR="0" wp14:anchorId="29D69529" wp14:editId="72863D38">
            <wp:extent cx="5098600" cy="4202723"/>
            <wp:effectExtent l="19050" t="19050" r="26035" b="26670"/>
            <wp:docPr id="1148" name="Picture 1148" descr="The image is a map of Australia  showing purchases by count and value for established dwellings by state or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Property_ED.PNG"/>
                    <pic:cNvPicPr/>
                  </pic:nvPicPr>
                  <pic:blipFill>
                    <a:blip r:embed="rId25"/>
                    <a:stretch>
                      <a:fillRect/>
                    </a:stretch>
                  </pic:blipFill>
                  <pic:spPr>
                    <a:xfrm>
                      <a:off x="0" y="0"/>
                      <a:ext cx="5132994" cy="4231074"/>
                    </a:xfrm>
                    <a:prstGeom prst="rect">
                      <a:avLst/>
                    </a:prstGeom>
                    <a:solidFill>
                      <a:schemeClr val="tx1"/>
                    </a:solidFill>
                    <a:ln>
                      <a:solidFill>
                        <a:schemeClr val="accent1"/>
                      </a:solidFill>
                    </a:ln>
                  </pic:spPr>
                </pic:pic>
              </a:graphicData>
            </a:graphic>
          </wp:inline>
        </w:drawing>
      </w:r>
    </w:p>
    <w:p w14:paraId="18D8AE53" w14:textId="77777777" w:rsidR="00586AE0" w:rsidRDefault="00586AE0">
      <w:pPr>
        <w:spacing w:before="0" w:line="240" w:lineRule="auto"/>
      </w:pPr>
      <w:r>
        <w:br w:type="page"/>
      </w:r>
    </w:p>
    <w:p w14:paraId="71523C3E" w14:textId="31474EDB" w:rsidR="00FE2F1E" w:rsidRDefault="00586AE0" w:rsidP="00501B3D">
      <w:pPr>
        <w:pStyle w:val="Heading1"/>
        <w:framePr w:wrap="notBeside"/>
      </w:pPr>
      <w:bookmarkStart w:id="24" w:name="_Toc52428946"/>
      <w:r>
        <w:t>Sale Transactions</w:t>
      </w:r>
      <w:bookmarkEnd w:id="24"/>
    </w:p>
    <w:p w14:paraId="0220B634" w14:textId="3A607FE5" w:rsidR="00FE2F1E" w:rsidRPr="00586AE0" w:rsidRDefault="00FE2F1E" w:rsidP="00FE2F1E">
      <w:pPr>
        <w:spacing w:before="120" w:after="120" w:line="240" w:lineRule="auto"/>
      </w:pPr>
      <w:r w:rsidRPr="00586AE0">
        <w:t>The total number of residential real estate sale transactions by foreign persons during 2018-19 period was 1,176, with a value of 990</w:t>
      </w:r>
      <w:r w:rsidR="00A75A4A">
        <w:t xml:space="preserve"> </w:t>
      </w:r>
      <w:r w:rsidRPr="00586AE0">
        <w:t>m</w:t>
      </w:r>
      <w:r w:rsidR="00A75A4A">
        <w:t>illion dollars</w:t>
      </w:r>
      <w:r w:rsidRPr="00586AE0">
        <w:t xml:space="preserve">. Overall there </w:t>
      </w:r>
      <w:r w:rsidRPr="00A75A4A">
        <w:t xml:space="preserve">was a 29.9 </w:t>
      </w:r>
      <w:r w:rsidR="00A75A4A" w:rsidRPr="00A75A4A">
        <w:t>per cent</w:t>
      </w:r>
      <w:r w:rsidRPr="00A75A4A">
        <w:t xml:space="preserve"> reduction in the number of sale transactions and a 27.3 </w:t>
      </w:r>
      <w:r w:rsidR="00A75A4A">
        <w:t>per cent</w:t>
      </w:r>
      <w:r w:rsidRPr="00A75A4A">
        <w:t xml:space="preserve"> reduction in the value of </w:t>
      </w:r>
      <w:r w:rsidRPr="00586AE0">
        <w:t xml:space="preserve">sale transactions when compared to 2017-18. </w:t>
      </w:r>
    </w:p>
    <w:p w14:paraId="359C096C" w14:textId="77777777" w:rsidR="00FE2F1E" w:rsidRPr="00586AE0" w:rsidRDefault="00FE2F1E" w:rsidP="00FE2F1E">
      <w:pPr>
        <w:spacing w:before="120" w:after="120" w:line="240" w:lineRule="auto"/>
      </w:pPr>
      <w:r w:rsidRPr="00586AE0">
        <w:t xml:space="preserve">Sale transactions numbers reflect any sale transactions made by foreign persons within the reporting period, regardless of when the initial purchase was made. </w:t>
      </w:r>
    </w:p>
    <w:p w14:paraId="3E225411" w14:textId="5D1CE05E" w:rsidR="00FE2F1E" w:rsidRPr="00586AE0" w:rsidRDefault="00FE2F1E" w:rsidP="00FE2F1E">
      <w:pPr>
        <w:spacing w:before="120" w:after="120" w:line="240" w:lineRule="auto"/>
      </w:pPr>
      <w:r w:rsidRPr="00586AE0">
        <w:t>Victoria, New South Wales and Queensland represent 99.0</w:t>
      </w:r>
      <w:r>
        <w:t xml:space="preserve"> </w:t>
      </w:r>
      <w:r w:rsidR="00A75A4A">
        <w:t>per cent</w:t>
      </w:r>
      <w:r w:rsidRPr="00586AE0">
        <w:t xml:space="preserve"> of the number of sale transactions, making up 99.1</w:t>
      </w:r>
      <w:r>
        <w:t xml:space="preserve"> </w:t>
      </w:r>
      <w:r w:rsidR="00A75A4A">
        <w:t>per cent</w:t>
      </w:r>
      <w:r w:rsidRPr="00586AE0">
        <w:t xml:space="preserve"> of the value of sale for the reporting period. Compared to 2017-18, these states represented 98.1</w:t>
      </w:r>
      <w:r>
        <w:t xml:space="preserve"> </w:t>
      </w:r>
      <w:r w:rsidR="00A75A4A">
        <w:t>per cent</w:t>
      </w:r>
      <w:r w:rsidRPr="00586AE0">
        <w:t xml:space="preserve"> of all sale transactions and 98.5</w:t>
      </w:r>
      <w:r>
        <w:t xml:space="preserve"> </w:t>
      </w:r>
      <w:r w:rsidR="00A75A4A">
        <w:t>per cent</w:t>
      </w:r>
      <w:r w:rsidRPr="00586AE0">
        <w:t xml:space="preserve"> of the value. No sale transactions were recorded for the Northern Territory.</w:t>
      </w:r>
    </w:p>
    <w:p w14:paraId="19252A20" w14:textId="13A1F49A" w:rsidR="00FE2F1E" w:rsidRPr="00586AE0" w:rsidRDefault="00FE2F1E" w:rsidP="00FE2F1E">
      <w:pPr>
        <w:spacing w:before="120" w:after="120" w:line="240" w:lineRule="auto"/>
      </w:pPr>
      <w:r w:rsidRPr="00586AE0">
        <w:t>In 2018-19, new dwellings represented 50.0</w:t>
      </w:r>
      <w:r>
        <w:t xml:space="preserve"> </w:t>
      </w:r>
      <w:r w:rsidR="00A75A4A">
        <w:t>per cent</w:t>
      </w:r>
      <w:r w:rsidRPr="00586AE0">
        <w:t xml:space="preserve"> of sale transactions, followed by 26.0</w:t>
      </w:r>
      <w:r>
        <w:t xml:space="preserve"> </w:t>
      </w:r>
      <w:r w:rsidR="00A75A4A">
        <w:t>per cent</w:t>
      </w:r>
      <w:r w:rsidRPr="00586AE0">
        <w:t xml:space="preserve"> for established dwellings and 24.0</w:t>
      </w:r>
      <w:r>
        <w:t xml:space="preserve"> </w:t>
      </w:r>
      <w:r w:rsidR="00A75A4A">
        <w:t>per cent</w:t>
      </w:r>
      <w:r w:rsidRPr="00586AE0">
        <w:t xml:space="preserve"> for vacant land. The property type reflects the type of property at time of purchase, e.g. new dwellings were new at the time of purchase.</w:t>
      </w:r>
    </w:p>
    <w:p w14:paraId="0795F80C" w14:textId="77777777" w:rsidR="00FE2F1E" w:rsidRPr="00586AE0" w:rsidRDefault="00FE2F1E" w:rsidP="00FE2F1E">
      <w:pPr>
        <w:spacing w:before="120" w:after="120" w:line="240" w:lineRule="auto"/>
      </w:pPr>
      <w:r w:rsidRPr="00586AE0">
        <w:t xml:space="preserve">Victoria had the greatest number of sale transactions across all property types in 2018-19. Compared to 2017-18, NSW had the greatest sale count for new dwellings and Victoria has the greatest count for vacant land and established dwellings. </w:t>
      </w:r>
    </w:p>
    <w:p w14:paraId="1083B0F2" w14:textId="2CB2C82D" w:rsidR="00FE2F1E" w:rsidRPr="00586AE0" w:rsidRDefault="00FE2F1E" w:rsidP="00FE2F1E">
      <w:pPr>
        <w:spacing w:before="120" w:after="120" w:line="240" w:lineRule="auto"/>
      </w:pPr>
      <w:r w:rsidRPr="00586AE0">
        <w:t>Properties with values under 1</w:t>
      </w:r>
      <w:r w:rsidR="00A75A4A">
        <w:t xml:space="preserve"> </w:t>
      </w:r>
      <w:r w:rsidRPr="00586AE0">
        <w:t>m</w:t>
      </w:r>
      <w:r w:rsidR="00A75A4A">
        <w:t>illion dollars</w:t>
      </w:r>
      <w:r w:rsidRPr="00586AE0">
        <w:t xml:space="preserve"> represented 82.8</w:t>
      </w:r>
      <w:r>
        <w:t xml:space="preserve"> </w:t>
      </w:r>
      <w:r w:rsidR="00A75A4A">
        <w:t>per cent</w:t>
      </w:r>
      <w:r w:rsidRPr="00586AE0">
        <w:t xml:space="preserve"> of sale transactions. This is a slight increase when compared to the proportion of sale transactions in 2017-18 of 80.5</w:t>
      </w:r>
      <w:r>
        <w:t xml:space="preserve"> </w:t>
      </w:r>
      <w:r w:rsidR="00A75A4A">
        <w:t>per cent</w:t>
      </w:r>
      <w:r w:rsidRPr="00586AE0">
        <w:t xml:space="preserve">. </w:t>
      </w:r>
    </w:p>
    <w:p w14:paraId="3F918843" w14:textId="7D644FAE" w:rsidR="00FE2F1E" w:rsidRPr="00586AE0" w:rsidRDefault="00FE2F1E" w:rsidP="00FE2F1E">
      <w:pPr>
        <w:spacing w:before="120" w:after="120" w:line="240" w:lineRule="auto"/>
      </w:pPr>
      <w:r w:rsidRPr="00586AE0">
        <w:t xml:space="preserve">There are 241 sale transactions reflecting registrants who became permanent residents or gained Australian citizenship during the 2018-19 report period that have been included in these figures. </w:t>
      </w:r>
    </w:p>
    <w:p w14:paraId="28F9E8A1" w14:textId="40B6259A" w:rsidR="00FE2F1E" w:rsidRDefault="00FE2F1E" w:rsidP="00FE2F1E">
      <w:pPr>
        <w:spacing w:before="120" w:after="120" w:line="240" w:lineRule="auto"/>
      </w:pPr>
      <w:r w:rsidRPr="00586AE0">
        <w:t>Property values are not reported where the total number of sales is less than five. This approach is taken to avoid the possibility of report data being used to identify an individual or entity.</w:t>
      </w:r>
    </w:p>
    <w:p w14:paraId="2E0AEA17" w14:textId="1EA18DF4" w:rsidR="00072537" w:rsidRDefault="00072537" w:rsidP="00072537">
      <w:pPr>
        <w:spacing w:before="120" w:after="120" w:line="240" w:lineRule="auto"/>
        <w:rPr>
          <w:rFonts w:ascii="Arial" w:eastAsia="Calibri" w:hAnsi="Arial" w:cs="Arial"/>
          <w:kern w:val="24"/>
          <w:szCs w:val="22"/>
          <w:lang w:eastAsia="en-AU"/>
        </w:rPr>
      </w:pPr>
      <w:r>
        <w:rPr>
          <w:rFonts w:ascii="Arial" w:eastAsia="Calibri" w:hAnsi="Arial" w:cs="Arial"/>
          <w:kern w:val="24"/>
          <w:szCs w:val="22"/>
          <w:lang w:eastAsia="en-AU"/>
        </w:rPr>
        <w:t xml:space="preserve">Established dwelling represented 42.3 per cent </w:t>
      </w:r>
      <w:r w:rsidRPr="004C38D4">
        <w:rPr>
          <w:rFonts w:ascii="Arial" w:eastAsia="Calibri" w:hAnsi="Arial" w:cs="Arial"/>
          <w:kern w:val="24"/>
          <w:szCs w:val="22"/>
          <w:lang w:eastAsia="en-AU"/>
        </w:rPr>
        <w:t xml:space="preserve">of </w:t>
      </w:r>
      <w:r>
        <w:rPr>
          <w:rFonts w:ascii="Arial" w:eastAsia="Calibri" w:hAnsi="Arial" w:cs="Arial"/>
          <w:kern w:val="24"/>
          <w:szCs w:val="22"/>
          <w:lang w:eastAsia="en-AU"/>
        </w:rPr>
        <w:t>the v</w:t>
      </w:r>
      <w:r w:rsidRPr="004C38D4">
        <w:rPr>
          <w:rFonts w:ascii="Arial" w:eastAsia="Calibri" w:hAnsi="Arial" w:cs="Arial"/>
          <w:kern w:val="24"/>
          <w:szCs w:val="22"/>
          <w:lang w:eastAsia="en-AU"/>
        </w:rPr>
        <w:t>alue</w:t>
      </w:r>
      <w:r>
        <w:rPr>
          <w:rFonts w:ascii="Arial" w:eastAsia="Calibri" w:hAnsi="Arial" w:cs="Arial"/>
          <w:kern w:val="24"/>
          <w:szCs w:val="22"/>
          <w:lang w:eastAsia="en-AU"/>
        </w:rPr>
        <w:t xml:space="preserve"> of all sale transactions, followed by new dwellings with 40.1 per cent</w:t>
      </w:r>
      <w:r w:rsidRPr="004C38D4">
        <w:rPr>
          <w:rFonts w:ascii="Arial" w:eastAsia="Calibri" w:hAnsi="Arial" w:cs="Arial"/>
          <w:kern w:val="24"/>
          <w:szCs w:val="22"/>
          <w:lang w:eastAsia="en-AU"/>
        </w:rPr>
        <w:t xml:space="preserve"> </w:t>
      </w:r>
      <w:r>
        <w:rPr>
          <w:rFonts w:ascii="Arial" w:eastAsia="Calibri" w:hAnsi="Arial" w:cs="Arial"/>
          <w:kern w:val="24"/>
          <w:szCs w:val="22"/>
          <w:lang w:eastAsia="en-AU"/>
        </w:rPr>
        <w:t xml:space="preserve">and vacant land with 17.6 per cent in 2018-19. </w:t>
      </w:r>
    </w:p>
    <w:p w14:paraId="73C35217" w14:textId="503ADD0C" w:rsidR="00072537" w:rsidRDefault="00072537" w:rsidP="00072537">
      <w:pPr>
        <w:rPr>
          <w:rFonts w:ascii="Arial" w:eastAsia="Times New Roman" w:hAnsi="Arial" w:cs="Arial"/>
          <w:color w:val="auto"/>
          <w:szCs w:val="22"/>
          <w:lang w:eastAsia="en-AU"/>
        </w:rPr>
      </w:pPr>
      <w:r w:rsidRPr="004C38D4">
        <w:rPr>
          <w:rFonts w:ascii="Arial" w:eastAsia="Times New Roman" w:hAnsi="Arial" w:cs="Arial"/>
          <w:color w:val="auto"/>
          <w:szCs w:val="22"/>
          <w:lang w:eastAsia="en-AU"/>
        </w:rPr>
        <w:t xml:space="preserve">There </w:t>
      </w:r>
      <w:r>
        <w:rPr>
          <w:rFonts w:ascii="Arial" w:eastAsia="Times New Roman" w:hAnsi="Arial" w:cs="Arial"/>
          <w:color w:val="auto"/>
          <w:szCs w:val="22"/>
          <w:lang w:eastAsia="en-AU"/>
        </w:rPr>
        <w:t>were</w:t>
      </w:r>
      <w:r w:rsidRPr="004C38D4">
        <w:rPr>
          <w:rFonts w:ascii="Arial" w:eastAsia="Times New Roman" w:hAnsi="Arial" w:cs="Arial"/>
          <w:color w:val="auto"/>
          <w:szCs w:val="22"/>
          <w:lang w:eastAsia="en-AU"/>
        </w:rPr>
        <w:t xml:space="preserve"> </w:t>
      </w:r>
      <w:r>
        <w:rPr>
          <w:rFonts w:ascii="Arial" w:eastAsia="Times New Roman" w:hAnsi="Arial" w:cs="Arial"/>
          <w:color w:val="auto"/>
          <w:szCs w:val="22"/>
          <w:lang w:eastAsia="en-AU"/>
        </w:rPr>
        <w:t>202</w:t>
      </w:r>
      <w:r w:rsidRPr="004C38D4">
        <w:rPr>
          <w:rFonts w:ascii="Arial" w:eastAsia="Times New Roman" w:hAnsi="Arial" w:cs="Arial"/>
          <w:color w:val="auto"/>
          <w:szCs w:val="22"/>
          <w:lang w:eastAsia="en-AU"/>
        </w:rPr>
        <w:t xml:space="preserve"> </w:t>
      </w:r>
      <w:r>
        <w:rPr>
          <w:rFonts w:ascii="Arial" w:eastAsia="Times New Roman" w:hAnsi="Arial" w:cs="Arial"/>
          <w:color w:val="auto"/>
          <w:szCs w:val="22"/>
          <w:lang w:eastAsia="en-AU"/>
        </w:rPr>
        <w:t>sale</w:t>
      </w:r>
      <w:r w:rsidRPr="004C38D4">
        <w:rPr>
          <w:rFonts w:ascii="Arial" w:eastAsia="Times New Roman" w:hAnsi="Arial" w:cs="Arial"/>
          <w:color w:val="auto"/>
          <w:szCs w:val="22"/>
          <w:lang w:eastAsia="en-AU"/>
        </w:rPr>
        <w:t xml:space="preserve"> transactions for properties value</w:t>
      </w:r>
      <w:r>
        <w:rPr>
          <w:rFonts w:ascii="Arial" w:eastAsia="Times New Roman" w:hAnsi="Arial" w:cs="Arial"/>
          <w:color w:val="auto"/>
          <w:szCs w:val="22"/>
          <w:lang w:eastAsia="en-AU"/>
        </w:rPr>
        <w:t>d</w:t>
      </w:r>
      <w:r w:rsidRPr="004C38D4">
        <w:rPr>
          <w:rFonts w:ascii="Arial" w:eastAsia="Times New Roman" w:hAnsi="Arial" w:cs="Arial"/>
          <w:color w:val="auto"/>
          <w:szCs w:val="22"/>
          <w:lang w:eastAsia="en-AU"/>
        </w:rPr>
        <w:t xml:space="preserve"> greater than one million dollars</w:t>
      </w:r>
      <w:r>
        <w:rPr>
          <w:rFonts w:ascii="Arial" w:eastAsia="Times New Roman" w:hAnsi="Arial" w:cs="Arial"/>
          <w:color w:val="auto"/>
          <w:szCs w:val="22"/>
          <w:lang w:eastAsia="en-AU"/>
        </w:rPr>
        <w:t xml:space="preserve"> in 2018-19.</w:t>
      </w:r>
    </w:p>
    <w:p w14:paraId="26CD538C" w14:textId="77777777" w:rsidR="00072537" w:rsidRDefault="00072537" w:rsidP="00FE2F1E">
      <w:pPr>
        <w:spacing w:before="120" w:after="120" w:line="240" w:lineRule="auto"/>
      </w:pPr>
    </w:p>
    <w:p w14:paraId="48CEE565" w14:textId="46E6E23E" w:rsidR="000F7B22" w:rsidRDefault="000F7B22" w:rsidP="000F7B22">
      <w:pPr>
        <w:pStyle w:val="Heading2"/>
      </w:pPr>
      <w:bookmarkStart w:id="25" w:name="_Toc52428947"/>
      <w:r w:rsidRPr="00C53700">
        <w:t xml:space="preserve">Breakdown </w:t>
      </w:r>
      <w:r>
        <w:t>of sale transactions by state or territory</w:t>
      </w:r>
      <w:bookmarkEnd w:id="25"/>
    </w:p>
    <w:p w14:paraId="228239DE" w14:textId="0F494B6D" w:rsidR="00BC409D" w:rsidRPr="00BC409D" w:rsidRDefault="00BC409D" w:rsidP="00BC409D">
      <w:pPr>
        <w:pStyle w:val="Bulletedlist1"/>
        <w:numPr>
          <w:ilvl w:val="0"/>
          <w:numId w:val="0"/>
        </w:numPr>
      </w:pPr>
      <w:r>
        <w:t xml:space="preserve">The breakdown of sale transactions </w:t>
      </w:r>
      <w:bookmarkStart w:id="26" w:name="_Hlk52291201"/>
      <w:r>
        <w:t xml:space="preserve">by state or territory </w:t>
      </w:r>
      <w:bookmarkEnd w:id="26"/>
      <w:r>
        <w:t>in the reporting period is detailed below.</w:t>
      </w:r>
      <w:r w:rsidRPr="002F2259">
        <w:t xml:space="preserve"> </w:t>
      </w:r>
    </w:p>
    <w:p w14:paraId="4A6B5A73" w14:textId="5A4B3935" w:rsidR="000F7B22" w:rsidRDefault="000F7B22" w:rsidP="000F7B22">
      <w:pPr>
        <w:pStyle w:val="Bulletedlist1"/>
      </w:pPr>
      <w:r>
        <w:t>Victoria had 601 sale transactions with 100 valued greater than one million dollars and was the top state for established dwellings and vacant land</w:t>
      </w:r>
      <w:r w:rsidR="0032463E">
        <w:t xml:space="preserve"> (by value)</w:t>
      </w:r>
      <w:r>
        <w:t>.</w:t>
      </w:r>
    </w:p>
    <w:p w14:paraId="1379DC14" w14:textId="275402FE" w:rsidR="000F7B22" w:rsidRDefault="000F7B22" w:rsidP="000F7B22">
      <w:pPr>
        <w:pStyle w:val="Bulletedlist1"/>
      </w:pPr>
      <w:r>
        <w:t>New South Wales had 320 sale transactions with 80 valued greater than one million dollars and was the top state for new dwellings</w:t>
      </w:r>
      <w:r w:rsidR="0032463E">
        <w:t xml:space="preserve"> (by value)</w:t>
      </w:r>
      <w:r>
        <w:t>.</w:t>
      </w:r>
    </w:p>
    <w:p w14:paraId="44FC9527" w14:textId="43A16B2B" w:rsidR="000F7B22" w:rsidRDefault="000F7B22" w:rsidP="000F7B22">
      <w:pPr>
        <w:pStyle w:val="Bulletedlist1"/>
      </w:pPr>
      <w:r>
        <w:t>Queensland had 243 transactions</w:t>
      </w:r>
      <w:r w:rsidRPr="000F7B22">
        <w:t xml:space="preserve"> </w:t>
      </w:r>
      <w:r>
        <w:t>with 20 valued greater than one million dollars</w:t>
      </w:r>
      <w:r w:rsidR="00666812">
        <w:t>.</w:t>
      </w:r>
    </w:p>
    <w:p w14:paraId="28F2C140" w14:textId="35B257C4" w:rsidR="000F7B22" w:rsidRDefault="000F7B22" w:rsidP="000F7B22">
      <w:pPr>
        <w:pStyle w:val="Bulletedlist1"/>
      </w:pPr>
      <w:r>
        <w:t>South Australia, and Tasmania each had less than 5 sale transactions</w:t>
      </w:r>
      <w:r w:rsidR="00666812">
        <w:t xml:space="preserve"> with less than 5 valued greater than one million dollars</w:t>
      </w:r>
      <w:r>
        <w:t xml:space="preserve">. </w:t>
      </w:r>
    </w:p>
    <w:p w14:paraId="15DDC536" w14:textId="16FD5C4E" w:rsidR="00666812" w:rsidRDefault="00666812" w:rsidP="000F7B22">
      <w:pPr>
        <w:pStyle w:val="Bulletedlist1"/>
      </w:pPr>
      <w:r>
        <w:t>Western Australia had less than 5 sale transactions</w:t>
      </w:r>
      <w:r w:rsidR="0032463E">
        <w:t xml:space="preserve"> with</w:t>
      </w:r>
      <w:r>
        <w:t xml:space="preserve"> zero valued greater than one million dollars</w:t>
      </w:r>
    </w:p>
    <w:p w14:paraId="03EC840D" w14:textId="26C0CF02" w:rsidR="000F7B22" w:rsidRDefault="000F7B22" w:rsidP="000F7B22">
      <w:pPr>
        <w:pStyle w:val="Bulletedlist1"/>
      </w:pPr>
      <w:r>
        <w:t>The majority of</w:t>
      </w:r>
      <w:r w:rsidRPr="00AC5839">
        <w:t xml:space="preserve"> </w:t>
      </w:r>
      <w:r w:rsidRPr="009E3F44">
        <w:t>residential sale</w:t>
      </w:r>
      <w:r w:rsidRPr="00AC5839">
        <w:t xml:space="preserve"> transactions were for properties with values under 1</w:t>
      </w:r>
      <w:r w:rsidR="000F0AD4">
        <w:t xml:space="preserve"> </w:t>
      </w:r>
      <w:r w:rsidRPr="00AC5839">
        <w:t>m</w:t>
      </w:r>
      <w:r w:rsidR="000F0AD4">
        <w:t>illion dollars</w:t>
      </w:r>
      <w:r w:rsidRPr="00AC5839">
        <w:t xml:space="preserve"> (82.8</w:t>
      </w:r>
      <w:r w:rsidRPr="009E3F44">
        <w:t xml:space="preserve"> </w:t>
      </w:r>
      <w:r w:rsidR="00A75A4A">
        <w:t>per cent</w:t>
      </w:r>
      <w:r w:rsidRPr="00AC5839">
        <w:t>).</w:t>
      </w:r>
    </w:p>
    <w:p w14:paraId="3FDAD29F" w14:textId="77777777" w:rsidR="000F7B22" w:rsidRPr="00586AE0" w:rsidRDefault="000F7B22" w:rsidP="00FE2F1E">
      <w:pPr>
        <w:spacing w:before="120" w:after="120" w:line="240" w:lineRule="auto"/>
      </w:pPr>
    </w:p>
    <w:p w14:paraId="0309DEE8" w14:textId="20028892" w:rsidR="00B93E92" w:rsidRDefault="00586AE0" w:rsidP="000F7B22">
      <w:pPr>
        <w:spacing w:before="0" w:line="240" w:lineRule="auto"/>
        <w:jc w:val="center"/>
      </w:pPr>
      <w:r>
        <w:rPr>
          <w:noProof/>
          <w:lang w:eastAsia="en-AU"/>
        </w:rPr>
        <w:drawing>
          <wp:inline distT="0" distB="0" distL="0" distR="0" wp14:anchorId="54DC31BA" wp14:editId="378534FD">
            <wp:extent cx="5467350" cy="3344909"/>
            <wp:effectExtent l="19050" t="19050" r="19050" b="27305"/>
            <wp:docPr id="1149" name="Picture 1149" descr="The image is a map of Australia  showing the breakdown of sales transactions a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Sales_1.PNG"/>
                    <pic:cNvPicPr/>
                  </pic:nvPicPr>
                  <pic:blipFill>
                    <a:blip r:embed="rId26"/>
                    <a:stretch>
                      <a:fillRect/>
                    </a:stretch>
                  </pic:blipFill>
                  <pic:spPr>
                    <a:xfrm>
                      <a:off x="0" y="0"/>
                      <a:ext cx="5467350" cy="3344909"/>
                    </a:xfrm>
                    <a:prstGeom prst="rect">
                      <a:avLst/>
                    </a:prstGeom>
                    <a:solidFill>
                      <a:schemeClr val="tx1"/>
                    </a:solidFill>
                    <a:ln>
                      <a:solidFill>
                        <a:schemeClr val="accent1"/>
                      </a:solidFill>
                    </a:ln>
                  </pic:spPr>
                </pic:pic>
              </a:graphicData>
            </a:graphic>
          </wp:inline>
        </w:drawing>
      </w:r>
      <w:r w:rsidR="00B93E92">
        <w:br w:type="page"/>
      </w:r>
    </w:p>
    <w:p w14:paraId="69A77BD4" w14:textId="77777777" w:rsidR="00666812" w:rsidRDefault="00666812" w:rsidP="00666812">
      <w:pPr>
        <w:pStyle w:val="Heading2"/>
      </w:pPr>
      <w:bookmarkStart w:id="27" w:name="_Toc52283191"/>
      <w:bookmarkStart w:id="28" w:name="_Toc52428948"/>
      <w:r w:rsidRPr="00C53700">
        <w:t xml:space="preserve">Breakdown </w:t>
      </w:r>
      <w:r>
        <w:t>of sale transactions -</w:t>
      </w:r>
      <w:r w:rsidRPr="00C53700">
        <w:t xml:space="preserve"> property types</w:t>
      </w:r>
      <w:r>
        <w:t xml:space="preserve"> by state or territory</w:t>
      </w:r>
      <w:bookmarkEnd w:id="27"/>
      <w:bookmarkEnd w:id="28"/>
    </w:p>
    <w:p w14:paraId="622D5181" w14:textId="3073F5E3" w:rsidR="00666812" w:rsidRPr="00C06FE4" w:rsidRDefault="00666812" w:rsidP="00666812">
      <w:r>
        <w:t xml:space="preserve">The breakdown of sale transactions by property </w:t>
      </w:r>
      <w:proofErr w:type="gramStart"/>
      <w:r>
        <w:t>types</w:t>
      </w:r>
      <w:proofErr w:type="gramEnd"/>
      <w:r>
        <w:t xml:space="preserve"> new dwellings, vacant land and established dwellings</w:t>
      </w:r>
      <w:r w:rsidR="00BC409D">
        <w:t xml:space="preserve"> </w:t>
      </w:r>
      <w:bookmarkStart w:id="29" w:name="_Hlk52291261"/>
      <w:r w:rsidR="00BC409D">
        <w:t>by state or territory</w:t>
      </w:r>
      <w:r>
        <w:t xml:space="preserve"> </w:t>
      </w:r>
      <w:bookmarkEnd w:id="29"/>
      <w:r>
        <w:t>in the reporting period is detailed below. Due to the limited number of transactions, some details have been withheld due to privacy.</w:t>
      </w:r>
    </w:p>
    <w:p w14:paraId="3DA2C83E" w14:textId="0E8B6DD1" w:rsidR="00AC5839" w:rsidRDefault="00AC5839" w:rsidP="00AC5839">
      <w:pPr>
        <w:pStyle w:val="Heading4"/>
      </w:pPr>
      <w:r>
        <w:t>New dwellings</w:t>
      </w:r>
    </w:p>
    <w:p w14:paraId="37F5BAEE" w14:textId="77777777" w:rsidR="00AC5839" w:rsidRDefault="00AC5839" w:rsidP="00AC5839">
      <w:pPr>
        <w:pStyle w:val="Bulletedlist1"/>
      </w:pPr>
      <w:bookmarkStart w:id="30" w:name="_Hlk52200589"/>
      <w:r>
        <w:t>Victoria had 264 transactions valued at 166.5 million dollars.</w:t>
      </w:r>
    </w:p>
    <w:p w14:paraId="69110EBB" w14:textId="77777777" w:rsidR="00AC5839" w:rsidRDefault="00AC5839" w:rsidP="00AC5839">
      <w:pPr>
        <w:pStyle w:val="Bulletedlist1"/>
      </w:pPr>
      <w:r>
        <w:t>New South Wales had 202 transactions valued at 171.2 million dollars.</w:t>
      </w:r>
    </w:p>
    <w:p w14:paraId="4E6F06B5" w14:textId="77777777" w:rsidR="00AC5839" w:rsidRDefault="00AC5839" w:rsidP="00AC5839">
      <w:pPr>
        <w:pStyle w:val="Bulletedlist1"/>
      </w:pPr>
      <w:r>
        <w:t>Queensland had 118 transactions valued at 57.3 million dollars.</w:t>
      </w:r>
    </w:p>
    <w:p w14:paraId="1600AD2A" w14:textId="03540AE1" w:rsidR="00AC5839" w:rsidRDefault="00AC5839" w:rsidP="00AC5839">
      <w:pPr>
        <w:pStyle w:val="Bulletedlist1"/>
      </w:pPr>
      <w:r>
        <w:t xml:space="preserve">South Australia, Tasmania, the Australian Capital Territory and Western Australia </w:t>
      </w:r>
      <w:bookmarkStart w:id="31" w:name="_Hlk52200641"/>
      <w:r>
        <w:t>each had less than 5 transactions.</w:t>
      </w:r>
      <w:bookmarkEnd w:id="31"/>
    </w:p>
    <w:p w14:paraId="4A320F9D" w14:textId="744968A6" w:rsidR="00BC409D" w:rsidRPr="00AC5839" w:rsidRDefault="00BC409D" w:rsidP="00AC5839">
      <w:pPr>
        <w:pStyle w:val="Bulletedlist1"/>
      </w:pPr>
      <w:r>
        <w:t xml:space="preserve">The Northern </w:t>
      </w:r>
      <w:r w:rsidR="00A54309">
        <w:t>Territory had nil</w:t>
      </w:r>
      <w:r>
        <w:t xml:space="preserve"> transactions.</w:t>
      </w:r>
    </w:p>
    <w:bookmarkEnd w:id="30"/>
    <w:p w14:paraId="0E6949AB" w14:textId="5A900ECA" w:rsidR="00AC5839" w:rsidRDefault="00B93E92" w:rsidP="003F64CE">
      <w:pPr>
        <w:jc w:val="center"/>
      </w:pPr>
      <w:r>
        <w:rPr>
          <w:noProof/>
          <w:lang w:eastAsia="en-AU"/>
        </w:rPr>
        <w:drawing>
          <wp:inline distT="0" distB="0" distL="0" distR="0" wp14:anchorId="5B109624" wp14:editId="578AADE4">
            <wp:extent cx="5400000" cy="4500000"/>
            <wp:effectExtent l="19050" t="19050" r="10795" b="15240"/>
            <wp:docPr id="1150" name="Picture 1150" descr="The image is a map of Australia showing the State and Territory sales of new dwell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0" name="Sales_ND.PNG"/>
                    <pic:cNvPicPr/>
                  </pic:nvPicPr>
                  <pic:blipFill>
                    <a:blip r:embed="rId27"/>
                    <a:stretch>
                      <a:fillRect/>
                    </a:stretch>
                  </pic:blipFill>
                  <pic:spPr>
                    <a:xfrm>
                      <a:off x="0" y="0"/>
                      <a:ext cx="5400000" cy="4500000"/>
                    </a:xfrm>
                    <a:prstGeom prst="rect">
                      <a:avLst/>
                    </a:prstGeom>
                    <a:solidFill>
                      <a:schemeClr val="tx1"/>
                    </a:solidFill>
                    <a:ln>
                      <a:solidFill>
                        <a:schemeClr val="accent1"/>
                      </a:solidFill>
                    </a:ln>
                  </pic:spPr>
                </pic:pic>
              </a:graphicData>
            </a:graphic>
          </wp:inline>
        </w:drawing>
      </w:r>
    </w:p>
    <w:p w14:paraId="5EA7C00E" w14:textId="1FEF3418" w:rsidR="00AC5839" w:rsidRDefault="00AC5839" w:rsidP="00AC5839">
      <w:pPr>
        <w:pStyle w:val="Heading4"/>
      </w:pPr>
      <w:r>
        <w:t>Vacant land</w:t>
      </w:r>
    </w:p>
    <w:p w14:paraId="05C6495D" w14:textId="77777777" w:rsidR="00AC5839" w:rsidRDefault="00AC5839" w:rsidP="00AC5839">
      <w:pPr>
        <w:pStyle w:val="Bulletedlist1"/>
      </w:pPr>
      <w:r>
        <w:t>Victoria had 187 transactions valued at 115.9 million dollars.</w:t>
      </w:r>
    </w:p>
    <w:p w14:paraId="22F917EE" w14:textId="77777777" w:rsidR="00AC5839" w:rsidRDefault="00AC5839" w:rsidP="00AC5839">
      <w:pPr>
        <w:pStyle w:val="Bulletedlist1"/>
      </w:pPr>
      <w:r>
        <w:t>New South Wales had 47 transactions valued at 32.9 million dollars.</w:t>
      </w:r>
    </w:p>
    <w:p w14:paraId="4917C034" w14:textId="77777777" w:rsidR="00AC5839" w:rsidRDefault="00AC5839" w:rsidP="00AC5839">
      <w:pPr>
        <w:pStyle w:val="Bulletedlist1"/>
      </w:pPr>
      <w:r>
        <w:t>Queensland had 46 transactions valued at 24.3 million dollars.</w:t>
      </w:r>
    </w:p>
    <w:p w14:paraId="36AE3C09" w14:textId="30F6D11A" w:rsidR="00AC5839" w:rsidRDefault="00AC5839" w:rsidP="00AC5839">
      <w:pPr>
        <w:pStyle w:val="Bulletedlist1"/>
      </w:pPr>
      <w:r>
        <w:t>South Australia</w:t>
      </w:r>
      <w:r w:rsidR="00A54309">
        <w:t xml:space="preserve"> and </w:t>
      </w:r>
      <w:r>
        <w:t>Tasmania each had less than 5 transactions.</w:t>
      </w:r>
    </w:p>
    <w:p w14:paraId="6C9F2BBF" w14:textId="7151CD00" w:rsidR="00BC409D" w:rsidRPr="00AC5839" w:rsidRDefault="00BC409D" w:rsidP="00BC409D">
      <w:pPr>
        <w:pStyle w:val="Bulletedlist1"/>
      </w:pPr>
      <w:r>
        <w:t xml:space="preserve">The Northern </w:t>
      </w:r>
      <w:r w:rsidR="00A54309">
        <w:t>Territory, Western Australia and the Australian Capital Territory each had</w:t>
      </w:r>
      <w:r>
        <w:t xml:space="preserve"> nil transactions.</w:t>
      </w:r>
    </w:p>
    <w:p w14:paraId="4A71037A" w14:textId="77777777" w:rsidR="00BC409D" w:rsidRPr="00AC5839" w:rsidRDefault="00BC409D" w:rsidP="00BC409D">
      <w:pPr>
        <w:pStyle w:val="Bulletedlist1"/>
        <w:numPr>
          <w:ilvl w:val="0"/>
          <w:numId w:val="0"/>
        </w:numPr>
        <w:ind w:left="284"/>
      </w:pPr>
    </w:p>
    <w:p w14:paraId="5B53D6FA" w14:textId="287D4FAF" w:rsidR="00866A64" w:rsidRDefault="00866A64" w:rsidP="003F64CE">
      <w:pPr>
        <w:jc w:val="center"/>
      </w:pPr>
      <w:r>
        <w:rPr>
          <w:noProof/>
          <w:lang w:eastAsia="en-AU"/>
        </w:rPr>
        <w:drawing>
          <wp:inline distT="0" distB="0" distL="0" distR="0" wp14:anchorId="4EB54BFB" wp14:editId="43981B03">
            <wp:extent cx="5400000" cy="4500000"/>
            <wp:effectExtent l="19050" t="19050" r="10795" b="15240"/>
            <wp:docPr id="1151" name="Picture 1151" descr="The image is a map of Australia  showing the State and Territory sales of vacant 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1" name="Sales_VL.PNG"/>
                    <pic:cNvPicPr/>
                  </pic:nvPicPr>
                  <pic:blipFill>
                    <a:blip r:embed="rId28"/>
                    <a:stretch>
                      <a:fillRect/>
                    </a:stretch>
                  </pic:blipFill>
                  <pic:spPr>
                    <a:xfrm>
                      <a:off x="0" y="0"/>
                      <a:ext cx="5400000" cy="4500000"/>
                    </a:xfrm>
                    <a:prstGeom prst="rect">
                      <a:avLst/>
                    </a:prstGeom>
                    <a:noFill/>
                    <a:ln>
                      <a:solidFill>
                        <a:schemeClr val="accent1"/>
                      </a:solidFill>
                    </a:ln>
                  </pic:spPr>
                </pic:pic>
              </a:graphicData>
            </a:graphic>
          </wp:inline>
        </w:drawing>
      </w:r>
    </w:p>
    <w:p w14:paraId="6A66A9B7" w14:textId="54011845" w:rsidR="00AC5839" w:rsidRDefault="00AC5839" w:rsidP="00AC5839">
      <w:pPr>
        <w:pStyle w:val="Heading4"/>
      </w:pPr>
      <w:r>
        <w:t>Established dwellings</w:t>
      </w:r>
    </w:p>
    <w:p w14:paraId="7E1331AA" w14:textId="51E63577" w:rsidR="00AC5839" w:rsidRDefault="00AC5839" w:rsidP="00AC5839">
      <w:pPr>
        <w:pStyle w:val="Bulletedlist1"/>
      </w:pPr>
      <w:r>
        <w:t>Victoria had 150 transactions valued at 197</w:t>
      </w:r>
      <w:r w:rsidR="0032463E">
        <w:t>.0</w:t>
      </w:r>
      <w:r>
        <w:t xml:space="preserve"> million dollars.</w:t>
      </w:r>
    </w:p>
    <w:p w14:paraId="41654F0D" w14:textId="77777777" w:rsidR="00AC5839" w:rsidRDefault="00AC5839" w:rsidP="00AC5839">
      <w:pPr>
        <w:pStyle w:val="Bulletedlist1"/>
      </w:pPr>
      <w:r>
        <w:t>Queensland had 79 transactions valued at 60.5 million dollars.</w:t>
      </w:r>
    </w:p>
    <w:p w14:paraId="490CEB9A" w14:textId="061B2070" w:rsidR="00AC5839" w:rsidRDefault="00AC5839" w:rsidP="00AC5839">
      <w:pPr>
        <w:pStyle w:val="Bulletedlist1"/>
      </w:pPr>
      <w:r>
        <w:t>New South Wales had 71 transactions valued at 156.2 million dollars.</w:t>
      </w:r>
    </w:p>
    <w:p w14:paraId="09C0CA8B" w14:textId="4426E028" w:rsidR="00A54309" w:rsidRDefault="00A54309" w:rsidP="00A54309">
      <w:pPr>
        <w:pStyle w:val="Bulletedlist1"/>
      </w:pPr>
      <w:r>
        <w:t>Tasmania had less than 5 transactions.</w:t>
      </w:r>
    </w:p>
    <w:p w14:paraId="12DDE6B4" w14:textId="6FDEA82E" w:rsidR="00A54309" w:rsidRDefault="00A54309" w:rsidP="00A54309">
      <w:pPr>
        <w:pStyle w:val="Bulletedlist1"/>
      </w:pPr>
      <w:r>
        <w:t>South Australia, the Northern Territory, the Australian Capital Territory, and Western Australia each had nil transactions.</w:t>
      </w:r>
    </w:p>
    <w:p w14:paraId="59B82DC5" w14:textId="77777777" w:rsidR="00A54309" w:rsidRPr="00AC5839" w:rsidRDefault="00A54309" w:rsidP="00A54309">
      <w:pPr>
        <w:pStyle w:val="Bulletedlist1"/>
        <w:numPr>
          <w:ilvl w:val="0"/>
          <w:numId w:val="0"/>
        </w:numPr>
        <w:ind w:left="284"/>
      </w:pPr>
    </w:p>
    <w:p w14:paraId="4E9D8D4B" w14:textId="77777777" w:rsidR="002F0291" w:rsidRDefault="00866A64">
      <w:pPr>
        <w:spacing w:before="0" w:line="240" w:lineRule="auto"/>
      </w:pPr>
      <w:r>
        <w:rPr>
          <w:noProof/>
          <w:lang w:eastAsia="en-AU"/>
        </w:rPr>
        <w:drawing>
          <wp:inline distT="0" distB="0" distL="0" distR="0" wp14:anchorId="51F08B6D" wp14:editId="26968BA5">
            <wp:extent cx="5400000" cy="4500000"/>
            <wp:effectExtent l="19050" t="19050" r="10795" b="15240"/>
            <wp:docPr id="704" name="Picture 704" descr="The image is a map of Australia showing the State and Territory sales of established dwell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4" name="Sales_ED.PNG"/>
                    <pic:cNvPicPr/>
                  </pic:nvPicPr>
                  <pic:blipFill>
                    <a:blip r:embed="rId29"/>
                    <a:stretch>
                      <a:fillRect/>
                    </a:stretch>
                  </pic:blipFill>
                  <pic:spPr>
                    <a:xfrm>
                      <a:off x="0" y="0"/>
                      <a:ext cx="5400000" cy="4500000"/>
                    </a:xfrm>
                    <a:prstGeom prst="rect">
                      <a:avLst/>
                    </a:prstGeom>
                    <a:ln>
                      <a:solidFill>
                        <a:schemeClr val="accent1"/>
                      </a:solidFill>
                    </a:ln>
                  </pic:spPr>
                </pic:pic>
              </a:graphicData>
            </a:graphic>
          </wp:inline>
        </w:drawing>
      </w:r>
      <w:r w:rsidR="00586AE0">
        <w:br w:type="page"/>
      </w:r>
    </w:p>
    <w:p w14:paraId="42E9652A" w14:textId="186392DE" w:rsidR="002F0291" w:rsidRDefault="002F0291" w:rsidP="002F0291">
      <w:pPr>
        <w:pStyle w:val="Heading1"/>
        <w:framePr w:wrap="notBeside"/>
      </w:pPr>
      <w:bookmarkStart w:id="32" w:name="_Toc52428949"/>
      <w:r>
        <w:t xml:space="preserve">Purchase </w:t>
      </w:r>
      <w:r w:rsidR="00C90DFA">
        <w:t>T</w:t>
      </w:r>
      <w:r>
        <w:t>rends</w:t>
      </w:r>
      <w:bookmarkEnd w:id="32"/>
      <w:r>
        <w:br w:type="page"/>
      </w:r>
    </w:p>
    <w:p w14:paraId="44210C80" w14:textId="77777777" w:rsidR="002F0291" w:rsidRDefault="002F0291">
      <w:pPr>
        <w:spacing w:before="0" w:line="240" w:lineRule="auto"/>
      </w:pPr>
    </w:p>
    <w:p w14:paraId="780EE28C" w14:textId="7618960C" w:rsidR="00A76B09" w:rsidRDefault="00A76B09">
      <w:pPr>
        <w:spacing w:before="0" w:line="240" w:lineRule="auto"/>
      </w:pPr>
      <w:r w:rsidRPr="00A76B09">
        <w:t>There was a</w:t>
      </w:r>
      <w:r w:rsidR="009E12BF">
        <w:t>n</w:t>
      </w:r>
      <w:r w:rsidRPr="00A76B09">
        <w:t xml:space="preserve"> 11.4</w:t>
      </w:r>
      <w:r w:rsidR="009E3F44">
        <w:t xml:space="preserve"> </w:t>
      </w:r>
      <w:r w:rsidR="00A75A4A">
        <w:t>per cent</w:t>
      </w:r>
      <w:r w:rsidRPr="00A76B09">
        <w:t xml:space="preserve"> reduction in the number of purchase transactions in 2018-19 when compared to 2017-18. The value of transactions also reduced by 11.8</w:t>
      </w:r>
      <w:r w:rsidR="009E3F44">
        <w:t xml:space="preserve"> </w:t>
      </w:r>
      <w:r w:rsidR="00A75A4A">
        <w:t>per cent</w:t>
      </w:r>
      <w:r w:rsidRPr="00A76B09">
        <w:t xml:space="preserve"> when compared to 2017-18. </w:t>
      </w:r>
    </w:p>
    <w:p w14:paraId="2CE533B0" w14:textId="77777777" w:rsidR="009E12BF" w:rsidRDefault="009E12BF">
      <w:pPr>
        <w:spacing w:before="0" w:line="240" w:lineRule="auto"/>
      </w:pPr>
    </w:p>
    <w:p w14:paraId="4709AB91" w14:textId="07EBBB51" w:rsidR="00C500BA" w:rsidRDefault="00C500BA" w:rsidP="00C500BA">
      <w:pPr>
        <w:spacing w:before="0" w:line="240" w:lineRule="auto"/>
      </w:pPr>
      <w:r w:rsidRPr="00A76B09">
        <w:t xml:space="preserve">ACT, NT, NSW and </w:t>
      </w:r>
      <w:r w:rsidR="009E12BF">
        <w:t>Tasmania</w:t>
      </w:r>
      <w:r w:rsidRPr="00A76B09">
        <w:t xml:space="preserve"> show an increase in purchase counts when compared to 2017-18 and remaining states show an overall reduction when compared to their own state.</w:t>
      </w:r>
    </w:p>
    <w:p w14:paraId="7B36418B" w14:textId="77777777" w:rsidR="00C500BA" w:rsidRDefault="00C500BA">
      <w:pPr>
        <w:spacing w:before="0" w:line="240" w:lineRule="auto"/>
      </w:pPr>
    </w:p>
    <w:p w14:paraId="221B0A7D" w14:textId="77777777" w:rsidR="00A76B09" w:rsidRDefault="00A76B09" w:rsidP="00181DCE">
      <w:pPr>
        <w:spacing w:before="0" w:line="240" w:lineRule="auto"/>
        <w:jc w:val="center"/>
      </w:pPr>
      <w:r>
        <w:rPr>
          <w:noProof/>
          <w:lang w:eastAsia="en-AU"/>
        </w:rPr>
        <w:drawing>
          <wp:inline distT="0" distB="0" distL="0" distR="0" wp14:anchorId="31F2D46F" wp14:editId="24972C6B">
            <wp:extent cx="2075804" cy="1980000"/>
            <wp:effectExtent l="0" t="0" r="1270" b="1270"/>
            <wp:docPr id="705" name="Picture 705" descr="The image is a map of Australia  with the Northern Territory, New south Wales and Tasmania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urchase trend_1.PNG"/>
                    <pic:cNvPicPr/>
                  </pic:nvPicPr>
                  <pic:blipFill>
                    <a:blip r:embed="rId30"/>
                    <a:stretch>
                      <a:fillRect/>
                    </a:stretch>
                  </pic:blipFill>
                  <pic:spPr>
                    <a:xfrm>
                      <a:off x="0" y="0"/>
                      <a:ext cx="2075804" cy="1980000"/>
                    </a:xfrm>
                    <a:prstGeom prst="rect">
                      <a:avLst/>
                    </a:prstGeom>
                  </pic:spPr>
                </pic:pic>
              </a:graphicData>
            </a:graphic>
          </wp:inline>
        </w:drawing>
      </w:r>
    </w:p>
    <w:p w14:paraId="63A1678F" w14:textId="561D4A38" w:rsidR="00E270C0" w:rsidRDefault="00E270C0" w:rsidP="00C500BA">
      <w:pPr>
        <w:spacing w:before="0" w:line="240" w:lineRule="auto"/>
      </w:pPr>
    </w:p>
    <w:p w14:paraId="4EC6E890" w14:textId="1AA38483" w:rsidR="00E83E2E" w:rsidRDefault="00E83E2E" w:rsidP="00181DCE">
      <w:pPr>
        <w:spacing w:before="0" w:line="240" w:lineRule="auto"/>
        <w:jc w:val="center"/>
      </w:pPr>
    </w:p>
    <w:p w14:paraId="22F3E0A7" w14:textId="6B597B1E" w:rsidR="00E270C0" w:rsidRDefault="00C500BA" w:rsidP="00E270C0">
      <w:pPr>
        <w:spacing w:before="0" w:line="240" w:lineRule="auto"/>
      </w:pPr>
      <w:r>
        <w:t xml:space="preserve">The </w:t>
      </w:r>
      <w:r w:rsidR="00A75A4A">
        <w:t>percent</w:t>
      </w:r>
      <w:r w:rsidRPr="00E83E2E">
        <w:t>age of purchase transactions that were for residential real estate with values under 1</w:t>
      </w:r>
      <w:r w:rsidR="000F0AD4">
        <w:t xml:space="preserve"> </w:t>
      </w:r>
      <w:r w:rsidRPr="00E83E2E">
        <w:t>m</w:t>
      </w:r>
      <w:r w:rsidR="000F0AD4">
        <w:t>illion dollars</w:t>
      </w:r>
      <w:r>
        <w:t xml:space="preserve"> in 2018-2019 was 79.8 </w:t>
      </w:r>
      <w:r w:rsidR="00A75A4A">
        <w:t>per cent</w:t>
      </w:r>
      <w:r>
        <w:t xml:space="preserve"> </w:t>
      </w:r>
      <w:r w:rsidR="00A54309">
        <w:t xml:space="preserve">in 2018-19 </w:t>
      </w:r>
      <w:r>
        <w:t xml:space="preserve">compared to 81.5 </w:t>
      </w:r>
      <w:r w:rsidR="00A75A4A">
        <w:t>per cent</w:t>
      </w:r>
      <w:r>
        <w:t xml:space="preserve"> in 2017-2018</w:t>
      </w:r>
      <w:r w:rsidRPr="00E83E2E">
        <w:t>.</w:t>
      </w:r>
    </w:p>
    <w:p w14:paraId="32314DA5" w14:textId="286E087B" w:rsidR="00E83E2E" w:rsidRDefault="00E83E2E" w:rsidP="00A549AD">
      <w:pPr>
        <w:spacing w:before="0" w:line="240" w:lineRule="auto"/>
        <w:jc w:val="center"/>
      </w:pPr>
      <w:r>
        <w:rPr>
          <w:noProof/>
          <w:lang w:eastAsia="en-AU"/>
        </w:rPr>
        <w:drawing>
          <wp:inline distT="0" distB="0" distL="0" distR="0" wp14:anchorId="2F5C218F" wp14:editId="4DDCBDE6">
            <wp:extent cx="2520000" cy="1980000"/>
            <wp:effectExtent l="0" t="0" r="0" b="1270"/>
            <wp:docPr id="707" name="Picture 707" descr="The image is two part circles one inside  the other comparing percentage of purchase transactions that were for residential real estate with values under $1m&#10;2017-2018 81.5%&#10;2018-2019 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 name="Purchase trend_3.PNG"/>
                    <pic:cNvPicPr/>
                  </pic:nvPicPr>
                  <pic:blipFill>
                    <a:blip r:embed="rId31"/>
                    <a:stretch>
                      <a:fillRect/>
                    </a:stretch>
                  </pic:blipFill>
                  <pic:spPr>
                    <a:xfrm>
                      <a:off x="0" y="0"/>
                      <a:ext cx="2520000" cy="1980000"/>
                    </a:xfrm>
                    <a:prstGeom prst="rect">
                      <a:avLst/>
                    </a:prstGeom>
                  </pic:spPr>
                </pic:pic>
              </a:graphicData>
            </a:graphic>
          </wp:inline>
        </w:drawing>
      </w:r>
    </w:p>
    <w:p w14:paraId="6B8D6150" w14:textId="77777777" w:rsidR="0079188C" w:rsidRDefault="0079188C">
      <w:pPr>
        <w:spacing w:before="0" w:line="240" w:lineRule="auto"/>
      </w:pPr>
      <w:r>
        <w:br w:type="page"/>
      </w:r>
    </w:p>
    <w:p w14:paraId="4566DBF8" w14:textId="3D89894F" w:rsidR="00C500BA" w:rsidRDefault="00AC5839" w:rsidP="00C500BA">
      <w:pPr>
        <w:spacing w:before="0" w:line="240" w:lineRule="auto"/>
      </w:pPr>
      <w:r>
        <w:t>M</w:t>
      </w:r>
      <w:r w:rsidR="009E12BF">
        <w:t xml:space="preserve">ajority of </w:t>
      </w:r>
      <w:r w:rsidR="00C500BA" w:rsidRPr="00C500BA">
        <w:t>foreign purchases on the Register were new dwellings and vacant land</w:t>
      </w:r>
      <w:r w:rsidR="009E12BF">
        <w:t xml:space="preserve"> with </w:t>
      </w:r>
      <w:r w:rsidR="00A54309" w:rsidRPr="00AC5839">
        <w:t xml:space="preserve">86.3 </w:t>
      </w:r>
      <w:r w:rsidR="00A75A4A">
        <w:t>per cent</w:t>
      </w:r>
      <w:r w:rsidR="00A54309" w:rsidRPr="00AC5839">
        <w:t xml:space="preserve"> 2018-2019</w:t>
      </w:r>
      <w:r w:rsidR="00A54309">
        <w:t xml:space="preserve"> compared to </w:t>
      </w:r>
      <w:r w:rsidR="009E12BF" w:rsidRPr="00AC5839">
        <w:t xml:space="preserve">84.8 </w:t>
      </w:r>
      <w:r w:rsidR="00A75A4A">
        <w:t>per cent</w:t>
      </w:r>
      <w:r w:rsidR="009E12BF" w:rsidRPr="00AC5839">
        <w:t xml:space="preserve"> </w:t>
      </w:r>
      <w:r w:rsidR="009E12BF">
        <w:t xml:space="preserve">in </w:t>
      </w:r>
      <w:r w:rsidRPr="00AC5839">
        <w:t>2017-2018.</w:t>
      </w:r>
    </w:p>
    <w:p w14:paraId="1B5CF27D" w14:textId="658A47B6" w:rsidR="0079188C" w:rsidRPr="00C500BA" w:rsidRDefault="0079188C" w:rsidP="0079188C">
      <w:pPr>
        <w:spacing w:before="0" w:line="240" w:lineRule="auto"/>
        <w:jc w:val="center"/>
      </w:pPr>
      <w:r>
        <w:rPr>
          <w:noProof/>
          <w:lang w:eastAsia="en-AU"/>
        </w:rPr>
        <w:drawing>
          <wp:inline distT="0" distB="0" distL="0" distR="0" wp14:anchorId="04EDF959" wp14:editId="0440AE0E">
            <wp:extent cx="2752725" cy="2276475"/>
            <wp:effectExtent l="0" t="0" r="9525" b="9525"/>
            <wp:docPr id="708" name="Picture 708" descr="The image is two part circles one inside the other highlighting the majority of foreign purchases on the Register were new dwellings and vacant land  over two years &#10;2017-2018 84.8%&#10;2018-2019 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 name="Purchase trend_4.PNG"/>
                    <pic:cNvPicPr/>
                  </pic:nvPicPr>
                  <pic:blipFill>
                    <a:blip r:embed="rId32"/>
                    <a:stretch>
                      <a:fillRect/>
                    </a:stretch>
                  </pic:blipFill>
                  <pic:spPr>
                    <a:xfrm>
                      <a:off x="0" y="0"/>
                      <a:ext cx="2753078" cy="2276767"/>
                    </a:xfrm>
                    <a:prstGeom prst="rect">
                      <a:avLst/>
                    </a:prstGeom>
                  </pic:spPr>
                </pic:pic>
              </a:graphicData>
            </a:graphic>
          </wp:inline>
        </w:drawing>
      </w:r>
    </w:p>
    <w:p w14:paraId="674B8B59" w14:textId="506D4114" w:rsidR="00C500BA" w:rsidRDefault="00C500BA" w:rsidP="00181DCE">
      <w:pPr>
        <w:spacing w:before="0" w:line="240" w:lineRule="auto"/>
        <w:jc w:val="center"/>
      </w:pPr>
    </w:p>
    <w:p w14:paraId="50B47AF4" w14:textId="3CB52E45" w:rsidR="0079188C" w:rsidRDefault="0079188C" w:rsidP="0079188C">
      <w:pPr>
        <w:spacing w:before="0" w:line="240" w:lineRule="auto"/>
      </w:pPr>
      <w:r w:rsidRPr="00E83E2E">
        <w:t>NSW and VIC were the states with the greatest number of purchase transactions by property type in both years.</w:t>
      </w:r>
    </w:p>
    <w:p w14:paraId="0DBCE470" w14:textId="22944839" w:rsidR="0079188C" w:rsidRDefault="0079188C" w:rsidP="0079188C">
      <w:pPr>
        <w:spacing w:before="0" w:line="240" w:lineRule="auto"/>
        <w:jc w:val="center"/>
      </w:pPr>
      <w:r>
        <w:rPr>
          <w:noProof/>
          <w:lang w:eastAsia="en-AU"/>
        </w:rPr>
        <w:drawing>
          <wp:inline distT="0" distB="0" distL="0" distR="0" wp14:anchorId="2DA37AA4" wp14:editId="4904ED16">
            <wp:extent cx="3248025" cy="2371725"/>
            <wp:effectExtent l="0" t="0" r="9525" b="9525"/>
            <wp:docPr id="12" name="Picture 12" descr="This image is a graphical representation of the sentence 'NSW and VIC were the states with the greatest number of purchase transactions by property type in both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48025" cy="2371725"/>
                    </a:xfrm>
                    <a:prstGeom prst="rect">
                      <a:avLst/>
                    </a:prstGeom>
                  </pic:spPr>
                </pic:pic>
              </a:graphicData>
            </a:graphic>
          </wp:inline>
        </w:drawing>
      </w:r>
    </w:p>
    <w:p w14:paraId="2C0E087C" w14:textId="36DDB1EA" w:rsidR="00AC5839" w:rsidRDefault="0079188C" w:rsidP="0079188C">
      <w:pPr>
        <w:spacing w:before="0" w:line="240" w:lineRule="auto"/>
      </w:pPr>
      <w:r>
        <w:t xml:space="preserve">                                            </w:t>
      </w:r>
    </w:p>
    <w:p w14:paraId="04E9A044" w14:textId="6FEA7E50" w:rsidR="00C500BA" w:rsidRDefault="00C500BA" w:rsidP="00C500BA">
      <w:pPr>
        <w:spacing w:before="0" w:line="240" w:lineRule="auto"/>
      </w:pPr>
      <w:r w:rsidRPr="00C500BA">
        <w:t xml:space="preserve">When comparing the </w:t>
      </w:r>
      <w:r>
        <w:t>percentage</w:t>
      </w:r>
      <w:r w:rsidRPr="00C500BA">
        <w:t xml:space="preserve"> change in 2018-19 purchase transactions by property type to 2017-18, vacant land had the greatest reduction of 22.6</w:t>
      </w:r>
      <w:r w:rsidR="009E3F44">
        <w:t xml:space="preserve"> </w:t>
      </w:r>
      <w:r w:rsidR="00A75A4A">
        <w:t>per cent</w:t>
      </w:r>
      <w:r w:rsidR="00A54309">
        <w:t>. E</w:t>
      </w:r>
      <w:r w:rsidR="00AC5839" w:rsidRPr="00AC5839">
        <w:t xml:space="preserve">stablished dwellings </w:t>
      </w:r>
      <w:r w:rsidR="00A54309">
        <w:t>reduced by</w:t>
      </w:r>
      <w:r w:rsidR="00AC5839" w:rsidRPr="00AC5839">
        <w:t xml:space="preserve"> 20.1 </w:t>
      </w:r>
      <w:r w:rsidR="00A75A4A">
        <w:t>per cent</w:t>
      </w:r>
      <w:r w:rsidR="00AC5839" w:rsidRPr="00AC5839">
        <w:t xml:space="preserve"> and new dwellings </w:t>
      </w:r>
      <w:r w:rsidR="00A54309">
        <w:t>reduced by</w:t>
      </w:r>
      <w:r w:rsidR="00AC5839" w:rsidRPr="00AC5839">
        <w:t xml:space="preserve"> 5.9 </w:t>
      </w:r>
      <w:r w:rsidR="00A75A4A">
        <w:t>per cent</w:t>
      </w:r>
      <w:r w:rsidR="00AC5839" w:rsidRPr="00AC5839">
        <w:t>.</w:t>
      </w:r>
    </w:p>
    <w:p w14:paraId="2AC58987" w14:textId="77777777" w:rsidR="0055268E" w:rsidRDefault="0055268E" w:rsidP="00C500BA">
      <w:pPr>
        <w:spacing w:before="0" w:line="240" w:lineRule="auto"/>
      </w:pPr>
    </w:p>
    <w:p w14:paraId="4058BE64" w14:textId="51E0500E" w:rsidR="0055268E" w:rsidRDefault="0055268E" w:rsidP="0055268E">
      <w:pPr>
        <w:spacing w:before="0" w:line="240" w:lineRule="auto"/>
        <w:jc w:val="center"/>
      </w:pPr>
      <w:r>
        <w:rPr>
          <w:noProof/>
          <w:lang w:eastAsia="en-AU"/>
        </w:rPr>
        <w:drawing>
          <wp:inline distT="0" distB="0" distL="0" distR="0" wp14:anchorId="256C00D4" wp14:editId="15FF82E2">
            <wp:extent cx="4527538" cy="2190466"/>
            <wp:effectExtent l="0" t="0" r="6985" b="635"/>
            <wp:docPr id="11" name="Picture 11" descr="This image is a graphical representation of the sentence  explaining percentage change between 2017-18 and 2018-19 purchase transactions by proper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86581" cy="2219032"/>
                    </a:xfrm>
                    <a:prstGeom prst="rect">
                      <a:avLst/>
                    </a:prstGeom>
                  </pic:spPr>
                </pic:pic>
              </a:graphicData>
            </a:graphic>
          </wp:inline>
        </w:drawing>
      </w:r>
    </w:p>
    <w:p w14:paraId="69BA62A0" w14:textId="73BB7F2B" w:rsidR="00AC5839" w:rsidRDefault="00AC5839" w:rsidP="0055268E">
      <w:pPr>
        <w:spacing w:before="0" w:line="240" w:lineRule="auto"/>
      </w:pPr>
    </w:p>
    <w:p w14:paraId="11AF486A" w14:textId="77777777" w:rsidR="002F3FF4" w:rsidRDefault="002F3FF4" w:rsidP="002F3FF4">
      <w:pPr>
        <w:spacing w:before="0" w:line="240" w:lineRule="auto"/>
      </w:pPr>
    </w:p>
    <w:p w14:paraId="4B26537B" w14:textId="4C3800E9" w:rsidR="00CF419F" w:rsidRDefault="00CF419F" w:rsidP="00CF419F">
      <w:pPr>
        <w:spacing w:before="0" w:line="240" w:lineRule="auto"/>
      </w:pPr>
      <w:r w:rsidRPr="00772BEA">
        <w:t xml:space="preserve">The following table summarises </w:t>
      </w:r>
      <w:r>
        <w:t>purchase</w:t>
      </w:r>
      <w:r w:rsidRPr="00772BEA">
        <w:t xml:space="preserve"> transaction trends by state or territory in 2018-2019 compared to 2017 -18 broken down by property type. </w:t>
      </w:r>
    </w:p>
    <w:p w14:paraId="06EA7F8F" w14:textId="77777777" w:rsidR="00CF419F" w:rsidRDefault="00CF419F" w:rsidP="00CF419F">
      <w:pPr>
        <w:spacing w:before="0" w:line="240" w:lineRule="auto"/>
      </w:pPr>
    </w:p>
    <w:tbl>
      <w:tblPr>
        <w:tblW w:w="9072" w:type="dxa"/>
        <w:tblBorders>
          <w:top w:val="single" w:sz="8" w:space="0" w:color="3685F7"/>
          <w:bottom w:val="single" w:sz="8" w:space="0" w:color="3685F7"/>
          <w:insideH w:val="single" w:sz="8" w:space="0" w:color="3685F7"/>
        </w:tblBorders>
        <w:shd w:val="clear" w:color="auto" w:fill="FFFFFF" w:themeFill="background1"/>
        <w:tblLayout w:type="fixed"/>
        <w:tblLook w:val="04A0" w:firstRow="1" w:lastRow="0" w:firstColumn="1" w:lastColumn="0" w:noHBand="0" w:noVBand="1"/>
      </w:tblPr>
      <w:tblGrid>
        <w:gridCol w:w="1701"/>
        <w:gridCol w:w="1228"/>
        <w:gridCol w:w="1229"/>
        <w:gridCol w:w="1228"/>
        <w:gridCol w:w="1229"/>
        <w:gridCol w:w="1228"/>
        <w:gridCol w:w="1229"/>
      </w:tblGrid>
      <w:tr w:rsidR="00CF419F" w:rsidRPr="002F3FF4" w14:paraId="7E5446B2" w14:textId="77777777" w:rsidTr="00CF419F">
        <w:trPr>
          <w:trHeight w:val="303"/>
        </w:trPr>
        <w:tc>
          <w:tcPr>
            <w:tcW w:w="1701" w:type="dxa"/>
            <w:vMerge w:val="restart"/>
            <w:shd w:val="clear" w:color="auto" w:fill="2281D0"/>
            <w:vAlign w:val="bottom"/>
          </w:tcPr>
          <w:p w14:paraId="2675B5C3" w14:textId="28F12BB9" w:rsidR="00CF419F" w:rsidRPr="00CF419F" w:rsidRDefault="00CF419F" w:rsidP="002F3FF4">
            <w:pPr>
              <w:spacing w:before="0" w:line="240" w:lineRule="auto"/>
              <w:rPr>
                <w:rFonts w:ascii="Calibri" w:eastAsia="Times New Roman" w:hAnsi="Calibri"/>
                <w:b/>
                <w:bCs/>
                <w:szCs w:val="22"/>
                <w:lang w:eastAsia="en-AU"/>
              </w:rPr>
            </w:pPr>
            <w:r w:rsidRPr="00CF419F">
              <w:rPr>
                <w:rFonts w:ascii="Calibri" w:eastAsia="Times New Roman" w:hAnsi="Calibri"/>
                <w:b/>
                <w:bCs/>
                <w:szCs w:val="22"/>
                <w:lang w:eastAsia="en-AU"/>
              </w:rPr>
              <w:t>State/Territory</w:t>
            </w:r>
          </w:p>
        </w:tc>
        <w:tc>
          <w:tcPr>
            <w:tcW w:w="2457" w:type="dxa"/>
            <w:gridSpan w:val="2"/>
            <w:shd w:val="clear" w:color="auto" w:fill="2281D0"/>
            <w:vAlign w:val="center"/>
          </w:tcPr>
          <w:p w14:paraId="56848CCE" w14:textId="77C1739E" w:rsidR="00CF419F" w:rsidRPr="00CF419F" w:rsidRDefault="00CF419F" w:rsidP="002F3FF4">
            <w:pPr>
              <w:spacing w:before="0" w:line="240" w:lineRule="auto"/>
              <w:jc w:val="center"/>
              <w:rPr>
                <w:rFonts w:ascii="Calibri" w:eastAsia="Times New Roman" w:hAnsi="Calibri"/>
                <w:b/>
                <w:bCs/>
                <w:szCs w:val="22"/>
                <w:lang w:eastAsia="en-AU"/>
              </w:rPr>
            </w:pPr>
            <w:r w:rsidRPr="00CF419F">
              <w:rPr>
                <w:rFonts w:ascii="Calibri" w:eastAsia="Times New Roman" w:hAnsi="Calibri"/>
                <w:b/>
                <w:bCs/>
                <w:color w:val="000000"/>
                <w:szCs w:val="22"/>
                <w:lang w:eastAsia="en-AU"/>
              </w:rPr>
              <w:t>New Dwelling</w:t>
            </w:r>
          </w:p>
        </w:tc>
        <w:tc>
          <w:tcPr>
            <w:tcW w:w="2457" w:type="dxa"/>
            <w:gridSpan w:val="2"/>
            <w:shd w:val="clear" w:color="auto" w:fill="2281D0"/>
            <w:vAlign w:val="center"/>
          </w:tcPr>
          <w:p w14:paraId="34480836" w14:textId="6CC14CE9" w:rsidR="00CF419F" w:rsidRPr="00CF419F" w:rsidRDefault="00CF419F" w:rsidP="002F3FF4">
            <w:pPr>
              <w:spacing w:before="0" w:line="240" w:lineRule="auto"/>
              <w:jc w:val="center"/>
              <w:rPr>
                <w:rFonts w:ascii="Calibri" w:eastAsia="Times New Roman" w:hAnsi="Calibri"/>
                <w:b/>
                <w:bCs/>
                <w:szCs w:val="22"/>
                <w:lang w:eastAsia="en-AU"/>
              </w:rPr>
            </w:pPr>
            <w:r w:rsidRPr="00CF419F">
              <w:rPr>
                <w:rFonts w:ascii="Calibri" w:eastAsia="Times New Roman" w:hAnsi="Calibri"/>
                <w:b/>
                <w:bCs/>
                <w:color w:val="000000"/>
                <w:szCs w:val="22"/>
                <w:lang w:eastAsia="en-AU"/>
              </w:rPr>
              <w:t>Vacant Land</w:t>
            </w:r>
          </w:p>
        </w:tc>
        <w:tc>
          <w:tcPr>
            <w:tcW w:w="2457" w:type="dxa"/>
            <w:gridSpan w:val="2"/>
            <w:shd w:val="clear" w:color="auto" w:fill="2281D0"/>
            <w:vAlign w:val="center"/>
          </w:tcPr>
          <w:p w14:paraId="3E52820F" w14:textId="733BB75B" w:rsidR="00CF419F" w:rsidRPr="00CF419F" w:rsidRDefault="00CF419F" w:rsidP="002F3FF4">
            <w:pPr>
              <w:spacing w:before="0" w:line="240" w:lineRule="auto"/>
              <w:jc w:val="center"/>
              <w:rPr>
                <w:rFonts w:ascii="Calibri" w:eastAsia="Times New Roman" w:hAnsi="Calibri"/>
                <w:b/>
                <w:bCs/>
                <w:szCs w:val="22"/>
                <w:lang w:eastAsia="en-AU"/>
              </w:rPr>
            </w:pPr>
            <w:r w:rsidRPr="00CF419F">
              <w:rPr>
                <w:rFonts w:ascii="Calibri" w:eastAsia="Times New Roman" w:hAnsi="Calibri"/>
                <w:b/>
                <w:bCs/>
                <w:color w:val="000000"/>
                <w:szCs w:val="22"/>
                <w:lang w:eastAsia="en-AU"/>
              </w:rPr>
              <w:t>Established Dwelling</w:t>
            </w:r>
          </w:p>
        </w:tc>
      </w:tr>
      <w:tr w:rsidR="00CF419F" w:rsidRPr="002F3FF4" w14:paraId="63A78752" w14:textId="77777777" w:rsidTr="00CF419F">
        <w:trPr>
          <w:trHeight w:val="606"/>
        </w:trPr>
        <w:tc>
          <w:tcPr>
            <w:tcW w:w="1701" w:type="dxa"/>
            <w:vMerge/>
            <w:shd w:val="clear" w:color="auto" w:fill="2281D0"/>
            <w:vAlign w:val="center"/>
            <w:hideMark/>
          </w:tcPr>
          <w:p w14:paraId="0262DE2D" w14:textId="307C3B06" w:rsidR="00CF419F" w:rsidRPr="00CF419F" w:rsidRDefault="00CF419F" w:rsidP="002F3FF4">
            <w:pPr>
              <w:spacing w:before="0" w:line="240" w:lineRule="auto"/>
              <w:rPr>
                <w:rFonts w:ascii="Calibri" w:eastAsia="Times New Roman" w:hAnsi="Calibri"/>
                <w:b/>
                <w:bCs/>
                <w:szCs w:val="22"/>
                <w:lang w:eastAsia="en-AU"/>
              </w:rPr>
            </w:pPr>
          </w:p>
        </w:tc>
        <w:tc>
          <w:tcPr>
            <w:tcW w:w="1228" w:type="dxa"/>
            <w:shd w:val="clear" w:color="auto" w:fill="2281D0"/>
            <w:vAlign w:val="center"/>
            <w:hideMark/>
          </w:tcPr>
          <w:p w14:paraId="25F21295" w14:textId="77777777" w:rsidR="00CF419F" w:rsidRPr="00CF419F" w:rsidRDefault="00CF419F" w:rsidP="002F3FF4">
            <w:pPr>
              <w:spacing w:before="0" w:line="240" w:lineRule="auto"/>
              <w:jc w:val="center"/>
              <w:rPr>
                <w:rFonts w:ascii="Calibri" w:eastAsia="Times New Roman" w:hAnsi="Calibri"/>
                <w:b/>
                <w:bCs/>
                <w:szCs w:val="22"/>
                <w:lang w:eastAsia="en-AU"/>
              </w:rPr>
            </w:pPr>
            <w:r w:rsidRPr="00CF419F">
              <w:rPr>
                <w:rFonts w:ascii="Calibri" w:eastAsia="Times New Roman" w:hAnsi="Calibri"/>
                <w:b/>
                <w:bCs/>
                <w:szCs w:val="22"/>
                <w:lang w:eastAsia="en-AU"/>
              </w:rPr>
              <w:t>2017-18</w:t>
            </w:r>
          </w:p>
        </w:tc>
        <w:tc>
          <w:tcPr>
            <w:tcW w:w="1229" w:type="dxa"/>
            <w:shd w:val="clear" w:color="auto" w:fill="2281D0"/>
            <w:vAlign w:val="center"/>
            <w:hideMark/>
          </w:tcPr>
          <w:p w14:paraId="52BF9461" w14:textId="77777777" w:rsidR="00CF419F" w:rsidRPr="00CF419F" w:rsidRDefault="00CF419F" w:rsidP="002F3FF4">
            <w:pPr>
              <w:spacing w:before="0" w:line="240" w:lineRule="auto"/>
              <w:jc w:val="center"/>
              <w:rPr>
                <w:rFonts w:ascii="Calibri" w:eastAsia="Times New Roman" w:hAnsi="Calibri"/>
                <w:b/>
                <w:bCs/>
                <w:szCs w:val="22"/>
                <w:lang w:eastAsia="en-AU"/>
              </w:rPr>
            </w:pPr>
            <w:r w:rsidRPr="00CF419F">
              <w:rPr>
                <w:rFonts w:ascii="Calibri" w:eastAsia="Times New Roman" w:hAnsi="Calibri"/>
                <w:b/>
                <w:bCs/>
                <w:szCs w:val="22"/>
                <w:lang w:eastAsia="en-AU"/>
              </w:rPr>
              <w:t>2018-19</w:t>
            </w:r>
          </w:p>
        </w:tc>
        <w:tc>
          <w:tcPr>
            <w:tcW w:w="1228" w:type="dxa"/>
            <w:shd w:val="clear" w:color="auto" w:fill="2281D0"/>
            <w:vAlign w:val="center"/>
            <w:hideMark/>
          </w:tcPr>
          <w:p w14:paraId="1AAC2B33" w14:textId="77777777" w:rsidR="00CF419F" w:rsidRPr="00CF419F" w:rsidRDefault="00CF419F" w:rsidP="002F3FF4">
            <w:pPr>
              <w:spacing w:before="0" w:line="240" w:lineRule="auto"/>
              <w:jc w:val="center"/>
              <w:rPr>
                <w:rFonts w:ascii="Calibri" w:eastAsia="Times New Roman" w:hAnsi="Calibri"/>
                <w:b/>
                <w:bCs/>
                <w:szCs w:val="22"/>
                <w:lang w:eastAsia="en-AU"/>
              </w:rPr>
            </w:pPr>
            <w:r w:rsidRPr="00CF419F">
              <w:rPr>
                <w:rFonts w:ascii="Calibri" w:eastAsia="Times New Roman" w:hAnsi="Calibri"/>
                <w:b/>
                <w:bCs/>
                <w:szCs w:val="22"/>
                <w:lang w:eastAsia="en-AU"/>
              </w:rPr>
              <w:t>2017-18</w:t>
            </w:r>
          </w:p>
        </w:tc>
        <w:tc>
          <w:tcPr>
            <w:tcW w:w="1229" w:type="dxa"/>
            <w:shd w:val="clear" w:color="auto" w:fill="2281D0"/>
            <w:vAlign w:val="center"/>
            <w:hideMark/>
          </w:tcPr>
          <w:p w14:paraId="5A0214D3" w14:textId="77777777" w:rsidR="00CF419F" w:rsidRPr="00CF419F" w:rsidRDefault="00CF419F" w:rsidP="002F3FF4">
            <w:pPr>
              <w:spacing w:before="0" w:line="240" w:lineRule="auto"/>
              <w:jc w:val="center"/>
              <w:rPr>
                <w:rFonts w:ascii="Calibri" w:eastAsia="Times New Roman" w:hAnsi="Calibri"/>
                <w:b/>
                <w:bCs/>
                <w:szCs w:val="22"/>
                <w:lang w:eastAsia="en-AU"/>
              </w:rPr>
            </w:pPr>
            <w:r w:rsidRPr="00CF419F">
              <w:rPr>
                <w:rFonts w:ascii="Calibri" w:eastAsia="Times New Roman" w:hAnsi="Calibri"/>
                <w:b/>
                <w:bCs/>
                <w:szCs w:val="22"/>
                <w:lang w:eastAsia="en-AU"/>
              </w:rPr>
              <w:t>2018-19</w:t>
            </w:r>
          </w:p>
        </w:tc>
        <w:tc>
          <w:tcPr>
            <w:tcW w:w="1228" w:type="dxa"/>
            <w:shd w:val="clear" w:color="auto" w:fill="2281D0"/>
            <w:vAlign w:val="center"/>
            <w:hideMark/>
          </w:tcPr>
          <w:p w14:paraId="1CE5BF91" w14:textId="77777777" w:rsidR="00CF419F" w:rsidRPr="00CF419F" w:rsidRDefault="00CF419F" w:rsidP="002F3FF4">
            <w:pPr>
              <w:spacing w:before="0" w:line="240" w:lineRule="auto"/>
              <w:jc w:val="center"/>
              <w:rPr>
                <w:rFonts w:ascii="Calibri" w:eastAsia="Times New Roman" w:hAnsi="Calibri"/>
                <w:b/>
                <w:bCs/>
                <w:szCs w:val="22"/>
                <w:lang w:eastAsia="en-AU"/>
              </w:rPr>
            </w:pPr>
            <w:r w:rsidRPr="00CF419F">
              <w:rPr>
                <w:rFonts w:ascii="Calibri" w:eastAsia="Times New Roman" w:hAnsi="Calibri"/>
                <w:b/>
                <w:bCs/>
                <w:szCs w:val="22"/>
                <w:lang w:eastAsia="en-AU"/>
              </w:rPr>
              <w:t>2017-18</w:t>
            </w:r>
          </w:p>
        </w:tc>
        <w:tc>
          <w:tcPr>
            <w:tcW w:w="1229" w:type="dxa"/>
            <w:shd w:val="clear" w:color="auto" w:fill="2281D0"/>
            <w:vAlign w:val="center"/>
            <w:hideMark/>
          </w:tcPr>
          <w:p w14:paraId="34F2DA25" w14:textId="77777777" w:rsidR="00CF419F" w:rsidRPr="00CF419F" w:rsidRDefault="00CF419F" w:rsidP="002F3FF4">
            <w:pPr>
              <w:spacing w:before="0" w:line="240" w:lineRule="auto"/>
              <w:jc w:val="center"/>
              <w:rPr>
                <w:rFonts w:ascii="Calibri" w:eastAsia="Times New Roman" w:hAnsi="Calibri"/>
                <w:b/>
                <w:bCs/>
                <w:szCs w:val="22"/>
                <w:lang w:eastAsia="en-AU"/>
              </w:rPr>
            </w:pPr>
            <w:r w:rsidRPr="00CF419F">
              <w:rPr>
                <w:rFonts w:ascii="Calibri" w:eastAsia="Times New Roman" w:hAnsi="Calibri"/>
                <w:b/>
                <w:bCs/>
                <w:szCs w:val="22"/>
                <w:lang w:eastAsia="en-AU"/>
              </w:rPr>
              <w:t>2018-19</w:t>
            </w:r>
          </w:p>
        </w:tc>
      </w:tr>
      <w:tr w:rsidR="0014783F" w:rsidRPr="002F3FF4" w14:paraId="5F50AF34" w14:textId="77777777" w:rsidTr="004F6433">
        <w:trPr>
          <w:trHeight w:val="303"/>
        </w:trPr>
        <w:tc>
          <w:tcPr>
            <w:tcW w:w="1701" w:type="dxa"/>
            <w:shd w:val="clear" w:color="auto" w:fill="FFFFFF" w:themeFill="background1"/>
            <w:vAlign w:val="center"/>
            <w:hideMark/>
          </w:tcPr>
          <w:p w14:paraId="00FCD1B9" w14:textId="77777777" w:rsidR="0014783F" w:rsidRPr="00CF419F" w:rsidRDefault="0014783F" w:rsidP="0014783F">
            <w:pPr>
              <w:spacing w:before="0" w:line="240" w:lineRule="auto"/>
              <w:rPr>
                <w:rFonts w:ascii="Calibri" w:eastAsia="Times New Roman" w:hAnsi="Calibri"/>
                <w:szCs w:val="22"/>
                <w:lang w:eastAsia="en-AU"/>
              </w:rPr>
            </w:pPr>
            <w:r w:rsidRPr="00CF419F">
              <w:rPr>
                <w:rFonts w:ascii="Calibri" w:eastAsia="Times New Roman" w:hAnsi="Calibri"/>
                <w:szCs w:val="22"/>
                <w:lang w:eastAsia="en-AU"/>
              </w:rPr>
              <w:t>ACT*</w:t>
            </w:r>
          </w:p>
        </w:tc>
        <w:tc>
          <w:tcPr>
            <w:tcW w:w="1228" w:type="dxa"/>
            <w:shd w:val="clear" w:color="auto" w:fill="FFFFFF" w:themeFill="background1"/>
            <w:noWrap/>
            <w:vAlign w:val="center"/>
            <w:hideMark/>
          </w:tcPr>
          <w:p w14:paraId="7E0660CC" w14:textId="77777777" w:rsidR="0014783F" w:rsidRPr="00CF419F" w:rsidRDefault="0014783F" w:rsidP="0014783F">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28</w:t>
            </w:r>
          </w:p>
        </w:tc>
        <w:tc>
          <w:tcPr>
            <w:tcW w:w="1229" w:type="dxa"/>
            <w:shd w:val="clear" w:color="auto" w:fill="FFFFFF" w:themeFill="background1"/>
            <w:noWrap/>
            <w:vAlign w:val="center"/>
            <w:hideMark/>
          </w:tcPr>
          <w:p w14:paraId="55BC73F6" w14:textId="77777777" w:rsidR="0014783F" w:rsidRPr="00CF419F" w:rsidRDefault="0014783F" w:rsidP="0014783F">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42</w:t>
            </w:r>
          </w:p>
        </w:tc>
        <w:tc>
          <w:tcPr>
            <w:tcW w:w="1228" w:type="dxa"/>
            <w:shd w:val="clear" w:color="auto" w:fill="FFFFFF" w:themeFill="background1"/>
            <w:noWrap/>
            <w:hideMark/>
          </w:tcPr>
          <w:p w14:paraId="39B98181" w14:textId="2992BA38" w:rsidR="0014783F" w:rsidRPr="00CF419F" w:rsidRDefault="0014783F" w:rsidP="0014783F">
            <w:pPr>
              <w:spacing w:before="0" w:line="240" w:lineRule="auto"/>
              <w:jc w:val="right"/>
              <w:rPr>
                <w:rFonts w:ascii="Calibri" w:eastAsia="Times New Roman" w:hAnsi="Calibri"/>
                <w:szCs w:val="22"/>
                <w:lang w:eastAsia="en-AU"/>
              </w:rPr>
            </w:pPr>
            <w:r w:rsidRPr="000B6977">
              <w:rPr>
                <w:rFonts w:ascii="Calibri" w:eastAsia="Times New Roman" w:hAnsi="Calibri"/>
                <w:szCs w:val="22"/>
                <w:lang w:eastAsia="en-AU"/>
              </w:rPr>
              <w:t>&lt;5</w:t>
            </w:r>
          </w:p>
        </w:tc>
        <w:tc>
          <w:tcPr>
            <w:tcW w:w="1229" w:type="dxa"/>
            <w:shd w:val="clear" w:color="auto" w:fill="FFFFFF" w:themeFill="background1"/>
            <w:noWrap/>
            <w:hideMark/>
          </w:tcPr>
          <w:p w14:paraId="1CAA033D" w14:textId="52833AEA" w:rsidR="0014783F" w:rsidRPr="00CF419F" w:rsidRDefault="0014783F" w:rsidP="0014783F">
            <w:pPr>
              <w:spacing w:before="0" w:line="240" w:lineRule="auto"/>
              <w:jc w:val="right"/>
              <w:rPr>
                <w:rFonts w:ascii="Calibri" w:eastAsia="Times New Roman" w:hAnsi="Calibri"/>
                <w:szCs w:val="22"/>
                <w:lang w:eastAsia="en-AU"/>
              </w:rPr>
            </w:pPr>
            <w:r w:rsidRPr="000B6977">
              <w:rPr>
                <w:rFonts w:ascii="Calibri" w:eastAsia="Times New Roman" w:hAnsi="Calibri"/>
                <w:szCs w:val="22"/>
                <w:lang w:eastAsia="en-AU"/>
              </w:rPr>
              <w:t>&lt;5</w:t>
            </w:r>
          </w:p>
        </w:tc>
        <w:tc>
          <w:tcPr>
            <w:tcW w:w="1228" w:type="dxa"/>
            <w:shd w:val="clear" w:color="auto" w:fill="FFFFFF" w:themeFill="background1"/>
            <w:vAlign w:val="center"/>
            <w:hideMark/>
          </w:tcPr>
          <w:p w14:paraId="414AF8AD" w14:textId="77777777" w:rsidR="0014783F" w:rsidRPr="00CF419F" w:rsidRDefault="0014783F" w:rsidP="0014783F">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11</w:t>
            </w:r>
          </w:p>
        </w:tc>
        <w:tc>
          <w:tcPr>
            <w:tcW w:w="1229" w:type="dxa"/>
            <w:shd w:val="clear" w:color="auto" w:fill="FFFFFF" w:themeFill="background1"/>
            <w:vAlign w:val="center"/>
            <w:hideMark/>
          </w:tcPr>
          <w:p w14:paraId="7432E38E" w14:textId="77777777" w:rsidR="0014783F" w:rsidRPr="00CF419F" w:rsidRDefault="0014783F" w:rsidP="0014783F">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22</w:t>
            </w:r>
          </w:p>
        </w:tc>
      </w:tr>
      <w:tr w:rsidR="002F3FF4" w:rsidRPr="002F3FF4" w14:paraId="513CFFCE" w14:textId="77777777" w:rsidTr="00CF419F">
        <w:trPr>
          <w:trHeight w:val="303"/>
        </w:trPr>
        <w:tc>
          <w:tcPr>
            <w:tcW w:w="1701" w:type="dxa"/>
            <w:shd w:val="clear" w:color="auto" w:fill="FFFFFF" w:themeFill="background1"/>
            <w:vAlign w:val="center"/>
            <w:hideMark/>
          </w:tcPr>
          <w:p w14:paraId="355E3808" w14:textId="77777777" w:rsidR="002F3FF4" w:rsidRPr="00CF419F" w:rsidRDefault="002F3FF4" w:rsidP="002F3FF4">
            <w:pPr>
              <w:spacing w:before="0" w:line="240" w:lineRule="auto"/>
              <w:rPr>
                <w:rFonts w:ascii="Calibri" w:eastAsia="Times New Roman" w:hAnsi="Calibri"/>
                <w:szCs w:val="22"/>
                <w:lang w:eastAsia="en-AU"/>
              </w:rPr>
            </w:pPr>
            <w:r w:rsidRPr="00CF419F">
              <w:rPr>
                <w:rFonts w:ascii="Calibri" w:eastAsia="Times New Roman" w:hAnsi="Calibri"/>
                <w:szCs w:val="22"/>
                <w:lang w:eastAsia="en-AU"/>
              </w:rPr>
              <w:t>NSW</w:t>
            </w:r>
          </w:p>
        </w:tc>
        <w:tc>
          <w:tcPr>
            <w:tcW w:w="1228" w:type="dxa"/>
            <w:shd w:val="clear" w:color="auto" w:fill="FFFFFF" w:themeFill="background1"/>
            <w:noWrap/>
            <w:vAlign w:val="center"/>
            <w:hideMark/>
          </w:tcPr>
          <w:p w14:paraId="7A985216"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2,570</w:t>
            </w:r>
          </w:p>
        </w:tc>
        <w:tc>
          <w:tcPr>
            <w:tcW w:w="1229" w:type="dxa"/>
            <w:shd w:val="clear" w:color="auto" w:fill="FFFFFF" w:themeFill="background1"/>
            <w:noWrap/>
            <w:vAlign w:val="center"/>
            <w:hideMark/>
          </w:tcPr>
          <w:p w14:paraId="40920543"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2,832</w:t>
            </w:r>
          </w:p>
        </w:tc>
        <w:tc>
          <w:tcPr>
            <w:tcW w:w="1228" w:type="dxa"/>
            <w:shd w:val="clear" w:color="auto" w:fill="FFFFFF" w:themeFill="background1"/>
            <w:noWrap/>
            <w:vAlign w:val="center"/>
            <w:hideMark/>
          </w:tcPr>
          <w:p w14:paraId="3CE0AB24"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233</w:t>
            </w:r>
          </w:p>
        </w:tc>
        <w:tc>
          <w:tcPr>
            <w:tcW w:w="1229" w:type="dxa"/>
            <w:shd w:val="clear" w:color="auto" w:fill="FFFFFF" w:themeFill="background1"/>
            <w:noWrap/>
            <w:vAlign w:val="center"/>
            <w:hideMark/>
          </w:tcPr>
          <w:p w14:paraId="121248B7"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149</w:t>
            </w:r>
          </w:p>
        </w:tc>
        <w:tc>
          <w:tcPr>
            <w:tcW w:w="1228" w:type="dxa"/>
            <w:shd w:val="clear" w:color="auto" w:fill="FFFFFF" w:themeFill="background1"/>
            <w:vAlign w:val="center"/>
            <w:hideMark/>
          </w:tcPr>
          <w:p w14:paraId="627C56A4"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281</w:t>
            </w:r>
          </w:p>
        </w:tc>
        <w:tc>
          <w:tcPr>
            <w:tcW w:w="1229" w:type="dxa"/>
            <w:shd w:val="clear" w:color="auto" w:fill="FFFFFF" w:themeFill="background1"/>
            <w:vAlign w:val="center"/>
            <w:hideMark/>
          </w:tcPr>
          <w:p w14:paraId="5714BA54"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170</w:t>
            </w:r>
          </w:p>
        </w:tc>
      </w:tr>
      <w:tr w:rsidR="0014783F" w:rsidRPr="002F3FF4" w14:paraId="19B56267" w14:textId="77777777" w:rsidTr="004F6433">
        <w:trPr>
          <w:trHeight w:val="303"/>
        </w:trPr>
        <w:tc>
          <w:tcPr>
            <w:tcW w:w="1701" w:type="dxa"/>
            <w:shd w:val="clear" w:color="auto" w:fill="FFFFFF" w:themeFill="background1"/>
            <w:vAlign w:val="center"/>
            <w:hideMark/>
          </w:tcPr>
          <w:p w14:paraId="2C2E7321" w14:textId="77777777" w:rsidR="0014783F" w:rsidRPr="00CF419F" w:rsidRDefault="0014783F" w:rsidP="0014783F">
            <w:pPr>
              <w:spacing w:before="0" w:line="240" w:lineRule="auto"/>
              <w:rPr>
                <w:rFonts w:ascii="Calibri" w:eastAsia="Times New Roman" w:hAnsi="Calibri"/>
                <w:szCs w:val="22"/>
                <w:lang w:eastAsia="en-AU"/>
              </w:rPr>
            </w:pPr>
            <w:r w:rsidRPr="00CF419F">
              <w:rPr>
                <w:rFonts w:ascii="Calibri" w:eastAsia="Times New Roman" w:hAnsi="Calibri"/>
                <w:szCs w:val="22"/>
                <w:lang w:eastAsia="en-AU"/>
              </w:rPr>
              <w:t>NT*</w:t>
            </w:r>
          </w:p>
        </w:tc>
        <w:tc>
          <w:tcPr>
            <w:tcW w:w="1228" w:type="dxa"/>
            <w:shd w:val="clear" w:color="auto" w:fill="FFFFFF" w:themeFill="background1"/>
            <w:noWrap/>
            <w:vAlign w:val="center"/>
            <w:hideMark/>
          </w:tcPr>
          <w:p w14:paraId="0D03850B" w14:textId="0DFB0A2A" w:rsidR="0014783F" w:rsidRPr="00CF419F" w:rsidRDefault="0014783F" w:rsidP="0014783F">
            <w:pPr>
              <w:spacing w:before="0" w:line="240" w:lineRule="auto"/>
              <w:jc w:val="right"/>
              <w:rPr>
                <w:rFonts w:ascii="Calibri" w:eastAsia="Times New Roman" w:hAnsi="Calibri"/>
                <w:szCs w:val="22"/>
                <w:lang w:eastAsia="en-AU"/>
              </w:rPr>
            </w:pPr>
            <w:r>
              <w:rPr>
                <w:rFonts w:ascii="Calibri" w:eastAsia="Times New Roman" w:hAnsi="Calibri"/>
                <w:szCs w:val="22"/>
                <w:lang w:eastAsia="en-AU"/>
              </w:rPr>
              <w:t>&lt;5</w:t>
            </w:r>
          </w:p>
        </w:tc>
        <w:tc>
          <w:tcPr>
            <w:tcW w:w="1229" w:type="dxa"/>
            <w:shd w:val="clear" w:color="auto" w:fill="FFFFFF" w:themeFill="background1"/>
            <w:noWrap/>
            <w:vAlign w:val="center"/>
            <w:hideMark/>
          </w:tcPr>
          <w:p w14:paraId="5B13B87B" w14:textId="77777777" w:rsidR="0014783F" w:rsidRPr="00CF419F" w:rsidRDefault="0014783F" w:rsidP="0014783F">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w:t>
            </w:r>
          </w:p>
        </w:tc>
        <w:tc>
          <w:tcPr>
            <w:tcW w:w="1228" w:type="dxa"/>
            <w:shd w:val="clear" w:color="auto" w:fill="FFFFFF" w:themeFill="background1"/>
            <w:noWrap/>
            <w:vAlign w:val="center"/>
            <w:hideMark/>
          </w:tcPr>
          <w:p w14:paraId="1E993D73" w14:textId="77777777" w:rsidR="0014783F" w:rsidRPr="00CF419F" w:rsidRDefault="0014783F" w:rsidP="0014783F">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w:t>
            </w:r>
          </w:p>
        </w:tc>
        <w:tc>
          <w:tcPr>
            <w:tcW w:w="1229" w:type="dxa"/>
            <w:shd w:val="clear" w:color="auto" w:fill="FFFFFF" w:themeFill="background1"/>
            <w:noWrap/>
            <w:hideMark/>
          </w:tcPr>
          <w:p w14:paraId="77D7146E" w14:textId="2872D740" w:rsidR="0014783F" w:rsidRPr="00CF419F" w:rsidRDefault="0014783F" w:rsidP="0014783F">
            <w:pPr>
              <w:spacing w:before="0" w:line="240" w:lineRule="auto"/>
              <w:jc w:val="right"/>
              <w:rPr>
                <w:rFonts w:ascii="Calibri" w:eastAsia="Times New Roman" w:hAnsi="Calibri"/>
                <w:szCs w:val="22"/>
                <w:lang w:eastAsia="en-AU"/>
              </w:rPr>
            </w:pPr>
            <w:r w:rsidRPr="007831C7">
              <w:rPr>
                <w:rFonts w:ascii="Calibri" w:eastAsia="Times New Roman" w:hAnsi="Calibri"/>
                <w:szCs w:val="22"/>
                <w:lang w:eastAsia="en-AU"/>
              </w:rPr>
              <w:t>&lt;5</w:t>
            </w:r>
          </w:p>
        </w:tc>
        <w:tc>
          <w:tcPr>
            <w:tcW w:w="1228" w:type="dxa"/>
            <w:shd w:val="clear" w:color="auto" w:fill="FFFFFF" w:themeFill="background1"/>
            <w:hideMark/>
          </w:tcPr>
          <w:p w14:paraId="1137ADE2" w14:textId="3A170936" w:rsidR="0014783F" w:rsidRPr="00CF419F" w:rsidRDefault="0014783F" w:rsidP="0014783F">
            <w:pPr>
              <w:spacing w:before="0" w:line="240" w:lineRule="auto"/>
              <w:jc w:val="right"/>
              <w:rPr>
                <w:rFonts w:ascii="Calibri" w:eastAsia="Times New Roman" w:hAnsi="Calibri"/>
                <w:szCs w:val="22"/>
                <w:lang w:eastAsia="en-AU"/>
              </w:rPr>
            </w:pPr>
            <w:r w:rsidRPr="007831C7">
              <w:rPr>
                <w:rFonts w:ascii="Calibri" w:eastAsia="Times New Roman" w:hAnsi="Calibri"/>
                <w:szCs w:val="22"/>
                <w:lang w:eastAsia="en-AU"/>
              </w:rPr>
              <w:t>&lt;5</w:t>
            </w:r>
          </w:p>
        </w:tc>
        <w:tc>
          <w:tcPr>
            <w:tcW w:w="1229" w:type="dxa"/>
            <w:shd w:val="clear" w:color="auto" w:fill="FFFFFF" w:themeFill="background1"/>
            <w:vAlign w:val="center"/>
            <w:hideMark/>
          </w:tcPr>
          <w:p w14:paraId="20167C90" w14:textId="77777777" w:rsidR="0014783F" w:rsidRPr="00CF419F" w:rsidRDefault="0014783F" w:rsidP="0014783F">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7</w:t>
            </w:r>
          </w:p>
        </w:tc>
      </w:tr>
      <w:tr w:rsidR="002F3FF4" w:rsidRPr="002F3FF4" w14:paraId="2C0A5AEF" w14:textId="77777777" w:rsidTr="00CF419F">
        <w:trPr>
          <w:trHeight w:val="303"/>
        </w:trPr>
        <w:tc>
          <w:tcPr>
            <w:tcW w:w="1701" w:type="dxa"/>
            <w:shd w:val="clear" w:color="auto" w:fill="FFFFFF" w:themeFill="background1"/>
            <w:vAlign w:val="center"/>
            <w:hideMark/>
          </w:tcPr>
          <w:p w14:paraId="5E8CC4D6" w14:textId="77777777" w:rsidR="002F3FF4" w:rsidRPr="00CF419F" w:rsidRDefault="002F3FF4" w:rsidP="002F3FF4">
            <w:pPr>
              <w:spacing w:before="0" w:line="240" w:lineRule="auto"/>
              <w:rPr>
                <w:rFonts w:ascii="Calibri" w:eastAsia="Times New Roman" w:hAnsi="Calibri"/>
                <w:szCs w:val="22"/>
                <w:lang w:eastAsia="en-AU"/>
              </w:rPr>
            </w:pPr>
            <w:r w:rsidRPr="00CF419F">
              <w:rPr>
                <w:rFonts w:ascii="Calibri" w:eastAsia="Times New Roman" w:hAnsi="Calibri"/>
                <w:szCs w:val="22"/>
                <w:lang w:eastAsia="en-AU"/>
              </w:rPr>
              <w:t>QLD</w:t>
            </w:r>
          </w:p>
        </w:tc>
        <w:tc>
          <w:tcPr>
            <w:tcW w:w="1228" w:type="dxa"/>
            <w:shd w:val="clear" w:color="auto" w:fill="FFFFFF" w:themeFill="background1"/>
            <w:noWrap/>
            <w:vAlign w:val="center"/>
            <w:hideMark/>
          </w:tcPr>
          <w:p w14:paraId="59682127"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1,458</w:t>
            </w:r>
          </w:p>
        </w:tc>
        <w:tc>
          <w:tcPr>
            <w:tcW w:w="1229" w:type="dxa"/>
            <w:shd w:val="clear" w:color="auto" w:fill="FFFFFF" w:themeFill="background1"/>
            <w:noWrap/>
            <w:vAlign w:val="center"/>
            <w:hideMark/>
          </w:tcPr>
          <w:p w14:paraId="0ACCC617"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1,054</w:t>
            </w:r>
          </w:p>
        </w:tc>
        <w:tc>
          <w:tcPr>
            <w:tcW w:w="1228" w:type="dxa"/>
            <w:shd w:val="clear" w:color="auto" w:fill="FFFFFF" w:themeFill="background1"/>
            <w:noWrap/>
            <w:vAlign w:val="center"/>
            <w:hideMark/>
          </w:tcPr>
          <w:p w14:paraId="6CD80990"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381</w:t>
            </w:r>
          </w:p>
        </w:tc>
        <w:tc>
          <w:tcPr>
            <w:tcW w:w="1229" w:type="dxa"/>
            <w:shd w:val="clear" w:color="auto" w:fill="FFFFFF" w:themeFill="background1"/>
            <w:noWrap/>
            <w:vAlign w:val="center"/>
            <w:hideMark/>
          </w:tcPr>
          <w:p w14:paraId="36F3D5C5"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379</w:t>
            </w:r>
          </w:p>
        </w:tc>
        <w:tc>
          <w:tcPr>
            <w:tcW w:w="1228" w:type="dxa"/>
            <w:shd w:val="clear" w:color="auto" w:fill="FFFFFF" w:themeFill="background1"/>
            <w:vAlign w:val="center"/>
            <w:hideMark/>
          </w:tcPr>
          <w:p w14:paraId="435CB52B"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297</w:t>
            </w:r>
          </w:p>
        </w:tc>
        <w:tc>
          <w:tcPr>
            <w:tcW w:w="1229" w:type="dxa"/>
            <w:shd w:val="clear" w:color="auto" w:fill="FFFFFF" w:themeFill="background1"/>
            <w:vAlign w:val="center"/>
            <w:hideMark/>
          </w:tcPr>
          <w:p w14:paraId="569EFADA"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215</w:t>
            </w:r>
          </w:p>
        </w:tc>
      </w:tr>
      <w:tr w:rsidR="002F3FF4" w:rsidRPr="002F3FF4" w14:paraId="25FAC693" w14:textId="77777777" w:rsidTr="00CF419F">
        <w:trPr>
          <w:trHeight w:val="303"/>
        </w:trPr>
        <w:tc>
          <w:tcPr>
            <w:tcW w:w="1701" w:type="dxa"/>
            <w:shd w:val="clear" w:color="auto" w:fill="FFFFFF" w:themeFill="background1"/>
            <w:vAlign w:val="center"/>
            <w:hideMark/>
          </w:tcPr>
          <w:p w14:paraId="244F3F38" w14:textId="77777777" w:rsidR="002F3FF4" w:rsidRPr="00CF419F" w:rsidRDefault="002F3FF4" w:rsidP="002F3FF4">
            <w:pPr>
              <w:spacing w:before="0" w:line="240" w:lineRule="auto"/>
              <w:rPr>
                <w:rFonts w:ascii="Calibri" w:eastAsia="Times New Roman" w:hAnsi="Calibri"/>
                <w:szCs w:val="22"/>
                <w:lang w:eastAsia="en-AU"/>
              </w:rPr>
            </w:pPr>
            <w:r w:rsidRPr="00CF419F">
              <w:rPr>
                <w:rFonts w:ascii="Calibri" w:eastAsia="Times New Roman" w:hAnsi="Calibri"/>
                <w:szCs w:val="22"/>
                <w:lang w:eastAsia="en-AU"/>
              </w:rPr>
              <w:t>SA</w:t>
            </w:r>
          </w:p>
        </w:tc>
        <w:tc>
          <w:tcPr>
            <w:tcW w:w="1228" w:type="dxa"/>
            <w:shd w:val="clear" w:color="auto" w:fill="FFFFFF" w:themeFill="background1"/>
            <w:noWrap/>
            <w:vAlign w:val="center"/>
            <w:hideMark/>
          </w:tcPr>
          <w:p w14:paraId="0F390A42"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109</w:t>
            </w:r>
          </w:p>
        </w:tc>
        <w:tc>
          <w:tcPr>
            <w:tcW w:w="1229" w:type="dxa"/>
            <w:shd w:val="clear" w:color="auto" w:fill="FFFFFF" w:themeFill="background1"/>
            <w:noWrap/>
            <w:vAlign w:val="center"/>
            <w:hideMark/>
          </w:tcPr>
          <w:p w14:paraId="1A4B4153"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72</w:t>
            </w:r>
          </w:p>
        </w:tc>
        <w:tc>
          <w:tcPr>
            <w:tcW w:w="1228" w:type="dxa"/>
            <w:shd w:val="clear" w:color="auto" w:fill="FFFFFF" w:themeFill="background1"/>
            <w:noWrap/>
            <w:vAlign w:val="center"/>
            <w:hideMark/>
          </w:tcPr>
          <w:p w14:paraId="5415BB3B"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30</w:t>
            </w:r>
          </w:p>
        </w:tc>
        <w:tc>
          <w:tcPr>
            <w:tcW w:w="1229" w:type="dxa"/>
            <w:shd w:val="clear" w:color="auto" w:fill="FFFFFF" w:themeFill="background1"/>
            <w:noWrap/>
            <w:vAlign w:val="center"/>
            <w:hideMark/>
          </w:tcPr>
          <w:p w14:paraId="60BCBB78"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36</w:t>
            </w:r>
          </w:p>
        </w:tc>
        <w:tc>
          <w:tcPr>
            <w:tcW w:w="1228" w:type="dxa"/>
            <w:shd w:val="clear" w:color="auto" w:fill="FFFFFF" w:themeFill="background1"/>
            <w:vAlign w:val="center"/>
            <w:hideMark/>
          </w:tcPr>
          <w:p w14:paraId="4370E028"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118</w:t>
            </w:r>
          </w:p>
        </w:tc>
        <w:tc>
          <w:tcPr>
            <w:tcW w:w="1229" w:type="dxa"/>
            <w:shd w:val="clear" w:color="auto" w:fill="FFFFFF" w:themeFill="background1"/>
            <w:vAlign w:val="center"/>
            <w:hideMark/>
          </w:tcPr>
          <w:p w14:paraId="5C543825"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93</w:t>
            </w:r>
          </w:p>
        </w:tc>
      </w:tr>
      <w:tr w:rsidR="002F3FF4" w:rsidRPr="002F3FF4" w14:paraId="36C42DEA" w14:textId="77777777" w:rsidTr="00CF419F">
        <w:trPr>
          <w:trHeight w:val="303"/>
        </w:trPr>
        <w:tc>
          <w:tcPr>
            <w:tcW w:w="1701" w:type="dxa"/>
            <w:shd w:val="clear" w:color="auto" w:fill="FFFFFF" w:themeFill="background1"/>
            <w:vAlign w:val="center"/>
            <w:hideMark/>
          </w:tcPr>
          <w:p w14:paraId="20A0B4CB" w14:textId="77777777" w:rsidR="002F3FF4" w:rsidRPr="00CF419F" w:rsidRDefault="002F3FF4" w:rsidP="002F3FF4">
            <w:pPr>
              <w:spacing w:before="0" w:line="240" w:lineRule="auto"/>
              <w:rPr>
                <w:rFonts w:ascii="Calibri" w:eastAsia="Times New Roman" w:hAnsi="Calibri"/>
                <w:szCs w:val="22"/>
                <w:lang w:eastAsia="en-AU"/>
              </w:rPr>
            </w:pPr>
            <w:r w:rsidRPr="00CF419F">
              <w:rPr>
                <w:rFonts w:ascii="Calibri" w:eastAsia="Times New Roman" w:hAnsi="Calibri"/>
                <w:szCs w:val="22"/>
                <w:lang w:eastAsia="en-AU"/>
              </w:rPr>
              <w:t>TAS</w:t>
            </w:r>
          </w:p>
        </w:tc>
        <w:tc>
          <w:tcPr>
            <w:tcW w:w="1228" w:type="dxa"/>
            <w:shd w:val="clear" w:color="auto" w:fill="FFFFFF" w:themeFill="background1"/>
            <w:noWrap/>
            <w:vAlign w:val="center"/>
            <w:hideMark/>
          </w:tcPr>
          <w:p w14:paraId="50449CD9"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10</w:t>
            </w:r>
          </w:p>
        </w:tc>
        <w:tc>
          <w:tcPr>
            <w:tcW w:w="1229" w:type="dxa"/>
            <w:shd w:val="clear" w:color="auto" w:fill="FFFFFF" w:themeFill="background1"/>
            <w:noWrap/>
            <w:vAlign w:val="center"/>
            <w:hideMark/>
          </w:tcPr>
          <w:p w14:paraId="73420726"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13</w:t>
            </w:r>
          </w:p>
        </w:tc>
        <w:tc>
          <w:tcPr>
            <w:tcW w:w="1228" w:type="dxa"/>
            <w:shd w:val="clear" w:color="auto" w:fill="FFFFFF" w:themeFill="background1"/>
            <w:noWrap/>
            <w:vAlign w:val="center"/>
            <w:hideMark/>
          </w:tcPr>
          <w:p w14:paraId="4719203C"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18</w:t>
            </w:r>
          </w:p>
        </w:tc>
        <w:tc>
          <w:tcPr>
            <w:tcW w:w="1229" w:type="dxa"/>
            <w:shd w:val="clear" w:color="auto" w:fill="FFFFFF" w:themeFill="background1"/>
            <w:noWrap/>
            <w:vAlign w:val="center"/>
            <w:hideMark/>
          </w:tcPr>
          <w:p w14:paraId="29F67923"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23</w:t>
            </w:r>
          </w:p>
        </w:tc>
        <w:tc>
          <w:tcPr>
            <w:tcW w:w="1228" w:type="dxa"/>
            <w:shd w:val="clear" w:color="auto" w:fill="FFFFFF" w:themeFill="background1"/>
            <w:vAlign w:val="center"/>
            <w:hideMark/>
          </w:tcPr>
          <w:p w14:paraId="6F91F74C"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58</w:t>
            </w:r>
          </w:p>
        </w:tc>
        <w:tc>
          <w:tcPr>
            <w:tcW w:w="1229" w:type="dxa"/>
            <w:shd w:val="clear" w:color="auto" w:fill="FFFFFF" w:themeFill="background1"/>
            <w:vAlign w:val="center"/>
            <w:hideMark/>
          </w:tcPr>
          <w:p w14:paraId="4DC918AB"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71</w:t>
            </w:r>
          </w:p>
        </w:tc>
      </w:tr>
      <w:tr w:rsidR="002F3FF4" w:rsidRPr="002F3FF4" w14:paraId="28C6CE1D" w14:textId="77777777" w:rsidTr="00CF419F">
        <w:trPr>
          <w:trHeight w:val="303"/>
        </w:trPr>
        <w:tc>
          <w:tcPr>
            <w:tcW w:w="1701" w:type="dxa"/>
            <w:shd w:val="clear" w:color="auto" w:fill="FFFFFF" w:themeFill="background1"/>
            <w:vAlign w:val="center"/>
            <w:hideMark/>
          </w:tcPr>
          <w:p w14:paraId="1F224306" w14:textId="77777777" w:rsidR="002F3FF4" w:rsidRPr="00CF419F" w:rsidRDefault="002F3FF4" w:rsidP="002F3FF4">
            <w:pPr>
              <w:spacing w:before="0" w:line="240" w:lineRule="auto"/>
              <w:rPr>
                <w:rFonts w:ascii="Calibri" w:eastAsia="Times New Roman" w:hAnsi="Calibri"/>
                <w:szCs w:val="22"/>
                <w:lang w:eastAsia="en-AU"/>
              </w:rPr>
            </w:pPr>
            <w:r w:rsidRPr="00CF419F">
              <w:rPr>
                <w:rFonts w:ascii="Calibri" w:eastAsia="Times New Roman" w:hAnsi="Calibri"/>
                <w:szCs w:val="22"/>
                <w:lang w:eastAsia="en-AU"/>
              </w:rPr>
              <w:t>VIC</w:t>
            </w:r>
          </w:p>
        </w:tc>
        <w:tc>
          <w:tcPr>
            <w:tcW w:w="1228" w:type="dxa"/>
            <w:shd w:val="clear" w:color="auto" w:fill="FFFFFF" w:themeFill="background1"/>
            <w:noWrap/>
            <w:vAlign w:val="center"/>
            <w:hideMark/>
          </w:tcPr>
          <w:p w14:paraId="00720EEE"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2,455</w:t>
            </w:r>
          </w:p>
        </w:tc>
        <w:tc>
          <w:tcPr>
            <w:tcW w:w="1229" w:type="dxa"/>
            <w:shd w:val="clear" w:color="auto" w:fill="FFFFFF" w:themeFill="background1"/>
            <w:noWrap/>
            <w:vAlign w:val="center"/>
            <w:hideMark/>
          </w:tcPr>
          <w:p w14:paraId="32B37A75"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2,247</w:t>
            </w:r>
          </w:p>
        </w:tc>
        <w:tc>
          <w:tcPr>
            <w:tcW w:w="1228" w:type="dxa"/>
            <w:shd w:val="clear" w:color="auto" w:fill="FFFFFF" w:themeFill="background1"/>
            <w:noWrap/>
            <w:vAlign w:val="center"/>
            <w:hideMark/>
          </w:tcPr>
          <w:p w14:paraId="2A6DA49C"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1,323</w:t>
            </w:r>
          </w:p>
        </w:tc>
        <w:tc>
          <w:tcPr>
            <w:tcW w:w="1229" w:type="dxa"/>
            <w:shd w:val="clear" w:color="auto" w:fill="FFFFFF" w:themeFill="background1"/>
            <w:noWrap/>
            <w:vAlign w:val="center"/>
            <w:hideMark/>
          </w:tcPr>
          <w:p w14:paraId="4B50CC4D"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956</w:t>
            </w:r>
          </w:p>
        </w:tc>
        <w:tc>
          <w:tcPr>
            <w:tcW w:w="1228" w:type="dxa"/>
            <w:shd w:val="clear" w:color="auto" w:fill="FFFFFF" w:themeFill="background1"/>
            <w:vAlign w:val="center"/>
            <w:hideMark/>
          </w:tcPr>
          <w:p w14:paraId="75BA7D13"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681</w:t>
            </w:r>
          </w:p>
        </w:tc>
        <w:tc>
          <w:tcPr>
            <w:tcW w:w="1229" w:type="dxa"/>
            <w:shd w:val="clear" w:color="auto" w:fill="FFFFFF" w:themeFill="background1"/>
            <w:vAlign w:val="center"/>
            <w:hideMark/>
          </w:tcPr>
          <w:p w14:paraId="0E5D34FF"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565</w:t>
            </w:r>
          </w:p>
        </w:tc>
      </w:tr>
      <w:tr w:rsidR="002F3FF4" w:rsidRPr="002F3FF4" w14:paraId="4B19D6CF" w14:textId="77777777" w:rsidTr="00CF419F">
        <w:trPr>
          <w:trHeight w:val="303"/>
        </w:trPr>
        <w:tc>
          <w:tcPr>
            <w:tcW w:w="1701" w:type="dxa"/>
            <w:shd w:val="clear" w:color="auto" w:fill="FFFFFF" w:themeFill="background1"/>
            <w:vAlign w:val="center"/>
            <w:hideMark/>
          </w:tcPr>
          <w:p w14:paraId="6DDE0034" w14:textId="77777777" w:rsidR="002F3FF4" w:rsidRPr="00CF419F" w:rsidRDefault="002F3FF4" w:rsidP="002F3FF4">
            <w:pPr>
              <w:spacing w:before="0" w:line="240" w:lineRule="auto"/>
              <w:rPr>
                <w:rFonts w:ascii="Calibri" w:eastAsia="Times New Roman" w:hAnsi="Calibri"/>
                <w:szCs w:val="22"/>
                <w:lang w:eastAsia="en-AU"/>
              </w:rPr>
            </w:pPr>
            <w:r w:rsidRPr="00CF419F">
              <w:rPr>
                <w:rFonts w:ascii="Calibri" w:eastAsia="Times New Roman" w:hAnsi="Calibri"/>
                <w:szCs w:val="22"/>
                <w:lang w:eastAsia="en-AU"/>
              </w:rPr>
              <w:t>WA</w:t>
            </w:r>
          </w:p>
        </w:tc>
        <w:tc>
          <w:tcPr>
            <w:tcW w:w="1228" w:type="dxa"/>
            <w:shd w:val="clear" w:color="auto" w:fill="FFFFFF" w:themeFill="background1"/>
            <w:noWrap/>
            <w:vAlign w:val="center"/>
            <w:hideMark/>
          </w:tcPr>
          <w:p w14:paraId="78BACAA4"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178</w:t>
            </w:r>
          </w:p>
        </w:tc>
        <w:tc>
          <w:tcPr>
            <w:tcW w:w="1229" w:type="dxa"/>
            <w:shd w:val="clear" w:color="auto" w:fill="FFFFFF" w:themeFill="background1"/>
            <w:noWrap/>
            <w:vAlign w:val="center"/>
            <w:hideMark/>
          </w:tcPr>
          <w:p w14:paraId="30FCEA3E"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145</w:t>
            </w:r>
          </w:p>
        </w:tc>
        <w:tc>
          <w:tcPr>
            <w:tcW w:w="1228" w:type="dxa"/>
            <w:shd w:val="clear" w:color="auto" w:fill="FFFFFF" w:themeFill="background1"/>
            <w:noWrap/>
            <w:vAlign w:val="center"/>
            <w:hideMark/>
          </w:tcPr>
          <w:p w14:paraId="71B31F51"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101</w:t>
            </w:r>
          </w:p>
        </w:tc>
        <w:tc>
          <w:tcPr>
            <w:tcW w:w="1229" w:type="dxa"/>
            <w:shd w:val="clear" w:color="auto" w:fill="FFFFFF" w:themeFill="background1"/>
            <w:noWrap/>
            <w:vAlign w:val="center"/>
            <w:hideMark/>
          </w:tcPr>
          <w:p w14:paraId="7FC55B9C"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68</w:t>
            </w:r>
          </w:p>
        </w:tc>
        <w:tc>
          <w:tcPr>
            <w:tcW w:w="1228" w:type="dxa"/>
            <w:shd w:val="clear" w:color="auto" w:fill="FFFFFF" w:themeFill="background1"/>
            <w:vAlign w:val="center"/>
            <w:hideMark/>
          </w:tcPr>
          <w:p w14:paraId="5158732C"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146</w:t>
            </w:r>
          </w:p>
        </w:tc>
        <w:tc>
          <w:tcPr>
            <w:tcW w:w="1229" w:type="dxa"/>
            <w:shd w:val="clear" w:color="auto" w:fill="FFFFFF" w:themeFill="background1"/>
            <w:vAlign w:val="center"/>
            <w:hideMark/>
          </w:tcPr>
          <w:p w14:paraId="4947306E" w14:textId="77777777" w:rsidR="002F3FF4" w:rsidRPr="00CF419F" w:rsidRDefault="002F3FF4" w:rsidP="002F3FF4">
            <w:pPr>
              <w:spacing w:before="0" w:line="240" w:lineRule="auto"/>
              <w:jc w:val="right"/>
              <w:rPr>
                <w:rFonts w:ascii="Calibri" w:eastAsia="Times New Roman" w:hAnsi="Calibri"/>
                <w:szCs w:val="22"/>
                <w:lang w:eastAsia="en-AU"/>
              </w:rPr>
            </w:pPr>
            <w:r w:rsidRPr="00CF419F">
              <w:rPr>
                <w:rFonts w:ascii="Calibri" w:eastAsia="Times New Roman" w:hAnsi="Calibri"/>
                <w:szCs w:val="22"/>
                <w:lang w:eastAsia="en-AU"/>
              </w:rPr>
              <w:t>131</w:t>
            </w:r>
          </w:p>
        </w:tc>
      </w:tr>
    </w:tbl>
    <w:p w14:paraId="0C732656" w14:textId="77777777" w:rsidR="00F9378B" w:rsidRDefault="00F9378B" w:rsidP="002F3FF4">
      <w:pPr>
        <w:spacing w:before="0" w:line="240" w:lineRule="auto"/>
      </w:pPr>
    </w:p>
    <w:p w14:paraId="661CF6C2" w14:textId="77777777" w:rsidR="00F9378B" w:rsidRDefault="00F9378B" w:rsidP="002F3FF4">
      <w:pPr>
        <w:spacing w:before="0" w:line="240" w:lineRule="auto"/>
      </w:pPr>
    </w:p>
    <w:p w14:paraId="5E073B5A" w14:textId="1F952EF2" w:rsidR="00AC5839" w:rsidRDefault="00F9378B" w:rsidP="00F9378B">
      <w:pPr>
        <w:spacing w:before="0" w:line="240" w:lineRule="auto"/>
        <w:jc w:val="center"/>
      </w:pPr>
      <w:r>
        <w:rPr>
          <w:noProof/>
          <w:lang w:eastAsia="en-AU"/>
        </w:rPr>
        <w:drawing>
          <wp:inline distT="0" distB="0" distL="0" distR="0" wp14:anchorId="3936CF68" wp14:editId="6595A20D">
            <wp:extent cx="4521653" cy="9054046"/>
            <wp:effectExtent l="0" t="0" r="0" b="0"/>
            <wp:docPr id="6" name="Picture 6" descr="The image is a semi circle illustrating purchase transaction trends by state or territory in 2018-2019 compared to 2017 -18, broken down by property type. Trends are displayed by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33667" cy="9078103"/>
                    </a:xfrm>
                    <a:prstGeom prst="rect">
                      <a:avLst/>
                    </a:prstGeom>
                  </pic:spPr>
                </pic:pic>
              </a:graphicData>
            </a:graphic>
          </wp:inline>
        </w:drawing>
      </w:r>
      <w:r w:rsidR="00AC5839">
        <w:br w:type="page"/>
      </w:r>
    </w:p>
    <w:p w14:paraId="045AF3D1" w14:textId="7B0A8682" w:rsidR="00200DC6" w:rsidRDefault="00200DC6" w:rsidP="0055268E">
      <w:pPr>
        <w:spacing w:before="0" w:line="240" w:lineRule="auto"/>
        <w:jc w:val="center"/>
      </w:pPr>
    </w:p>
    <w:p w14:paraId="529BBAA4" w14:textId="0A852774" w:rsidR="00200DC6" w:rsidRDefault="00200DC6" w:rsidP="00200DC6">
      <w:pPr>
        <w:pStyle w:val="Heading1"/>
        <w:framePr w:wrap="notBeside"/>
      </w:pPr>
      <w:bookmarkStart w:id="33" w:name="_Toc52428950"/>
      <w:r>
        <w:t xml:space="preserve">Sale </w:t>
      </w:r>
      <w:r w:rsidR="00C90DFA">
        <w:t>T</w:t>
      </w:r>
      <w:r>
        <w:t>rends</w:t>
      </w:r>
      <w:bookmarkEnd w:id="33"/>
      <w:r>
        <w:br w:type="page"/>
      </w:r>
    </w:p>
    <w:p w14:paraId="240F0413" w14:textId="256EB9B3" w:rsidR="009A391D" w:rsidRDefault="009A391D" w:rsidP="009A391D">
      <w:pPr>
        <w:spacing w:before="0" w:line="240" w:lineRule="auto"/>
      </w:pPr>
      <w:r w:rsidRPr="009A391D">
        <w:t>There was a 29.9</w:t>
      </w:r>
      <w:r w:rsidR="009E3F44">
        <w:t xml:space="preserve"> </w:t>
      </w:r>
      <w:r w:rsidR="00A75A4A">
        <w:t>per cent</w:t>
      </w:r>
      <w:r w:rsidRPr="009A391D">
        <w:t xml:space="preserve"> reduction in sale transactions in 2018-19 when compared to 2017-18. The value of sale transactions also reduced by 27.3</w:t>
      </w:r>
      <w:r w:rsidR="009E3F44">
        <w:t xml:space="preserve"> </w:t>
      </w:r>
      <w:r w:rsidR="00A75A4A">
        <w:t>per cent</w:t>
      </w:r>
      <w:r w:rsidRPr="009A391D">
        <w:t xml:space="preserve"> when compared to 2017-18. </w:t>
      </w:r>
    </w:p>
    <w:p w14:paraId="072F66C3" w14:textId="77777777" w:rsidR="00A54309" w:rsidRDefault="00A54309" w:rsidP="00743BAE">
      <w:pPr>
        <w:spacing w:before="0" w:line="240" w:lineRule="auto"/>
      </w:pPr>
    </w:p>
    <w:p w14:paraId="7718E5F2" w14:textId="65D71437" w:rsidR="00743BAE" w:rsidRDefault="00743BAE" w:rsidP="00743BAE">
      <w:pPr>
        <w:spacing w:before="0" w:line="240" w:lineRule="auto"/>
      </w:pPr>
      <w:r w:rsidRPr="00743BAE">
        <w:t>There was a decrease in sale counts when compared to 2017-18 in all states, other than the ACT.</w:t>
      </w:r>
    </w:p>
    <w:p w14:paraId="002ECFC7" w14:textId="7AD908EE" w:rsidR="00743BAE" w:rsidRDefault="00743BAE" w:rsidP="00F07415">
      <w:pPr>
        <w:spacing w:before="0" w:line="240" w:lineRule="auto"/>
        <w:jc w:val="center"/>
      </w:pPr>
      <w:r>
        <w:rPr>
          <w:noProof/>
          <w:lang w:eastAsia="en-AU"/>
        </w:rPr>
        <w:drawing>
          <wp:inline distT="0" distB="0" distL="0" distR="0" wp14:anchorId="26A9AE14" wp14:editId="73DDB9A2">
            <wp:extent cx="2488223" cy="2229333"/>
            <wp:effectExtent l="0" t="0" r="7620" b="0"/>
            <wp:docPr id="1" name="Picture 1" descr="Image of Australia highlighting the ACT as this was the only state that did not show  a decrease in sale counts when compared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esTrend_1.PNG"/>
                    <pic:cNvPicPr/>
                  </pic:nvPicPr>
                  <pic:blipFill>
                    <a:blip r:embed="rId36"/>
                    <a:stretch>
                      <a:fillRect/>
                    </a:stretch>
                  </pic:blipFill>
                  <pic:spPr>
                    <a:xfrm>
                      <a:off x="0" y="0"/>
                      <a:ext cx="2504573" cy="2243982"/>
                    </a:xfrm>
                    <a:prstGeom prst="rect">
                      <a:avLst/>
                    </a:prstGeom>
                  </pic:spPr>
                </pic:pic>
              </a:graphicData>
            </a:graphic>
          </wp:inline>
        </w:drawing>
      </w:r>
    </w:p>
    <w:p w14:paraId="27FF5210" w14:textId="1BEF1A1E" w:rsidR="00743BAE" w:rsidRDefault="00743BAE" w:rsidP="00743BAE">
      <w:pPr>
        <w:spacing w:before="0" w:line="240" w:lineRule="auto"/>
        <w:rPr>
          <w:b/>
          <w:bCs/>
        </w:rPr>
      </w:pPr>
      <w:r>
        <w:t>The p</w:t>
      </w:r>
      <w:r w:rsidRPr="00743BAE">
        <w:t>ercentage of sale transactions that were for residential real estate</w:t>
      </w:r>
      <w:r>
        <w:t xml:space="preserve"> </w:t>
      </w:r>
      <w:r w:rsidRPr="00743BAE">
        <w:t>with values under 1</w:t>
      </w:r>
      <w:r w:rsidR="000F0AD4">
        <w:t xml:space="preserve"> </w:t>
      </w:r>
      <w:r w:rsidRPr="00743BAE">
        <w:t>m</w:t>
      </w:r>
      <w:r w:rsidR="000F0AD4">
        <w:t>illion dollars</w:t>
      </w:r>
      <w:r>
        <w:t xml:space="preserve"> was 82.8 per</w:t>
      </w:r>
      <w:r w:rsidR="0079188C">
        <w:t xml:space="preserve"> </w:t>
      </w:r>
      <w:r>
        <w:t>cent in 2018-2019 compared to 80.5</w:t>
      </w:r>
      <w:r w:rsidR="0079188C">
        <w:t xml:space="preserve"> per cent</w:t>
      </w:r>
      <w:r>
        <w:t xml:space="preserve"> in 2017-2018</w:t>
      </w:r>
      <w:r w:rsidRPr="00743BAE">
        <w:rPr>
          <w:b/>
          <w:bCs/>
        </w:rPr>
        <w:t>.</w:t>
      </w:r>
    </w:p>
    <w:p w14:paraId="3EDC1526" w14:textId="231FCA10" w:rsidR="00743BAE" w:rsidRDefault="00743BAE" w:rsidP="00F07415">
      <w:pPr>
        <w:spacing w:before="0" w:line="240" w:lineRule="auto"/>
        <w:jc w:val="center"/>
      </w:pPr>
      <w:r>
        <w:rPr>
          <w:noProof/>
          <w:lang w:eastAsia="en-AU"/>
        </w:rPr>
        <w:drawing>
          <wp:inline distT="0" distB="0" distL="0" distR="0" wp14:anchorId="50A67BB5" wp14:editId="1BEA47C6">
            <wp:extent cx="2487930" cy="2219999"/>
            <wp:effectExtent l="0" t="0" r="7620" b="8890"/>
            <wp:docPr id="2" name="Picture 2" descr="Image showing sales compari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esTrend_2.PNG"/>
                    <pic:cNvPicPr/>
                  </pic:nvPicPr>
                  <pic:blipFill>
                    <a:blip r:embed="rId37"/>
                    <a:stretch>
                      <a:fillRect/>
                    </a:stretch>
                  </pic:blipFill>
                  <pic:spPr>
                    <a:xfrm>
                      <a:off x="0" y="0"/>
                      <a:ext cx="2538022" cy="2264697"/>
                    </a:xfrm>
                    <a:prstGeom prst="rect">
                      <a:avLst/>
                    </a:prstGeom>
                  </pic:spPr>
                </pic:pic>
              </a:graphicData>
            </a:graphic>
          </wp:inline>
        </w:drawing>
      </w:r>
    </w:p>
    <w:p w14:paraId="67538D2C" w14:textId="0395CAFE" w:rsidR="00743BAE" w:rsidRPr="00743BAE" w:rsidRDefault="000F0AD4" w:rsidP="00743BAE">
      <w:pPr>
        <w:spacing w:before="0" w:line="240" w:lineRule="auto"/>
      </w:pPr>
      <w:r w:rsidRPr="000F0AD4">
        <w:t>Majority of sale transactions involved properties registered as new dwellings or established dwellings</w:t>
      </w:r>
      <w:r w:rsidR="00743BAE">
        <w:t xml:space="preserve"> </w:t>
      </w:r>
      <w:r w:rsidR="0079188C">
        <w:t xml:space="preserve">with </w:t>
      </w:r>
      <w:r w:rsidR="00743BAE">
        <w:t>76.0 per</w:t>
      </w:r>
      <w:r w:rsidR="0079188C">
        <w:t xml:space="preserve"> </w:t>
      </w:r>
      <w:r w:rsidR="00743BAE">
        <w:t xml:space="preserve">cent in 2018-2019 </w:t>
      </w:r>
      <w:r w:rsidR="0079188C">
        <w:t xml:space="preserve">compared to </w:t>
      </w:r>
      <w:r w:rsidR="00743BAE">
        <w:t xml:space="preserve">76.7 </w:t>
      </w:r>
      <w:r w:rsidR="00A75A4A">
        <w:t>per cent</w:t>
      </w:r>
      <w:r w:rsidR="00743BAE">
        <w:t xml:space="preserve"> in 2017-2018</w:t>
      </w:r>
      <w:r w:rsidR="00743BAE" w:rsidRPr="00743BAE">
        <w:t>.</w:t>
      </w:r>
    </w:p>
    <w:p w14:paraId="159794B1" w14:textId="67E4B48E" w:rsidR="00743BAE" w:rsidRDefault="006D58A4" w:rsidP="00F07415">
      <w:pPr>
        <w:spacing w:before="0" w:line="240" w:lineRule="auto"/>
        <w:jc w:val="center"/>
      </w:pPr>
      <w:r>
        <w:rPr>
          <w:noProof/>
          <w:lang w:eastAsia="en-AU"/>
        </w:rPr>
        <w:drawing>
          <wp:inline distT="0" distB="0" distL="0" distR="0" wp14:anchorId="3B6F6388" wp14:editId="53C13D29">
            <wp:extent cx="2570787" cy="2044460"/>
            <wp:effectExtent l="0" t="0" r="0" b="0"/>
            <wp:docPr id="24" name="Picture 24" descr="Image showing sales compari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0787" cy="2044460"/>
                    </a:xfrm>
                    <a:prstGeom prst="rect">
                      <a:avLst/>
                    </a:prstGeom>
                    <a:noFill/>
                  </pic:spPr>
                </pic:pic>
              </a:graphicData>
            </a:graphic>
          </wp:inline>
        </w:drawing>
      </w:r>
    </w:p>
    <w:p w14:paraId="5BD05219" w14:textId="451E7D5B" w:rsidR="00743BAE" w:rsidRDefault="00743BAE" w:rsidP="00743BAE">
      <w:pPr>
        <w:spacing w:before="0" w:line="240" w:lineRule="auto"/>
      </w:pPr>
      <w:r w:rsidRPr="00743BAE">
        <w:t xml:space="preserve">Victoria had the greatest number of sale transactions by all property types in 2018-19.  In 2017-18 </w:t>
      </w:r>
      <w:r w:rsidR="0079188C">
        <w:t xml:space="preserve">and </w:t>
      </w:r>
      <w:r w:rsidRPr="00743BAE">
        <w:t>NSW had the greatest number for</w:t>
      </w:r>
      <w:r>
        <w:t xml:space="preserve"> </w:t>
      </w:r>
      <w:r w:rsidRPr="00743BAE">
        <w:t>new dwellings.</w:t>
      </w:r>
    </w:p>
    <w:p w14:paraId="3DBBEA9E" w14:textId="24CC1BB2" w:rsidR="0079188C" w:rsidRDefault="0054471A" w:rsidP="0054471A">
      <w:pPr>
        <w:spacing w:before="0" w:line="240" w:lineRule="auto"/>
        <w:jc w:val="center"/>
      </w:pPr>
      <w:r>
        <w:rPr>
          <w:noProof/>
          <w:lang w:eastAsia="en-AU"/>
        </w:rPr>
        <w:drawing>
          <wp:inline distT="0" distB="0" distL="0" distR="0" wp14:anchorId="454F2F5D" wp14:editId="308794C3">
            <wp:extent cx="3667125" cy="2695575"/>
            <wp:effectExtent l="0" t="0" r="9525" b="9525"/>
            <wp:docPr id="13" name="Picture 13" descr="This image is a graphical representation of the sentence 'Victoria had the greatest number of sale transactions by all property types in 2018-19.  In 2017-18 and NSW had the greatest number for new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67125" cy="2695575"/>
                    </a:xfrm>
                    <a:prstGeom prst="rect">
                      <a:avLst/>
                    </a:prstGeom>
                  </pic:spPr>
                </pic:pic>
              </a:graphicData>
            </a:graphic>
          </wp:inline>
        </w:drawing>
      </w:r>
    </w:p>
    <w:p w14:paraId="4B82AF63" w14:textId="30205FA2" w:rsidR="00743BAE" w:rsidRPr="00743BAE" w:rsidRDefault="00743BAE" w:rsidP="00F07415">
      <w:pPr>
        <w:spacing w:before="0" w:line="240" w:lineRule="auto"/>
        <w:jc w:val="center"/>
      </w:pPr>
    </w:p>
    <w:p w14:paraId="6EF58E51" w14:textId="3542896A" w:rsidR="002B02BC" w:rsidRDefault="00743BAE" w:rsidP="0055268E">
      <w:pPr>
        <w:spacing w:before="0" w:line="240" w:lineRule="auto"/>
      </w:pPr>
      <w:r w:rsidRPr="00743BAE">
        <w:t xml:space="preserve">When comparing </w:t>
      </w:r>
      <w:r w:rsidR="00A75A4A">
        <w:t>per cent</w:t>
      </w:r>
      <w:r w:rsidRPr="00743BAE">
        <w:t xml:space="preserve"> change in 2018-19 sale transactions by property to 2017-18, established dwellings had the greatest reduction of 38</w:t>
      </w:r>
      <w:r w:rsidR="006D58A4">
        <w:t>.3</w:t>
      </w:r>
      <w:r>
        <w:t xml:space="preserve"> </w:t>
      </w:r>
      <w:r w:rsidR="00A75A4A">
        <w:t>per cent</w:t>
      </w:r>
      <w:r>
        <w:t xml:space="preserve">, vacant land reduced by 27.9 </w:t>
      </w:r>
      <w:r w:rsidR="00A75A4A">
        <w:t>per cent</w:t>
      </w:r>
      <w:r>
        <w:t xml:space="preserve"> and new dwellings reduced by 25.6 </w:t>
      </w:r>
      <w:r w:rsidR="00A75A4A">
        <w:t>per cent</w:t>
      </w:r>
      <w:r w:rsidRPr="00743BAE">
        <w:t>.</w:t>
      </w:r>
    </w:p>
    <w:p w14:paraId="0D4F77F3" w14:textId="5DD72D06" w:rsidR="00743BAE" w:rsidRPr="00743BAE" w:rsidRDefault="002B02BC" w:rsidP="0055268E">
      <w:pPr>
        <w:spacing w:before="0" w:line="240" w:lineRule="auto"/>
        <w:jc w:val="center"/>
      </w:pPr>
      <w:r>
        <w:rPr>
          <w:noProof/>
          <w:lang w:eastAsia="en-AU"/>
        </w:rPr>
        <w:drawing>
          <wp:inline distT="0" distB="0" distL="0" distR="0" wp14:anchorId="6691EAFC" wp14:editId="1DFE6E60">
            <wp:extent cx="4680000" cy="2606775"/>
            <wp:effectExtent l="0" t="0" r="6350" b="3175"/>
            <wp:docPr id="8" name="Picture 8" descr="Image depicting of sales trends between 2017-2018 and 2018-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les Trend_5.PNG"/>
                    <pic:cNvPicPr/>
                  </pic:nvPicPr>
                  <pic:blipFill>
                    <a:blip r:embed="rId40"/>
                    <a:stretch>
                      <a:fillRect/>
                    </a:stretch>
                  </pic:blipFill>
                  <pic:spPr>
                    <a:xfrm>
                      <a:off x="0" y="0"/>
                      <a:ext cx="4680000" cy="2606775"/>
                    </a:xfrm>
                    <a:prstGeom prst="rect">
                      <a:avLst/>
                    </a:prstGeom>
                  </pic:spPr>
                </pic:pic>
              </a:graphicData>
            </a:graphic>
          </wp:inline>
        </w:drawing>
      </w:r>
    </w:p>
    <w:p w14:paraId="7D5095E5" w14:textId="77777777" w:rsidR="00743BAE" w:rsidRPr="00743BAE" w:rsidRDefault="00743BAE" w:rsidP="00743BAE">
      <w:pPr>
        <w:spacing w:before="0" w:line="240" w:lineRule="auto"/>
      </w:pPr>
    </w:p>
    <w:p w14:paraId="733891D6" w14:textId="77777777" w:rsidR="00743BAE" w:rsidRPr="00743BAE" w:rsidRDefault="00743BAE" w:rsidP="00743BAE">
      <w:pPr>
        <w:spacing w:before="0" w:line="240" w:lineRule="auto"/>
      </w:pPr>
    </w:p>
    <w:p w14:paraId="347E2AB9" w14:textId="35B4AE1B" w:rsidR="0054471A" w:rsidRDefault="00D910FF" w:rsidP="00D910FF">
      <w:pPr>
        <w:spacing w:before="0" w:line="240" w:lineRule="auto"/>
      </w:pPr>
      <w:r w:rsidRPr="00772BEA">
        <w:t>The following table</w:t>
      </w:r>
      <w:r w:rsidR="0054471A" w:rsidRPr="00772BEA">
        <w:t xml:space="preserve"> </w:t>
      </w:r>
      <w:r w:rsidRPr="00772BEA">
        <w:t xml:space="preserve">summarises </w:t>
      </w:r>
      <w:r w:rsidR="0054471A" w:rsidRPr="00772BEA">
        <w:t xml:space="preserve">sale </w:t>
      </w:r>
      <w:r w:rsidRPr="00772BEA">
        <w:t xml:space="preserve">transaction </w:t>
      </w:r>
      <w:r w:rsidR="0054471A" w:rsidRPr="00772BEA">
        <w:t xml:space="preserve">trends by state or territory in </w:t>
      </w:r>
      <w:r w:rsidRPr="00772BEA">
        <w:t>2018-</w:t>
      </w:r>
      <w:r w:rsidR="0054471A" w:rsidRPr="00772BEA">
        <w:t>2019 compared to 201</w:t>
      </w:r>
      <w:r w:rsidRPr="00772BEA">
        <w:t>7-18 broken down by property type</w:t>
      </w:r>
      <w:r w:rsidR="0054471A" w:rsidRPr="00772BEA">
        <w:t xml:space="preserve">. </w:t>
      </w:r>
    </w:p>
    <w:p w14:paraId="6A739606" w14:textId="77777777" w:rsidR="00772BEA" w:rsidRDefault="00772BEA" w:rsidP="00D910FF">
      <w:pPr>
        <w:spacing w:before="0" w:line="240" w:lineRule="auto"/>
      </w:pPr>
    </w:p>
    <w:tbl>
      <w:tblPr>
        <w:tblW w:w="9356" w:type="dxa"/>
        <w:tblBorders>
          <w:top w:val="single" w:sz="8" w:space="0" w:color="3685F7"/>
          <w:bottom w:val="single" w:sz="8" w:space="0" w:color="3685F7"/>
          <w:insideH w:val="single" w:sz="8" w:space="0" w:color="3685F7"/>
        </w:tblBorders>
        <w:shd w:val="clear" w:color="auto" w:fill="FFFFFF" w:themeFill="background1"/>
        <w:tblLayout w:type="fixed"/>
        <w:tblLook w:val="04A0" w:firstRow="1" w:lastRow="0" w:firstColumn="1" w:lastColumn="0" w:noHBand="0" w:noVBand="1"/>
      </w:tblPr>
      <w:tblGrid>
        <w:gridCol w:w="1701"/>
        <w:gridCol w:w="1158"/>
        <w:gridCol w:w="1299"/>
        <w:gridCol w:w="1300"/>
        <w:gridCol w:w="1299"/>
        <w:gridCol w:w="1299"/>
        <w:gridCol w:w="1300"/>
      </w:tblGrid>
      <w:tr w:rsidR="00772BEA" w:rsidRPr="00772BEA" w14:paraId="096A76A3" w14:textId="77777777" w:rsidTr="00772BEA">
        <w:trPr>
          <w:trHeight w:val="303"/>
        </w:trPr>
        <w:tc>
          <w:tcPr>
            <w:tcW w:w="1701" w:type="dxa"/>
            <w:vMerge w:val="restart"/>
            <w:shd w:val="clear" w:color="auto" w:fill="21BDC5"/>
            <w:vAlign w:val="bottom"/>
          </w:tcPr>
          <w:p w14:paraId="4A2A86B0" w14:textId="6E1D4FFC" w:rsidR="00772BEA" w:rsidRPr="00772BEA" w:rsidRDefault="00772BEA" w:rsidP="00D910FF">
            <w:pPr>
              <w:spacing w:before="0" w:line="240" w:lineRule="auto"/>
              <w:jc w:val="center"/>
              <w:rPr>
                <w:rFonts w:ascii="Calibri" w:eastAsia="Times New Roman" w:hAnsi="Calibri"/>
                <w:b/>
                <w:bCs/>
                <w:color w:val="000000"/>
                <w:szCs w:val="22"/>
                <w:lang w:eastAsia="en-AU"/>
              </w:rPr>
            </w:pPr>
            <w:r w:rsidRPr="00772BEA">
              <w:rPr>
                <w:rFonts w:ascii="Calibri" w:eastAsia="Times New Roman" w:hAnsi="Calibri"/>
                <w:b/>
                <w:bCs/>
                <w:color w:val="000000"/>
                <w:szCs w:val="22"/>
                <w:lang w:eastAsia="en-AU"/>
              </w:rPr>
              <w:t>State/Territory</w:t>
            </w:r>
          </w:p>
        </w:tc>
        <w:tc>
          <w:tcPr>
            <w:tcW w:w="2457" w:type="dxa"/>
            <w:gridSpan w:val="2"/>
            <w:shd w:val="clear" w:color="auto" w:fill="21BDC5"/>
            <w:vAlign w:val="center"/>
          </w:tcPr>
          <w:p w14:paraId="6736F7AF" w14:textId="615F35F3" w:rsidR="00772BEA" w:rsidRPr="00772BEA" w:rsidRDefault="00772BEA" w:rsidP="00D910FF">
            <w:pPr>
              <w:spacing w:before="0" w:line="240" w:lineRule="auto"/>
              <w:jc w:val="center"/>
              <w:rPr>
                <w:rFonts w:ascii="Calibri" w:eastAsia="Times New Roman" w:hAnsi="Calibri"/>
                <w:b/>
                <w:bCs/>
                <w:color w:val="000000"/>
                <w:szCs w:val="22"/>
                <w:lang w:eastAsia="en-AU"/>
              </w:rPr>
            </w:pPr>
            <w:r w:rsidRPr="00772BEA">
              <w:rPr>
                <w:rFonts w:ascii="Calibri" w:eastAsia="Times New Roman" w:hAnsi="Calibri"/>
                <w:b/>
                <w:bCs/>
                <w:color w:val="000000"/>
                <w:szCs w:val="22"/>
                <w:lang w:eastAsia="en-AU"/>
              </w:rPr>
              <w:t>New Dwelling</w:t>
            </w:r>
          </w:p>
        </w:tc>
        <w:tc>
          <w:tcPr>
            <w:tcW w:w="2599" w:type="dxa"/>
            <w:gridSpan w:val="2"/>
            <w:shd w:val="clear" w:color="auto" w:fill="21BDC5"/>
            <w:vAlign w:val="center"/>
          </w:tcPr>
          <w:p w14:paraId="30639EFC" w14:textId="0B85BB86" w:rsidR="00772BEA" w:rsidRPr="00772BEA" w:rsidRDefault="00772BEA" w:rsidP="00D910FF">
            <w:pPr>
              <w:spacing w:before="0" w:line="240" w:lineRule="auto"/>
              <w:jc w:val="center"/>
              <w:rPr>
                <w:rFonts w:ascii="Calibri" w:eastAsia="Times New Roman" w:hAnsi="Calibri"/>
                <w:b/>
                <w:bCs/>
                <w:color w:val="000000"/>
                <w:szCs w:val="22"/>
                <w:lang w:eastAsia="en-AU"/>
              </w:rPr>
            </w:pPr>
            <w:r w:rsidRPr="00772BEA">
              <w:rPr>
                <w:rFonts w:ascii="Calibri" w:eastAsia="Times New Roman" w:hAnsi="Calibri"/>
                <w:b/>
                <w:bCs/>
                <w:color w:val="000000"/>
                <w:szCs w:val="22"/>
                <w:lang w:eastAsia="en-AU"/>
              </w:rPr>
              <w:t>Vacant Land</w:t>
            </w:r>
          </w:p>
        </w:tc>
        <w:tc>
          <w:tcPr>
            <w:tcW w:w="2599" w:type="dxa"/>
            <w:gridSpan w:val="2"/>
            <w:shd w:val="clear" w:color="auto" w:fill="21BDC5"/>
            <w:vAlign w:val="center"/>
          </w:tcPr>
          <w:p w14:paraId="6C4AB764" w14:textId="63D95F60" w:rsidR="00772BEA" w:rsidRPr="00772BEA" w:rsidRDefault="00772BEA" w:rsidP="00D910FF">
            <w:pPr>
              <w:spacing w:before="0" w:line="240" w:lineRule="auto"/>
              <w:jc w:val="center"/>
              <w:rPr>
                <w:rFonts w:ascii="Calibri" w:eastAsia="Times New Roman" w:hAnsi="Calibri"/>
                <w:b/>
                <w:bCs/>
                <w:color w:val="000000"/>
                <w:szCs w:val="22"/>
                <w:lang w:eastAsia="en-AU"/>
              </w:rPr>
            </w:pPr>
            <w:r w:rsidRPr="00772BEA">
              <w:rPr>
                <w:rFonts w:ascii="Calibri" w:eastAsia="Times New Roman" w:hAnsi="Calibri"/>
                <w:b/>
                <w:bCs/>
                <w:color w:val="000000"/>
                <w:szCs w:val="22"/>
                <w:lang w:eastAsia="en-AU"/>
              </w:rPr>
              <w:t>Established dwelling</w:t>
            </w:r>
          </w:p>
        </w:tc>
      </w:tr>
      <w:tr w:rsidR="00772BEA" w:rsidRPr="0054471A" w14:paraId="1AF911BB" w14:textId="77777777" w:rsidTr="00772BEA">
        <w:trPr>
          <w:trHeight w:val="626"/>
        </w:trPr>
        <w:tc>
          <w:tcPr>
            <w:tcW w:w="1701" w:type="dxa"/>
            <w:vMerge/>
            <w:shd w:val="clear" w:color="auto" w:fill="21BDC5"/>
            <w:vAlign w:val="center"/>
            <w:hideMark/>
          </w:tcPr>
          <w:p w14:paraId="07E50113" w14:textId="6AFC5A33" w:rsidR="00772BEA" w:rsidRPr="00772BEA" w:rsidRDefault="00772BEA" w:rsidP="00D910FF">
            <w:pPr>
              <w:spacing w:before="0" w:line="240" w:lineRule="auto"/>
              <w:jc w:val="center"/>
              <w:rPr>
                <w:rFonts w:ascii="Calibri" w:eastAsia="Times New Roman" w:hAnsi="Calibri"/>
                <w:b/>
                <w:bCs/>
                <w:color w:val="000000"/>
                <w:szCs w:val="22"/>
                <w:lang w:eastAsia="en-AU"/>
              </w:rPr>
            </w:pPr>
          </w:p>
        </w:tc>
        <w:tc>
          <w:tcPr>
            <w:tcW w:w="1158" w:type="dxa"/>
            <w:shd w:val="clear" w:color="auto" w:fill="21BDC5"/>
            <w:vAlign w:val="center"/>
            <w:hideMark/>
          </w:tcPr>
          <w:p w14:paraId="7766E122" w14:textId="77777777" w:rsidR="00772BEA" w:rsidRPr="00772BEA" w:rsidRDefault="00772BEA" w:rsidP="00D910FF">
            <w:pPr>
              <w:spacing w:before="0" w:line="240" w:lineRule="auto"/>
              <w:jc w:val="center"/>
              <w:rPr>
                <w:rFonts w:ascii="Calibri" w:eastAsia="Times New Roman" w:hAnsi="Calibri"/>
                <w:b/>
                <w:bCs/>
                <w:color w:val="000000"/>
                <w:szCs w:val="22"/>
                <w:lang w:eastAsia="en-AU"/>
              </w:rPr>
            </w:pPr>
            <w:r w:rsidRPr="00772BEA">
              <w:rPr>
                <w:rFonts w:ascii="Calibri" w:eastAsia="Times New Roman" w:hAnsi="Calibri"/>
                <w:b/>
                <w:bCs/>
                <w:color w:val="000000"/>
                <w:szCs w:val="22"/>
                <w:lang w:eastAsia="en-AU"/>
              </w:rPr>
              <w:t>2017-18</w:t>
            </w:r>
          </w:p>
        </w:tc>
        <w:tc>
          <w:tcPr>
            <w:tcW w:w="1299" w:type="dxa"/>
            <w:shd w:val="clear" w:color="auto" w:fill="21BDC5"/>
            <w:vAlign w:val="center"/>
            <w:hideMark/>
          </w:tcPr>
          <w:p w14:paraId="40D7CE23" w14:textId="77777777" w:rsidR="00772BEA" w:rsidRPr="00772BEA" w:rsidRDefault="00772BEA" w:rsidP="00D910FF">
            <w:pPr>
              <w:spacing w:before="0" w:line="240" w:lineRule="auto"/>
              <w:jc w:val="center"/>
              <w:rPr>
                <w:rFonts w:ascii="Calibri" w:eastAsia="Times New Roman" w:hAnsi="Calibri"/>
                <w:b/>
                <w:bCs/>
                <w:color w:val="000000"/>
                <w:szCs w:val="22"/>
                <w:lang w:eastAsia="en-AU"/>
              </w:rPr>
            </w:pPr>
            <w:r w:rsidRPr="00772BEA">
              <w:rPr>
                <w:rFonts w:ascii="Calibri" w:eastAsia="Times New Roman" w:hAnsi="Calibri"/>
                <w:b/>
                <w:bCs/>
                <w:color w:val="000000"/>
                <w:szCs w:val="22"/>
                <w:lang w:eastAsia="en-AU"/>
              </w:rPr>
              <w:t>2018-19</w:t>
            </w:r>
          </w:p>
        </w:tc>
        <w:tc>
          <w:tcPr>
            <w:tcW w:w="1300" w:type="dxa"/>
            <w:shd w:val="clear" w:color="auto" w:fill="21BDC5"/>
            <w:vAlign w:val="center"/>
            <w:hideMark/>
          </w:tcPr>
          <w:p w14:paraId="320BE710" w14:textId="77777777" w:rsidR="00772BEA" w:rsidRPr="00772BEA" w:rsidRDefault="00772BEA" w:rsidP="00D910FF">
            <w:pPr>
              <w:spacing w:before="0" w:line="240" w:lineRule="auto"/>
              <w:jc w:val="center"/>
              <w:rPr>
                <w:rFonts w:ascii="Calibri" w:eastAsia="Times New Roman" w:hAnsi="Calibri"/>
                <w:b/>
                <w:bCs/>
                <w:color w:val="000000"/>
                <w:szCs w:val="22"/>
                <w:lang w:eastAsia="en-AU"/>
              </w:rPr>
            </w:pPr>
            <w:r w:rsidRPr="00772BEA">
              <w:rPr>
                <w:rFonts w:ascii="Calibri" w:eastAsia="Times New Roman" w:hAnsi="Calibri"/>
                <w:b/>
                <w:bCs/>
                <w:color w:val="000000"/>
                <w:szCs w:val="22"/>
                <w:lang w:eastAsia="en-AU"/>
              </w:rPr>
              <w:t>2017-18</w:t>
            </w:r>
          </w:p>
        </w:tc>
        <w:tc>
          <w:tcPr>
            <w:tcW w:w="1299" w:type="dxa"/>
            <w:shd w:val="clear" w:color="auto" w:fill="21BDC5"/>
            <w:vAlign w:val="center"/>
            <w:hideMark/>
          </w:tcPr>
          <w:p w14:paraId="0DAC1C32" w14:textId="77777777" w:rsidR="00772BEA" w:rsidRPr="00772BEA" w:rsidRDefault="00772BEA" w:rsidP="00D910FF">
            <w:pPr>
              <w:spacing w:before="0" w:line="240" w:lineRule="auto"/>
              <w:jc w:val="center"/>
              <w:rPr>
                <w:rFonts w:ascii="Calibri" w:eastAsia="Times New Roman" w:hAnsi="Calibri"/>
                <w:b/>
                <w:bCs/>
                <w:color w:val="000000"/>
                <w:szCs w:val="22"/>
                <w:lang w:eastAsia="en-AU"/>
              </w:rPr>
            </w:pPr>
            <w:r w:rsidRPr="00772BEA">
              <w:rPr>
                <w:rFonts w:ascii="Calibri" w:eastAsia="Times New Roman" w:hAnsi="Calibri"/>
                <w:b/>
                <w:bCs/>
                <w:color w:val="000000"/>
                <w:szCs w:val="22"/>
                <w:lang w:eastAsia="en-AU"/>
              </w:rPr>
              <w:t>2018-19</w:t>
            </w:r>
          </w:p>
        </w:tc>
        <w:tc>
          <w:tcPr>
            <w:tcW w:w="1299" w:type="dxa"/>
            <w:shd w:val="clear" w:color="auto" w:fill="21BDC5"/>
            <w:vAlign w:val="center"/>
            <w:hideMark/>
          </w:tcPr>
          <w:p w14:paraId="1EC2534D" w14:textId="77777777" w:rsidR="00772BEA" w:rsidRPr="00772BEA" w:rsidRDefault="00772BEA" w:rsidP="00D910FF">
            <w:pPr>
              <w:spacing w:before="0" w:line="240" w:lineRule="auto"/>
              <w:jc w:val="center"/>
              <w:rPr>
                <w:rFonts w:ascii="Calibri" w:eastAsia="Times New Roman" w:hAnsi="Calibri"/>
                <w:b/>
                <w:bCs/>
                <w:color w:val="000000"/>
                <w:szCs w:val="22"/>
                <w:lang w:eastAsia="en-AU"/>
              </w:rPr>
            </w:pPr>
            <w:r w:rsidRPr="00772BEA">
              <w:rPr>
                <w:rFonts w:ascii="Calibri" w:eastAsia="Times New Roman" w:hAnsi="Calibri"/>
                <w:b/>
                <w:bCs/>
                <w:color w:val="000000"/>
                <w:szCs w:val="22"/>
                <w:lang w:eastAsia="en-AU"/>
              </w:rPr>
              <w:t>2017-18</w:t>
            </w:r>
          </w:p>
        </w:tc>
        <w:tc>
          <w:tcPr>
            <w:tcW w:w="1300" w:type="dxa"/>
            <w:shd w:val="clear" w:color="auto" w:fill="21BDC5"/>
            <w:vAlign w:val="center"/>
            <w:hideMark/>
          </w:tcPr>
          <w:p w14:paraId="20028019" w14:textId="77777777" w:rsidR="00772BEA" w:rsidRPr="00772BEA" w:rsidRDefault="00772BEA" w:rsidP="00D910FF">
            <w:pPr>
              <w:spacing w:before="0" w:line="240" w:lineRule="auto"/>
              <w:jc w:val="center"/>
              <w:rPr>
                <w:rFonts w:ascii="Calibri" w:eastAsia="Times New Roman" w:hAnsi="Calibri"/>
                <w:b/>
                <w:bCs/>
                <w:color w:val="FFFFFF" w:themeColor="background1"/>
                <w:szCs w:val="22"/>
                <w:lang w:eastAsia="en-AU"/>
              </w:rPr>
            </w:pPr>
            <w:r w:rsidRPr="00772BEA">
              <w:rPr>
                <w:rFonts w:ascii="Calibri" w:eastAsia="Times New Roman" w:hAnsi="Calibri"/>
                <w:b/>
                <w:bCs/>
                <w:color w:val="000000"/>
                <w:szCs w:val="22"/>
                <w:lang w:eastAsia="en-AU"/>
              </w:rPr>
              <w:t>2018-19</w:t>
            </w:r>
          </w:p>
        </w:tc>
      </w:tr>
      <w:tr w:rsidR="0054471A" w:rsidRPr="0054471A" w14:paraId="07848E67" w14:textId="77777777" w:rsidTr="00772BEA">
        <w:trPr>
          <w:trHeight w:val="303"/>
        </w:trPr>
        <w:tc>
          <w:tcPr>
            <w:tcW w:w="1701" w:type="dxa"/>
            <w:shd w:val="clear" w:color="auto" w:fill="FFFFFF" w:themeFill="background1"/>
            <w:vAlign w:val="center"/>
            <w:hideMark/>
          </w:tcPr>
          <w:p w14:paraId="0B895C2A"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ACT*</w:t>
            </w:r>
          </w:p>
        </w:tc>
        <w:tc>
          <w:tcPr>
            <w:tcW w:w="1158" w:type="dxa"/>
            <w:shd w:val="clear" w:color="auto" w:fill="FFFFFF" w:themeFill="background1"/>
            <w:noWrap/>
            <w:vAlign w:val="center"/>
            <w:hideMark/>
          </w:tcPr>
          <w:p w14:paraId="2FA1773F"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w:t>
            </w:r>
          </w:p>
        </w:tc>
        <w:tc>
          <w:tcPr>
            <w:tcW w:w="1299" w:type="dxa"/>
            <w:shd w:val="clear" w:color="auto" w:fill="FFFFFF" w:themeFill="background1"/>
            <w:noWrap/>
            <w:vAlign w:val="center"/>
            <w:hideMark/>
          </w:tcPr>
          <w:p w14:paraId="60688A5F" w14:textId="5065F220" w:rsidR="0054471A" w:rsidRPr="00772BEA" w:rsidRDefault="002365E4" w:rsidP="00D910FF">
            <w:pPr>
              <w:spacing w:before="0" w:line="240" w:lineRule="auto"/>
              <w:jc w:val="center"/>
              <w:rPr>
                <w:rFonts w:ascii="Calibri" w:eastAsia="Times New Roman" w:hAnsi="Calibri"/>
                <w:szCs w:val="22"/>
                <w:lang w:eastAsia="en-AU"/>
              </w:rPr>
            </w:pPr>
            <w:r>
              <w:rPr>
                <w:rFonts w:ascii="Calibri" w:eastAsia="Times New Roman" w:hAnsi="Calibri"/>
                <w:szCs w:val="22"/>
                <w:lang w:eastAsia="en-AU"/>
              </w:rPr>
              <w:t>&lt;5</w:t>
            </w:r>
          </w:p>
        </w:tc>
        <w:tc>
          <w:tcPr>
            <w:tcW w:w="1300" w:type="dxa"/>
            <w:shd w:val="clear" w:color="auto" w:fill="FFFFFF" w:themeFill="background1"/>
            <w:noWrap/>
            <w:vAlign w:val="center"/>
            <w:hideMark/>
          </w:tcPr>
          <w:p w14:paraId="25913A3A"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w:t>
            </w:r>
          </w:p>
        </w:tc>
        <w:tc>
          <w:tcPr>
            <w:tcW w:w="1299" w:type="dxa"/>
            <w:shd w:val="clear" w:color="auto" w:fill="FFFFFF" w:themeFill="background1"/>
            <w:noWrap/>
            <w:vAlign w:val="center"/>
            <w:hideMark/>
          </w:tcPr>
          <w:p w14:paraId="4F738322"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w:t>
            </w:r>
          </w:p>
        </w:tc>
        <w:tc>
          <w:tcPr>
            <w:tcW w:w="1299" w:type="dxa"/>
            <w:shd w:val="clear" w:color="auto" w:fill="FFFFFF" w:themeFill="background1"/>
            <w:vAlign w:val="center"/>
            <w:hideMark/>
          </w:tcPr>
          <w:p w14:paraId="1D7A94CF"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w:t>
            </w:r>
          </w:p>
        </w:tc>
        <w:tc>
          <w:tcPr>
            <w:tcW w:w="1300" w:type="dxa"/>
            <w:shd w:val="clear" w:color="auto" w:fill="FFFFFF" w:themeFill="background1"/>
            <w:vAlign w:val="center"/>
            <w:hideMark/>
          </w:tcPr>
          <w:p w14:paraId="02AB7A6E"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w:t>
            </w:r>
          </w:p>
        </w:tc>
      </w:tr>
      <w:tr w:rsidR="00772BEA" w:rsidRPr="0054471A" w14:paraId="27A1E935" w14:textId="77777777" w:rsidTr="00772BEA">
        <w:trPr>
          <w:trHeight w:val="303"/>
        </w:trPr>
        <w:tc>
          <w:tcPr>
            <w:tcW w:w="1701" w:type="dxa"/>
            <w:shd w:val="clear" w:color="auto" w:fill="FFFFFF" w:themeFill="background1"/>
            <w:vAlign w:val="center"/>
            <w:hideMark/>
          </w:tcPr>
          <w:p w14:paraId="0357C0FE"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NSW</w:t>
            </w:r>
          </w:p>
        </w:tc>
        <w:tc>
          <w:tcPr>
            <w:tcW w:w="1158" w:type="dxa"/>
            <w:shd w:val="clear" w:color="auto" w:fill="FFFFFF" w:themeFill="background1"/>
            <w:noWrap/>
            <w:vAlign w:val="center"/>
            <w:hideMark/>
          </w:tcPr>
          <w:p w14:paraId="589383E3"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361</w:t>
            </w:r>
          </w:p>
        </w:tc>
        <w:tc>
          <w:tcPr>
            <w:tcW w:w="1299" w:type="dxa"/>
            <w:shd w:val="clear" w:color="auto" w:fill="FFFFFF" w:themeFill="background1"/>
            <w:noWrap/>
            <w:vAlign w:val="center"/>
            <w:hideMark/>
          </w:tcPr>
          <w:p w14:paraId="2E37922E"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202</w:t>
            </w:r>
          </w:p>
        </w:tc>
        <w:tc>
          <w:tcPr>
            <w:tcW w:w="1300" w:type="dxa"/>
            <w:shd w:val="clear" w:color="auto" w:fill="FFFFFF" w:themeFill="background1"/>
            <w:noWrap/>
            <w:vAlign w:val="center"/>
            <w:hideMark/>
          </w:tcPr>
          <w:p w14:paraId="24EFC52E"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48</w:t>
            </w:r>
          </w:p>
        </w:tc>
        <w:tc>
          <w:tcPr>
            <w:tcW w:w="1299" w:type="dxa"/>
            <w:shd w:val="clear" w:color="auto" w:fill="FFFFFF" w:themeFill="background1"/>
            <w:noWrap/>
            <w:vAlign w:val="center"/>
            <w:hideMark/>
          </w:tcPr>
          <w:p w14:paraId="1D6C40B7"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47</w:t>
            </w:r>
          </w:p>
        </w:tc>
        <w:tc>
          <w:tcPr>
            <w:tcW w:w="1299" w:type="dxa"/>
            <w:shd w:val="clear" w:color="auto" w:fill="FFFFFF" w:themeFill="background1"/>
            <w:vAlign w:val="center"/>
            <w:hideMark/>
          </w:tcPr>
          <w:p w14:paraId="5CFB7F80"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162</w:t>
            </w:r>
          </w:p>
        </w:tc>
        <w:tc>
          <w:tcPr>
            <w:tcW w:w="1300" w:type="dxa"/>
            <w:shd w:val="clear" w:color="auto" w:fill="FFFFFF" w:themeFill="background1"/>
            <w:vAlign w:val="center"/>
            <w:hideMark/>
          </w:tcPr>
          <w:p w14:paraId="3757353B"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71</w:t>
            </w:r>
          </w:p>
        </w:tc>
      </w:tr>
      <w:tr w:rsidR="0054471A" w:rsidRPr="0054471A" w14:paraId="1E02FECE" w14:textId="77777777" w:rsidTr="00772BEA">
        <w:trPr>
          <w:trHeight w:val="303"/>
        </w:trPr>
        <w:tc>
          <w:tcPr>
            <w:tcW w:w="1701" w:type="dxa"/>
            <w:shd w:val="clear" w:color="auto" w:fill="FFFFFF" w:themeFill="background1"/>
            <w:vAlign w:val="center"/>
            <w:hideMark/>
          </w:tcPr>
          <w:p w14:paraId="097C68C1"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NT*</w:t>
            </w:r>
          </w:p>
        </w:tc>
        <w:tc>
          <w:tcPr>
            <w:tcW w:w="1158" w:type="dxa"/>
            <w:shd w:val="clear" w:color="auto" w:fill="FFFFFF" w:themeFill="background1"/>
            <w:noWrap/>
            <w:vAlign w:val="center"/>
            <w:hideMark/>
          </w:tcPr>
          <w:p w14:paraId="04CB6712"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w:t>
            </w:r>
          </w:p>
        </w:tc>
        <w:tc>
          <w:tcPr>
            <w:tcW w:w="1299" w:type="dxa"/>
            <w:shd w:val="clear" w:color="auto" w:fill="FFFFFF" w:themeFill="background1"/>
            <w:noWrap/>
            <w:vAlign w:val="center"/>
            <w:hideMark/>
          </w:tcPr>
          <w:p w14:paraId="0A3DBE70"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w:t>
            </w:r>
          </w:p>
        </w:tc>
        <w:tc>
          <w:tcPr>
            <w:tcW w:w="1300" w:type="dxa"/>
            <w:shd w:val="clear" w:color="auto" w:fill="FFFFFF" w:themeFill="background1"/>
            <w:noWrap/>
            <w:vAlign w:val="center"/>
            <w:hideMark/>
          </w:tcPr>
          <w:p w14:paraId="7DBF7832"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w:t>
            </w:r>
          </w:p>
        </w:tc>
        <w:tc>
          <w:tcPr>
            <w:tcW w:w="1299" w:type="dxa"/>
            <w:shd w:val="clear" w:color="auto" w:fill="FFFFFF" w:themeFill="background1"/>
            <w:noWrap/>
            <w:vAlign w:val="center"/>
            <w:hideMark/>
          </w:tcPr>
          <w:p w14:paraId="35730822"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w:t>
            </w:r>
          </w:p>
        </w:tc>
        <w:tc>
          <w:tcPr>
            <w:tcW w:w="1299" w:type="dxa"/>
            <w:shd w:val="clear" w:color="auto" w:fill="FFFFFF" w:themeFill="background1"/>
            <w:vAlign w:val="center"/>
            <w:hideMark/>
          </w:tcPr>
          <w:p w14:paraId="190BBE78"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w:t>
            </w:r>
          </w:p>
        </w:tc>
        <w:tc>
          <w:tcPr>
            <w:tcW w:w="1300" w:type="dxa"/>
            <w:shd w:val="clear" w:color="auto" w:fill="FFFFFF" w:themeFill="background1"/>
            <w:vAlign w:val="center"/>
            <w:hideMark/>
          </w:tcPr>
          <w:p w14:paraId="7296CB52"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w:t>
            </w:r>
          </w:p>
        </w:tc>
      </w:tr>
      <w:tr w:rsidR="00772BEA" w:rsidRPr="0054471A" w14:paraId="2A59DA66" w14:textId="77777777" w:rsidTr="00772BEA">
        <w:trPr>
          <w:trHeight w:val="303"/>
        </w:trPr>
        <w:tc>
          <w:tcPr>
            <w:tcW w:w="1701" w:type="dxa"/>
            <w:shd w:val="clear" w:color="auto" w:fill="FFFFFF" w:themeFill="background1"/>
            <w:vAlign w:val="center"/>
            <w:hideMark/>
          </w:tcPr>
          <w:p w14:paraId="73F5DB9B"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QLD</w:t>
            </w:r>
          </w:p>
        </w:tc>
        <w:tc>
          <w:tcPr>
            <w:tcW w:w="1158" w:type="dxa"/>
            <w:shd w:val="clear" w:color="auto" w:fill="FFFFFF" w:themeFill="background1"/>
            <w:noWrap/>
            <w:vAlign w:val="center"/>
            <w:hideMark/>
          </w:tcPr>
          <w:p w14:paraId="39F6C10B"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92</w:t>
            </w:r>
          </w:p>
        </w:tc>
        <w:tc>
          <w:tcPr>
            <w:tcW w:w="1299" w:type="dxa"/>
            <w:shd w:val="clear" w:color="auto" w:fill="FFFFFF" w:themeFill="background1"/>
            <w:noWrap/>
            <w:vAlign w:val="center"/>
            <w:hideMark/>
          </w:tcPr>
          <w:p w14:paraId="4A58A706"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118</w:t>
            </w:r>
          </w:p>
        </w:tc>
        <w:tc>
          <w:tcPr>
            <w:tcW w:w="1300" w:type="dxa"/>
            <w:shd w:val="clear" w:color="auto" w:fill="FFFFFF" w:themeFill="background1"/>
            <w:noWrap/>
            <w:vAlign w:val="center"/>
            <w:hideMark/>
          </w:tcPr>
          <w:p w14:paraId="460C7DD3"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56</w:t>
            </w:r>
          </w:p>
        </w:tc>
        <w:tc>
          <w:tcPr>
            <w:tcW w:w="1299" w:type="dxa"/>
            <w:shd w:val="clear" w:color="auto" w:fill="FFFFFF" w:themeFill="background1"/>
            <w:noWrap/>
            <w:vAlign w:val="center"/>
            <w:hideMark/>
          </w:tcPr>
          <w:p w14:paraId="6843F006"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46</w:t>
            </w:r>
          </w:p>
        </w:tc>
        <w:tc>
          <w:tcPr>
            <w:tcW w:w="1299" w:type="dxa"/>
            <w:shd w:val="clear" w:color="auto" w:fill="FFFFFF" w:themeFill="background1"/>
            <w:vAlign w:val="center"/>
            <w:hideMark/>
          </w:tcPr>
          <w:p w14:paraId="115C175C"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109</w:t>
            </w:r>
          </w:p>
        </w:tc>
        <w:tc>
          <w:tcPr>
            <w:tcW w:w="1300" w:type="dxa"/>
            <w:shd w:val="clear" w:color="auto" w:fill="FFFFFF" w:themeFill="background1"/>
            <w:vAlign w:val="center"/>
            <w:hideMark/>
          </w:tcPr>
          <w:p w14:paraId="14F8DD98"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79</w:t>
            </w:r>
          </w:p>
        </w:tc>
      </w:tr>
      <w:tr w:rsidR="002365E4" w:rsidRPr="0054471A" w14:paraId="3A730430" w14:textId="77777777" w:rsidTr="004F6433">
        <w:trPr>
          <w:trHeight w:val="303"/>
        </w:trPr>
        <w:tc>
          <w:tcPr>
            <w:tcW w:w="1701" w:type="dxa"/>
            <w:shd w:val="clear" w:color="auto" w:fill="FFFFFF" w:themeFill="background1"/>
            <w:vAlign w:val="center"/>
            <w:hideMark/>
          </w:tcPr>
          <w:p w14:paraId="541C4E26" w14:textId="77777777" w:rsidR="002365E4" w:rsidRPr="00772BEA" w:rsidRDefault="002365E4" w:rsidP="002365E4">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SA</w:t>
            </w:r>
          </w:p>
        </w:tc>
        <w:tc>
          <w:tcPr>
            <w:tcW w:w="1158" w:type="dxa"/>
            <w:shd w:val="clear" w:color="auto" w:fill="FFFFFF" w:themeFill="background1"/>
            <w:noWrap/>
            <w:vAlign w:val="center"/>
            <w:hideMark/>
          </w:tcPr>
          <w:p w14:paraId="5CEEF280" w14:textId="44085C3F" w:rsidR="002365E4" w:rsidRPr="00772BEA" w:rsidRDefault="002365E4" w:rsidP="002365E4">
            <w:pPr>
              <w:spacing w:before="0" w:line="240" w:lineRule="auto"/>
              <w:jc w:val="center"/>
              <w:rPr>
                <w:rFonts w:ascii="Calibri" w:eastAsia="Times New Roman" w:hAnsi="Calibri"/>
                <w:szCs w:val="22"/>
                <w:lang w:eastAsia="en-AU"/>
              </w:rPr>
            </w:pPr>
            <w:r>
              <w:rPr>
                <w:rFonts w:ascii="Calibri" w:eastAsia="Times New Roman" w:hAnsi="Calibri"/>
                <w:szCs w:val="22"/>
                <w:lang w:eastAsia="en-AU"/>
              </w:rPr>
              <w:t>&lt;5</w:t>
            </w:r>
          </w:p>
        </w:tc>
        <w:tc>
          <w:tcPr>
            <w:tcW w:w="1299" w:type="dxa"/>
            <w:shd w:val="clear" w:color="auto" w:fill="FFFFFF" w:themeFill="background1"/>
            <w:noWrap/>
            <w:vAlign w:val="center"/>
            <w:hideMark/>
          </w:tcPr>
          <w:p w14:paraId="55DA0B84" w14:textId="77777777" w:rsidR="002365E4" w:rsidRPr="00772BEA" w:rsidRDefault="002365E4" w:rsidP="002365E4">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w:t>
            </w:r>
          </w:p>
        </w:tc>
        <w:tc>
          <w:tcPr>
            <w:tcW w:w="1300" w:type="dxa"/>
            <w:shd w:val="clear" w:color="auto" w:fill="FFFFFF" w:themeFill="background1"/>
            <w:noWrap/>
            <w:hideMark/>
          </w:tcPr>
          <w:p w14:paraId="28F899D3" w14:textId="0355E400" w:rsidR="002365E4" w:rsidRPr="00772BEA" w:rsidRDefault="002365E4" w:rsidP="002365E4">
            <w:pPr>
              <w:spacing w:before="0" w:line="240" w:lineRule="auto"/>
              <w:jc w:val="center"/>
              <w:rPr>
                <w:rFonts w:ascii="Calibri" w:eastAsia="Times New Roman" w:hAnsi="Calibri"/>
                <w:szCs w:val="22"/>
                <w:lang w:eastAsia="en-AU"/>
              </w:rPr>
            </w:pPr>
            <w:r w:rsidRPr="00936AE3">
              <w:rPr>
                <w:rFonts w:ascii="Calibri" w:eastAsia="Times New Roman" w:hAnsi="Calibri"/>
                <w:szCs w:val="22"/>
                <w:lang w:eastAsia="en-AU"/>
              </w:rPr>
              <w:t>&lt;5</w:t>
            </w:r>
          </w:p>
        </w:tc>
        <w:tc>
          <w:tcPr>
            <w:tcW w:w="1299" w:type="dxa"/>
            <w:shd w:val="clear" w:color="auto" w:fill="FFFFFF" w:themeFill="background1"/>
            <w:noWrap/>
            <w:hideMark/>
          </w:tcPr>
          <w:p w14:paraId="64320971" w14:textId="74432E4D" w:rsidR="002365E4" w:rsidRPr="00772BEA" w:rsidRDefault="002365E4" w:rsidP="002365E4">
            <w:pPr>
              <w:spacing w:before="0" w:line="240" w:lineRule="auto"/>
              <w:jc w:val="center"/>
              <w:rPr>
                <w:rFonts w:ascii="Calibri" w:eastAsia="Times New Roman" w:hAnsi="Calibri"/>
                <w:szCs w:val="22"/>
                <w:lang w:eastAsia="en-AU"/>
              </w:rPr>
            </w:pPr>
            <w:r w:rsidRPr="00936AE3">
              <w:rPr>
                <w:rFonts w:ascii="Calibri" w:eastAsia="Times New Roman" w:hAnsi="Calibri"/>
                <w:szCs w:val="22"/>
                <w:lang w:eastAsia="en-AU"/>
              </w:rPr>
              <w:t>&lt;5</w:t>
            </w:r>
          </w:p>
        </w:tc>
        <w:tc>
          <w:tcPr>
            <w:tcW w:w="1299" w:type="dxa"/>
            <w:shd w:val="clear" w:color="auto" w:fill="FFFFFF" w:themeFill="background1"/>
            <w:vAlign w:val="center"/>
            <w:hideMark/>
          </w:tcPr>
          <w:p w14:paraId="6EA1336D" w14:textId="77777777" w:rsidR="002365E4" w:rsidRPr="00772BEA" w:rsidRDefault="002365E4" w:rsidP="002365E4">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7</w:t>
            </w:r>
          </w:p>
        </w:tc>
        <w:tc>
          <w:tcPr>
            <w:tcW w:w="1300" w:type="dxa"/>
            <w:shd w:val="clear" w:color="auto" w:fill="FFFFFF" w:themeFill="background1"/>
            <w:vAlign w:val="center"/>
            <w:hideMark/>
          </w:tcPr>
          <w:p w14:paraId="393ED4B5" w14:textId="4996A275" w:rsidR="002365E4" w:rsidRPr="00772BEA" w:rsidRDefault="002365E4" w:rsidP="002365E4">
            <w:pPr>
              <w:spacing w:before="0" w:line="240" w:lineRule="auto"/>
              <w:jc w:val="center"/>
              <w:rPr>
                <w:rFonts w:ascii="Calibri" w:eastAsia="Times New Roman" w:hAnsi="Calibri"/>
                <w:szCs w:val="22"/>
                <w:lang w:eastAsia="en-AU"/>
              </w:rPr>
            </w:pPr>
            <w:r>
              <w:rPr>
                <w:rFonts w:ascii="Calibri" w:eastAsia="Times New Roman" w:hAnsi="Calibri"/>
                <w:szCs w:val="22"/>
                <w:lang w:eastAsia="en-AU"/>
              </w:rPr>
              <w:t>&lt;5</w:t>
            </w:r>
          </w:p>
        </w:tc>
      </w:tr>
      <w:tr w:rsidR="002365E4" w:rsidRPr="0054471A" w14:paraId="281B7F3B" w14:textId="77777777" w:rsidTr="004F6433">
        <w:trPr>
          <w:trHeight w:val="303"/>
        </w:trPr>
        <w:tc>
          <w:tcPr>
            <w:tcW w:w="1701" w:type="dxa"/>
            <w:shd w:val="clear" w:color="auto" w:fill="FFFFFF" w:themeFill="background1"/>
            <w:vAlign w:val="center"/>
            <w:hideMark/>
          </w:tcPr>
          <w:p w14:paraId="69747682" w14:textId="77777777" w:rsidR="002365E4" w:rsidRPr="00772BEA" w:rsidRDefault="002365E4" w:rsidP="002365E4">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TAS</w:t>
            </w:r>
          </w:p>
        </w:tc>
        <w:tc>
          <w:tcPr>
            <w:tcW w:w="1158" w:type="dxa"/>
            <w:shd w:val="clear" w:color="auto" w:fill="FFFFFF" w:themeFill="background1"/>
            <w:noWrap/>
            <w:hideMark/>
          </w:tcPr>
          <w:p w14:paraId="33F34799" w14:textId="32277CCE" w:rsidR="002365E4" w:rsidRPr="00772BEA" w:rsidRDefault="002365E4" w:rsidP="002365E4">
            <w:pPr>
              <w:spacing w:before="0" w:line="240" w:lineRule="auto"/>
              <w:jc w:val="center"/>
              <w:rPr>
                <w:rFonts w:ascii="Calibri" w:eastAsia="Times New Roman" w:hAnsi="Calibri"/>
                <w:szCs w:val="22"/>
                <w:lang w:eastAsia="en-AU"/>
              </w:rPr>
            </w:pPr>
            <w:r w:rsidRPr="002303FA">
              <w:rPr>
                <w:rFonts w:ascii="Calibri" w:eastAsia="Times New Roman" w:hAnsi="Calibri"/>
                <w:szCs w:val="22"/>
                <w:lang w:eastAsia="en-AU"/>
              </w:rPr>
              <w:t>&lt;5</w:t>
            </w:r>
          </w:p>
        </w:tc>
        <w:tc>
          <w:tcPr>
            <w:tcW w:w="1299" w:type="dxa"/>
            <w:shd w:val="clear" w:color="auto" w:fill="FFFFFF" w:themeFill="background1"/>
            <w:noWrap/>
            <w:hideMark/>
          </w:tcPr>
          <w:p w14:paraId="170E816A" w14:textId="0243F9C4" w:rsidR="002365E4" w:rsidRPr="00772BEA" w:rsidRDefault="002365E4" w:rsidP="002365E4">
            <w:pPr>
              <w:spacing w:before="0" w:line="240" w:lineRule="auto"/>
              <w:jc w:val="center"/>
              <w:rPr>
                <w:rFonts w:ascii="Calibri" w:eastAsia="Times New Roman" w:hAnsi="Calibri"/>
                <w:szCs w:val="22"/>
                <w:lang w:eastAsia="en-AU"/>
              </w:rPr>
            </w:pPr>
            <w:r w:rsidRPr="002303FA">
              <w:rPr>
                <w:rFonts w:ascii="Calibri" w:eastAsia="Times New Roman" w:hAnsi="Calibri"/>
                <w:szCs w:val="22"/>
                <w:lang w:eastAsia="en-AU"/>
              </w:rPr>
              <w:t>&lt;5</w:t>
            </w:r>
          </w:p>
        </w:tc>
        <w:tc>
          <w:tcPr>
            <w:tcW w:w="1300" w:type="dxa"/>
            <w:shd w:val="clear" w:color="auto" w:fill="FFFFFF" w:themeFill="background1"/>
            <w:noWrap/>
            <w:hideMark/>
          </w:tcPr>
          <w:p w14:paraId="22878844" w14:textId="7554AFA0" w:rsidR="002365E4" w:rsidRPr="00772BEA" w:rsidRDefault="002365E4" w:rsidP="002365E4">
            <w:pPr>
              <w:spacing w:before="0" w:line="240" w:lineRule="auto"/>
              <w:jc w:val="center"/>
              <w:rPr>
                <w:rFonts w:ascii="Calibri" w:eastAsia="Times New Roman" w:hAnsi="Calibri"/>
                <w:szCs w:val="22"/>
                <w:lang w:eastAsia="en-AU"/>
              </w:rPr>
            </w:pPr>
            <w:r w:rsidRPr="002303FA">
              <w:rPr>
                <w:rFonts w:ascii="Calibri" w:eastAsia="Times New Roman" w:hAnsi="Calibri"/>
                <w:szCs w:val="22"/>
                <w:lang w:eastAsia="en-AU"/>
              </w:rPr>
              <w:t>&lt;5</w:t>
            </w:r>
          </w:p>
        </w:tc>
        <w:tc>
          <w:tcPr>
            <w:tcW w:w="1299" w:type="dxa"/>
            <w:shd w:val="clear" w:color="auto" w:fill="FFFFFF" w:themeFill="background1"/>
            <w:noWrap/>
            <w:hideMark/>
          </w:tcPr>
          <w:p w14:paraId="44835A7D" w14:textId="26B98ED7" w:rsidR="002365E4" w:rsidRPr="00772BEA" w:rsidRDefault="002365E4" w:rsidP="002365E4">
            <w:pPr>
              <w:spacing w:before="0" w:line="240" w:lineRule="auto"/>
              <w:jc w:val="center"/>
              <w:rPr>
                <w:rFonts w:ascii="Calibri" w:eastAsia="Times New Roman" w:hAnsi="Calibri"/>
                <w:szCs w:val="22"/>
                <w:lang w:eastAsia="en-AU"/>
              </w:rPr>
            </w:pPr>
            <w:r w:rsidRPr="002303FA">
              <w:rPr>
                <w:rFonts w:ascii="Calibri" w:eastAsia="Times New Roman" w:hAnsi="Calibri"/>
                <w:szCs w:val="22"/>
                <w:lang w:eastAsia="en-AU"/>
              </w:rPr>
              <w:t>&lt;5</w:t>
            </w:r>
          </w:p>
        </w:tc>
        <w:tc>
          <w:tcPr>
            <w:tcW w:w="1299" w:type="dxa"/>
            <w:shd w:val="clear" w:color="auto" w:fill="FFFFFF" w:themeFill="background1"/>
            <w:hideMark/>
          </w:tcPr>
          <w:p w14:paraId="7E3359AE" w14:textId="0157EF34" w:rsidR="002365E4" w:rsidRPr="00772BEA" w:rsidRDefault="002365E4" w:rsidP="002365E4">
            <w:pPr>
              <w:spacing w:before="0" w:line="240" w:lineRule="auto"/>
              <w:jc w:val="center"/>
              <w:rPr>
                <w:rFonts w:ascii="Calibri" w:eastAsia="Times New Roman" w:hAnsi="Calibri"/>
                <w:szCs w:val="22"/>
                <w:lang w:eastAsia="en-AU"/>
              </w:rPr>
            </w:pPr>
            <w:r w:rsidRPr="002303FA">
              <w:rPr>
                <w:rFonts w:ascii="Calibri" w:eastAsia="Times New Roman" w:hAnsi="Calibri"/>
                <w:szCs w:val="22"/>
                <w:lang w:eastAsia="en-AU"/>
              </w:rPr>
              <w:t>&lt;5</w:t>
            </w:r>
          </w:p>
        </w:tc>
        <w:tc>
          <w:tcPr>
            <w:tcW w:w="1300" w:type="dxa"/>
            <w:shd w:val="clear" w:color="auto" w:fill="FFFFFF" w:themeFill="background1"/>
            <w:hideMark/>
          </w:tcPr>
          <w:p w14:paraId="1304541C" w14:textId="47792C6A" w:rsidR="002365E4" w:rsidRPr="00772BEA" w:rsidRDefault="002365E4" w:rsidP="002365E4">
            <w:pPr>
              <w:spacing w:before="0" w:line="240" w:lineRule="auto"/>
              <w:jc w:val="center"/>
              <w:rPr>
                <w:rFonts w:ascii="Calibri" w:eastAsia="Times New Roman" w:hAnsi="Calibri"/>
                <w:szCs w:val="22"/>
                <w:lang w:eastAsia="en-AU"/>
              </w:rPr>
            </w:pPr>
            <w:r w:rsidRPr="002303FA">
              <w:rPr>
                <w:rFonts w:ascii="Calibri" w:eastAsia="Times New Roman" w:hAnsi="Calibri"/>
                <w:szCs w:val="22"/>
                <w:lang w:eastAsia="en-AU"/>
              </w:rPr>
              <w:t>&lt;5</w:t>
            </w:r>
          </w:p>
        </w:tc>
      </w:tr>
      <w:tr w:rsidR="0054471A" w:rsidRPr="0054471A" w14:paraId="62319F87" w14:textId="77777777" w:rsidTr="00772BEA">
        <w:trPr>
          <w:trHeight w:val="303"/>
        </w:trPr>
        <w:tc>
          <w:tcPr>
            <w:tcW w:w="1701" w:type="dxa"/>
            <w:shd w:val="clear" w:color="auto" w:fill="FFFFFF" w:themeFill="background1"/>
            <w:vAlign w:val="center"/>
            <w:hideMark/>
          </w:tcPr>
          <w:p w14:paraId="41ECB1BB"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VIC</w:t>
            </w:r>
          </w:p>
        </w:tc>
        <w:tc>
          <w:tcPr>
            <w:tcW w:w="1158" w:type="dxa"/>
            <w:shd w:val="clear" w:color="auto" w:fill="FFFFFF" w:themeFill="background1"/>
            <w:noWrap/>
            <w:vAlign w:val="center"/>
            <w:hideMark/>
          </w:tcPr>
          <w:p w14:paraId="306B2EB9"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333</w:t>
            </w:r>
          </w:p>
        </w:tc>
        <w:tc>
          <w:tcPr>
            <w:tcW w:w="1299" w:type="dxa"/>
            <w:shd w:val="clear" w:color="auto" w:fill="FFFFFF" w:themeFill="background1"/>
            <w:noWrap/>
            <w:vAlign w:val="center"/>
            <w:hideMark/>
          </w:tcPr>
          <w:p w14:paraId="1AEC363E"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264</w:t>
            </w:r>
          </w:p>
        </w:tc>
        <w:tc>
          <w:tcPr>
            <w:tcW w:w="1300" w:type="dxa"/>
            <w:shd w:val="clear" w:color="auto" w:fill="FFFFFF" w:themeFill="background1"/>
            <w:noWrap/>
            <w:vAlign w:val="center"/>
            <w:hideMark/>
          </w:tcPr>
          <w:p w14:paraId="72E9A37D"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281</w:t>
            </w:r>
          </w:p>
        </w:tc>
        <w:tc>
          <w:tcPr>
            <w:tcW w:w="1299" w:type="dxa"/>
            <w:shd w:val="clear" w:color="auto" w:fill="FFFFFF" w:themeFill="background1"/>
            <w:noWrap/>
            <w:vAlign w:val="center"/>
            <w:hideMark/>
          </w:tcPr>
          <w:p w14:paraId="0831F0BE"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187</w:t>
            </w:r>
          </w:p>
        </w:tc>
        <w:tc>
          <w:tcPr>
            <w:tcW w:w="1299" w:type="dxa"/>
            <w:shd w:val="clear" w:color="auto" w:fill="FFFFFF" w:themeFill="background1"/>
            <w:vAlign w:val="center"/>
            <w:hideMark/>
          </w:tcPr>
          <w:p w14:paraId="7EED6616"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203</w:t>
            </w:r>
          </w:p>
        </w:tc>
        <w:tc>
          <w:tcPr>
            <w:tcW w:w="1300" w:type="dxa"/>
            <w:shd w:val="clear" w:color="auto" w:fill="FFFFFF" w:themeFill="background1"/>
            <w:vAlign w:val="center"/>
            <w:hideMark/>
          </w:tcPr>
          <w:p w14:paraId="74725B9E" w14:textId="77777777" w:rsidR="0054471A" w:rsidRPr="00772BEA" w:rsidRDefault="0054471A" w:rsidP="00D910FF">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150</w:t>
            </w:r>
          </w:p>
        </w:tc>
      </w:tr>
      <w:tr w:rsidR="002365E4" w:rsidRPr="0054471A" w14:paraId="3C41B4A4" w14:textId="77777777" w:rsidTr="004F6433">
        <w:trPr>
          <w:trHeight w:val="303"/>
        </w:trPr>
        <w:tc>
          <w:tcPr>
            <w:tcW w:w="1701" w:type="dxa"/>
            <w:shd w:val="clear" w:color="auto" w:fill="FFFFFF" w:themeFill="background1"/>
            <w:vAlign w:val="center"/>
            <w:hideMark/>
          </w:tcPr>
          <w:p w14:paraId="24C1E3DF" w14:textId="77777777" w:rsidR="002365E4" w:rsidRPr="00772BEA" w:rsidRDefault="002365E4" w:rsidP="002365E4">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WA</w:t>
            </w:r>
          </w:p>
        </w:tc>
        <w:tc>
          <w:tcPr>
            <w:tcW w:w="1158" w:type="dxa"/>
            <w:shd w:val="clear" w:color="auto" w:fill="FFFFFF" w:themeFill="background1"/>
            <w:noWrap/>
            <w:hideMark/>
          </w:tcPr>
          <w:p w14:paraId="3D4FB615" w14:textId="0D921900" w:rsidR="002365E4" w:rsidRPr="00772BEA" w:rsidRDefault="002365E4" w:rsidP="002365E4">
            <w:pPr>
              <w:spacing w:before="0" w:line="240" w:lineRule="auto"/>
              <w:jc w:val="center"/>
              <w:rPr>
                <w:rFonts w:ascii="Calibri" w:eastAsia="Times New Roman" w:hAnsi="Calibri"/>
                <w:szCs w:val="22"/>
                <w:lang w:eastAsia="en-AU"/>
              </w:rPr>
            </w:pPr>
            <w:r w:rsidRPr="00A061E1">
              <w:rPr>
                <w:rFonts w:ascii="Calibri" w:eastAsia="Times New Roman" w:hAnsi="Calibri"/>
                <w:szCs w:val="22"/>
                <w:lang w:eastAsia="en-AU"/>
              </w:rPr>
              <w:t>&lt;5</w:t>
            </w:r>
          </w:p>
        </w:tc>
        <w:tc>
          <w:tcPr>
            <w:tcW w:w="1299" w:type="dxa"/>
            <w:shd w:val="clear" w:color="auto" w:fill="FFFFFF" w:themeFill="background1"/>
            <w:noWrap/>
            <w:hideMark/>
          </w:tcPr>
          <w:p w14:paraId="360915D4" w14:textId="7CC0B5C2" w:rsidR="002365E4" w:rsidRPr="00772BEA" w:rsidRDefault="002365E4" w:rsidP="002365E4">
            <w:pPr>
              <w:spacing w:before="0" w:line="240" w:lineRule="auto"/>
              <w:jc w:val="center"/>
              <w:rPr>
                <w:rFonts w:ascii="Calibri" w:eastAsia="Times New Roman" w:hAnsi="Calibri"/>
                <w:szCs w:val="22"/>
                <w:lang w:eastAsia="en-AU"/>
              </w:rPr>
            </w:pPr>
            <w:r w:rsidRPr="00A061E1">
              <w:rPr>
                <w:rFonts w:ascii="Calibri" w:eastAsia="Times New Roman" w:hAnsi="Calibri"/>
                <w:szCs w:val="22"/>
                <w:lang w:eastAsia="en-AU"/>
              </w:rPr>
              <w:t>&lt;5</w:t>
            </w:r>
          </w:p>
        </w:tc>
        <w:tc>
          <w:tcPr>
            <w:tcW w:w="1300" w:type="dxa"/>
            <w:shd w:val="clear" w:color="auto" w:fill="FFFFFF" w:themeFill="background1"/>
            <w:noWrap/>
            <w:hideMark/>
          </w:tcPr>
          <w:p w14:paraId="15972376" w14:textId="7C6C478F" w:rsidR="002365E4" w:rsidRPr="00772BEA" w:rsidRDefault="002365E4" w:rsidP="002365E4">
            <w:pPr>
              <w:spacing w:before="0" w:line="240" w:lineRule="auto"/>
              <w:jc w:val="center"/>
              <w:rPr>
                <w:rFonts w:ascii="Calibri" w:eastAsia="Times New Roman" w:hAnsi="Calibri"/>
                <w:szCs w:val="22"/>
                <w:lang w:eastAsia="en-AU"/>
              </w:rPr>
            </w:pPr>
            <w:r w:rsidRPr="00A061E1">
              <w:rPr>
                <w:rFonts w:ascii="Calibri" w:eastAsia="Times New Roman" w:hAnsi="Calibri"/>
                <w:szCs w:val="22"/>
                <w:lang w:eastAsia="en-AU"/>
              </w:rPr>
              <w:t>&lt;5</w:t>
            </w:r>
          </w:p>
        </w:tc>
        <w:tc>
          <w:tcPr>
            <w:tcW w:w="1299" w:type="dxa"/>
            <w:shd w:val="clear" w:color="auto" w:fill="FFFFFF" w:themeFill="background1"/>
            <w:noWrap/>
            <w:vAlign w:val="center"/>
            <w:hideMark/>
          </w:tcPr>
          <w:p w14:paraId="6238173E" w14:textId="77777777" w:rsidR="002365E4" w:rsidRPr="00772BEA" w:rsidRDefault="002365E4" w:rsidP="002365E4">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w:t>
            </w:r>
          </w:p>
        </w:tc>
        <w:tc>
          <w:tcPr>
            <w:tcW w:w="1299" w:type="dxa"/>
            <w:shd w:val="clear" w:color="auto" w:fill="FFFFFF" w:themeFill="background1"/>
            <w:vAlign w:val="center"/>
            <w:hideMark/>
          </w:tcPr>
          <w:p w14:paraId="1CE09A44" w14:textId="77777777" w:rsidR="002365E4" w:rsidRPr="00772BEA" w:rsidRDefault="002365E4" w:rsidP="002365E4">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11</w:t>
            </w:r>
          </w:p>
        </w:tc>
        <w:tc>
          <w:tcPr>
            <w:tcW w:w="1300" w:type="dxa"/>
            <w:shd w:val="clear" w:color="auto" w:fill="FFFFFF" w:themeFill="background1"/>
            <w:vAlign w:val="center"/>
            <w:hideMark/>
          </w:tcPr>
          <w:p w14:paraId="6F8AD607" w14:textId="4600FB2A" w:rsidR="002365E4" w:rsidRPr="00772BEA" w:rsidRDefault="0053333A" w:rsidP="002365E4">
            <w:pPr>
              <w:spacing w:before="0" w:line="240" w:lineRule="auto"/>
              <w:jc w:val="center"/>
              <w:rPr>
                <w:rFonts w:ascii="Calibri" w:eastAsia="Times New Roman" w:hAnsi="Calibri"/>
                <w:szCs w:val="22"/>
                <w:lang w:eastAsia="en-AU"/>
              </w:rPr>
            </w:pPr>
            <w:r w:rsidRPr="00772BEA">
              <w:rPr>
                <w:rFonts w:ascii="Calibri" w:eastAsia="Times New Roman" w:hAnsi="Calibri"/>
                <w:szCs w:val="22"/>
                <w:lang w:eastAsia="en-AU"/>
              </w:rPr>
              <w:t>-</w:t>
            </w:r>
          </w:p>
        </w:tc>
      </w:tr>
    </w:tbl>
    <w:p w14:paraId="30A09FAE" w14:textId="77777777" w:rsidR="0054471A" w:rsidRDefault="0054471A" w:rsidP="00D910FF">
      <w:pPr>
        <w:spacing w:before="0" w:line="240" w:lineRule="auto"/>
        <w:jc w:val="center"/>
      </w:pPr>
    </w:p>
    <w:p w14:paraId="57761B58" w14:textId="77777777" w:rsidR="00C500BA" w:rsidRPr="00C500BA" w:rsidRDefault="00C500BA" w:rsidP="00D910FF">
      <w:pPr>
        <w:spacing w:before="0" w:line="240" w:lineRule="auto"/>
        <w:jc w:val="center"/>
      </w:pPr>
    </w:p>
    <w:p w14:paraId="7468BDD8" w14:textId="13472181" w:rsidR="00950B82" w:rsidRDefault="00950B82" w:rsidP="00D910FF">
      <w:pPr>
        <w:jc w:val="center"/>
      </w:pPr>
      <w:bookmarkStart w:id="34" w:name="_Attachment_B:_Definitions"/>
      <w:bookmarkStart w:id="35" w:name="_Attachment_C:_Methodology"/>
      <w:bookmarkEnd w:id="20"/>
      <w:bookmarkEnd w:id="34"/>
      <w:bookmarkEnd w:id="35"/>
    </w:p>
    <w:p w14:paraId="7468BDD9" w14:textId="2ADCFBC0" w:rsidR="00F51D1E" w:rsidRDefault="006963C4" w:rsidP="00D910FF">
      <w:pPr>
        <w:jc w:val="center"/>
        <w:sectPr w:rsidR="00F51D1E" w:rsidSect="00CF419F">
          <w:headerReference w:type="default" r:id="rId41"/>
          <w:footerReference w:type="default" r:id="rId42"/>
          <w:pgSz w:w="11906" w:h="16838" w:code="9"/>
          <w:pgMar w:top="1418" w:right="1418" w:bottom="1418" w:left="1418" w:header="397" w:footer="454" w:gutter="0"/>
          <w:cols w:space="720"/>
          <w:docGrid w:linePitch="360"/>
        </w:sectPr>
      </w:pPr>
      <w:r>
        <w:rPr>
          <w:noProof/>
          <w:lang w:eastAsia="en-AU"/>
        </w:rPr>
        <w:drawing>
          <wp:inline distT="0" distB="0" distL="0" distR="0" wp14:anchorId="7AB2BCD4" wp14:editId="5845E511">
            <wp:extent cx="4528457" cy="9127872"/>
            <wp:effectExtent l="0" t="0" r="5715" b="0"/>
            <wp:docPr id="9" name="Picture 9" descr="The image is a semi circle illustrating sale transaction trends by state or territory in 2018-2019 compared to 2017-18, broken down by property type. Trends are displayed by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65195" cy="9201924"/>
                    </a:xfrm>
                    <a:prstGeom prst="rect">
                      <a:avLst/>
                    </a:prstGeom>
                  </pic:spPr>
                </pic:pic>
              </a:graphicData>
            </a:graphic>
          </wp:inline>
        </w:drawing>
      </w:r>
    </w:p>
    <w:p w14:paraId="7468BDDA" w14:textId="0A0F9801" w:rsidR="00F51D1E" w:rsidRDefault="00F51D1E" w:rsidP="00CC7C44"/>
    <w:sectPr w:rsidR="00F51D1E" w:rsidSect="00CF419F">
      <w:headerReference w:type="default" r:id="rId44"/>
      <w:footerReference w:type="default" r:id="rId45"/>
      <w:type w:val="evenPage"/>
      <w:pgSz w:w="11906" w:h="16838" w:code="9"/>
      <w:pgMar w:top="1418" w:right="1418" w:bottom="1418" w:left="1418" w:header="397" w:footer="7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8BDDD" w14:textId="77777777" w:rsidR="004F6433" w:rsidRDefault="004F6433" w:rsidP="00B538D7">
      <w:r>
        <w:separator/>
      </w:r>
    </w:p>
  </w:endnote>
  <w:endnote w:type="continuationSeparator" w:id="0">
    <w:p w14:paraId="7468BDDE" w14:textId="77777777" w:rsidR="004F6433" w:rsidRDefault="004F6433" w:rsidP="00B53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BDE0" w14:textId="77777777" w:rsidR="004F6433" w:rsidRDefault="004F6433">
    <w:pPr>
      <w:pStyle w:val="Footer"/>
    </w:pPr>
    <w:r>
      <w:rPr>
        <w:noProof/>
        <w:lang w:eastAsia="en-AU"/>
      </w:rPr>
      <w:drawing>
        <wp:inline distT="0" distB="0" distL="0" distR="0" wp14:anchorId="7468BDED" wp14:editId="11B0C3ED">
          <wp:extent cx="5373624" cy="1566672"/>
          <wp:effectExtent l="0" t="0" r="0" b="0"/>
          <wp:docPr id="21" name="Picture 2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_inline.jpg"/>
                  <pic:cNvPicPr/>
                </pic:nvPicPr>
                <pic:blipFill>
                  <a:blip r:embed="rId1">
                    <a:extLst>
                      <a:ext uri="{28A0092B-C50C-407E-A947-70E740481C1C}">
                        <a14:useLocalDpi xmlns:a14="http://schemas.microsoft.com/office/drawing/2010/main" val="0"/>
                      </a:ext>
                    </a:extLst>
                  </a:blip>
                  <a:stretch>
                    <a:fillRect/>
                  </a:stretch>
                </pic:blipFill>
                <pic:spPr>
                  <a:xfrm>
                    <a:off x="0" y="0"/>
                    <a:ext cx="5373624" cy="156667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BDE2" w14:textId="20A4F114" w:rsidR="004F6433" w:rsidRPr="00A73D97" w:rsidRDefault="00865F7B" w:rsidP="00A73D97">
    <w:pPr>
      <w:pStyle w:val="Footer"/>
      <w:tabs>
        <w:tab w:val="clear" w:pos="4513"/>
        <w:tab w:val="clear" w:pos="9026"/>
        <w:tab w:val="right" w:pos="9923"/>
      </w:tabs>
      <w:rPr>
        <w:lang w:val="en-US"/>
      </w:rPr>
    </w:pPr>
    <w:sdt>
      <w:sdtPr>
        <w:rPr>
          <w:rStyle w:val="Classification"/>
        </w:rPr>
        <w:alias w:val="Classification"/>
        <w:tag w:val=""/>
        <w:id w:val="1877425856"/>
        <w:placeholder>
          <w:docPart w:val="5DF1A873DE064F41A807CC2584AA90E4"/>
        </w:placeholder>
        <w:dataBinding w:prefixMappings="xmlns:ns0='http://purl.org/dc/elements/1.1/' xmlns:ns1='http://schemas.openxmlformats.org/package/2006/metadata/core-properties' " w:xpath="/ns1:coreProperties[1]/ns1:category[1]" w:storeItemID="{6C3C8BC8-F283-45AE-878A-BAB7291924A1}"/>
        <w:text/>
      </w:sdtPr>
      <w:sdtEndPr>
        <w:rPr>
          <w:rStyle w:val="DefaultParagraphFont"/>
          <w:rFonts w:asciiTheme="minorHAnsi" w:hAnsiTheme="minorHAnsi"/>
          <w:b w:val="0"/>
          <w:sz w:val="16"/>
          <w:lang w:val="en-AU"/>
        </w:rPr>
      </w:sdtEndPr>
      <w:sdtContent>
        <w:r w:rsidR="004F6433">
          <w:rPr>
            <w:rStyle w:val="Classification"/>
          </w:rPr>
          <w:t>OFFICIAL</w:t>
        </w:r>
      </w:sdtContent>
    </w:sdt>
    <w:r w:rsidR="004F6433">
      <w:rPr>
        <w:rStyle w:val="Classification"/>
      </w:rPr>
      <w:t xml:space="preserve"> </w:t>
    </w:r>
    <w:r w:rsidR="004F6433" w:rsidRPr="0044347B">
      <w:rPr>
        <w:lang w:val="en-US"/>
      </w:rPr>
      <w:t xml:space="preserve"> </w:t>
    </w:r>
    <w:sdt>
      <w:sdtPr>
        <w:rPr>
          <w:lang w:val="en-US"/>
        </w:rPr>
        <w:alias w:val="Internal/External"/>
        <w:tag w:val="Internal/External"/>
        <w:id w:val="-1709554261"/>
        <w:placeholder>
          <w:docPart w:val="CF478BC4E30E4932A9022DF6CF34600F"/>
        </w:placeholder>
        <w:dataBinding w:prefixMappings="xmlns:ns0='www.drdoc.com.au'" w:xpath="/ns0:root[1]/ns0:internalExternal[1]" w:storeItemID="{2C99D8C0-9149-4525-A8EB-93F91FBAE3F9}"/>
        <w:comboBox w:lastValue="External">
          <w:listItem w:value="Choose an item."/>
          <w:listItem w:displayText="Internal" w:value="Internal"/>
          <w:listItem w:displayText="External" w:value="External"/>
        </w:comboBox>
      </w:sdtPr>
      <w:sdtEndPr/>
      <w:sdtContent>
        <w:r w:rsidR="004F6433">
          <w:t>External</w:t>
        </w:r>
      </w:sdtContent>
    </w:sdt>
    <w:r w:rsidR="004F6433">
      <w:rPr>
        <w:lang w:val="en-US"/>
      </w:rPr>
      <w:tab/>
    </w:r>
    <w:r w:rsidR="004F6433" w:rsidRPr="00F67130">
      <w:rPr>
        <w:noProof/>
        <w:sz w:val="20"/>
        <w:lang w:val="en-US"/>
      </w:rPr>
      <w:fldChar w:fldCharType="begin"/>
    </w:r>
    <w:r w:rsidR="004F6433" w:rsidRPr="00F67130">
      <w:rPr>
        <w:noProof/>
        <w:sz w:val="20"/>
        <w:lang w:val="en-US"/>
      </w:rPr>
      <w:instrText xml:space="preserve"> </w:instrText>
    </w:r>
    <w:r w:rsidR="004F6433">
      <w:rPr>
        <w:noProof/>
        <w:sz w:val="20"/>
        <w:lang w:val="en-US"/>
      </w:rPr>
      <w:instrText>PAGE</w:instrText>
    </w:r>
    <w:r w:rsidR="004F6433" w:rsidRPr="00F67130">
      <w:rPr>
        <w:noProof/>
        <w:sz w:val="20"/>
        <w:lang w:val="en-US"/>
      </w:rPr>
      <w:instrText xml:space="preserve">   \* MERGEFORMAT </w:instrText>
    </w:r>
    <w:r w:rsidR="004F6433" w:rsidRPr="00F67130">
      <w:rPr>
        <w:noProof/>
        <w:sz w:val="20"/>
        <w:lang w:val="en-US"/>
      </w:rPr>
      <w:fldChar w:fldCharType="separate"/>
    </w:r>
    <w:r w:rsidR="004F6433" w:rsidRPr="00A73D97">
      <w:rPr>
        <w:caps w:val="0"/>
        <w:noProof/>
        <w:sz w:val="20"/>
        <w:lang w:val="en-US"/>
      </w:rPr>
      <w:t>3</w:t>
    </w:r>
    <w:r w:rsidR="004F6433" w:rsidRPr="00F67130">
      <w:rPr>
        <w:noProof/>
        <w:sz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BDE4" w14:textId="05A7A071" w:rsidR="004F6433" w:rsidRPr="00A73D97" w:rsidRDefault="004F6433" w:rsidP="00A73D97">
    <w:pPr>
      <w:pStyle w:val="Footer"/>
      <w:tabs>
        <w:tab w:val="clear" w:pos="4513"/>
        <w:tab w:val="clear" w:pos="9026"/>
        <w:tab w:val="right" w:pos="9923"/>
      </w:tabs>
      <w:rPr>
        <w:lang w:val="en-US"/>
      </w:rPr>
    </w:pPr>
    <w:r>
      <w:rPr>
        <w:lang w:val="en-US"/>
      </w:rPr>
      <w:tab/>
    </w:r>
    <w:r w:rsidRPr="00F67130">
      <w:rPr>
        <w:noProof/>
        <w:sz w:val="20"/>
        <w:lang w:val="en-US"/>
      </w:rPr>
      <w:fldChar w:fldCharType="begin"/>
    </w:r>
    <w:r w:rsidRPr="00F67130">
      <w:rPr>
        <w:noProof/>
        <w:sz w:val="20"/>
        <w:lang w:val="en-US"/>
      </w:rPr>
      <w:instrText xml:space="preserve"> </w:instrText>
    </w:r>
    <w:r>
      <w:rPr>
        <w:noProof/>
        <w:sz w:val="20"/>
        <w:lang w:val="en-US"/>
      </w:rPr>
      <w:instrText>PAGE</w:instrText>
    </w:r>
    <w:r w:rsidRPr="00F67130">
      <w:rPr>
        <w:noProof/>
        <w:sz w:val="20"/>
        <w:lang w:val="en-US"/>
      </w:rPr>
      <w:instrText xml:space="preserve">   \* MERGEFORMAT </w:instrText>
    </w:r>
    <w:r w:rsidRPr="00F67130">
      <w:rPr>
        <w:noProof/>
        <w:sz w:val="20"/>
        <w:lang w:val="en-US"/>
      </w:rPr>
      <w:fldChar w:fldCharType="separate"/>
    </w:r>
    <w:r w:rsidR="00865F7B" w:rsidRPr="00865F7B">
      <w:rPr>
        <w:caps w:val="0"/>
        <w:noProof/>
        <w:sz w:val="20"/>
        <w:lang w:val="en-US"/>
      </w:rPr>
      <w:t>2</w:t>
    </w:r>
    <w:r w:rsidRPr="00F67130">
      <w:rPr>
        <w:noProof/>
        <w:sz w:val="20"/>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EBAE9" w14:textId="6CBA74E3" w:rsidR="004F6433" w:rsidRPr="00000476" w:rsidRDefault="004F6433" w:rsidP="00000476">
    <w:pPr>
      <w:pStyle w:val="Footer"/>
      <w:tabs>
        <w:tab w:val="right" w:pos="9923"/>
      </w:tabs>
      <w:rPr>
        <w:noProof/>
        <w:sz w:val="20"/>
      </w:rPr>
    </w:pPr>
    <w:r>
      <w:rPr>
        <w:lang w:val="en-US"/>
      </w:rPr>
      <w:tab/>
    </w:r>
    <w:r w:rsidRPr="00F67130">
      <w:rPr>
        <w:noProof/>
        <w:sz w:val="20"/>
        <w:lang w:val="en-US"/>
      </w:rPr>
      <w:fldChar w:fldCharType="begin"/>
    </w:r>
    <w:r w:rsidRPr="00F67130">
      <w:rPr>
        <w:noProof/>
        <w:sz w:val="20"/>
        <w:lang w:val="en-US"/>
      </w:rPr>
      <w:instrText xml:space="preserve"> </w:instrText>
    </w:r>
    <w:r>
      <w:rPr>
        <w:noProof/>
        <w:sz w:val="20"/>
        <w:lang w:val="en-US"/>
      </w:rPr>
      <w:instrText>PAGE</w:instrText>
    </w:r>
    <w:r w:rsidRPr="00F67130">
      <w:rPr>
        <w:noProof/>
        <w:sz w:val="20"/>
        <w:lang w:val="en-US"/>
      </w:rPr>
      <w:instrText xml:space="preserve">   \* MERGEFORMAT </w:instrText>
    </w:r>
    <w:r w:rsidRPr="00F67130">
      <w:rPr>
        <w:noProof/>
        <w:sz w:val="20"/>
        <w:lang w:val="en-US"/>
      </w:rPr>
      <w:fldChar w:fldCharType="separate"/>
    </w:r>
    <w:r w:rsidR="00865F7B" w:rsidRPr="00865F7B">
      <w:rPr>
        <w:caps w:val="0"/>
        <w:noProof/>
        <w:sz w:val="20"/>
        <w:lang w:val="en-US"/>
      </w:rPr>
      <w:t>21</w:t>
    </w:r>
    <w:r w:rsidRPr="00F67130">
      <w:rPr>
        <w:noProof/>
        <w:sz w:val="20"/>
        <w:lang w:val="en-US"/>
      </w:rPr>
      <w:fldChar w:fldCharType="end"/>
    </w:r>
    <w:r>
      <w:rPr>
        <w:noProof/>
        <w:sz w:val="20"/>
        <w:lang w:val="en-US"/>
      </w:rPr>
      <w:t xml:space="preserve">  </w:t>
    </w:r>
    <w:r>
      <w:rPr>
        <w:noProof/>
        <w:sz w:val="20"/>
        <w:lang w:val="en-US"/>
      </w:rPr>
      <w:tab/>
    </w:r>
    <w:r w:rsidRPr="00000476">
      <w:rPr>
        <w:rFonts w:eastAsiaTheme="minorEastAsia" w:hAnsi="Calibri" w:cstheme="minorBidi"/>
        <w:color w:val="808080" w:themeColor="background1" w:themeShade="80"/>
        <w:kern w:val="24"/>
        <w:sz w:val="21"/>
        <w:szCs w:val="21"/>
        <w:lang w:eastAsia="en-AU"/>
      </w:rPr>
      <w:t xml:space="preserve"> </w:t>
    </w:r>
    <w:r>
      <w:rPr>
        <w:rFonts w:eastAsiaTheme="minorEastAsia" w:hAnsi="Calibri" w:cstheme="minorBidi"/>
        <w:color w:val="808080" w:themeColor="background1" w:themeShade="80"/>
        <w:kern w:val="24"/>
        <w:sz w:val="21"/>
        <w:szCs w:val="21"/>
        <w:lang w:eastAsia="en-AU"/>
      </w:rPr>
      <w:t xml:space="preserve">  </w:t>
    </w:r>
    <w:r w:rsidRPr="00000476">
      <w:rPr>
        <w:noProof/>
        <w:sz w:val="20"/>
      </w:rPr>
      <w:t>ISSN 2652-192X</w:t>
    </w:r>
  </w:p>
  <w:p w14:paraId="7468BDE6" w14:textId="08EDF23B" w:rsidR="004F6433" w:rsidRPr="00A73D97" w:rsidRDefault="004F6433" w:rsidP="00A73D97">
    <w:pPr>
      <w:pStyle w:val="Footer"/>
      <w:tabs>
        <w:tab w:val="clear" w:pos="4513"/>
        <w:tab w:val="clear" w:pos="9026"/>
        <w:tab w:val="right" w:pos="9923"/>
      </w:tabs>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BDE8" w14:textId="77777777" w:rsidR="004F6433" w:rsidRPr="00B63BD6" w:rsidRDefault="004F6433" w:rsidP="00B63BD6">
    <w:pPr>
      <w:pStyle w:val="Footer"/>
      <w:ind w:left="0"/>
      <w:rPr>
        <w:b/>
        <w:sz w:val="24"/>
        <w:szCs w:val="24"/>
      </w:rPr>
    </w:pPr>
    <w:r>
      <w:rPr>
        <w:noProof/>
        <w:lang w:eastAsia="en-AU"/>
      </w:rPr>
      <w:drawing>
        <wp:anchor distT="0" distB="0" distL="0" distR="0" simplePos="0" relativeHeight="251657216" behindDoc="0" locked="1" layoutInCell="1" allowOverlap="1" wp14:anchorId="7468BDF3" wp14:editId="5C62BFD3">
          <wp:simplePos x="0" y="0"/>
          <wp:positionH relativeFrom="page">
            <wp:posOffset>3511550</wp:posOffset>
          </wp:positionH>
          <wp:positionV relativeFrom="page">
            <wp:posOffset>3910965</wp:posOffset>
          </wp:positionV>
          <wp:extent cx="4640400" cy="7102800"/>
          <wp:effectExtent l="0" t="0" r="8255" b="3175"/>
          <wp:wrapNone/>
          <wp:docPr id="16" name="Picture 1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BG-2.jpg"/>
                  <pic:cNvPicPr/>
                </pic:nvPicPr>
                <pic:blipFill>
                  <a:blip r:embed="rId1">
                    <a:extLst>
                      <a:ext uri="{28A0092B-C50C-407E-A947-70E740481C1C}">
                        <a14:useLocalDpi xmlns:a14="http://schemas.microsoft.com/office/drawing/2010/main" val="0"/>
                      </a:ext>
                    </a:extLst>
                  </a:blip>
                  <a:stretch>
                    <a:fillRect/>
                  </a:stretch>
                </pic:blipFill>
                <pic:spPr>
                  <a:xfrm rot="10800000">
                    <a:off x="0" y="0"/>
                    <a:ext cx="4640400" cy="7102800"/>
                  </a:xfrm>
                  <a:prstGeom prst="rect">
                    <a:avLst/>
                  </a:prstGeom>
                </pic:spPr>
              </pic:pic>
            </a:graphicData>
          </a:graphic>
          <wp14:sizeRelH relativeFrom="margin">
            <wp14:pctWidth>0</wp14:pctWidth>
          </wp14:sizeRelH>
          <wp14:sizeRelV relativeFrom="margin">
            <wp14:pctHeight>0</wp14:pctHeight>
          </wp14:sizeRelV>
        </wp:anchor>
      </w:drawing>
    </w:r>
    <w:r w:rsidRPr="00B63BD6">
      <w:rPr>
        <w:b/>
        <w:caps w:val="0"/>
        <w:sz w:val="24"/>
        <w:szCs w:val="24"/>
      </w:rPr>
      <w:t>ato.gov.au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8BDDB" w14:textId="77777777" w:rsidR="004F6433" w:rsidRDefault="004F6433" w:rsidP="00B538D7">
      <w:r>
        <w:separator/>
      </w:r>
    </w:p>
  </w:footnote>
  <w:footnote w:type="continuationSeparator" w:id="0">
    <w:p w14:paraId="7468BDDC" w14:textId="77777777" w:rsidR="004F6433" w:rsidRDefault="004F6433" w:rsidP="00B538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BDDF" w14:textId="741CB8C9" w:rsidR="004F6433" w:rsidRDefault="004F6433" w:rsidP="008471E1">
    <w:pPr>
      <w:pStyle w:val="Header"/>
    </w:pPr>
    <w:r>
      <w:rPr>
        <w:noProof/>
        <w:lang w:eastAsia="en-AU"/>
      </w:rPr>
      <w:drawing>
        <wp:anchor distT="0" distB="0" distL="114300" distR="114300" simplePos="0" relativeHeight="251658240" behindDoc="0" locked="1" layoutInCell="1" allowOverlap="1" wp14:anchorId="7468BDE9" wp14:editId="53486F32">
          <wp:simplePos x="0" y="0"/>
          <wp:positionH relativeFrom="page">
            <wp:posOffset>4739640</wp:posOffset>
          </wp:positionH>
          <wp:positionV relativeFrom="page">
            <wp:posOffset>1141095</wp:posOffset>
          </wp:positionV>
          <wp:extent cx="1979930" cy="575945"/>
          <wp:effectExtent l="0" t="0" r="1270" b="0"/>
          <wp:wrapNone/>
          <wp:docPr id="19" name="Picture 19" descr="This image is of the Australian Government, Australian Taxation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_inline.jpg"/>
                  <pic:cNvPicPr/>
                </pic:nvPicPr>
                <pic:blipFill>
                  <a:blip r:embed="rId1">
                    <a:extLst>
                      <a:ext uri="{28A0092B-C50C-407E-A947-70E740481C1C}">
                        <a14:useLocalDpi xmlns:a14="http://schemas.microsoft.com/office/drawing/2010/main" val="0"/>
                      </a:ext>
                    </a:extLst>
                  </a:blip>
                  <a:stretch>
                    <a:fillRect/>
                  </a:stretch>
                </pic:blipFill>
                <pic:spPr>
                  <a:xfrm>
                    <a:off x="0" y="0"/>
                    <a:ext cx="1979930" cy="57594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0" distR="0" simplePos="0" relativeHeight="251655168" behindDoc="0" locked="1" layoutInCell="1" allowOverlap="1" wp14:anchorId="7468BDEB" wp14:editId="031BBB26">
          <wp:simplePos x="0" y="0"/>
          <wp:positionH relativeFrom="page">
            <wp:posOffset>3359150</wp:posOffset>
          </wp:positionH>
          <wp:positionV relativeFrom="page">
            <wp:posOffset>3758565</wp:posOffset>
          </wp:positionV>
          <wp:extent cx="4640400" cy="7102800"/>
          <wp:effectExtent l="0" t="0" r="8255" b="3175"/>
          <wp:wrapNone/>
          <wp:docPr id="20" name="Picture 2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BG-2.jpg"/>
                  <pic:cNvPicPr/>
                </pic:nvPicPr>
                <pic:blipFill>
                  <a:blip r:embed="rId2">
                    <a:extLst>
                      <a:ext uri="{28A0092B-C50C-407E-A947-70E740481C1C}">
                        <a14:useLocalDpi xmlns:a14="http://schemas.microsoft.com/office/drawing/2010/main" val="0"/>
                      </a:ext>
                    </a:extLst>
                  </a:blip>
                  <a:stretch>
                    <a:fillRect/>
                  </a:stretch>
                </pic:blipFill>
                <pic:spPr>
                  <a:xfrm rot="10800000">
                    <a:off x="0" y="0"/>
                    <a:ext cx="4640400" cy="710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BDE1" w14:textId="77777777" w:rsidR="004F6433" w:rsidRDefault="004F6433">
    <w:pPr>
      <w:pStyle w:val="Header"/>
    </w:pPr>
    <w:r>
      <w:rPr>
        <w:noProof/>
        <w:lang w:eastAsia="en-AU"/>
      </w:rPr>
      <mc:AlternateContent>
        <mc:Choice Requires="wps">
          <w:drawing>
            <wp:anchor distT="0" distB="0" distL="114300" distR="114300" simplePos="0" relativeHeight="251659264" behindDoc="0" locked="1" layoutInCell="1" allowOverlap="1" wp14:anchorId="7468BDEF" wp14:editId="45590CED">
              <wp:simplePos x="0" y="0"/>
              <wp:positionH relativeFrom="page">
                <wp:posOffset>900430</wp:posOffset>
              </wp:positionH>
              <wp:positionV relativeFrom="page">
                <wp:posOffset>540385</wp:posOffset>
              </wp:positionV>
              <wp:extent cx="5760000" cy="9252000"/>
              <wp:effectExtent l="0" t="0" r="0" b="6350"/>
              <wp:wrapNone/>
              <wp:docPr id="5" name="Rectangle 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5760000" cy="9252000"/>
                      </a:xfrm>
                      <a:prstGeom prst="rect">
                        <a:avLst/>
                      </a:prstGeom>
                      <a:solidFill>
                        <a:srgbClr val="F3FA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69740F" id="Rectangle 5" o:spid="_x0000_s1026" style="position:absolute;margin-left:70.9pt;margin-top:42.55pt;width:453.55pt;height:72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" fillcolor="#f3fafa" stroked="f" strokeweight="2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BDE3" w14:textId="77777777" w:rsidR="004F6433" w:rsidRDefault="004F6433">
    <w:pPr>
      <w:pStyle w:val="Header"/>
    </w:pPr>
    <w:r>
      <w:rPr>
        <w:noProof/>
        <w:lang w:eastAsia="en-AU"/>
      </w:rPr>
      <mc:AlternateContent>
        <mc:Choice Requires="wps">
          <w:drawing>
            <wp:anchor distT="0" distB="0" distL="114300" distR="114300" simplePos="0" relativeHeight="251656192" behindDoc="0" locked="1" layoutInCell="1" allowOverlap="1" wp14:anchorId="7468BDF1" wp14:editId="0451B1EC">
              <wp:simplePos x="0" y="0"/>
              <wp:positionH relativeFrom="page">
                <wp:posOffset>900430</wp:posOffset>
              </wp:positionH>
              <wp:positionV relativeFrom="page">
                <wp:posOffset>2160270</wp:posOffset>
              </wp:positionV>
              <wp:extent cx="5760000" cy="7632000"/>
              <wp:effectExtent l="0" t="0" r="0" b="7620"/>
              <wp:wrapNone/>
              <wp:docPr id="4" name="Rectangle 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5760000" cy="7632000"/>
                      </a:xfrm>
                      <a:prstGeom prst="rect">
                        <a:avLst/>
                      </a:prstGeom>
                      <a:solidFill>
                        <a:srgbClr val="F3FA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04AFDC" id="Rectangle 4" o:spid="_x0000_s1026" style="position:absolute;margin-left:70.9pt;margin-top:170.1pt;width:453.55pt;height:600.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" fillcolor="#f3fafa" stroked="f" strokeweight="2pt">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BDE5" w14:textId="77777777" w:rsidR="004F6433" w:rsidRDefault="004F64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BDE7" w14:textId="77777777" w:rsidR="004F6433" w:rsidRDefault="004F64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73A2D"/>
    <w:multiLevelType w:val="hybridMultilevel"/>
    <w:tmpl w:val="05FE36A6"/>
    <w:lvl w:ilvl="0" w:tplc="867839A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603325"/>
    <w:multiLevelType w:val="hybridMultilevel"/>
    <w:tmpl w:val="890C0406"/>
    <w:lvl w:ilvl="0" w:tplc="867839A0">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 w15:restartNumberingAfterBreak="0">
    <w:nsid w:val="15F76276"/>
    <w:multiLevelType w:val="hybridMultilevel"/>
    <w:tmpl w:val="0658DC94"/>
    <w:lvl w:ilvl="0" w:tplc="A648BA5A">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2A423F"/>
    <w:multiLevelType w:val="hybridMultilevel"/>
    <w:tmpl w:val="7852790A"/>
    <w:lvl w:ilvl="0" w:tplc="867839A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474AC2"/>
    <w:multiLevelType w:val="hybridMultilevel"/>
    <w:tmpl w:val="58202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AD4A44"/>
    <w:multiLevelType w:val="hybridMultilevel"/>
    <w:tmpl w:val="C6624B8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6"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7" w15:restartNumberingAfterBreak="0">
    <w:nsid w:val="39FF21C9"/>
    <w:multiLevelType w:val="hybridMultilevel"/>
    <w:tmpl w:val="CDC0F9C2"/>
    <w:lvl w:ilvl="0" w:tplc="0BA053A6">
      <w:start w:val="1"/>
      <w:numFmt w:val="bullet"/>
      <w:lvlText w:val="•"/>
      <w:lvlJc w:val="left"/>
      <w:pPr>
        <w:tabs>
          <w:tab w:val="num" w:pos="720"/>
        </w:tabs>
        <w:ind w:left="720" w:hanging="360"/>
      </w:pPr>
      <w:rPr>
        <w:rFonts w:ascii="Arial" w:hAnsi="Arial" w:hint="default"/>
      </w:rPr>
    </w:lvl>
    <w:lvl w:ilvl="1" w:tplc="88386938" w:tentative="1">
      <w:start w:val="1"/>
      <w:numFmt w:val="bullet"/>
      <w:lvlText w:val="•"/>
      <w:lvlJc w:val="left"/>
      <w:pPr>
        <w:tabs>
          <w:tab w:val="num" w:pos="1440"/>
        </w:tabs>
        <w:ind w:left="1440" w:hanging="360"/>
      </w:pPr>
      <w:rPr>
        <w:rFonts w:ascii="Arial" w:hAnsi="Arial" w:hint="default"/>
      </w:rPr>
    </w:lvl>
    <w:lvl w:ilvl="2" w:tplc="FC68CCB8" w:tentative="1">
      <w:start w:val="1"/>
      <w:numFmt w:val="bullet"/>
      <w:lvlText w:val="•"/>
      <w:lvlJc w:val="left"/>
      <w:pPr>
        <w:tabs>
          <w:tab w:val="num" w:pos="2160"/>
        </w:tabs>
        <w:ind w:left="2160" w:hanging="360"/>
      </w:pPr>
      <w:rPr>
        <w:rFonts w:ascii="Arial" w:hAnsi="Arial" w:hint="default"/>
      </w:rPr>
    </w:lvl>
    <w:lvl w:ilvl="3" w:tplc="51BCEE88" w:tentative="1">
      <w:start w:val="1"/>
      <w:numFmt w:val="bullet"/>
      <w:lvlText w:val="•"/>
      <w:lvlJc w:val="left"/>
      <w:pPr>
        <w:tabs>
          <w:tab w:val="num" w:pos="2880"/>
        </w:tabs>
        <w:ind w:left="2880" w:hanging="360"/>
      </w:pPr>
      <w:rPr>
        <w:rFonts w:ascii="Arial" w:hAnsi="Arial" w:hint="default"/>
      </w:rPr>
    </w:lvl>
    <w:lvl w:ilvl="4" w:tplc="7B084C62" w:tentative="1">
      <w:start w:val="1"/>
      <w:numFmt w:val="bullet"/>
      <w:lvlText w:val="•"/>
      <w:lvlJc w:val="left"/>
      <w:pPr>
        <w:tabs>
          <w:tab w:val="num" w:pos="3600"/>
        </w:tabs>
        <w:ind w:left="3600" w:hanging="360"/>
      </w:pPr>
      <w:rPr>
        <w:rFonts w:ascii="Arial" w:hAnsi="Arial" w:hint="default"/>
      </w:rPr>
    </w:lvl>
    <w:lvl w:ilvl="5" w:tplc="A4BAF690" w:tentative="1">
      <w:start w:val="1"/>
      <w:numFmt w:val="bullet"/>
      <w:lvlText w:val="•"/>
      <w:lvlJc w:val="left"/>
      <w:pPr>
        <w:tabs>
          <w:tab w:val="num" w:pos="4320"/>
        </w:tabs>
        <w:ind w:left="4320" w:hanging="360"/>
      </w:pPr>
      <w:rPr>
        <w:rFonts w:ascii="Arial" w:hAnsi="Arial" w:hint="default"/>
      </w:rPr>
    </w:lvl>
    <w:lvl w:ilvl="6" w:tplc="7E6A4C7C" w:tentative="1">
      <w:start w:val="1"/>
      <w:numFmt w:val="bullet"/>
      <w:lvlText w:val="•"/>
      <w:lvlJc w:val="left"/>
      <w:pPr>
        <w:tabs>
          <w:tab w:val="num" w:pos="5040"/>
        </w:tabs>
        <w:ind w:left="5040" w:hanging="360"/>
      </w:pPr>
      <w:rPr>
        <w:rFonts w:ascii="Arial" w:hAnsi="Arial" w:hint="default"/>
      </w:rPr>
    </w:lvl>
    <w:lvl w:ilvl="7" w:tplc="B4A6C4EA" w:tentative="1">
      <w:start w:val="1"/>
      <w:numFmt w:val="bullet"/>
      <w:lvlText w:val="•"/>
      <w:lvlJc w:val="left"/>
      <w:pPr>
        <w:tabs>
          <w:tab w:val="num" w:pos="5760"/>
        </w:tabs>
        <w:ind w:left="5760" w:hanging="360"/>
      </w:pPr>
      <w:rPr>
        <w:rFonts w:ascii="Arial" w:hAnsi="Arial" w:hint="default"/>
      </w:rPr>
    </w:lvl>
    <w:lvl w:ilvl="8" w:tplc="D642246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08F6C4E"/>
    <w:multiLevelType w:val="hybridMultilevel"/>
    <w:tmpl w:val="4B905DE0"/>
    <w:lvl w:ilvl="0" w:tplc="0C09000F">
      <w:start w:val="1"/>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76D6DF5"/>
    <w:multiLevelType w:val="hybridMultilevel"/>
    <w:tmpl w:val="E54ACD78"/>
    <w:lvl w:ilvl="0" w:tplc="2B7A3F28">
      <w:start w:val="1"/>
      <w:numFmt w:val="decimal"/>
      <w:pStyle w:val="Footnotereference"/>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EFB482B"/>
    <w:multiLevelType w:val="hybridMultilevel"/>
    <w:tmpl w:val="C96234CC"/>
    <w:lvl w:ilvl="0" w:tplc="867839A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31046A2"/>
    <w:multiLevelType w:val="hybridMultilevel"/>
    <w:tmpl w:val="D1F43F54"/>
    <w:lvl w:ilvl="0" w:tplc="A648BA5A">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FD02F6"/>
    <w:multiLevelType w:val="hybridMultilevel"/>
    <w:tmpl w:val="8DB0377E"/>
    <w:lvl w:ilvl="0" w:tplc="867839A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515F03"/>
    <w:multiLevelType w:val="multilevel"/>
    <w:tmpl w:val="82D82716"/>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A9A126E"/>
    <w:multiLevelType w:val="multilevel"/>
    <w:tmpl w:val="A90CA550"/>
    <w:styleLink w:val="Bullets"/>
    <w:lvl w:ilvl="0">
      <w:start w:val="1"/>
      <w:numFmt w:val="bullet"/>
      <w:pStyle w:val="Bulletedlist1"/>
      <w:lvlText w:val="&gt;"/>
      <w:lvlJc w:val="left"/>
      <w:pPr>
        <w:ind w:left="284" w:hanging="284"/>
      </w:pPr>
      <w:rPr>
        <w:rFonts w:ascii="Calibri" w:hAnsi="Calibri" w:hint="default"/>
        <w:color w:val="3685F7" w:themeColor="accent3"/>
      </w:rPr>
    </w:lvl>
    <w:lvl w:ilvl="1">
      <w:start w:val="1"/>
      <w:numFmt w:val="bullet"/>
      <w:pStyle w:val="Bulletedlist2"/>
      <w:lvlText w:val="–"/>
      <w:lvlJc w:val="left"/>
      <w:pPr>
        <w:ind w:left="539" w:hanging="255"/>
      </w:pPr>
      <w:rPr>
        <w:rFonts w:ascii="Arial" w:hAnsi="Arial" w:hint="default"/>
        <w:color w:val="3685F7" w:themeColor="accent3"/>
      </w:rPr>
    </w:lvl>
    <w:lvl w:ilvl="2">
      <w:start w:val="1"/>
      <w:numFmt w:val="bullet"/>
      <w:pStyle w:val="Bulletedlist3"/>
      <w:lvlText w:val="-"/>
      <w:lvlJc w:val="left"/>
      <w:pPr>
        <w:ind w:left="737" w:hanging="198"/>
      </w:pPr>
      <w:rPr>
        <w:rFonts w:hint="default"/>
        <w:color w:val="3685F7" w:themeColor="accent3"/>
      </w:rPr>
    </w:lvl>
    <w:lvl w:ilvl="3">
      <w:start w:val="1"/>
      <w:numFmt w:val="bullet"/>
      <w:pStyle w:val="Boxbulletedlist1"/>
      <w:lvlText w:val="&gt;"/>
      <w:lvlJc w:val="left"/>
      <w:pPr>
        <w:ind w:left="624" w:hanging="284"/>
      </w:pPr>
      <w:rPr>
        <w:rFonts w:ascii="Arial" w:hAnsi="Arial" w:hint="default"/>
        <w:color w:val="3685F7" w:themeColor="accent3"/>
      </w:rPr>
    </w:lvl>
    <w:lvl w:ilvl="4">
      <w:start w:val="1"/>
      <w:numFmt w:val="bullet"/>
      <w:pStyle w:val="Boxbulletedlist2"/>
      <w:lvlText w:val="–"/>
      <w:lvlJc w:val="left"/>
      <w:pPr>
        <w:ind w:left="879" w:hanging="255"/>
      </w:pPr>
      <w:rPr>
        <w:rFonts w:ascii="Arial" w:hAnsi="Arial" w:hint="default"/>
        <w:color w:val="3685F7" w:themeColor="accent3"/>
      </w:rPr>
    </w:lvl>
    <w:lvl w:ilvl="5">
      <w:start w:val="1"/>
      <w:numFmt w:val="bullet"/>
      <w:pStyle w:val="Boxbulletedlist3"/>
      <w:lvlText w:val="-"/>
      <w:lvlJc w:val="left"/>
      <w:pPr>
        <w:ind w:left="1077" w:hanging="198"/>
      </w:pPr>
      <w:rPr>
        <w:rFonts w:asciiTheme="minorHAnsi" w:hAnsiTheme="minorHAnsi" w:hint="default"/>
        <w:color w:val="3685F7" w:themeColor="accent3"/>
      </w:rPr>
    </w:lvl>
    <w:lvl w:ilvl="6">
      <w:start w:val="1"/>
      <w:numFmt w:val="bullet"/>
      <w:pStyle w:val="Tablebulletedlist1"/>
      <w:lvlText w:val="&gt;"/>
      <w:lvlJc w:val="left"/>
      <w:pPr>
        <w:ind w:left="510" w:hanging="283"/>
      </w:pPr>
      <w:rPr>
        <w:rFonts w:ascii="Arial" w:hAnsi="Arial" w:hint="default"/>
        <w:color w:val="3685F7" w:themeColor="accent3"/>
      </w:rPr>
    </w:lvl>
    <w:lvl w:ilvl="7">
      <w:start w:val="1"/>
      <w:numFmt w:val="bullet"/>
      <w:pStyle w:val="Tablebulletedlist2"/>
      <w:lvlText w:val="–"/>
      <w:lvlJc w:val="left"/>
      <w:pPr>
        <w:ind w:left="765" w:hanging="255"/>
      </w:pPr>
      <w:rPr>
        <w:rFonts w:ascii="Arial" w:hAnsi="Arial" w:hint="default"/>
        <w:color w:val="3685F7" w:themeColor="accent3"/>
      </w:rPr>
    </w:lvl>
    <w:lvl w:ilvl="8">
      <w:start w:val="1"/>
      <w:numFmt w:val="bullet"/>
      <w:pStyle w:val="Tablebulletedlist3"/>
      <w:lvlText w:val="-"/>
      <w:lvlJc w:val="left"/>
      <w:pPr>
        <w:ind w:left="964" w:hanging="199"/>
      </w:pPr>
      <w:rPr>
        <w:rFonts w:asciiTheme="minorHAnsi" w:hAnsiTheme="minorHAnsi" w:hint="default"/>
        <w:color w:val="3685F7" w:themeColor="accent3"/>
      </w:rPr>
    </w:lvl>
  </w:abstractNum>
  <w:abstractNum w:abstractNumId="15" w15:restartNumberingAfterBreak="0">
    <w:nsid w:val="601D0AF3"/>
    <w:multiLevelType w:val="hybridMultilevel"/>
    <w:tmpl w:val="A1B2967A"/>
    <w:lvl w:ilvl="0" w:tplc="41AE3F46">
      <w:start w:val="1"/>
      <w:numFmt w:val="bullet"/>
      <w:lvlText w:val="•"/>
      <w:lvlJc w:val="left"/>
      <w:pPr>
        <w:tabs>
          <w:tab w:val="num" w:pos="720"/>
        </w:tabs>
        <w:ind w:left="720" w:hanging="360"/>
      </w:pPr>
      <w:rPr>
        <w:rFonts w:ascii="Arial" w:hAnsi="Arial" w:hint="default"/>
      </w:rPr>
    </w:lvl>
    <w:lvl w:ilvl="1" w:tplc="BFD00028" w:tentative="1">
      <w:start w:val="1"/>
      <w:numFmt w:val="bullet"/>
      <w:lvlText w:val="•"/>
      <w:lvlJc w:val="left"/>
      <w:pPr>
        <w:tabs>
          <w:tab w:val="num" w:pos="1440"/>
        </w:tabs>
        <w:ind w:left="1440" w:hanging="360"/>
      </w:pPr>
      <w:rPr>
        <w:rFonts w:ascii="Arial" w:hAnsi="Arial" w:hint="default"/>
      </w:rPr>
    </w:lvl>
    <w:lvl w:ilvl="2" w:tplc="6D6C2EBE" w:tentative="1">
      <w:start w:val="1"/>
      <w:numFmt w:val="bullet"/>
      <w:lvlText w:val="•"/>
      <w:lvlJc w:val="left"/>
      <w:pPr>
        <w:tabs>
          <w:tab w:val="num" w:pos="2160"/>
        </w:tabs>
        <w:ind w:left="2160" w:hanging="360"/>
      </w:pPr>
      <w:rPr>
        <w:rFonts w:ascii="Arial" w:hAnsi="Arial" w:hint="default"/>
      </w:rPr>
    </w:lvl>
    <w:lvl w:ilvl="3" w:tplc="96245648" w:tentative="1">
      <w:start w:val="1"/>
      <w:numFmt w:val="bullet"/>
      <w:lvlText w:val="•"/>
      <w:lvlJc w:val="left"/>
      <w:pPr>
        <w:tabs>
          <w:tab w:val="num" w:pos="2880"/>
        </w:tabs>
        <w:ind w:left="2880" w:hanging="360"/>
      </w:pPr>
      <w:rPr>
        <w:rFonts w:ascii="Arial" w:hAnsi="Arial" w:hint="default"/>
      </w:rPr>
    </w:lvl>
    <w:lvl w:ilvl="4" w:tplc="7564F5A4" w:tentative="1">
      <w:start w:val="1"/>
      <w:numFmt w:val="bullet"/>
      <w:lvlText w:val="•"/>
      <w:lvlJc w:val="left"/>
      <w:pPr>
        <w:tabs>
          <w:tab w:val="num" w:pos="3600"/>
        </w:tabs>
        <w:ind w:left="3600" w:hanging="360"/>
      </w:pPr>
      <w:rPr>
        <w:rFonts w:ascii="Arial" w:hAnsi="Arial" w:hint="default"/>
      </w:rPr>
    </w:lvl>
    <w:lvl w:ilvl="5" w:tplc="5C64D9DA" w:tentative="1">
      <w:start w:val="1"/>
      <w:numFmt w:val="bullet"/>
      <w:lvlText w:val="•"/>
      <w:lvlJc w:val="left"/>
      <w:pPr>
        <w:tabs>
          <w:tab w:val="num" w:pos="4320"/>
        </w:tabs>
        <w:ind w:left="4320" w:hanging="360"/>
      </w:pPr>
      <w:rPr>
        <w:rFonts w:ascii="Arial" w:hAnsi="Arial" w:hint="default"/>
      </w:rPr>
    </w:lvl>
    <w:lvl w:ilvl="6" w:tplc="31FE592C" w:tentative="1">
      <w:start w:val="1"/>
      <w:numFmt w:val="bullet"/>
      <w:lvlText w:val="•"/>
      <w:lvlJc w:val="left"/>
      <w:pPr>
        <w:tabs>
          <w:tab w:val="num" w:pos="5040"/>
        </w:tabs>
        <w:ind w:left="5040" w:hanging="360"/>
      </w:pPr>
      <w:rPr>
        <w:rFonts w:ascii="Arial" w:hAnsi="Arial" w:hint="default"/>
      </w:rPr>
    </w:lvl>
    <w:lvl w:ilvl="7" w:tplc="6E9AA94A" w:tentative="1">
      <w:start w:val="1"/>
      <w:numFmt w:val="bullet"/>
      <w:lvlText w:val="•"/>
      <w:lvlJc w:val="left"/>
      <w:pPr>
        <w:tabs>
          <w:tab w:val="num" w:pos="5760"/>
        </w:tabs>
        <w:ind w:left="5760" w:hanging="360"/>
      </w:pPr>
      <w:rPr>
        <w:rFonts w:ascii="Arial" w:hAnsi="Arial" w:hint="default"/>
      </w:rPr>
    </w:lvl>
    <w:lvl w:ilvl="8" w:tplc="F6FE11E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3E23015"/>
    <w:multiLevelType w:val="hybridMultilevel"/>
    <w:tmpl w:val="7A826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9F58F7"/>
    <w:multiLevelType w:val="hybridMultilevel"/>
    <w:tmpl w:val="A11E8674"/>
    <w:lvl w:ilvl="0" w:tplc="4378CF9A">
      <w:start w:val="1"/>
      <w:numFmt w:val="bullet"/>
      <w:lvlText w:val=""/>
      <w:lvlJc w:val="left"/>
      <w:pPr>
        <w:ind w:left="720" w:hanging="360"/>
      </w:pPr>
      <w:rPr>
        <w:rFonts w:ascii="Wingdings" w:hAnsi="Wingdings"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B35707"/>
    <w:multiLevelType w:val="hybridMultilevel"/>
    <w:tmpl w:val="0244503A"/>
    <w:lvl w:ilvl="0" w:tplc="55FE5C2C">
      <w:start w:val="1"/>
      <w:numFmt w:val="bullet"/>
      <w:lvlText w:val="•"/>
      <w:lvlJc w:val="left"/>
      <w:pPr>
        <w:tabs>
          <w:tab w:val="num" w:pos="720"/>
        </w:tabs>
        <w:ind w:left="720" w:hanging="360"/>
      </w:pPr>
      <w:rPr>
        <w:rFonts w:ascii="Arial" w:hAnsi="Arial" w:hint="default"/>
      </w:rPr>
    </w:lvl>
    <w:lvl w:ilvl="1" w:tplc="6F023288" w:tentative="1">
      <w:start w:val="1"/>
      <w:numFmt w:val="bullet"/>
      <w:lvlText w:val="•"/>
      <w:lvlJc w:val="left"/>
      <w:pPr>
        <w:tabs>
          <w:tab w:val="num" w:pos="1440"/>
        </w:tabs>
        <w:ind w:left="1440" w:hanging="360"/>
      </w:pPr>
      <w:rPr>
        <w:rFonts w:ascii="Arial" w:hAnsi="Arial" w:hint="default"/>
      </w:rPr>
    </w:lvl>
    <w:lvl w:ilvl="2" w:tplc="13CCCEF6" w:tentative="1">
      <w:start w:val="1"/>
      <w:numFmt w:val="bullet"/>
      <w:lvlText w:val="•"/>
      <w:lvlJc w:val="left"/>
      <w:pPr>
        <w:tabs>
          <w:tab w:val="num" w:pos="2160"/>
        </w:tabs>
        <w:ind w:left="2160" w:hanging="360"/>
      </w:pPr>
      <w:rPr>
        <w:rFonts w:ascii="Arial" w:hAnsi="Arial" w:hint="default"/>
      </w:rPr>
    </w:lvl>
    <w:lvl w:ilvl="3" w:tplc="3F003EFC" w:tentative="1">
      <w:start w:val="1"/>
      <w:numFmt w:val="bullet"/>
      <w:lvlText w:val="•"/>
      <w:lvlJc w:val="left"/>
      <w:pPr>
        <w:tabs>
          <w:tab w:val="num" w:pos="2880"/>
        </w:tabs>
        <w:ind w:left="2880" w:hanging="360"/>
      </w:pPr>
      <w:rPr>
        <w:rFonts w:ascii="Arial" w:hAnsi="Arial" w:hint="default"/>
      </w:rPr>
    </w:lvl>
    <w:lvl w:ilvl="4" w:tplc="A1502390" w:tentative="1">
      <w:start w:val="1"/>
      <w:numFmt w:val="bullet"/>
      <w:lvlText w:val="•"/>
      <w:lvlJc w:val="left"/>
      <w:pPr>
        <w:tabs>
          <w:tab w:val="num" w:pos="3600"/>
        </w:tabs>
        <w:ind w:left="3600" w:hanging="360"/>
      </w:pPr>
      <w:rPr>
        <w:rFonts w:ascii="Arial" w:hAnsi="Arial" w:hint="default"/>
      </w:rPr>
    </w:lvl>
    <w:lvl w:ilvl="5" w:tplc="9A94ABC6" w:tentative="1">
      <w:start w:val="1"/>
      <w:numFmt w:val="bullet"/>
      <w:lvlText w:val="•"/>
      <w:lvlJc w:val="left"/>
      <w:pPr>
        <w:tabs>
          <w:tab w:val="num" w:pos="4320"/>
        </w:tabs>
        <w:ind w:left="4320" w:hanging="360"/>
      </w:pPr>
      <w:rPr>
        <w:rFonts w:ascii="Arial" w:hAnsi="Arial" w:hint="default"/>
      </w:rPr>
    </w:lvl>
    <w:lvl w:ilvl="6" w:tplc="7DA493BC" w:tentative="1">
      <w:start w:val="1"/>
      <w:numFmt w:val="bullet"/>
      <w:lvlText w:val="•"/>
      <w:lvlJc w:val="left"/>
      <w:pPr>
        <w:tabs>
          <w:tab w:val="num" w:pos="5040"/>
        </w:tabs>
        <w:ind w:left="5040" w:hanging="360"/>
      </w:pPr>
      <w:rPr>
        <w:rFonts w:ascii="Arial" w:hAnsi="Arial" w:hint="default"/>
      </w:rPr>
    </w:lvl>
    <w:lvl w:ilvl="7" w:tplc="10B076DC" w:tentative="1">
      <w:start w:val="1"/>
      <w:numFmt w:val="bullet"/>
      <w:lvlText w:val="•"/>
      <w:lvlJc w:val="left"/>
      <w:pPr>
        <w:tabs>
          <w:tab w:val="num" w:pos="5760"/>
        </w:tabs>
        <w:ind w:left="5760" w:hanging="360"/>
      </w:pPr>
      <w:rPr>
        <w:rFonts w:ascii="Arial" w:hAnsi="Arial" w:hint="default"/>
      </w:rPr>
    </w:lvl>
    <w:lvl w:ilvl="8" w:tplc="779641E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C123E75"/>
    <w:multiLevelType w:val="hybridMultilevel"/>
    <w:tmpl w:val="98B6E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15351B"/>
    <w:multiLevelType w:val="hybridMultilevel"/>
    <w:tmpl w:val="0480E552"/>
    <w:lvl w:ilvl="0" w:tplc="867839A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EC3A61"/>
    <w:multiLevelType w:val="hybridMultilevel"/>
    <w:tmpl w:val="D5C0A570"/>
    <w:lvl w:ilvl="0" w:tplc="867839A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636E56"/>
    <w:multiLevelType w:val="hybridMultilevel"/>
    <w:tmpl w:val="5B2870B0"/>
    <w:lvl w:ilvl="0" w:tplc="867839A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B032BF"/>
    <w:multiLevelType w:val="hybridMultilevel"/>
    <w:tmpl w:val="D0083836"/>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abstractNumId w:val="6"/>
  </w:num>
  <w:num w:numId="2">
    <w:abstractNumId w:val="14"/>
  </w:num>
  <w:num w:numId="3">
    <w:abstractNumId w:val="14"/>
  </w:num>
  <w:num w:numId="4">
    <w:abstractNumId w:val="13"/>
  </w:num>
  <w:num w:numId="5">
    <w:abstractNumId w:val="9"/>
  </w:num>
  <w:num w:numId="6">
    <w:abstractNumId w:val="8"/>
  </w:num>
  <w:num w:numId="7">
    <w:abstractNumId w:val="23"/>
  </w:num>
  <w:num w:numId="8">
    <w:abstractNumId w:val="5"/>
  </w:num>
  <w:num w:numId="9">
    <w:abstractNumId w:val="16"/>
  </w:num>
  <w:num w:numId="10">
    <w:abstractNumId w:val="9"/>
    <w:lvlOverride w:ilvl="0">
      <w:startOverride w:val="1"/>
    </w:lvlOverride>
  </w:num>
  <w:num w:numId="11">
    <w:abstractNumId w:val="11"/>
  </w:num>
  <w:num w:numId="12">
    <w:abstractNumId w:val="2"/>
  </w:num>
  <w:num w:numId="13">
    <w:abstractNumId w:val="1"/>
  </w:num>
  <w:num w:numId="14">
    <w:abstractNumId w:val="12"/>
  </w:num>
  <w:num w:numId="15">
    <w:abstractNumId w:val="0"/>
  </w:num>
  <w:num w:numId="16">
    <w:abstractNumId w:val="22"/>
  </w:num>
  <w:num w:numId="17">
    <w:abstractNumId w:val="10"/>
  </w:num>
  <w:num w:numId="18">
    <w:abstractNumId w:val="20"/>
  </w:num>
  <w:num w:numId="19">
    <w:abstractNumId w:val="3"/>
  </w:num>
  <w:num w:numId="20">
    <w:abstractNumId w:val="21"/>
  </w:num>
  <w:num w:numId="21">
    <w:abstractNumId w:val="18"/>
  </w:num>
  <w:num w:numId="22">
    <w:abstractNumId w:val="7"/>
  </w:num>
  <w:num w:numId="23">
    <w:abstractNumId w:val="15"/>
  </w:num>
  <w:num w:numId="24">
    <w:abstractNumId w:val="17"/>
  </w:num>
  <w:num w:numId="25">
    <w:abstractNumId w:val="4"/>
  </w:num>
  <w:num w:numId="26">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911"/>
    <w:rsid w:val="00000476"/>
    <w:rsid w:val="00015AE4"/>
    <w:rsid w:val="000200AA"/>
    <w:rsid w:val="00023306"/>
    <w:rsid w:val="000308CA"/>
    <w:rsid w:val="00031D41"/>
    <w:rsid w:val="00037D78"/>
    <w:rsid w:val="0006646A"/>
    <w:rsid w:val="000701CE"/>
    <w:rsid w:val="00072537"/>
    <w:rsid w:val="0007369C"/>
    <w:rsid w:val="00073B8D"/>
    <w:rsid w:val="00084C12"/>
    <w:rsid w:val="000A4B8D"/>
    <w:rsid w:val="000B3331"/>
    <w:rsid w:val="000B6AD6"/>
    <w:rsid w:val="000B6C00"/>
    <w:rsid w:val="000E0D2F"/>
    <w:rsid w:val="000F0AD4"/>
    <w:rsid w:val="000F1A34"/>
    <w:rsid w:val="000F28B8"/>
    <w:rsid w:val="000F3766"/>
    <w:rsid w:val="000F7B22"/>
    <w:rsid w:val="001043C5"/>
    <w:rsid w:val="00110561"/>
    <w:rsid w:val="00111F0C"/>
    <w:rsid w:val="00124C44"/>
    <w:rsid w:val="00127721"/>
    <w:rsid w:val="00145E2D"/>
    <w:rsid w:val="00147747"/>
    <w:rsid w:val="0014783F"/>
    <w:rsid w:val="00175961"/>
    <w:rsid w:val="001763D4"/>
    <w:rsid w:val="00181DCE"/>
    <w:rsid w:val="0019748B"/>
    <w:rsid w:val="001C53CE"/>
    <w:rsid w:val="001E2977"/>
    <w:rsid w:val="001E66CE"/>
    <w:rsid w:val="00200DC6"/>
    <w:rsid w:val="0020357D"/>
    <w:rsid w:val="00221DC2"/>
    <w:rsid w:val="002365E4"/>
    <w:rsid w:val="0024029D"/>
    <w:rsid w:val="002413FF"/>
    <w:rsid w:val="00243B10"/>
    <w:rsid w:val="00254A90"/>
    <w:rsid w:val="002573D5"/>
    <w:rsid w:val="00284962"/>
    <w:rsid w:val="002A41E1"/>
    <w:rsid w:val="002A4919"/>
    <w:rsid w:val="002A6816"/>
    <w:rsid w:val="002B02BC"/>
    <w:rsid w:val="002B0C38"/>
    <w:rsid w:val="002B6574"/>
    <w:rsid w:val="002E1AE8"/>
    <w:rsid w:val="002F0291"/>
    <w:rsid w:val="002F3FF4"/>
    <w:rsid w:val="002F417E"/>
    <w:rsid w:val="002F7D3C"/>
    <w:rsid w:val="00300CCA"/>
    <w:rsid w:val="003103E2"/>
    <w:rsid w:val="003131AB"/>
    <w:rsid w:val="003217BE"/>
    <w:rsid w:val="003241C7"/>
    <w:rsid w:val="0032463E"/>
    <w:rsid w:val="0036421F"/>
    <w:rsid w:val="00375E76"/>
    <w:rsid w:val="00393DD9"/>
    <w:rsid w:val="00394C6F"/>
    <w:rsid w:val="00397B85"/>
    <w:rsid w:val="003A5BB8"/>
    <w:rsid w:val="003D3B1D"/>
    <w:rsid w:val="003D5DBE"/>
    <w:rsid w:val="003E3CEB"/>
    <w:rsid w:val="003E525C"/>
    <w:rsid w:val="003E79F5"/>
    <w:rsid w:val="003F47FB"/>
    <w:rsid w:val="003F64CE"/>
    <w:rsid w:val="00404841"/>
    <w:rsid w:val="00412059"/>
    <w:rsid w:val="0041565B"/>
    <w:rsid w:val="004223B1"/>
    <w:rsid w:val="00424787"/>
    <w:rsid w:val="004356AC"/>
    <w:rsid w:val="004358D2"/>
    <w:rsid w:val="00440BEC"/>
    <w:rsid w:val="00441E79"/>
    <w:rsid w:val="00443756"/>
    <w:rsid w:val="00450AC4"/>
    <w:rsid w:val="0045385C"/>
    <w:rsid w:val="0046116C"/>
    <w:rsid w:val="00465E3C"/>
    <w:rsid w:val="004718D1"/>
    <w:rsid w:val="004779CC"/>
    <w:rsid w:val="00483A58"/>
    <w:rsid w:val="004A32C6"/>
    <w:rsid w:val="004A5F71"/>
    <w:rsid w:val="004D7F17"/>
    <w:rsid w:val="004E7F37"/>
    <w:rsid w:val="004F244C"/>
    <w:rsid w:val="004F532D"/>
    <w:rsid w:val="004F6433"/>
    <w:rsid w:val="00501B3D"/>
    <w:rsid w:val="005064B7"/>
    <w:rsid w:val="00515527"/>
    <w:rsid w:val="005176E8"/>
    <w:rsid w:val="0052321D"/>
    <w:rsid w:val="0053333A"/>
    <w:rsid w:val="0054471A"/>
    <w:rsid w:val="0054562C"/>
    <w:rsid w:val="0055268E"/>
    <w:rsid w:val="00556156"/>
    <w:rsid w:val="005617B6"/>
    <w:rsid w:val="00581122"/>
    <w:rsid w:val="00586AE0"/>
    <w:rsid w:val="0059552B"/>
    <w:rsid w:val="005975AA"/>
    <w:rsid w:val="005B20C2"/>
    <w:rsid w:val="005D30E3"/>
    <w:rsid w:val="00606552"/>
    <w:rsid w:val="00616EBA"/>
    <w:rsid w:val="00626B43"/>
    <w:rsid w:val="00631F8F"/>
    <w:rsid w:val="00632C08"/>
    <w:rsid w:val="00654120"/>
    <w:rsid w:val="00662C2B"/>
    <w:rsid w:val="00666812"/>
    <w:rsid w:val="0067074A"/>
    <w:rsid w:val="006711B9"/>
    <w:rsid w:val="00672994"/>
    <w:rsid w:val="006902F1"/>
    <w:rsid w:val="006963C4"/>
    <w:rsid w:val="006A25FD"/>
    <w:rsid w:val="006A50EF"/>
    <w:rsid w:val="006A7A8A"/>
    <w:rsid w:val="006B3B78"/>
    <w:rsid w:val="006C2CE5"/>
    <w:rsid w:val="006C7CCC"/>
    <w:rsid w:val="006D2122"/>
    <w:rsid w:val="006D58A4"/>
    <w:rsid w:val="006E118E"/>
    <w:rsid w:val="006F0464"/>
    <w:rsid w:val="006F402B"/>
    <w:rsid w:val="00714E83"/>
    <w:rsid w:val="0072005A"/>
    <w:rsid w:val="00723CE5"/>
    <w:rsid w:val="00727C0C"/>
    <w:rsid w:val="007417DE"/>
    <w:rsid w:val="00742B89"/>
    <w:rsid w:val="00743BAE"/>
    <w:rsid w:val="00745E54"/>
    <w:rsid w:val="00747DAB"/>
    <w:rsid w:val="00752C6B"/>
    <w:rsid w:val="00772BEA"/>
    <w:rsid w:val="00776F80"/>
    <w:rsid w:val="00783CC5"/>
    <w:rsid w:val="00785049"/>
    <w:rsid w:val="0079188C"/>
    <w:rsid w:val="007A6BA0"/>
    <w:rsid w:val="007B6BA5"/>
    <w:rsid w:val="007C687F"/>
    <w:rsid w:val="007D24C0"/>
    <w:rsid w:val="007D393A"/>
    <w:rsid w:val="007E5E30"/>
    <w:rsid w:val="007F2B73"/>
    <w:rsid w:val="007F6B1B"/>
    <w:rsid w:val="00803071"/>
    <w:rsid w:val="00820F20"/>
    <w:rsid w:val="00825754"/>
    <w:rsid w:val="00832FF5"/>
    <w:rsid w:val="00833320"/>
    <w:rsid w:val="00844C2D"/>
    <w:rsid w:val="008471E1"/>
    <w:rsid w:val="00850A78"/>
    <w:rsid w:val="00853844"/>
    <w:rsid w:val="008616E3"/>
    <w:rsid w:val="008625C3"/>
    <w:rsid w:val="00865F7B"/>
    <w:rsid w:val="00866A64"/>
    <w:rsid w:val="00877F26"/>
    <w:rsid w:val="0088199D"/>
    <w:rsid w:val="00883741"/>
    <w:rsid w:val="00893AB1"/>
    <w:rsid w:val="008A0E87"/>
    <w:rsid w:val="008B1A29"/>
    <w:rsid w:val="008C421D"/>
    <w:rsid w:val="008D366D"/>
    <w:rsid w:val="00904BC1"/>
    <w:rsid w:val="0090729C"/>
    <w:rsid w:val="009345F1"/>
    <w:rsid w:val="009401D2"/>
    <w:rsid w:val="00950B82"/>
    <w:rsid w:val="00952720"/>
    <w:rsid w:val="00961072"/>
    <w:rsid w:val="00996BB5"/>
    <w:rsid w:val="0099716A"/>
    <w:rsid w:val="009A391D"/>
    <w:rsid w:val="009A5BCD"/>
    <w:rsid w:val="009B22AA"/>
    <w:rsid w:val="009B438D"/>
    <w:rsid w:val="009D334A"/>
    <w:rsid w:val="009E12BF"/>
    <w:rsid w:val="009E3F44"/>
    <w:rsid w:val="009E750F"/>
    <w:rsid w:val="00A04D96"/>
    <w:rsid w:val="00A0629B"/>
    <w:rsid w:val="00A16F8B"/>
    <w:rsid w:val="00A22E93"/>
    <w:rsid w:val="00A27F45"/>
    <w:rsid w:val="00A35A7F"/>
    <w:rsid w:val="00A444F6"/>
    <w:rsid w:val="00A47D17"/>
    <w:rsid w:val="00A54309"/>
    <w:rsid w:val="00A549AD"/>
    <w:rsid w:val="00A73D97"/>
    <w:rsid w:val="00A7487F"/>
    <w:rsid w:val="00A75A4A"/>
    <w:rsid w:val="00A76B09"/>
    <w:rsid w:val="00A90D1B"/>
    <w:rsid w:val="00A913FA"/>
    <w:rsid w:val="00AA5A8A"/>
    <w:rsid w:val="00AC5839"/>
    <w:rsid w:val="00AE1B67"/>
    <w:rsid w:val="00B06A46"/>
    <w:rsid w:val="00B274D1"/>
    <w:rsid w:val="00B538D7"/>
    <w:rsid w:val="00B60B74"/>
    <w:rsid w:val="00B63BD6"/>
    <w:rsid w:val="00B670EF"/>
    <w:rsid w:val="00B93E92"/>
    <w:rsid w:val="00B94ED7"/>
    <w:rsid w:val="00BA74A4"/>
    <w:rsid w:val="00BC093A"/>
    <w:rsid w:val="00BC409D"/>
    <w:rsid w:val="00BC4ACC"/>
    <w:rsid w:val="00BD56C7"/>
    <w:rsid w:val="00BF05A1"/>
    <w:rsid w:val="00BF19F1"/>
    <w:rsid w:val="00C00D93"/>
    <w:rsid w:val="00C03E93"/>
    <w:rsid w:val="00C03FD1"/>
    <w:rsid w:val="00C10559"/>
    <w:rsid w:val="00C217A8"/>
    <w:rsid w:val="00C37CF9"/>
    <w:rsid w:val="00C429CA"/>
    <w:rsid w:val="00C500BA"/>
    <w:rsid w:val="00C52900"/>
    <w:rsid w:val="00C53700"/>
    <w:rsid w:val="00C56DD2"/>
    <w:rsid w:val="00C56DD9"/>
    <w:rsid w:val="00C56F19"/>
    <w:rsid w:val="00C579E8"/>
    <w:rsid w:val="00C61AE7"/>
    <w:rsid w:val="00C66918"/>
    <w:rsid w:val="00C71B13"/>
    <w:rsid w:val="00C77EE6"/>
    <w:rsid w:val="00C83C7C"/>
    <w:rsid w:val="00C86D52"/>
    <w:rsid w:val="00C90DFA"/>
    <w:rsid w:val="00CA00F9"/>
    <w:rsid w:val="00CB0765"/>
    <w:rsid w:val="00CB0EAD"/>
    <w:rsid w:val="00CB6E03"/>
    <w:rsid w:val="00CC7C44"/>
    <w:rsid w:val="00CD3BF9"/>
    <w:rsid w:val="00CD5925"/>
    <w:rsid w:val="00CE557A"/>
    <w:rsid w:val="00CF269F"/>
    <w:rsid w:val="00CF3469"/>
    <w:rsid w:val="00CF419F"/>
    <w:rsid w:val="00D05312"/>
    <w:rsid w:val="00D13A43"/>
    <w:rsid w:val="00D1410C"/>
    <w:rsid w:val="00D21ABC"/>
    <w:rsid w:val="00D22508"/>
    <w:rsid w:val="00D33A42"/>
    <w:rsid w:val="00D34D0B"/>
    <w:rsid w:val="00D46ED1"/>
    <w:rsid w:val="00D54911"/>
    <w:rsid w:val="00D57F79"/>
    <w:rsid w:val="00D66D37"/>
    <w:rsid w:val="00D70E30"/>
    <w:rsid w:val="00D74A71"/>
    <w:rsid w:val="00D904F0"/>
    <w:rsid w:val="00D910FF"/>
    <w:rsid w:val="00D91378"/>
    <w:rsid w:val="00DC17F7"/>
    <w:rsid w:val="00DC1EE8"/>
    <w:rsid w:val="00DD0009"/>
    <w:rsid w:val="00DD111A"/>
    <w:rsid w:val="00DD1408"/>
    <w:rsid w:val="00DD26BA"/>
    <w:rsid w:val="00DD356D"/>
    <w:rsid w:val="00DE3CDF"/>
    <w:rsid w:val="00E008C3"/>
    <w:rsid w:val="00E00B3C"/>
    <w:rsid w:val="00E01DE2"/>
    <w:rsid w:val="00E270C0"/>
    <w:rsid w:val="00E37E94"/>
    <w:rsid w:val="00E43D0D"/>
    <w:rsid w:val="00E546A3"/>
    <w:rsid w:val="00E63A57"/>
    <w:rsid w:val="00E83A46"/>
    <w:rsid w:val="00E83E2E"/>
    <w:rsid w:val="00E84012"/>
    <w:rsid w:val="00EA0724"/>
    <w:rsid w:val="00EA18D1"/>
    <w:rsid w:val="00EA1E6E"/>
    <w:rsid w:val="00EB6414"/>
    <w:rsid w:val="00EC757F"/>
    <w:rsid w:val="00EE7599"/>
    <w:rsid w:val="00EF0712"/>
    <w:rsid w:val="00EF7B3B"/>
    <w:rsid w:val="00F07415"/>
    <w:rsid w:val="00F34F6B"/>
    <w:rsid w:val="00F51D1E"/>
    <w:rsid w:val="00F52DD1"/>
    <w:rsid w:val="00F5341C"/>
    <w:rsid w:val="00F6791A"/>
    <w:rsid w:val="00F70739"/>
    <w:rsid w:val="00F7752A"/>
    <w:rsid w:val="00F90E9D"/>
    <w:rsid w:val="00F9378B"/>
    <w:rsid w:val="00F94E8D"/>
    <w:rsid w:val="00F96445"/>
    <w:rsid w:val="00FA5A7B"/>
    <w:rsid w:val="00FB0734"/>
    <w:rsid w:val="00FB3311"/>
    <w:rsid w:val="00FB7214"/>
    <w:rsid w:val="00FC1D4F"/>
    <w:rsid w:val="00FC7995"/>
    <w:rsid w:val="00FD2383"/>
    <w:rsid w:val="00FE2F1E"/>
    <w:rsid w:val="00FE5B77"/>
    <w:rsid w:val="00FF57D2"/>
    <w:rsid w:val="00FF6A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468BDC3"/>
  <w15:docId w15:val="{95F59FD0-CB72-48C0-90AA-BE8C620F0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unhideWhenUsed="1" w:qFormat="1"/>
    <w:lsdException w:name="heading 3" w:uiPriority="4" w:unhideWhenUsed="1" w:qFormat="1"/>
    <w:lsdException w:name="heading 4" w:uiPriority="4"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iPriority="49" w:unhideWhenUsed="1"/>
    <w:lsdException w:name="footer" w:uiPriority="49"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iPriority="44"/>
    <w:lsdException w:name="table of authorities" w:semiHidden="1" w:unhideWhenUsed="1"/>
    <w:lsdException w:name="macro" w:semiHidden="1" w:unhideWhenUsed="1"/>
    <w:lsdException w:name="toa heading" w:semiHidden="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6"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uiPriority="37" w:qFormat="1"/>
    <w:lsdException w:name="Salutation" w:semiHidden="1" w:unhideWhenUsed="1"/>
    <w:lsdException w:name="Date" w:semiHidden="1" w:uiPriority="3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469"/>
    <w:pPr>
      <w:spacing w:before="140" w:line="240" w:lineRule="atLeast"/>
    </w:pPr>
    <w:rPr>
      <w:rFonts w:asciiTheme="minorHAnsi" w:hAnsiTheme="minorHAnsi"/>
      <w:color w:val="000000" w:themeColor="text1"/>
      <w:sz w:val="22"/>
    </w:rPr>
  </w:style>
  <w:style w:type="paragraph" w:styleId="Heading1">
    <w:name w:val="heading 1"/>
    <w:next w:val="Normal"/>
    <w:link w:val="Heading1Char"/>
    <w:uiPriority w:val="4"/>
    <w:qFormat/>
    <w:rsid w:val="0036421F"/>
    <w:pPr>
      <w:keepNext/>
      <w:keepLines/>
      <w:framePr w:w="9072" w:wrap="notBeside" w:vAnchor="text" w:hAnchor="text" w:y="1"/>
      <w:spacing w:before="340" w:line="600" w:lineRule="exact"/>
      <w:outlineLvl w:val="0"/>
    </w:pPr>
    <w:rPr>
      <w:rFonts w:ascii="Arial" w:eastAsiaTheme="majorEastAsia" w:hAnsi="Arial" w:cstheme="majorBidi"/>
      <w:bCs/>
      <w:color w:val="002341" w:themeColor="accent2"/>
      <w:sz w:val="56"/>
      <w:szCs w:val="28"/>
    </w:rPr>
  </w:style>
  <w:style w:type="paragraph" w:styleId="Heading2">
    <w:name w:val="heading 2"/>
    <w:next w:val="Normal"/>
    <w:link w:val="Heading2Char"/>
    <w:uiPriority w:val="4"/>
    <w:qFormat/>
    <w:rsid w:val="0036421F"/>
    <w:pPr>
      <w:keepNext/>
      <w:keepLines/>
      <w:spacing w:before="400" w:line="460" w:lineRule="exact"/>
      <w:outlineLvl w:val="1"/>
    </w:pPr>
    <w:rPr>
      <w:rFonts w:ascii="Arial" w:eastAsiaTheme="majorEastAsia" w:hAnsi="Arial" w:cstheme="majorBidi"/>
      <w:bCs/>
      <w:color w:val="3685F7" w:themeColor="accent3"/>
      <w:sz w:val="42"/>
      <w:szCs w:val="26"/>
    </w:rPr>
  </w:style>
  <w:style w:type="paragraph" w:styleId="Heading3">
    <w:name w:val="heading 3"/>
    <w:next w:val="Normal"/>
    <w:link w:val="Heading3Char"/>
    <w:uiPriority w:val="4"/>
    <w:qFormat/>
    <w:rsid w:val="0036421F"/>
    <w:pPr>
      <w:keepNext/>
      <w:keepLines/>
      <w:spacing w:before="400" w:line="380" w:lineRule="exact"/>
      <w:outlineLvl w:val="2"/>
    </w:pPr>
    <w:rPr>
      <w:rFonts w:ascii="Arial" w:eastAsiaTheme="majorEastAsia" w:hAnsi="Arial" w:cstheme="majorBidi"/>
      <w:bCs/>
      <w:color w:val="002341" w:themeColor="accent2"/>
      <w:sz w:val="34"/>
    </w:rPr>
  </w:style>
  <w:style w:type="paragraph" w:styleId="Heading4">
    <w:name w:val="heading 4"/>
    <w:next w:val="Normal"/>
    <w:link w:val="Heading4Char"/>
    <w:uiPriority w:val="4"/>
    <w:qFormat/>
    <w:rsid w:val="0036421F"/>
    <w:pPr>
      <w:keepNext/>
      <w:keepLines/>
      <w:spacing w:before="400" w:line="300" w:lineRule="exact"/>
      <w:outlineLvl w:val="3"/>
    </w:pPr>
    <w:rPr>
      <w:rFonts w:ascii="Arial" w:eastAsiaTheme="majorEastAsia" w:hAnsi="Arial" w:cstheme="majorBidi"/>
      <w:b/>
      <w:bCs/>
      <w:iCs/>
      <w:color w:val="000000" w:themeColor="text2"/>
      <w:sz w:val="26"/>
    </w:rPr>
  </w:style>
  <w:style w:type="paragraph" w:styleId="Heading5">
    <w:name w:val="heading 5"/>
    <w:next w:val="BodyText"/>
    <w:link w:val="Heading5Char"/>
    <w:uiPriority w:val="4"/>
    <w:semiHidden/>
    <w:qFormat/>
    <w:rsid w:val="00B670EF"/>
    <w:pPr>
      <w:keepNext/>
      <w:keepLines/>
      <w:spacing w:before="200"/>
      <w:outlineLvl w:val="4"/>
    </w:pPr>
    <w:rPr>
      <w:rFonts w:asciiTheme="majorHAnsi" w:eastAsiaTheme="majorEastAsia" w:hAnsiTheme="majorHAnsi" w:cstheme="majorBidi"/>
      <w:color w:val="3F3F3F" w:themeColor="accent1" w:themeShade="7F"/>
    </w:rPr>
  </w:style>
  <w:style w:type="paragraph" w:styleId="Heading6">
    <w:name w:val="heading 6"/>
    <w:next w:val="BodyText"/>
    <w:link w:val="Heading6Char"/>
    <w:uiPriority w:val="4"/>
    <w:semiHidden/>
    <w:qFormat/>
    <w:rsid w:val="00B670EF"/>
    <w:pPr>
      <w:keepNext/>
      <w:keepLines/>
      <w:spacing w:before="200"/>
      <w:outlineLvl w:val="5"/>
    </w:pPr>
    <w:rPr>
      <w:rFonts w:asciiTheme="majorHAnsi" w:eastAsiaTheme="majorEastAsia" w:hAnsiTheme="majorHAnsi" w:cstheme="majorBidi"/>
      <w:i/>
      <w:iCs/>
      <w:color w:val="3F3F3F" w:themeColor="accent1" w:themeShade="7F"/>
    </w:rPr>
  </w:style>
  <w:style w:type="paragraph" w:styleId="Heading7">
    <w:name w:val="heading 7"/>
    <w:next w:val="BodyText"/>
    <w:link w:val="Heading7Char"/>
    <w:uiPriority w:val="4"/>
    <w:semiHidden/>
    <w:qFormat/>
    <w:rsid w:val="00B670E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B670EF"/>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B670EF"/>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670EF"/>
    <w:rPr>
      <w:rFonts w:ascii="Tahoma" w:hAnsi="Tahoma" w:cs="Tahoma"/>
      <w:sz w:val="16"/>
      <w:szCs w:val="16"/>
    </w:rPr>
  </w:style>
  <w:style w:type="character" w:customStyle="1" w:styleId="BalloonTextChar">
    <w:name w:val="Balloon Text Char"/>
    <w:basedOn w:val="DefaultParagraphFont"/>
    <w:link w:val="BalloonText"/>
    <w:uiPriority w:val="99"/>
    <w:semiHidden/>
    <w:rsid w:val="00B670EF"/>
    <w:rPr>
      <w:rFonts w:ascii="Tahoma" w:hAnsi="Tahoma" w:cs="Tahoma"/>
      <w:color w:val="000000" w:themeColor="text1"/>
      <w:sz w:val="16"/>
      <w:szCs w:val="16"/>
    </w:rPr>
  </w:style>
  <w:style w:type="table" w:styleId="TableGrid">
    <w:name w:val="Table Grid"/>
    <w:basedOn w:val="TableNormal"/>
    <w:uiPriority w:val="59"/>
    <w:rsid w:val="00B670EF"/>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36421F"/>
    <w:rPr>
      <w:rFonts w:ascii="Arial" w:eastAsiaTheme="majorEastAsia" w:hAnsi="Arial" w:cstheme="majorBidi"/>
      <w:bCs/>
      <w:color w:val="002341" w:themeColor="accent2"/>
      <w:sz w:val="56"/>
      <w:szCs w:val="28"/>
    </w:rPr>
  </w:style>
  <w:style w:type="paragraph" w:styleId="Footer">
    <w:name w:val="footer"/>
    <w:link w:val="FooterChar"/>
    <w:uiPriority w:val="49"/>
    <w:semiHidden/>
    <w:rsid w:val="004F244C"/>
    <w:pPr>
      <w:tabs>
        <w:tab w:val="center" w:pos="4513"/>
        <w:tab w:val="right" w:pos="9026"/>
      </w:tabs>
      <w:spacing w:line="200" w:lineRule="exact"/>
      <w:ind w:left="-851"/>
    </w:pPr>
    <w:rPr>
      <w:rFonts w:asciiTheme="minorHAnsi" w:hAnsiTheme="minorHAnsi"/>
      <w:caps/>
      <w:color w:val="666666"/>
      <w:sz w:val="16"/>
    </w:rPr>
  </w:style>
  <w:style w:type="character" w:customStyle="1" w:styleId="FooterChar">
    <w:name w:val="Footer Char"/>
    <w:basedOn w:val="DefaultParagraphFont"/>
    <w:link w:val="Footer"/>
    <w:uiPriority w:val="49"/>
    <w:semiHidden/>
    <w:rsid w:val="004F244C"/>
    <w:rPr>
      <w:rFonts w:asciiTheme="minorHAnsi" w:hAnsiTheme="minorHAnsi"/>
      <w:caps/>
      <w:color w:val="666666"/>
      <w:sz w:val="16"/>
    </w:rPr>
  </w:style>
  <w:style w:type="paragraph" w:styleId="Header">
    <w:name w:val="header"/>
    <w:link w:val="HeaderChar"/>
    <w:uiPriority w:val="49"/>
    <w:semiHidden/>
    <w:rsid w:val="00B670EF"/>
    <w:pPr>
      <w:tabs>
        <w:tab w:val="center" w:pos="4513"/>
        <w:tab w:val="right" w:pos="9026"/>
      </w:tabs>
      <w:spacing w:line="300" w:lineRule="atLeast"/>
    </w:pPr>
    <w:rPr>
      <w:rFonts w:asciiTheme="majorHAnsi" w:hAnsiTheme="majorHAnsi"/>
      <w:color w:val="656263"/>
    </w:rPr>
  </w:style>
  <w:style w:type="character" w:customStyle="1" w:styleId="HeaderChar">
    <w:name w:val="Header Char"/>
    <w:basedOn w:val="DefaultParagraphFont"/>
    <w:link w:val="Header"/>
    <w:uiPriority w:val="49"/>
    <w:semiHidden/>
    <w:rsid w:val="00B670EF"/>
    <w:rPr>
      <w:rFonts w:asciiTheme="majorHAnsi" w:hAnsiTheme="majorHAnsi"/>
      <w:color w:val="656263"/>
    </w:rPr>
  </w:style>
  <w:style w:type="character" w:customStyle="1" w:styleId="Heading2Char">
    <w:name w:val="Heading 2 Char"/>
    <w:basedOn w:val="DefaultParagraphFont"/>
    <w:link w:val="Heading2"/>
    <w:uiPriority w:val="4"/>
    <w:rsid w:val="0036421F"/>
    <w:rPr>
      <w:rFonts w:ascii="Arial" w:eastAsiaTheme="majorEastAsia" w:hAnsi="Arial" w:cstheme="majorBidi"/>
      <w:bCs/>
      <w:color w:val="3685F7" w:themeColor="accent3"/>
      <w:sz w:val="42"/>
      <w:szCs w:val="26"/>
    </w:rPr>
  </w:style>
  <w:style w:type="paragraph" w:styleId="BodyText">
    <w:name w:val="Body Text"/>
    <w:basedOn w:val="Normal"/>
    <w:link w:val="BodyTextChar"/>
    <w:semiHidden/>
    <w:qFormat/>
    <w:rsid w:val="00B670EF"/>
  </w:style>
  <w:style w:type="character" w:customStyle="1" w:styleId="BodyTextChar">
    <w:name w:val="Body Text Char"/>
    <w:basedOn w:val="DefaultParagraphFont"/>
    <w:link w:val="BodyText"/>
    <w:semiHidden/>
    <w:rsid w:val="00CA00F9"/>
    <w:rPr>
      <w:rFonts w:asciiTheme="minorHAnsi" w:hAnsiTheme="minorHAnsi"/>
      <w:color w:val="000000" w:themeColor="text1"/>
    </w:rPr>
  </w:style>
  <w:style w:type="character" w:customStyle="1" w:styleId="Heading3Char">
    <w:name w:val="Heading 3 Char"/>
    <w:basedOn w:val="DefaultParagraphFont"/>
    <w:link w:val="Heading3"/>
    <w:uiPriority w:val="4"/>
    <w:rsid w:val="0036421F"/>
    <w:rPr>
      <w:rFonts w:ascii="Arial" w:eastAsiaTheme="majorEastAsia" w:hAnsi="Arial" w:cstheme="majorBidi"/>
      <w:bCs/>
      <w:color w:val="002341" w:themeColor="accent2"/>
      <w:sz w:val="34"/>
    </w:rPr>
  </w:style>
  <w:style w:type="character" w:customStyle="1" w:styleId="Heading4Char">
    <w:name w:val="Heading 4 Char"/>
    <w:basedOn w:val="DefaultParagraphFont"/>
    <w:link w:val="Heading4"/>
    <w:uiPriority w:val="4"/>
    <w:rsid w:val="0036421F"/>
    <w:rPr>
      <w:rFonts w:ascii="Arial" w:eastAsiaTheme="majorEastAsia" w:hAnsi="Arial" w:cstheme="majorBidi"/>
      <w:b/>
      <w:bCs/>
      <w:iCs/>
      <w:color w:val="000000" w:themeColor="text2"/>
      <w:sz w:val="26"/>
    </w:rPr>
  </w:style>
  <w:style w:type="paragraph" w:styleId="Subtitle">
    <w:name w:val="Subtitle"/>
    <w:link w:val="SubtitleChar"/>
    <w:uiPriority w:val="37"/>
    <w:qFormat/>
    <w:rsid w:val="0036421F"/>
    <w:pPr>
      <w:numPr>
        <w:ilvl w:val="1"/>
      </w:numPr>
      <w:spacing w:line="480" w:lineRule="atLeast"/>
      <w:jc w:val="right"/>
    </w:pPr>
    <w:rPr>
      <w:rFonts w:ascii="Arial" w:eastAsiaTheme="majorEastAsia" w:hAnsi="Arial" w:cstheme="majorBidi"/>
      <w:iCs/>
      <w:color w:val="656565"/>
      <w:sz w:val="36"/>
      <w:szCs w:val="24"/>
    </w:rPr>
  </w:style>
  <w:style w:type="character" w:customStyle="1" w:styleId="SubtitleChar">
    <w:name w:val="Subtitle Char"/>
    <w:basedOn w:val="DefaultParagraphFont"/>
    <w:link w:val="Subtitle"/>
    <w:uiPriority w:val="37"/>
    <w:rsid w:val="0036421F"/>
    <w:rPr>
      <w:rFonts w:ascii="Arial" w:eastAsiaTheme="majorEastAsia" w:hAnsi="Arial" w:cstheme="majorBidi"/>
      <w:iCs/>
      <w:color w:val="656565"/>
      <w:sz w:val="36"/>
      <w:szCs w:val="24"/>
    </w:rPr>
  </w:style>
  <w:style w:type="paragraph" w:styleId="Title">
    <w:name w:val="Title"/>
    <w:link w:val="TitleChar"/>
    <w:uiPriority w:val="36"/>
    <w:qFormat/>
    <w:rsid w:val="005176E8"/>
    <w:pPr>
      <w:spacing w:line="680" w:lineRule="exact"/>
      <w:jc w:val="right"/>
    </w:pPr>
    <w:rPr>
      <w:rFonts w:ascii="Arial" w:eastAsiaTheme="majorEastAsia" w:hAnsi="Arial" w:cstheme="majorBidi"/>
      <w:color w:val="3685F7" w:themeColor="accent3"/>
      <w:spacing w:val="-10"/>
      <w:kern w:val="28"/>
      <w:sz w:val="64"/>
      <w:szCs w:val="52"/>
    </w:rPr>
  </w:style>
  <w:style w:type="character" w:customStyle="1" w:styleId="TitleChar">
    <w:name w:val="Title Char"/>
    <w:basedOn w:val="DefaultParagraphFont"/>
    <w:link w:val="Title"/>
    <w:uiPriority w:val="36"/>
    <w:rsid w:val="005176E8"/>
    <w:rPr>
      <w:rFonts w:ascii="Arial" w:eastAsiaTheme="majorEastAsia" w:hAnsi="Arial" w:cstheme="majorBidi"/>
      <w:color w:val="3685F7" w:themeColor="accent3"/>
      <w:spacing w:val="-10"/>
      <w:kern w:val="28"/>
      <w:sz w:val="64"/>
      <w:szCs w:val="52"/>
    </w:rPr>
  </w:style>
  <w:style w:type="paragraph" w:styleId="Caption">
    <w:name w:val="caption"/>
    <w:next w:val="Normal"/>
    <w:link w:val="CaptionChar"/>
    <w:uiPriority w:val="14"/>
    <w:qFormat/>
    <w:rsid w:val="0036421F"/>
    <w:pPr>
      <w:keepNext/>
      <w:keepLines/>
      <w:spacing w:before="400" w:after="200" w:line="300" w:lineRule="exact"/>
    </w:pPr>
    <w:rPr>
      <w:rFonts w:ascii="Arial" w:hAnsi="Arial"/>
      <w:b/>
      <w:bCs/>
      <w:color w:val="666666"/>
      <w:sz w:val="26"/>
      <w:szCs w:val="18"/>
    </w:rPr>
  </w:style>
  <w:style w:type="paragraph" w:styleId="Date">
    <w:name w:val="Date"/>
    <w:link w:val="DateChar"/>
    <w:uiPriority w:val="38"/>
    <w:semiHidden/>
    <w:rsid w:val="00B670EF"/>
    <w:rPr>
      <w:rFonts w:asciiTheme="minorHAnsi" w:hAnsiTheme="minorHAnsi"/>
    </w:rPr>
  </w:style>
  <w:style w:type="character" w:customStyle="1" w:styleId="DateChar">
    <w:name w:val="Date Char"/>
    <w:basedOn w:val="DefaultParagraphFont"/>
    <w:link w:val="Date"/>
    <w:uiPriority w:val="38"/>
    <w:semiHidden/>
    <w:rsid w:val="00B670EF"/>
    <w:rPr>
      <w:rFonts w:asciiTheme="minorHAnsi" w:hAnsiTheme="minorHAnsi"/>
    </w:rPr>
  </w:style>
  <w:style w:type="paragraph" w:styleId="EndnoteText">
    <w:name w:val="endnote text"/>
    <w:basedOn w:val="BodyText"/>
    <w:link w:val="EndnoteTextChar"/>
    <w:uiPriority w:val="44"/>
    <w:semiHidden/>
    <w:rsid w:val="00B670EF"/>
  </w:style>
  <w:style w:type="character" w:customStyle="1" w:styleId="EndnoteTextChar">
    <w:name w:val="Endnote Text Char"/>
    <w:basedOn w:val="DefaultParagraphFont"/>
    <w:link w:val="EndnoteText"/>
    <w:uiPriority w:val="44"/>
    <w:semiHidden/>
    <w:rsid w:val="00B670EF"/>
    <w:rPr>
      <w:rFonts w:asciiTheme="minorHAnsi" w:hAnsiTheme="minorHAnsi"/>
      <w:color w:val="000000" w:themeColor="text1"/>
    </w:rPr>
  </w:style>
  <w:style w:type="paragraph" w:styleId="FootnoteText">
    <w:name w:val="footnote text"/>
    <w:link w:val="FootnoteTextChar"/>
    <w:uiPriority w:val="99"/>
    <w:qFormat/>
    <w:rsid w:val="00B670EF"/>
    <w:pPr>
      <w:spacing w:before="142" w:line="200" w:lineRule="atLeast"/>
    </w:pPr>
    <w:rPr>
      <w:rFonts w:asciiTheme="minorHAnsi" w:hAnsiTheme="minorHAnsi"/>
      <w:color w:val="000000" w:themeColor="text1"/>
      <w:sz w:val="16"/>
    </w:rPr>
  </w:style>
  <w:style w:type="character" w:customStyle="1" w:styleId="FootnoteTextChar">
    <w:name w:val="Footnote Text Char"/>
    <w:basedOn w:val="DefaultParagraphFont"/>
    <w:link w:val="FootnoteText"/>
    <w:uiPriority w:val="99"/>
    <w:rsid w:val="00175961"/>
    <w:rPr>
      <w:rFonts w:asciiTheme="minorHAnsi" w:hAnsiTheme="minorHAnsi"/>
      <w:color w:val="000000" w:themeColor="text1"/>
      <w:sz w:val="16"/>
    </w:rPr>
  </w:style>
  <w:style w:type="paragraph" w:styleId="Quote">
    <w:name w:val="Quote"/>
    <w:link w:val="QuoteChar"/>
    <w:uiPriority w:val="9"/>
    <w:semiHidden/>
    <w:qFormat/>
    <w:rsid w:val="00B670EF"/>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B670EF"/>
    <w:rPr>
      <w:rFonts w:asciiTheme="minorHAnsi" w:hAnsiTheme="minorHAnsi"/>
      <w:i/>
      <w:iCs/>
      <w:color w:val="000000" w:themeColor="text1"/>
    </w:rPr>
  </w:style>
  <w:style w:type="paragraph" w:styleId="TableofFigures">
    <w:name w:val="table of figures"/>
    <w:uiPriority w:val="99"/>
    <w:semiHidden/>
    <w:rsid w:val="00B670EF"/>
    <w:rPr>
      <w:rFonts w:asciiTheme="minorHAnsi" w:hAnsiTheme="minorHAnsi"/>
    </w:rPr>
  </w:style>
  <w:style w:type="paragraph" w:styleId="TOC1">
    <w:name w:val="toc 1"/>
    <w:basedOn w:val="Normal"/>
    <w:uiPriority w:val="39"/>
    <w:rsid w:val="006D2122"/>
    <w:pPr>
      <w:tabs>
        <w:tab w:val="right" w:pos="8505"/>
      </w:tabs>
      <w:spacing w:before="170"/>
      <w:ind w:left="567" w:right="1418"/>
    </w:pPr>
    <w:rPr>
      <w:b/>
    </w:rPr>
  </w:style>
  <w:style w:type="paragraph" w:styleId="TOC2">
    <w:name w:val="toc 2"/>
    <w:basedOn w:val="Normal"/>
    <w:uiPriority w:val="39"/>
    <w:rsid w:val="006D2122"/>
    <w:pPr>
      <w:tabs>
        <w:tab w:val="right" w:pos="8505"/>
      </w:tabs>
      <w:spacing w:before="113"/>
      <w:ind w:left="567" w:right="1418"/>
    </w:pPr>
  </w:style>
  <w:style w:type="paragraph" w:styleId="TOC3">
    <w:name w:val="toc 3"/>
    <w:autoRedefine/>
    <w:uiPriority w:val="39"/>
    <w:rsid w:val="00B670EF"/>
    <w:pPr>
      <w:spacing w:after="100"/>
      <w:ind w:left="400"/>
    </w:pPr>
    <w:rPr>
      <w:rFonts w:asciiTheme="minorHAnsi" w:hAnsiTheme="minorHAnsi"/>
    </w:rPr>
  </w:style>
  <w:style w:type="paragraph" w:styleId="TOCHeading">
    <w:name w:val="TOC Heading"/>
    <w:next w:val="BodyText"/>
    <w:uiPriority w:val="39"/>
    <w:qFormat/>
    <w:rsid w:val="0036421F"/>
    <w:pPr>
      <w:spacing w:before="940" w:after="940" w:line="600" w:lineRule="exact"/>
    </w:pPr>
    <w:rPr>
      <w:rFonts w:ascii="Arial" w:eastAsiaTheme="majorEastAsia" w:hAnsi="Arial" w:cstheme="majorBidi"/>
      <w:bCs/>
      <w:color w:val="808080" w:themeColor="accent1"/>
      <w:sz w:val="56"/>
      <w:szCs w:val="28"/>
    </w:rPr>
  </w:style>
  <w:style w:type="character" w:customStyle="1" w:styleId="Heading5Char">
    <w:name w:val="Heading 5 Char"/>
    <w:basedOn w:val="DefaultParagraphFont"/>
    <w:link w:val="Heading5"/>
    <w:uiPriority w:val="4"/>
    <w:semiHidden/>
    <w:rsid w:val="00B670EF"/>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4"/>
    <w:semiHidden/>
    <w:rsid w:val="00B670EF"/>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4"/>
    <w:semiHidden/>
    <w:rsid w:val="00B670E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B670E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B670EF"/>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670EF"/>
    <w:pPr>
      <w:numPr>
        <w:numId w:val="1"/>
      </w:numPr>
    </w:pPr>
  </w:style>
  <w:style w:type="numbering" w:customStyle="1" w:styleId="Bullets">
    <w:name w:val="Bullets"/>
    <w:basedOn w:val="NoList"/>
    <w:rsid w:val="00E546A3"/>
    <w:pPr>
      <w:numPr>
        <w:numId w:val="2"/>
      </w:numPr>
    </w:pPr>
  </w:style>
  <w:style w:type="paragraph" w:customStyle="1" w:styleId="Introtext">
    <w:name w:val="Intro text"/>
    <w:basedOn w:val="Heading2"/>
    <w:uiPriority w:val="9"/>
    <w:qFormat/>
    <w:rsid w:val="0036421F"/>
    <w:pPr>
      <w:framePr w:w="9072" w:wrap="notBeside" w:vAnchor="text" w:hAnchor="text" w:y="1"/>
      <w:spacing w:before="120"/>
    </w:pPr>
    <w:rPr>
      <w:color w:val="808080" w:themeColor="accent1"/>
    </w:rPr>
  </w:style>
  <w:style w:type="table" w:customStyle="1" w:styleId="ATOTable">
    <w:name w:val="ATO Table"/>
    <w:basedOn w:val="TableNormal"/>
    <w:uiPriority w:val="99"/>
    <w:rsid w:val="00073B8D"/>
    <w:tblPr>
      <w:tblBorders>
        <w:top w:val="single" w:sz="4" w:space="0" w:color="666666"/>
        <w:bottom w:val="single" w:sz="4" w:space="0" w:color="666666"/>
        <w:insideH w:val="single" w:sz="4" w:space="0" w:color="666666"/>
      </w:tblBorders>
      <w:tblCellMar>
        <w:top w:w="57" w:type="dxa"/>
        <w:left w:w="0" w:type="dxa"/>
        <w:bottom w:w="170" w:type="dxa"/>
        <w:right w:w="0" w:type="dxa"/>
      </w:tblCellMar>
    </w:tblPr>
    <w:tblStylePr w:type="firstRow">
      <w:tblPr/>
      <w:tcPr>
        <w:shd w:val="clear" w:color="auto" w:fill="04545D"/>
      </w:tcPr>
    </w:tblStylePr>
  </w:style>
  <w:style w:type="character" w:customStyle="1" w:styleId="CaptionChar">
    <w:name w:val="Caption Char"/>
    <w:basedOn w:val="DefaultParagraphFont"/>
    <w:link w:val="Caption"/>
    <w:uiPriority w:val="14"/>
    <w:rsid w:val="0036421F"/>
    <w:rPr>
      <w:rFonts w:ascii="Arial" w:hAnsi="Arial"/>
      <w:b/>
      <w:bCs/>
      <w:color w:val="666666"/>
      <w:sz w:val="26"/>
      <w:szCs w:val="18"/>
    </w:rPr>
  </w:style>
  <w:style w:type="character" w:styleId="PlaceholderText">
    <w:name w:val="Placeholder Text"/>
    <w:basedOn w:val="DefaultParagraphFont"/>
    <w:uiPriority w:val="99"/>
    <w:semiHidden/>
    <w:rsid w:val="00B670EF"/>
    <w:rPr>
      <w:color w:val="808080"/>
    </w:rPr>
  </w:style>
  <w:style w:type="table" w:customStyle="1" w:styleId="ATOBox">
    <w:name w:val="ATO Box"/>
    <w:basedOn w:val="TableNormal"/>
    <w:uiPriority w:val="99"/>
    <w:rsid w:val="00B670EF"/>
    <w:tblPr>
      <w:tblCellMar>
        <w:top w:w="170" w:type="dxa"/>
        <w:left w:w="0" w:type="dxa"/>
        <w:bottom w:w="340" w:type="dxa"/>
        <w:right w:w="0" w:type="dxa"/>
      </w:tblCellMar>
    </w:tblPr>
    <w:tcPr>
      <w:shd w:val="clear" w:color="auto" w:fill="F0F2F8"/>
    </w:tcPr>
  </w:style>
  <w:style w:type="paragraph" w:customStyle="1" w:styleId="Boxtext">
    <w:name w:val="Box text"/>
    <w:basedOn w:val="Normal"/>
    <w:link w:val="BoxtextChar"/>
    <w:uiPriority w:val="24"/>
    <w:qFormat/>
    <w:rsid w:val="00B670EF"/>
    <w:pPr>
      <w:ind w:left="340" w:right="340"/>
    </w:pPr>
  </w:style>
  <w:style w:type="character" w:customStyle="1" w:styleId="BoxtextChar">
    <w:name w:val="Box text Char"/>
    <w:basedOn w:val="BodyTextChar"/>
    <w:link w:val="Boxtext"/>
    <w:uiPriority w:val="24"/>
    <w:rsid w:val="00B670EF"/>
    <w:rPr>
      <w:rFonts w:asciiTheme="minorHAnsi" w:hAnsiTheme="minorHAnsi"/>
      <w:color w:val="000000" w:themeColor="text1"/>
    </w:rPr>
  </w:style>
  <w:style w:type="paragraph" w:customStyle="1" w:styleId="Boxbulletedlist1">
    <w:name w:val="Box bulleted list 1"/>
    <w:basedOn w:val="Boxtext"/>
    <w:uiPriority w:val="25"/>
    <w:qFormat/>
    <w:rsid w:val="00E546A3"/>
    <w:pPr>
      <w:numPr>
        <w:ilvl w:val="3"/>
        <w:numId w:val="3"/>
      </w:numPr>
    </w:pPr>
  </w:style>
  <w:style w:type="paragraph" w:customStyle="1" w:styleId="Boxbulletedlist2">
    <w:name w:val="Box bulleted list 2"/>
    <w:basedOn w:val="Boxtext"/>
    <w:uiPriority w:val="25"/>
    <w:qFormat/>
    <w:rsid w:val="00E546A3"/>
    <w:pPr>
      <w:numPr>
        <w:ilvl w:val="4"/>
        <w:numId w:val="3"/>
      </w:numPr>
    </w:pPr>
  </w:style>
  <w:style w:type="paragraph" w:customStyle="1" w:styleId="Boxbulletedlist3">
    <w:name w:val="Box bulleted list 3"/>
    <w:basedOn w:val="Boxtext"/>
    <w:uiPriority w:val="25"/>
    <w:qFormat/>
    <w:rsid w:val="00E546A3"/>
    <w:pPr>
      <w:numPr>
        <w:ilvl w:val="5"/>
        <w:numId w:val="3"/>
      </w:numPr>
    </w:pPr>
  </w:style>
  <w:style w:type="paragraph" w:customStyle="1" w:styleId="Boxheading">
    <w:name w:val="Box heading"/>
    <w:basedOn w:val="Caption"/>
    <w:next w:val="Boxtext"/>
    <w:link w:val="BoxheadingChar"/>
    <w:uiPriority w:val="27"/>
    <w:qFormat/>
    <w:rsid w:val="00B670EF"/>
    <w:pPr>
      <w:keepNext w:val="0"/>
      <w:keepLines w:val="0"/>
      <w:spacing w:before="142" w:after="0"/>
      <w:ind w:left="340" w:right="340"/>
    </w:pPr>
  </w:style>
  <w:style w:type="character" w:customStyle="1" w:styleId="BoxheadingChar">
    <w:name w:val="Box heading Char"/>
    <w:basedOn w:val="CaptionChar"/>
    <w:link w:val="Boxheading"/>
    <w:uiPriority w:val="27"/>
    <w:rsid w:val="00B670EF"/>
    <w:rPr>
      <w:rFonts w:asciiTheme="majorHAnsi" w:hAnsiTheme="majorHAnsi"/>
      <w:b/>
      <w:bCs/>
      <w:color w:val="666666"/>
      <w:sz w:val="26"/>
      <w:szCs w:val="18"/>
    </w:rPr>
  </w:style>
  <w:style w:type="paragraph" w:customStyle="1" w:styleId="Bulletedlist1">
    <w:name w:val="Bulleted list 1"/>
    <w:basedOn w:val="Normal"/>
    <w:uiPriority w:val="1"/>
    <w:qFormat/>
    <w:rsid w:val="00E546A3"/>
    <w:pPr>
      <w:numPr>
        <w:numId w:val="3"/>
      </w:numPr>
      <w:spacing w:before="85"/>
    </w:pPr>
  </w:style>
  <w:style w:type="paragraph" w:customStyle="1" w:styleId="Bulletedlist2">
    <w:name w:val="Bulleted list 2"/>
    <w:basedOn w:val="Normal"/>
    <w:uiPriority w:val="1"/>
    <w:qFormat/>
    <w:rsid w:val="00E546A3"/>
    <w:pPr>
      <w:numPr>
        <w:ilvl w:val="1"/>
        <w:numId w:val="3"/>
      </w:numPr>
      <w:spacing w:before="85"/>
    </w:pPr>
  </w:style>
  <w:style w:type="paragraph" w:customStyle="1" w:styleId="Bulletedlist3">
    <w:name w:val="Bulleted list 3"/>
    <w:basedOn w:val="Normal"/>
    <w:uiPriority w:val="1"/>
    <w:qFormat/>
    <w:rsid w:val="00E546A3"/>
    <w:pPr>
      <w:numPr>
        <w:ilvl w:val="2"/>
        <w:numId w:val="3"/>
      </w:numPr>
      <w:spacing w:before="57"/>
    </w:pPr>
  </w:style>
  <w:style w:type="paragraph" w:customStyle="1" w:styleId="Calloutheading">
    <w:name w:val="Callout heading"/>
    <w:basedOn w:val="Normal"/>
    <w:next w:val="Callouttext"/>
    <w:link w:val="CalloutheadingChar"/>
    <w:uiPriority w:val="30"/>
    <w:qFormat/>
    <w:rsid w:val="00B670EF"/>
    <w:pPr>
      <w:keepNext/>
      <w:spacing w:before="227" w:line="300" w:lineRule="exact"/>
      <w:ind w:left="510" w:hanging="510"/>
    </w:pPr>
    <w:rPr>
      <w:b/>
      <w:sz w:val="26"/>
    </w:rPr>
  </w:style>
  <w:style w:type="character" w:customStyle="1" w:styleId="CalloutheadingChar">
    <w:name w:val="Callout heading Char"/>
    <w:basedOn w:val="BodyTextChar"/>
    <w:link w:val="Calloutheading"/>
    <w:uiPriority w:val="30"/>
    <w:rsid w:val="00B670EF"/>
    <w:rPr>
      <w:rFonts w:asciiTheme="minorHAnsi" w:hAnsiTheme="minorHAnsi"/>
      <w:b/>
      <w:color w:val="000000" w:themeColor="text1"/>
      <w:sz w:val="26"/>
    </w:rPr>
  </w:style>
  <w:style w:type="paragraph" w:customStyle="1" w:styleId="Callouttext">
    <w:name w:val="Callout text"/>
    <w:basedOn w:val="BodyText"/>
    <w:link w:val="CallouttextChar"/>
    <w:uiPriority w:val="29"/>
    <w:qFormat/>
    <w:rsid w:val="00B670EF"/>
    <w:pPr>
      <w:spacing w:before="85"/>
      <w:ind w:left="510"/>
    </w:pPr>
  </w:style>
  <w:style w:type="character" w:customStyle="1" w:styleId="CallouttextChar">
    <w:name w:val="Callout text Char"/>
    <w:basedOn w:val="BodyTextChar"/>
    <w:link w:val="Callouttext"/>
    <w:uiPriority w:val="29"/>
    <w:rsid w:val="00B670EF"/>
    <w:rPr>
      <w:rFonts w:asciiTheme="minorHAnsi" w:hAnsiTheme="minorHAnsi"/>
      <w:color w:val="000000" w:themeColor="text1"/>
    </w:rPr>
  </w:style>
  <w:style w:type="character" w:customStyle="1" w:styleId="Navy">
    <w:name w:val="Navy"/>
    <w:uiPriority w:val="99"/>
    <w:qFormat/>
    <w:rsid w:val="005176E8"/>
    <w:rPr>
      <w:rFonts w:ascii="Arial" w:hAnsi="Arial"/>
      <w:color w:val="F8F8F8" w:themeColor="background2"/>
    </w:rPr>
  </w:style>
  <w:style w:type="paragraph" w:customStyle="1" w:styleId="PageTitle">
    <w:name w:val="Page Title"/>
    <w:basedOn w:val="Title"/>
    <w:uiPriority w:val="36"/>
    <w:semiHidden/>
    <w:qFormat/>
    <w:rsid w:val="00B670EF"/>
    <w:pPr>
      <w:framePr w:wrap="around" w:hAnchor="text"/>
      <w:jc w:val="both"/>
    </w:pPr>
  </w:style>
  <w:style w:type="paragraph" w:customStyle="1" w:styleId="Tabletext">
    <w:name w:val="Table text"/>
    <w:basedOn w:val="Normal"/>
    <w:uiPriority w:val="19"/>
    <w:qFormat/>
    <w:rsid w:val="00B670EF"/>
    <w:pPr>
      <w:spacing w:before="120"/>
      <w:ind w:left="227" w:right="227"/>
    </w:pPr>
  </w:style>
  <w:style w:type="paragraph" w:customStyle="1" w:styleId="Tablebulletedlist1">
    <w:name w:val="Table bulleted list 1"/>
    <w:basedOn w:val="Tabletext"/>
    <w:uiPriority w:val="20"/>
    <w:qFormat/>
    <w:rsid w:val="00E546A3"/>
    <w:pPr>
      <w:numPr>
        <w:ilvl w:val="6"/>
        <w:numId w:val="3"/>
      </w:numPr>
      <w:spacing w:before="85"/>
    </w:pPr>
  </w:style>
  <w:style w:type="paragraph" w:customStyle="1" w:styleId="Tablebulletedlist2">
    <w:name w:val="Table bulleted list 2"/>
    <w:basedOn w:val="Tabletext"/>
    <w:uiPriority w:val="20"/>
    <w:qFormat/>
    <w:rsid w:val="00E546A3"/>
    <w:pPr>
      <w:numPr>
        <w:ilvl w:val="7"/>
        <w:numId w:val="3"/>
      </w:numPr>
      <w:spacing w:before="85"/>
    </w:pPr>
  </w:style>
  <w:style w:type="paragraph" w:customStyle="1" w:styleId="Tablebulletedlist3">
    <w:name w:val="Table bulleted list 3"/>
    <w:basedOn w:val="Tabletext"/>
    <w:uiPriority w:val="20"/>
    <w:qFormat/>
    <w:rsid w:val="00E546A3"/>
    <w:pPr>
      <w:numPr>
        <w:ilvl w:val="8"/>
        <w:numId w:val="3"/>
      </w:numPr>
      <w:spacing w:before="57"/>
    </w:pPr>
  </w:style>
  <w:style w:type="paragraph" w:customStyle="1" w:styleId="Tablecaption">
    <w:name w:val="Table caption"/>
    <w:basedOn w:val="Caption"/>
    <w:next w:val="Normal"/>
    <w:uiPriority w:val="14"/>
    <w:qFormat/>
    <w:rsid w:val="00B670EF"/>
  </w:style>
  <w:style w:type="paragraph" w:customStyle="1" w:styleId="Tableheading">
    <w:name w:val="Table heading"/>
    <w:basedOn w:val="Tabletext"/>
    <w:uiPriority w:val="23"/>
    <w:qFormat/>
    <w:rsid w:val="00B670EF"/>
    <w:pPr>
      <w:keepNext/>
      <w:keepLines/>
    </w:pPr>
    <w:rPr>
      <w:b/>
      <w:color w:val="FFFFFF" w:themeColor="background1"/>
    </w:rPr>
  </w:style>
  <w:style w:type="character" w:customStyle="1" w:styleId="Classification">
    <w:name w:val="Classification"/>
    <w:uiPriority w:val="49"/>
    <w:qFormat/>
    <w:rsid w:val="0036421F"/>
    <w:rPr>
      <w:rFonts w:ascii="Arial" w:hAnsi="Arial"/>
      <w:b/>
      <w:color w:val="666666"/>
      <w:sz w:val="22"/>
      <w:lang w:val="en-US"/>
    </w:rPr>
  </w:style>
  <w:style w:type="paragraph" w:customStyle="1" w:styleId="TOCDivider">
    <w:name w:val="TOC Divider"/>
    <w:next w:val="Normal"/>
    <w:uiPriority w:val="39"/>
    <w:qFormat/>
    <w:rsid w:val="0036421F"/>
    <w:pPr>
      <w:spacing w:before="284" w:line="840" w:lineRule="exact"/>
      <w:ind w:left="567" w:right="567"/>
    </w:pPr>
    <w:rPr>
      <w:rFonts w:ascii="Arial" w:hAnsi="Arial"/>
      <w:color w:val="3685F7" w:themeColor="accent3"/>
      <w:sz w:val="80"/>
    </w:rPr>
  </w:style>
  <w:style w:type="character" w:styleId="Hyperlink">
    <w:name w:val="Hyperlink"/>
    <w:basedOn w:val="DefaultParagraphFont"/>
    <w:uiPriority w:val="99"/>
    <w:rsid w:val="0006646A"/>
    <w:rPr>
      <w:color w:val="3685F7" w:themeColor="hyperlink"/>
      <w:u w:val="single"/>
    </w:rPr>
  </w:style>
  <w:style w:type="paragraph" w:customStyle="1" w:styleId="ClassificationInfo">
    <w:name w:val="Classification Info"/>
    <w:uiPriority w:val="99"/>
    <w:rsid w:val="005975AA"/>
    <w:pPr>
      <w:framePr w:wrap="around" w:vAnchor="page" w:hAnchor="page" w:x="738" w:y="15849"/>
      <w:spacing w:line="220" w:lineRule="exact"/>
    </w:pPr>
    <w:rPr>
      <w:rFonts w:asciiTheme="minorHAnsi" w:hAnsiTheme="minorHAnsi"/>
      <w:b/>
      <w:caps/>
      <w:color w:val="FFFFFF" w:themeColor="background1"/>
      <w:sz w:val="22"/>
      <w:lang w:val="en-US"/>
    </w:rPr>
  </w:style>
  <w:style w:type="paragraph" w:customStyle="1" w:styleId="InternalExternal">
    <w:name w:val="Internal/External"/>
    <w:uiPriority w:val="99"/>
    <w:rsid w:val="005975AA"/>
    <w:pPr>
      <w:framePr w:wrap="around" w:vAnchor="page" w:hAnchor="page" w:x="738" w:y="16132"/>
      <w:spacing w:line="160" w:lineRule="exact"/>
    </w:pPr>
    <w:rPr>
      <w:rFonts w:asciiTheme="minorHAnsi" w:hAnsiTheme="minorHAnsi"/>
      <w:caps/>
      <w:color w:val="FFFFFF" w:themeColor="background1"/>
      <w:sz w:val="16"/>
      <w:lang w:val="en-US"/>
    </w:rPr>
  </w:style>
  <w:style w:type="paragraph" w:customStyle="1" w:styleId="Default">
    <w:name w:val="Default"/>
    <w:link w:val="DefaultChar"/>
    <w:rsid w:val="00C83C7C"/>
    <w:pPr>
      <w:autoSpaceDE w:val="0"/>
      <w:autoSpaceDN w:val="0"/>
      <w:adjustRightInd w:val="0"/>
    </w:pPr>
    <w:rPr>
      <w:rFonts w:ascii="Arial" w:hAnsi="Arial" w:cs="Arial"/>
      <w:color w:val="000000"/>
      <w:sz w:val="24"/>
      <w:szCs w:val="24"/>
    </w:rPr>
  </w:style>
  <w:style w:type="character" w:customStyle="1" w:styleId="DefaultChar">
    <w:name w:val="Default Char"/>
    <w:basedOn w:val="DefaultParagraphFont"/>
    <w:link w:val="Default"/>
    <w:rsid w:val="00C83C7C"/>
    <w:rPr>
      <w:rFonts w:ascii="Arial" w:hAnsi="Arial" w:cs="Arial"/>
      <w:color w:val="000000"/>
      <w:sz w:val="24"/>
      <w:szCs w:val="24"/>
    </w:rPr>
  </w:style>
  <w:style w:type="paragraph" w:customStyle="1" w:styleId="Bullet">
    <w:name w:val="Bullet"/>
    <w:basedOn w:val="Normal"/>
    <w:link w:val="BulletChar"/>
    <w:rsid w:val="00C83C7C"/>
    <w:pPr>
      <w:numPr>
        <w:numId w:val="4"/>
      </w:numPr>
      <w:spacing w:after="200" w:line="276" w:lineRule="auto"/>
    </w:pPr>
    <w:rPr>
      <w:sz w:val="20"/>
    </w:rPr>
  </w:style>
  <w:style w:type="character" w:customStyle="1" w:styleId="BulletChar">
    <w:name w:val="Bullet Char"/>
    <w:basedOn w:val="DefaultParagraphFont"/>
    <w:link w:val="Bullet"/>
    <w:rsid w:val="00C83C7C"/>
    <w:rPr>
      <w:rFonts w:asciiTheme="minorHAnsi" w:hAnsiTheme="minorHAnsi"/>
      <w:color w:val="000000" w:themeColor="text1"/>
    </w:rPr>
  </w:style>
  <w:style w:type="paragraph" w:customStyle="1" w:styleId="Dash">
    <w:name w:val="Dash"/>
    <w:basedOn w:val="Normal"/>
    <w:rsid w:val="00C83C7C"/>
    <w:pPr>
      <w:numPr>
        <w:ilvl w:val="1"/>
        <w:numId w:val="4"/>
      </w:numPr>
      <w:spacing w:after="200" w:line="276" w:lineRule="auto"/>
    </w:pPr>
    <w:rPr>
      <w:sz w:val="20"/>
    </w:rPr>
  </w:style>
  <w:style w:type="paragraph" w:customStyle="1" w:styleId="DoubleDot">
    <w:name w:val="Double Dot"/>
    <w:basedOn w:val="Normal"/>
    <w:rsid w:val="00C83C7C"/>
    <w:pPr>
      <w:numPr>
        <w:ilvl w:val="2"/>
        <w:numId w:val="4"/>
      </w:numPr>
      <w:spacing w:after="200" w:line="276" w:lineRule="auto"/>
    </w:pPr>
    <w:rPr>
      <w:sz w:val="20"/>
    </w:rPr>
  </w:style>
  <w:style w:type="table" w:styleId="LightShading-Accent3">
    <w:name w:val="Light Shading Accent 3"/>
    <w:basedOn w:val="TableNormal"/>
    <w:uiPriority w:val="60"/>
    <w:rsid w:val="00C83C7C"/>
    <w:rPr>
      <w:color w:val="085DD8" w:themeColor="accent3" w:themeShade="BF"/>
    </w:rPr>
    <w:tblPr>
      <w:tblStyleRowBandSize w:val="1"/>
      <w:tblStyleColBandSize w:val="1"/>
      <w:tblBorders>
        <w:top w:val="single" w:sz="8" w:space="0" w:color="3685F7" w:themeColor="accent3"/>
        <w:bottom w:val="single" w:sz="8" w:space="0" w:color="3685F7" w:themeColor="accent3"/>
      </w:tblBorders>
    </w:tblPr>
    <w:tblStylePr w:type="fir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la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3" w:themeFillTint="3F"/>
      </w:tcPr>
    </w:tblStylePr>
    <w:tblStylePr w:type="band1Horz">
      <w:tblPr/>
      <w:tcPr>
        <w:tcBorders>
          <w:left w:val="nil"/>
          <w:right w:val="nil"/>
          <w:insideH w:val="nil"/>
          <w:insideV w:val="nil"/>
        </w:tcBorders>
        <w:shd w:val="clear" w:color="auto" w:fill="CDE0FD" w:themeFill="accent3" w:themeFillTint="3F"/>
      </w:tcPr>
    </w:tblStylePr>
  </w:style>
  <w:style w:type="character" w:styleId="FootnoteReference0">
    <w:name w:val="footnote reference"/>
    <w:basedOn w:val="DefaultParagraphFont"/>
    <w:uiPriority w:val="99"/>
    <w:semiHidden/>
    <w:rsid w:val="00C83C7C"/>
    <w:rPr>
      <w:vertAlign w:val="superscript"/>
    </w:rPr>
  </w:style>
  <w:style w:type="character" w:styleId="EndnoteReference">
    <w:name w:val="endnote reference"/>
    <w:basedOn w:val="DefaultParagraphFont"/>
    <w:uiPriority w:val="99"/>
    <w:semiHidden/>
    <w:rsid w:val="00C83C7C"/>
    <w:rPr>
      <w:vertAlign w:val="superscript"/>
    </w:rPr>
  </w:style>
  <w:style w:type="character" w:styleId="CommentReference">
    <w:name w:val="annotation reference"/>
    <w:basedOn w:val="DefaultParagraphFont"/>
    <w:uiPriority w:val="99"/>
    <w:semiHidden/>
    <w:rsid w:val="00C83C7C"/>
    <w:rPr>
      <w:sz w:val="16"/>
      <w:szCs w:val="16"/>
    </w:rPr>
  </w:style>
  <w:style w:type="paragraph" w:styleId="CommentText">
    <w:name w:val="annotation text"/>
    <w:basedOn w:val="Normal"/>
    <w:link w:val="CommentTextChar"/>
    <w:uiPriority w:val="99"/>
    <w:semiHidden/>
    <w:rsid w:val="00C83C7C"/>
    <w:pPr>
      <w:spacing w:line="240" w:lineRule="auto"/>
    </w:pPr>
    <w:rPr>
      <w:sz w:val="20"/>
    </w:rPr>
  </w:style>
  <w:style w:type="character" w:customStyle="1" w:styleId="CommentTextChar">
    <w:name w:val="Comment Text Char"/>
    <w:basedOn w:val="DefaultParagraphFont"/>
    <w:link w:val="CommentText"/>
    <w:uiPriority w:val="99"/>
    <w:semiHidden/>
    <w:rsid w:val="00C83C7C"/>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rsid w:val="00C83C7C"/>
    <w:rPr>
      <w:b/>
      <w:bCs/>
    </w:rPr>
  </w:style>
  <w:style w:type="character" w:customStyle="1" w:styleId="CommentSubjectChar">
    <w:name w:val="Comment Subject Char"/>
    <w:basedOn w:val="CommentTextChar"/>
    <w:link w:val="CommentSubject"/>
    <w:uiPriority w:val="99"/>
    <w:semiHidden/>
    <w:rsid w:val="00C83C7C"/>
    <w:rPr>
      <w:rFonts w:asciiTheme="minorHAnsi" w:hAnsiTheme="minorHAnsi"/>
      <w:b/>
      <w:bCs/>
      <w:color w:val="000000" w:themeColor="text1"/>
    </w:rPr>
  </w:style>
  <w:style w:type="paragraph" w:styleId="Revision">
    <w:name w:val="Revision"/>
    <w:hidden/>
    <w:uiPriority w:val="99"/>
    <w:semiHidden/>
    <w:rsid w:val="00C83C7C"/>
    <w:rPr>
      <w:rFonts w:asciiTheme="minorHAnsi" w:hAnsiTheme="minorHAnsi"/>
      <w:color w:val="000000" w:themeColor="text1"/>
      <w:sz w:val="22"/>
    </w:rPr>
  </w:style>
  <w:style w:type="paragraph" w:styleId="ListParagraph">
    <w:name w:val="List Paragraph"/>
    <w:basedOn w:val="Normal"/>
    <w:uiPriority w:val="34"/>
    <w:qFormat/>
    <w:rsid w:val="00C83C7C"/>
    <w:pPr>
      <w:spacing w:before="0" w:after="200" w:line="276" w:lineRule="auto"/>
      <w:ind w:left="720"/>
      <w:contextualSpacing/>
    </w:pPr>
    <w:rPr>
      <w:rFonts w:cstheme="minorBidi"/>
      <w:color w:val="auto"/>
      <w:szCs w:val="22"/>
    </w:rPr>
  </w:style>
  <w:style w:type="paragraph" w:customStyle="1" w:styleId="Footnotereference">
    <w:name w:val="Footnote referenc e"/>
    <w:basedOn w:val="ListParagraph"/>
    <w:rsid w:val="00C83C7C"/>
    <w:pPr>
      <w:numPr>
        <w:numId w:val="5"/>
      </w:numPr>
    </w:pPr>
  </w:style>
  <w:style w:type="character" w:styleId="FollowedHyperlink">
    <w:name w:val="FollowedHyperlink"/>
    <w:basedOn w:val="DefaultParagraphFont"/>
    <w:uiPriority w:val="99"/>
    <w:semiHidden/>
    <w:rsid w:val="00C83C7C"/>
    <w:rPr>
      <w:color w:val="B2B2B2" w:themeColor="followedHyperlink"/>
      <w:u w:val="single"/>
    </w:rPr>
  </w:style>
  <w:style w:type="table" w:customStyle="1" w:styleId="LightShading-Accent31">
    <w:name w:val="Light Shading - Accent 31"/>
    <w:basedOn w:val="TableNormal"/>
    <w:next w:val="LightShading-Accent3"/>
    <w:uiPriority w:val="60"/>
    <w:rsid w:val="00C83C7C"/>
    <w:rPr>
      <w:color w:val="085DD8" w:themeColor="accent3" w:themeShade="BF"/>
    </w:rPr>
    <w:tblPr>
      <w:tblStyleRowBandSize w:val="1"/>
      <w:tblStyleColBandSize w:val="1"/>
      <w:tblBorders>
        <w:top w:val="single" w:sz="8" w:space="0" w:color="3685F7" w:themeColor="accent3"/>
        <w:bottom w:val="single" w:sz="8" w:space="0" w:color="3685F7" w:themeColor="accent3"/>
      </w:tblBorders>
    </w:tblPr>
    <w:tblStylePr w:type="fir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la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3" w:themeFillTint="3F"/>
      </w:tcPr>
    </w:tblStylePr>
    <w:tblStylePr w:type="band1Horz">
      <w:tblPr/>
      <w:tcPr>
        <w:tcBorders>
          <w:left w:val="nil"/>
          <w:right w:val="nil"/>
          <w:insideH w:val="nil"/>
          <w:insideV w:val="nil"/>
        </w:tcBorders>
        <w:shd w:val="clear" w:color="auto" w:fill="CDE0FD" w:themeFill="accent3" w:themeFillTint="3F"/>
      </w:tcPr>
    </w:tblStylePr>
  </w:style>
  <w:style w:type="paragraph" w:customStyle="1" w:styleId="paragraphsub">
    <w:name w:val="paragraphsub"/>
    <w:basedOn w:val="Normal"/>
    <w:rsid w:val="00C83C7C"/>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paragraph">
    <w:name w:val="paragraph"/>
    <w:basedOn w:val="Normal"/>
    <w:rsid w:val="00C83C7C"/>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styleId="NormalWeb">
    <w:name w:val="Normal (Web)"/>
    <w:basedOn w:val="Normal"/>
    <w:uiPriority w:val="99"/>
    <w:semiHidden/>
    <w:unhideWhenUsed/>
    <w:rsid w:val="00C83C7C"/>
    <w:pPr>
      <w:spacing w:before="100" w:beforeAutospacing="1" w:after="100" w:afterAutospacing="1" w:line="240" w:lineRule="auto"/>
    </w:pPr>
    <w:rPr>
      <w:rFonts w:ascii="Times New Roman" w:eastAsiaTheme="minorEastAsia" w:hAnsi="Times New Roman"/>
      <w:color w:val="auto"/>
      <w:sz w:val="24"/>
      <w:szCs w:val="24"/>
      <w:lang w:eastAsia="en-AU"/>
    </w:rPr>
  </w:style>
  <w:style w:type="table" w:styleId="LightShading-Accent4">
    <w:name w:val="Light Shading Accent 4"/>
    <w:basedOn w:val="TableNormal"/>
    <w:uiPriority w:val="60"/>
    <w:rsid w:val="00C83C7C"/>
    <w:rPr>
      <w:color w:val="085DD8" w:themeColor="accent4" w:themeShade="BF"/>
    </w:rPr>
    <w:tblPr>
      <w:tblStyleRowBandSize w:val="1"/>
      <w:tblStyleColBandSize w:val="1"/>
      <w:tblBorders>
        <w:top w:val="single" w:sz="8" w:space="0" w:color="3685F7" w:themeColor="accent4"/>
        <w:bottom w:val="single" w:sz="8" w:space="0" w:color="3685F7" w:themeColor="accent4"/>
      </w:tblBorders>
    </w:tblPr>
    <w:tblStylePr w:type="firstRow">
      <w:pPr>
        <w:spacing w:before="0" w:after="0" w:line="240" w:lineRule="auto"/>
      </w:pPr>
      <w:rPr>
        <w:b/>
        <w:bCs/>
      </w:rPr>
      <w:tblPr/>
      <w:tcPr>
        <w:tcBorders>
          <w:top w:val="single" w:sz="8" w:space="0" w:color="3685F7" w:themeColor="accent4"/>
          <w:left w:val="nil"/>
          <w:bottom w:val="single" w:sz="8" w:space="0" w:color="3685F7" w:themeColor="accent4"/>
          <w:right w:val="nil"/>
          <w:insideH w:val="nil"/>
          <w:insideV w:val="nil"/>
        </w:tcBorders>
      </w:tcPr>
    </w:tblStylePr>
    <w:tblStylePr w:type="lastRow">
      <w:pPr>
        <w:spacing w:before="0" w:after="0" w:line="240" w:lineRule="auto"/>
      </w:pPr>
      <w:rPr>
        <w:b/>
        <w:bCs/>
      </w:rPr>
      <w:tblPr/>
      <w:tcPr>
        <w:tcBorders>
          <w:top w:val="single" w:sz="8" w:space="0" w:color="3685F7" w:themeColor="accent4"/>
          <w:left w:val="nil"/>
          <w:bottom w:val="single" w:sz="8" w:space="0" w:color="3685F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4" w:themeFillTint="3F"/>
      </w:tcPr>
    </w:tblStylePr>
    <w:tblStylePr w:type="band1Horz">
      <w:tblPr/>
      <w:tcPr>
        <w:tcBorders>
          <w:left w:val="nil"/>
          <w:right w:val="nil"/>
          <w:insideH w:val="nil"/>
          <w:insideV w:val="nil"/>
        </w:tcBorders>
        <w:shd w:val="clear" w:color="auto" w:fill="CDE0FD" w:themeFill="accent4" w:themeFillTint="3F"/>
      </w:tcPr>
    </w:tblStylePr>
  </w:style>
  <w:style w:type="character" w:customStyle="1" w:styleId="t10">
    <w:name w:val="t10"/>
    <w:basedOn w:val="DefaultParagraphFont"/>
    <w:rsid w:val="00C83C7C"/>
  </w:style>
  <w:style w:type="table" w:styleId="LightShading-Accent6">
    <w:name w:val="Light Shading Accent 6"/>
    <w:basedOn w:val="TableNormal"/>
    <w:uiPriority w:val="60"/>
    <w:rsid w:val="00C83C7C"/>
    <w:rPr>
      <w:color w:val="085DD8" w:themeColor="accent6" w:themeShade="BF"/>
    </w:rPr>
    <w:tblPr>
      <w:tblStyleRowBandSize w:val="1"/>
      <w:tblStyleColBandSize w:val="1"/>
      <w:tblBorders>
        <w:top w:val="single" w:sz="8" w:space="0" w:color="3685F7" w:themeColor="accent6"/>
        <w:bottom w:val="single" w:sz="8" w:space="0" w:color="3685F7" w:themeColor="accent6"/>
      </w:tblBorders>
    </w:tblPr>
    <w:tblStylePr w:type="firstRow">
      <w:pPr>
        <w:spacing w:before="0" w:after="0" w:line="240" w:lineRule="auto"/>
      </w:pPr>
      <w:rPr>
        <w:b/>
        <w:bCs/>
      </w:rPr>
      <w:tblPr/>
      <w:tcPr>
        <w:tcBorders>
          <w:top w:val="single" w:sz="8" w:space="0" w:color="3685F7" w:themeColor="accent6"/>
          <w:left w:val="nil"/>
          <w:bottom w:val="single" w:sz="8" w:space="0" w:color="3685F7" w:themeColor="accent6"/>
          <w:right w:val="nil"/>
          <w:insideH w:val="nil"/>
          <w:insideV w:val="nil"/>
        </w:tcBorders>
      </w:tcPr>
    </w:tblStylePr>
    <w:tblStylePr w:type="lastRow">
      <w:pPr>
        <w:spacing w:before="0" w:after="0" w:line="240" w:lineRule="auto"/>
      </w:pPr>
      <w:rPr>
        <w:b/>
        <w:bCs/>
      </w:rPr>
      <w:tblPr/>
      <w:tcPr>
        <w:tcBorders>
          <w:top w:val="single" w:sz="8" w:space="0" w:color="3685F7" w:themeColor="accent6"/>
          <w:left w:val="nil"/>
          <w:bottom w:val="single" w:sz="8" w:space="0" w:color="3685F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6" w:themeFillTint="3F"/>
      </w:tcPr>
    </w:tblStylePr>
    <w:tblStylePr w:type="band1Horz">
      <w:tblPr/>
      <w:tcPr>
        <w:tcBorders>
          <w:left w:val="nil"/>
          <w:right w:val="nil"/>
          <w:insideH w:val="nil"/>
          <w:insideV w:val="nil"/>
        </w:tcBorders>
        <w:shd w:val="clear" w:color="auto" w:fill="CDE0FD" w:themeFill="accent6" w:themeFillTint="3F"/>
      </w:tcPr>
    </w:tblStylePr>
  </w:style>
  <w:style w:type="table" w:styleId="ListTable3-Accent3">
    <w:name w:val="List Table 3 Accent 3"/>
    <w:basedOn w:val="TableNormal"/>
    <w:uiPriority w:val="48"/>
    <w:rsid w:val="00877F26"/>
    <w:tblPr>
      <w:tblStyleRowBandSize w:val="1"/>
      <w:tblStyleColBandSize w:val="1"/>
      <w:tblBorders>
        <w:top w:val="single" w:sz="4" w:space="0" w:color="3685F7" w:themeColor="accent3"/>
        <w:left w:val="single" w:sz="4" w:space="0" w:color="3685F7" w:themeColor="accent3"/>
        <w:bottom w:val="single" w:sz="4" w:space="0" w:color="3685F7" w:themeColor="accent3"/>
        <w:right w:val="single" w:sz="4" w:space="0" w:color="3685F7" w:themeColor="accent3"/>
      </w:tblBorders>
    </w:tblPr>
    <w:tblStylePr w:type="firstRow">
      <w:rPr>
        <w:b/>
        <w:bCs/>
        <w:color w:val="FFFFFF" w:themeColor="background1"/>
      </w:rPr>
      <w:tblPr/>
      <w:tcPr>
        <w:shd w:val="clear" w:color="auto" w:fill="3685F7" w:themeFill="accent3"/>
      </w:tcPr>
    </w:tblStylePr>
    <w:tblStylePr w:type="lastRow">
      <w:rPr>
        <w:b/>
        <w:bCs/>
      </w:rPr>
      <w:tblPr/>
      <w:tcPr>
        <w:tcBorders>
          <w:top w:val="double" w:sz="4" w:space="0" w:color="3685F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85F7" w:themeColor="accent3"/>
          <w:right w:val="single" w:sz="4" w:space="0" w:color="3685F7" w:themeColor="accent3"/>
        </w:tcBorders>
      </w:tcPr>
    </w:tblStylePr>
    <w:tblStylePr w:type="band1Horz">
      <w:tblPr/>
      <w:tcPr>
        <w:tcBorders>
          <w:top w:val="single" w:sz="4" w:space="0" w:color="3685F7" w:themeColor="accent3"/>
          <w:bottom w:val="single" w:sz="4" w:space="0" w:color="3685F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85F7" w:themeColor="accent3"/>
          <w:left w:val="nil"/>
        </w:tcBorders>
      </w:tcPr>
    </w:tblStylePr>
    <w:tblStylePr w:type="swCell">
      <w:tblPr/>
      <w:tcPr>
        <w:tcBorders>
          <w:top w:val="double" w:sz="4" w:space="0" w:color="3685F7" w:themeColor="accent3"/>
          <w:right w:val="nil"/>
        </w:tcBorders>
      </w:tcPr>
    </w:tblStylePr>
  </w:style>
  <w:style w:type="table" w:styleId="GridTable4-Accent6">
    <w:name w:val="Grid Table 4 Accent 6"/>
    <w:basedOn w:val="TableNormal"/>
    <w:uiPriority w:val="49"/>
    <w:rsid w:val="00877F26"/>
    <w:tblPr>
      <w:tblStyleRowBandSize w:val="1"/>
      <w:tblStyleColBandSize w:val="1"/>
      <w:tblBorders>
        <w:top w:val="single" w:sz="4" w:space="0" w:color="86B5FA" w:themeColor="accent6" w:themeTint="99"/>
        <w:left w:val="single" w:sz="4" w:space="0" w:color="86B5FA" w:themeColor="accent6" w:themeTint="99"/>
        <w:bottom w:val="single" w:sz="4" w:space="0" w:color="86B5FA" w:themeColor="accent6" w:themeTint="99"/>
        <w:right w:val="single" w:sz="4" w:space="0" w:color="86B5FA" w:themeColor="accent6" w:themeTint="99"/>
        <w:insideH w:val="single" w:sz="4" w:space="0" w:color="86B5FA" w:themeColor="accent6" w:themeTint="99"/>
        <w:insideV w:val="single" w:sz="4" w:space="0" w:color="86B5FA" w:themeColor="accent6" w:themeTint="99"/>
      </w:tblBorders>
    </w:tblPr>
    <w:tblStylePr w:type="firstRow">
      <w:rPr>
        <w:b/>
        <w:bCs/>
        <w:color w:val="FFFFFF" w:themeColor="background1"/>
      </w:rPr>
      <w:tblPr/>
      <w:tcPr>
        <w:tcBorders>
          <w:top w:val="single" w:sz="4" w:space="0" w:color="3685F7" w:themeColor="accent6"/>
          <w:left w:val="single" w:sz="4" w:space="0" w:color="3685F7" w:themeColor="accent6"/>
          <w:bottom w:val="single" w:sz="4" w:space="0" w:color="3685F7" w:themeColor="accent6"/>
          <w:right w:val="single" w:sz="4" w:space="0" w:color="3685F7" w:themeColor="accent6"/>
          <w:insideH w:val="nil"/>
          <w:insideV w:val="nil"/>
        </w:tcBorders>
        <w:shd w:val="clear" w:color="auto" w:fill="3685F7" w:themeFill="accent6"/>
      </w:tcPr>
    </w:tblStylePr>
    <w:tblStylePr w:type="lastRow">
      <w:rPr>
        <w:b/>
        <w:bCs/>
      </w:rPr>
      <w:tblPr/>
      <w:tcPr>
        <w:tcBorders>
          <w:top w:val="double" w:sz="4" w:space="0" w:color="3685F7" w:themeColor="accent6"/>
        </w:tcBorders>
      </w:tcPr>
    </w:tblStylePr>
    <w:tblStylePr w:type="firstCol">
      <w:rPr>
        <w:b/>
        <w:bCs/>
      </w:rPr>
    </w:tblStylePr>
    <w:tblStylePr w:type="lastCol">
      <w:rPr>
        <w:b/>
        <w:bCs/>
      </w:rPr>
    </w:tblStylePr>
    <w:tblStylePr w:type="band1Vert">
      <w:tblPr/>
      <w:tcPr>
        <w:shd w:val="clear" w:color="auto" w:fill="D6E6FD" w:themeFill="accent6" w:themeFillTint="33"/>
      </w:tcPr>
    </w:tblStylePr>
    <w:tblStylePr w:type="band1Horz">
      <w:tblPr/>
      <w:tcPr>
        <w:shd w:val="clear" w:color="auto" w:fill="D6E6FD"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52060">
      <w:bodyDiv w:val="1"/>
      <w:marLeft w:val="0"/>
      <w:marRight w:val="0"/>
      <w:marTop w:val="0"/>
      <w:marBottom w:val="0"/>
      <w:divBdr>
        <w:top w:val="none" w:sz="0" w:space="0" w:color="auto"/>
        <w:left w:val="none" w:sz="0" w:space="0" w:color="auto"/>
        <w:bottom w:val="none" w:sz="0" w:space="0" w:color="auto"/>
        <w:right w:val="none" w:sz="0" w:space="0" w:color="auto"/>
      </w:divBdr>
    </w:div>
    <w:div w:id="201291195">
      <w:bodyDiv w:val="1"/>
      <w:marLeft w:val="0"/>
      <w:marRight w:val="0"/>
      <w:marTop w:val="0"/>
      <w:marBottom w:val="0"/>
      <w:divBdr>
        <w:top w:val="none" w:sz="0" w:space="0" w:color="auto"/>
        <w:left w:val="none" w:sz="0" w:space="0" w:color="auto"/>
        <w:bottom w:val="none" w:sz="0" w:space="0" w:color="auto"/>
        <w:right w:val="none" w:sz="0" w:space="0" w:color="auto"/>
      </w:divBdr>
      <w:divsChild>
        <w:div w:id="566959749">
          <w:marLeft w:val="144"/>
          <w:marRight w:val="0"/>
          <w:marTop w:val="0"/>
          <w:marBottom w:val="120"/>
          <w:divBdr>
            <w:top w:val="none" w:sz="0" w:space="0" w:color="auto"/>
            <w:left w:val="none" w:sz="0" w:space="0" w:color="auto"/>
            <w:bottom w:val="none" w:sz="0" w:space="0" w:color="auto"/>
            <w:right w:val="none" w:sz="0" w:space="0" w:color="auto"/>
          </w:divBdr>
        </w:div>
        <w:div w:id="2018801866">
          <w:marLeft w:val="144"/>
          <w:marRight w:val="0"/>
          <w:marTop w:val="0"/>
          <w:marBottom w:val="120"/>
          <w:divBdr>
            <w:top w:val="none" w:sz="0" w:space="0" w:color="auto"/>
            <w:left w:val="none" w:sz="0" w:space="0" w:color="auto"/>
            <w:bottom w:val="none" w:sz="0" w:space="0" w:color="auto"/>
            <w:right w:val="none" w:sz="0" w:space="0" w:color="auto"/>
          </w:divBdr>
        </w:div>
        <w:div w:id="70398516">
          <w:marLeft w:val="144"/>
          <w:marRight w:val="0"/>
          <w:marTop w:val="0"/>
          <w:marBottom w:val="120"/>
          <w:divBdr>
            <w:top w:val="none" w:sz="0" w:space="0" w:color="auto"/>
            <w:left w:val="none" w:sz="0" w:space="0" w:color="auto"/>
            <w:bottom w:val="none" w:sz="0" w:space="0" w:color="auto"/>
            <w:right w:val="none" w:sz="0" w:space="0" w:color="auto"/>
          </w:divBdr>
        </w:div>
      </w:divsChild>
    </w:div>
    <w:div w:id="222105987">
      <w:bodyDiv w:val="1"/>
      <w:marLeft w:val="0"/>
      <w:marRight w:val="0"/>
      <w:marTop w:val="0"/>
      <w:marBottom w:val="0"/>
      <w:divBdr>
        <w:top w:val="none" w:sz="0" w:space="0" w:color="auto"/>
        <w:left w:val="none" w:sz="0" w:space="0" w:color="auto"/>
        <w:bottom w:val="none" w:sz="0" w:space="0" w:color="auto"/>
        <w:right w:val="none" w:sz="0" w:space="0" w:color="auto"/>
      </w:divBdr>
    </w:div>
    <w:div w:id="247813056">
      <w:bodyDiv w:val="1"/>
      <w:marLeft w:val="0"/>
      <w:marRight w:val="0"/>
      <w:marTop w:val="0"/>
      <w:marBottom w:val="0"/>
      <w:divBdr>
        <w:top w:val="none" w:sz="0" w:space="0" w:color="auto"/>
        <w:left w:val="none" w:sz="0" w:space="0" w:color="auto"/>
        <w:bottom w:val="none" w:sz="0" w:space="0" w:color="auto"/>
        <w:right w:val="none" w:sz="0" w:space="0" w:color="auto"/>
      </w:divBdr>
    </w:div>
    <w:div w:id="358047851">
      <w:bodyDiv w:val="1"/>
      <w:marLeft w:val="0"/>
      <w:marRight w:val="0"/>
      <w:marTop w:val="0"/>
      <w:marBottom w:val="0"/>
      <w:divBdr>
        <w:top w:val="none" w:sz="0" w:space="0" w:color="auto"/>
        <w:left w:val="none" w:sz="0" w:space="0" w:color="auto"/>
        <w:bottom w:val="none" w:sz="0" w:space="0" w:color="auto"/>
        <w:right w:val="none" w:sz="0" w:space="0" w:color="auto"/>
      </w:divBdr>
      <w:divsChild>
        <w:div w:id="1653872616">
          <w:marLeft w:val="130"/>
          <w:marRight w:val="0"/>
          <w:marTop w:val="0"/>
          <w:marBottom w:val="80"/>
          <w:divBdr>
            <w:top w:val="none" w:sz="0" w:space="0" w:color="auto"/>
            <w:left w:val="none" w:sz="0" w:space="0" w:color="auto"/>
            <w:bottom w:val="none" w:sz="0" w:space="0" w:color="auto"/>
            <w:right w:val="none" w:sz="0" w:space="0" w:color="auto"/>
          </w:divBdr>
        </w:div>
        <w:div w:id="799107770">
          <w:marLeft w:val="130"/>
          <w:marRight w:val="0"/>
          <w:marTop w:val="0"/>
          <w:marBottom w:val="80"/>
          <w:divBdr>
            <w:top w:val="none" w:sz="0" w:space="0" w:color="auto"/>
            <w:left w:val="none" w:sz="0" w:space="0" w:color="auto"/>
            <w:bottom w:val="none" w:sz="0" w:space="0" w:color="auto"/>
            <w:right w:val="none" w:sz="0" w:space="0" w:color="auto"/>
          </w:divBdr>
        </w:div>
        <w:div w:id="1670332648">
          <w:marLeft w:val="130"/>
          <w:marRight w:val="0"/>
          <w:marTop w:val="0"/>
          <w:marBottom w:val="80"/>
          <w:divBdr>
            <w:top w:val="none" w:sz="0" w:space="0" w:color="auto"/>
            <w:left w:val="none" w:sz="0" w:space="0" w:color="auto"/>
            <w:bottom w:val="none" w:sz="0" w:space="0" w:color="auto"/>
            <w:right w:val="none" w:sz="0" w:space="0" w:color="auto"/>
          </w:divBdr>
        </w:div>
        <w:div w:id="1277518539">
          <w:marLeft w:val="130"/>
          <w:marRight w:val="0"/>
          <w:marTop w:val="0"/>
          <w:marBottom w:val="80"/>
          <w:divBdr>
            <w:top w:val="none" w:sz="0" w:space="0" w:color="auto"/>
            <w:left w:val="none" w:sz="0" w:space="0" w:color="auto"/>
            <w:bottom w:val="none" w:sz="0" w:space="0" w:color="auto"/>
            <w:right w:val="none" w:sz="0" w:space="0" w:color="auto"/>
          </w:divBdr>
        </w:div>
        <w:div w:id="1438137162">
          <w:marLeft w:val="130"/>
          <w:marRight w:val="0"/>
          <w:marTop w:val="0"/>
          <w:marBottom w:val="80"/>
          <w:divBdr>
            <w:top w:val="none" w:sz="0" w:space="0" w:color="auto"/>
            <w:left w:val="none" w:sz="0" w:space="0" w:color="auto"/>
            <w:bottom w:val="none" w:sz="0" w:space="0" w:color="auto"/>
            <w:right w:val="none" w:sz="0" w:space="0" w:color="auto"/>
          </w:divBdr>
        </w:div>
      </w:divsChild>
    </w:div>
    <w:div w:id="731853239">
      <w:bodyDiv w:val="1"/>
      <w:marLeft w:val="0"/>
      <w:marRight w:val="0"/>
      <w:marTop w:val="0"/>
      <w:marBottom w:val="0"/>
      <w:divBdr>
        <w:top w:val="none" w:sz="0" w:space="0" w:color="auto"/>
        <w:left w:val="none" w:sz="0" w:space="0" w:color="auto"/>
        <w:bottom w:val="none" w:sz="0" w:space="0" w:color="auto"/>
        <w:right w:val="none" w:sz="0" w:space="0" w:color="auto"/>
      </w:divBdr>
    </w:div>
    <w:div w:id="1182012198">
      <w:bodyDiv w:val="1"/>
      <w:marLeft w:val="0"/>
      <w:marRight w:val="0"/>
      <w:marTop w:val="0"/>
      <w:marBottom w:val="0"/>
      <w:divBdr>
        <w:top w:val="none" w:sz="0" w:space="0" w:color="auto"/>
        <w:left w:val="none" w:sz="0" w:space="0" w:color="auto"/>
        <w:bottom w:val="none" w:sz="0" w:space="0" w:color="auto"/>
        <w:right w:val="none" w:sz="0" w:space="0" w:color="auto"/>
      </w:divBdr>
    </w:div>
    <w:div w:id="1251233495">
      <w:bodyDiv w:val="1"/>
      <w:marLeft w:val="0"/>
      <w:marRight w:val="0"/>
      <w:marTop w:val="0"/>
      <w:marBottom w:val="0"/>
      <w:divBdr>
        <w:top w:val="none" w:sz="0" w:space="0" w:color="auto"/>
        <w:left w:val="none" w:sz="0" w:space="0" w:color="auto"/>
        <w:bottom w:val="none" w:sz="0" w:space="0" w:color="auto"/>
        <w:right w:val="none" w:sz="0" w:space="0" w:color="auto"/>
      </w:divBdr>
    </w:div>
    <w:div w:id="1256328033">
      <w:bodyDiv w:val="1"/>
      <w:marLeft w:val="0"/>
      <w:marRight w:val="0"/>
      <w:marTop w:val="0"/>
      <w:marBottom w:val="0"/>
      <w:divBdr>
        <w:top w:val="none" w:sz="0" w:space="0" w:color="auto"/>
        <w:left w:val="none" w:sz="0" w:space="0" w:color="auto"/>
        <w:bottom w:val="none" w:sz="0" w:space="0" w:color="auto"/>
        <w:right w:val="none" w:sz="0" w:space="0" w:color="auto"/>
      </w:divBdr>
    </w:div>
    <w:div w:id="1273435013">
      <w:bodyDiv w:val="1"/>
      <w:marLeft w:val="0"/>
      <w:marRight w:val="0"/>
      <w:marTop w:val="0"/>
      <w:marBottom w:val="0"/>
      <w:divBdr>
        <w:top w:val="none" w:sz="0" w:space="0" w:color="auto"/>
        <w:left w:val="none" w:sz="0" w:space="0" w:color="auto"/>
        <w:bottom w:val="none" w:sz="0" w:space="0" w:color="auto"/>
        <w:right w:val="none" w:sz="0" w:space="0" w:color="auto"/>
      </w:divBdr>
    </w:div>
    <w:div w:id="1317608054">
      <w:bodyDiv w:val="1"/>
      <w:marLeft w:val="0"/>
      <w:marRight w:val="0"/>
      <w:marTop w:val="0"/>
      <w:marBottom w:val="0"/>
      <w:divBdr>
        <w:top w:val="none" w:sz="0" w:space="0" w:color="auto"/>
        <w:left w:val="none" w:sz="0" w:space="0" w:color="auto"/>
        <w:bottom w:val="none" w:sz="0" w:space="0" w:color="auto"/>
        <w:right w:val="none" w:sz="0" w:space="0" w:color="auto"/>
      </w:divBdr>
    </w:div>
    <w:div w:id="1325206236">
      <w:bodyDiv w:val="1"/>
      <w:marLeft w:val="0"/>
      <w:marRight w:val="0"/>
      <w:marTop w:val="0"/>
      <w:marBottom w:val="0"/>
      <w:divBdr>
        <w:top w:val="none" w:sz="0" w:space="0" w:color="auto"/>
        <w:left w:val="none" w:sz="0" w:space="0" w:color="auto"/>
        <w:bottom w:val="none" w:sz="0" w:space="0" w:color="auto"/>
        <w:right w:val="none" w:sz="0" w:space="0" w:color="auto"/>
      </w:divBdr>
    </w:div>
    <w:div w:id="1329555375">
      <w:bodyDiv w:val="1"/>
      <w:marLeft w:val="0"/>
      <w:marRight w:val="0"/>
      <w:marTop w:val="0"/>
      <w:marBottom w:val="0"/>
      <w:divBdr>
        <w:top w:val="none" w:sz="0" w:space="0" w:color="auto"/>
        <w:left w:val="none" w:sz="0" w:space="0" w:color="auto"/>
        <w:bottom w:val="none" w:sz="0" w:space="0" w:color="auto"/>
        <w:right w:val="none" w:sz="0" w:space="0" w:color="auto"/>
      </w:divBdr>
    </w:div>
    <w:div w:id="1336881545">
      <w:bodyDiv w:val="1"/>
      <w:marLeft w:val="0"/>
      <w:marRight w:val="0"/>
      <w:marTop w:val="0"/>
      <w:marBottom w:val="0"/>
      <w:divBdr>
        <w:top w:val="none" w:sz="0" w:space="0" w:color="auto"/>
        <w:left w:val="none" w:sz="0" w:space="0" w:color="auto"/>
        <w:bottom w:val="none" w:sz="0" w:space="0" w:color="auto"/>
        <w:right w:val="none" w:sz="0" w:space="0" w:color="auto"/>
      </w:divBdr>
    </w:div>
    <w:div w:id="1369837154">
      <w:bodyDiv w:val="1"/>
      <w:marLeft w:val="0"/>
      <w:marRight w:val="0"/>
      <w:marTop w:val="0"/>
      <w:marBottom w:val="0"/>
      <w:divBdr>
        <w:top w:val="none" w:sz="0" w:space="0" w:color="auto"/>
        <w:left w:val="none" w:sz="0" w:space="0" w:color="auto"/>
        <w:bottom w:val="none" w:sz="0" w:space="0" w:color="auto"/>
        <w:right w:val="none" w:sz="0" w:space="0" w:color="auto"/>
      </w:divBdr>
    </w:div>
    <w:div w:id="1385328327">
      <w:bodyDiv w:val="1"/>
      <w:marLeft w:val="0"/>
      <w:marRight w:val="0"/>
      <w:marTop w:val="0"/>
      <w:marBottom w:val="0"/>
      <w:divBdr>
        <w:top w:val="none" w:sz="0" w:space="0" w:color="auto"/>
        <w:left w:val="none" w:sz="0" w:space="0" w:color="auto"/>
        <w:bottom w:val="none" w:sz="0" w:space="0" w:color="auto"/>
        <w:right w:val="none" w:sz="0" w:space="0" w:color="auto"/>
      </w:divBdr>
    </w:div>
    <w:div w:id="1408384479">
      <w:bodyDiv w:val="1"/>
      <w:marLeft w:val="0"/>
      <w:marRight w:val="0"/>
      <w:marTop w:val="0"/>
      <w:marBottom w:val="0"/>
      <w:divBdr>
        <w:top w:val="none" w:sz="0" w:space="0" w:color="auto"/>
        <w:left w:val="none" w:sz="0" w:space="0" w:color="auto"/>
        <w:bottom w:val="none" w:sz="0" w:space="0" w:color="auto"/>
        <w:right w:val="none" w:sz="0" w:space="0" w:color="auto"/>
      </w:divBdr>
    </w:div>
    <w:div w:id="1537229323">
      <w:bodyDiv w:val="1"/>
      <w:marLeft w:val="0"/>
      <w:marRight w:val="0"/>
      <w:marTop w:val="0"/>
      <w:marBottom w:val="0"/>
      <w:divBdr>
        <w:top w:val="none" w:sz="0" w:space="0" w:color="auto"/>
        <w:left w:val="none" w:sz="0" w:space="0" w:color="auto"/>
        <w:bottom w:val="none" w:sz="0" w:space="0" w:color="auto"/>
        <w:right w:val="none" w:sz="0" w:space="0" w:color="auto"/>
      </w:divBdr>
    </w:div>
    <w:div w:id="1572160302">
      <w:bodyDiv w:val="1"/>
      <w:marLeft w:val="0"/>
      <w:marRight w:val="0"/>
      <w:marTop w:val="0"/>
      <w:marBottom w:val="0"/>
      <w:divBdr>
        <w:top w:val="none" w:sz="0" w:space="0" w:color="auto"/>
        <w:left w:val="none" w:sz="0" w:space="0" w:color="auto"/>
        <w:bottom w:val="none" w:sz="0" w:space="0" w:color="auto"/>
        <w:right w:val="none" w:sz="0" w:space="0" w:color="auto"/>
      </w:divBdr>
    </w:div>
    <w:div w:id="1803115747">
      <w:bodyDiv w:val="1"/>
      <w:marLeft w:val="0"/>
      <w:marRight w:val="0"/>
      <w:marTop w:val="0"/>
      <w:marBottom w:val="0"/>
      <w:divBdr>
        <w:top w:val="none" w:sz="0" w:space="0" w:color="auto"/>
        <w:left w:val="none" w:sz="0" w:space="0" w:color="auto"/>
        <w:bottom w:val="none" w:sz="0" w:space="0" w:color="auto"/>
        <w:right w:val="none" w:sz="0" w:space="0" w:color="auto"/>
      </w:divBdr>
    </w:div>
    <w:div w:id="1856381341">
      <w:bodyDiv w:val="1"/>
      <w:marLeft w:val="0"/>
      <w:marRight w:val="0"/>
      <w:marTop w:val="0"/>
      <w:marBottom w:val="0"/>
      <w:divBdr>
        <w:top w:val="none" w:sz="0" w:space="0" w:color="auto"/>
        <w:left w:val="none" w:sz="0" w:space="0" w:color="auto"/>
        <w:bottom w:val="none" w:sz="0" w:space="0" w:color="auto"/>
        <w:right w:val="none" w:sz="0" w:space="0" w:color="auto"/>
      </w:divBdr>
    </w:div>
    <w:div w:id="1912889358">
      <w:bodyDiv w:val="1"/>
      <w:marLeft w:val="0"/>
      <w:marRight w:val="0"/>
      <w:marTop w:val="0"/>
      <w:marBottom w:val="0"/>
      <w:divBdr>
        <w:top w:val="none" w:sz="0" w:space="0" w:color="auto"/>
        <w:left w:val="none" w:sz="0" w:space="0" w:color="auto"/>
        <w:bottom w:val="none" w:sz="0" w:space="0" w:color="auto"/>
        <w:right w:val="none" w:sz="0" w:space="0" w:color="auto"/>
      </w:divBdr>
    </w:div>
    <w:div w:id="1925450181">
      <w:bodyDiv w:val="1"/>
      <w:marLeft w:val="0"/>
      <w:marRight w:val="0"/>
      <w:marTop w:val="0"/>
      <w:marBottom w:val="0"/>
      <w:divBdr>
        <w:top w:val="none" w:sz="0" w:space="0" w:color="auto"/>
        <w:left w:val="none" w:sz="0" w:space="0" w:color="auto"/>
        <w:bottom w:val="none" w:sz="0" w:space="0" w:color="auto"/>
        <w:right w:val="none" w:sz="0" w:space="0" w:color="auto"/>
      </w:divBdr>
      <w:divsChild>
        <w:div w:id="1978685886">
          <w:marLeft w:val="144"/>
          <w:marRight w:val="0"/>
          <w:marTop w:val="0"/>
          <w:marBottom w:val="120"/>
          <w:divBdr>
            <w:top w:val="none" w:sz="0" w:space="0" w:color="auto"/>
            <w:left w:val="none" w:sz="0" w:space="0" w:color="auto"/>
            <w:bottom w:val="none" w:sz="0" w:space="0" w:color="auto"/>
            <w:right w:val="none" w:sz="0" w:space="0" w:color="auto"/>
          </w:divBdr>
        </w:div>
        <w:div w:id="1961063998">
          <w:marLeft w:val="144"/>
          <w:marRight w:val="0"/>
          <w:marTop w:val="0"/>
          <w:marBottom w:val="120"/>
          <w:divBdr>
            <w:top w:val="none" w:sz="0" w:space="0" w:color="auto"/>
            <w:left w:val="none" w:sz="0" w:space="0" w:color="auto"/>
            <w:bottom w:val="none" w:sz="0" w:space="0" w:color="auto"/>
            <w:right w:val="none" w:sz="0" w:space="0" w:color="auto"/>
          </w:divBdr>
        </w:div>
        <w:div w:id="1146778408">
          <w:marLeft w:val="144"/>
          <w:marRight w:val="0"/>
          <w:marTop w:val="0"/>
          <w:marBottom w:val="120"/>
          <w:divBdr>
            <w:top w:val="none" w:sz="0" w:space="0" w:color="auto"/>
            <w:left w:val="none" w:sz="0" w:space="0" w:color="auto"/>
            <w:bottom w:val="none" w:sz="0" w:space="0" w:color="auto"/>
            <w:right w:val="none" w:sz="0" w:space="0" w:color="auto"/>
          </w:divBdr>
        </w:div>
      </w:divsChild>
    </w:div>
    <w:div w:id="1974291254">
      <w:bodyDiv w:val="1"/>
      <w:marLeft w:val="0"/>
      <w:marRight w:val="0"/>
      <w:marTop w:val="0"/>
      <w:marBottom w:val="0"/>
      <w:divBdr>
        <w:top w:val="none" w:sz="0" w:space="0" w:color="auto"/>
        <w:left w:val="none" w:sz="0" w:space="0" w:color="auto"/>
        <w:bottom w:val="none" w:sz="0" w:space="0" w:color="auto"/>
        <w:right w:val="none" w:sz="0" w:space="0" w:color="auto"/>
      </w:divBdr>
    </w:div>
    <w:div w:id="1981692555">
      <w:bodyDiv w:val="1"/>
      <w:marLeft w:val="0"/>
      <w:marRight w:val="0"/>
      <w:marTop w:val="0"/>
      <w:marBottom w:val="0"/>
      <w:divBdr>
        <w:top w:val="none" w:sz="0" w:space="0" w:color="auto"/>
        <w:left w:val="none" w:sz="0" w:space="0" w:color="auto"/>
        <w:bottom w:val="none" w:sz="0" w:space="0" w:color="auto"/>
        <w:right w:val="none" w:sz="0" w:space="0" w:color="auto"/>
      </w:divBdr>
    </w:div>
    <w:div w:id="2059039994">
      <w:bodyDiv w:val="1"/>
      <w:marLeft w:val="0"/>
      <w:marRight w:val="0"/>
      <w:marTop w:val="0"/>
      <w:marBottom w:val="0"/>
      <w:divBdr>
        <w:top w:val="none" w:sz="0" w:space="0" w:color="auto"/>
        <w:left w:val="none" w:sz="0" w:space="0" w:color="auto"/>
        <w:bottom w:val="none" w:sz="0" w:space="0" w:color="auto"/>
        <w:right w:val="none" w:sz="0" w:space="0" w:color="auto"/>
      </w:divBdr>
    </w:div>
    <w:div w:id="2118207522">
      <w:bodyDiv w:val="1"/>
      <w:marLeft w:val="0"/>
      <w:marRight w:val="0"/>
      <w:marTop w:val="0"/>
      <w:marBottom w:val="0"/>
      <w:divBdr>
        <w:top w:val="none" w:sz="0" w:space="0" w:color="auto"/>
        <w:left w:val="none" w:sz="0" w:space="0" w:color="auto"/>
        <w:bottom w:val="none" w:sz="0" w:space="0" w:color="auto"/>
        <w:right w:val="none" w:sz="0" w:space="0" w:color="auto"/>
      </w:divBdr>
    </w:div>
    <w:div w:id="2120830367">
      <w:bodyDiv w:val="1"/>
      <w:marLeft w:val="0"/>
      <w:marRight w:val="0"/>
      <w:marTop w:val="0"/>
      <w:marBottom w:val="0"/>
      <w:divBdr>
        <w:top w:val="none" w:sz="0" w:space="0" w:color="auto"/>
        <w:left w:val="none" w:sz="0" w:space="0" w:color="auto"/>
        <w:bottom w:val="none" w:sz="0" w:space="0" w:color="auto"/>
        <w:right w:val="none" w:sz="0" w:space="0" w:color="auto"/>
      </w:divBdr>
    </w:div>
    <w:div w:id="21252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footer" Target="footer4.xml"/><Relationship Id="rId47"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14.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DF9CD10E8254A6E87F7887DA9650D9F"/>
        <w:category>
          <w:name w:val="General"/>
          <w:gallery w:val="placeholder"/>
        </w:category>
        <w:types>
          <w:type w:val="bbPlcHdr"/>
        </w:types>
        <w:behaviors>
          <w:behavior w:val="content"/>
        </w:behaviors>
        <w:guid w:val="{779CB15C-D3D7-4498-911D-0C8432EE31E7}"/>
      </w:docPartPr>
      <w:docPartBody>
        <w:p w:rsidR="006F64F4" w:rsidRDefault="00544942">
          <w:pPr>
            <w:pStyle w:val="BDF9CD10E8254A6E87F7887DA9650D9F"/>
          </w:pPr>
          <w:r>
            <w:t>[Title]</w:t>
          </w:r>
        </w:p>
      </w:docPartBody>
    </w:docPart>
    <w:docPart>
      <w:docPartPr>
        <w:name w:val="97C03B85A2E34AB985D1D94E370CD8EC"/>
        <w:category>
          <w:name w:val="General"/>
          <w:gallery w:val="placeholder"/>
        </w:category>
        <w:types>
          <w:type w:val="bbPlcHdr"/>
        </w:types>
        <w:behaviors>
          <w:behavior w:val="content"/>
        </w:behaviors>
        <w:guid w:val="{580CEDF9-454A-484B-AB38-827D489E60F8}"/>
      </w:docPartPr>
      <w:docPartBody>
        <w:p w:rsidR="006F64F4" w:rsidRDefault="00544942">
          <w:pPr>
            <w:pStyle w:val="97C03B85A2E34AB985D1D94E370CD8EC"/>
          </w:pPr>
          <w:r>
            <w:t>[Subtitle]</w:t>
          </w:r>
        </w:p>
      </w:docPartBody>
    </w:docPart>
    <w:docPart>
      <w:docPartPr>
        <w:name w:val="4611ADE131A04ECFAD6EDFCDC8AB8B27"/>
        <w:category>
          <w:name w:val="General"/>
          <w:gallery w:val="placeholder"/>
        </w:category>
        <w:types>
          <w:type w:val="bbPlcHdr"/>
        </w:types>
        <w:behaviors>
          <w:behavior w:val="content"/>
        </w:behaviors>
        <w:guid w:val="{1945DA29-E595-4071-9BED-2BDA5F50EF62}"/>
      </w:docPartPr>
      <w:docPartBody>
        <w:p w:rsidR="006F64F4" w:rsidRDefault="00544942" w:rsidP="00544942">
          <w:pPr>
            <w:pStyle w:val="4611ADE131A04ECFAD6EDFCDC8AB8B271"/>
            <w:framePr w:wrap="around"/>
          </w:pPr>
          <w:r w:rsidRPr="00B63BD6">
            <w:rPr>
              <w:b w:val="0"/>
              <w:color w:val="666666"/>
            </w:rPr>
            <w:t>[Classification]</w:t>
          </w:r>
        </w:p>
      </w:docPartBody>
    </w:docPart>
    <w:docPart>
      <w:docPartPr>
        <w:name w:val="CE2A4018C18F42FA9DA36E98951F8B99"/>
        <w:category>
          <w:name w:val="General"/>
          <w:gallery w:val="placeholder"/>
        </w:category>
        <w:types>
          <w:type w:val="bbPlcHdr"/>
        </w:types>
        <w:behaviors>
          <w:behavior w:val="content"/>
        </w:behaviors>
        <w:guid w:val="{DCAD80F0-5C70-43FC-B86A-7DE277BB7188}"/>
      </w:docPartPr>
      <w:docPartBody>
        <w:p w:rsidR="006F64F4" w:rsidRDefault="00544942" w:rsidP="00544942">
          <w:pPr>
            <w:pStyle w:val="CE2A4018C18F42FA9DA36E98951F8B991"/>
            <w:framePr w:wrap="around"/>
          </w:pPr>
          <w:r w:rsidRPr="00B63BD6">
            <w:rPr>
              <w:color w:val="666666"/>
            </w:rPr>
            <w:t>[Internal/External]</w:t>
          </w:r>
        </w:p>
      </w:docPartBody>
    </w:docPart>
    <w:docPart>
      <w:docPartPr>
        <w:name w:val="5DF1A873DE064F41A807CC2584AA90E4"/>
        <w:category>
          <w:name w:val="General"/>
          <w:gallery w:val="placeholder"/>
        </w:category>
        <w:types>
          <w:type w:val="bbPlcHdr"/>
        </w:types>
        <w:behaviors>
          <w:behavior w:val="content"/>
        </w:behaviors>
        <w:guid w:val="{293F1015-B190-4D23-8653-58DB7890A0E1}"/>
      </w:docPartPr>
      <w:docPartBody>
        <w:p w:rsidR="006F64F4" w:rsidRDefault="00544942" w:rsidP="00544942">
          <w:pPr>
            <w:pStyle w:val="5DF1A873DE064F41A807CC2584AA90E41"/>
          </w:pPr>
          <w:r w:rsidRPr="0055313B">
            <w:rPr>
              <w:rStyle w:val="Classification"/>
            </w:rPr>
            <w:t>[Classification]</w:t>
          </w:r>
        </w:p>
      </w:docPartBody>
    </w:docPart>
    <w:docPart>
      <w:docPartPr>
        <w:name w:val="CF478BC4E30E4932A9022DF6CF34600F"/>
        <w:category>
          <w:name w:val="General"/>
          <w:gallery w:val="placeholder"/>
        </w:category>
        <w:types>
          <w:type w:val="bbPlcHdr"/>
        </w:types>
        <w:behaviors>
          <w:behavior w:val="content"/>
        </w:behaviors>
        <w:guid w:val="{B94124B0-BC88-4A85-AC55-4D2515C01306}"/>
      </w:docPartPr>
      <w:docPartBody>
        <w:p w:rsidR="006F64F4" w:rsidRDefault="00544942" w:rsidP="00544942">
          <w:pPr>
            <w:pStyle w:val="CF478BC4E30E4932A9022DF6CF34600F1"/>
          </w:pPr>
          <w:r w:rsidRPr="0044347B">
            <w:rPr>
              <w:lang w:val="en-US"/>
            </w:rPr>
            <w:t>[Internal/External]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D3A"/>
    <w:rsid w:val="00010DC6"/>
    <w:rsid w:val="0001372B"/>
    <w:rsid w:val="001F61FE"/>
    <w:rsid w:val="00544942"/>
    <w:rsid w:val="00611C39"/>
    <w:rsid w:val="006B7D3A"/>
    <w:rsid w:val="006F64F4"/>
    <w:rsid w:val="008F37E6"/>
    <w:rsid w:val="00901E80"/>
    <w:rsid w:val="00AA6405"/>
    <w:rsid w:val="00AB4BC8"/>
    <w:rsid w:val="00C659EA"/>
    <w:rsid w:val="00D42D52"/>
    <w:rsid w:val="00E42B97"/>
    <w:rsid w:val="00EE74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C82B886"/>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9CD10E8254A6E87F7887DA9650D9F">
    <w:name w:val="BDF9CD10E8254A6E87F7887DA9650D9F"/>
  </w:style>
  <w:style w:type="paragraph" w:customStyle="1" w:styleId="97C03B85A2E34AB985D1D94E370CD8EC">
    <w:name w:val="97C03B85A2E34AB985D1D94E370CD8EC"/>
  </w:style>
  <w:style w:type="paragraph" w:customStyle="1" w:styleId="4611ADE131A04ECFAD6EDFCDC8AB8B27">
    <w:name w:val="4611ADE131A04ECFAD6EDFCDC8AB8B27"/>
  </w:style>
  <w:style w:type="paragraph" w:customStyle="1" w:styleId="CE2A4018C18F42FA9DA36E98951F8B99">
    <w:name w:val="CE2A4018C18F42FA9DA36E98951F8B99"/>
  </w:style>
  <w:style w:type="paragraph" w:customStyle="1" w:styleId="F8E18E1B620A47568F0B3C3A4E42D1E4">
    <w:name w:val="F8E18E1B620A47568F0B3C3A4E42D1E4"/>
  </w:style>
  <w:style w:type="paragraph" w:customStyle="1" w:styleId="3B214F31CA594ADC8FEE7AD8AB442BE0">
    <w:name w:val="3B214F31CA594ADC8FEE7AD8AB442BE0"/>
  </w:style>
  <w:style w:type="character" w:styleId="PlaceholderText">
    <w:name w:val="Placeholder Text"/>
    <w:basedOn w:val="DefaultParagraphFont"/>
    <w:uiPriority w:val="99"/>
    <w:semiHidden/>
    <w:rsid w:val="00544942"/>
    <w:rPr>
      <w:color w:val="808080"/>
    </w:rPr>
  </w:style>
  <w:style w:type="paragraph" w:customStyle="1" w:styleId="5C9ADECB1399444CA76CD917506A07A5">
    <w:name w:val="5C9ADECB1399444CA76CD917506A07A5"/>
  </w:style>
  <w:style w:type="character" w:customStyle="1" w:styleId="Classification">
    <w:name w:val="Classification"/>
    <w:uiPriority w:val="49"/>
    <w:qFormat/>
    <w:rsid w:val="00544942"/>
    <w:rPr>
      <w:rFonts w:ascii="Arial" w:hAnsi="Arial"/>
      <w:b/>
      <w:color w:val="666666"/>
      <w:sz w:val="22"/>
      <w:lang w:val="en-US"/>
    </w:rPr>
  </w:style>
  <w:style w:type="paragraph" w:customStyle="1" w:styleId="5DF1A873DE064F41A807CC2584AA90E4">
    <w:name w:val="5DF1A873DE064F41A807CC2584AA90E4"/>
  </w:style>
  <w:style w:type="paragraph" w:customStyle="1" w:styleId="CF478BC4E30E4932A9022DF6CF34600F">
    <w:name w:val="CF478BC4E30E4932A9022DF6CF34600F"/>
  </w:style>
  <w:style w:type="paragraph" w:customStyle="1" w:styleId="482840888E014816A8467645FB75C82E">
    <w:name w:val="482840888E014816A8467645FB75C82E"/>
  </w:style>
  <w:style w:type="paragraph" w:customStyle="1" w:styleId="2CFD652D26C646AB9BE0CC8A20A7916B">
    <w:name w:val="2CFD652D26C646AB9BE0CC8A20A7916B"/>
  </w:style>
  <w:style w:type="paragraph" w:customStyle="1" w:styleId="8E59313567034F76A6C018B796E3FF37">
    <w:name w:val="8E59313567034F76A6C018B796E3FF37"/>
  </w:style>
  <w:style w:type="paragraph" w:customStyle="1" w:styleId="4611ADE131A04ECFAD6EDFCDC8AB8B271">
    <w:name w:val="4611ADE131A04ECFAD6EDFCDC8AB8B271"/>
    <w:rsid w:val="00544942"/>
    <w:pPr>
      <w:framePr w:wrap="around" w:vAnchor="page" w:hAnchor="page" w:x="738" w:y="15849"/>
      <w:spacing w:after="0" w:line="220" w:lineRule="exact"/>
    </w:pPr>
    <w:rPr>
      <w:rFonts w:eastAsiaTheme="minorHAnsi" w:cs="Times New Roman"/>
      <w:b/>
      <w:caps/>
      <w:color w:val="FFFFFF" w:themeColor="background1"/>
      <w:szCs w:val="20"/>
      <w:lang w:val="en-US" w:eastAsia="en-US"/>
    </w:rPr>
  </w:style>
  <w:style w:type="paragraph" w:customStyle="1" w:styleId="CE2A4018C18F42FA9DA36E98951F8B991">
    <w:name w:val="CE2A4018C18F42FA9DA36E98951F8B991"/>
    <w:rsid w:val="00544942"/>
    <w:pPr>
      <w:framePr w:wrap="around" w:vAnchor="page" w:hAnchor="page" w:x="738" w:y="16132"/>
      <w:spacing w:after="0" w:line="160" w:lineRule="exact"/>
    </w:pPr>
    <w:rPr>
      <w:rFonts w:eastAsiaTheme="minorHAnsi" w:cs="Times New Roman"/>
      <w:caps/>
      <w:color w:val="FFFFFF" w:themeColor="background1"/>
      <w:sz w:val="16"/>
      <w:szCs w:val="20"/>
      <w:lang w:val="en-US" w:eastAsia="en-US"/>
    </w:rPr>
  </w:style>
  <w:style w:type="paragraph" w:customStyle="1" w:styleId="5DF1A873DE064F41A807CC2584AA90E41">
    <w:name w:val="5DF1A873DE064F41A807CC2584AA90E41"/>
    <w:rsid w:val="00544942"/>
    <w:pPr>
      <w:tabs>
        <w:tab w:val="center" w:pos="4513"/>
        <w:tab w:val="right" w:pos="9026"/>
      </w:tabs>
      <w:spacing w:after="0" w:line="200" w:lineRule="exact"/>
      <w:ind w:left="-851"/>
    </w:pPr>
    <w:rPr>
      <w:rFonts w:eastAsiaTheme="minorHAnsi" w:cs="Times New Roman"/>
      <w:caps/>
      <w:color w:val="666666"/>
      <w:sz w:val="16"/>
      <w:szCs w:val="20"/>
      <w:lang w:eastAsia="en-US"/>
    </w:rPr>
  </w:style>
  <w:style w:type="paragraph" w:customStyle="1" w:styleId="CF478BC4E30E4932A9022DF6CF34600F1">
    <w:name w:val="CF478BC4E30E4932A9022DF6CF34600F1"/>
    <w:rsid w:val="00544942"/>
    <w:pPr>
      <w:tabs>
        <w:tab w:val="center" w:pos="4513"/>
        <w:tab w:val="right" w:pos="9026"/>
      </w:tabs>
      <w:spacing w:after="0" w:line="200" w:lineRule="exact"/>
      <w:ind w:left="-851"/>
    </w:pPr>
    <w:rPr>
      <w:rFonts w:eastAsiaTheme="minorHAnsi" w:cs="Times New Roman"/>
      <w:caps/>
      <w:color w:val="666666"/>
      <w:sz w:val="16"/>
      <w:szCs w:val="20"/>
      <w:lang w:eastAsia="en-US"/>
    </w:rPr>
  </w:style>
  <w:style w:type="paragraph" w:customStyle="1" w:styleId="482840888E014816A8467645FB75C82E1">
    <w:name w:val="482840888E014816A8467645FB75C82E1"/>
    <w:rsid w:val="00544942"/>
    <w:pPr>
      <w:tabs>
        <w:tab w:val="center" w:pos="4513"/>
        <w:tab w:val="right" w:pos="9026"/>
      </w:tabs>
      <w:spacing w:after="0" w:line="200" w:lineRule="exact"/>
      <w:ind w:left="-851"/>
    </w:pPr>
    <w:rPr>
      <w:rFonts w:eastAsiaTheme="minorHAnsi" w:cs="Times New Roman"/>
      <w:caps/>
      <w:color w:val="666666"/>
      <w:sz w:val="16"/>
      <w:szCs w:val="20"/>
      <w:lang w:eastAsia="en-US"/>
    </w:rPr>
  </w:style>
  <w:style w:type="paragraph" w:customStyle="1" w:styleId="2CFD652D26C646AB9BE0CC8A20A7916B1">
    <w:name w:val="2CFD652D26C646AB9BE0CC8A20A7916B1"/>
    <w:rsid w:val="00544942"/>
    <w:pPr>
      <w:tabs>
        <w:tab w:val="center" w:pos="4513"/>
        <w:tab w:val="right" w:pos="9026"/>
      </w:tabs>
      <w:spacing w:after="0" w:line="200" w:lineRule="exact"/>
      <w:ind w:left="-851"/>
    </w:pPr>
    <w:rPr>
      <w:rFonts w:eastAsiaTheme="minorHAnsi" w:cs="Times New Roman"/>
      <w:caps/>
      <w:color w:val="666666"/>
      <w:sz w:val="16"/>
      <w:szCs w:val="20"/>
      <w:lang w:eastAsia="en-US"/>
    </w:rPr>
  </w:style>
  <w:style w:type="paragraph" w:customStyle="1" w:styleId="C2A47A4ACE8B40D69A4782FA182590EE">
    <w:name w:val="C2A47A4ACE8B40D69A4782FA182590EE"/>
    <w:rsid w:val="00544942"/>
    <w:pPr>
      <w:tabs>
        <w:tab w:val="center" w:pos="4513"/>
        <w:tab w:val="right" w:pos="9026"/>
      </w:tabs>
      <w:spacing w:after="0" w:line="200" w:lineRule="exact"/>
      <w:ind w:left="-851"/>
    </w:pPr>
    <w:rPr>
      <w:rFonts w:eastAsiaTheme="minorHAnsi" w:cs="Times New Roman"/>
      <w:caps/>
      <w:color w:val="666666"/>
      <w:sz w:val="16"/>
      <w:szCs w:val="20"/>
      <w:lang w:eastAsia="en-US"/>
    </w:rPr>
  </w:style>
  <w:style w:type="paragraph" w:customStyle="1" w:styleId="9A5A853F0C424D15B369FD285BB19429">
    <w:name w:val="9A5A853F0C424D15B369FD285BB19429"/>
    <w:rsid w:val="00544942"/>
    <w:pPr>
      <w:tabs>
        <w:tab w:val="center" w:pos="4513"/>
        <w:tab w:val="right" w:pos="9026"/>
      </w:tabs>
      <w:spacing w:after="0" w:line="200" w:lineRule="exact"/>
      <w:ind w:left="-851"/>
    </w:pPr>
    <w:rPr>
      <w:rFonts w:eastAsiaTheme="minorHAnsi" w:cs="Times New Roman"/>
      <w:caps/>
      <w:color w:val="666666"/>
      <w:sz w:val="16"/>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2024 colours">
      <a:dk1>
        <a:srgbClr val="000000"/>
      </a:dk1>
      <a:lt1>
        <a:sysClr val="window" lastClr="FFFFFF"/>
      </a:lt1>
      <a:dk2>
        <a:srgbClr val="000000"/>
      </a:dk2>
      <a:lt2>
        <a:srgbClr val="F8F8F8"/>
      </a:lt2>
      <a:accent1>
        <a:srgbClr val="808080"/>
      </a:accent1>
      <a:accent2>
        <a:srgbClr val="002341"/>
      </a:accent2>
      <a:accent3>
        <a:srgbClr val="3685F7"/>
      </a:accent3>
      <a:accent4>
        <a:srgbClr val="3685F7"/>
      </a:accent4>
      <a:accent5>
        <a:srgbClr val="3685F7"/>
      </a:accent5>
      <a:accent6>
        <a:srgbClr val="3685F7"/>
      </a:accent6>
      <a:hlink>
        <a:srgbClr val="3685F7"/>
      </a:hlink>
      <a:folHlink>
        <a:srgbClr val="B2B2B2"/>
      </a:folHlink>
    </a:clrScheme>
    <a:fontScheme name="ATO">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root xmlns="www.drdoc.com.au">
  <internalExternal>External</internalExternal>
</roo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0f563589-9cf9-4143-b1eb-fb0534803d38">2020MG-107-18618</_dlc_DocId>
    <TaxCatchAll xmlns="0f563589-9cf9-4143-b1eb-fb0534803d38">
      <Value>16</Value>
    </TaxCatchAll>
    <_dlc_DocIdUrl xmlns="0f563589-9cf9-4143-b1eb-fb0534803d38">
      <Url>http://tweb/sites/mg/fitpd/_layouts/15/DocIdRedir.aspx?ID=2020MG-107-18618</Url>
      <Description>2020MG-107-18618</Description>
    </_dlc_DocIdUrl>
    <n748a1c17def4c93b413435c48ea6417 xmlns="d4dd4adf-ddb3-46a3-8d7c-fab3fb2a6bc7">
      <Terms xmlns="http://schemas.microsoft.com/office/infopath/2007/PartnerControls"/>
    </n748a1c17def4c93b413435c48ea6417>
    <IconOverlay xmlns="http://schemas.microsoft.com/sharepoint/v4" xsi:nil="true"/>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RA-8909 - Retain as national archives</TermName>
          <TermId xmlns="http://schemas.microsoft.com/office/infopath/2007/PartnerControls">783df9f6-6a3b-4626-95aa-7d6467e087f0</TermId>
        </TermInfo>
      </Terms>
    </lb508a4dc5e84436a0fe496b536466aa>
  </documentManagement>
</p:properties>
</file>

<file path=customXml/item4.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DDB296F03498E9448202E36B7829D846" ma:contentTypeVersion="32558" ma:contentTypeDescription=" " ma:contentTypeScope="" ma:versionID="960a23ceafcb5c7c85fe1baab0b5d183">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d10dd666b223c1ad2d6a027415c34944"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PersistId" minOccurs="0"/>
                <xsd:element ref="ns2:_dlc_DocIdUrl" minOccurs="0"/>
                <xsd:element ref="ns3:lb508a4dc5e84436a0fe496b536466aa" minOccurs="0"/>
                <xsd:element ref="ns2:TaxCatchAll" minOccurs="0"/>
                <xsd:element ref="ns2:TaxCatchAllLabel" minOccurs="0"/>
                <xsd:element ref="ns5:IconOverlay" minOccurs="0"/>
                <xsd:element ref="ns1:_dlc_Exempt" minOccurs="0"/>
                <xsd:element ref="ns3:n748a1c17def4c93b413435c48ea641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PersistId" ma:index="9" nillable="true" ma:displayName="Persist ID" ma:description="Keep ID on add." ma:hidden="true" ma:internalName="_dlc_DocIdPersistId" ma:readOnly="true">
      <xsd:simpleType>
        <xsd:restriction base="dms:Boolean"/>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16;#TSY RA-8909 - Retain as national archives|783df9f6-6a3b-4626-95aa-7d6467e087f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n748a1c17def4c93b413435c48ea6417" ma:index="18" nillable="true" ma:taxonomy="true" ma:internalName="n748a1c17def4c93b413435c48ea6417" ma:taxonomyFieldName="TSY_x0020_Topic" ma:displayName="TSY Topic" ma:readOnly="false" ma:fieldId="{7748a1c1-7def-4c93-b413-435c48ea6417}" ma:taxonomyMulti="true" ma:sspId="77b7a547-5880-464f-83f8-cefe583c3af4" ma:termSetId="5ad9bdc0-881e-4a06-8325-cf02134be2c9"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6.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7.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2C99D8C0-9149-4525-A8EB-93F91FBAE3F9}">
  <ds:schemaRefs>
    <ds:schemaRef ds:uri="www.drdoc.com.au"/>
  </ds:schemaRefs>
</ds:datastoreItem>
</file>

<file path=customXml/itemProps2.xml><?xml version="1.0" encoding="utf-8"?>
<ds:datastoreItem xmlns:ds="http://schemas.openxmlformats.org/officeDocument/2006/customXml" ds:itemID="{5CF2C80C-15D3-440F-A29A-EC2C4D5E0124}">
  <ds:schemaRefs>
    <ds:schemaRef ds:uri="http://schemas.microsoft.com/sharepoint/v3/contenttype/forms"/>
  </ds:schemaRefs>
</ds:datastoreItem>
</file>

<file path=customXml/itemProps3.xml><?xml version="1.0" encoding="utf-8"?>
<ds:datastoreItem xmlns:ds="http://schemas.openxmlformats.org/officeDocument/2006/customXml" ds:itemID="{FAAD085D-2F8C-4DF2-A210-AF1F7BD7DA7E}">
  <ds:schemaRef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563589-9cf9-4143-b1eb-fb0534803d38"/>
    <ds:schemaRef ds:uri="http://purl.org/dc/elements/1.1/"/>
    <ds:schemaRef ds:uri="http://schemas.microsoft.com/office/2006/metadata/properties"/>
    <ds:schemaRef ds:uri="d4dd4adf-ddb3-46a3-8d7c-fab3fb2a6bc7"/>
    <ds:schemaRef ds:uri="http://www.w3.org/XML/1998/namespace"/>
    <ds:schemaRef ds:uri="http://purl.org/dc/dcmitype/"/>
  </ds:schemaRefs>
</ds:datastoreItem>
</file>

<file path=customXml/itemProps4.xml><?xml version="1.0" encoding="utf-8"?>
<ds:datastoreItem xmlns:ds="http://schemas.openxmlformats.org/officeDocument/2006/customXml" ds:itemID="{C1503AE6-A6EA-4538-BEC9-994E33D2F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6675A2-2BC0-406E-95B3-F89FD9C0E23A}">
  <ds:schemaRefs>
    <ds:schemaRef ds:uri="http://schemas.microsoft.com/sharepoint/events"/>
  </ds:schemaRefs>
</ds:datastoreItem>
</file>

<file path=customXml/itemProps6.xml><?xml version="1.0" encoding="utf-8"?>
<ds:datastoreItem xmlns:ds="http://schemas.openxmlformats.org/officeDocument/2006/customXml" ds:itemID="{D8445D7A-B923-46A7-9E16-5299524D7D7F}">
  <ds:schemaRefs>
    <ds:schemaRef ds:uri="office.server.policy"/>
  </ds:schemaRefs>
</ds:datastoreItem>
</file>

<file path=customXml/itemProps7.xml><?xml version="1.0" encoding="utf-8"?>
<ds:datastoreItem xmlns:ds="http://schemas.openxmlformats.org/officeDocument/2006/customXml" ds:itemID="{E71C9E9E-5FC4-4528-AA80-676F8873D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2857</Words>
  <Characters>16288</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Register of foreign ownership of residential real estate</vt:lpstr>
    </vt:vector>
  </TitlesOfParts>
  <Company>ATO</Company>
  <LinksUpToDate>false</LinksUpToDate>
  <CharactersWithSpaces>19107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Register of foreign ownership of residential real estate</dc:title>
  <dc:subject>Insights into foreign purchases and sale of residential real estate for the period 1 July 2018 to 30 June 2019</dc:subject>
  <dc:creator>Gourlay, Kat</dc:creator>
  <cp:lastModifiedBy>Eaton, Jacob</cp:lastModifiedBy>
  <cp:revision>2</cp:revision>
  <dcterms:created xsi:type="dcterms:W3CDTF">2020-10-05T22:52:00Z</dcterms:created>
  <dcterms:modified xsi:type="dcterms:W3CDTF">2020-10-05T22:52:00Z</dcterms:modified>
  <cp:category>OFFICIAL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0x010100A64679C44DADA04984EEB770C4791873|1060299444</vt:lpwstr>
  </property>
  <property fmtid="{D5CDD505-2E9C-101B-9397-08002B2CF9AE}" pid="3" name="ContentTypeId">
    <vt:lpwstr>0x010100E95D40E5DFEA714B90E88DB5CE07A6B500DDB296F03498E9448202E36B7829D846</vt:lpwstr>
  </property>
  <property fmtid="{D5CDD505-2E9C-101B-9397-08002B2CF9AE}" pid="4" name="Security Classification">
    <vt:lpwstr>1;#UNCLASSIFIED|1bbb598d-ed8e-4faa-b9b5-c952cc7313f8</vt:lpwstr>
  </property>
  <property fmtid="{D5CDD505-2E9C-101B-9397-08002B2CF9AE}" pid="5" name="ItemRetentionFormula">
    <vt:lpwstr>&lt;formula id="Microsoft.Office.RecordsManagement.PolicyFeatures.Expiration.Formula.BuiltIn"&gt;&lt;number&gt;10&lt;/number&gt;&lt;property&gt;Modified&lt;/property&gt;&lt;propertyId&gt;28cf69c5-fa48-462a-b5cd-27b6f9d2bd5f&lt;/propertyId&gt;&lt;period&gt;years&lt;/period&gt;&lt;/formula&gt;</vt:lpwstr>
  </property>
  <property fmtid="{D5CDD505-2E9C-101B-9397-08002B2CF9AE}" pid="6" name="_dlc_DocIdItemGuid">
    <vt:lpwstr>26e712c8-8454-40c5-a640-df1c5991b243</vt:lpwstr>
  </property>
  <property fmtid="{D5CDD505-2E9C-101B-9397-08002B2CF9AE}" pid="7" name="TSYRecordClass">
    <vt:lpwstr>16;#TSY RA-8909 - Retain as national archives|783df9f6-6a3b-4626-95aa-7d6467e087f0</vt:lpwstr>
  </property>
  <property fmtid="{D5CDD505-2E9C-101B-9397-08002B2CF9AE}" pid="8" name="TSY Topic">
    <vt:lpwstr/>
  </property>
</Properties>
</file>